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3E8453">
      <w:pPr>
        <w:pStyle w:val="19"/>
        <w:kinsoku w:val="0"/>
        <w:overflowPunct w:val="0"/>
        <w:rPr>
          <w:color w:val="auto"/>
          <w:highlight w:val="none"/>
        </w:rPr>
      </w:pPr>
      <w:bookmarkStart w:id="0" w:name="_Toc217446030"/>
      <w:bookmarkStart w:id="1" w:name="_Toc183682338"/>
      <w:r>
        <w:rPr>
          <w:rFonts w:hint="eastAsia"/>
          <w:color w:val="auto"/>
          <w:highlight w:val="none"/>
        </w:rPr>
        <w:drawing>
          <wp:anchor distT="0" distB="0" distL="114300" distR="114300" simplePos="0" relativeHeight="251659264" behindDoc="1" locked="0" layoutInCell="1" allowOverlap="1">
            <wp:simplePos x="0" y="0"/>
            <wp:positionH relativeFrom="column">
              <wp:posOffset>-944245</wp:posOffset>
            </wp:positionH>
            <wp:positionV relativeFrom="paragraph">
              <wp:posOffset>-904240</wp:posOffset>
            </wp:positionV>
            <wp:extent cx="7662545" cy="10781030"/>
            <wp:effectExtent l="0" t="0" r="3175"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5"/>
                    <a:stretch>
                      <a:fillRect/>
                    </a:stretch>
                  </pic:blipFill>
                  <pic:spPr>
                    <a:xfrm>
                      <a:off x="0" y="0"/>
                      <a:ext cx="7662545" cy="10781030"/>
                    </a:xfrm>
                    <a:prstGeom prst="rect">
                      <a:avLst/>
                    </a:prstGeom>
                  </pic:spPr>
                </pic:pic>
              </a:graphicData>
            </a:graphic>
          </wp:anchor>
        </w:drawing>
      </w:r>
      <w:r>
        <w:rPr>
          <w:rFonts w:hint="eastAsia"/>
          <w:color w:val="auto"/>
          <w:highlight w:val="none"/>
        </w:rPr>
        <w:drawing>
          <wp:anchor distT="0" distB="0" distL="114300" distR="114300" simplePos="0" relativeHeight="251660288" behindDoc="0" locked="0" layoutInCell="1" allowOverlap="1">
            <wp:simplePos x="0" y="0"/>
            <wp:positionH relativeFrom="column">
              <wp:posOffset>488950</wp:posOffset>
            </wp:positionH>
            <wp:positionV relativeFrom="paragraph">
              <wp:posOffset>146685</wp:posOffset>
            </wp:positionV>
            <wp:extent cx="4654550" cy="584200"/>
            <wp:effectExtent l="0" t="0" r="8890" b="1016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6"/>
                    <a:stretch>
                      <a:fillRect/>
                    </a:stretch>
                  </pic:blipFill>
                  <pic:spPr>
                    <a:xfrm>
                      <a:off x="0" y="0"/>
                      <a:ext cx="4654550" cy="584200"/>
                    </a:xfrm>
                    <a:prstGeom prst="rect">
                      <a:avLst/>
                    </a:prstGeom>
                  </pic:spPr>
                </pic:pic>
              </a:graphicData>
            </a:graphic>
          </wp:anchor>
        </w:drawing>
      </w:r>
    </w:p>
    <w:p w14:paraId="336722FB">
      <w:pPr>
        <w:pStyle w:val="19"/>
        <w:kinsoku w:val="0"/>
        <w:overflowPunct w:val="0"/>
        <w:rPr>
          <w:color w:val="auto"/>
          <w:highlight w:val="none"/>
        </w:rPr>
      </w:pPr>
    </w:p>
    <w:p w14:paraId="16B5C993">
      <w:pPr>
        <w:pStyle w:val="19"/>
        <w:kinsoku w:val="0"/>
        <w:overflowPunct w:val="0"/>
        <w:rPr>
          <w:rFonts w:ascii="宋体" w:hAnsi="宋体" w:eastAsia="宋体" w:cs="宋体"/>
          <w:color w:val="auto"/>
          <w:sz w:val="20"/>
          <w:highlight w:val="none"/>
        </w:rPr>
      </w:pPr>
    </w:p>
    <w:p w14:paraId="5702B8B9">
      <w:pPr>
        <w:tabs>
          <w:tab w:val="left" w:pos="1710"/>
        </w:tabs>
        <w:rPr>
          <w:rFonts w:ascii="宋体" w:hAnsi="宋体" w:eastAsia="宋体" w:cs="宋体"/>
          <w:color w:val="auto"/>
          <w:highlight w:val="none"/>
        </w:rPr>
      </w:pPr>
    </w:p>
    <w:p w14:paraId="1E7568C3">
      <w:pPr>
        <w:tabs>
          <w:tab w:val="left" w:pos="1710"/>
        </w:tabs>
        <w:rPr>
          <w:rFonts w:ascii="宋体" w:hAnsi="宋体" w:eastAsia="宋体" w:cs="宋体"/>
          <w:color w:val="auto"/>
          <w:highlight w:val="none"/>
        </w:rPr>
      </w:pPr>
    </w:p>
    <w:p w14:paraId="1940D104">
      <w:pPr>
        <w:tabs>
          <w:tab w:val="left" w:pos="1710"/>
        </w:tabs>
        <w:rPr>
          <w:rFonts w:ascii="宋体" w:hAnsi="宋体" w:eastAsia="宋体" w:cs="宋体"/>
          <w:color w:val="auto"/>
          <w:highlight w:val="none"/>
        </w:rPr>
      </w:pPr>
    </w:p>
    <w:p w14:paraId="669F4790">
      <w:pPr>
        <w:tabs>
          <w:tab w:val="left" w:pos="1710"/>
        </w:tabs>
        <w:rPr>
          <w:rFonts w:ascii="宋体" w:hAnsi="宋体" w:eastAsia="宋体" w:cs="宋体"/>
          <w:color w:val="auto"/>
          <w:highlight w:val="none"/>
        </w:rPr>
      </w:pPr>
    </w:p>
    <w:p w14:paraId="07895999">
      <w:pPr>
        <w:tabs>
          <w:tab w:val="left" w:pos="1710"/>
        </w:tabs>
        <w:rPr>
          <w:rFonts w:ascii="宋体" w:hAnsi="宋体" w:eastAsia="宋体" w:cs="宋体"/>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7BF6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tcPr>
          <w:p w14:paraId="3B3F06D8">
            <w:pPr>
              <w:snapToGrid w:val="0"/>
              <w:spacing w:line="240" w:lineRule="atLeast"/>
              <w:jc w:val="center"/>
              <w:rPr>
                <w:rFonts w:ascii="宋体" w:hAnsi="宋体" w:eastAsia="宋体" w:cs="宋体"/>
                <w:b/>
                <w:color w:val="auto"/>
                <w:sz w:val="60"/>
                <w:szCs w:val="60"/>
                <w:highlight w:val="none"/>
              </w:rPr>
            </w:pPr>
            <w:r>
              <w:rPr>
                <w:rFonts w:hint="eastAsia" w:ascii="宋体" w:hAnsi="宋体" w:eastAsia="宋体" w:cs="宋体"/>
                <w:b/>
                <w:color w:val="auto"/>
                <w:sz w:val="60"/>
                <w:szCs w:val="60"/>
                <w:highlight w:val="none"/>
              </w:rPr>
              <w:t>采购文件</w:t>
            </w:r>
          </w:p>
        </w:tc>
      </w:tr>
      <w:tr w14:paraId="51DA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1764" w:type="dxa"/>
            <w:vAlign w:val="center"/>
          </w:tcPr>
          <w:p w14:paraId="33BA7929">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p>
        </w:tc>
        <w:tc>
          <w:tcPr>
            <w:tcW w:w="5942" w:type="dxa"/>
            <w:vAlign w:val="center"/>
          </w:tcPr>
          <w:p w14:paraId="13C6EF64">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广西职业师范学院相思湖校区运动场跑道及灯光改造项目</w:t>
            </w:r>
          </w:p>
        </w:tc>
      </w:tr>
      <w:tr w14:paraId="46E1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84BB9D3">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p>
        </w:tc>
        <w:tc>
          <w:tcPr>
            <w:tcW w:w="5942" w:type="dxa"/>
            <w:vAlign w:val="center"/>
          </w:tcPr>
          <w:p w14:paraId="1C24B284">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GXZC2026-J2-002253-JDZB</w:t>
            </w:r>
          </w:p>
        </w:tc>
      </w:tr>
      <w:tr w14:paraId="56EC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626817A">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联系电话：</w:t>
            </w:r>
          </w:p>
        </w:tc>
        <w:tc>
          <w:tcPr>
            <w:tcW w:w="5942" w:type="dxa"/>
            <w:vAlign w:val="center"/>
          </w:tcPr>
          <w:p w14:paraId="4E420CA5">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0771-2808981</w:t>
            </w:r>
          </w:p>
        </w:tc>
      </w:tr>
      <w:tr w14:paraId="0C96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7209D63">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采购方式：</w:t>
            </w:r>
          </w:p>
        </w:tc>
        <w:tc>
          <w:tcPr>
            <w:tcW w:w="5942" w:type="dxa"/>
            <w:vAlign w:val="center"/>
          </w:tcPr>
          <w:p w14:paraId="7942A3E5">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竞争性谈判</w:t>
            </w:r>
          </w:p>
        </w:tc>
      </w:tr>
    </w:tbl>
    <w:p w14:paraId="069C5533">
      <w:pPr>
        <w:tabs>
          <w:tab w:val="left" w:pos="1710"/>
        </w:tabs>
        <w:rPr>
          <w:rFonts w:ascii="宋体" w:hAnsi="宋体" w:eastAsia="宋体" w:cs="宋体"/>
          <w:color w:val="auto"/>
          <w:highlight w:val="none"/>
        </w:rPr>
      </w:pPr>
    </w:p>
    <w:p w14:paraId="367D3EEC">
      <w:pPr>
        <w:rPr>
          <w:rFonts w:ascii="宋体" w:hAnsi="宋体" w:eastAsia="宋体" w:cs="宋体"/>
          <w:color w:val="auto"/>
          <w:highlight w:val="none"/>
        </w:rPr>
      </w:pPr>
    </w:p>
    <w:p w14:paraId="7DE3C2D1">
      <w:pPr>
        <w:rPr>
          <w:rFonts w:ascii="宋体" w:hAnsi="宋体" w:eastAsia="宋体" w:cs="宋体"/>
          <w:color w:val="auto"/>
          <w:highlight w:val="none"/>
        </w:rPr>
      </w:pPr>
    </w:p>
    <w:p w14:paraId="25B5B906">
      <w:pPr>
        <w:rPr>
          <w:rFonts w:ascii="宋体" w:hAnsi="宋体" w:eastAsia="宋体" w:cs="宋体"/>
          <w:color w:val="auto"/>
          <w:highlight w:val="none"/>
        </w:rPr>
      </w:pPr>
    </w:p>
    <w:p w14:paraId="4787E0A3">
      <w:pPr>
        <w:rPr>
          <w:rFonts w:ascii="宋体" w:hAnsi="宋体" w:eastAsia="宋体" w:cs="宋体"/>
          <w:color w:val="auto"/>
          <w:highlight w:val="none"/>
        </w:rPr>
      </w:pPr>
    </w:p>
    <w:p w14:paraId="42C1B5AA">
      <w:pPr>
        <w:rPr>
          <w:rFonts w:ascii="宋体" w:hAnsi="宋体" w:eastAsia="宋体" w:cs="宋体"/>
          <w:color w:val="auto"/>
          <w:highlight w:val="none"/>
        </w:rPr>
      </w:pPr>
    </w:p>
    <w:p w14:paraId="1C631C8B">
      <w:pPr>
        <w:rPr>
          <w:rFonts w:ascii="宋体" w:hAnsi="宋体" w:eastAsia="宋体" w:cs="宋体"/>
          <w:color w:val="auto"/>
          <w:highlight w:val="none"/>
        </w:rPr>
      </w:pPr>
    </w:p>
    <w:p w14:paraId="214AB58C">
      <w:pPr>
        <w:rPr>
          <w:rFonts w:ascii="宋体" w:hAnsi="宋体" w:eastAsia="宋体" w:cs="宋体"/>
          <w:color w:val="auto"/>
          <w:highlight w:val="none"/>
        </w:rPr>
      </w:pPr>
    </w:p>
    <w:p w14:paraId="4A23866A">
      <w:pPr>
        <w:rPr>
          <w:rFonts w:ascii="宋体" w:hAnsi="宋体" w:eastAsia="宋体" w:cs="宋体"/>
          <w:color w:val="auto"/>
          <w:highlight w:val="none"/>
        </w:rPr>
      </w:pPr>
    </w:p>
    <w:p w14:paraId="4FE86015">
      <w:pPr>
        <w:rPr>
          <w:rFonts w:ascii="宋体" w:hAnsi="宋体" w:eastAsia="宋体" w:cs="宋体"/>
          <w:color w:val="auto"/>
          <w:highlight w:val="none"/>
        </w:rPr>
      </w:pPr>
    </w:p>
    <w:p w14:paraId="20BADBB9">
      <w:pPr>
        <w:rPr>
          <w:rFonts w:ascii="宋体" w:hAnsi="宋体" w:eastAsia="宋体" w:cs="宋体"/>
          <w:color w:val="auto"/>
          <w:highlight w:val="none"/>
        </w:rPr>
      </w:pPr>
    </w:p>
    <w:p w14:paraId="3B8C16BC">
      <w:pPr>
        <w:rPr>
          <w:rFonts w:ascii="宋体" w:hAnsi="宋体" w:eastAsia="宋体" w:cs="宋体"/>
          <w:color w:val="auto"/>
          <w:highlight w:val="none"/>
        </w:rPr>
      </w:pPr>
    </w:p>
    <w:p w14:paraId="0850EB90">
      <w:pPr>
        <w:rPr>
          <w:rFonts w:ascii="宋体" w:hAnsi="宋体" w:eastAsia="宋体" w:cs="宋体"/>
          <w:color w:val="auto"/>
          <w:highlight w:val="none"/>
        </w:rPr>
      </w:pPr>
    </w:p>
    <w:p w14:paraId="2369AECF">
      <w:pPr>
        <w:rPr>
          <w:rFonts w:ascii="宋体" w:hAnsi="宋体" w:eastAsia="宋体" w:cs="宋体"/>
          <w:color w:val="auto"/>
          <w:highlight w:val="none"/>
        </w:rPr>
      </w:pPr>
    </w:p>
    <w:p w14:paraId="2863F738">
      <w:pPr>
        <w:rPr>
          <w:rFonts w:ascii="宋体" w:hAnsi="宋体" w:eastAsia="宋体" w:cs="宋体"/>
          <w:color w:val="auto"/>
          <w:highlight w:val="none"/>
        </w:rPr>
      </w:pPr>
    </w:p>
    <w:tbl>
      <w:tblPr>
        <w:tblStyle w:val="54"/>
        <w:tblW w:w="0" w:type="auto"/>
        <w:jc w:val="center"/>
        <w:tblLayout w:type="fixed"/>
        <w:tblCellMar>
          <w:top w:w="0" w:type="dxa"/>
          <w:left w:w="108" w:type="dxa"/>
          <w:bottom w:w="0" w:type="dxa"/>
          <w:right w:w="108" w:type="dxa"/>
        </w:tblCellMar>
      </w:tblPr>
      <w:tblGrid>
        <w:gridCol w:w="2707"/>
        <w:gridCol w:w="6"/>
        <w:gridCol w:w="5571"/>
      </w:tblGrid>
      <w:tr w14:paraId="7F2AC417">
        <w:tblPrEx>
          <w:tblCellMar>
            <w:top w:w="0" w:type="dxa"/>
            <w:left w:w="108" w:type="dxa"/>
            <w:bottom w:w="0" w:type="dxa"/>
            <w:right w:w="108" w:type="dxa"/>
          </w:tblCellMar>
        </w:tblPrEx>
        <w:trPr>
          <w:trHeight w:val="703" w:hRule="atLeast"/>
          <w:jc w:val="center"/>
        </w:trPr>
        <w:tc>
          <w:tcPr>
            <w:tcW w:w="2707" w:type="dxa"/>
            <w:vAlign w:val="center"/>
          </w:tcPr>
          <w:p w14:paraId="1E0FE5C7">
            <w:pPr>
              <w:autoSpaceDE w:val="0"/>
              <w:autoSpaceDN w:val="0"/>
              <w:adjustRightInd w:val="0"/>
              <w:jc w:val="righ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采购人：</w:t>
            </w:r>
          </w:p>
        </w:tc>
        <w:tc>
          <w:tcPr>
            <w:tcW w:w="5577" w:type="dxa"/>
            <w:gridSpan w:val="2"/>
            <w:vAlign w:val="center"/>
          </w:tcPr>
          <w:p w14:paraId="62EED33D">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广西职业师范学院</w:t>
            </w:r>
          </w:p>
        </w:tc>
      </w:tr>
      <w:tr w14:paraId="7AA3589E">
        <w:tblPrEx>
          <w:tblCellMar>
            <w:top w:w="0" w:type="dxa"/>
            <w:left w:w="108" w:type="dxa"/>
            <w:bottom w:w="0" w:type="dxa"/>
            <w:right w:w="108" w:type="dxa"/>
          </w:tblCellMar>
        </w:tblPrEx>
        <w:trPr>
          <w:trHeight w:val="703" w:hRule="atLeast"/>
          <w:jc w:val="center"/>
        </w:trPr>
        <w:tc>
          <w:tcPr>
            <w:tcW w:w="2713" w:type="dxa"/>
            <w:gridSpan w:val="2"/>
            <w:vAlign w:val="center"/>
          </w:tcPr>
          <w:p w14:paraId="26B1AD01">
            <w:pPr>
              <w:autoSpaceDE w:val="0"/>
              <w:autoSpaceDN w:val="0"/>
              <w:adjustRightInd w:val="0"/>
              <w:jc w:val="righ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w:t>
            </w:r>
          </w:p>
        </w:tc>
        <w:tc>
          <w:tcPr>
            <w:tcW w:w="5571" w:type="dxa"/>
            <w:vAlign w:val="center"/>
          </w:tcPr>
          <w:p w14:paraId="0946C294">
            <w:pPr>
              <w:autoSpaceDE w:val="0"/>
              <w:autoSpaceDN w:val="0"/>
              <w:adjustRightInd w:val="0"/>
              <w:jc w:val="left"/>
              <w:rPr>
                <w:rFonts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广西机电设备招标有限公司</w:t>
            </w:r>
          </w:p>
        </w:tc>
      </w:tr>
    </w:tbl>
    <w:p w14:paraId="678B8FB8">
      <w:pPr>
        <w:rPr>
          <w:rFonts w:ascii="宋体" w:hAnsi="宋体" w:eastAsia="宋体" w:cs="宋体"/>
          <w:color w:val="auto"/>
          <w:highlight w:val="none"/>
        </w:rPr>
      </w:pPr>
    </w:p>
    <w:p w14:paraId="70157C74">
      <w:pPr>
        <w:ind w:firstLine="321" w:firstLineChars="100"/>
        <w:jc w:val="center"/>
        <w:rPr>
          <w:rFonts w:ascii="宋体" w:hAnsi="宋体" w:eastAsia="宋体" w:cs="宋体"/>
          <w:b/>
          <w:color w:val="auto"/>
          <w:sz w:val="32"/>
          <w:szCs w:val="32"/>
          <w:highlight w:val="none"/>
        </w:rPr>
        <w:sectPr>
          <w:headerReference r:id="rId3" w:type="first"/>
          <w:footerReference r:id="rId6" w:type="first"/>
          <w:footerReference r:id="rId4" w:type="default"/>
          <w:footerReference r:id="rId5" w:type="even"/>
          <w:type w:val="nextColumn"/>
          <w:pgSz w:w="11905" w:h="16838"/>
          <w:pgMar w:top="1417" w:right="1417" w:bottom="1417" w:left="1417" w:header="851" w:footer="850" w:gutter="0"/>
          <w:pgNumType w:start="0"/>
          <w:cols w:space="720" w:num="1"/>
          <w:docGrid w:linePitch="312" w:charSpace="0"/>
        </w:sectPr>
      </w:pPr>
      <w:r>
        <w:rPr>
          <w:rFonts w:hint="eastAsia" w:ascii="宋体" w:hAnsi="宋体" w:eastAsia="宋体" w:cs="宋体"/>
          <w:b/>
          <w:color w:val="auto"/>
          <w:sz w:val="32"/>
          <w:szCs w:val="32"/>
          <w:highlight w:val="none"/>
        </w:rPr>
        <w:t>2026年</w:t>
      </w:r>
      <w:r>
        <w:rPr>
          <w:rFonts w:hint="eastAsia" w:ascii="宋体" w:hAnsi="宋体" w:eastAsia="宋体" w:cs="宋体"/>
          <w:b/>
          <w:color w:val="auto"/>
          <w:sz w:val="32"/>
          <w:szCs w:val="32"/>
          <w:highlight w:val="none"/>
          <w:lang w:val="en-US" w:eastAsia="zh-CN"/>
        </w:rPr>
        <w:t>7</w:t>
      </w:r>
      <w:r>
        <w:rPr>
          <w:rFonts w:hint="eastAsia" w:ascii="宋体" w:hAnsi="宋体" w:eastAsia="宋体" w:cs="宋体"/>
          <w:b/>
          <w:color w:val="auto"/>
          <w:sz w:val="32"/>
          <w:szCs w:val="32"/>
          <w:highlight w:val="none"/>
        </w:rPr>
        <w:t>月</w:t>
      </w:r>
    </w:p>
    <w:p w14:paraId="03545C97">
      <w:pPr>
        <w:rPr>
          <w:rFonts w:ascii="宋体" w:hAnsi="宋体" w:eastAsia="宋体" w:cs="宋体"/>
          <w:color w:val="auto"/>
          <w:sz w:val="32"/>
          <w:szCs w:val="32"/>
          <w:highlight w:val="none"/>
        </w:rPr>
      </w:pPr>
    </w:p>
    <w:p w14:paraId="5670B671">
      <w:pPr>
        <w:pStyle w:val="27"/>
        <w:snapToGrid w:val="0"/>
        <w:spacing w:before="120" w:after="120" w:line="320" w:lineRule="exact"/>
        <w:jc w:val="center"/>
        <w:outlineLvl w:val="0"/>
        <w:rPr>
          <w:rFonts w:hAnsi="宋体" w:eastAsia="宋体" w:cs="宋体"/>
          <w:color w:val="auto"/>
          <w:sz w:val="32"/>
          <w:szCs w:val="32"/>
          <w:highlight w:val="none"/>
        </w:rPr>
      </w:pPr>
      <w:bookmarkStart w:id="2" w:name="_Toc503889276"/>
      <w:bookmarkStart w:id="3" w:name="_Toc114485410"/>
      <w:bookmarkStart w:id="4" w:name="_Toc483235754"/>
      <w:bookmarkStart w:id="5" w:name="_Toc89191271"/>
      <w:r>
        <w:rPr>
          <w:rFonts w:hint="eastAsia" w:hAnsi="宋体" w:eastAsia="宋体" w:cs="宋体"/>
          <w:color w:val="auto"/>
          <w:sz w:val="32"/>
          <w:szCs w:val="32"/>
          <w:highlight w:val="none"/>
        </w:rPr>
        <w:t>目    录</w:t>
      </w:r>
      <w:bookmarkEnd w:id="2"/>
      <w:bookmarkEnd w:id="3"/>
      <w:bookmarkEnd w:id="4"/>
      <w:bookmarkEnd w:id="5"/>
    </w:p>
    <w:p w14:paraId="3D13DFA0">
      <w:pPr>
        <w:pStyle w:val="34"/>
        <w:ind w:firstLine="241"/>
        <w:rPr>
          <w:rFonts w:eastAsia="宋体" w:cs="宋体"/>
          <w:b w:val="0"/>
          <w:bCs w:val="0"/>
          <w:caps w:val="0"/>
          <w:color w:val="auto"/>
          <w:sz w:val="21"/>
          <w:szCs w:val="22"/>
          <w:highlight w:val="none"/>
        </w:rPr>
      </w:pPr>
      <w:r>
        <w:rPr>
          <w:rFonts w:hint="eastAsia" w:eastAsia="宋体" w:cs="宋体"/>
          <w:color w:val="auto"/>
          <w:highlight w:val="none"/>
        </w:rPr>
        <w:fldChar w:fldCharType="begin"/>
      </w:r>
      <w:r>
        <w:rPr>
          <w:rStyle w:val="61"/>
          <w:rFonts w:hint="eastAsia" w:eastAsia="宋体" w:cs="宋体"/>
          <w:color w:val="auto"/>
          <w:highlight w:val="none"/>
        </w:rPr>
        <w:instrText xml:space="preserve"> TOC \o "1-1" \h \z \u </w:instrText>
      </w:r>
      <w:r>
        <w:rPr>
          <w:rFonts w:hint="eastAsia" w:eastAsia="宋体" w:cs="宋体"/>
          <w:color w:val="auto"/>
          <w:highlight w:val="none"/>
        </w:rPr>
        <w:fldChar w:fldCharType="separate"/>
      </w:r>
      <w:r>
        <w:rPr>
          <w:color w:val="auto"/>
          <w:highlight w:val="none"/>
        </w:rPr>
        <w:fldChar w:fldCharType="begin"/>
      </w:r>
      <w:r>
        <w:rPr>
          <w:color w:val="auto"/>
          <w:highlight w:val="none"/>
        </w:rPr>
        <w:instrText xml:space="preserve"> HYPERLINK \l "_Toc114485410" </w:instrText>
      </w:r>
      <w:r>
        <w:rPr>
          <w:color w:val="auto"/>
          <w:highlight w:val="none"/>
        </w:rPr>
        <w:fldChar w:fldCharType="separate"/>
      </w:r>
      <w:r>
        <w:rPr>
          <w:color w:val="auto"/>
          <w:highlight w:val="none"/>
        </w:rPr>
        <w:fldChar w:fldCharType="end"/>
      </w:r>
    </w:p>
    <w:p w14:paraId="3E76CE0C">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"_Toc114485411" </w:instrText>
      </w:r>
      <w:r>
        <w:rPr>
          <w:color w:val="auto"/>
          <w:highlight w:val="none"/>
        </w:rPr>
        <w:fldChar w:fldCharType="separate"/>
      </w:r>
      <w:r>
        <w:rPr>
          <w:rStyle w:val="61"/>
          <w:rFonts w:hint="eastAsia" w:eastAsia="宋体" w:cs="宋体"/>
          <w:color w:val="auto"/>
          <w:highlight w:val="none"/>
        </w:rPr>
        <w:t>第一章  竞争性谈判公告</w:t>
      </w:r>
      <w:r>
        <w:rPr>
          <w:rFonts w:hint="eastAsia" w:eastAsia="宋体" w:cs="宋体"/>
          <w:color w:val="auto"/>
          <w:highlight w:val="none"/>
        </w:rPr>
        <w:tab/>
      </w:r>
      <w:r>
        <w:rPr>
          <w:rFonts w:hint="eastAsia" w:eastAsia="宋体" w:cs="宋体"/>
          <w:color w:val="auto"/>
          <w:highlight w:val="none"/>
        </w:rPr>
        <w:fldChar w:fldCharType="begin"/>
      </w:r>
      <w:r>
        <w:rPr>
          <w:rFonts w:hint="eastAsia" w:eastAsia="宋体" w:cs="宋体"/>
          <w:color w:val="auto"/>
          <w:highlight w:val="none"/>
        </w:rPr>
        <w:instrText xml:space="preserve"> PAGEREF _Toc114485411 \h </w:instrText>
      </w:r>
      <w:r>
        <w:rPr>
          <w:rFonts w:hint="eastAsia" w:eastAsia="宋体" w:cs="宋体"/>
          <w:color w:val="auto"/>
          <w:highlight w:val="none"/>
        </w:rPr>
        <w:fldChar w:fldCharType="separate"/>
      </w:r>
      <w:r>
        <w:rPr>
          <w:rFonts w:hint="eastAsia" w:eastAsia="宋体" w:cs="宋体"/>
          <w:color w:val="auto"/>
          <w:highlight w:val="none"/>
        </w:rPr>
        <w:t>1</w:t>
      </w:r>
      <w:r>
        <w:rPr>
          <w:rFonts w:hint="eastAsia" w:eastAsia="宋体" w:cs="宋体"/>
          <w:color w:val="auto"/>
          <w:highlight w:val="none"/>
        </w:rPr>
        <w:fldChar w:fldCharType="end"/>
      </w:r>
      <w:r>
        <w:rPr>
          <w:rFonts w:hint="eastAsia" w:eastAsia="宋体" w:cs="宋体"/>
          <w:color w:val="auto"/>
          <w:highlight w:val="none"/>
        </w:rPr>
        <w:fldChar w:fldCharType="end"/>
      </w:r>
    </w:p>
    <w:p w14:paraId="6ECB82CA">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"_Toc114485412" </w:instrText>
      </w:r>
      <w:r>
        <w:rPr>
          <w:color w:val="auto"/>
          <w:highlight w:val="none"/>
        </w:rPr>
        <w:fldChar w:fldCharType="separate"/>
      </w:r>
      <w:r>
        <w:rPr>
          <w:rStyle w:val="61"/>
          <w:rFonts w:hint="eastAsia" w:eastAsia="宋体" w:cs="宋体"/>
          <w:color w:val="auto"/>
          <w:highlight w:val="none"/>
        </w:rPr>
        <w:t>第二章  采购需求</w:t>
      </w:r>
      <w:r>
        <w:rPr>
          <w:rFonts w:hint="eastAsia" w:eastAsia="宋体" w:cs="宋体"/>
          <w:color w:val="auto"/>
          <w:highlight w:val="none"/>
        </w:rPr>
        <w:tab/>
      </w:r>
      <w:r>
        <w:rPr>
          <w:rFonts w:hint="eastAsia" w:eastAsia="宋体" w:cs="宋体"/>
          <w:color w:val="auto"/>
          <w:highlight w:val="none"/>
        </w:rPr>
        <w:fldChar w:fldCharType="begin"/>
      </w:r>
      <w:r>
        <w:rPr>
          <w:rFonts w:hint="eastAsia" w:eastAsia="宋体" w:cs="宋体"/>
          <w:color w:val="auto"/>
          <w:highlight w:val="none"/>
        </w:rPr>
        <w:instrText xml:space="preserve"> PAGEREF _Toc114485412 \h </w:instrText>
      </w:r>
      <w:r>
        <w:rPr>
          <w:rFonts w:hint="eastAsia" w:eastAsia="宋体" w:cs="宋体"/>
          <w:color w:val="auto"/>
          <w:highlight w:val="none"/>
        </w:rPr>
        <w:fldChar w:fldCharType="separate"/>
      </w:r>
      <w:r>
        <w:rPr>
          <w:rFonts w:hint="eastAsia" w:eastAsia="宋体" w:cs="宋体"/>
          <w:color w:val="auto"/>
          <w:highlight w:val="none"/>
        </w:rPr>
        <w:t>4</w:t>
      </w:r>
      <w:r>
        <w:rPr>
          <w:rFonts w:hint="eastAsia" w:eastAsia="宋体" w:cs="宋体"/>
          <w:color w:val="auto"/>
          <w:highlight w:val="none"/>
        </w:rPr>
        <w:fldChar w:fldCharType="end"/>
      </w:r>
      <w:r>
        <w:rPr>
          <w:rFonts w:hint="eastAsia" w:eastAsia="宋体" w:cs="宋体"/>
          <w:color w:val="auto"/>
          <w:highlight w:val="none"/>
        </w:rPr>
        <w:fldChar w:fldCharType="end"/>
      </w:r>
    </w:p>
    <w:p w14:paraId="106576D2">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"_Toc114485413" </w:instrText>
      </w:r>
      <w:r>
        <w:rPr>
          <w:color w:val="auto"/>
          <w:highlight w:val="none"/>
        </w:rPr>
        <w:fldChar w:fldCharType="separate"/>
      </w:r>
      <w:r>
        <w:rPr>
          <w:rStyle w:val="61"/>
          <w:rFonts w:hint="eastAsia" w:eastAsia="宋体" w:cs="宋体"/>
          <w:color w:val="auto"/>
          <w:highlight w:val="none"/>
        </w:rPr>
        <w:t>第三章  供应商须知</w:t>
      </w:r>
      <w:r>
        <w:rPr>
          <w:rFonts w:hint="eastAsia" w:eastAsia="宋体" w:cs="宋体"/>
          <w:color w:val="auto"/>
          <w:highlight w:val="none"/>
        </w:rPr>
        <w:tab/>
      </w:r>
      <w:r>
        <w:rPr>
          <w:rFonts w:hint="eastAsia" w:eastAsia="宋体" w:cs="宋体"/>
          <w:color w:val="auto"/>
          <w:highlight w:val="none"/>
        </w:rPr>
        <w:fldChar w:fldCharType="begin"/>
      </w:r>
      <w:r>
        <w:rPr>
          <w:rFonts w:hint="eastAsia" w:eastAsia="宋体" w:cs="宋体"/>
          <w:color w:val="auto"/>
          <w:highlight w:val="none"/>
        </w:rPr>
        <w:instrText xml:space="preserve"> PAGEREF _Toc114485413 \h </w:instrText>
      </w:r>
      <w:r>
        <w:rPr>
          <w:rFonts w:hint="eastAsia" w:eastAsia="宋体" w:cs="宋体"/>
          <w:color w:val="auto"/>
          <w:highlight w:val="none"/>
        </w:rPr>
        <w:fldChar w:fldCharType="separate"/>
      </w:r>
      <w:r>
        <w:rPr>
          <w:rFonts w:hint="eastAsia" w:eastAsia="宋体" w:cs="宋体"/>
          <w:color w:val="auto"/>
          <w:highlight w:val="none"/>
        </w:rPr>
        <w:t>10</w:t>
      </w:r>
      <w:r>
        <w:rPr>
          <w:rFonts w:hint="eastAsia" w:eastAsia="宋体" w:cs="宋体"/>
          <w:color w:val="auto"/>
          <w:highlight w:val="none"/>
        </w:rPr>
        <w:fldChar w:fldCharType="end"/>
      </w:r>
      <w:r>
        <w:rPr>
          <w:rFonts w:hint="eastAsia" w:eastAsia="宋体" w:cs="宋体"/>
          <w:color w:val="auto"/>
          <w:highlight w:val="none"/>
        </w:rPr>
        <w:fldChar w:fldCharType="end"/>
      </w:r>
    </w:p>
    <w:p w14:paraId="1F8C1E73">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"_Toc114485414" </w:instrText>
      </w:r>
      <w:r>
        <w:rPr>
          <w:color w:val="auto"/>
          <w:highlight w:val="none"/>
        </w:rPr>
        <w:fldChar w:fldCharType="separate"/>
      </w:r>
      <w:r>
        <w:rPr>
          <w:rStyle w:val="61"/>
          <w:rFonts w:hint="eastAsia" w:eastAsia="宋体" w:cs="宋体"/>
          <w:color w:val="auto"/>
          <w:highlight w:val="none"/>
        </w:rPr>
        <w:t>第四章  评审方法及标准</w:t>
      </w:r>
      <w:r>
        <w:rPr>
          <w:rFonts w:hint="eastAsia" w:eastAsia="宋体" w:cs="宋体"/>
          <w:color w:val="auto"/>
          <w:highlight w:val="none"/>
        </w:rPr>
        <w:tab/>
      </w:r>
      <w:r>
        <w:rPr>
          <w:rFonts w:hint="eastAsia" w:eastAsia="宋体" w:cs="宋体"/>
          <w:color w:val="auto"/>
          <w:highlight w:val="none"/>
        </w:rPr>
        <w:fldChar w:fldCharType="begin"/>
      </w:r>
      <w:r>
        <w:rPr>
          <w:rFonts w:hint="eastAsia" w:eastAsia="宋体" w:cs="宋体"/>
          <w:color w:val="auto"/>
          <w:highlight w:val="none"/>
        </w:rPr>
        <w:instrText xml:space="preserve"> PAGEREF _Toc114485414 \h </w:instrText>
      </w:r>
      <w:r>
        <w:rPr>
          <w:rFonts w:hint="eastAsia" w:eastAsia="宋体" w:cs="宋体"/>
          <w:color w:val="auto"/>
          <w:highlight w:val="none"/>
        </w:rPr>
        <w:fldChar w:fldCharType="separate"/>
      </w:r>
      <w:r>
        <w:rPr>
          <w:rFonts w:hint="eastAsia" w:eastAsia="宋体" w:cs="宋体"/>
          <w:color w:val="auto"/>
          <w:highlight w:val="none"/>
        </w:rPr>
        <w:t>31</w:t>
      </w:r>
      <w:r>
        <w:rPr>
          <w:rFonts w:hint="eastAsia" w:eastAsia="宋体" w:cs="宋体"/>
          <w:color w:val="auto"/>
          <w:highlight w:val="none"/>
        </w:rPr>
        <w:fldChar w:fldCharType="end"/>
      </w:r>
      <w:r>
        <w:rPr>
          <w:rFonts w:hint="eastAsia" w:eastAsia="宋体" w:cs="宋体"/>
          <w:color w:val="auto"/>
          <w:highlight w:val="none"/>
        </w:rPr>
        <w:fldChar w:fldCharType="end"/>
      </w:r>
    </w:p>
    <w:p w14:paraId="5D78D22E">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"_Toc114485415" </w:instrText>
      </w:r>
      <w:r>
        <w:rPr>
          <w:color w:val="auto"/>
          <w:highlight w:val="none"/>
        </w:rPr>
        <w:fldChar w:fldCharType="separate"/>
      </w:r>
      <w:r>
        <w:rPr>
          <w:rStyle w:val="61"/>
          <w:rFonts w:hint="eastAsia" w:eastAsia="宋体" w:cs="宋体"/>
          <w:color w:val="auto"/>
          <w:highlight w:val="none"/>
        </w:rPr>
        <w:t>第五章  合同主要条款格式</w:t>
      </w:r>
      <w:r>
        <w:rPr>
          <w:rFonts w:hint="eastAsia" w:eastAsia="宋体" w:cs="宋体"/>
          <w:color w:val="auto"/>
          <w:highlight w:val="none"/>
        </w:rPr>
        <w:tab/>
      </w:r>
      <w:r>
        <w:rPr>
          <w:rFonts w:hint="eastAsia" w:eastAsia="宋体" w:cs="宋体"/>
          <w:color w:val="auto"/>
          <w:highlight w:val="none"/>
        </w:rPr>
        <w:fldChar w:fldCharType="begin"/>
      </w:r>
      <w:r>
        <w:rPr>
          <w:rFonts w:hint="eastAsia" w:eastAsia="宋体" w:cs="宋体"/>
          <w:color w:val="auto"/>
          <w:highlight w:val="none"/>
        </w:rPr>
        <w:instrText xml:space="preserve"> PAGEREF _Toc114485415 \h </w:instrText>
      </w:r>
      <w:r>
        <w:rPr>
          <w:rFonts w:hint="eastAsia" w:eastAsia="宋体" w:cs="宋体"/>
          <w:color w:val="auto"/>
          <w:highlight w:val="none"/>
        </w:rPr>
        <w:fldChar w:fldCharType="separate"/>
      </w:r>
      <w:r>
        <w:rPr>
          <w:rFonts w:hint="eastAsia" w:eastAsia="宋体" w:cs="宋体"/>
          <w:color w:val="auto"/>
          <w:highlight w:val="none"/>
        </w:rPr>
        <w:t>34</w:t>
      </w:r>
      <w:r>
        <w:rPr>
          <w:rFonts w:hint="eastAsia" w:eastAsia="宋体" w:cs="宋体"/>
          <w:color w:val="auto"/>
          <w:highlight w:val="none"/>
        </w:rPr>
        <w:fldChar w:fldCharType="end"/>
      </w:r>
      <w:r>
        <w:rPr>
          <w:rFonts w:hint="eastAsia" w:eastAsia="宋体" w:cs="宋体"/>
          <w:color w:val="auto"/>
          <w:highlight w:val="none"/>
        </w:rPr>
        <w:fldChar w:fldCharType="end"/>
      </w:r>
    </w:p>
    <w:p w14:paraId="7F241595">
      <w:pPr>
        <w:pStyle w:val="34"/>
        <w:rPr>
          <w:rFonts w:eastAsia="宋体" w:cs="宋体"/>
          <w:b w:val="0"/>
          <w:bCs w:val="0"/>
          <w:caps w:val="0"/>
          <w:color w:val="auto"/>
          <w:sz w:val="21"/>
          <w:szCs w:val="22"/>
          <w:highlight w:val="none"/>
        </w:rPr>
      </w:pPr>
      <w:r>
        <w:rPr>
          <w:color w:val="auto"/>
          <w:highlight w:val="none"/>
        </w:rPr>
        <w:fldChar w:fldCharType="begin"/>
      </w:r>
      <w:r>
        <w:rPr>
          <w:color w:val="auto"/>
          <w:highlight w:val="none"/>
        </w:rPr>
        <w:instrText xml:space="preserve"> HYPERLINK \l "_Toc114485416" </w:instrText>
      </w:r>
      <w:r>
        <w:rPr>
          <w:color w:val="auto"/>
          <w:highlight w:val="none"/>
        </w:rPr>
        <w:fldChar w:fldCharType="separate"/>
      </w:r>
      <w:r>
        <w:rPr>
          <w:rStyle w:val="61"/>
          <w:rFonts w:hint="eastAsia" w:eastAsia="宋体" w:cs="宋体"/>
          <w:color w:val="auto"/>
          <w:highlight w:val="none"/>
        </w:rPr>
        <w:t>第六章  响应文件格式</w:t>
      </w:r>
      <w:r>
        <w:rPr>
          <w:rFonts w:hint="eastAsia" w:eastAsia="宋体" w:cs="宋体"/>
          <w:color w:val="auto"/>
          <w:highlight w:val="none"/>
        </w:rPr>
        <w:tab/>
      </w:r>
      <w:bookmarkStart w:id="6" w:name="_Hlt114485420"/>
      <w:bookmarkStart w:id="7" w:name="_Hlt114485419"/>
      <w:r>
        <w:rPr>
          <w:rFonts w:hint="eastAsia" w:eastAsia="宋体" w:cs="宋体"/>
          <w:color w:val="auto"/>
          <w:highlight w:val="none"/>
        </w:rPr>
        <w:fldChar w:fldCharType="begin"/>
      </w:r>
      <w:r>
        <w:rPr>
          <w:rFonts w:hint="eastAsia" w:eastAsia="宋体" w:cs="宋体"/>
          <w:color w:val="auto"/>
          <w:highlight w:val="none"/>
        </w:rPr>
        <w:instrText xml:space="preserve"> PAGEREF _Toc114485416 \h </w:instrText>
      </w:r>
      <w:r>
        <w:rPr>
          <w:rFonts w:hint="eastAsia" w:eastAsia="宋体" w:cs="宋体"/>
          <w:color w:val="auto"/>
          <w:highlight w:val="none"/>
        </w:rPr>
        <w:fldChar w:fldCharType="separate"/>
      </w:r>
      <w:r>
        <w:rPr>
          <w:rFonts w:hint="eastAsia" w:eastAsia="宋体" w:cs="宋体"/>
          <w:color w:val="auto"/>
          <w:highlight w:val="none"/>
        </w:rPr>
        <w:t>96</w:t>
      </w:r>
      <w:r>
        <w:rPr>
          <w:rFonts w:hint="eastAsia" w:eastAsia="宋体" w:cs="宋体"/>
          <w:color w:val="auto"/>
          <w:highlight w:val="none"/>
        </w:rPr>
        <w:fldChar w:fldCharType="end"/>
      </w:r>
      <w:bookmarkEnd w:id="6"/>
      <w:bookmarkEnd w:id="7"/>
      <w:r>
        <w:rPr>
          <w:rFonts w:hint="eastAsia" w:eastAsia="宋体" w:cs="宋体"/>
          <w:color w:val="auto"/>
          <w:highlight w:val="none"/>
        </w:rPr>
        <w:fldChar w:fldCharType="end"/>
      </w:r>
    </w:p>
    <w:p w14:paraId="265D0465">
      <w:pPr>
        <w:pStyle w:val="34"/>
        <w:ind w:firstLine="281"/>
        <w:rPr>
          <w:rFonts w:eastAsia="宋体" w:cs="宋体"/>
          <w:color w:val="auto"/>
          <w:sz w:val="28"/>
          <w:szCs w:val="28"/>
          <w:highlight w:val="none"/>
        </w:rPr>
        <w:sectPr>
          <w:headerReference r:id="rId7" w:type="first"/>
          <w:pgSz w:w="11905" w:h="16838"/>
          <w:pgMar w:top="1417" w:right="1417" w:bottom="1417" w:left="1417" w:header="851" w:footer="850" w:gutter="0"/>
          <w:pgNumType w:start="0"/>
          <w:cols w:space="720" w:num="1"/>
          <w:docGrid w:linePitch="312" w:charSpace="0"/>
        </w:sectPr>
      </w:pPr>
      <w:r>
        <w:rPr>
          <w:rFonts w:hint="eastAsia" w:eastAsia="宋体" w:cs="宋体"/>
          <w:color w:val="auto"/>
          <w:sz w:val="28"/>
          <w:szCs w:val="28"/>
          <w:highlight w:val="none"/>
        </w:rPr>
        <w:fldChar w:fldCharType="end"/>
      </w:r>
    </w:p>
    <w:p w14:paraId="597E558E">
      <w:pPr>
        <w:pStyle w:val="27"/>
        <w:snapToGrid w:val="0"/>
        <w:spacing w:before="120" w:after="120" w:line="320" w:lineRule="exact"/>
        <w:jc w:val="center"/>
        <w:outlineLvl w:val="0"/>
        <w:rPr>
          <w:rFonts w:hAnsi="宋体" w:eastAsia="宋体" w:cs="宋体"/>
          <w:color w:val="auto"/>
          <w:sz w:val="32"/>
          <w:szCs w:val="32"/>
          <w:highlight w:val="none"/>
        </w:rPr>
      </w:pPr>
      <w:bookmarkStart w:id="8" w:name="_Toc254970630"/>
      <w:bookmarkStart w:id="9" w:name="_Toc254970489"/>
      <w:bookmarkStart w:id="10" w:name="_Toc114485411"/>
      <w:r>
        <w:rPr>
          <w:rFonts w:hint="eastAsia" w:hAnsi="宋体" w:eastAsia="宋体" w:cs="宋体"/>
          <w:color w:val="auto"/>
          <w:sz w:val="32"/>
          <w:szCs w:val="32"/>
          <w:highlight w:val="none"/>
        </w:rPr>
        <w:t xml:space="preserve">第一章  </w:t>
      </w:r>
      <w:bookmarkEnd w:id="8"/>
      <w:bookmarkEnd w:id="9"/>
      <w:r>
        <w:rPr>
          <w:rFonts w:hint="eastAsia" w:hAnsi="宋体" w:eastAsia="宋体" w:cs="宋体"/>
          <w:color w:val="auto"/>
          <w:sz w:val="32"/>
          <w:szCs w:val="32"/>
          <w:highlight w:val="none"/>
        </w:rPr>
        <w:t>竞争性谈判公告</w:t>
      </w:r>
      <w:bookmarkEnd w:id="10"/>
    </w:p>
    <w:p w14:paraId="5EA511A2">
      <w:pPr>
        <w:spacing w:line="40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广西机电设备招标有限公司关于广西职业师范学院相思湖校区运动场跑道及灯光改造项目(GXZC2026-J2-002253-JDZB)竞争性谈判公告</w:t>
      </w:r>
    </w:p>
    <w:p w14:paraId="7DA26703">
      <w:pPr>
        <w:jc w:val="left"/>
        <w:rPr>
          <w:rFonts w:ascii="宋体" w:hAnsi="宋体" w:eastAsia="宋体" w:cs="宋体"/>
          <w:color w:val="auto"/>
          <w:kern w:val="0"/>
          <w:szCs w:val="21"/>
          <w:highlight w:val="none"/>
        </w:rPr>
      </w:pPr>
    </w:p>
    <w:p w14:paraId="5A56E542">
      <w:pPr>
        <w:spacing w:line="312"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广西职业师范学院相思湖校区运动场跑道及灯光改造项目(GXZC2026-J2-002253-JDZB)</w:t>
      </w:r>
      <w:r>
        <w:rPr>
          <w:rFonts w:hint="eastAsia" w:ascii="宋体" w:hAnsi="宋体" w:eastAsia="宋体" w:cs="宋体"/>
          <w:color w:val="auto"/>
          <w:kern w:val="0"/>
          <w:szCs w:val="21"/>
          <w:highlight w:val="none"/>
        </w:rPr>
        <w:t>的潜在供应商应</w:t>
      </w:r>
      <w:r>
        <w:rPr>
          <w:rFonts w:hint="eastAsia" w:ascii="宋体" w:hAnsi="宋体" w:eastAsia="宋体" w:cs="宋体"/>
          <w:color w:val="auto"/>
          <w:szCs w:val="21"/>
          <w:highlight w:val="none"/>
        </w:rPr>
        <w:t>广西政府采购云平台 （https://www.gcy.zfcg.gxzf.gov.cn/）获取采购文件，并于</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15时00</w:t>
      </w:r>
      <w:r>
        <w:rPr>
          <w:rFonts w:hint="eastAsia" w:ascii="宋体" w:hAnsi="宋体" w:eastAsia="宋体" w:cs="宋体"/>
          <w:color w:val="auto"/>
          <w:szCs w:val="21"/>
          <w:highlight w:val="none"/>
        </w:rPr>
        <w:t>分（北京时间）前提交响应文件。</w:t>
      </w:r>
    </w:p>
    <w:p w14:paraId="52A608E4">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一、项目基本情况</w:t>
      </w:r>
    </w:p>
    <w:p w14:paraId="46AFEC98">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项目编号：GXZC2026-J2-002253-JDZB</w:t>
      </w:r>
    </w:p>
    <w:p w14:paraId="66144DEC">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szCs w:val="21"/>
          <w:highlight w:val="none"/>
        </w:rPr>
        <w:t>广西职业师范学院相思湖校区运动场跑道及灯光改造项目</w:t>
      </w:r>
      <w:bookmarkStart w:id="1076" w:name="_GoBack"/>
      <w:bookmarkEnd w:id="1076"/>
    </w:p>
    <w:p w14:paraId="33FE343F">
      <w:pPr>
        <w:spacing w:line="312" w:lineRule="auto"/>
        <w:ind w:firstLine="420" w:firstLineChars="200"/>
        <w:jc w:val="left"/>
        <w:rPr>
          <w:rFonts w:ascii="宋体" w:hAnsi="宋体" w:eastAsia="宋体" w:cs="宋体"/>
          <w:color w:val="auto"/>
          <w:kern w:val="0"/>
          <w:szCs w:val="21"/>
          <w:highlight w:val="none"/>
        </w:rPr>
      </w:pPr>
      <w:bookmarkStart w:id="11" w:name="_Hlk77608065"/>
      <w:r>
        <w:rPr>
          <w:rFonts w:hint="eastAsia" w:ascii="宋体" w:hAnsi="宋体" w:eastAsia="宋体" w:cs="宋体"/>
          <w:color w:val="auto"/>
          <w:kern w:val="0"/>
          <w:szCs w:val="21"/>
          <w:highlight w:val="none"/>
        </w:rPr>
        <w:t>采购方式：</w:t>
      </w:r>
      <w:r>
        <w:rPr>
          <w:rFonts w:hint="eastAsia" w:ascii="宋体" w:hAnsi="宋体" w:eastAsia="宋体" w:cs="宋体"/>
          <w:color w:val="auto"/>
          <w:szCs w:val="21"/>
          <w:highlight w:val="none"/>
        </w:rPr>
        <w:t>竞争性谈判</w:t>
      </w:r>
      <w:r>
        <w:rPr>
          <w:rFonts w:hint="eastAsia" w:ascii="宋体" w:hAnsi="宋体" w:eastAsia="宋体" w:cs="宋体"/>
          <w:color w:val="auto"/>
          <w:kern w:val="0"/>
          <w:szCs w:val="21"/>
          <w:highlight w:val="none"/>
        </w:rPr>
        <w:t xml:space="preserve">  </w:t>
      </w:r>
    </w:p>
    <w:p w14:paraId="3A2722BD">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预算总金额（元）： 1362261.64元</w:t>
      </w:r>
    </w:p>
    <w:p w14:paraId="0A6C7BF0">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bookmarkEnd w:id="11"/>
    <w:p w14:paraId="7EDB6067">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标项名称：</w:t>
      </w:r>
      <w:r>
        <w:rPr>
          <w:rFonts w:hint="eastAsia" w:ascii="宋体" w:hAnsi="宋体" w:eastAsia="宋体" w:cs="宋体"/>
          <w:color w:val="auto"/>
          <w:szCs w:val="21"/>
          <w:highlight w:val="none"/>
        </w:rPr>
        <w:t>广西职业师范学院相思湖校区运动场跑道及灯光改造项目</w:t>
      </w:r>
    </w:p>
    <w:p w14:paraId="410E54CA">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数量：1</w:t>
      </w:r>
    </w:p>
    <w:p w14:paraId="5DD7AF82">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预算金额（元）：1362261.64元</w:t>
      </w:r>
    </w:p>
    <w:p w14:paraId="3674FE2C">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简要规格描述或项目基本概况介绍、用途：</w:t>
      </w:r>
      <w:r>
        <w:rPr>
          <w:rFonts w:hint="eastAsia" w:ascii="宋体" w:hAnsi="宋体" w:eastAsia="宋体" w:cs="宋体"/>
          <w:color w:val="auto"/>
          <w:szCs w:val="21"/>
          <w:highlight w:val="none"/>
        </w:rPr>
        <w:t>广西职业师范学院相思湖校区运动场跑道及灯光改造项目1项，本工程为相思湖校区运动场跑道和灯光改造项目，位于南宁市，工程内容为运动跑道拆除及新建、灯光改造等</w:t>
      </w:r>
      <w:r>
        <w:rPr>
          <w:rFonts w:hint="eastAsia" w:ascii="宋体" w:hAnsi="宋体" w:eastAsia="宋体" w:cs="宋体"/>
          <w:color w:val="auto"/>
          <w:highlight w:val="none"/>
        </w:rPr>
        <w:t>。</w:t>
      </w:r>
      <w:r>
        <w:rPr>
          <w:rFonts w:hint="eastAsia" w:ascii="宋体" w:hAnsi="宋体" w:eastAsia="宋体" w:cs="宋体"/>
          <w:color w:val="auto"/>
          <w:szCs w:val="21"/>
          <w:highlight w:val="none"/>
        </w:rPr>
        <w:t>具体内容详见工程量清单及图纸要求。</w:t>
      </w:r>
    </w:p>
    <w:p w14:paraId="41479FB2">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最高限价（如有）：1362261.64元</w:t>
      </w:r>
    </w:p>
    <w:p w14:paraId="73C654F7">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合同履约期限：45日历天。</w:t>
      </w:r>
    </w:p>
    <w:p w14:paraId="1AB677C0">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w:t>
      </w:r>
      <w:r>
        <w:rPr>
          <w:rFonts w:hint="eastAsia" w:ascii="宋体" w:hAnsi="宋体" w:eastAsia="宋体" w:cs="宋体"/>
          <w:color w:val="auto"/>
          <w:szCs w:val="21"/>
          <w:highlight w:val="none"/>
        </w:rPr>
        <w:t>否</w:t>
      </w:r>
      <w:r>
        <w:rPr>
          <w:rFonts w:hint="eastAsia" w:ascii="宋体" w:hAnsi="宋体" w:eastAsia="宋体" w:cs="宋体"/>
          <w:color w:val="auto"/>
          <w:kern w:val="0"/>
          <w:szCs w:val="21"/>
          <w:highlight w:val="none"/>
        </w:rPr>
        <w:t>）接受联合体。</w:t>
      </w:r>
    </w:p>
    <w:p w14:paraId="319E30AD">
      <w:pPr>
        <w:spacing w:line="312" w:lineRule="auto"/>
        <w:ind w:firstLine="735" w:firstLineChars="3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备注：采购计划号：广西政采[2026]14928号</w:t>
      </w:r>
    </w:p>
    <w:p w14:paraId="1C6B4204">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二、申请人的资格要求</w:t>
      </w:r>
    </w:p>
    <w:p w14:paraId="59D0595C">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14:paraId="29010A52">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落实政府采购政策需满足的资格要求：</w:t>
      </w:r>
      <w:bookmarkStart w:id="12" w:name="_Hlk132732708"/>
      <w:r>
        <w:rPr>
          <w:rFonts w:hint="eastAsia" w:ascii="宋体" w:hAnsi="宋体" w:eastAsia="宋体" w:cs="宋体"/>
          <w:color w:val="auto"/>
          <w:kern w:val="0"/>
          <w:szCs w:val="21"/>
          <w:highlight w:val="none"/>
        </w:rPr>
        <w:t>无</w:t>
      </w:r>
      <w:bookmarkEnd w:id="12"/>
      <w:r>
        <w:rPr>
          <w:rFonts w:hint="eastAsia" w:ascii="宋体" w:hAnsi="宋体" w:eastAsia="宋体" w:cs="宋体"/>
          <w:color w:val="auto"/>
          <w:kern w:val="0"/>
          <w:szCs w:val="21"/>
          <w:highlight w:val="none"/>
        </w:rPr>
        <w:t>。</w:t>
      </w:r>
    </w:p>
    <w:p w14:paraId="27F5B4D9">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14:paraId="1827A022">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（1）资质要求：具备</w:t>
      </w:r>
      <w:r>
        <w:rPr>
          <w:rFonts w:hint="eastAsia" w:ascii="宋体" w:hAnsi="宋体" w:eastAsia="宋体" w:cs="宋体"/>
          <w:color w:val="auto"/>
          <w:highlight w:val="none"/>
          <w:u w:val="single"/>
        </w:rPr>
        <w:t>建筑工程施工总承包叁级以上（含叁级）资质</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具备有效的安全生产许可证</w:t>
      </w:r>
      <w:r>
        <w:rPr>
          <w:rFonts w:hint="eastAsia" w:ascii="宋体" w:hAnsi="宋体" w:eastAsia="宋体" w:cs="宋体"/>
          <w:color w:val="auto"/>
          <w:kern w:val="0"/>
          <w:szCs w:val="21"/>
          <w:highlight w:val="none"/>
        </w:rPr>
        <w:t>。</w:t>
      </w:r>
    </w:p>
    <w:p w14:paraId="4336EDC7">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（2）人员要求</w:t>
      </w:r>
    </w:p>
    <w:p w14:paraId="2D4CB254">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项目经理要求：具备</w:t>
      </w:r>
      <w:r>
        <w:rPr>
          <w:rFonts w:hint="eastAsia" w:ascii="宋体" w:hAnsi="宋体" w:eastAsia="宋体" w:cs="宋体"/>
          <w:color w:val="auto"/>
          <w:highlight w:val="none"/>
          <w:u w:val="single"/>
        </w:rPr>
        <w:t xml:space="preserve"> 建筑工程 </w:t>
      </w:r>
      <w:r>
        <w:rPr>
          <w:rFonts w:hint="eastAsia" w:ascii="宋体" w:hAnsi="宋体" w:eastAsia="宋体" w:cs="宋体"/>
          <w:color w:val="auto"/>
          <w:highlight w:val="none"/>
        </w:rPr>
        <w:t>专业</w:t>
      </w:r>
      <w:r>
        <w:rPr>
          <w:rFonts w:hint="eastAsia" w:ascii="宋体" w:hAnsi="宋体" w:eastAsia="宋体" w:cs="宋体"/>
          <w:color w:val="auto"/>
          <w:highlight w:val="none"/>
          <w:u w:val="single"/>
        </w:rPr>
        <w:t xml:space="preserve"> 二 </w:t>
      </w:r>
      <w:r>
        <w:rPr>
          <w:rFonts w:hint="eastAsia" w:ascii="宋体" w:hAnsi="宋体" w:eastAsia="宋体" w:cs="宋体"/>
          <w:color w:val="auto"/>
          <w:highlight w:val="none"/>
        </w:rPr>
        <w:t>级以上（含二级）</w:t>
      </w:r>
      <w:r>
        <w:rPr>
          <w:rFonts w:hint="eastAsia" w:ascii="宋体" w:hAnsi="宋体" w:eastAsia="宋体" w:cs="宋体"/>
          <w:color w:val="auto"/>
          <w:kern w:val="0"/>
          <w:szCs w:val="21"/>
          <w:highlight w:val="none"/>
        </w:rPr>
        <w:t>注册建造师执业资格，具备有效的安全生产考核合格证书（B类）。</w:t>
      </w:r>
    </w:p>
    <w:p w14:paraId="7261FB7B">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技术负责人要求：无。</w:t>
      </w:r>
    </w:p>
    <w:p w14:paraId="33F99C04">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highlight w:val="none"/>
        </w:rPr>
        <w:t>专职安全员</w:t>
      </w:r>
      <w:r>
        <w:rPr>
          <w:rFonts w:hint="eastAsia" w:ascii="宋体" w:hAnsi="宋体" w:eastAsia="宋体" w:cs="宋体"/>
          <w:color w:val="auto"/>
          <w:kern w:val="0"/>
          <w:szCs w:val="21"/>
          <w:highlight w:val="none"/>
        </w:rPr>
        <w:t>要求：</w:t>
      </w:r>
      <w:r>
        <w:rPr>
          <w:rFonts w:hint="eastAsia" w:ascii="宋体" w:hAnsi="宋体" w:eastAsia="宋体" w:cs="宋体"/>
          <w:color w:val="auto"/>
          <w:highlight w:val="none"/>
        </w:rPr>
        <w:t>须具备有效的安全生产考核合格证书（C类），人数符合住房和城乡建设部《建筑施工企业、工程项目安全生产管理机构设置及安全生产管理人员配备办法》（建质规〔2025〕3号）的规定不少于1人。</w:t>
      </w:r>
    </w:p>
    <w:p w14:paraId="09E30286">
      <w:pPr>
        <w:numPr>
          <w:ilvl w:val="0"/>
          <w:numId w:val="1"/>
        </w:num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业绩要求：无。</w:t>
      </w:r>
    </w:p>
    <w:p w14:paraId="64E48394">
      <w:pPr>
        <w:numPr>
          <w:ilvl w:val="0"/>
          <w:numId w:val="1"/>
        </w:num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D98A7BF">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（5）未被列入失信被执行人、重大税收违法失信主体、政府采购严重违法失信行为记录名单。</w:t>
      </w:r>
      <w:bookmarkStart w:id="13" w:name="_Hlk132732817"/>
    </w:p>
    <w:p w14:paraId="54682234">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（6）本项目不允许分包。</w:t>
      </w:r>
    </w:p>
    <w:p w14:paraId="39F4FA3C">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（7）本项目不接受联合体。</w:t>
      </w:r>
      <w:bookmarkEnd w:id="13"/>
    </w:p>
    <w:p w14:paraId="0630A55E">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（8）按照</w:t>
      </w:r>
      <w:r>
        <w:rPr>
          <w:rFonts w:hint="eastAsia" w:ascii="宋体" w:hAnsi="宋体" w:eastAsia="宋体" w:cs="宋体"/>
          <w:color w:val="auto"/>
          <w:highlight w:val="none"/>
        </w:rPr>
        <w:t>谈判</w:t>
      </w:r>
      <w:r>
        <w:rPr>
          <w:rFonts w:hint="eastAsia" w:ascii="宋体" w:hAnsi="宋体" w:eastAsia="宋体" w:cs="宋体"/>
          <w:color w:val="auto"/>
          <w:kern w:val="0"/>
          <w:szCs w:val="21"/>
          <w:highlight w:val="none"/>
        </w:rPr>
        <w:t>公告的规定获得</w:t>
      </w:r>
      <w:r>
        <w:rPr>
          <w:rFonts w:hint="eastAsia" w:ascii="宋体" w:hAnsi="宋体" w:eastAsia="宋体" w:cs="宋体"/>
          <w:color w:val="auto"/>
          <w:highlight w:val="none"/>
        </w:rPr>
        <w:t>采购</w:t>
      </w:r>
      <w:r>
        <w:rPr>
          <w:rFonts w:hint="eastAsia" w:ascii="宋体" w:hAnsi="宋体" w:eastAsia="宋体" w:cs="宋体"/>
          <w:color w:val="auto"/>
          <w:kern w:val="0"/>
          <w:szCs w:val="21"/>
          <w:highlight w:val="none"/>
        </w:rPr>
        <w:t>文件。</w:t>
      </w:r>
      <w:bookmarkStart w:id="14" w:name="_Hlk92967676"/>
      <w:r>
        <w:rPr>
          <w:rFonts w:hint="eastAsia" w:ascii="宋体" w:hAnsi="宋体" w:eastAsia="宋体" w:cs="宋体"/>
          <w:color w:val="auto"/>
          <w:kern w:val="0"/>
          <w:szCs w:val="21"/>
          <w:highlight w:val="none"/>
        </w:rPr>
        <w:t>采购文件有规定时按要求提交谈判保证金。</w:t>
      </w:r>
      <w:bookmarkEnd w:id="14"/>
    </w:p>
    <w:p w14:paraId="1344CB43">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三、获取采购文件</w:t>
      </w:r>
    </w:p>
    <w:p w14:paraId="51368116">
      <w:pPr>
        <w:spacing w:line="312"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u w:val="single"/>
          <w:lang w:eastAsia="zh-CN"/>
        </w:rPr>
        <w:t>2026</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14</w:t>
      </w:r>
      <w:r>
        <w:rPr>
          <w:rFonts w:hint="eastAsia" w:ascii="宋体" w:hAnsi="宋体" w:eastAsia="宋体" w:cs="宋体"/>
          <w:color w:val="auto"/>
          <w:highlight w:val="none"/>
          <w:u w:val="single"/>
        </w:rPr>
        <w:t>日起至</w:t>
      </w:r>
      <w:r>
        <w:rPr>
          <w:rFonts w:hint="eastAsia" w:ascii="宋体" w:hAnsi="宋体" w:eastAsia="宋体" w:cs="宋体"/>
          <w:color w:val="auto"/>
          <w:highlight w:val="none"/>
          <w:u w:val="single"/>
          <w:lang w:eastAsia="zh-CN"/>
        </w:rPr>
        <w:t>2026</w:t>
      </w:r>
      <w:r>
        <w:rPr>
          <w:rFonts w:hint="eastAsia" w:ascii="宋体" w:hAnsi="宋体" w:eastAsia="宋体" w:cs="宋体"/>
          <w:color w:val="auto"/>
          <w:highlight w:val="none"/>
          <w:u w:val="single"/>
        </w:rPr>
        <w:t>年</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u w:val="single"/>
        </w:rPr>
        <w:t>日</w:t>
      </w:r>
      <w:r>
        <w:rPr>
          <w:rFonts w:hint="eastAsia" w:ascii="宋体" w:hAnsi="宋体" w:eastAsia="宋体" w:cs="宋体"/>
          <w:color w:val="auto"/>
          <w:highlight w:val="none"/>
        </w:rPr>
        <w:t>，每天00时00分至12时00分，12时00分至23时59分（北京时间，法定节假日除外）。</w:t>
      </w:r>
    </w:p>
    <w:p w14:paraId="3303083A">
      <w:pPr>
        <w:spacing w:line="312" w:lineRule="auto"/>
        <w:ind w:firstLine="420" w:firstLineChars="200"/>
        <w:rPr>
          <w:rFonts w:ascii="宋体" w:hAnsi="宋体" w:eastAsia="宋体" w:cs="宋体"/>
          <w:color w:val="auto"/>
          <w:szCs w:val="21"/>
          <w:highlight w:val="none"/>
        </w:rPr>
      </w:pPr>
      <w:bookmarkStart w:id="15" w:name="_Hlk46137393"/>
      <w:r>
        <w:rPr>
          <w:rFonts w:hint="eastAsia" w:ascii="宋体" w:hAnsi="宋体" w:eastAsia="宋体" w:cs="宋体"/>
          <w:color w:val="auto"/>
          <w:highlight w:val="none"/>
        </w:rPr>
        <w:t>地点（网址）</w:t>
      </w:r>
      <w:bookmarkEnd w:id="15"/>
      <w:r>
        <w:rPr>
          <w:rFonts w:hint="eastAsia" w:ascii="宋体" w:hAnsi="宋体" w:eastAsia="宋体" w:cs="宋体"/>
          <w:color w:val="auto"/>
          <w:highlight w:val="none"/>
        </w:rPr>
        <w:t>：</w:t>
      </w:r>
      <w:r>
        <w:rPr>
          <w:rFonts w:hint="eastAsia" w:ascii="宋体" w:hAnsi="宋体" w:eastAsia="宋体" w:cs="宋体"/>
          <w:color w:val="auto"/>
          <w:szCs w:val="21"/>
          <w:highlight w:val="none"/>
        </w:rPr>
        <w:t>广西政府采购云平台 （https://www.gcy.zfcg.gxzf.gov.cn/）</w:t>
      </w:r>
    </w:p>
    <w:p w14:paraId="165F6DBE">
      <w:pPr>
        <w:spacing w:line="312"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方式：供应商登录广西政府采购云平台在线申请获取采购文件（进入“项目采购”应用，在获取采购文件菜单中选择项目，申请获取采购文件）</w:t>
      </w:r>
    </w:p>
    <w:p w14:paraId="6601CF3D">
      <w:pPr>
        <w:spacing w:line="312"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售价（元）：0</w:t>
      </w:r>
    </w:p>
    <w:p w14:paraId="6E78405B">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四、响应文件提交</w:t>
      </w:r>
    </w:p>
    <w:p w14:paraId="1649E42A">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u w:val="single"/>
          <w:lang w:eastAsia="zh-CN"/>
        </w:rPr>
        <w:t>2026</w:t>
      </w:r>
      <w:r>
        <w:rPr>
          <w:rFonts w:hint="eastAsia" w:ascii="宋体" w:hAnsi="宋体" w:eastAsia="宋体" w:cs="宋体"/>
          <w:color w:val="auto"/>
          <w:kern w:val="0"/>
          <w:szCs w:val="21"/>
          <w:highlight w:val="none"/>
          <w:u w:val="single"/>
        </w:rPr>
        <w:t>年</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月</w:t>
      </w:r>
      <w:r>
        <w:rPr>
          <w:rFonts w:hint="eastAsia" w:ascii="宋体" w:hAnsi="宋体" w:eastAsia="宋体" w:cs="宋体"/>
          <w:color w:val="auto"/>
          <w:kern w:val="0"/>
          <w:szCs w:val="21"/>
          <w:highlight w:val="none"/>
          <w:u w:val="single"/>
          <w:lang w:val="en-US" w:eastAsia="zh-CN"/>
        </w:rPr>
        <w:t>20</w:t>
      </w:r>
      <w:r>
        <w:rPr>
          <w:rFonts w:hint="eastAsia" w:ascii="宋体" w:hAnsi="宋体" w:eastAsia="宋体" w:cs="宋体"/>
          <w:color w:val="auto"/>
          <w:kern w:val="0"/>
          <w:szCs w:val="21"/>
          <w:highlight w:val="none"/>
          <w:u w:val="single"/>
        </w:rPr>
        <w:t>日</w:t>
      </w:r>
      <w:r>
        <w:rPr>
          <w:rFonts w:hint="eastAsia" w:ascii="宋体" w:hAnsi="宋体" w:eastAsia="宋体" w:cs="宋体"/>
          <w:color w:val="auto"/>
          <w:kern w:val="0"/>
          <w:szCs w:val="21"/>
          <w:highlight w:val="none"/>
          <w:u w:val="single"/>
          <w:lang w:val="en-US" w:eastAsia="zh-CN"/>
        </w:rPr>
        <w:t>15:00</w:t>
      </w:r>
      <w:r>
        <w:rPr>
          <w:rFonts w:hint="eastAsia" w:ascii="宋体" w:hAnsi="宋体" w:eastAsia="宋体" w:cs="宋体"/>
          <w:color w:val="auto"/>
          <w:kern w:val="0"/>
          <w:szCs w:val="21"/>
          <w:highlight w:val="none"/>
        </w:rPr>
        <w:t>（北京时间）</w:t>
      </w:r>
    </w:p>
    <w:p w14:paraId="2BC2D189">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 </w:t>
      </w:r>
    </w:p>
    <w:p w14:paraId="6BED4A09">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五、开启</w:t>
      </w:r>
    </w:p>
    <w:p w14:paraId="093E303C">
      <w:pPr>
        <w:spacing w:line="312" w:lineRule="auto"/>
        <w:ind w:firstLine="442" w:firstLineChars="200"/>
        <w:jc w:val="left"/>
        <w:rPr>
          <w:rFonts w:ascii="宋体" w:hAnsi="宋体" w:eastAsia="宋体" w:cs="宋体"/>
          <w:color w:val="auto"/>
          <w:kern w:val="0"/>
          <w:szCs w:val="21"/>
          <w:highlight w:val="none"/>
        </w:rPr>
      </w:pPr>
      <w:r>
        <w:rPr>
          <w:rFonts w:hint="eastAsia" w:ascii="宋体" w:hAnsi="宋体" w:eastAsia="宋体" w:cs="宋体"/>
          <w:b/>
          <w:bCs/>
          <w:color w:val="auto"/>
          <w:kern w:val="0"/>
          <w:sz w:val="22"/>
          <w:szCs w:val="22"/>
          <w:highlight w:val="none"/>
        </w:rPr>
        <w:t>开启时间：</w:t>
      </w:r>
      <w:r>
        <w:rPr>
          <w:rFonts w:hint="eastAsia" w:ascii="宋体" w:hAnsi="宋体" w:eastAsia="宋体" w:cs="宋体"/>
          <w:color w:val="auto"/>
          <w:kern w:val="0"/>
          <w:szCs w:val="21"/>
          <w:highlight w:val="none"/>
          <w:u w:val="single"/>
          <w:lang w:eastAsia="zh-CN"/>
        </w:rPr>
        <w:t>2026</w:t>
      </w:r>
      <w:r>
        <w:rPr>
          <w:rFonts w:hint="eastAsia" w:ascii="宋体" w:hAnsi="宋体" w:eastAsia="宋体" w:cs="宋体"/>
          <w:color w:val="auto"/>
          <w:kern w:val="0"/>
          <w:szCs w:val="21"/>
          <w:highlight w:val="none"/>
          <w:u w:val="single"/>
        </w:rPr>
        <w:t>年</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rPr>
        <w:t>月</w:t>
      </w:r>
      <w:r>
        <w:rPr>
          <w:rFonts w:hint="eastAsia" w:ascii="宋体" w:hAnsi="宋体" w:eastAsia="宋体" w:cs="宋体"/>
          <w:color w:val="auto"/>
          <w:kern w:val="0"/>
          <w:szCs w:val="21"/>
          <w:highlight w:val="none"/>
          <w:u w:val="single"/>
          <w:lang w:val="en-US" w:eastAsia="zh-CN"/>
        </w:rPr>
        <w:t>20</w:t>
      </w:r>
      <w:r>
        <w:rPr>
          <w:rFonts w:hint="eastAsia" w:ascii="宋体" w:hAnsi="宋体" w:eastAsia="宋体" w:cs="宋体"/>
          <w:color w:val="auto"/>
          <w:kern w:val="0"/>
          <w:szCs w:val="21"/>
          <w:highlight w:val="none"/>
          <w:u w:val="single"/>
        </w:rPr>
        <w:t>日</w:t>
      </w:r>
      <w:r>
        <w:rPr>
          <w:rFonts w:hint="eastAsia" w:ascii="宋体" w:hAnsi="宋体" w:eastAsia="宋体" w:cs="宋体"/>
          <w:color w:val="auto"/>
          <w:kern w:val="0"/>
          <w:szCs w:val="21"/>
          <w:highlight w:val="none"/>
          <w:u w:val="single"/>
          <w:lang w:val="en-US" w:eastAsia="zh-CN"/>
        </w:rPr>
        <w:t>15:00</w:t>
      </w:r>
      <w:r>
        <w:rPr>
          <w:rFonts w:hint="eastAsia" w:ascii="宋体" w:hAnsi="宋体" w:eastAsia="宋体" w:cs="宋体"/>
          <w:color w:val="auto"/>
          <w:kern w:val="0"/>
          <w:szCs w:val="21"/>
          <w:highlight w:val="none"/>
        </w:rPr>
        <w:t>（北京时间）</w:t>
      </w:r>
    </w:p>
    <w:p w14:paraId="31CD361B">
      <w:pPr>
        <w:spacing w:line="312" w:lineRule="auto"/>
        <w:ind w:firstLine="442" w:firstLineChars="200"/>
        <w:jc w:val="left"/>
        <w:rPr>
          <w:rFonts w:ascii="宋体" w:hAnsi="宋体" w:eastAsia="宋体" w:cs="宋体"/>
          <w:color w:val="auto"/>
          <w:kern w:val="0"/>
          <w:szCs w:val="21"/>
          <w:highlight w:val="none"/>
        </w:rPr>
      </w:pPr>
      <w:r>
        <w:rPr>
          <w:rFonts w:hint="eastAsia" w:ascii="宋体" w:hAnsi="宋体" w:eastAsia="宋体" w:cs="宋体"/>
          <w:b/>
          <w:bCs/>
          <w:color w:val="auto"/>
          <w:kern w:val="0"/>
          <w:sz w:val="22"/>
          <w:szCs w:val="22"/>
          <w:highlight w:val="none"/>
        </w:rPr>
        <w:t>地点：</w:t>
      </w:r>
      <w:r>
        <w:rPr>
          <w:rFonts w:hint="eastAsia" w:ascii="宋体" w:hAnsi="宋体" w:eastAsia="宋体" w:cs="宋体"/>
          <w:color w:val="auto"/>
          <w:kern w:val="0"/>
          <w:szCs w:val="21"/>
          <w:highlight w:val="none"/>
        </w:rPr>
        <w:t>供应商登录广西政府采购云平台电子开标大厅截标。</w:t>
      </w:r>
    </w:p>
    <w:p w14:paraId="28A16827">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六、公告期限</w:t>
      </w:r>
    </w:p>
    <w:p w14:paraId="53255870">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5ABEAA56">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七、其他补充事宜</w:t>
      </w:r>
    </w:p>
    <w:p w14:paraId="5F99836D">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1.公告发布媒体：广西壮族自治区政府采购网、中国政府采购网</w:t>
      </w:r>
    </w:p>
    <w:p w14:paraId="1F53D2CD">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2.需落实的政府采购政策：本项目适用政府采购促进中小企业、监狱企业发展、促进残疾人就业、节能环保等有关政策，具体详见采购文件。</w:t>
      </w:r>
    </w:p>
    <w:p w14:paraId="6DCAD305">
      <w:pPr>
        <w:spacing w:line="312" w:lineRule="auto"/>
        <w:ind w:firstLine="420" w:firstLineChars="200"/>
        <w:jc w:val="left"/>
        <w:rPr>
          <w:rFonts w:ascii="宋体" w:hAnsi="宋体" w:eastAsia="宋体" w:cs="宋体"/>
          <w:color w:val="auto"/>
          <w:kern w:val="0"/>
          <w:szCs w:val="21"/>
          <w:highlight w:val="none"/>
        </w:rPr>
      </w:pPr>
      <w:bookmarkStart w:id="16" w:name="_Hlk49778118"/>
      <w:r>
        <w:rPr>
          <w:rFonts w:hint="eastAsia" w:ascii="宋体" w:hAnsi="宋体" w:eastAsia="宋体" w:cs="宋体"/>
          <w:color w:val="auto"/>
          <w:kern w:val="0"/>
          <w:szCs w:val="21"/>
          <w:highlight w:val="none"/>
        </w:rPr>
        <w:t>3.本项目供应商的产生方式：</w:t>
      </w:r>
      <w:r>
        <w:rPr>
          <w:rFonts w:hint="eastAsia" w:ascii="宋体" w:hAnsi="宋体" w:eastAsia="宋体" w:cs="宋体"/>
          <w:color w:val="auto"/>
          <w:highlight w:val="none"/>
        </w:rPr>
        <w:t>发布公告征集</w:t>
      </w:r>
      <w:r>
        <w:rPr>
          <w:rFonts w:hint="eastAsia" w:ascii="宋体" w:hAnsi="宋体" w:eastAsia="宋体" w:cs="宋体"/>
          <w:b/>
          <w:color w:val="auto"/>
          <w:szCs w:val="21"/>
          <w:highlight w:val="none"/>
        </w:rPr>
        <w:t>。</w:t>
      </w:r>
    </w:p>
    <w:bookmarkEnd w:id="16"/>
    <w:p w14:paraId="190E4AC6">
      <w:pPr>
        <w:spacing w:line="312"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4.注意事项：</w:t>
      </w:r>
    </w:p>
    <w:p w14:paraId="54574D65">
      <w:pPr>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3440EFC3">
      <w:pPr>
        <w:spacing w:line="276"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highlight w:val="none"/>
        </w:rPr>
        <w:t>为确保网上操作合法、有效和安全，请供应商确保在电子投标过程中能够对相关数据电文进行加密和使用电子签章，妥善保管CA数字证书并使用有效的CA数字证书参与整个招标活动。</w:t>
      </w:r>
    </w:p>
    <w:p w14:paraId="3A3ADE09">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（3）若对项目采购电子交易系统操作有疑问，可登录</w:t>
      </w:r>
      <w:bookmarkStart w:id="17" w:name="_Hlk160731589"/>
      <w:r>
        <w:rPr>
          <w:rFonts w:hint="eastAsia" w:ascii="宋体" w:hAnsi="宋体" w:eastAsia="宋体" w:cs="宋体"/>
          <w:color w:val="auto"/>
          <w:kern w:val="0"/>
          <w:szCs w:val="21"/>
          <w:highlight w:val="none"/>
        </w:rPr>
        <w:t>广西政府采购云平台</w:t>
      </w:r>
      <w:bookmarkEnd w:id="17"/>
      <w:r>
        <w:rPr>
          <w:rFonts w:hint="eastAsia" w:ascii="宋体" w:hAnsi="宋体" w:eastAsia="宋体" w:cs="宋体"/>
          <w:color w:val="auto"/>
          <w:kern w:val="0"/>
          <w:szCs w:val="21"/>
          <w:highlight w:val="none"/>
        </w:rPr>
        <w:t>（https://www.gcy.zfcg.gxzf.gov.cn/），点击右侧咨询小采或帮助文档或拨打客服热线95763。</w:t>
      </w:r>
    </w:p>
    <w:p w14:paraId="7F64E312">
      <w:pPr>
        <w:spacing w:line="312" w:lineRule="auto"/>
        <w:ind w:firstLine="442" w:firstLineChars="200"/>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八、对本次采购提出询问，请按以下方式联系</w:t>
      </w:r>
    </w:p>
    <w:p w14:paraId="5C6827A4">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22C5B365">
      <w:pPr>
        <w:spacing w:line="312" w:lineRule="auto"/>
        <w:ind w:firstLine="420" w:firstLineChars="200"/>
        <w:jc w:val="left"/>
        <w:rPr>
          <w:rFonts w:ascii="宋体" w:hAnsi="宋体" w:eastAsia="宋体" w:cs="宋体"/>
          <w:color w:val="auto"/>
          <w:kern w:val="0"/>
          <w:szCs w:val="21"/>
          <w:highlight w:val="none"/>
          <w:u w:val="single"/>
        </w:rPr>
      </w:pPr>
      <w:bookmarkStart w:id="18" w:name="_Hlk19048373"/>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广西职业师范学院</w:t>
      </w:r>
    </w:p>
    <w:p w14:paraId="157FE3FD">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广西南宁市西乡塘区大学东路105号</w:t>
      </w:r>
    </w:p>
    <w:p w14:paraId="665A2086">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u w:val="single"/>
        </w:rPr>
        <w:t>覃老师</w:t>
      </w:r>
    </w:p>
    <w:p w14:paraId="2A9E96B0">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项目联系方式：</w:t>
      </w:r>
      <w:r>
        <w:rPr>
          <w:rFonts w:hint="eastAsia" w:ascii="宋体" w:hAnsi="宋体" w:eastAsia="宋体" w:cs="宋体"/>
          <w:color w:val="auto"/>
          <w:kern w:val="0"/>
          <w:szCs w:val="21"/>
          <w:highlight w:val="none"/>
          <w:u w:val="single"/>
        </w:rPr>
        <w:t>0771-3245617</w:t>
      </w:r>
    </w:p>
    <w:p w14:paraId="2107A7E5">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3DC0BA62">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广西机电设备招标有限公司</w:t>
      </w:r>
    </w:p>
    <w:p w14:paraId="25BB124D">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bookmarkStart w:id="19" w:name="_Hlk43198245"/>
      <w:r>
        <w:rPr>
          <w:rFonts w:hint="eastAsia" w:ascii="宋体" w:hAnsi="宋体" w:eastAsia="宋体" w:cs="宋体"/>
          <w:color w:val="auto"/>
          <w:highlight w:val="none"/>
          <w:u w:val="single"/>
        </w:rPr>
        <w:t>广西南宁市金湖路63号金源CBD现代城B座7层</w:t>
      </w:r>
      <w:bookmarkEnd w:id="19"/>
    </w:p>
    <w:bookmarkEnd w:id="18"/>
    <w:p w14:paraId="14B9DF81">
      <w:pPr>
        <w:spacing w:line="312" w:lineRule="auto"/>
        <w:ind w:firstLine="420" w:firstLineChars="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u w:val="single"/>
        </w:rPr>
        <w:t>梁艳冰、彭瑶、梅莹</w:t>
      </w:r>
    </w:p>
    <w:p w14:paraId="39C00EF0">
      <w:pPr>
        <w:spacing w:line="312" w:lineRule="auto"/>
        <w:ind w:right="42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项目联系方式：</w:t>
      </w:r>
      <w:r>
        <w:rPr>
          <w:rFonts w:hint="eastAsia" w:ascii="宋体" w:hAnsi="宋体" w:eastAsia="宋体" w:cs="宋体"/>
          <w:color w:val="auto"/>
          <w:kern w:val="0"/>
          <w:szCs w:val="21"/>
          <w:highlight w:val="none"/>
          <w:u w:val="single"/>
        </w:rPr>
        <w:t xml:space="preserve">0771-2808981 </w:t>
      </w:r>
    </w:p>
    <w:p w14:paraId="1809D413">
      <w:pPr>
        <w:jc w:val="left"/>
        <w:rPr>
          <w:rFonts w:ascii="宋体" w:hAnsi="宋体" w:eastAsia="宋体" w:cs="宋体"/>
          <w:color w:val="auto"/>
          <w:kern w:val="0"/>
          <w:szCs w:val="21"/>
          <w:highlight w:val="none"/>
        </w:rPr>
      </w:pPr>
    </w:p>
    <w:p w14:paraId="4C1989EF">
      <w:pPr>
        <w:spacing w:line="312" w:lineRule="auto"/>
        <w:ind w:firstLine="420" w:firstLineChars="200"/>
        <w:jc w:val="left"/>
        <w:rPr>
          <w:rFonts w:ascii="宋体" w:hAnsi="宋体" w:eastAsia="宋体" w:cs="宋体"/>
          <w:color w:val="auto"/>
          <w:kern w:val="0"/>
          <w:szCs w:val="21"/>
          <w:highlight w:val="none"/>
        </w:rPr>
      </w:pPr>
    </w:p>
    <w:p w14:paraId="0ACD7609">
      <w:pPr>
        <w:spacing w:line="312" w:lineRule="auto"/>
        <w:ind w:firstLine="420" w:firstLineChars="20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广西机电设备招标有限公司</w:t>
      </w:r>
    </w:p>
    <w:p w14:paraId="69FD152D">
      <w:pPr>
        <w:spacing w:line="312" w:lineRule="auto"/>
        <w:ind w:firstLine="420" w:firstLineChars="200"/>
        <w:jc w:val="right"/>
        <w:rPr>
          <w:rFonts w:hint="eastAsia" w:ascii="宋体" w:hAnsi="宋体" w:eastAsia="宋体" w:cs="宋体"/>
          <w:color w:val="auto"/>
          <w:sz w:val="2"/>
          <w:szCs w:val="2"/>
          <w:highlight w:val="none"/>
        </w:rPr>
      </w:pPr>
      <w:bookmarkStart w:id="20" w:name="_Toc254970490"/>
      <w:bookmarkStart w:id="21" w:name="_Toc254970631"/>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14</w:t>
      </w:r>
      <w:r>
        <w:rPr>
          <w:rFonts w:hint="eastAsia" w:ascii="宋体" w:hAnsi="宋体" w:eastAsia="宋体" w:cs="宋体"/>
          <w:color w:val="auto"/>
          <w:kern w:val="0"/>
          <w:szCs w:val="21"/>
          <w:highlight w:val="none"/>
        </w:rPr>
        <w:t>日</w:t>
      </w:r>
    </w:p>
    <w:p w14:paraId="3E3DB02C">
      <w:pPr>
        <w:rPr>
          <w:rFonts w:ascii="宋体" w:hAnsi="宋体" w:eastAsia="宋体" w:cs="宋体"/>
          <w:color w:val="auto"/>
          <w:szCs w:val="21"/>
          <w:highlight w:val="none"/>
        </w:rPr>
        <w:sectPr>
          <w:footerReference r:id="rId9" w:type="first"/>
          <w:headerReference r:id="rId8" w:type="default"/>
          <w:pgSz w:w="11905" w:h="16838"/>
          <w:pgMar w:top="1417" w:right="1417" w:bottom="1417" w:left="1417" w:header="851" w:footer="850" w:gutter="0"/>
          <w:cols w:space="720" w:num="1"/>
          <w:docGrid w:linePitch="312" w:charSpace="0"/>
        </w:sectPr>
      </w:pPr>
    </w:p>
    <w:bookmarkEnd w:id="20"/>
    <w:bookmarkEnd w:id="21"/>
    <w:p w14:paraId="24E1DB28">
      <w:pPr>
        <w:pStyle w:val="27"/>
        <w:snapToGrid w:val="0"/>
        <w:spacing w:before="120" w:after="120" w:line="320" w:lineRule="exact"/>
        <w:jc w:val="center"/>
        <w:outlineLvl w:val="0"/>
        <w:rPr>
          <w:rFonts w:hAnsi="宋体" w:eastAsia="宋体" w:cs="宋体"/>
          <w:color w:val="auto"/>
          <w:sz w:val="32"/>
          <w:szCs w:val="32"/>
          <w:highlight w:val="none"/>
        </w:rPr>
      </w:pPr>
      <w:bookmarkStart w:id="22" w:name="_Toc89186350"/>
      <w:bookmarkStart w:id="23" w:name="_Toc114485412"/>
      <w:bookmarkStart w:id="24" w:name="_Hlk89187818"/>
      <w:r>
        <w:rPr>
          <w:rFonts w:hint="eastAsia" w:hAnsi="宋体" w:eastAsia="宋体" w:cs="宋体"/>
          <w:color w:val="auto"/>
          <w:sz w:val="32"/>
          <w:szCs w:val="32"/>
          <w:highlight w:val="none"/>
        </w:rPr>
        <w:t>第二章  采购需求</w:t>
      </w:r>
      <w:bookmarkEnd w:id="22"/>
      <w:bookmarkEnd w:id="23"/>
    </w:p>
    <w:p w14:paraId="07A160DB">
      <w:pPr>
        <w:jc w:val="center"/>
        <w:rPr>
          <w:rFonts w:ascii="宋体" w:hAnsi="宋体" w:eastAsia="宋体" w:cs="宋体"/>
          <w:color w:val="auto"/>
          <w:sz w:val="28"/>
          <w:szCs w:val="28"/>
          <w:highlight w:val="none"/>
        </w:rPr>
      </w:pPr>
    </w:p>
    <w:p w14:paraId="550D646F">
      <w:pPr>
        <w:spacing w:line="312" w:lineRule="auto"/>
        <w:ind w:firstLine="562" w:firstLineChars="200"/>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一、工程量清单</w:t>
      </w:r>
    </w:p>
    <w:p w14:paraId="7DD2DCF9">
      <w:pPr>
        <w:spacing w:line="312"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1.工程量清单说明</w:t>
      </w:r>
    </w:p>
    <w:p w14:paraId="1D7436D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1.1本工程量清单依据《建设工程工程量清单计价规范》(GB 50500-2013)、广西壮族自治区住房和城乡建设厅颁布的《&lt;建设工程工程量清单计价规范&gt;GB 50500-2013广西壮族自治区实施细则》、《建设工程工程量清单计算规范&gt;GB (50854～50862-20130)广西壮族自治区实施细则》(修订本)、 </w:t>
      </w:r>
      <w:r>
        <w:rPr>
          <w:rFonts w:hint="eastAsia" w:ascii="宋体" w:hAnsi="宋体" w:eastAsia="宋体" w:cs="宋体"/>
          <w:color w:val="auto"/>
          <w:highlight w:val="none"/>
        </w:rPr>
        <w:tab/>
      </w:r>
      <w:r>
        <w:rPr>
          <w:rFonts w:hint="eastAsia" w:ascii="宋体" w:hAnsi="宋体" w:eastAsia="宋体" w:cs="宋体"/>
          <w:color w:val="auto"/>
          <w:highlight w:val="none"/>
        </w:rPr>
        <w:t>2023年《广西壮族自治区安装工程消耗量定额》及其配套的费用定额、2022年《广西壮族自治区市政工程消耗量定额》及配套费用定额、《关于建筑业实施营业税改增值税后广西壮族自治区建设工程计价依据调整的通知》（桂建标〔2016〕17号）、《自治区住房城乡建设厅关于调整建设工程定额人工费及有关费率的通知》（桂建标〔2023〕7号）、《自治区住房城乡建设厅关于调整建设工程计价增值税税率的通知》（桂建标〔2019〕12号）、《自治区住房城乡建设厅关于印发广西壮族自治区房屋建筑和市政基础设施工程安全生产责任保险计价规定的通知》(桂建发〔2023〕6号)</w:t>
      </w:r>
      <w:r>
        <w:rPr>
          <w:rFonts w:hint="eastAsia" w:ascii="宋体" w:hAnsi="宋体" w:eastAsia="宋体" w:cs="宋体"/>
          <w:color w:val="auto"/>
          <w:kern w:val="0"/>
          <w:highlight w:val="none"/>
        </w:rPr>
        <w:t>、采购文件</w:t>
      </w:r>
      <w:r>
        <w:rPr>
          <w:rFonts w:hint="eastAsia" w:ascii="宋体" w:hAnsi="宋体" w:eastAsia="宋体" w:cs="宋体"/>
          <w:color w:val="auto"/>
          <w:highlight w:val="none"/>
        </w:rPr>
        <w:t>、施工图等编制。计算规范中没有的清单项目，应在本章第1.4款约定。</w:t>
      </w:r>
    </w:p>
    <w:p w14:paraId="0E67BB3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1.2 工程量清单应与供应商须知、合同协议条款、合同的通用条款、合同专用条款、技术规范及图纸等文件一起结合使用。</w:t>
      </w:r>
    </w:p>
    <w:p w14:paraId="3C868EF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1.3 工程量清单是采购文件的组成部分，是工程量清单计价的基础，作为编制控制价、响应报价、计算或调整工程量、索赔等的依据之一。</w:t>
      </w:r>
    </w:p>
    <w:p w14:paraId="11276CF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1.4 补充清单项目的特征、计量单位、工程量计算规则及工作内容说明如下：无。</w:t>
      </w:r>
    </w:p>
    <w:p w14:paraId="308C8518">
      <w:pPr>
        <w:pStyle w:val="2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1.5 《允许调整主要材料和工程设备一览表》（表-22，表格编号为计价规范相应表格编号，下同）作为项目实施过程中材料和设备价格风险调整依据。</w:t>
      </w:r>
    </w:p>
    <w:p w14:paraId="19DAAE22">
      <w:pPr>
        <w:pStyle w:val="2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1.6 本工程无暂列金额。</w:t>
      </w:r>
    </w:p>
    <w:p w14:paraId="7556FB9B">
      <w:pPr>
        <w:pStyle w:val="27"/>
        <w:spacing w:line="360" w:lineRule="auto"/>
        <w:ind w:firstLine="420" w:firstLineChars="200"/>
        <w:rPr>
          <w:rFonts w:hAnsi="宋体" w:eastAsia="宋体" w:cs="宋体"/>
          <w:color w:val="auto"/>
          <w:highlight w:val="none"/>
        </w:rPr>
      </w:pPr>
      <w:r>
        <w:rPr>
          <w:rFonts w:hint="eastAsia" w:hAnsi="宋体" w:eastAsia="宋体" w:cs="宋体"/>
          <w:color w:val="auto"/>
          <w:highlight w:val="none"/>
        </w:rPr>
        <w:t>1.7 本工程发包人提供的材料和设备详见《发包人提供的主要材料和工程设备一览表》（表-21）。</w:t>
      </w:r>
    </w:p>
    <w:p w14:paraId="24FF5E6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1.8 本工程部分材料和设备在招标时作为暂估价计列，结算按实调整，具体内容详见《材料（工程设备）暂估单价及调整表》（表12-2）。</w:t>
      </w:r>
    </w:p>
    <w:p w14:paraId="73D62B7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1.9 招标时暂估专业工程的价款属于暂估价，结算按实调整，具体内容详见《专业工程暂估价及结算价表》（表12-3）。</w:t>
      </w:r>
    </w:p>
    <w:p w14:paraId="7A4EC3C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1.10 本工程量清单编码处标注“*”号的清单项目作为主要清单项目，需要投标人提供《主要清单项目工料机分析表》（表-10）。</w:t>
      </w:r>
    </w:p>
    <w:p w14:paraId="3AB9AF3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1.11 其它需要说明的问题：</w:t>
      </w:r>
      <w:r>
        <w:rPr>
          <w:rFonts w:hint="eastAsia" w:ascii="宋体" w:hAnsi="宋体" w:eastAsia="宋体" w:cs="宋体"/>
          <w:color w:val="auto"/>
          <w:highlight w:val="none"/>
          <w:u w:val="single"/>
        </w:rPr>
        <w:t xml:space="preserve"> ①报价方式：采用工程量清单报价方式，供应商已标价工程量清单（包含首次报价、最后报价）的项目编码、项目名称及项目特征描述、计量单位、工程量须与采购工程量清单一致的，否则响应无效；最终报价不得高于最高限价。本项目采用二次报价方式，供应商的最终报价如有变动，则必须以工程量清单报价表的格式编制提交，供应商须提前做好相关准备并按时递交最终报价文件，否则报价无效。 ②响应报价是履行合同的最终价格，必须包含满足本次响应全部采购需求所应提供的服务包括：货物的价格；货物的标准附件、备品备件、专用工具的价格；运输、装卸、调试、培训、技术支持、售后服务、配合费、代理费、货物保护等费用；必要的保险费用和各项税费；包括安装和检测费；安装需要的土建内容 </w:t>
      </w:r>
      <w:r>
        <w:rPr>
          <w:rFonts w:hint="eastAsia" w:ascii="宋体" w:hAnsi="宋体" w:eastAsia="宋体" w:cs="宋体"/>
          <w:color w:val="auto"/>
          <w:highlight w:val="none"/>
        </w:rPr>
        <w:t>。</w:t>
      </w:r>
    </w:p>
    <w:p w14:paraId="0082B50F">
      <w:pPr>
        <w:spacing w:line="312"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2.本工程预算金额评审依据</w:t>
      </w:r>
    </w:p>
    <w:p w14:paraId="3168B42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2.1编制依据：</w:t>
      </w:r>
    </w:p>
    <w:p w14:paraId="18D3FC6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（1）《计价规范》及《计算规范》、</w:t>
      </w:r>
      <w:r>
        <w:rPr>
          <w:rFonts w:hint="eastAsia" w:ascii="宋体" w:hAnsi="宋体" w:eastAsia="宋体" w:cs="宋体"/>
          <w:color w:val="auto"/>
          <w:kern w:val="0"/>
          <w:highlight w:val="none"/>
        </w:rPr>
        <w:t>《关于建筑业实施营业税改征增值税后广西壮族自治区建设工程计价依据调整的通知》（桂建标〔2016〕17号）等</w:t>
      </w:r>
      <w:r>
        <w:rPr>
          <w:rFonts w:hint="eastAsia" w:ascii="宋体" w:hAnsi="宋体" w:eastAsia="宋体" w:cs="宋体"/>
          <w:color w:val="auto"/>
          <w:highlight w:val="none"/>
        </w:rPr>
        <w:t>；</w:t>
      </w:r>
    </w:p>
    <w:p w14:paraId="17861422">
      <w:pPr>
        <w:spacing w:line="360" w:lineRule="auto"/>
        <w:rPr>
          <w:rFonts w:ascii="宋体" w:hAnsi="宋体" w:eastAsia="宋体" w:cs="宋体"/>
          <w:color w:val="auto"/>
          <w:highlight w:val="none"/>
        </w:rPr>
      </w:pPr>
      <w:r>
        <w:rPr>
          <w:rFonts w:hint="eastAsia" w:ascii="宋体" w:hAnsi="宋体" w:eastAsia="宋体" w:cs="宋体"/>
          <w:color w:val="auto"/>
          <w:highlight w:val="none"/>
        </w:rPr>
        <w:t>（2）自治区住房城乡建设行政主管部门颁发的计价定额及有关规定：</w:t>
      </w:r>
      <w:r>
        <w:rPr>
          <w:rFonts w:hint="eastAsia" w:ascii="宋体" w:hAnsi="宋体" w:eastAsia="宋体" w:cs="宋体"/>
          <w:color w:val="auto"/>
          <w:highlight w:val="none"/>
          <w:u w:val="single"/>
        </w:rPr>
        <w:t xml:space="preserve">2023年《广西壮族自治区安装工程消耗量定额》及其配套的费用定额、2022年《广西壮族自治区市政工程消耗量定额》及配套费用定额、《自治区住房城乡建设厅关于调整建设工程定额人工费及有关费率的通知》（桂建标〔2023〕7号） </w:t>
      </w:r>
      <w:r>
        <w:rPr>
          <w:rFonts w:hint="eastAsia" w:ascii="宋体" w:hAnsi="宋体" w:eastAsia="宋体" w:cs="宋体"/>
          <w:color w:val="auto"/>
          <w:highlight w:val="none"/>
        </w:rPr>
        <w:t>。</w:t>
      </w:r>
    </w:p>
    <w:p w14:paraId="0DBF13F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（3）建设工程设计文件及相关资料：</w:t>
      </w:r>
      <w:r>
        <w:rPr>
          <w:rFonts w:hint="eastAsia" w:ascii="宋体" w:hAnsi="宋体" w:eastAsia="宋体" w:cs="宋体"/>
          <w:color w:val="auto"/>
          <w:highlight w:val="none"/>
          <w:u w:val="single"/>
        </w:rPr>
        <w:t>经主管部门审批通过的该项目施工图以及相关设计答疑</w:t>
      </w:r>
      <w:r>
        <w:rPr>
          <w:rFonts w:hint="eastAsia" w:ascii="宋体" w:hAnsi="宋体" w:eastAsia="宋体" w:cs="宋体"/>
          <w:color w:val="auto"/>
          <w:highlight w:val="none"/>
        </w:rPr>
        <w:t xml:space="preserve">。 </w:t>
      </w:r>
    </w:p>
    <w:p w14:paraId="766E928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（4）本工程采购文件及工程量清单；</w:t>
      </w:r>
    </w:p>
    <w:p w14:paraId="0AF7734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（5）与建设项目相关的标准、规范、技术资料；</w:t>
      </w:r>
    </w:p>
    <w:p w14:paraId="520D8E1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（6）施工现场情况、工程特点及常规施工方案；</w:t>
      </w:r>
    </w:p>
    <w:p w14:paraId="6D11878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（7）材料价格信息：材料价格参考2026年1月下半月《南宁市建设工程造价信息》发布除税价格计取，缺项部分通过市场询价计取。</w:t>
      </w:r>
    </w:p>
    <w:p w14:paraId="548A6C6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2.2 分部分项及单价措施项目综合单价应包括采购文件中采购人要求成交供应商所承担的风险内容及其范围（幅度）产生的风险费用。</w:t>
      </w:r>
    </w:p>
    <w:p w14:paraId="5D6DF4E6">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2.3 总价措施项目应根据拟定的采购文件和常规施工方案按《计价规范》和《计算规范》规定编制。</w:t>
      </w:r>
    </w:p>
    <w:p w14:paraId="5E5905F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2.4 其他项目费应按下列规定报价：</w:t>
      </w:r>
    </w:p>
    <w:p w14:paraId="184638C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（1）暂列金额应按招标工程量清单中列出的金额填写；</w:t>
      </w:r>
    </w:p>
    <w:p w14:paraId="58FD3403">
      <w:pPr>
        <w:pStyle w:val="236"/>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（2）材料、工程设备暂估价应按招标工程量清单中列出的单价计入综合单价；</w:t>
      </w:r>
    </w:p>
    <w:p w14:paraId="04C12B6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（3）专业工程暂估价应按工程量清单中列出的金额填写；</w:t>
      </w:r>
    </w:p>
    <w:p w14:paraId="01AA35B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（4）计日工应按工程量清单中列出的项目和数量，根据工程特点和有关计价依据确定的综合单价计算；</w:t>
      </w:r>
    </w:p>
    <w:p w14:paraId="79DB11D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（5）总承包服务费应根据招标工程量清单列出的内容和要求，按自治区住房城乡建设行政主管部门颁发的计价定额及有关规定计算。</w:t>
      </w:r>
    </w:p>
    <w:p w14:paraId="6447F13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（6）对建设单位创建优质工程的，鼓励在控制价和预算中按我区工程建设定额规定计列工程优质费，并明确工程优质费不可竞争。</w:t>
      </w:r>
    </w:p>
    <w:p w14:paraId="36FECD3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2.5 规费和增值税应按规定确定，作为不可竞争费用。</w:t>
      </w:r>
    </w:p>
    <w:p w14:paraId="68145E5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2.6 其它需要说明的问题：</w:t>
      </w:r>
      <w:r>
        <w:rPr>
          <w:rFonts w:hint="eastAsia" w:ascii="宋体" w:hAnsi="宋体" w:eastAsia="宋体" w:cs="宋体"/>
          <w:color w:val="auto"/>
          <w:highlight w:val="none"/>
          <w:u w:val="single"/>
        </w:rPr>
        <w:t xml:space="preserve">  供应商在编制响应报价文件时，安责险应按工程量清单中给出的安责险暂估价的具体金额填写，不得调整 </w:t>
      </w:r>
      <w:r>
        <w:rPr>
          <w:rFonts w:hint="eastAsia" w:ascii="宋体" w:hAnsi="宋体" w:eastAsia="宋体" w:cs="宋体"/>
          <w:color w:val="auto"/>
          <w:highlight w:val="none"/>
        </w:rPr>
        <w:t>。</w:t>
      </w:r>
    </w:p>
    <w:p w14:paraId="70745738">
      <w:pPr>
        <w:spacing w:line="312"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3.响应报价（已标价工程量清单）编制说明</w:t>
      </w:r>
    </w:p>
    <w:p w14:paraId="3A42E5D9">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3787BE4">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r>
        <w:rPr>
          <w:rFonts w:hint="eastAsia" w:ascii="宋体" w:hAnsi="宋体" w:eastAsia="宋体" w:cs="宋体"/>
          <w:b/>
          <w:color w:val="auto"/>
          <w:kern w:val="0"/>
          <w:szCs w:val="21"/>
          <w:highlight w:val="none"/>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auto"/>
          <w:kern w:val="0"/>
          <w:szCs w:val="21"/>
          <w:highlight w:val="none"/>
        </w:rPr>
        <w:t>。</w:t>
      </w:r>
    </w:p>
    <w:p w14:paraId="3035AD4D">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3.3综合单价中应包含采购文件中划分的应由供应商承担的风险范围及其费用。</w:t>
      </w:r>
    </w:p>
    <w:p w14:paraId="164623CA">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1BD7B46F">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3.5总价措施项目的金额应根据采购文件及拟定的施工组织设计或施工方案，按计价规范的规定自主确定。但安全文明施工费按国家、省级或行业建设主管部门的有关规定执行，作为不竞争费用单列。</w:t>
      </w:r>
    </w:p>
    <w:p w14:paraId="3D31B4B5">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3.6其他项目费应按下列规定报价：</w:t>
      </w:r>
    </w:p>
    <w:p w14:paraId="36EE47F1">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（1）暂列金额应按工程量清单中列出的金额填写；</w:t>
      </w:r>
    </w:p>
    <w:p w14:paraId="6E4AA743">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（2）材料、工程设备暂估价应按工程量清单中列出的单价计入综合单价；</w:t>
      </w:r>
    </w:p>
    <w:p w14:paraId="40FFB6D1">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（3）专业工程暂估价应按工程量清单中列出的金额填写；</w:t>
      </w:r>
    </w:p>
    <w:p w14:paraId="2D1544F9">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（4）计日工应按工程量清单中列出的项目和估算数量，自主确定综合单价并计算计日工总额；计日工单价均不含规费和税金；</w:t>
      </w:r>
    </w:p>
    <w:p w14:paraId="2403BE27">
      <w:pPr>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（5）总承包服务费应根据工程量清单中列出的内容和供应材料、设备情况，按照采购人提出的协调、配合与服务要求和施工现场管理需要自主确定。</w:t>
      </w:r>
    </w:p>
    <w:p w14:paraId="3EA2B2C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（6）对建设单位创建优质工程的，鼓励在控制价和预算中按我区工程建设定额规定计列工程优质费，并明确工程优质费不可竞争。</w:t>
      </w:r>
    </w:p>
    <w:p w14:paraId="02B0BF75">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3.7规费和增值税应按规定确定，作为不可竞争费用。</w:t>
      </w:r>
    </w:p>
    <w:p w14:paraId="51AD8C19">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09E47574">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3.9响应总价应当与分部分项工程费、措施项目费、其他项目费和规费、增值税的合计金额一致。</w:t>
      </w:r>
    </w:p>
    <w:p w14:paraId="1C7A8982">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3.10供应商应按《</w:t>
      </w:r>
      <w:r>
        <w:rPr>
          <w:rFonts w:hint="eastAsia" w:ascii="宋体" w:hAnsi="宋体" w:eastAsia="宋体" w:cs="宋体"/>
          <w:color w:val="auto"/>
          <w:highlight w:val="none"/>
        </w:rPr>
        <w:t>允许调整主要材料和工程设备一览表</w:t>
      </w:r>
      <w:r>
        <w:rPr>
          <w:rFonts w:hint="eastAsia" w:ascii="宋体" w:hAnsi="宋体" w:eastAsia="宋体" w:cs="宋体"/>
          <w:bCs/>
          <w:color w:val="auto"/>
          <w:kern w:val="0"/>
          <w:szCs w:val="21"/>
          <w:highlight w:val="none"/>
        </w:rPr>
        <w:t>》的内容填报，不得擅自调整材料和设备名称型号规格、单位、风险系数、基准单价。</w:t>
      </w:r>
    </w:p>
    <w:p w14:paraId="23F9F3B4">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3.11响应报价表格按本工程工程量清单表格要求填写，并应按采购文件的要求，附上《工程量清单综合单价分析表》和《主要清单项目工料机分析表》。</w:t>
      </w:r>
    </w:p>
    <w:p w14:paraId="47071210">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未尽事宜详见本工程工程量清单、预算金额编制说明以及现行《计价规范》等有关规定执行。</w:t>
      </w:r>
    </w:p>
    <w:p w14:paraId="754CC933">
      <w:pPr>
        <w:spacing w:line="312" w:lineRule="auto"/>
        <w:ind w:firstLine="562" w:firstLineChars="200"/>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二、工期及其他要求</w:t>
      </w:r>
    </w:p>
    <w:p w14:paraId="1DCF9E1E">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1.工期：45日历天。</w:t>
      </w:r>
    </w:p>
    <w:p w14:paraId="40F1B0A7">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2.其他要求：</w:t>
      </w:r>
    </w:p>
    <w:p w14:paraId="1312C2A6">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2.1验收标准、规范：</w:t>
      </w:r>
    </w:p>
    <w:p w14:paraId="51C214D3">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2.1.1.根据采购人的要求和国家现行的有关的工程建设标准、技术规范及强制性标准条文等有关规范标准。</w:t>
      </w:r>
    </w:p>
    <w:p w14:paraId="1DA5B72D">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2.1.2验收过程中所产生的一切费用均由成交供应商承担。报价时应考虑相关费用。</w:t>
      </w:r>
    </w:p>
    <w:p w14:paraId="7970E8A0">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2.2工程质量保修要求：</w:t>
      </w:r>
    </w:p>
    <w:p w14:paraId="7B993390">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2.2.1质量保修期：2年，质量保修期从工程实际竣工验收通过之日算起。</w:t>
      </w:r>
    </w:p>
    <w:p w14:paraId="3F5C1BD1">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2.2.2双方根据国家有关规定，按法律、行政法规或国家关于工程质量保修的有关规定，对交付采购人使用的工程质量保修期为工程实际竣工验收通过之日起2年，应承担质量保修责任。</w:t>
      </w:r>
    </w:p>
    <w:p w14:paraId="4BA3E82F">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2.2.3在工程质量保修期期限内发生质量问题，必须在收到质保通知后的1个日历天内整改完毕。</w:t>
      </w:r>
    </w:p>
    <w:p w14:paraId="6A0F22F2">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2.2.4在没有明文规定下，参照建设工程质量保修条例，双方协商为设计文件规定的该工程的合理使用年限内保修。</w:t>
      </w:r>
    </w:p>
    <w:p w14:paraId="61BC8FE1">
      <w:pPr>
        <w:spacing w:line="312"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3.合同签订期：自成交通知书发出之日起25日内（注：成交通知书发出之日起25日内必须签订合同。）</w:t>
      </w:r>
    </w:p>
    <w:p w14:paraId="19E88F25">
      <w:pPr>
        <w:pStyle w:val="19"/>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4.承包方式：固定综合单价。</w:t>
      </w:r>
    </w:p>
    <w:p w14:paraId="09C84135">
      <w:pPr>
        <w:spacing w:line="312" w:lineRule="auto"/>
        <w:ind w:firstLine="562" w:firstLineChars="200"/>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三、图纸</w:t>
      </w:r>
    </w:p>
    <w:p w14:paraId="627A3BA9">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图纸另附。</w:t>
      </w:r>
    </w:p>
    <w:p w14:paraId="064F9F16">
      <w:pPr>
        <w:spacing w:line="312" w:lineRule="auto"/>
        <w:ind w:firstLine="562" w:firstLineChars="200"/>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四、技术配置及交付标准</w:t>
      </w:r>
    </w:p>
    <w:p w14:paraId="3796B68E">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①建筑装饰工程技术配置及交付标准（及以上标准）</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644"/>
        <w:gridCol w:w="2843"/>
        <w:gridCol w:w="3707"/>
      </w:tblGrid>
      <w:tr w14:paraId="108E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737" w:type="dxa"/>
            <w:gridSpan w:val="2"/>
            <w:vAlign w:val="center"/>
          </w:tcPr>
          <w:p w14:paraId="2BE63BD4">
            <w:pPr>
              <w:spacing w:line="312"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专业名称</w:t>
            </w:r>
          </w:p>
        </w:tc>
        <w:tc>
          <w:tcPr>
            <w:tcW w:w="6550" w:type="dxa"/>
            <w:gridSpan w:val="2"/>
            <w:vAlign w:val="center"/>
          </w:tcPr>
          <w:p w14:paraId="3A92107A">
            <w:pPr>
              <w:spacing w:line="312" w:lineRule="auto"/>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建筑装饰工程</w:t>
            </w:r>
          </w:p>
        </w:tc>
      </w:tr>
      <w:tr w14:paraId="7DD6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93" w:type="dxa"/>
            <w:vAlign w:val="center"/>
          </w:tcPr>
          <w:p w14:paraId="57C196FF">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编号</w:t>
            </w:r>
          </w:p>
        </w:tc>
        <w:tc>
          <w:tcPr>
            <w:tcW w:w="1644" w:type="dxa"/>
            <w:vAlign w:val="center"/>
          </w:tcPr>
          <w:p w14:paraId="38CA8FFA">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部位</w:t>
            </w:r>
          </w:p>
        </w:tc>
        <w:tc>
          <w:tcPr>
            <w:tcW w:w="2843" w:type="dxa"/>
            <w:vAlign w:val="center"/>
          </w:tcPr>
          <w:p w14:paraId="4E022D68">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技术配置及交付标准描述</w:t>
            </w:r>
          </w:p>
          <w:p w14:paraId="4494C27A">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（以下品牌或同等档次品牌）</w:t>
            </w:r>
          </w:p>
        </w:tc>
        <w:tc>
          <w:tcPr>
            <w:tcW w:w="3707" w:type="dxa"/>
            <w:vAlign w:val="center"/>
          </w:tcPr>
          <w:p w14:paraId="19F5980A">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材料设备参考品牌</w:t>
            </w:r>
          </w:p>
        </w:tc>
      </w:tr>
      <w:tr w14:paraId="2620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93" w:type="dxa"/>
            <w:vAlign w:val="center"/>
          </w:tcPr>
          <w:p w14:paraId="2A6CAE15">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1</w:t>
            </w:r>
          </w:p>
        </w:tc>
        <w:tc>
          <w:tcPr>
            <w:tcW w:w="1644" w:type="dxa"/>
            <w:vAlign w:val="center"/>
          </w:tcPr>
          <w:p w14:paraId="265F1567">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跑道</w:t>
            </w:r>
          </w:p>
        </w:tc>
        <w:tc>
          <w:tcPr>
            <w:tcW w:w="2843" w:type="dxa"/>
            <w:vAlign w:val="center"/>
          </w:tcPr>
          <w:p w14:paraId="28C4C59E">
            <w:pPr>
              <w:widowControl/>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≥13mm厚耐磨混合型塑胶面层（红色）</w:t>
            </w:r>
          </w:p>
        </w:tc>
        <w:tc>
          <w:tcPr>
            <w:tcW w:w="3707" w:type="dxa"/>
            <w:vAlign w:val="center"/>
          </w:tcPr>
          <w:p w14:paraId="1FDE16E4">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满足有关国标规范标准产品，品质要求不低于中档</w:t>
            </w:r>
          </w:p>
        </w:tc>
      </w:tr>
      <w:tr w14:paraId="4870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93" w:type="dxa"/>
            <w:vAlign w:val="center"/>
          </w:tcPr>
          <w:p w14:paraId="58AA2BBC">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2</w:t>
            </w:r>
          </w:p>
        </w:tc>
        <w:tc>
          <w:tcPr>
            <w:tcW w:w="1644" w:type="dxa"/>
            <w:vAlign w:val="center"/>
          </w:tcPr>
          <w:p w14:paraId="135CB925">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跳远及跳高</w:t>
            </w:r>
          </w:p>
        </w:tc>
        <w:tc>
          <w:tcPr>
            <w:tcW w:w="2843" w:type="dxa"/>
            <w:vAlign w:val="center"/>
          </w:tcPr>
          <w:p w14:paraId="67377EDB">
            <w:pPr>
              <w:widowControl/>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≥20mm厚混合型塑胶</w:t>
            </w:r>
          </w:p>
        </w:tc>
        <w:tc>
          <w:tcPr>
            <w:tcW w:w="3707" w:type="dxa"/>
            <w:vAlign w:val="center"/>
          </w:tcPr>
          <w:p w14:paraId="570A7D29">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满足有关国标规范标准产品，品质要求不低于中档</w:t>
            </w:r>
          </w:p>
        </w:tc>
      </w:tr>
    </w:tbl>
    <w:p w14:paraId="1D08D4CC">
      <w:pPr>
        <w:spacing w:line="312" w:lineRule="auto"/>
        <w:ind w:firstLine="420" w:firstLineChars="200"/>
        <w:jc w:val="left"/>
        <w:rPr>
          <w:rFonts w:ascii="宋体" w:hAnsi="宋体" w:eastAsia="宋体" w:cs="宋体"/>
          <w:bCs/>
          <w:color w:val="auto"/>
          <w:kern w:val="0"/>
          <w:szCs w:val="21"/>
          <w:highlight w:val="none"/>
        </w:rPr>
      </w:pPr>
    </w:p>
    <w:p w14:paraId="76D8526C">
      <w:pPr>
        <w:spacing w:line="312"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②电气设备安装工程技术配置及交付标准（及以上标准）</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688"/>
        <w:gridCol w:w="4131"/>
        <w:gridCol w:w="2459"/>
      </w:tblGrid>
      <w:tr w14:paraId="55B2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697" w:type="dxa"/>
            <w:gridSpan w:val="2"/>
            <w:vAlign w:val="center"/>
          </w:tcPr>
          <w:p w14:paraId="63DF01E7">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专业名称</w:t>
            </w:r>
          </w:p>
        </w:tc>
        <w:tc>
          <w:tcPr>
            <w:tcW w:w="6590" w:type="dxa"/>
            <w:gridSpan w:val="2"/>
            <w:vAlign w:val="center"/>
          </w:tcPr>
          <w:p w14:paraId="7D58E0BE">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电气设备安装工程</w:t>
            </w:r>
          </w:p>
        </w:tc>
      </w:tr>
      <w:tr w14:paraId="5C17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09" w:type="dxa"/>
            <w:vAlign w:val="center"/>
          </w:tcPr>
          <w:p w14:paraId="486701DA">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编号</w:t>
            </w:r>
          </w:p>
        </w:tc>
        <w:tc>
          <w:tcPr>
            <w:tcW w:w="1688" w:type="dxa"/>
            <w:vAlign w:val="center"/>
          </w:tcPr>
          <w:p w14:paraId="32BED393">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部位</w:t>
            </w:r>
          </w:p>
        </w:tc>
        <w:tc>
          <w:tcPr>
            <w:tcW w:w="4131" w:type="dxa"/>
            <w:vAlign w:val="center"/>
          </w:tcPr>
          <w:p w14:paraId="5DC77DE6">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技术配置及交付标准描述</w:t>
            </w:r>
          </w:p>
          <w:p w14:paraId="4935D60B">
            <w:pPr>
              <w:widowControl/>
              <w:jc w:val="center"/>
              <w:rPr>
                <w:rFonts w:ascii="宋体" w:hAnsi="宋体" w:eastAsia="宋体" w:cs="宋体"/>
                <w:bCs/>
                <w:color w:val="auto"/>
                <w:kern w:val="0"/>
                <w:szCs w:val="21"/>
                <w:highlight w:val="none"/>
              </w:rPr>
            </w:pPr>
          </w:p>
        </w:tc>
        <w:tc>
          <w:tcPr>
            <w:tcW w:w="2459" w:type="dxa"/>
            <w:vAlign w:val="center"/>
          </w:tcPr>
          <w:p w14:paraId="316136A5">
            <w:pPr>
              <w:widowControl/>
              <w:jc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材料设备参考品牌</w:t>
            </w:r>
          </w:p>
          <w:p w14:paraId="797A18D3">
            <w:pPr>
              <w:widowControl/>
              <w:jc w:val="center"/>
              <w:rPr>
                <w:rFonts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lang w:bidi="ar"/>
              </w:rPr>
              <w:t>（以下品牌或同等档次品牌）</w:t>
            </w:r>
          </w:p>
        </w:tc>
      </w:tr>
      <w:tr w14:paraId="7ABF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09" w:type="dxa"/>
            <w:vAlign w:val="center"/>
          </w:tcPr>
          <w:p w14:paraId="08268D65">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1</w:t>
            </w:r>
          </w:p>
        </w:tc>
        <w:tc>
          <w:tcPr>
            <w:tcW w:w="1688" w:type="dxa"/>
            <w:vAlign w:val="center"/>
          </w:tcPr>
          <w:p w14:paraId="4A0B00DB">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内墙距地1.5米明装</w:t>
            </w:r>
          </w:p>
        </w:tc>
        <w:tc>
          <w:tcPr>
            <w:tcW w:w="4131" w:type="dxa"/>
            <w:vAlign w:val="center"/>
          </w:tcPr>
          <w:p w14:paraId="232CAEFF">
            <w:pPr>
              <w:widowControl/>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非标金属箱体配电箱</w:t>
            </w:r>
          </w:p>
        </w:tc>
        <w:tc>
          <w:tcPr>
            <w:tcW w:w="2459" w:type="dxa"/>
            <w:vAlign w:val="center"/>
          </w:tcPr>
          <w:p w14:paraId="04423386">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满足有关规范标准产品</w:t>
            </w:r>
          </w:p>
        </w:tc>
      </w:tr>
      <w:tr w14:paraId="216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17554E54">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2</w:t>
            </w:r>
          </w:p>
        </w:tc>
        <w:tc>
          <w:tcPr>
            <w:tcW w:w="1688" w:type="dxa"/>
            <w:vAlign w:val="center"/>
          </w:tcPr>
          <w:p w14:paraId="3EAAA8AF">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LED灯具</w:t>
            </w:r>
          </w:p>
        </w:tc>
        <w:tc>
          <w:tcPr>
            <w:tcW w:w="4131" w:type="dxa"/>
            <w:vAlign w:val="center"/>
          </w:tcPr>
          <w:p w14:paraId="341615F2">
            <w:pPr>
              <w:widowControl/>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bidi="ar"/>
              </w:rPr>
              <w:t>3*600W LED球场灯（照明距离：≥140米）</w:t>
            </w:r>
          </w:p>
        </w:tc>
        <w:tc>
          <w:tcPr>
            <w:tcW w:w="2459" w:type="dxa"/>
            <w:vAlign w:val="center"/>
          </w:tcPr>
          <w:p w14:paraId="4E54AC9F">
            <w:pPr>
              <w:widowControl/>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val="en-US" w:eastAsia="zh-CN" w:bidi="ar"/>
              </w:rPr>
              <w:t>光源品牌</w:t>
            </w:r>
            <w:r>
              <w:rPr>
                <w:rFonts w:hint="eastAsia" w:ascii="宋体" w:hAnsi="宋体" w:eastAsia="宋体" w:cs="宋体"/>
                <w:color w:val="auto"/>
                <w:kern w:val="0"/>
                <w:szCs w:val="21"/>
                <w:highlight w:val="none"/>
                <w:lang w:bidi="ar"/>
              </w:rPr>
              <w:t>参照或相当于“飞利浦”产品，亚明、三雄极光、佛山照明、雷士</w:t>
            </w:r>
          </w:p>
        </w:tc>
      </w:tr>
      <w:tr w14:paraId="39BD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vAlign w:val="center"/>
          </w:tcPr>
          <w:p w14:paraId="3FA1B5DE">
            <w:pPr>
              <w:widowControl/>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1688" w:type="dxa"/>
            <w:vAlign w:val="center"/>
          </w:tcPr>
          <w:p w14:paraId="39CAEC4D">
            <w:pPr>
              <w:widowControl/>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电力电缆</w:t>
            </w:r>
          </w:p>
        </w:tc>
        <w:tc>
          <w:tcPr>
            <w:tcW w:w="4131" w:type="dxa"/>
            <w:vAlign w:val="center"/>
          </w:tcPr>
          <w:p w14:paraId="38D819F8">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铜芯塑料绝缘导线 BV-0.45/0.75kV-2.5/10.0mm2</w:t>
            </w:r>
          </w:p>
        </w:tc>
        <w:tc>
          <w:tcPr>
            <w:tcW w:w="2459" w:type="dxa"/>
            <w:vAlign w:val="center"/>
          </w:tcPr>
          <w:p w14:paraId="55690A52">
            <w:pPr>
              <w:widowControl/>
              <w:jc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宝胜、上上、广东联讯、阳工</w:t>
            </w:r>
          </w:p>
        </w:tc>
      </w:tr>
    </w:tbl>
    <w:p w14:paraId="426FEAD9">
      <w:pPr>
        <w:spacing w:line="312" w:lineRule="auto"/>
        <w:jc w:val="left"/>
        <w:rPr>
          <w:rFonts w:ascii="宋体" w:hAnsi="宋体" w:eastAsia="宋体" w:cs="宋体"/>
          <w:bCs/>
          <w:color w:val="auto"/>
          <w:kern w:val="0"/>
          <w:szCs w:val="21"/>
          <w:highlight w:val="none"/>
        </w:rPr>
      </w:pPr>
    </w:p>
    <w:p w14:paraId="5A9158BA">
      <w:pPr>
        <w:spacing w:line="312" w:lineRule="auto"/>
        <w:ind w:firstLine="562" w:firstLineChars="200"/>
        <w:jc w:val="left"/>
        <w:outlineLvl w:val="1"/>
        <w:rPr>
          <w:rFonts w:ascii="宋体" w:hAnsi="宋体" w:eastAsia="宋体" w:cs="宋体"/>
          <w:b/>
          <w:color w:val="auto"/>
          <w:kern w:val="0"/>
          <w:sz w:val="28"/>
          <w:szCs w:val="28"/>
          <w:highlight w:val="none"/>
        </w:rPr>
      </w:pPr>
      <w:bookmarkStart w:id="25" w:name="_Hlk101188646"/>
      <w:r>
        <w:rPr>
          <w:rFonts w:hint="eastAsia" w:ascii="宋体" w:hAnsi="宋体" w:eastAsia="宋体" w:cs="宋体"/>
          <w:b/>
          <w:color w:val="auto"/>
          <w:kern w:val="0"/>
          <w:sz w:val="28"/>
          <w:szCs w:val="28"/>
          <w:highlight w:val="none"/>
        </w:rPr>
        <w:t>五、本项目标的所属行业</w:t>
      </w:r>
    </w:p>
    <w:p w14:paraId="1505C5DE">
      <w:pPr>
        <w:spacing w:line="312" w:lineRule="auto"/>
        <w:ind w:firstLine="420" w:firstLineChars="200"/>
        <w:jc w:val="left"/>
        <w:rPr>
          <w:rFonts w:ascii="宋体" w:hAnsi="宋体" w:eastAsia="宋体" w:cs="宋体"/>
          <w:bCs/>
          <w:color w:val="auto"/>
          <w:kern w:val="0"/>
          <w:szCs w:val="21"/>
          <w:highlight w:val="none"/>
        </w:rPr>
      </w:pPr>
      <w:bookmarkStart w:id="26" w:name="_Hlk74905748"/>
      <w:r>
        <w:rPr>
          <w:rFonts w:hint="eastAsia" w:ascii="宋体" w:hAnsi="宋体" w:eastAsia="宋体" w:cs="宋体"/>
          <w:bCs/>
          <w:color w:val="auto"/>
          <w:kern w:val="0"/>
          <w:szCs w:val="21"/>
          <w:highlight w:val="none"/>
        </w:rPr>
        <w:t>本项目所属行业：</w:t>
      </w:r>
      <w:r>
        <w:rPr>
          <w:rFonts w:hint="eastAsia" w:ascii="宋体" w:hAnsi="宋体" w:eastAsia="宋体" w:cs="宋体"/>
          <w:b/>
          <w:color w:val="auto"/>
          <w:kern w:val="0"/>
          <w:szCs w:val="21"/>
          <w:highlight w:val="none"/>
        </w:rPr>
        <w:t>建筑业</w:t>
      </w:r>
      <w:bookmarkEnd w:id="26"/>
      <w:r>
        <w:rPr>
          <w:rFonts w:hint="eastAsia" w:ascii="宋体" w:hAnsi="宋体" w:eastAsia="宋体" w:cs="宋体"/>
          <w:bCs/>
          <w:color w:val="auto"/>
          <w:kern w:val="0"/>
          <w:szCs w:val="21"/>
          <w:highlight w:val="none"/>
        </w:rPr>
        <w:t>。</w:t>
      </w:r>
    </w:p>
    <w:p w14:paraId="19849783">
      <w:pPr>
        <w:spacing w:line="312" w:lineRule="auto"/>
        <w:ind w:firstLine="420" w:firstLineChars="200"/>
        <w:jc w:val="left"/>
        <w:rPr>
          <w:rFonts w:ascii="宋体" w:hAnsi="宋体" w:eastAsia="宋体" w:cs="宋体"/>
          <w:bCs/>
          <w:color w:val="auto"/>
          <w:kern w:val="0"/>
          <w:szCs w:val="21"/>
          <w:highlight w:val="none"/>
        </w:rPr>
      </w:pPr>
    </w:p>
    <w:p w14:paraId="0EB54978">
      <w:pPr>
        <w:spacing w:line="528" w:lineRule="exact"/>
        <w:ind w:firstLine="210" w:firstLineChars="100"/>
        <w:rPr>
          <w:rFonts w:ascii="宋体" w:hAnsi="宋体" w:eastAsia="宋体" w:cs="宋体"/>
          <w:color w:val="auto"/>
          <w:sz w:val="28"/>
          <w:szCs w:val="28"/>
          <w:highlight w:val="none"/>
        </w:rPr>
      </w:pPr>
      <w:r>
        <w:rPr>
          <w:rFonts w:hint="eastAsia" w:ascii="宋体" w:hAnsi="宋体" w:eastAsia="宋体" w:cs="宋体"/>
          <w:bCs/>
          <w:color w:val="auto"/>
          <w:kern w:val="0"/>
          <w:szCs w:val="21"/>
          <w:highlight w:val="none"/>
        </w:rPr>
        <w:br w:type="page"/>
      </w:r>
      <w:r>
        <w:rPr>
          <w:rFonts w:hint="eastAsia" w:ascii="宋体" w:hAnsi="宋体" w:eastAsia="宋体" w:cs="宋体"/>
          <w:color w:val="auto"/>
          <w:sz w:val="28"/>
          <w:szCs w:val="28"/>
          <w:highlight w:val="none"/>
        </w:rPr>
        <w:t xml:space="preserve">附件：                              </w:t>
      </w:r>
    </w:p>
    <w:p w14:paraId="5BD04201">
      <w:pPr>
        <w:spacing w:line="528" w:lineRule="exact"/>
        <w:ind w:firstLine="280" w:firstLineChars="10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中小微企业划型标准</w:t>
      </w:r>
    </w:p>
    <w:tbl>
      <w:tblPr>
        <w:tblStyle w:val="54"/>
        <w:tblW w:w="4998" w:type="pct"/>
        <w:tblInd w:w="0" w:type="dxa"/>
        <w:tblLayout w:type="autofit"/>
        <w:tblCellMar>
          <w:top w:w="0" w:type="dxa"/>
          <w:left w:w="108" w:type="dxa"/>
          <w:bottom w:w="0" w:type="dxa"/>
          <w:right w:w="108" w:type="dxa"/>
        </w:tblCellMar>
      </w:tblPr>
      <w:tblGrid>
        <w:gridCol w:w="1541"/>
        <w:gridCol w:w="1815"/>
        <w:gridCol w:w="1209"/>
        <w:gridCol w:w="1969"/>
        <w:gridCol w:w="1674"/>
        <w:gridCol w:w="1075"/>
      </w:tblGrid>
      <w:tr w14:paraId="0B58AEE1">
        <w:tblPrEx>
          <w:tblCellMar>
            <w:top w:w="0" w:type="dxa"/>
            <w:left w:w="108" w:type="dxa"/>
            <w:bottom w:w="0" w:type="dxa"/>
            <w:right w:w="108" w:type="dxa"/>
          </w:tblCellMar>
        </w:tblPrEx>
        <w:trPr>
          <w:trHeight w:val="279" w:hRule="atLeast"/>
        </w:trPr>
        <w:tc>
          <w:tcPr>
            <w:tcW w:w="830" w:type="pct"/>
            <w:tcBorders>
              <w:top w:val="single" w:color="auto" w:sz="4" w:space="0"/>
              <w:left w:val="single" w:color="auto" w:sz="4" w:space="0"/>
              <w:bottom w:val="single" w:color="auto" w:sz="4" w:space="0"/>
              <w:right w:val="single" w:color="auto" w:sz="4" w:space="0"/>
            </w:tcBorders>
            <w:vAlign w:val="center"/>
          </w:tcPr>
          <w:p w14:paraId="5F81102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行业名称</w:t>
            </w:r>
          </w:p>
        </w:tc>
        <w:tc>
          <w:tcPr>
            <w:tcW w:w="977" w:type="pct"/>
            <w:tcBorders>
              <w:top w:val="single" w:color="auto" w:sz="4" w:space="0"/>
              <w:left w:val="nil"/>
              <w:bottom w:val="single" w:color="auto" w:sz="4" w:space="0"/>
              <w:right w:val="single" w:color="auto" w:sz="4" w:space="0"/>
            </w:tcBorders>
            <w:vAlign w:val="center"/>
          </w:tcPr>
          <w:p w14:paraId="7555A8A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指标名称</w:t>
            </w:r>
          </w:p>
        </w:tc>
        <w:tc>
          <w:tcPr>
            <w:tcW w:w="651" w:type="pct"/>
            <w:tcBorders>
              <w:top w:val="single" w:color="auto" w:sz="4" w:space="0"/>
              <w:left w:val="nil"/>
              <w:bottom w:val="single" w:color="auto" w:sz="4" w:space="0"/>
              <w:right w:val="single" w:color="auto" w:sz="4" w:space="0"/>
            </w:tcBorders>
            <w:vAlign w:val="center"/>
          </w:tcPr>
          <w:p w14:paraId="723495AA">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060" w:type="pct"/>
            <w:tcBorders>
              <w:top w:val="single" w:color="auto" w:sz="4" w:space="0"/>
              <w:left w:val="nil"/>
              <w:bottom w:val="single" w:color="auto" w:sz="4" w:space="0"/>
              <w:right w:val="single" w:color="auto" w:sz="4" w:space="0"/>
            </w:tcBorders>
            <w:vAlign w:val="center"/>
          </w:tcPr>
          <w:p w14:paraId="665E8A2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中型</w:t>
            </w:r>
          </w:p>
        </w:tc>
        <w:tc>
          <w:tcPr>
            <w:tcW w:w="901" w:type="pct"/>
            <w:tcBorders>
              <w:top w:val="single" w:color="auto" w:sz="4" w:space="0"/>
              <w:left w:val="nil"/>
              <w:bottom w:val="single" w:color="auto" w:sz="4" w:space="0"/>
              <w:right w:val="single" w:color="auto" w:sz="4" w:space="0"/>
            </w:tcBorders>
            <w:vAlign w:val="center"/>
          </w:tcPr>
          <w:p w14:paraId="53E7BE1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小型</w:t>
            </w:r>
          </w:p>
        </w:tc>
        <w:tc>
          <w:tcPr>
            <w:tcW w:w="579" w:type="pct"/>
            <w:tcBorders>
              <w:top w:val="single" w:color="auto" w:sz="4" w:space="0"/>
              <w:left w:val="nil"/>
              <w:bottom w:val="single" w:color="auto" w:sz="4" w:space="0"/>
              <w:right w:val="single" w:color="auto" w:sz="4" w:space="0"/>
            </w:tcBorders>
            <w:vAlign w:val="center"/>
          </w:tcPr>
          <w:p w14:paraId="7C740E6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微型</w:t>
            </w:r>
          </w:p>
        </w:tc>
      </w:tr>
      <w:tr w14:paraId="549B06FD">
        <w:tblPrEx>
          <w:tblCellMar>
            <w:top w:w="0" w:type="dxa"/>
            <w:left w:w="108" w:type="dxa"/>
            <w:bottom w:w="0" w:type="dxa"/>
            <w:right w:w="108" w:type="dxa"/>
          </w:tblCellMar>
        </w:tblPrEx>
        <w:trPr>
          <w:trHeight w:val="220" w:hRule="atLeast"/>
        </w:trPr>
        <w:tc>
          <w:tcPr>
            <w:tcW w:w="830" w:type="pct"/>
            <w:tcBorders>
              <w:top w:val="nil"/>
              <w:left w:val="single" w:color="auto" w:sz="4" w:space="0"/>
              <w:bottom w:val="single" w:color="auto" w:sz="4" w:space="0"/>
              <w:right w:val="single" w:color="auto" w:sz="4" w:space="0"/>
            </w:tcBorders>
            <w:vAlign w:val="bottom"/>
          </w:tcPr>
          <w:p w14:paraId="6439A928">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农、林、牧、渔</w:t>
            </w:r>
          </w:p>
        </w:tc>
        <w:tc>
          <w:tcPr>
            <w:tcW w:w="977" w:type="pct"/>
            <w:tcBorders>
              <w:top w:val="nil"/>
              <w:left w:val="nil"/>
              <w:bottom w:val="single" w:color="auto" w:sz="4" w:space="0"/>
              <w:right w:val="single" w:color="auto" w:sz="4" w:space="0"/>
            </w:tcBorders>
            <w:vAlign w:val="center"/>
          </w:tcPr>
          <w:p w14:paraId="131B3EF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174A947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232E8F2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901" w:type="pct"/>
            <w:tcBorders>
              <w:top w:val="nil"/>
              <w:left w:val="nil"/>
              <w:bottom w:val="single" w:color="auto" w:sz="4" w:space="0"/>
              <w:right w:val="single" w:color="auto" w:sz="4" w:space="0"/>
            </w:tcBorders>
            <w:vAlign w:val="center"/>
          </w:tcPr>
          <w:p w14:paraId="4C373AB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50≤Y＜500</w:t>
            </w:r>
          </w:p>
        </w:tc>
        <w:tc>
          <w:tcPr>
            <w:tcW w:w="579" w:type="pct"/>
            <w:tcBorders>
              <w:top w:val="nil"/>
              <w:left w:val="nil"/>
              <w:bottom w:val="single" w:color="auto" w:sz="4" w:space="0"/>
              <w:right w:val="single" w:color="auto" w:sz="4" w:space="0"/>
            </w:tcBorders>
            <w:vAlign w:val="center"/>
          </w:tcPr>
          <w:p w14:paraId="7DD44D0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79E9948B">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A67F9D7">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c>
          <w:tcPr>
            <w:tcW w:w="977" w:type="pct"/>
            <w:tcBorders>
              <w:top w:val="nil"/>
              <w:left w:val="nil"/>
              <w:bottom w:val="single" w:color="auto" w:sz="4" w:space="0"/>
              <w:right w:val="single" w:color="auto" w:sz="4" w:space="0"/>
            </w:tcBorders>
            <w:vAlign w:val="center"/>
          </w:tcPr>
          <w:p w14:paraId="61E8967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32E0C8D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7484CA3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901" w:type="pct"/>
            <w:tcBorders>
              <w:top w:val="nil"/>
              <w:left w:val="nil"/>
              <w:bottom w:val="single" w:color="auto" w:sz="4" w:space="0"/>
              <w:right w:val="single" w:color="auto" w:sz="4" w:space="0"/>
            </w:tcBorders>
            <w:vAlign w:val="center"/>
          </w:tcPr>
          <w:p w14:paraId="254FC84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579" w:type="pct"/>
            <w:tcBorders>
              <w:top w:val="nil"/>
              <w:left w:val="nil"/>
              <w:bottom w:val="single" w:color="auto" w:sz="4" w:space="0"/>
              <w:right w:val="single" w:color="auto" w:sz="4" w:space="0"/>
            </w:tcBorders>
            <w:vAlign w:val="center"/>
          </w:tcPr>
          <w:p w14:paraId="00C3FDB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104F72BF">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10F49FBF">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3A11C2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26C2061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7C709F3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2000≤Y＜40000</w:t>
            </w:r>
          </w:p>
        </w:tc>
        <w:tc>
          <w:tcPr>
            <w:tcW w:w="901" w:type="pct"/>
            <w:tcBorders>
              <w:top w:val="nil"/>
              <w:left w:val="nil"/>
              <w:bottom w:val="single" w:color="auto" w:sz="4" w:space="0"/>
              <w:right w:val="single" w:color="auto" w:sz="4" w:space="0"/>
            </w:tcBorders>
            <w:vAlign w:val="center"/>
          </w:tcPr>
          <w:p w14:paraId="0798A1F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300≤Y＜2000</w:t>
            </w:r>
          </w:p>
        </w:tc>
        <w:tc>
          <w:tcPr>
            <w:tcW w:w="579" w:type="pct"/>
            <w:tcBorders>
              <w:top w:val="nil"/>
              <w:left w:val="nil"/>
              <w:bottom w:val="single" w:color="auto" w:sz="4" w:space="0"/>
              <w:right w:val="single" w:color="auto" w:sz="4" w:space="0"/>
            </w:tcBorders>
            <w:vAlign w:val="center"/>
          </w:tcPr>
          <w:p w14:paraId="0589BE2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1B88A062">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2F1C7C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977" w:type="pct"/>
            <w:tcBorders>
              <w:top w:val="nil"/>
              <w:left w:val="nil"/>
              <w:bottom w:val="single" w:color="auto" w:sz="4" w:space="0"/>
              <w:right w:val="single" w:color="auto" w:sz="4" w:space="0"/>
            </w:tcBorders>
            <w:vAlign w:val="center"/>
          </w:tcPr>
          <w:p w14:paraId="208AE91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0C1C636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381F518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6000≤Y＜80000</w:t>
            </w:r>
          </w:p>
        </w:tc>
        <w:tc>
          <w:tcPr>
            <w:tcW w:w="901" w:type="pct"/>
            <w:tcBorders>
              <w:top w:val="nil"/>
              <w:left w:val="nil"/>
              <w:bottom w:val="single" w:color="auto" w:sz="4" w:space="0"/>
              <w:right w:val="single" w:color="auto" w:sz="4" w:space="0"/>
            </w:tcBorders>
            <w:vAlign w:val="center"/>
          </w:tcPr>
          <w:p w14:paraId="24873E0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300≤Y＜6000</w:t>
            </w:r>
          </w:p>
        </w:tc>
        <w:tc>
          <w:tcPr>
            <w:tcW w:w="579" w:type="pct"/>
            <w:tcBorders>
              <w:top w:val="nil"/>
              <w:left w:val="nil"/>
              <w:bottom w:val="single" w:color="auto" w:sz="4" w:space="0"/>
              <w:right w:val="single" w:color="auto" w:sz="4" w:space="0"/>
            </w:tcBorders>
            <w:vAlign w:val="center"/>
          </w:tcPr>
          <w:p w14:paraId="736241F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Y＜300</w:t>
            </w:r>
          </w:p>
        </w:tc>
      </w:tr>
      <w:tr w14:paraId="5CD00975">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637D7D62">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603FF1C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651" w:type="pct"/>
            <w:tcBorders>
              <w:top w:val="nil"/>
              <w:left w:val="nil"/>
              <w:bottom w:val="single" w:color="auto" w:sz="4" w:space="0"/>
              <w:right w:val="single" w:color="auto" w:sz="4" w:space="0"/>
            </w:tcBorders>
            <w:vAlign w:val="center"/>
          </w:tcPr>
          <w:p w14:paraId="102ACBE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54DC9B9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5000≤Z＜80000</w:t>
            </w:r>
          </w:p>
        </w:tc>
        <w:tc>
          <w:tcPr>
            <w:tcW w:w="901" w:type="pct"/>
            <w:tcBorders>
              <w:top w:val="nil"/>
              <w:left w:val="nil"/>
              <w:bottom w:val="single" w:color="auto" w:sz="4" w:space="0"/>
              <w:right w:val="single" w:color="auto" w:sz="4" w:space="0"/>
            </w:tcBorders>
            <w:vAlign w:val="center"/>
          </w:tcPr>
          <w:p w14:paraId="2E496DF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300≤Z＜5000</w:t>
            </w:r>
          </w:p>
        </w:tc>
        <w:tc>
          <w:tcPr>
            <w:tcW w:w="579" w:type="pct"/>
            <w:tcBorders>
              <w:top w:val="nil"/>
              <w:left w:val="nil"/>
              <w:bottom w:val="single" w:color="auto" w:sz="4" w:space="0"/>
              <w:right w:val="single" w:color="auto" w:sz="4" w:space="0"/>
            </w:tcBorders>
            <w:vAlign w:val="center"/>
          </w:tcPr>
          <w:p w14:paraId="520D21A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Z＜300</w:t>
            </w:r>
          </w:p>
        </w:tc>
      </w:tr>
      <w:tr w14:paraId="3723DAB0">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3407C3E4">
            <w:pPr>
              <w:widowControl/>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批发业</w:t>
            </w:r>
          </w:p>
        </w:tc>
        <w:tc>
          <w:tcPr>
            <w:tcW w:w="977" w:type="pct"/>
            <w:tcBorders>
              <w:top w:val="nil"/>
              <w:left w:val="nil"/>
              <w:bottom w:val="single" w:color="auto" w:sz="4" w:space="0"/>
              <w:right w:val="single" w:color="auto" w:sz="4" w:space="0"/>
            </w:tcBorders>
            <w:vAlign w:val="center"/>
          </w:tcPr>
          <w:p w14:paraId="28F2DB5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07D6815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4B2B9D9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20≤X＜200</w:t>
            </w:r>
          </w:p>
        </w:tc>
        <w:tc>
          <w:tcPr>
            <w:tcW w:w="901" w:type="pct"/>
            <w:tcBorders>
              <w:top w:val="nil"/>
              <w:left w:val="nil"/>
              <w:bottom w:val="single" w:color="auto" w:sz="4" w:space="0"/>
              <w:right w:val="single" w:color="auto" w:sz="4" w:space="0"/>
            </w:tcBorders>
            <w:vAlign w:val="center"/>
          </w:tcPr>
          <w:p w14:paraId="6348DD2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5≤X＜20</w:t>
            </w:r>
          </w:p>
        </w:tc>
        <w:tc>
          <w:tcPr>
            <w:tcW w:w="579" w:type="pct"/>
            <w:tcBorders>
              <w:top w:val="nil"/>
              <w:left w:val="nil"/>
              <w:bottom w:val="single" w:color="auto" w:sz="4" w:space="0"/>
              <w:right w:val="single" w:color="auto" w:sz="4" w:space="0"/>
            </w:tcBorders>
            <w:vAlign w:val="center"/>
          </w:tcPr>
          <w:p w14:paraId="7D5814D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X＜5</w:t>
            </w:r>
          </w:p>
        </w:tc>
      </w:tr>
      <w:tr w14:paraId="0121ECCE">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75896B79">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33ED037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26AB6FB6">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19E94D6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5000≤Y＜40000</w:t>
            </w:r>
          </w:p>
        </w:tc>
        <w:tc>
          <w:tcPr>
            <w:tcW w:w="901" w:type="pct"/>
            <w:tcBorders>
              <w:top w:val="nil"/>
              <w:left w:val="nil"/>
              <w:bottom w:val="single" w:color="auto" w:sz="4" w:space="0"/>
              <w:right w:val="single" w:color="auto" w:sz="4" w:space="0"/>
            </w:tcBorders>
            <w:vAlign w:val="center"/>
          </w:tcPr>
          <w:p w14:paraId="264BD37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579" w:type="pct"/>
            <w:tcBorders>
              <w:top w:val="nil"/>
              <w:left w:val="nil"/>
              <w:bottom w:val="single" w:color="auto" w:sz="4" w:space="0"/>
              <w:right w:val="single" w:color="auto" w:sz="4" w:space="0"/>
            </w:tcBorders>
            <w:vAlign w:val="center"/>
          </w:tcPr>
          <w:p w14:paraId="45FC750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Y＜1000</w:t>
            </w:r>
          </w:p>
        </w:tc>
      </w:tr>
      <w:tr w14:paraId="6BDA8561">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0D863FDB">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零售业</w:t>
            </w:r>
          </w:p>
        </w:tc>
        <w:tc>
          <w:tcPr>
            <w:tcW w:w="977" w:type="pct"/>
            <w:tcBorders>
              <w:top w:val="nil"/>
              <w:left w:val="nil"/>
              <w:bottom w:val="single" w:color="auto" w:sz="4" w:space="0"/>
              <w:right w:val="single" w:color="auto" w:sz="4" w:space="0"/>
            </w:tcBorders>
            <w:vAlign w:val="center"/>
          </w:tcPr>
          <w:p w14:paraId="724C5DB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76B3504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581C083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50≤X＜300</w:t>
            </w:r>
          </w:p>
        </w:tc>
        <w:tc>
          <w:tcPr>
            <w:tcW w:w="901" w:type="pct"/>
            <w:tcBorders>
              <w:top w:val="nil"/>
              <w:left w:val="nil"/>
              <w:bottom w:val="single" w:color="auto" w:sz="4" w:space="0"/>
              <w:right w:val="single" w:color="auto" w:sz="4" w:space="0"/>
            </w:tcBorders>
            <w:vAlign w:val="center"/>
          </w:tcPr>
          <w:p w14:paraId="4673FE0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10≤X＜50</w:t>
            </w:r>
          </w:p>
        </w:tc>
        <w:tc>
          <w:tcPr>
            <w:tcW w:w="579" w:type="pct"/>
            <w:tcBorders>
              <w:top w:val="nil"/>
              <w:left w:val="nil"/>
              <w:bottom w:val="single" w:color="auto" w:sz="4" w:space="0"/>
              <w:right w:val="single" w:color="auto" w:sz="4" w:space="0"/>
            </w:tcBorders>
            <w:vAlign w:val="center"/>
          </w:tcPr>
          <w:p w14:paraId="6AE4F01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791285AE">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393BC5E9">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4524563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1E0D066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74BC5A2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500≤Y＜20000</w:t>
            </w:r>
          </w:p>
        </w:tc>
        <w:tc>
          <w:tcPr>
            <w:tcW w:w="901" w:type="pct"/>
            <w:tcBorders>
              <w:top w:val="nil"/>
              <w:left w:val="nil"/>
              <w:bottom w:val="single" w:color="auto" w:sz="4" w:space="0"/>
              <w:right w:val="single" w:color="auto" w:sz="4" w:space="0"/>
            </w:tcBorders>
            <w:vAlign w:val="center"/>
          </w:tcPr>
          <w:p w14:paraId="78DAE90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100≤Y＜500</w:t>
            </w:r>
          </w:p>
        </w:tc>
        <w:tc>
          <w:tcPr>
            <w:tcW w:w="579" w:type="pct"/>
            <w:tcBorders>
              <w:top w:val="nil"/>
              <w:left w:val="nil"/>
              <w:bottom w:val="single" w:color="auto" w:sz="4" w:space="0"/>
              <w:right w:val="single" w:color="auto" w:sz="4" w:space="0"/>
            </w:tcBorders>
            <w:vAlign w:val="center"/>
          </w:tcPr>
          <w:p w14:paraId="012B66C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6191599D">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69F568D">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交通运输业</w:t>
            </w:r>
          </w:p>
        </w:tc>
        <w:tc>
          <w:tcPr>
            <w:tcW w:w="977" w:type="pct"/>
            <w:tcBorders>
              <w:top w:val="nil"/>
              <w:left w:val="nil"/>
              <w:bottom w:val="single" w:color="auto" w:sz="4" w:space="0"/>
              <w:right w:val="single" w:color="auto" w:sz="4" w:space="0"/>
            </w:tcBorders>
            <w:vAlign w:val="center"/>
          </w:tcPr>
          <w:p w14:paraId="39C84BA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540ACC6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3D50BF5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901" w:type="pct"/>
            <w:tcBorders>
              <w:top w:val="nil"/>
              <w:left w:val="nil"/>
              <w:bottom w:val="single" w:color="auto" w:sz="4" w:space="0"/>
              <w:right w:val="single" w:color="auto" w:sz="4" w:space="0"/>
            </w:tcBorders>
            <w:vAlign w:val="center"/>
          </w:tcPr>
          <w:p w14:paraId="5DC88B3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579" w:type="pct"/>
            <w:tcBorders>
              <w:top w:val="nil"/>
              <w:left w:val="nil"/>
              <w:bottom w:val="single" w:color="auto" w:sz="4" w:space="0"/>
              <w:right w:val="single" w:color="auto" w:sz="4" w:space="0"/>
            </w:tcBorders>
            <w:vAlign w:val="center"/>
          </w:tcPr>
          <w:p w14:paraId="7190F84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252BE2C0">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2027C144">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302E106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7237992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59FA67C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3000≤Y＜30000</w:t>
            </w:r>
          </w:p>
        </w:tc>
        <w:tc>
          <w:tcPr>
            <w:tcW w:w="901" w:type="pct"/>
            <w:tcBorders>
              <w:top w:val="nil"/>
              <w:left w:val="nil"/>
              <w:bottom w:val="single" w:color="auto" w:sz="4" w:space="0"/>
              <w:right w:val="single" w:color="auto" w:sz="4" w:space="0"/>
            </w:tcBorders>
            <w:vAlign w:val="center"/>
          </w:tcPr>
          <w:p w14:paraId="766CCAA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200≤Y＜3000</w:t>
            </w:r>
          </w:p>
        </w:tc>
        <w:tc>
          <w:tcPr>
            <w:tcW w:w="579" w:type="pct"/>
            <w:tcBorders>
              <w:top w:val="nil"/>
              <w:left w:val="nil"/>
              <w:bottom w:val="single" w:color="auto" w:sz="4" w:space="0"/>
              <w:right w:val="single" w:color="auto" w:sz="4" w:space="0"/>
            </w:tcBorders>
            <w:vAlign w:val="center"/>
          </w:tcPr>
          <w:p w14:paraId="46A78F2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Y＜200</w:t>
            </w:r>
          </w:p>
        </w:tc>
      </w:tr>
      <w:tr w14:paraId="4BE4ED35">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1FA6A4D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仓储业</w:t>
            </w:r>
          </w:p>
        </w:tc>
        <w:tc>
          <w:tcPr>
            <w:tcW w:w="977" w:type="pct"/>
            <w:tcBorders>
              <w:top w:val="nil"/>
              <w:left w:val="nil"/>
              <w:bottom w:val="single" w:color="auto" w:sz="4" w:space="0"/>
              <w:right w:val="single" w:color="auto" w:sz="4" w:space="0"/>
            </w:tcBorders>
            <w:vAlign w:val="center"/>
          </w:tcPr>
          <w:p w14:paraId="570E6B5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5F392BB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2F4F0B6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100≤X＜200</w:t>
            </w:r>
          </w:p>
        </w:tc>
        <w:tc>
          <w:tcPr>
            <w:tcW w:w="901" w:type="pct"/>
            <w:tcBorders>
              <w:top w:val="nil"/>
              <w:left w:val="nil"/>
              <w:bottom w:val="single" w:color="auto" w:sz="4" w:space="0"/>
              <w:right w:val="single" w:color="auto" w:sz="4" w:space="0"/>
            </w:tcBorders>
            <w:vAlign w:val="center"/>
          </w:tcPr>
          <w:p w14:paraId="06748AC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20≤X＜100</w:t>
            </w:r>
          </w:p>
        </w:tc>
        <w:tc>
          <w:tcPr>
            <w:tcW w:w="579" w:type="pct"/>
            <w:tcBorders>
              <w:top w:val="nil"/>
              <w:left w:val="nil"/>
              <w:bottom w:val="single" w:color="auto" w:sz="4" w:space="0"/>
              <w:right w:val="single" w:color="auto" w:sz="4" w:space="0"/>
            </w:tcBorders>
            <w:vAlign w:val="center"/>
          </w:tcPr>
          <w:p w14:paraId="3FFC44B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3B8D1ECB">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286CE418">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74773E6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1DA15BB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5248702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1000≤Y＜30000</w:t>
            </w:r>
          </w:p>
        </w:tc>
        <w:tc>
          <w:tcPr>
            <w:tcW w:w="901" w:type="pct"/>
            <w:tcBorders>
              <w:top w:val="nil"/>
              <w:left w:val="nil"/>
              <w:bottom w:val="single" w:color="auto" w:sz="4" w:space="0"/>
              <w:right w:val="single" w:color="auto" w:sz="4" w:space="0"/>
            </w:tcBorders>
            <w:vAlign w:val="center"/>
          </w:tcPr>
          <w:p w14:paraId="40030E2A">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579" w:type="pct"/>
            <w:tcBorders>
              <w:top w:val="nil"/>
              <w:left w:val="nil"/>
              <w:bottom w:val="single" w:color="auto" w:sz="4" w:space="0"/>
              <w:right w:val="single" w:color="auto" w:sz="4" w:space="0"/>
            </w:tcBorders>
            <w:vAlign w:val="center"/>
          </w:tcPr>
          <w:p w14:paraId="5043291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5DC997AB">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2FE322B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邮政业</w:t>
            </w:r>
          </w:p>
        </w:tc>
        <w:tc>
          <w:tcPr>
            <w:tcW w:w="977" w:type="pct"/>
            <w:tcBorders>
              <w:top w:val="nil"/>
              <w:left w:val="nil"/>
              <w:bottom w:val="single" w:color="auto" w:sz="4" w:space="0"/>
              <w:right w:val="single" w:color="auto" w:sz="4" w:space="0"/>
            </w:tcBorders>
            <w:vAlign w:val="center"/>
          </w:tcPr>
          <w:p w14:paraId="37B8BA6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44D4B48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2F1F4D9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901" w:type="pct"/>
            <w:tcBorders>
              <w:top w:val="nil"/>
              <w:left w:val="nil"/>
              <w:bottom w:val="single" w:color="auto" w:sz="4" w:space="0"/>
              <w:right w:val="single" w:color="auto" w:sz="4" w:space="0"/>
            </w:tcBorders>
            <w:vAlign w:val="center"/>
          </w:tcPr>
          <w:p w14:paraId="5EF0F89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20≤X＜300</w:t>
            </w:r>
          </w:p>
        </w:tc>
        <w:tc>
          <w:tcPr>
            <w:tcW w:w="579" w:type="pct"/>
            <w:tcBorders>
              <w:top w:val="nil"/>
              <w:left w:val="nil"/>
              <w:bottom w:val="single" w:color="auto" w:sz="4" w:space="0"/>
              <w:right w:val="single" w:color="auto" w:sz="4" w:space="0"/>
            </w:tcBorders>
            <w:vAlign w:val="center"/>
          </w:tcPr>
          <w:p w14:paraId="5D7E9FE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X＜20</w:t>
            </w:r>
          </w:p>
        </w:tc>
      </w:tr>
      <w:tr w14:paraId="2B8175F8">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19CC55C9">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4F03D19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608D6CD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2C9486A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2000≤Y＜30000</w:t>
            </w:r>
          </w:p>
        </w:tc>
        <w:tc>
          <w:tcPr>
            <w:tcW w:w="901" w:type="pct"/>
            <w:tcBorders>
              <w:top w:val="nil"/>
              <w:left w:val="nil"/>
              <w:bottom w:val="single" w:color="auto" w:sz="4" w:space="0"/>
              <w:right w:val="single" w:color="auto" w:sz="4" w:space="0"/>
            </w:tcBorders>
            <w:vAlign w:val="center"/>
          </w:tcPr>
          <w:p w14:paraId="58FDE69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579" w:type="pct"/>
            <w:tcBorders>
              <w:top w:val="nil"/>
              <w:left w:val="nil"/>
              <w:bottom w:val="single" w:color="auto" w:sz="4" w:space="0"/>
              <w:right w:val="single" w:color="auto" w:sz="4" w:space="0"/>
            </w:tcBorders>
            <w:vAlign w:val="center"/>
          </w:tcPr>
          <w:p w14:paraId="1F8424B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565074F6">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20977DBE">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住宿业</w:t>
            </w:r>
          </w:p>
        </w:tc>
        <w:tc>
          <w:tcPr>
            <w:tcW w:w="977" w:type="pct"/>
            <w:tcBorders>
              <w:top w:val="nil"/>
              <w:left w:val="nil"/>
              <w:bottom w:val="single" w:color="auto" w:sz="4" w:space="0"/>
              <w:right w:val="single" w:color="auto" w:sz="4" w:space="0"/>
            </w:tcBorders>
            <w:vAlign w:val="center"/>
          </w:tcPr>
          <w:p w14:paraId="6EBFA2E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48D9AA06">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615C78E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901" w:type="pct"/>
            <w:tcBorders>
              <w:top w:val="nil"/>
              <w:left w:val="nil"/>
              <w:bottom w:val="single" w:color="auto" w:sz="4" w:space="0"/>
              <w:right w:val="single" w:color="auto" w:sz="4" w:space="0"/>
            </w:tcBorders>
            <w:vAlign w:val="center"/>
          </w:tcPr>
          <w:p w14:paraId="33961B4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20A0DD2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3281D303">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67A3D4C3">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3261D0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383537E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6CADFA3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901" w:type="pct"/>
            <w:tcBorders>
              <w:top w:val="nil"/>
              <w:left w:val="nil"/>
              <w:bottom w:val="single" w:color="auto" w:sz="4" w:space="0"/>
              <w:right w:val="single" w:color="auto" w:sz="4" w:space="0"/>
            </w:tcBorders>
            <w:vAlign w:val="center"/>
          </w:tcPr>
          <w:p w14:paraId="69643E3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579" w:type="pct"/>
            <w:tcBorders>
              <w:top w:val="nil"/>
              <w:left w:val="nil"/>
              <w:bottom w:val="single" w:color="auto" w:sz="4" w:space="0"/>
              <w:right w:val="single" w:color="auto" w:sz="4" w:space="0"/>
            </w:tcBorders>
            <w:vAlign w:val="center"/>
          </w:tcPr>
          <w:p w14:paraId="45B4573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0EF0FD53">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3988D642">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餐饮业</w:t>
            </w:r>
          </w:p>
        </w:tc>
        <w:tc>
          <w:tcPr>
            <w:tcW w:w="977" w:type="pct"/>
            <w:tcBorders>
              <w:top w:val="nil"/>
              <w:left w:val="nil"/>
              <w:bottom w:val="single" w:color="auto" w:sz="4" w:space="0"/>
              <w:right w:val="single" w:color="auto" w:sz="4" w:space="0"/>
            </w:tcBorders>
            <w:vAlign w:val="center"/>
          </w:tcPr>
          <w:p w14:paraId="5190765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2E18FC0A">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0F89DEF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901" w:type="pct"/>
            <w:tcBorders>
              <w:top w:val="nil"/>
              <w:left w:val="nil"/>
              <w:bottom w:val="single" w:color="auto" w:sz="4" w:space="0"/>
              <w:right w:val="single" w:color="auto" w:sz="4" w:space="0"/>
            </w:tcBorders>
            <w:vAlign w:val="center"/>
          </w:tcPr>
          <w:p w14:paraId="373B0FE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6FDD116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650A98DD">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4E332474">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B0A650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78D2DD8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4C88E33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2000≤Y＜10000</w:t>
            </w:r>
          </w:p>
        </w:tc>
        <w:tc>
          <w:tcPr>
            <w:tcW w:w="901" w:type="pct"/>
            <w:tcBorders>
              <w:top w:val="nil"/>
              <w:left w:val="nil"/>
              <w:bottom w:val="single" w:color="auto" w:sz="4" w:space="0"/>
              <w:right w:val="single" w:color="auto" w:sz="4" w:space="0"/>
            </w:tcBorders>
            <w:vAlign w:val="center"/>
          </w:tcPr>
          <w:p w14:paraId="3A81ECA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100≤Y＜2000</w:t>
            </w:r>
          </w:p>
        </w:tc>
        <w:tc>
          <w:tcPr>
            <w:tcW w:w="579" w:type="pct"/>
            <w:tcBorders>
              <w:top w:val="nil"/>
              <w:left w:val="nil"/>
              <w:bottom w:val="single" w:color="auto" w:sz="4" w:space="0"/>
              <w:right w:val="single" w:color="auto" w:sz="4" w:space="0"/>
            </w:tcBorders>
            <w:vAlign w:val="center"/>
          </w:tcPr>
          <w:p w14:paraId="255FBE0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0DA7C46F">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62975390">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信息传输业</w:t>
            </w:r>
          </w:p>
        </w:tc>
        <w:tc>
          <w:tcPr>
            <w:tcW w:w="977" w:type="pct"/>
            <w:tcBorders>
              <w:top w:val="nil"/>
              <w:left w:val="nil"/>
              <w:bottom w:val="single" w:color="auto" w:sz="4" w:space="0"/>
              <w:right w:val="single" w:color="auto" w:sz="4" w:space="0"/>
            </w:tcBorders>
            <w:vAlign w:val="center"/>
          </w:tcPr>
          <w:p w14:paraId="626DB02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250A9C4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231A5C2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100≤X＜2000</w:t>
            </w:r>
          </w:p>
        </w:tc>
        <w:tc>
          <w:tcPr>
            <w:tcW w:w="901" w:type="pct"/>
            <w:tcBorders>
              <w:top w:val="nil"/>
              <w:left w:val="nil"/>
              <w:bottom w:val="single" w:color="auto" w:sz="4" w:space="0"/>
              <w:right w:val="single" w:color="auto" w:sz="4" w:space="0"/>
            </w:tcBorders>
            <w:vAlign w:val="center"/>
          </w:tcPr>
          <w:p w14:paraId="454D665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455CA16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53437A6C">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782780A8">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E7F9EE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2100A12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3033DBD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1000≤Y＜100000</w:t>
            </w:r>
          </w:p>
        </w:tc>
        <w:tc>
          <w:tcPr>
            <w:tcW w:w="901" w:type="pct"/>
            <w:tcBorders>
              <w:top w:val="nil"/>
              <w:left w:val="nil"/>
              <w:bottom w:val="single" w:color="auto" w:sz="4" w:space="0"/>
              <w:right w:val="single" w:color="auto" w:sz="4" w:space="0"/>
            </w:tcBorders>
            <w:vAlign w:val="center"/>
          </w:tcPr>
          <w:p w14:paraId="5086A70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100≤Y＜1000</w:t>
            </w:r>
          </w:p>
        </w:tc>
        <w:tc>
          <w:tcPr>
            <w:tcW w:w="579" w:type="pct"/>
            <w:tcBorders>
              <w:top w:val="nil"/>
              <w:left w:val="nil"/>
              <w:bottom w:val="single" w:color="auto" w:sz="4" w:space="0"/>
              <w:right w:val="single" w:color="auto" w:sz="4" w:space="0"/>
            </w:tcBorders>
            <w:vAlign w:val="center"/>
          </w:tcPr>
          <w:p w14:paraId="58C3313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522B91D3">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EBC559A">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977" w:type="pct"/>
            <w:tcBorders>
              <w:top w:val="nil"/>
              <w:left w:val="nil"/>
              <w:bottom w:val="single" w:color="auto" w:sz="4" w:space="0"/>
              <w:right w:val="single" w:color="auto" w:sz="4" w:space="0"/>
            </w:tcBorders>
            <w:vAlign w:val="center"/>
          </w:tcPr>
          <w:p w14:paraId="7A2CE30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270DE3C6">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5AE7FC2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901" w:type="pct"/>
            <w:tcBorders>
              <w:top w:val="nil"/>
              <w:left w:val="nil"/>
              <w:bottom w:val="single" w:color="auto" w:sz="4" w:space="0"/>
              <w:right w:val="single" w:color="auto" w:sz="4" w:space="0"/>
            </w:tcBorders>
            <w:vAlign w:val="center"/>
          </w:tcPr>
          <w:p w14:paraId="10C1E44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795F256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07ED774B">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6C863393">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73758C21">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7F8DC66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7D010CF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1000≤Y＜10000</w:t>
            </w:r>
          </w:p>
        </w:tc>
        <w:tc>
          <w:tcPr>
            <w:tcW w:w="901" w:type="pct"/>
            <w:tcBorders>
              <w:top w:val="nil"/>
              <w:left w:val="nil"/>
              <w:bottom w:val="single" w:color="auto" w:sz="4" w:space="0"/>
              <w:right w:val="single" w:color="auto" w:sz="4" w:space="0"/>
            </w:tcBorders>
            <w:vAlign w:val="center"/>
          </w:tcPr>
          <w:p w14:paraId="2C5C79AA">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50≤Y＜1000</w:t>
            </w:r>
          </w:p>
        </w:tc>
        <w:tc>
          <w:tcPr>
            <w:tcW w:w="579" w:type="pct"/>
            <w:tcBorders>
              <w:top w:val="nil"/>
              <w:left w:val="nil"/>
              <w:bottom w:val="single" w:color="auto" w:sz="4" w:space="0"/>
              <w:right w:val="single" w:color="auto" w:sz="4" w:space="0"/>
            </w:tcBorders>
            <w:vAlign w:val="center"/>
          </w:tcPr>
          <w:p w14:paraId="72B43F4E">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Y＜50</w:t>
            </w:r>
          </w:p>
        </w:tc>
      </w:tr>
      <w:tr w14:paraId="1C08B62D">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3C0637B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房地产开发经营</w:t>
            </w:r>
          </w:p>
        </w:tc>
        <w:tc>
          <w:tcPr>
            <w:tcW w:w="977" w:type="pct"/>
            <w:tcBorders>
              <w:top w:val="nil"/>
              <w:left w:val="nil"/>
              <w:bottom w:val="single" w:color="auto" w:sz="4" w:space="0"/>
              <w:right w:val="single" w:color="auto" w:sz="4" w:space="0"/>
            </w:tcBorders>
            <w:vAlign w:val="center"/>
          </w:tcPr>
          <w:p w14:paraId="5594153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2CFDA4A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19A1BEA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1000≤Y＜200000</w:t>
            </w:r>
          </w:p>
        </w:tc>
        <w:tc>
          <w:tcPr>
            <w:tcW w:w="901" w:type="pct"/>
            <w:tcBorders>
              <w:top w:val="nil"/>
              <w:left w:val="nil"/>
              <w:bottom w:val="single" w:color="auto" w:sz="4" w:space="0"/>
              <w:right w:val="single" w:color="auto" w:sz="4" w:space="0"/>
            </w:tcBorders>
            <w:vAlign w:val="center"/>
          </w:tcPr>
          <w:p w14:paraId="6D1C0AC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100≤X＜1000</w:t>
            </w:r>
          </w:p>
        </w:tc>
        <w:tc>
          <w:tcPr>
            <w:tcW w:w="579" w:type="pct"/>
            <w:tcBorders>
              <w:top w:val="nil"/>
              <w:left w:val="nil"/>
              <w:bottom w:val="single" w:color="auto" w:sz="4" w:space="0"/>
              <w:right w:val="single" w:color="auto" w:sz="4" w:space="0"/>
            </w:tcBorders>
            <w:vAlign w:val="center"/>
          </w:tcPr>
          <w:p w14:paraId="67D61C4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10A56C24">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1541AE06">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3BDCF3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651" w:type="pct"/>
            <w:tcBorders>
              <w:top w:val="nil"/>
              <w:left w:val="nil"/>
              <w:bottom w:val="single" w:color="auto" w:sz="4" w:space="0"/>
              <w:right w:val="single" w:color="auto" w:sz="4" w:space="0"/>
            </w:tcBorders>
            <w:vAlign w:val="center"/>
          </w:tcPr>
          <w:p w14:paraId="73C2F27A">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18DD2470">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5000≤Z＜10000</w:t>
            </w:r>
          </w:p>
        </w:tc>
        <w:tc>
          <w:tcPr>
            <w:tcW w:w="901" w:type="pct"/>
            <w:tcBorders>
              <w:top w:val="nil"/>
              <w:left w:val="nil"/>
              <w:bottom w:val="single" w:color="auto" w:sz="4" w:space="0"/>
              <w:right w:val="single" w:color="auto" w:sz="4" w:space="0"/>
            </w:tcBorders>
            <w:vAlign w:val="center"/>
          </w:tcPr>
          <w:p w14:paraId="76CBA8B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2000≤Y＜5000</w:t>
            </w:r>
          </w:p>
        </w:tc>
        <w:tc>
          <w:tcPr>
            <w:tcW w:w="579" w:type="pct"/>
            <w:tcBorders>
              <w:top w:val="nil"/>
              <w:left w:val="nil"/>
              <w:bottom w:val="single" w:color="auto" w:sz="4" w:space="0"/>
              <w:right w:val="single" w:color="auto" w:sz="4" w:space="0"/>
            </w:tcBorders>
            <w:vAlign w:val="center"/>
          </w:tcPr>
          <w:p w14:paraId="7E15428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Y＜2000</w:t>
            </w:r>
          </w:p>
        </w:tc>
      </w:tr>
      <w:tr w14:paraId="3B3CBF45">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35325EBF">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物业管理</w:t>
            </w:r>
          </w:p>
        </w:tc>
        <w:tc>
          <w:tcPr>
            <w:tcW w:w="977" w:type="pct"/>
            <w:tcBorders>
              <w:top w:val="nil"/>
              <w:left w:val="nil"/>
              <w:bottom w:val="single" w:color="auto" w:sz="4" w:space="0"/>
              <w:right w:val="single" w:color="auto" w:sz="4" w:space="0"/>
            </w:tcBorders>
            <w:vAlign w:val="center"/>
          </w:tcPr>
          <w:p w14:paraId="68698BA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3420077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4BCC6DF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300≤X＜1000</w:t>
            </w:r>
          </w:p>
        </w:tc>
        <w:tc>
          <w:tcPr>
            <w:tcW w:w="901" w:type="pct"/>
            <w:tcBorders>
              <w:top w:val="nil"/>
              <w:left w:val="nil"/>
              <w:bottom w:val="single" w:color="auto" w:sz="4" w:space="0"/>
              <w:right w:val="single" w:color="auto" w:sz="4" w:space="0"/>
            </w:tcBorders>
            <w:vAlign w:val="center"/>
          </w:tcPr>
          <w:p w14:paraId="7CA2E2C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579" w:type="pct"/>
            <w:tcBorders>
              <w:top w:val="nil"/>
              <w:left w:val="nil"/>
              <w:bottom w:val="single" w:color="auto" w:sz="4" w:space="0"/>
              <w:right w:val="single" w:color="auto" w:sz="4" w:space="0"/>
            </w:tcBorders>
            <w:vAlign w:val="center"/>
          </w:tcPr>
          <w:p w14:paraId="0FE40FB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X＜100</w:t>
            </w:r>
          </w:p>
        </w:tc>
      </w:tr>
      <w:tr w14:paraId="7D182A4C">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24828C57">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3F4EAA0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营业收入（Y）</w:t>
            </w:r>
          </w:p>
        </w:tc>
        <w:tc>
          <w:tcPr>
            <w:tcW w:w="651" w:type="pct"/>
            <w:tcBorders>
              <w:top w:val="nil"/>
              <w:left w:val="nil"/>
              <w:bottom w:val="single" w:color="auto" w:sz="4" w:space="0"/>
              <w:right w:val="single" w:color="auto" w:sz="4" w:space="0"/>
            </w:tcBorders>
            <w:vAlign w:val="center"/>
          </w:tcPr>
          <w:p w14:paraId="47DD2F13">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0B63BAA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1000≤Y＜5000</w:t>
            </w:r>
          </w:p>
        </w:tc>
        <w:tc>
          <w:tcPr>
            <w:tcW w:w="901" w:type="pct"/>
            <w:tcBorders>
              <w:top w:val="nil"/>
              <w:left w:val="nil"/>
              <w:bottom w:val="single" w:color="auto" w:sz="4" w:space="0"/>
              <w:right w:val="single" w:color="auto" w:sz="4" w:space="0"/>
            </w:tcBorders>
            <w:vAlign w:val="center"/>
          </w:tcPr>
          <w:p w14:paraId="0BFC6ED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500≤Y＜1000</w:t>
            </w:r>
          </w:p>
        </w:tc>
        <w:tc>
          <w:tcPr>
            <w:tcW w:w="579" w:type="pct"/>
            <w:tcBorders>
              <w:top w:val="nil"/>
              <w:left w:val="nil"/>
              <w:bottom w:val="single" w:color="auto" w:sz="4" w:space="0"/>
              <w:right w:val="single" w:color="auto" w:sz="4" w:space="0"/>
            </w:tcBorders>
            <w:vAlign w:val="center"/>
          </w:tcPr>
          <w:p w14:paraId="6E34DD3C">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Y＜500</w:t>
            </w:r>
          </w:p>
        </w:tc>
      </w:tr>
      <w:tr w14:paraId="1D622E3F">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231BAE35">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c>
          <w:tcPr>
            <w:tcW w:w="977" w:type="pct"/>
            <w:tcBorders>
              <w:top w:val="nil"/>
              <w:left w:val="nil"/>
              <w:bottom w:val="single" w:color="auto" w:sz="4" w:space="0"/>
              <w:right w:val="single" w:color="auto" w:sz="4" w:space="0"/>
            </w:tcBorders>
            <w:vAlign w:val="center"/>
          </w:tcPr>
          <w:p w14:paraId="77F6DFD2">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54F580C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695B796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901" w:type="pct"/>
            <w:tcBorders>
              <w:top w:val="nil"/>
              <w:left w:val="nil"/>
              <w:bottom w:val="single" w:color="auto" w:sz="4" w:space="0"/>
              <w:right w:val="single" w:color="auto" w:sz="4" w:space="0"/>
            </w:tcBorders>
            <w:vAlign w:val="center"/>
          </w:tcPr>
          <w:p w14:paraId="754DA6C7">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3F04273D">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r w14:paraId="13EDD307">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5A94ED9E">
            <w:pPr>
              <w:widowControl/>
              <w:jc w:val="left"/>
              <w:rPr>
                <w:rFonts w:ascii="宋体" w:hAnsi="宋体" w:eastAsia="宋体" w:cs="宋体"/>
                <w:color w:val="auto"/>
                <w:szCs w:val="21"/>
                <w:highlight w:val="none"/>
              </w:rPr>
            </w:pPr>
          </w:p>
        </w:tc>
        <w:tc>
          <w:tcPr>
            <w:tcW w:w="977" w:type="pct"/>
            <w:tcBorders>
              <w:top w:val="nil"/>
              <w:left w:val="nil"/>
              <w:bottom w:val="single" w:color="auto" w:sz="4" w:space="0"/>
              <w:right w:val="single" w:color="auto" w:sz="4" w:space="0"/>
            </w:tcBorders>
            <w:vAlign w:val="center"/>
          </w:tcPr>
          <w:p w14:paraId="1E6CB239">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资产总额（Z）</w:t>
            </w:r>
          </w:p>
        </w:tc>
        <w:tc>
          <w:tcPr>
            <w:tcW w:w="651" w:type="pct"/>
            <w:tcBorders>
              <w:top w:val="nil"/>
              <w:left w:val="nil"/>
              <w:bottom w:val="single" w:color="auto" w:sz="4" w:space="0"/>
              <w:right w:val="single" w:color="auto" w:sz="4" w:space="0"/>
            </w:tcBorders>
            <w:vAlign w:val="center"/>
          </w:tcPr>
          <w:p w14:paraId="4AFDF6CB">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060" w:type="pct"/>
            <w:tcBorders>
              <w:top w:val="nil"/>
              <w:left w:val="nil"/>
              <w:bottom w:val="single" w:color="auto" w:sz="4" w:space="0"/>
              <w:right w:val="single" w:color="auto" w:sz="4" w:space="0"/>
            </w:tcBorders>
            <w:vAlign w:val="center"/>
          </w:tcPr>
          <w:p w14:paraId="0BF1AB88">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8000≤Z＜120000</w:t>
            </w:r>
          </w:p>
        </w:tc>
        <w:tc>
          <w:tcPr>
            <w:tcW w:w="901" w:type="pct"/>
            <w:tcBorders>
              <w:top w:val="nil"/>
              <w:left w:val="nil"/>
              <w:bottom w:val="single" w:color="auto" w:sz="4" w:space="0"/>
              <w:right w:val="single" w:color="auto" w:sz="4" w:space="0"/>
            </w:tcBorders>
            <w:vAlign w:val="center"/>
          </w:tcPr>
          <w:p w14:paraId="514E357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100≤Z＜8000</w:t>
            </w:r>
          </w:p>
        </w:tc>
        <w:tc>
          <w:tcPr>
            <w:tcW w:w="579" w:type="pct"/>
            <w:tcBorders>
              <w:top w:val="nil"/>
              <w:left w:val="nil"/>
              <w:bottom w:val="single" w:color="auto" w:sz="4" w:space="0"/>
              <w:right w:val="single" w:color="auto" w:sz="4" w:space="0"/>
            </w:tcBorders>
            <w:vAlign w:val="center"/>
          </w:tcPr>
          <w:p w14:paraId="4065940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Y＜100</w:t>
            </w:r>
          </w:p>
        </w:tc>
      </w:tr>
      <w:tr w14:paraId="3759A003">
        <w:tblPrEx>
          <w:tblCellMar>
            <w:top w:w="0" w:type="dxa"/>
            <w:left w:w="108" w:type="dxa"/>
            <w:bottom w:w="0" w:type="dxa"/>
            <w:right w:w="108" w:type="dxa"/>
          </w:tblCellMar>
        </w:tblPrEx>
        <w:trPr>
          <w:trHeight w:val="220" w:hRule="atLeast"/>
        </w:trPr>
        <w:tc>
          <w:tcPr>
            <w:tcW w:w="830" w:type="pct"/>
            <w:tcBorders>
              <w:top w:val="nil"/>
              <w:left w:val="single" w:color="auto" w:sz="4" w:space="0"/>
              <w:bottom w:val="single" w:color="auto" w:sz="4" w:space="0"/>
              <w:right w:val="single" w:color="auto" w:sz="4" w:space="0"/>
            </w:tcBorders>
            <w:vAlign w:val="bottom"/>
          </w:tcPr>
          <w:p w14:paraId="25C56346">
            <w:pPr>
              <w:widowControl/>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其他未列明行业</w:t>
            </w:r>
          </w:p>
        </w:tc>
        <w:tc>
          <w:tcPr>
            <w:tcW w:w="977" w:type="pct"/>
            <w:tcBorders>
              <w:top w:val="nil"/>
              <w:left w:val="nil"/>
              <w:bottom w:val="single" w:color="auto" w:sz="4" w:space="0"/>
              <w:right w:val="single" w:color="auto" w:sz="4" w:space="0"/>
            </w:tcBorders>
            <w:vAlign w:val="center"/>
          </w:tcPr>
          <w:p w14:paraId="207E42F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从业人员（X）</w:t>
            </w:r>
          </w:p>
        </w:tc>
        <w:tc>
          <w:tcPr>
            <w:tcW w:w="651" w:type="pct"/>
            <w:tcBorders>
              <w:top w:val="nil"/>
              <w:left w:val="nil"/>
              <w:bottom w:val="single" w:color="auto" w:sz="4" w:space="0"/>
              <w:right w:val="single" w:color="auto" w:sz="4" w:space="0"/>
            </w:tcBorders>
            <w:vAlign w:val="center"/>
          </w:tcPr>
          <w:p w14:paraId="26DB7245">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人</w:t>
            </w:r>
          </w:p>
        </w:tc>
        <w:tc>
          <w:tcPr>
            <w:tcW w:w="1060" w:type="pct"/>
            <w:tcBorders>
              <w:top w:val="nil"/>
              <w:left w:val="nil"/>
              <w:bottom w:val="single" w:color="auto" w:sz="4" w:space="0"/>
              <w:right w:val="single" w:color="auto" w:sz="4" w:space="0"/>
            </w:tcBorders>
            <w:vAlign w:val="center"/>
          </w:tcPr>
          <w:p w14:paraId="4BBB7C8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100≤X＜300</w:t>
            </w:r>
          </w:p>
        </w:tc>
        <w:tc>
          <w:tcPr>
            <w:tcW w:w="901" w:type="pct"/>
            <w:tcBorders>
              <w:top w:val="nil"/>
              <w:left w:val="nil"/>
              <w:bottom w:val="single" w:color="auto" w:sz="4" w:space="0"/>
              <w:right w:val="single" w:color="auto" w:sz="4" w:space="0"/>
            </w:tcBorders>
            <w:vAlign w:val="center"/>
          </w:tcPr>
          <w:p w14:paraId="72A65C54">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10≤X＜100</w:t>
            </w:r>
          </w:p>
        </w:tc>
        <w:tc>
          <w:tcPr>
            <w:tcW w:w="579" w:type="pct"/>
            <w:tcBorders>
              <w:top w:val="nil"/>
              <w:left w:val="nil"/>
              <w:bottom w:val="single" w:color="auto" w:sz="4" w:space="0"/>
              <w:right w:val="single" w:color="auto" w:sz="4" w:space="0"/>
            </w:tcBorders>
            <w:vAlign w:val="center"/>
          </w:tcPr>
          <w:p w14:paraId="7330EF4F">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X＜10</w:t>
            </w:r>
          </w:p>
        </w:tc>
      </w:tr>
    </w:tbl>
    <w:p w14:paraId="045C65BD">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7B7C48C">
      <w:pPr>
        <w:spacing w:line="312" w:lineRule="auto"/>
        <w:ind w:firstLine="420" w:firstLineChars="200"/>
        <w:jc w:val="left"/>
        <w:rPr>
          <w:rFonts w:ascii="宋体" w:hAnsi="宋体" w:eastAsia="宋体" w:cs="宋体"/>
          <w:bCs/>
          <w:color w:val="auto"/>
          <w:kern w:val="0"/>
          <w:szCs w:val="21"/>
          <w:highlight w:val="none"/>
        </w:rPr>
        <w:sectPr>
          <w:headerReference r:id="rId11" w:type="first"/>
          <w:headerReference r:id="rId10" w:type="default"/>
          <w:pgSz w:w="11905" w:h="16838"/>
          <w:pgMar w:top="1417" w:right="1417" w:bottom="1417" w:left="1417" w:header="851" w:footer="850" w:gutter="0"/>
          <w:cols w:space="720" w:num="1"/>
          <w:docGrid w:linePitch="312" w:charSpace="0"/>
        </w:sectPr>
      </w:pPr>
    </w:p>
    <w:bookmarkEnd w:id="24"/>
    <w:bookmarkEnd w:id="25"/>
    <w:p w14:paraId="0FFC143E">
      <w:pPr>
        <w:pStyle w:val="27"/>
        <w:snapToGrid w:val="0"/>
        <w:spacing w:before="120" w:after="120" w:line="320" w:lineRule="exact"/>
        <w:jc w:val="center"/>
        <w:outlineLvl w:val="0"/>
        <w:rPr>
          <w:rFonts w:hAnsi="宋体" w:eastAsia="宋体" w:cs="宋体"/>
          <w:color w:val="auto"/>
          <w:sz w:val="32"/>
          <w:szCs w:val="32"/>
          <w:highlight w:val="none"/>
        </w:rPr>
      </w:pPr>
      <w:bookmarkStart w:id="27" w:name="_Toc114485413"/>
      <w:r>
        <w:rPr>
          <w:rFonts w:hint="eastAsia" w:hAnsi="宋体" w:eastAsia="宋体" w:cs="宋体"/>
          <w:color w:val="auto"/>
          <w:sz w:val="32"/>
          <w:szCs w:val="32"/>
          <w:highlight w:val="none"/>
        </w:rPr>
        <w:t>第三章  供应商须知</w:t>
      </w:r>
      <w:bookmarkEnd w:id="27"/>
      <w:bookmarkStart w:id="28" w:name="_投标人须知前附表"/>
      <w:bookmarkEnd w:id="28"/>
    </w:p>
    <w:p w14:paraId="54A138C8">
      <w:pPr>
        <w:pStyle w:val="27"/>
        <w:snapToGrid w:val="0"/>
        <w:spacing w:before="120" w:after="120" w:line="320" w:lineRule="exact"/>
        <w:jc w:val="center"/>
        <w:outlineLvl w:val="1"/>
        <w:rPr>
          <w:rFonts w:hAnsi="宋体" w:eastAsia="宋体" w:cs="宋体"/>
          <w:b/>
          <w:bCs/>
          <w:color w:val="auto"/>
          <w:sz w:val="24"/>
          <w:szCs w:val="24"/>
          <w:highlight w:val="none"/>
        </w:rPr>
      </w:pPr>
      <w:r>
        <w:rPr>
          <w:rFonts w:hint="eastAsia" w:hAnsi="宋体" w:eastAsia="宋体" w:cs="宋体"/>
          <w:b/>
          <w:bCs/>
          <w:color w:val="auto"/>
          <w:sz w:val="24"/>
          <w:szCs w:val="24"/>
          <w:highlight w:val="none"/>
        </w:rPr>
        <w:t>供应商须知前附表</w:t>
      </w:r>
    </w:p>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6"/>
        <w:gridCol w:w="1235"/>
        <w:gridCol w:w="7198"/>
      </w:tblGrid>
      <w:tr w14:paraId="2A41B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46" w:type="dxa"/>
            <w:tcBorders>
              <w:top w:val="single" w:color="auto" w:sz="4" w:space="0"/>
              <w:left w:val="single" w:color="auto" w:sz="4" w:space="0"/>
              <w:bottom w:val="single" w:color="auto" w:sz="4" w:space="0"/>
              <w:right w:val="single" w:color="auto" w:sz="4" w:space="0"/>
            </w:tcBorders>
            <w:vAlign w:val="center"/>
          </w:tcPr>
          <w:p w14:paraId="480C3B94">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235" w:type="dxa"/>
            <w:tcBorders>
              <w:top w:val="single" w:color="auto" w:sz="4" w:space="0"/>
              <w:left w:val="single" w:color="auto" w:sz="4" w:space="0"/>
              <w:bottom w:val="single" w:color="auto" w:sz="4" w:space="0"/>
              <w:right w:val="single" w:color="auto" w:sz="4" w:space="0"/>
            </w:tcBorders>
            <w:vAlign w:val="center"/>
          </w:tcPr>
          <w:p w14:paraId="18567E53">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要点</w:t>
            </w:r>
          </w:p>
        </w:tc>
        <w:tc>
          <w:tcPr>
            <w:tcW w:w="7198" w:type="dxa"/>
            <w:tcBorders>
              <w:top w:val="single" w:color="auto" w:sz="4" w:space="0"/>
              <w:left w:val="single" w:color="auto" w:sz="4" w:space="0"/>
              <w:bottom w:val="single" w:color="auto" w:sz="4" w:space="0"/>
              <w:right w:val="single" w:color="auto" w:sz="4" w:space="0"/>
            </w:tcBorders>
            <w:vAlign w:val="center"/>
          </w:tcPr>
          <w:p w14:paraId="4938FCA9">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内容、要求</w:t>
            </w:r>
          </w:p>
        </w:tc>
      </w:tr>
      <w:tr w14:paraId="7EC19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35FBE983">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1.3.1</w:t>
            </w:r>
          </w:p>
        </w:tc>
        <w:tc>
          <w:tcPr>
            <w:tcW w:w="1235" w:type="dxa"/>
            <w:tcBorders>
              <w:top w:val="single" w:color="auto" w:sz="4" w:space="0"/>
              <w:left w:val="single" w:color="auto" w:sz="4" w:space="0"/>
              <w:bottom w:val="single" w:color="auto" w:sz="4" w:space="0"/>
              <w:right w:val="single" w:color="auto" w:sz="4" w:space="0"/>
            </w:tcBorders>
            <w:vAlign w:val="center"/>
          </w:tcPr>
          <w:p w14:paraId="1C3A2740">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项目基本信息</w:t>
            </w:r>
          </w:p>
        </w:tc>
        <w:tc>
          <w:tcPr>
            <w:tcW w:w="7198" w:type="dxa"/>
            <w:tcBorders>
              <w:top w:val="single" w:color="auto" w:sz="4" w:space="0"/>
              <w:left w:val="single" w:color="auto" w:sz="4" w:space="0"/>
              <w:bottom w:val="single" w:color="auto" w:sz="4" w:space="0"/>
              <w:right w:val="single" w:color="auto" w:sz="4" w:space="0"/>
            </w:tcBorders>
            <w:vAlign w:val="center"/>
          </w:tcPr>
          <w:p w14:paraId="7E0081DC">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项目名称：广西职业师范学院相思湖校区运动场跑道及灯光改造项目</w:t>
            </w:r>
          </w:p>
          <w:p w14:paraId="7482DD4A">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项目编号：GXZC2026-J2-002253-JDZB</w:t>
            </w:r>
          </w:p>
          <w:p w14:paraId="5B705033">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采购计划号：广西政采[2026]14928号</w:t>
            </w:r>
          </w:p>
        </w:tc>
      </w:tr>
      <w:tr w14:paraId="6822A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641D6B32">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1.3.1</w:t>
            </w:r>
          </w:p>
        </w:tc>
        <w:tc>
          <w:tcPr>
            <w:tcW w:w="1235" w:type="dxa"/>
            <w:tcBorders>
              <w:top w:val="single" w:color="auto" w:sz="4" w:space="0"/>
              <w:left w:val="single" w:color="auto" w:sz="4" w:space="0"/>
              <w:bottom w:val="single" w:color="auto" w:sz="4" w:space="0"/>
              <w:right w:val="single" w:color="auto" w:sz="4" w:space="0"/>
            </w:tcBorders>
            <w:vAlign w:val="center"/>
          </w:tcPr>
          <w:p w14:paraId="57A64B15">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建设地点、建设范围、工期及质量要求</w:t>
            </w:r>
          </w:p>
        </w:tc>
        <w:tc>
          <w:tcPr>
            <w:tcW w:w="7198" w:type="dxa"/>
            <w:tcBorders>
              <w:top w:val="single" w:color="auto" w:sz="4" w:space="0"/>
              <w:left w:val="single" w:color="auto" w:sz="4" w:space="0"/>
              <w:bottom w:val="single" w:color="auto" w:sz="4" w:space="0"/>
              <w:right w:val="single" w:color="auto" w:sz="4" w:space="0"/>
            </w:tcBorders>
            <w:vAlign w:val="center"/>
          </w:tcPr>
          <w:p w14:paraId="219B5061">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建设地点：广西职业师范学院</w:t>
            </w:r>
          </w:p>
          <w:p w14:paraId="5E67545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建设范围：广西职业师范学院相思湖校区运动场跑道及灯光改造项目1项，本工程为相思湖校区运动场跑道和灯光改造项目，位于南宁市。工程内容为运动跑道拆除及新建、灯光改造等</w:t>
            </w:r>
            <w:r>
              <w:rPr>
                <w:rFonts w:hint="eastAsia" w:ascii="宋体" w:hAnsi="宋体" w:eastAsia="宋体" w:cs="宋体"/>
                <w:color w:val="auto"/>
                <w:highlight w:val="none"/>
              </w:rPr>
              <w:t>。</w:t>
            </w:r>
            <w:r>
              <w:rPr>
                <w:rFonts w:hint="eastAsia" w:ascii="宋体" w:hAnsi="宋体" w:eastAsia="宋体" w:cs="宋体"/>
                <w:color w:val="auto"/>
                <w:szCs w:val="21"/>
                <w:highlight w:val="none"/>
              </w:rPr>
              <w:t>具体内容详见工程量清单及图纸要求。</w:t>
            </w:r>
          </w:p>
          <w:p w14:paraId="3D1C0CF6">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资金来源：财政资金</w:t>
            </w:r>
          </w:p>
          <w:p w14:paraId="782A146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工期要求：45日历天。</w:t>
            </w:r>
          </w:p>
          <w:p w14:paraId="015DA7DC">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rPr>
              <w:t>日</w:t>
            </w:r>
          </w:p>
          <w:p w14:paraId="00FD60E4">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质量要求：合格</w:t>
            </w:r>
          </w:p>
          <w:p w14:paraId="137AC6A0">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其他要求：无</w:t>
            </w:r>
          </w:p>
        </w:tc>
      </w:tr>
      <w:tr w14:paraId="02273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14269D21">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1.3.1</w:t>
            </w:r>
          </w:p>
          <w:p w14:paraId="2866AF97">
            <w:pPr>
              <w:spacing w:line="340" w:lineRule="atLeast"/>
              <w:jc w:val="center"/>
              <w:rPr>
                <w:rFonts w:ascii="宋体" w:hAnsi="宋体" w:eastAsia="宋体" w:cs="宋体"/>
                <w:color w:val="auto"/>
                <w:szCs w:val="21"/>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66AFAF7">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增值税计税方法</w:t>
            </w:r>
          </w:p>
        </w:tc>
        <w:tc>
          <w:tcPr>
            <w:tcW w:w="7198" w:type="dxa"/>
            <w:tcBorders>
              <w:top w:val="single" w:color="auto" w:sz="4" w:space="0"/>
              <w:left w:val="single" w:color="auto" w:sz="4" w:space="0"/>
              <w:bottom w:val="single" w:color="auto" w:sz="4" w:space="0"/>
              <w:right w:val="single" w:color="auto" w:sz="4" w:space="0"/>
            </w:tcBorders>
            <w:vAlign w:val="center"/>
          </w:tcPr>
          <w:p w14:paraId="512A97A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本工程增值税计税方法：</w:t>
            </w:r>
            <w:r>
              <w:rPr>
                <w:rFonts w:hint="eastAsia" w:ascii="宋体" w:hAnsi="宋体" w:eastAsia="宋体" w:cs="宋体"/>
                <w:color w:val="auto"/>
                <w:szCs w:val="21"/>
                <w:highlight w:val="none"/>
              </w:rPr>
              <w:sym w:font="Wingdings 2" w:char="F052"/>
            </w:r>
            <w:r>
              <w:rPr>
                <w:rFonts w:hint="eastAsia" w:ascii="宋体" w:hAnsi="宋体" w:eastAsia="宋体" w:cs="宋体"/>
                <w:color w:val="auto"/>
                <w:highlight w:val="none"/>
              </w:rPr>
              <w:t>一般计税法</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F0A3"/>
            </w:r>
            <w:r>
              <w:rPr>
                <w:rFonts w:hint="eastAsia" w:ascii="宋体" w:hAnsi="宋体" w:eastAsia="宋体" w:cs="宋体"/>
                <w:color w:val="auto"/>
                <w:highlight w:val="none"/>
              </w:rPr>
              <w:t>简易计税法</w:t>
            </w:r>
          </w:p>
          <w:p w14:paraId="6A094EF7">
            <w:pPr>
              <w:spacing w:line="340" w:lineRule="atLeast"/>
              <w:jc w:val="left"/>
              <w:rPr>
                <w:rFonts w:ascii="宋体" w:hAnsi="宋体" w:eastAsia="宋体" w:cs="宋体"/>
                <w:color w:val="auto"/>
                <w:szCs w:val="21"/>
                <w:highlight w:val="none"/>
              </w:rPr>
            </w:pPr>
            <w:r>
              <w:rPr>
                <w:rFonts w:hint="eastAsia" w:ascii="宋体" w:hAnsi="宋体" w:eastAsia="宋体" w:cs="宋体"/>
                <w:color w:val="auto"/>
                <w:highlight w:val="none"/>
              </w:rPr>
              <w:t>注：根据《关于全面推开营业税改征增值税试点的通知》（财税〔2016〕36号）、《关于建筑服务等营改增试点政策的通知》（财税〔2017〕58号）等国家、自治区现行有关文件规定。</w:t>
            </w:r>
          </w:p>
        </w:tc>
      </w:tr>
      <w:tr w14:paraId="7B15D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366AC8C5">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1.3.2</w:t>
            </w:r>
          </w:p>
        </w:tc>
        <w:tc>
          <w:tcPr>
            <w:tcW w:w="1235" w:type="dxa"/>
            <w:tcBorders>
              <w:top w:val="single" w:color="auto" w:sz="4" w:space="0"/>
              <w:left w:val="single" w:color="auto" w:sz="4" w:space="0"/>
              <w:bottom w:val="single" w:color="auto" w:sz="4" w:space="0"/>
              <w:right w:val="single" w:color="auto" w:sz="4" w:space="0"/>
            </w:tcBorders>
            <w:vAlign w:val="center"/>
          </w:tcPr>
          <w:p w14:paraId="39A50430">
            <w:pPr>
              <w:spacing w:line="340" w:lineRule="atLeas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采购方式</w:t>
            </w:r>
          </w:p>
        </w:tc>
        <w:tc>
          <w:tcPr>
            <w:tcW w:w="7198" w:type="dxa"/>
            <w:tcBorders>
              <w:top w:val="single" w:color="auto" w:sz="4" w:space="0"/>
              <w:left w:val="single" w:color="auto" w:sz="4" w:space="0"/>
              <w:bottom w:val="single" w:color="auto" w:sz="4" w:space="0"/>
              <w:right w:val="single" w:color="auto" w:sz="4" w:space="0"/>
            </w:tcBorders>
            <w:vAlign w:val="center"/>
          </w:tcPr>
          <w:p w14:paraId="0A9E6F05">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竞争性谈判。</w:t>
            </w:r>
          </w:p>
        </w:tc>
      </w:tr>
      <w:tr w14:paraId="42233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0F872459">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1.4</w:t>
            </w:r>
          </w:p>
        </w:tc>
        <w:tc>
          <w:tcPr>
            <w:tcW w:w="1235" w:type="dxa"/>
            <w:tcBorders>
              <w:top w:val="single" w:color="auto" w:sz="4" w:space="0"/>
              <w:left w:val="single" w:color="auto" w:sz="4" w:space="0"/>
              <w:bottom w:val="single" w:color="auto" w:sz="4" w:space="0"/>
              <w:right w:val="single" w:color="auto" w:sz="4" w:space="0"/>
            </w:tcBorders>
            <w:vAlign w:val="center"/>
          </w:tcPr>
          <w:p w14:paraId="4E8A33FC">
            <w:pPr>
              <w:spacing w:line="340" w:lineRule="atLeas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促进中小企业发展措施</w:t>
            </w:r>
          </w:p>
        </w:tc>
        <w:tc>
          <w:tcPr>
            <w:tcW w:w="7198" w:type="dxa"/>
            <w:tcBorders>
              <w:top w:val="single" w:color="auto" w:sz="4" w:space="0"/>
              <w:left w:val="single" w:color="auto" w:sz="4" w:space="0"/>
              <w:bottom w:val="single" w:color="auto" w:sz="4" w:space="0"/>
              <w:right w:val="single" w:color="auto" w:sz="4" w:space="0"/>
            </w:tcBorders>
            <w:vAlign w:val="center"/>
          </w:tcPr>
          <w:p w14:paraId="26F93998">
            <w:pPr>
              <w:spacing w:line="340" w:lineRule="atLeast"/>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本项目非专门面向中小微企业采购。</w:t>
            </w:r>
          </w:p>
        </w:tc>
      </w:tr>
      <w:tr w14:paraId="50114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5C0344A9">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1.5.1</w:t>
            </w:r>
          </w:p>
        </w:tc>
        <w:tc>
          <w:tcPr>
            <w:tcW w:w="1235" w:type="dxa"/>
            <w:tcBorders>
              <w:top w:val="single" w:color="auto" w:sz="4" w:space="0"/>
              <w:left w:val="single" w:color="auto" w:sz="4" w:space="0"/>
              <w:bottom w:val="single" w:color="auto" w:sz="4" w:space="0"/>
              <w:right w:val="single" w:color="auto" w:sz="4" w:space="0"/>
            </w:tcBorders>
            <w:vAlign w:val="center"/>
          </w:tcPr>
          <w:p w14:paraId="046DF2EC">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供应商资格条件</w:t>
            </w:r>
          </w:p>
        </w:tc>
        <w:tc>
          <w:tcPr>
            <w:tcW w:w="7198" w:type="dxa"/>
            <w:tcBorders>
              <w:top w:val="single" w:color="auto" w:sz="4" w:space="0"/>
              <w:left w:val="single" w:color="auto" w:sz="4" w:space="0"/>
              <w:bottom w:val="single" w:color="auto" w:sz="4" w:space="0"/>
              <w:right w:val="single" w:color="auto" w:sz="4" w:space="0"/>
            </w:tcBorders>
            <w:vAlign w:val="center"/>
          </w:tcPr>
          <w:p w14:paraId="090CEDF4">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详见谈判公告。</w:t>
            </w:r>
          </w:p>
        </w:tc>
      </w:tr>
      <w:tr w14:paraId="673E9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431771A0">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1.5.1</w:t>
            </w:r>
          </w:p>
        </w:tc>
        <w:tc>
          <w:tcPr>
            <w:tcW w:w="1235" w:type="dxa"/>
            <w:tcBorders>
              <w:top w:val="single" w:color="auto" w:sz="4" w:space="0"/>
              <w:left w:val="single" w:color="auto" w:sz="4" w:space="0"/>
              <w:bottom w:val="single" w:color="auto" w:sz="4" w:space="0"/>
              <w:right w:val="single" w:color="auto" w:sz="4" w:space="0"/>
            </w:tcBorders>
            <w:vAlign w:val="center"/>
          </w:tcPr>
          <w:p w14:paraId="756EDFC3">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供应商不得存在的情形</w:t>
            </w:r>
          </w:p>
        </w:tc>
        <w:tc>
          <w:tcPr>
            <w:tcW w:w="7198" w:type="dxa"/>
            <w:tcBorders>
              <w:top w:val="single" w:color="auto" w:sz="4" w:space="0"/>
              <w:left w:val="single" w:color="auto" w:sz="4" w:space="0"/>
              <w:bottom w:val="single" w:color="auto" w:sz="4" w:space="0"/>
              <w:right w:val="single" w:color="auto" w:sz="4" w:space="0"/>
            </w:tcBorders>
            <w:vAlign w:val="center"/>
          </w:tcPr>
          <w:p w14:paraId="398B3779">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（1）与采购人存在利害关系可能影响采购公正性的法人、其他组织；</w:t>
            </w:r>
          </w:p>
          <w:p w14:paraId="2CDBEBB5">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（2）为本标段前期准备提供设计或咨询服务的，但设计施工总承包的除外；</w:t>
            </w:r>
          </w:p>
          <w:p w14:paraId="0BEE54ED">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（3）为本标段的监理人；</w:t>
            </w:r>
          </w:p>
          <w:p w14:paraId="513CB73A">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（4）为本标段的代建人；</w:t>
            </w:r>
          </w:p>
          <w:p w14:paraId="214E0F94">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（5）为本标段提供采购代理服务的；</w:t>
            </w:r>
          </w:p>
          <w:p w14:paraId="4AB85CA2">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（6）与本标段的监理人或代建人或采购代理机构同为一个法定代表人的；</w:t>
            </w:r>
          </w:p>
          <w:p w14:paraId="1DC691B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（7）与本标段的监理人或代建人或采购代理机构相互控股或参股的；</w:t>
            </w:r>
          </w:p>
          <w:p w14:paraId="65D0CB4E">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（8）与本标段的监理人或代建人或采购代理机构相互任职或工作的；</w:t>
            </w:r>
          </w:p>
          <w:p w14:paraId="16146786">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（9）吊销或暂扣营业执照、安全生产许可证期间；</w:t>
            </w:r>
          </w:p>
          <w:p w14:paraId="27D440A5">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（10）在本行政区域被暂停或取消投标资格的；</w:t>
            </w:r>
          </w:p>
          <w:p w14:paraId="14C0BFED">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（11）财产被接管或基本账户被冻结的；</w:t>
            </w:r>
          </w:p>
          <w:p w14:paraId="418FB39A">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（12）有骗取中标或严重违约或工程质量安全问题，在本行政区域正处在停业整顿或暂停投标期间的；</w:t>
            </w:r>
          </w:p>
          <w:p w14:paraId="40E9DFE1">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（13）被责令停业的。</w:t>
            </w:r>
          </w:p>
        </w:tc>
      </w:tr>
      <w:tr w14:paraId="47E24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46" w:type="dxa"/>
            <w:tcBorders>
              <w:top w:val="single" w:color="auto" w:sz="4" w:space="0"/>
              <w:left w:val="single" w:color="auto" w:sz="4" w:space="0"/>
              <w:bottom w:val="single" w:color="auto" w:sz="4" w:space="0"/>
              <w:right w:val="single" w:color="auto" w:sz="4" w:space="0"/>
            </w:tcBorders>
            <w:vAlign w:val="center"/>
          </w:tcPr>
          <w:p w14:paraId="6777BC31">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1.5.3</w:t>
            </w:r>
          </w:p>
        </w:tc>
        <w:tc>
          <w:tcPr>
            <w:tcW w:w="1235" w:type="dxa"/>
            <w:tcBorders>
              <w:top w:val="single" w:color="auto" w:sz="4" w:space="0"/>
              <w:left w:val="single" w:color="auto" w:sz="4" w:space="0"/>
              <w:bottom w:val="single" w:color="auto" w:sz="4" w:space="0"/>
              <w:right w:val="single" w:color="auto" w:sz="4" w:space="0"/>
            </w:tcBorders>
            <w:vAlign w:val="center"/>
          </w:tcPr>
          <w:p w14:paraId="777BA2F3">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7198" w:type="dxa"/>
            <w:tcBorders>
              <w:top w:val="single" w:color="auto" w:sz="4" w:space="0"/>
              <w:left w:val="single" w:color="auto" w:sz="4" w:space="0"/>
              <w:bottom w:val="single" w:color="auto" w:sz="4" w:space="0"/>
              <w:right w:val="single" w:color="auto" w:sz="4" w:space="0"/>
            </w:tcBorders>
            <w:vAlign w:val="center"/>
          </w:tcPr>
          <w:p w14:paraId="5D274DD8">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是否接受联合体详见谈判公告</w:t>
            </w:r>
          </w:p>
        </w:tc>
      </w:tr>
      <w:tr w14:paraId="11D99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4E5ED4C8">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1.6</w:t>
            </w:r>
          </w:p>
        </w:tc>
        <w:tc>
          <w:tcPr>
            <w:tcW w:w="1235" w:type="dxa"/>
            <w:tcBorders>
              <w:top w:val="single" w:color="auto" w:sz="4" w:space="0"/>
              <w:left w:val="single" w:color="auto" w:sz="4" w:space="0"/>
              <w:bottom w:val="single" w:color="auto" w:sz="4" w:space="0"/>
              <w:right w:val="single" w:color="auto" w:sz="4" w:space="0"/>
            </w:tcBorders>
            <w:vAlign w:val="center"/>
          </w:tcPr>
          <w:p w14:paraId="2715D35A">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7198" w:type="dxa"/>
            <w:tcBorders>
              <w:top w:val="single" w:color="auto" w:sz="4" w:space="0"/>
              <w:left w:val="single" w:color="auto" w:sz="4" w:space="0"/>
              <w:bottom w:val="single" w:color="auto" w:sz="4" w:space="0"/>
              <w:right w:val="single" w:color="auto" w:sz="4" w:space="0"/>
            </w:tcBorders>
            <w:vAlign w:val="center"/>
          </w:tcPr>
          <w:p w14:paraId="0B59DD3E">
            <w:pPr>
              <w:pStyle w:val="17"/>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不组织 </w:t>
            </w:r>
          </w:p>
          <w:p w14:paraId="11895A2F">
            <w:pPr>
              <w:pStyle w:val="17"/>
              <w:rPr>
                <w:rFonts w:ascii="宋体" w:hAnsi="宋体" w:eastAsia="宋体" w:cs="宋体"/>
                <w:color w:val="auto"/>
                <w:szCs w:val="21"/>
                <w:highlight w:val="none"/>
              </w:rPr>
            </w:pPr>
            <w:r>
              <w:rPr>
                <w:rFonts w:hint="eastAsia" w:ascii="宋体" w:hAnsi="宋体" w:eastAsia="宋体" w:cs="宋体"/>
                <w:color w:val="auto"/>
                <w:szCs w:val="21"/>
                <w:highlight w:val="none"/>
              </w:rPr>
              <w:t>□组织</w:t>
            </w:r>
          </w:p>
          <w:p w14:paraId="5D557B90">
            <w:pPr>
              <w:pStyle w:val="1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踏勘时间：              </w:t>
            </w:r>
          </w:p>
          <w:p w14:paraId="33722FE2">
            <w:pPr>
              <w:pStyle w:val="17"/>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踏勘集中地点：           </w:t>
            </w:r>
          </w:p>
          <w:p w14:paraId="3EA3D282">
            <w:pPr>
              <w:pStyle w:val="17"/>
              <w:rPr>
                <w:rFonts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2DCFA42A">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☑自行踏勘 </w:t>
            </w:r>
          </w:p>
        </w:tc>
      </w:tr>
      <w:tr w14:paraId="691A7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63AB1EC9">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1.7.1</w:t>
            </w:r>
          </w:p>
        </w:tc>
        <w:tc>
          <w:tcPr>
            <w:tcW w:w="1235" w:type="dxa"/>
            <w:tcBorders>
              <w:top w:val="single" w:color="auto" w:sz="4" w:space="0"/>
              <w:left w:val="single" w:color="auto" w:sz="4" w:space="0"/>
              <w:bottom w:val="single" w:color="auto" w:sz="4" w:space="0"/>
              <w:right w:val="single" w:color="auto" w:sz="4" w:space="0"/>
            </w:tcBorders>
            <w:vAlign w:val="center"/>
          </w:tcPr>
          <w:p w14:paraId="36C8ECB9">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转包</w:t>
            </w:r>
          </w:p>
        </w:tc>
        <w:tc>
          <w:tcPr>
            <w:tcW w:w="7198" w:type="dxa"/>
            <w:tcBorders>
              <w:top w:val="single" w:color="auto" w:sz="4" w:space="0"/>
              <w:left w:val="single" w:color="auto" w:sz="4" w:space="0"/>
              <w:bottom w:val="single" w:color="auto" w:sz="4" w:space="0"/>
              <w:right w:val="single" w:color="auto" w:sz="4" w:space="0"/>
            </w:tcBorders>
            <w:vAlign w:val="center"/>
          </w:tcPr>
          <w:p w14:paraId="552E37A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本项目不允许转包。</w:t>
            </w:r>
          </w:p>
        </w:tc>
      </w:tr>
      <w:tr w14:paraId="44CE6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37AF6B69">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1.7.2</w:t>
            </w:r>
          </w:p>
        </w:tc>
        <w:tc>
          <w:tcPr>
            <w:tcW w:w="1235" w:type="dxa"/>
            <w:tcBorders>
              <w:top w:val="single" w:color="auto" w:sz="4" w:space="0"/>
              <w:left w:val="single" w:color="auto" w:sz="4" w:space="0"/>
              <w:bottom w:val="single" w:color="auto" w:sz="4" w:space="0"/>
              <w:right w:val="single" w:color="auto" w:sz="4" w:space="0"/>
            </w:tcBorders>
            <w:vAlign w:val="center"/>
          </w:tcPr>
          <w:p w14:paraId="5FB86792">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7198" w:type="dxa"/>
            <w:tcBorders>
              <w:top w:val="single" w:color="auto" w:sz="4" w:space="0"/>
              <w:left w:val="single" w:color="auto" w:sz="4" w:space="0"/>
              <w:bottom w:val="single" w:color="auto" w:sz="4" w:space="0"/>
              <w:right w:val="single" w:color="auto" w:sz="4" w:space="0"/>
            </w:tcBorders>
            <w:vAlign w:val="center"/>
          </w:tcPr>
          <w:p w14:paraId="406A305E">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是否接受分包详见谈判公告</w:t>
            </w:r>
          </w:p>
        </w:tc>
      </w:tr>
      <w:tr w14:paraId="6B4CD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3D84503A">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235" w:type="dxa"/>
            <w:tcBorders>
              <w:top w:val="single" w:color="auto" w:sz="4" w:space="0"/>
              <w:left w:val="single" w:color="auto" w:sz="4" w:space="0"/>
              <w:bottom w:val="single" w:color="auto" w:sz="4" w:space="0"/>
              <w:right w:val="single" w:color="auto" w:sz="4" w:space="0"/>
            </w:tcBorders>
            <w:vAlign w:val="center"/>
          </w:tcPr>
          <w:p w14:paraId="18069D62">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采购文件澄清、修改</w:t>
            </w:r>
          </w:p>
        </w:tc>
        <w:tc>
          <w:tcPr>
            <w:tcW w:w="7198" w:type="dxa"/>
            <w:tcBorders>
              <w:top w:val="single" w:color="auto" w:sz="4" w:space="0"/>
              <w:left w:val="single" w:color="auto" w:sz="4" w:space="0"/>
              <w:bottom w:val="single" w:color="auto" w:sz="4" w:space="0"/>
              <w:right w:val="single" w:color="auto" w:sz="4" w:space="0"/>
            </w:tcBorders>
            <w:vAlign w:val="center"/>
          </w:tcPr>
          <w:p w14:paraId="50D08A0C">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在谈判公告发布媒介发布。</w:t>
            </w:r>
          </w:p>
        </w:tc>
      </w:tr>
      <w:tr w14:paraId="55588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7E35A0D7">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2.3</w:t>
            </w:r>
          </w:p>
        </w:tc>
        <w:tc>
          <w:tcPr>
            <w:tcW w:w="1235" w:type="dxa"/>
            <w:tcBorders>
              <w:top w:val="single" w:color="auto" w:sz="4" w:space="0"/>
              <w:left w:val="single" w:color="auto" w:sz="4" w:space="0"/>
              <w:bottom w:val="single" w:color="auto" w:sz="4" w:space="0"/>
              <w:right w:val="single" w:color="auto" w:sz="4" w:space="0"/>
            </w:tcBorders>
            <w:vAlign w:val="center"/>
          </w:tcPr>
          <w:p w14:paraId="6A68492C">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确认收到澄清、修改发布的方式</w:t>
            </w:r>
          </w:p>
        </w:tc>
        <w:tc>
          <w:tcPr>
            <w:tcW w:w="7198" w:type="dxa"/>
            <w:tcBorders>
              <w:top w:val="single" w:color="auto" w:sz="4" w:space="0"/>
              <w:left w:val="single" w:color="auto" w:sz="4" w:space="0"/>
              <w:bottom w:val="single" w:color="auto" w:sz="4" w:space="0"/>
              <w:right w:val="single" w:color="auto" w:sz="4" w:space="0"/>
            </w:tcBorders>
            <w:vAlign w:val="center"/>
          </w:tcPr>
          <w:p w14:paraId="3DCBFA92">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澄清、修改文件自谈判公告发布媒体发布之日起，视为供应商已收到该澄清、修改。供应商未及时关注谈判公告发布媒体造成的损失，由供应商自行负责。</w:t>
            </w:r>
          </w:p>
        </w:tc>
      </w:tr>
      <w:tr w14:paraId="56D57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4060CE13">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3.4.1</w:t>
            </w:r>
          </w:p>
        </w:tc>
        <w:tc>
          <w:tcPr>
            <w:tcW w:w="1235" w:type="dxa"/>
            <w:tcBorders>
              <w:top w:val="single" w:color="auto" w:sz="4" w:space="0"/>
              <w:left w:val="single" w:color="auto" w:sz="4" w:space="0"/>
              <w:bottom w:val="single" w:color="auto" w:sz="4" w:space="0"/>
              <w:right w:val="single" w:color="auto" w:sz="4" w:space="0"/>
            </w:tcBorders>
            <w:vAlign w:val="center"/>
          </w:tcPr>
          <w:p w14:paraId="5CCE8FDC">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7198" w:type="dxa"/>
            <w:tcBorders>
              <w:top w:val="single" w:color="auto" w:sz="4" w:space="0"/>
              <w:left w:val="single" w:color="auto" w:sz="4" w:space="0"/>
              <w:bottom w:val="single" w:color="auto" w:sz="4" w:space="0"/>
              <w:right w:val="single" w:color="auto" w:sz="4" w:space="0"/>
            </w:tcBorders>
            <w:vAlign w:val="center"/>
          </w:tcPr>
          <w:p w14:paraId="7B71C668">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响应截止之日起90天。</w:t>
            </w:r>
          </w:p>
        </w:tc>
      </w:tr>
      <w:tr w14:paraId="090B6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56F61A93">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3.5</w:t>
            </w:r>
          </w:p>
        </w:tc>
        <w:tc>
          <w:tcPr>
            <w:tcW w:w="1235" w:type="dxa"/>
            <w:tcBorders>
              <w:top w:val="single" w:color="auto" w:sz="4" w:space="0"/>
              <w:left w:val="single" w:color="auto" w:sz="4" w:space="0"/>
              <w:bottom w:val="single" w:color="auto" w:sz="4" w:space="0"/>
              <w:right w:val="single" w:color="auto" w:sz="4" w:space="0"/>
            </w:tcBorders>
            <w:vAlign w:val="center"/>
          </w:tcPr>
          <w:p w14:paraId="3A664FDF">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7198" w:type="dxa"/>
            <w:tcBorders>
              <w:top w:val="single" w:color="auto" w:sz="4" w:space="0"/>
              <w:left w:val="single" w:color="auto" w:sz="4" w:space="0"/>
              <w:bottom w:val="single" w:color="auto" w:sz="4" w:space="0"/>
              <w:right w:val="single" w:color="auto" w:sz="4" w:space="0"/>
            </w:tcBorders>
            <w:vAlign w:val="center"/>
          </w:tcPr>
          <w:p w14:paraId="0212E905">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谈判保证金金额：人民币伍仟元整（¥5,000.00）。</w:t>
            </w:r>
          </w:p>
          <w:p w14:paraId="2A82117A">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1、缴纳方式一：</w:t>
            </w:r>
          </w:p>
          <w:p w14:paraId="5AE532B0">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1）供应商应于响应截止时间前将谈判保证金以电汇、转账形式从供应商账户一次性足额缴纳至本项目对应的专用虚拟账号，所交纳的谈判保证金仅限当次项目有效，不得重复替代使用。本项目谈判保证金缴纳专用虚拟账号信息如下：</w:t>
            </w:r>
          </w:p>
          <w:p w14:paraId="25D671B7">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开户名称：广西机电设备招标有限公司</w:t>
            </w:r>
          </w:p>
          <w:p w14:paraId="2ED542E9">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 xml:space="preserve">开户银行：平安银行南宁分行营业部 </w:t>
            </w:r>
          </w:p>
          <w:p w14:paraId="4674BEC8">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银行账号：30210485507588</w:t>
            </w:r>
          </w:p>
          <w:p w14:paraId="07C7EC35">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特别说明：本项目保证金采用虚拟账号，为保证谈判保证金与项目一一对应，供应商如参加本项目多个分标的响应，应按各分标对应的专用虚拟账号分别缴纳谈判保证金。</w:t>
            </w:r>
          </w:p>
          <w:p w14:paraId="1BBD4FCC">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2）谈判保证金币种应与响应报价币种相同。谈判保证金缴纳后无需开具收据，供应商应在响应文件中放入转账底单或电汇凭证的复印件，必须在响应截止时间之前到达指定账号，其到账时间以银行确认的到账时间为准。</w:t>
            </w:r>
          </w:p>
          <w:p w14:paraId="48AB14D5">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3）除采购文件规定不予退还保证金的情形外，采购代理机构在法定时间内通过银行原路退还保证金至供应商缴纳账户。供应商自行承担交纳保证金后未参加响应活动或谈判保证金缴纳错误而导致谈判保证金无法及时退还的责任。</w:t>
            </w:r>
          </w:p>
          <w:p w14:paraId="664B1368">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2、缴纳方式二：</w:t>
            </w:r>
          </w:p>
          <w:p w14:paraId="6934696D">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供应商可于投标截止时间前选择政采云平台允许的其他非现金形式缴纳投标保证金。具体按照政采云平台的方式操作。</w:t>
            </w:r>
          </w:p>
          <w:p w14:paraId="1ABD62FA">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3、响应保证金有下列情形之一的，视为保证金无效：</w:t>
            </w:r>
          </w:p>
          <w:p w14:paraId="6E8AC545">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（1）保证金在响应截止时间后提交的，或者不按规定交纳方式交纳的，或者未足额交纳的（包含保函额度不足的）的；</w:t>
            </w:r>
          </w:p>
          <w:p w14:paraId="5CBEC799">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（2）支票、汇票或者本票出现无效或者背书情形的；</w:t>
            </w:r>
          </w:p>
          <w:p w14:paraId="1DFC2934">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（3）保函有效期低于响应有效期的；</w:t>
            </w:r>
          </w:p>
          <w:p w14:paraId="6DC56397">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（4）非金融机构、担保机构出具保函的、非无条件保函的。</w:t>
            </w:r>
          </w:p>
          <w:p w14:paraId="488A7E6F">
            <w:pPr>
              <w:spacing w:line="340" w:lineRule="atLeast"/>
              <w:jc w:val="left"/>
              <w:rPr>
                <w:rFonts w:ascii="宋体" w:hAnsi="宋体" w:eastAsia="宋体" w:cs="宋体"/>
                <w:color w:val="auto"/>
                <w:highlight w:val="none"/>
              </w:rPr>
            </w:pPr>
            <w:r>
              <w:rPr>
                <w:rFonts w:hint="eastAsia" w:ascii="宋体" w:hAnsi="宋体" w:eastAsia="宋体" w:cs="宋体"/>
                <w:color w:val="auto"/>
                <w:highlight w:val="none"/>
              </w:rPr>
              <w:t>4、财务部联系电话：0771-2821398</w:t>
            </w:r>
          </w:p>
          <w:p w14:paraId="0421356E">
            <w:pPr>
              <w:spacing w:line="340" w:lineRule="atLeast"/>
              <w:jc w:val="left"/>
              <w:rPr>
                <w:rFonts w:ascii="宋体" w:hAnsi="宋体" w:eastAsia="宋体" w:cs="宋体"/>
                <w:b/>
                <w:bCs/>
                <w:color w:val="auto"/>
                <w:szCs w:val="21"/>
                <w:highlight w:val="none"/>
              </w:rPr>
            </w:pPr>
            <w:r>
              <w:rPr>
                <w:rFonts w:hint="eastAsia" w:ascii="宋体" w:hAnsi="宋体" w:eastAsia="宋体" w:cs="宋体"/>
                <w:b/>
                <w:color w:val="auto"/>
                <w:highlight w:val="none"/>
              </w:rPr>
              <w:t>注：为保证谈判保证金退还的及时性与便利性，鼓励优先采用方式一递交谈判保证金。</w:t>
            </w:r>
          </w:p>
        </w:tc>
      </w:tr>
      <w:tr w14:paraId="2B609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165E3071">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3.6</w:t>
            </w:r>
          </w:p>
        </w:tc>
        <w:tc>
          <w:tcPr>
            <w:tcW w:w="1235" w:type="dxa"/>
            <w:tcBorders>
              <w:top w:val="single" w:color="auto" w:sz="4" w:space="0"/>
              <w:left w:val="single" w:color="auto" w:sz="4" w:space="0"/>
              <w:bottom w:val="single" w:color="auto" w:sz="4" w:space="0"/>
              <w:right w:val="single" w:color="auto" w:sz="4" w:space="0"/>
            </w:tcBorders>
            <w:vAlign w:val="center"/>
          </w:tcPr>
          <w:p w14:paraId="367513F3">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响应文件的编制</w:t>
            </w:r>
          </w:p>
        </w:tc>
        <w:tc>
          <w:tcPr>
            <w:tcW w:w="7198" w:type="dxa"/>
            <w:tcBorders>
              <w:top w:val="single" w:color="auto" w:sz="4" w:space="0"/>
              <w:left w:val="single" w:color="auto" w:sz="4" w:space="0"/>
              <w:bottom w:val="single" w:color="auto" w:sz="4" w:space="0"/>
              <w:right w:val="single" w:color="auto" w:sz="4" w:space="0"/>
            </w:tcBorders>
            <w:vAlign w:val="center"/>
          </w:tcPr>
          <w:p w14:paraId="448B3442">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响应文件应按第六章响应文件格式分别编制并使用下载的广西政府采购云平台新版客户端制作并上传。</w:t>
            </w:r>
          </w:p>
        </w:tc>
      </w:tr>
      <w:tr w14:paraId="66EC3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34DF0417">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3.7</w:t>
            </w:r>
          </w:p>
        </w:tc>
        <w:tc>
          <w:tcPr>
            <w:tcW w:w="1235" w:type="dxa"/>
            <w:tcBorders>
              <w:top w:val="single" w:color="auto" w:sz="4" w:space="0"/>
              <w:left w:val="single" w:color="auto" w:sz="4" w:space="0"/>
              <w:bottom w:val="single" w:color="auto" w:sz="4" w:space="0"/>
              <w:right w:val="single" w:color="auto" w:sz="4" w:space="0"/>
            </w:tcBorders>
            <w:vAlign w:val="center"/>
          </w:tcPr>
          <w:p w14:paraId="6AACBBEC">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响应文件递交截止时间及截标时间</w:t>
            </w:r>
          </w:p>
        </w:tc>
        <w:tc>
          <w:tcPr>
            <w:tcW w:w="7198" w:type="dxa"/>
            <w:tcBorders>
              <w:top w:val="single" w:color="auto" w:sz="4" w:space="0"/>
              <w:left w:val="single" w:color="auto" w:sz="4" w:space="0"/>
              <w:bottom w:val="single" w:color="auto" w:sz="4" w:space="0"/>
              <w:right w:val="single" w:color="auto" w:sz="4" w:space="0"/>
            </w:tcBorders>
            <w:vAlign w:val="center"/>
          </w:tcPr>
          <w:p w14:paraId="7FB23734">
            <w:pPr>
              <w:spacing w:line="340" w:lineRule="atLeast"/>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见谈判公告要求</w:t>
            </w:r>
            <w:r>
              <w:rPr>
                <w:rFonts w:hint="eastAsia" w:ascii="宋体" w:hAnsi="宋体" w:eastAsia="宋体" w:cs="宋体"/>
                <w:color w:val="auto"/>
                <w:szCs w:val="21"/>
                <w:highlight w:val="none"/>
              </w:rPr>
              <w:t>。</w:t>
            </w:r>
          </w:p>
          <w:p w14:paraId="72FCCA5C">
            <w:pPr>
              <w:spacing w:line="340" w:lineRule="atLeast"/>
              <w:jc w:val="left"/>
              <w:rPr>
                <w:rFonts w:ascii="宋体" w:hAnsi="宋体" w:eastAsia="宋体" w:cs="宋体"/>
                <w:color w:val="auto"/>
                <w:szCs w:val="21"/>
                <w:highlight w:val="none"/>
              </w:rPr>
            </w:pPr>
          </w:p>
        </w:tc>
      </w:tr>
      <w:tr w14:paraId="402D8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0E216190">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4.2</w:t>
            </w:r>
          </w:p>
        </w:tc>
        <w:tc>
          <w:tcPr>
            <w:tcW w:w="1235" w:type="dxa"/>
            <w:tcBorders>
              <w:top w:val="single" w:color="auto" w:sz="4" w:space="0"/>
              <w:left w:val="single" w:color="auto" w:sz="4" w:space="0"/>
              <w:bottom w:val="single" w:color="auto" w:sz="4" w:space="0"/>
              <w:right w:val="single" w:color="auto" w:sz="4" w:space="0"/>
            </w:tcBorders>
            <w:vAlign w:val="center"/>
          </w:tcPr>
          <w:p w14:paraId="31A89580">
            <w:pPr>
              <w:spacing w:line="340" w:lineRule="atLeast"/>
              <w:jc w:val="center"/>
              <w:rPr>
                <w:rFonts w:ascii="宋体" w:hAnsi="宋体" w:eastAsia="宋体" w:cs="宋体"/>
                <w:color w:val="auto"/>
                <w:szCs w:val="20"/>
                <w:highlight w:val="none"/>
              </w:rPr>
            </w:pPr>
            <w:r>
              <w:rPr>
                <w:rFonts w:hint="eastAsia" w:ascii="宋体" w:hAnsi="宋体" w:eastAsia="宋体" w:cs="宋体"/>
                <w:color w:val="auto"/>
                <w:szCs w:val="21"/>
                <w:highlight w:val="none"/>
              </w:rPr>
              <w:t>备份响应文件</w:t>
            </w:r>
          </w:p>
        </w:tc>
        <w:tc>
          <w:tcPr>
            <w:tcW w:w="7198" w:type="dxa"/>
            <w:tcBorders>
              <w:top w:val="single" w:color="auto" w:sz="4" w:space="0"/>
              <w:left w:val="single" w:color="auto" w:sz="4" w:space="0"/>
              <w:bottom w:val="single" w:color="auto" w:sz="4" w:space="0"/>
              <w:right w:val="single" w:color="auto" w:sz="4" w:space="0"/>
            </w:tcBorders>
            <w:vAlign w:val="center"/>
          </w:tcPr>
          <w:p w14:paraId="2B7C0E37">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p w14:paraId="513A2F18">
            <w:pPr>
              <w:spacing w:line="340" w:lineRule="atLeast"/>
              <w:rPr>
                <w:rFonts w:ascii="宋体" w:hAnsi="宋体" w:eastAsia="宋体" w:cs="宋体"/>
                <w:color w:val="auto"/>
                <w:sz w:val="22"/>
                <w:szCs w:val="22"/>
                <w:highlight w:val="none"/>
              </w:rPr>
            </w:pPr>
            <w:r>
              <w:rPr>
                <w:rFonts w:hint="eastAsia" w:ascii="宋体" w:hAnsi="宋体" w:eastAsia="宋体" w:cs="宋体"/>
                <w:color w:val="auto"/>
                <w:highlight w:val="none"/>
              </w:rPr>
              <w:t>以</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自动生成的备份文件为依据，当项目允许接受备份响应文件时，供应商才可以按规定上传备份响应文件。</w:t>
            </w:r>
          </w:p>
        </w:tc>
      </w:tr>
      <w:tr w14:paraId="7EE43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2CB198E6">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4.3</w:t>
            </w:r>
          </w:p>
        </w:tc>
        <w:tc>
          <w:tcPr>
            <w:tcW w:w="1235" w:type="dxa"/>
            <w:tcBorders>
              <w:top w:val="single" w:color="auto" w:sz="4" w:space="0"/>
              <w:left w:val="single" w:color="auto" w:sz="4" w:space="0"/>
              <w:bottom w:val="single" w:color="auto" w:sz="4" w:space="0"/>
              <w:right w:val="single" w:color="auto" w:sz="4" w:space="0"/>
            </w:tcBorders>
            <w:vAlign w:val="center"/>
          </w:tcPr>
          <w:p w14:paraId="34438426">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0"/>
                <w:highlight w:val="none"/>
              </w:rPr>
              <w:t>演示</w:t>
            </w:r>
          </w:p>
        </w:tc>
        <w:tc>
          <w:tcPr>
            <w:tcW w:w="7198" w:type="dxa"/>
            <w:tcBorders>
              <w:top w:val="single" w:color="auto" w:sz="4" w:space="0"/>
              <w:left w:val="single" w:color="auto" w:sz="4" w:space="0"/>
              <w:bottom w:val="single" w:color="auto" w:sz="4" w:space="0"/>
              <w:right w:val="single" w:color="auto" w:sz="4" w:space="0"/>
            </w:tcBorders>
            <w:vAlign w:val="center"/>
          </w:tcPr>
          <w:p w14:paraId="1D31826B">
            <w:pPr>
              <w:spacing w:line="340" w:lineRule="atLeast"/>
              <w:rPr>
                <w:rFonts w:ascii="宋体" w:hAnsi="宋体" w:eastAsia="宋体" w:cs="宋体"/>
                <w:color w:val="auto"/>
                <w:szCs w:val="21"/>
                <w:highlight w:val="none"/>
              </w:rPr>
            </w:pPr>
            <w:r>
              <w:rPr>
                <w:rFonts w:hint="eastAsia" w:ascii="宋体" w:hAnsi="宋体" w:eastAsia="宋体" w:cs="宋体"/>
                <w:color w:val="auto"/>
                <w:sz w:val="22"/>
                <w:szCs w:val="22"/>
                <w:highlight w:val="none"/>
              </w:rPr>
              <w:sym w:font="Wingdings 2" w:char="F052"/>
            </w:r>
            <w:r>
              <w:rPr>
                <w:rFonts w:hint="eastAsia" w:ascii="宋体" w:hAnsi="宋体" w:eastAsia="宋体" w:cs="宋体"/>
                <w:color w:val="auto"/>
                <w:szCs w:val="21"/>
                <w:highlight w:val="none"/>
              </w:rPr>
              <w:t>否   □是</w:t>
            </w:r>
          </w:p>
          <w:p w14:paraId="0F6509D5">
            <w:pPr>
              <w:spacing w:line="340" w:lineRule="atLeast"/>
              <w:rPr>
                <w:rFonts w:ascii="宋体" w:hAnsi="宋体" w:eastAsia="宋体" w:cs="宋体"/>
                <w:color w:val="auto"/>
                <w:szCs w:val="21"/>
                <w:highlight w:val="none"/>
                <w:u w:val="single"/>
              </w:rPr>
            </w:pPr>
            <w:r>
              <w:rPr>
                <w:rFonts w:hint="eastAsia" w:ascii="宋体" w:hAnsi="宋体" w:eastAsia="宋体" w:cs="宋体"/>
                <w:color w:val="auto"/>
                <w:szCs w:val="21"/>
                <w:highlight w:val="none"/>
              </w:rPr>
              <w:t>演示内容：</w:t>
            </w:r>
            <w:r>
              <w:rPr>
                <w:rFonts w:hint="eastAsia" w:ascii="宋体" w:hAnsi="宋体" w:eastAsia="宋体" w:cs="宋体"/>
                <w:color w:val="auto"/>
                <w:szCs w:val="21"/>
                <w:highlight w:val="none"/>
                <w:u w:val="single"/>
              </w:rPr>
              <w:t xml:space="preserve">     /          </w:t>
            </w:r>
          </w:p>
          <w:p w14:paraId="3236E461">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演示形式： /</w:t>
            </w:r>
          </w:p>
        </w:tc>
      </w:tr>
      <w:tr w14:paraId="36E41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14780810">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4.4</w:t>
            </w:r>
          </w:p>
        </w:tc>
        <w:tc>
          <w:tcPr>
            <w:tcW w:w="1235" w:type="dxa"/>
            <w:tcBorders>
              <w:top w:val="single" w:color="auto" w:sz="4" w:space="0"/>
              <w:left w:val="single" w:color="auto" w:sz="4" w:space="0"/>
              <w:bottom w:val="single" w:color="auto" w:sz="4" w:space="0"/>
              <w:right w:val="single" w:color="auto" w:sz="4" w:space="0"/>
            </w:tcBorders>
            <w:vAlign w:val="center"/>
          </w:tcPr>
          <w:p w14:paraId="5BD9F84C">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0"/>
                <w:highlight w:val="none"/>
              </w:rPr>
              <w:t>样品</w:t>
            </w:r>
          </w:p>
        </w:tc>
        <w:tc>
          <w:tcPr>
            <w:tcW w:w="7198" w:type="dxa"/>
            <w:tcBorders>
              <w:top w:val="single" w:color="auto" w:sz="4" w:space="0"/>
              <w:left w:val="single" w:color="auto" w:sz="4" w:space="0"/>
              <w:bottom w:val="single" w:color="auto" w:sz="4" w:space="0"/>
              <w:right w:val="single" w:color="auto" w:sz="4" w:space="0"/>
            </w:tcBorders>
            <w:vAlign w:val="center"/>
          </w:tcPr>
          <w:p w14:paraId="54175513">
            <w:pPr>
              <w:spacing w:line="340" w:lineRule="atLeast"/>
              <w:rPr>
                <w:rFonts w:ascii="宋体" w:hAnsi="宋体" w:eastAsia="宋体" w:cs="宋体"/>
                <w:color w:val="auto"/>
                <w:szCs w:val="21"/>
                <w:highlight w:val="none"/>
              </w:rPr>
            </w:pPr>
            <w:r>
              <w:rPr>
                <w:rFonts w:hint="eastAsia" w:ascii="宋体" w:hAnsi="宋体" w:eastAsia="宋体" w:cs="宋体"/>
                <w:color w:val="auto"/>
                <w:sz w:val="24"/>
                <w:highlight w:val="none"/>
              </w:rPr>
              <w:sym w:font="Wingdings 2" w:char="F052"/>
            </w:r>
            <w:r>
              <w:rPr>
                <w:rFonts w:hint="eastAsia" w:ascii="宋体" w:hAnsi="宋体" w:eastAsia="宋体" w:cs="宋体"/>
                <w:color w:val="auto"/>
                <w:szCs w:val="21"/>
                <w:highlight w:val="none"/>
              </w:rPr>
              <w:t>否   □是</w:t>
            </w:r>
          </w:p>
          <w:p w14:paraId="1E278F19">
            <w:pPr>
              <w:spacing w:line="340" w:lineRule="atLeast"/>
              <w:rPr>
                <w:rFonts w:ascii="宋体" w:hAnsi="宋体" w:eastAsia="宋体" w:cs="宋体"/>
                <w:color w:val="auto"/>
                <w:szCs w:val="21"/>
                <w:highlight w:val="none"/>
                <w:u w:val="single"/>
              </w:rPr>
            </w:pPr>
            <w:r>
              <w:rPr>
                <w:rFonts w:hint="eastAsia" w:ascii="宋体" w:hAnsi="宋体" w:eastAsia="宋体" w:cs="宋体"/>
                <w:color w:val="auto"/>
                <w:szCs w:val="21"/>
                <w:highlight w:val="none"/>
              </w:rPr>
              <w:t>样品制作的标准和要求：</w:t>
            </w:r>
            <w:r>
              <w:rPr>
                <w:rFonts w:hint="eastAsia" w:ascii="宋体" w:hAnsi="宋体" w:eastAsia="宋体" w:cs="宋体"/>
                <w:color w:val="auto"/>
                <w:szCs w:val="21"/>
                <w:highlight w:val="none"/>
                <w:u w:val="single"/>
              </w:rPr>
              <w:t xml:space="preserve">   /       </w:t>
            </w:r>
          </w:p>
          <w:p w14:paraId="6EA979B6">
            <w:pPr>
              <w:spacing w:line="340" w:lineRule="atLeast"/>
              <w:rPr>
                <w:rFonts w:ascii="宋体" w:hAnsi="宋体" w:eastAsia="宋体" w:cs="宋体"/>
                <w:color w:val="auto"/>
                <w:szCs w:val="21"/>
                <w:highlight w:val="none"/>
                <w:u w:val="single"/>
              </w:rPr>
            </w:pPr>
            <w:r>
              <w:rPr>
                <w:rFonts w:hint="eastAsia" w:ascii="宋体" w:hAnsi="宋体" w:eastAsia="宋体" w:cs="宋体"/>
                <w:color w:val="auto"/>
                <w:szCs w:val="21"/>
                <w:highlight w:val="none"/>
              </w:rPr>
              <w:t>样品检测机构的要求：</w:t>
            </w:r>
            <w:r>
              <w:rPr>
                <w:rFonts w:hint="eastAsia" w:ascii="宋体" w:hAnsi="宋体" w:eastAsia="宋体" w:cs="宋体"/>
                <w:color w:val="auto"/>
                <w:szCs w:val="21"/>
                <w:highlight w:val="none"/>
                <w:u w:val="single"/>
              </w:rPr>
              <w:t xml:space="preserve">     /           </w:t>
            </w:r>
          </w:p>
          <w:p w14:paraId="76AF2DD4">
            <w:pPr>
              <w:spacing w:line="340" w:lineRule="atLeast"/>
              <w:rPr>
                <w:rFonts w:ascii="宋体" w:hAnsi="宋体" w:eastAsia="宋体" w:cs="宋体"/>
                <w:color w:val="auto"/>
                <w:szCs w:val="21"/>
                <w:highlight w:val="none"/>
                <w:u w:val="single"/>
              </w:rPr>
            </w:pPr>
            <w:r>
              <w:rPr>
                <w:rFonts w:hint="eastAsia" w:ascii="宋体" w:hAnsi="宋体" w:eastAsia="宋体" w:cs="宋体"/>
                <w:color w:val="auto"/>
                <w:szCs w:val="21"/>
                <w:highlight w:val="none"/>
              </w:rPr>
              <w:t>检测内容：</w:t>
            </w:r>
            <w:r>
              <w:rPr>
                <w:rFonts w:hint="eastAsia" w:ascii="宋体" w:hAnsi="宋体" w:eastAsia="宋体" w:cs="宋体"/>
                <w:color w:val="auto"/>
                <w:szCs w:val="21"/>
                <w:highlight w:val="none"/>
                <w:u w:val="single"/>
              </w:rPr>
              <w:t xml:space="preserve">      /               </w:t>
            </w:r>
          </w:p>
          <w:p w14:paraId="397E21D1">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样品递交方式： /</w:t>
            </w:r>
          </w:p>
        </w:tc>
      </w:tr>
      <w:tr w14:paraId="62A27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67285977">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5.3.1</w:t>
            </w:r>
          </w:p>
        </w:tc>
        <w:tc>
          <w:tcPr>
            <w:tcW w:w="1235" w:type="dxa"/>
            <w:tcBorders>
              <w:top w:val="single" w:color="auto" w:sz="4" w:space="0"/>
              <w:left w:val="single" w:color="auto" w:sz="4" w:space="0"/>
              <w:bottom w:val="single" w:color="auto" w:sz="4" w:space="0"/>
              <w:right w:val="single" w:color="auto" w:sz="4" w:space="0"/>
            </w:tcBorders>
            <w:vAlign w:val="center"/>
          </w:tcPr>
          <w:p w14:paraId="11FD0652">
            <w:pPr>
              <w:spacing w:line="300" w:lineRule="exact"/>
              <w:jc w:val="center"/>
              <w:rPr>
                <w:rFonts w:ascii="宋体" w:hAnsi="宋体" w:eastAsia="宋体" w:cs="宋体"/>
                <w:color w:val="auto"/>
                <w:szCs w:val="20"/>
                <w:highlight w:val="none"/>
              </w:rPr>
            </w:pPr>
            <w:r>
              <w:rPr>
                <w:rFonts w:hint="eastAsia" w:ascii="宋体" w:hAnsi="宋体" w:eastAsia="宋体" w:cs="宋体"/>
                <w:color w:val="auto"/>
                <w:szCs w:val="21"/>
                <w:highlight w:val="none"/>
              </w:rPr>
              <w:t>信用中国查询</w:t>
            </w:r>
          </w:p>
        </w:tc>
        <w:tc>
          <w:tcPr>
            <w:tcW w:w="7198" w:type="dxa"/>
            <w:tcBorders>
              <w:top w:val="single" w:color="auto" w:sz="4" w:space="0"/>
              <w:left w:val="single" w:color="auto" w:sz="4" w:space="0"/>
              <w:bottom w:val="single" w:color="auto" w:sz="4" w:space="0"/>
              <w:right w:val="single" w:color="auto" w:sz="4" w:space="0"/>
            </w:tcBorders>
            <w:vAlign w:val="center"/>
          </w:tcPr>
          <w:p w14:paraId="32E83455">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磋商小组在资格审查结束前，对供应商进行信用查询。</w:t>
            </w:r>
          </w:p>
          <w:p w14:paraId="112C71BB">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（1）查询渠道：广西政府采购云平台“信用中国”网站(www.creditchina.gov.cn) 、中国政府采购网(www.ccgp.gov.cn)链接入口。</w:t>
            </w:r>
          </w:p>
          <w:p w14:paraId="7113C608">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1EA11C77">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（3）查询记录和证据留存方式：在查询网站中直接截图查询记录，截图作为在“广西政府采购云”平台作为附件上传保存。</w:t>
            </w:r>
          </w:p>
          <w:p w14:paraId="25CDC8F0">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B9C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0D0FBE78">
            <w:pPr>
              <w:spacing w:line="3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6.3.5</w:t>
            </w:r>
          </w:p>
        </w:tc>
        <w:tc>
          <w:tcPr>
            <w:tcW w:w="1235" w:type="dxa"/>
            <w:tcBorders>
              <w:top w:val="single" w:color="auto" w:sz="4" w:space="0"/>
              <w:left w:val="single" w:color="auto" w:sz="4" w:space="0"/>
              <w:bottom w:val="single" w:color="auto" w:sz="4" w:space="0"/>
              <w:right w:val="single" w:color="auto" w:sz="4" w:space="0"/>
            </w:tcBorders>
            <w:vAlign w:val="center"/>
          </w:tcPr>
          <w:p w14:paraId="300AC1E2">
            <w:pPr>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异常低价审查</w:t>
            </w:r>
          </w:p>
          <w:p w14:paraId="27BCCF19">
            <w:pPr>
              <w:spacing w:line="300" w:lineRule="exact"/>
              <w:jc w:val="center"/>
              <w:rPr>
                <w:rFonts w:ascii="宋体" w:hAnsi="宋体" w:eastAsia="宋体" w:cs="宋体"/>
                <w:color w:val="auto"/>
                <w:szCs w:val="21"/>
                <w:highlight w:val="none"/>
              </w:rPr>
            </w:pPr>
          </w:p>
        </w:tc>
        <w:tc>
          <w:tcPr>
            <w:tcW w:w="7198" w:type="dxa"/>
            <w:tcBorders>
              <w:top w:val="single" w:color="auto" w:sz="4" w:space="0"/>
              <w:left w:val="single" w:color="auto" w:sz="4" w:space="0"/>
              <w:bottom w:val="single" w:color="auto" w:sz="4" w:space="0"/>
              <w:right w:val="single" w:color="auto" w:sz="4" w:space="0"/>
            </w:tcBorders>
            <w:vAlign w:val="center"/>
          </w:tcPr>
          <w:p w14:paraId="1161BD50">
            <w:pPr>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☑评审中出现下列情形之一的，评审委员会应当启动异常低价响应审查程序：</w:t>
            </w:r>
          </w:p>
          <w:p w14:paraId="6DA8679F">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（1）投标（响应）报价低于全部通过符合性审查供应商投标（响应）报价平均值50%的，即投标（响应）报价&lt;全部通过符合性审查供应商投标（响应）报价平均值×50%；</w:t>
            </w:r>
          </w:p>
          <w:p w14:paraId="709C3C7D">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（2）投标（响应）报价低于通过符合性审查的次低报价供应商投标（响应）报价50%的，即投标（响应）报价&lt;通过符合性审查的次低报价供应商投标（响应）报价×50%；</w:t>
            </w:r>
          </w:p>
          <w:p w14:paraId="34C97FD2">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（3）投标（响应）报价低于采购项目最高限价45%的，即投标（响应）报价&lt;采购项目最高限价×45%；</w:t>
            </w:r>
          </w:p>
          <w:p w14:paraId="3139713C">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tc>
      </w:tr>
      <w:tr w14:paraId="6A3A0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09BC5E79">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6.5.1</w:t>
            </w:r>
          </w:p>
        </w:tc>
        <w:tc>
          <w:tcPr>
            <w:tcW w:w="1235" w:type="dxa"/>
            <w:tcBorders>
              <w:top w:val="single" w:color="auto" w:sz="4" w:space="0"/>
              <w:left w:val="single" w:color="auto" w:sz="4" w:space="0"/>
              <w:bottom w:val="single" w:color="auto" w:sz="4" w:space="0"/>
              <w:right w:val="single" w:color="auto" w:sz="4" w:space="0"/>
            </w:tcBorders>
            <w:vAlign w:val="center"/>
          </w:tcPr>
          <w:p w14:paraId="1A8102B4">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结果公告</w:t>
            </w:r>
          </w:p>
        </w:tc>
        <w:tc>
          <w:tcPr>
            <w:tcW w:w="7198" w:type="dxa"/>
            <w:tcBorders>
              <w:top w:val="single" w:color="auto" w:sz="4" w:space="0"/>
              <w:left w:val="single" w:color="auto" w:sz="4" w:space="0"/>
              <w:bottom w:val="single" w:color="auto" w:sz="4" w:space="0"/>
              <w:right w:val="single" w:color="auto" w:sz="4" w:space="0"/>
            </w:tcBorders>
            <w:vAlign w:val="center"/>
          </w:tcPr>
          <w:p w14:paraId="62517673">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采购代理机构在采购人依法确认成交供应商后2个工作日内在谈判公告发布的媒体上发布结果公告。</w:t>
            </w:r>
          </w:p>
        </w:tc>
      </w:tr>
      <w:tr w14:paraId="438C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4F884070">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6.5.2</w:t>
            </w:r>
          </w:p>
        </w:tc>
        <w:tc>
          <w:tcPr>
            <w:tcW w:w="1235" w:type="dxa"/>
            <w:tcBorders>
              <w:top w:val="single" w:color="auto" w:sz="4" w:space="0"/>
              <w:left w:val="single" w:color="auto" w:sz="4" w:space="0"/>
              <w:bottom w:val="single" w:color="auto" w:sz="4" w:space="0"/>
              <w:right w:val="single" w:color="auto" w:sz="4" w:space="0"/>
            </w:tcBorders>
            <w:vAlign w:val="center"/>
          </w:tcPr>
          <w:p w14:paraId="391CD81D">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成交通知书</w:t>
            </w:r>
          </w:p>
        </w:tc>
        <w:tc>
          <w:tcPr>
            <w:tcW w:w="7198" w:type="dxa"/>
            <w:tcBorders>
              <w:top w:val="single" w:color="auto" w:sz="4" w:space="0"/>
              <w:left w:val="single" w:color="auto" w:sz="4" w:space="0"/>
              <w:bottom w:val="single" w:color="auto" w:sz="4" w:space="0"/>
              <w:right w:val="single" w:color="auto" w:sz="4" w:space="0"/>
            </w:tcBorders>
            <w:vAlign w:val="center"/>
          </w:tcPr>
          <w:p w14:paraId="229B98B1">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采购代理机构通过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发出成交通知书。</w:t>
            </w:r>
          </w:p>
          <w:p w14:paraId="463D9511">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成交通知书在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推送之日起，视为成交供应商已收到，成交供应商自行承担未及时查收的后果。</w:t>
            </w:r>
          </w:p>
        </w:tc>
      </w:tr>
      <w:tr w14:paraId="14339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6" w:type="dxa"/>
            <w:tcBorders>
              <w:top w:val="single" w:color="auto" w:sz="4" w:space="0"/>
              <w:left w:val="single" w:color="auto" w:sz="4" w:space="0"/>
              <w:bottom w:val="single" w:color="auto" w:sz="4" w:space="0"/>
              <w:right w:val="single" w:color="auto" w:sz="4" w:space="0"/>
            </w:tcBorders>
            <w:vAlign w:val="center"/>
          </w:tcPr>
          <w:p w14:paraId="03189FA0">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7.2</w:t>
            </w:r>
          </w:p>
        </w:tc>
        <w:tc>
          <w:tcPr>
            <w:tcW w:w="1235" w:type="dxa"/>
            <w:tcBorders>
              <w:top w:val="single" w:color="auto" w:sz="4" w:space="0"/>
              <w:left w:val="single" w:color="auto" w:sz="4" w:space="0"/>
              <w:bottom w:val="single" w:color="auto" w:sz="4" w:space="0"/>
              <w:right w:val="single" w:color="auto" w:sz="4" w:space="0"/>
            </w:tcBorders>
            <w:vAlign w:val="center"/>
          </w:tcPr>
          <w:p w14:paraId="62B07BFD">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7198" w:type="dxa"/>
            <w:tcBorders>
              <w:top w:val="single" w:color="auto" w:sz="4" w:space="0"/>
              <w:left w:val="single" w:color="auto" w:sz="4" w:space="0"/>
              <w:bottom w:val="single" w:color="auto" w:sz="4" w:space="0"/>
              <w:right w:val="single" w:color="auto" w:sz="4" w:space="0"/>
            </w:tcBorders>
            <w:vAlign w:val="center"/>
          </w:tcPr>
          <w:p w14:paraId="279181F7">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采购人应当自成交通知书发出之日起25日内，按照采购文件和成交供应商响应文件的规定，与成交供应商签订书面合同。</w:t>
            </w:r>
          </w:p>
        </w:tc>
      </w:tr>
      <w:tr w14:paraId="4019D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46" w:type="dxa"/>
            <w:tcBorders>
              <w:top w:val="single" w:color="auto" w:sz="4" w:space="0"/>
              <w:left w:val="single" w:color="auto" w:sz="4" w:space="0"/>
              <w:bottom w:val="single" w:color="auto" w:sz="4" w:space="0"/>
              <w:right w:val="single" w:color="auto" w:sz="4" w:space="0"/>
            </w:tcBorders>
            <w:vAlign w:val="center"/>
          </w:tcPr>
          <w:p w14:paraId="1B47D5BA">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8.1</w:t>
            </w:r>
          </w:p>
        </w:tc>
        <w:tc>
          <w:tcPr>
            <w:tcW w:w="1235" w:type="dxa"/>
            <w:tcBorders>
              <w:top w:val="single" w:color="auto" w:sz="4" w:space="0"/>
              <w:left w:val="single" w:color="auto" w:sz="4" w:space="0"/>
              <w:bottom w:val="single" w:color="auto" w:sz="4" w:space="0"/>
              <w:right w:val="single" w:color="auto" w:sz="4" w:space="0"/>
            </w:tcBorders>
            <w:vAlign w:val="center"/>
          </w:tcPr>
          <w:p w14:paraId="2DDF0EF2">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质疑</w:t>
            </w:r>
          </w:p>
        </w:tc>
        <w:tc>
          <w:tcPr>
            <w:tcW w:w="7198" w:type="dxa"/>
            <w:tcBorders>
              <w:top w:val="single" w:color="auto" w:sz="4" w:space="0"/>
              <w:left w:val="single" w:color="auto" w:sz="4" w:space="0"/>
              <w:bottom w:val="single" w:color="auto" w:sz="4" w:space="0"/>
              <w:right w:val="single" w:color="auto" w:sz="4" w:space="0"/>
            </w:tcBorders>
            <w:vAlign w:val="center"/>
          </w:tcPr>
          <w:p w14:paraId="614D339A">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9C1850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（2）本项目不接受传真、移动通信、</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等方式送达的质疑材料，供应商可通过现场或邮寄方式递交书面质疑材料。供应商应于质疑有效期内将质疑函原件递交或邮寄至谈判公告中采购代理机构信息中的联系人。</w:t>
            </w:r>
          </w:p>
        </w:tc>
      </w:tr>
      <w:tr w14:paraId="48143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3A9865F7">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9.1</w:t>
            </w:r>
          </w:p>
        </w:tc>
        <w:tc>
          <w:tcPr>
            <w:tcW w:w="1235" w:type="dxa"/>
            <w:tcBorders>
              <w:top w:val="single" w:color="auto" w:sz="4" w:space="0"/>
              <w:left w:val="single" w:color="auto" w:sz="4" w:space="0"/>
              <w:bottom w:val="single" w:color="auto" w:sz="4" w:space="0"/>
              <w:right w:val="single" w:color="auto" w:sz="4" w:space="0"/>
            </w:tcBorders>
            <w:vAlign w:val="center"/>
          </w:tcPr>
          <w:p w14:paraId="038C8788">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0"/>
                <w:highlight w:val="none"/>
              </w:rPr>
              <w:t>代理服务费</w:t>
            </w:r>
          </w:p>
        </w:tc>
        <w:tc>
          <w:tcPr>
            <w:tcW w:w="7198" w:type="dxa"/>
            <w:tcBorders>
              <w:top w:val="single" w:color="auto" w:sz="4" w:space="0"/>
              <w:left w:val="single" w:color="auto" w:sz="4" w:space="0"/>
              <w:bottom w:val="single" w:color="auto" w:sz="4" w:space="0"/>
              <w:right w:val="single" w:color="auto" w:sz="4" w:space="0"/>
            </w:tcBorders>
            <w:vAlign w:val="center"/>
          </w:tcPr>
          <w:p w14:paraId="413814DE">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0"/>
                <w:highlight w:val="none"/>
              </w:rPr>
              <w:t>代理服务费</w:t>
            </w:r>
          </w:p>
          <w:p w14:paraId="1F8565C9">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采购代理机构向成交供应商收取代理服务费。本项目代理服务费按照《招标代理服务费管理暂行办法》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b/>
                <w:bCs/>
                <w:color w:val="auto"/>
                <w:szCs w:val="21"/>
                <w:highlight w:val="none"/>
              </w:rPr>
              <w:t>下浮20%</w:t>
            </w:r>
            <w:r>
              <w:rPr>
                <w:rFonts w:hint="eastAsia" w:ascii="宋体" w:hAnsi="宋体" w:eastAsia="宋体" w:cs="宋体"/>
                <w:color w:val="auto"/>
                <w:szCs w:val="21"/>
                <w:highlight w:val="none"/>
              </w:rPr>
              <w:t>计算。具体费率如下：</w:t>
            </w:r>
          </w:p>
          <w:p w14:paraId="5B9EA164">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①成交金额在100万元以下的：</w:t>
            </w:r>
          </w:p>
          <w:p w14:paraId="6FA25D34">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货物1.5％；服务招标1.5％；工程招标1.0％；</w:t>
            </w:r>
          </w:p>
          <w:p w14:paraId="42DE98F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②成交金额在100-500万元之间：</w:t>
            </w:r>
          </w:p>
          <w:p w14:paraId="709F05F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货物1.1％；服务招标0.8％；工程招标0.7％；</w:t>
            </w:r>
          </w:p>
          <w:p w14:paraId="1FB56E9D">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③成交金额在500-1000万元之间：</w:t>
            </w:r>
          </w:p>
          <w:p w14:paraId="0E613D6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货物0.8％；服务招标0.45％；工程招标0.55％；</w:t>
            </w:r>
          </w:p>
          <w:p w14:paraId="437D4D05">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④成交金额在1000-5000万元之间：</w:t>
            </w:r>
          </w:p>
          <w:p w14:paraId="39007FED">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货物0.5％；服务招标0.25％；工程招标0.35％；</w:t>
            </w:r>
          </w:p>
          <w:p w14:paraId="63386908">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p>
          <w:p w14:paraId="0622521E">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差额定率累进法计算过程示例：</w:t>
            </w:r>
          </w:p>
          <w:p w14:paraId="6DB50630">
            <w:pPr>
              <w:spacing w:line="340" w:lineRule="atLeas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例如：某工程代理业务成交金额为300万元，代理服务费金额按如下计算：</w:t>
            </w:r>
          </w:p>
          <w:p w14:paraId="54BB4F9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100万元×1.0%＝1万元</w:t>
            </w:r>
          </w:p>
          <w:p w14:paraId="30E9C400">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（300－100）万元×0.7%＝1.4万元</w:t>
            </w:r>
          </w:p>
          <w:p w14:paraId="131113E9">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合计收费＝1.0＋1.4=2.4万元</w:t>
            </w:r>
          </w:p>
          <w:p w14:paraId="1135984E">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5020A6D3">
            <w:pPr>
              <w:spacing w:line="34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开户银行：广西北部湾银行南宁市金湖支行</w:t>
            </w:r>
          </w:p>
          <w:p w14:paraId="0FACD93A">
            <w:pPr>
              <w:spacing w:line="34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（银行地址：南宁市金湖路57号文德大厦1楼）</w:t>
            </w:r>
          </w:p>
          <w:p w14:paraId="7516411C">
            <w:pPr>
              <w:spacing w:line="34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开户名称：广西机电设备招标有限公司</w:t>
            </w:r>
          </w:p>
          <w:p w14:paraId="71CCD477">
            <w:pPr>
              <w:spacing w:line="34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银行账号：1705012090027723 (联行号 313611017053)</w:t>
            </w:r>
          </w:p>
          <w:p w14:paraId="59FFDED4">
            <w:pPr>
              <w:spacing w:line="340"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财务联系人：吴茜（电话：0771-2821398）</w:t>
            </w:r>
          </w:p>
        </w:tc>
      </w:tr>
      <w:tr w14:paraId="2F6F4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4BDEE006">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9.3</w:t>
            </w:r>
          </w:p>
        </w:tc>
        <w:tc>
          <w:tcPr>
            <w:tcW w:w="1235" w:type="dxa"/>
            <w:tcBorders>
              <w:top w:val="single" w:color="auto" w:sz="4" w:space="0"/>
              <w:left w:val="single" w:color="auto" w:sz="4" w:space="0"/>
              <w:bottom w:val="single" w:color="auto" w:sz="4" w:space="0"/>
              <w:right w:val="single" w:color="auto" w:sz="4" w:space="0"/>
            </w:tcBorders>
            <w:vAlign w:val="center"/>
          </w:tcPr>
          <w:p w14:paraId="40452B42">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198" w:type="dxa"/>
            <w:tcBorders>
              <w:top w:val="single" w:color="auto" w:sz="4" w:space="0"/>
              <w:left w:val="single" w:color="auto" w:sz="4" w:space="0"/>
              <w:bottom w:val="single" w:color="auto" w:sz="4" w:space="0"/>
              <w:right w:val="single" w:color="auto" w:sz="4" w:space="0"/>
            </w:tcBorders>
            <w:vAlign w:val="center"/>
          </w:tcPr>
          <w:p w14:paraId="38995E1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履约保证金的形式：供应商可以选择电汇、转账、支票、汇票、本票、保函等形式缴纳或提交；采用保函形式缴纳的，采购人在保证期限届满后及时对收取的保证金进行核实和结算。</w:t>
            </w:r>
          </w:p>
          <w:p w14:paraId="6EBB6D66">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履约保证金的金额：合同总价的5%，中小微企业的收合同总价的2</w:t>
            </w:r>
            <w:r>
              <w:rPr>
                <w:rFonts w:ascii="宋体" w:hAnsi="宋体" w:eastAsia="宋体" w:cs="宋体"/>
                <w:color w:val="auto"/>
                <w:szCs w:val="21"/>
                <w:highlight w:val="none"/>
              </w:rPr>
              <w:t>%。</w:t>
            </w:r>
          </w:p>
          <w:p w14:paraId="2760C21D">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成交供应商在收到成交通知书后，须在7日内将履约保证金足额提交至采购人以下账户，否则采购人可以取消其成交资格。</w:t>
            </w:r>
          </w:p>
          <w:p w14:paraId="4603A747">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开户名称：广西职业师范学院                   </w:t>
            </w:r>
          </w:p>
          <w:p w14:paraId="15353958">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开户银行：工行南宁市西乡塘支行                   </w:t>
            </w:r>
          </w:p>
          <w:p w14:paraId="35E5A3AF">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银行账号：2102111309264000331</w:t>
            </w:r>
          </w:p>
          <w:p w14:paraId="45C54BB0">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纳税人识别号：124500004985047071 </w:t>
            </w:r>
          </w:p>
          <w:p w14:paraId="3CF573FB">
            <w:pPr>
              <w:spacing w:line="340" w:lineRule="atLeast"/>
              <w:jc w:val="left"/>
              <w:rPr>
                <w:rFonts w:ascii="宋体" w:hAnsi="宋体" w:eastAsia="宋体" w:cs="宋体"/>
                <w:color w:val="auto"/>
                <w:szCs w:val="21"/>
                <w:highlight w:val="none"/>
              </w:rPr>
            </w:pPr>
            <w:r>
              <w:rPr>
                <w:rFonts w:hint="eastAsia" w:ascii="宋体" w:hAnsi="宋体" w:eastAsia="宋体" w:cs="宋体"/>
                <w:color w:val="auto"/>
                <w:szCs w:val="21"/>
                <w:highlight w:val="none"/>
              </w:rPr>
              <w:t>履约保证金退还方式及时间、条件、不予退还的情形：详见专用合同条款。</w:t>
            </w:r>
          </w:p>
        </w:tc>
      </w:tr>
      <w:tr w14:paraId="16002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5A99D31E">
            <w:pPr>
              <w:spacing w:line="340" w:lineRule="atLeast"/>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9.3</w:t>
            </w:r>
          </w:p>
        </w:tc>
        <w:tc>
          <w:tcPr>
            <w:tcW w:w="1235" w:type="dxa"/>
            <w:tcBorders>
              <w:top w:val="single" w:color="auto" w:sz="4" w:space="0"/>
              <w:left w:val="single" w:color="auto" w:sz="4" w:space="0"/>
              <w:bottom w:val="single" w:color="auto" w:sz="4" w:space="0"/>
              <w:right w:val="single" w:color="auto" w:sz="4" w:space="0"/>
            </w:tcBorders>
            <w:vAlign w:val="center"/>
          </w:tcPr>
          <w:p w14:paraId="5A450282">
            <w:pPr>
              <w:spacing w:line="34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7198" w:type="dxa"/>
            <w:tcBorders>
              <w:top w:val="single" w:color="auto" w:sz="4" w:space="0"/>
              <w:left w:val="single" w:color="auto" w:sz="4" w:space="0"/>
              <w:bottom w:val="single" w:color="auto" w:sz="4" w:space="0"/>
              <w:right w:val="single" w:color="auto" w:sz="4" w:space="0"/>
            </w:tcBorders>
            <w:vAlign w:val="center"/>
          </w:tcPr>
          <w:p w14:paraId="247E228D">
            <w:pPr>
              <w:spacing w:line="340" w:lineRule="atLeast"/>
              <w:jc w:val="left"/>
              <w:rPr>
                <w:rFonts w:ascii="宋体" w:hAnsi="宋体" w:eastAsia="宋体" w:cs="宋体"/>
                <w:color w:val="auto"/>
                <w:szCs w:val="21"/>
                <w:highlight w:val="none"/>
              </w:rPr>
            </w:pPr>
            <w:r>
              <w:rPr>
                <w:rFonts w:hint="eastAsia" w:ascii="宋体" w:hAnsi="宋体" w:eastAsia="宋体" w:cs="宋体"/>
                <w:color w:val="auto"/>
                <w:highlight w:val="none"/>
              </w:rPr>
              <w:t>按广西壮族自治区人力资源和社会保障厅等8部门《关于印发广西壮族自治区工程建设领域农民工工资专用账户管理暂行办法实施细则的通知》（桂人社规[2022]5号）执行，承包人在合同签订之日起30日内，自主选择在自治区行政区域内依法设立或设有分支机构的银行开立专用账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09487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14:paraId="202079CC">
            <w:pPr>
              <w:spacing w:line="340" w:lineRule="atLeas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9.3</w:t>
            </w:r>
          </w:p>
        </w:tc>
        <w:tc>
          <w:tcPr>
            <w:tcW w:w="1235" w:type="dxa"/>
            <w:tcBorders>
              <w:top w:val="single" w:color="auto" w:sz="4" w:space="0"/>
              <w:left w:val="single" w:color="auto" w:sz="4" w:space="0"/>
              <w:bottom w:val="single" w:color="auto" w:sz="4" w:space="0"/>
              <w:right w:val="single" w:color="auto" w:sz="4" w:space="0"/>
            </w:tcBorders>
            <w:vAlign w:val="center"/>
          </w:tcPr>
          <w:p w14:paraId="18ED43A7">
            <w:pPr>
              <w:spacing w:line="340" w:lineRule="atLeast"/>
              <w:jc w:val="center"/>
              <w:rPr>
                <w:rFonts w:ascii="宋体" w:hAnsi="宋体" w:eastAsia="宋体" w:cs="宋体"/>
                <w:color w:val="auto"/>
                <w:szCs w:val="20"/>
                <w:highlight w:val="none"/>
              </w:rPr>
            </w:pPr>
            <w:r>
              <w:rPr>
                <w:rFonts w:hint="eastAsia" w:ascii="宋体" w:hAnsi="宋体" w:eastAsia="宋体" w:cs="宋体"/>
                <w:color w:val="auto"/>
                <w:szCs w:val="20"/>
                <w:highlight w:val="none"/>
              </w:rPr>
              <w:t>其他事项</w:t>
            </w:r>
          </w:p>
        </w:tc>
        <w:tc>
          <w:tcPr>
            <w:tcW w:w="7198" w:type="dxa"/>
            <w:tcBorders>
              <w:top w:val="single" w:color="auto" w:sz="4" w:space="0"/>
              <w:left w:val="single" w:color="auto" w:sz="4" w:space="0"/>
              <w:bottom w:val="single" w:color="auto" w:sz="4" w:space="0"/>
              <w:right w:val="single" w:color="auto" w:sz="4" w:space="0"/>
            </w:tcBorders>
            <w:vAlign w:val="center"/>
          </w:tcPr>
          <w:p w14:paraId="61492E84">
            <w:pPr>
              <w:spacing w:line="34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构成本采购文件的各个组成文件应互为解释，互为说明：</w:t>
            </w:r>
          </w:p>
          <w:p w14:paraId="4F8A576B">
            <w:pPr>
              <w:spacing w:line="340" w:lineRule="atLeast"/>
              <w:rPr>
                <w:rFonts w:ascii="宋体" w:hAnsi="宋体" w:eastAsia="宋体" w:cs="宋体"/>
                <w:color w:val="auto"/>
                <w:sz w:val="24"/>
                <w:highlight w:val="none"/>
              </w:rPr>
            </w:pPr>
            <w:r>
              <w:rPr>
                <w:rFonts w:hint="eastAsia" w:ascii="宋体" w:hAnsi="宋体" w:eastAsia="宋体" w:cs="宋体"/>
                <w:color w:val="auto"/>
                <w:szCs w:val="21"/>
                <w:highlight w:val="none"/>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C5948CF">
      <w:pPr>
        <w:tabs>
          <w:tab w:val="left" w:pos="611"/>
        </w:tabs>
        <w:rPr>
          <w:rFonts w:ascii="宋体" w:hAnsi="宋体" w:eastAsia="宋体" w:cs="宋体"/>
          <w:color w:val="auto"/>
          <w:szCs w:val="21"/>
          <w:highlight w:val="none"/>
        </w:rPr>
      </w:pPr>
    </w:p>
    <w:p w14:paraId="484AF98D">
      <w:pPr>
        <w:tabs>
          <w:tab w:val="left" w:pos="611"/>
        </w:tabs>
        <w:rPr>
          <w:rFonts w:ascii="宋体" w:hAnsi="宋体" w:eastAsia="宋体" w:cs="宋体"/>
          <w:color w:val="auto"/>
          <w:szCs w:val="21"/>
          <w:highlight w:val="none"/>
        </w:rPr>
      </w:pPr>
      <w:r>
        <w:rPr>
          <w:rFonts w:hint="eastAsia" w:ascii="宋体" w:hAnsi="宋体" w:eastAsia="宋体" w:cs="宋体"/>
          <w:color w:val="auto"/>
          <w:szCs w:val="21"/>
          <w:highlight w:val="none"/>
        </w:rPr>
        <w:tab/>
      </w:r>
    </w:p>
    <w:p w14:paraId="7F547394">
      <w:pPr>
        <w:spacing w:before="120" w:line="320" w:lineRule="atLeast"/>
        <w:outlineLvl w:val="1"/>
        <w:rPr>
          <w:rFonts w:ascii="宋体" w:hAnsi="宋体" w:eastAsia="宋体" w:cs="宋体"/>
          <w:b/>
          <w:bCs/>
          <w:color w:val="auto"/>
          <w:kern w:val="0"/>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kern w:val="0"/>
          <w:szCs w:val="21"/>
          <w:highlight w:val="none"/>
        </w:rPr>
        <w:t>1．总则</w:t>
      </w:r>
    </w:p>
    <w:p w14:paraId="65E30167">
      <w:pPr>
        <w:spacing w:before="120" w:line="320" w:lineRule="atLeast"/>
        <w:ind w:firstLine="422" w:firstLineChars="200"/>
        <w:outlineLvl w:val="2"/>
        <w:rPr>
          <w:rFonts w:ascii="宋体" w:hAnsi="宋体" w:eastAsia="宋体" w:cs="宋体"/>
          <w:b/>
          <w:bCs/>
          <w:color w:val="auto"/>
          <w:kern w:val="0"/>
          <w:szCs w:val="21"/>
          <w:highlight w:val="none"/>
        </w:rPr>
      </w:pPr>
      <w:bookmarkStart w:id="29" w:name="_Toc254970527"/>
      <w:bookmarkStart w:id="30" w:name="_Toc254970668"/>
      <w:r>
        <w:rPr>
          <w:rFonts w:hint="eastAsia" w:ascii="宋体" w:hAnsi="宋体" w:eastAsia="宋体" w:cs="宋体"/>
          <w:b/>
          <w:bCs/>
          <w:color w:val="auto"/>
          <w:kern w:val="0"/>
          <w:szCs w:val="21"/>
          <w:highlight w:val="none"/>
        </w:rPr>
        <w:t>1.1适用范围</w:t>
      </w:r>
      <w:bookmarkEnd w:id="29"/>
      <w:bookmarkEnd w:id="30"/>
    </w:p>
    <w:p w14:paraId="50B9CA5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本采购文件适用于供应商须知前附表所述项目的政府采购活动。</w:t>
      </w:r>
    </w:p>
    <w:p w14:paraId="02958551">
      <w:pPr>
        <w:spacing w:before="120" w:line="320" w:lineRule="atLeast"/>
        <w:ind w:firstLine="422" w:firstLineChars="200"/>
        <w:outlineLvl w:val="2"/>
        <w:rPr>
          <w:rFonts w:ascii="宋体" w:hAnsi="宋体" w:eastAsia="宋体" w:cs="宋体"/>
          <w:b/>
          <w:bCs/>
          <w:color w:val="auto"/>
          <w:kern w:val="0"/>
          <w:szCs w:val="21"/>
          <w:highlight w:val="none"/>
        </w:rPr>
      </w:pPr>
      <w:bookmarkStart w:id="31" w:name="_Toc254970528"/>
      <w:bookmarkStart w:id="32" w:name="_Toc254970669"/>
      <w:r>
        <w:rPr>
          <w:rFonts w:hint="eastAsia" w:ascii="宋体" w:hAnsi="宋体" w:eastAsia="宋体" w:cs="宋体"/>
          <w:b/>
          <w:bCs/>
          <w:color w:val="auto"/>
          <w:kern w:val="0"/>
          <w:szCs w:val="21"/>
          <w:highlight w:val="none"/>
        </w:rPr>
        <w:t>1.2定义</w:t>
      </w:r>
      <w:bookmarkEnd w:id="31"/>
      <w:bookmarkEnd w:id="32"/>
    </w:p>
    <w:p w14:paraId="3D282FF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1.2.1“采购人”系指依法进行政府采购的国家机关、事业单位、团体组织。</w:t>
      </w:r>
    </w:p>
    <w:p w14:paraId="49C60CA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1.2.2“供应商”系</w:t>
      </w:r>
      <w:r>
        <w:rPr>
          <w:rFonts w:hint="eastAsia" w:ascii="宋体" w:hAnsi="宋体" w:eastAsia="宋体" w:cs="宋体"/>
          <w:color w:val="auto"/>
          <w:highlight w:val="none"/>
        </w:rPr>
        <w:t>指响应招标、参加响应竞争的法人、其他组织或者自然人</w:t>
      </w:r>
      <w:r>
        <w:rPr>
          <w:rFonts w:hint="eastAsia" w:ascii="宋体" w:hAnsi="宋体" w:eastAsia="宋体" w:cs="宋体"/>
          <w:color w:val="auto"/>
          <w:szCs w:val="21"/>
          <w:highlight w:val="none"/>
        </w:rPr>
        <w:t>。</w:t>
      </w:r>
    </w:p>
    <w:p w14:paraId="4DDF2F70">
      <w:pPr>
        <w:spacing w:before="12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62BC950">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58D6AB9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1.2.6本项目的技术商务要求重要性分为“▲”（如有）、“#”（如有）和一般无标识指标。▲代表实质性要求指标，</w:t>
      </w:r>
      <w:r>
        <w:rPr>
          <w:rFonts w:hint="eastAsia" w:ascii="宋体" w:hAnsi="宋体" w:eastAsia="宋体" w:cs="宋体"/>
          <w:b/>
          <w:bCs/>
          <w:color w:val="auto"/>
          <w:szCs w:val="21"/>
          <w:highlight w:val="none"/>
        </w:rPr>
        <w:t>不满足该指标项将导致响应被否决</w:t>
      </w:r>
      <w:r>
        <w:rPr>
          <w:rFonts w:hint="eastAsia" w:ascii="宋体" w:hAnsi="宋体" w:eastAsia="宋体" w:cs="宋体"/>
          <w:color w:val="auto"/>
          <w:szCs w:val="21"/>
          <w:highlight w:val="none"/>
        </w:rPr>
        <w:t>，#代表重要指标，无标识则表示一般指标项。</w:t>
      </w:r>
    </w:p>
    <w:p w14:paraId="3E80F20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1.2.7 本采购文件出现多种选项的条款，以“</w:t>
      </w:r>
      <w:r>
        <w:rPr>
          <w:rFonts w:hint="eastAsia" w:ascii="宋体" w:hAnsi="宋体" w:eastAsia="宋体" w:cs="宋体"/>
          <w:color w:val="auto"/>
          <w:highlight w:val="none"/>
        </w:rPr>
        <w:sym w:font="Wingdings 2" w:char="F052"/>
      </w:r>
      <w:r>
        <w:rPr>
          <w:rFonts w:hint="eastAsia" w:ascii="宋体" w:hAnsi="宋体" w:eastAsia="宋体" w:cs="宋体"/>
          <w:color w:val="auto"/>
          <w:szCs w:val="21"/>
          <w:highlight w:val="none"/>
        </w:rPr>
        <w:t>”表示本条款所选择的方式。</w:t>
      </w:r>
    </w:p>
    <w:p w14:paraId="73D0F4C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1.2.8 “电子交易平台”是指以数据电文形式在线完成采购活动的信息平台，本采购文件中也称“</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w:t>
      </w:r>
    </w:p>
    <w:p w14:paraId="324AEC54">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1.3项目信息</w:t>
      </w:r>
    </w:p>
    <w:p w14:paraId="7F59265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1.3.1项目名称及编号：详见</w:t>
      </w:r>
      <w:bookmarkStart w:id="33" w:name="_Hlk89176704"/>
      <w:r>
        <w:rPr>
          <w:rFonts w:hint="eastAsia" w:ascii="宋体" w:hAnsi="宋体" w:eastAsia="宋体" w:cs="宋体"/>
          <w:color w:val="auto"/>
          <w:szCs w:val="21"/>
          <w:highlight w:val="none"/>
        </w:rPr>
        <w:t>供应商须知前附表</w:t>
      </w:r>
      <w:bookmarkEnd w:id="33"/>
    </w:p>
    <w:p w14:paraId="1A217B1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1.3.2采购方式：详见供应商须知前附表</w:t>
      </w:r>
    </w:p>
    <w:p w14:paraId="117B7839">
      <w:pPr>
        <w:spacing w:before="120" w:line="320" w:lineRule="atLeast"/>
        <w:ind w:firstLine="422" w:firstLineChars="200"/>
        <w:outlineLvl w:val="2"/>
        <w:rPr>
          <w:rFonts w:ascii="宋体" w:hAnsi="宋体" w:eastAsia="宋体" w:cs="宋体"/>
          <w:b/>
          <w:bCs/>
          <w:color w:val="auto"/>
          <w:kern w:val="0"/>
          <w:szCs w:val="21"/>
          <w:highlight w:val="none"/>
        </w:rPr>
      </w:pPr>
      <w:bookmarkStart w:id="34" w:name="_Hlk132812137"/>
      <w:r>
        <w:rPr>
          <w:rFonts w:hint="eastAsia" w:ascii="宋体" w:hAnsi="宋体" w:eastAsia="宋体" w:cs="宋体"/>
          <w:b/>
          <w:bCs/>
          <w:color w:val="auto"/>
          <w:kern w:val="0"/>
          <w:szCs w:val="21"/>
          <w:highlight w:val="none"/>
        </w:rPr>
        <w:t>1.4促进中小企业发展政策</w:t>
      </w:r>
    </w:p>
    <w:p w14:paraId="48BFE0E6">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0423A842">
      <w:pPr>
        <w:spacing w:before="120" w:line="320" w:lineRule="atLeast"/>
        <w:ind w:left="2" w:leftChars="1" w:firstLine="420" w:firstLineChars="200"/>
        <w:rPr>
          <w:rFonts w:ascii="宋体" w:hAnsi="宋体" w:eastAsia="宋体" w:cs="宋体"/>
          <w:color w:val="auto"/>
          <w:szCs w:val="21"/>
          <w:highlight w:val="none"/>
        </w:rPr>
      </w:pPr>
      <w:bookmarkStart w:id="35" w:name="_Hlk92205820"/>
      <w:r>
        <w:rPr>
          <w:rFonts w:hint="eastAsia" w:ascii="宋体" w:hAnsi="宋体" w:eastAsia="宋体" w:cs="宋体"/>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66FA9124">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1.4.2中小企业定义</w:t>
      </w:r>
    </w:p>
    <w:p w14:paraId="359EEF8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D5761D6">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1.4.2.2供应商提供的货物、工程或者服务符合下列情形的，享受本款规定的促进中小企业发展政策：</w:t>
      </w:r>
    </w:p>
    <w:p w14:paraId="0C512224">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在货物采购项目中，货物由中小企业制造，即货物由中小企业生产且使用该中小企业商号或者注册商标；</w:t>
      </w:r>
    </w:p>
    <w:p w14:paraId="1F9778ED">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在工程采购项目中，工程由中小企业承建，即工程施工单位为中小企业；</w:t>
      </w:r>
    </w:p>
    <w:p w14:paraId="1106D845">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在服务采购项目中，服务由中小企业承接，即提供服务的人员为中小企业依照《中华人民共和国劳动合同法》订立劳动合同的从业人员。</w:t>
      </w:r>
    </w:p>
    <w:p w14:paraId="4EA37D12">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在货物采购项目中，供应商提供的货物既有中小企业制造货物，也有大型企业制造货物的，不享受本款规定的促进中小企业发展政策。</w:t>
      </w:r>
    </w:p>
    <w:p w14:paraId="7102099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763778F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符合条件的货物制造商、工程施工单位、服务承接单位为中小企业的，应按采购文件规定在响应文件中提供声明函。</w:t>
      </w:r>
    </w:p>
    <w:p w14:paraId="4929818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1.4.2.4视同中小企业情形</w:t>
      </w:r>
    </w:p>
    <w:p w14:paraId="585A655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（1）符合中小企业划分标准的个体工商户，视同中小企业。</w:t>
      </w:r>
    </w:p>
    <w:p w14:paraId="1EEDAF6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（2）以联合体形式参加政府采购活动，联合体各方均为中小企业的，联合体视同中小企业。其中，联合体各方均为小微企业的，联合体视同小微企业。</w:t>
      </w:r>
    </w:p>
    <w:p w14:paraId="1F6E567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66F6C89F">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符合条件的货物制造商、工程施工单位、服务承接单位为监狱企业或残疾人福利性单位的，应按采购文件规定在响应文件中提供相关证明文件。</w:t>
      </w:r>
      <w:bookmarkEnd w:id="34"/>
      <w:bookmarkEnd w:id="35"/>
    </w:p>
    <w:p w14:paraId="247B75F9">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1.5供应商资格要求</w:t>
      </w:r>
    </w:p>
    <w:p w14:paraId="2F698EC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1.5.1供应商资格要求：详见供应商须知前附表</w:t>
      </w:r>
    </w:p>
    <w:p w14:paraId="7F96258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1.5.2按照</w:t>
      </w:r>
      <w:bookmarkStart w:id="36" w:name="_Hlk89188648"/>
      <w:r>
        <w:rPr>
          <w:rFonts w:hint="eastAsia" w:ascii="宋体" w:hAnsi="宋体" w:eastAsia="宋体" w:cs="宋体"/>
          <w:color w:val="auto"/>
          <w:szCs w:val="21"/>
          <w:highlight w:val="none"/>
        </w:rPr>
        <w:t>谈判</w:t>
      </w:r>
      <w:bookmarkEnd w:id="36"/>
      <w:r>
        <w:rPr>
          <w:rFonts w:hint="eastAsia" w:ascii="宋体" w:hAnsi="宋体" w:eastAsia="宋体" w:cs="宋体"/>
          <w:color w:val="auto"/>
          <w:szCs w:val="21"/>
          <w:highlight w:val="none"/>
        </w:rPr>
        <w:t>公告的规定获得采购文件。</w:t>
      </w:r>
    </w:p>
    <w:p w14:paraId="3E2B8F3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1.5.3本项目是否接受联合体响应，见“供应商须知前附表”规定。</w:t>
      </w:r>
    </w:p>
    <w:p w14:paraId="282196D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如接受联合体响应，联合体响应要求如下： </w:t>
      </w:r>
    </w:p>
    <w:p w14:paraId="2BA43429">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（1）供应商可以组成一个响应联合体，以一个供应商的身份共同参加响应。联合体响应的，须提供《联合体协议书》（格式后附）</w:t>
      </w:r>
    </w:p>
    <w:p w14:paraId="5571C70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8EC87D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52352E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67319E3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7590C7C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（6）联合体响应业绩、履约能力按照联合体各方其中较高的一方认定并计算（采购文件其他章节另有规定的除外）。</w:t>
      </w:r>
    </w:p>
    <w:p w14:paraId="4E4DF969">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（7）供应商为联合体的，可以由联合体中的一方或者多方共同交纳谈判保证金，其交纳的保证金对联合体各方均具有约束力。</w:t>
      </w:r>
    </w:p>
    <w:p w14:paraId="2066076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（8）联合体各方均应按照采购文件的规定提交资格证明文件。</w:t>
      </w:r>
    </w:p>
    <w:p w14:paraId="05363D6E">
      <w:pPr>
        <w:spacing w:before="120" w:line="320" w:lineRule="atLeast"/>
        <w:ind w:firstLine="422" w:firstLineChars="200"/>
        <w:outlineLvl w:val="2"/>
        <w:rPr>
          <w:rFonts w:ascii="宋体" w:hAnsi="宋体" w:eastAsia="宋体" w:cs="宋体"/>
          <w:b/>
          <w:bCs/>
          <w:color w:val="auto"/>
          <w:kern w:val="0"/>
          <w:szCs w:val="21"/>
          <w:highlight w:val="none"/>
        </w:rPr>
      </w:pPr>
      <w:bookmarkStart w:id="37" w:name="_Toc254970672"/>
      <w:bookmarkStart w:id="38" w:name="_Toc254970531"/>
      <w:r>
        <w:rPr>
          <w:rFonts w:hint="eastAsia" w:ascii="宋体" w:hAnsi="宋体" w:eastAsia="宋体" w:cs="宋体"/>
          <w:b/>
          <w:bCs/>
          <w:color w:val="auto"/>
          <w:kern w:val="0"/>
          <w:szCs w:val="21"/>
          <w:highlight w:val="none"/>
        </w:rPr>
        <w:t>1.6现场踏勘及响应费用</w:t>
      </w:r>
      <w:bookmarkEnd w:id="37"/>
      <w:bookmarkEnd w:id="38"/>
    </w:p>
    <w:p w14:paraId="0CDF5DF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1.6.1前附表如规定现场踏勘的，供应商应按规定时间地点参加踏勘。</w:t>
      </w:r>
    </w:p>
    <w:p w14:paraId="702548C9">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1.6.2供应商均应自行承担所有与响应有关的全部费用（采购文件有相关的规定除外）。</w:t>
      </w:r>
    </w:p>
    <w:p w14:paraId="616648B8">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1.7转包与分包</w:t>
      </w:r>
    </w:p>
    <w:p w14:paraId="2C00A4D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1.7.1如采购文件其他地方无特别规定，本项目不允许转包。</w:t>
      </w:r>
    </w:p>
    <w:p w14:paraId="2FC1B35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508D5A9">
      <w:pPr>
        <w:spacing w:before="120" w:line="276" w:lineRule="auto"/>
        <w:ind w:firstLine="422" w:firstLineChars="200"/>
        <w:outlineLvl w:val="2"/>
        <w:rPr>
          <w:rFonts w:ascii="宋体" w:hAnsi="宋体" w:eastAsia="宋体" w:cs="宋体"/>
          <w:b/>
          <w:bCs/>
          <w:color w:val="auto"/>
          <w:kern w:val="0"/>
          <w:szCs w:val="21"/>
          <w:highlight w:val="none"/>
        </w:rPr>
      </w:pPr>
      <w:bookmarkStart w:id="39" w:name="_Toc254970673"/>
      <w:bookmarkStart w:id="40" w:name="_Toc254970532"/>
      <w:r>
        <w:rPr>
          <w:rFonts w:hint="eastAsia" w:ascii="宋体" w:hAnsi="宋体" w:eastAsia="宋体" w:cs="宋体"/>
          <w:b/>
          <w:bCs/>
          <w:color w:val="auto"/>
          <w:kern w:val="0"/>
          <w:szCs w:val="21"/>
          <w:highlight w:val="none"/>
        </w:rPr>
        <w:t>1.8特别说明</w:t>
      </w:r>
      <w:bookmarkEnd w:id="39"/>
      <w:bookmarkEnd w:id="40"/>
    </w:p>
    <w:p w14:paraId="2EF986D1">
      <w:pPr>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35B5D24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1.8.2供应商应仔细阅读采购文件的所有内容，按照采购文件的要求提交响应文件，并对所提供的全部资料的真实性承担法律责任。</w:t>
      </w:r>
    </w:p>
    <w:p w14:paraId="1B5092CF">
      <w:pPr>
        <w:spacing w:before="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1.8.3供应商在响应活动中提供任何虚假材料，将报监管部门查处； </w:t>
      </w:r>
    </w:p>
    <w:p w14:paraId="7D1CDEB2">
      <w:pPr>
        <w:spacing w:before="120" w:line="320" w:lineRule="atLeast"/>
        <w:ind w:left="2" w:leftChars="1" w:firstLine="422" w:firstLineChars="200"/>
        <w:outlineLvl w:val="1"/>
        <w:rPr>
          <w:rFonts w:ascii="宋体" w:hAnsi="宋体" w:eastAsia="宋体" w:cs="宋体"/>
          <w:b/>
          <w:bCs/>
          <w:color w:val="auto"/>
          <w:kern w:val="0"/>
          <w:szCs w:val="21"/>
          <w:highlight w:val="none"/>
        </w:rPr>
      </w:pPr>
      <w:bookmarkStart w:id="41" w:name="_Toc254970675"/>
      <w:bookmarkStart w:id="42" w:name="_Toc254970534"/>
      <w:r>
        <w:rPr>
          <w:rFonts w:hint="eastAsia" w:ascii="宋体" w:hAnsi="宋体" w:eastAsia="宋体" w:cs="宋体"/>
          <w:b/>
          <w:bCs/>
          <w:color w:val="auto"/>
          <w:kern w:val="0"/>
          <w:szCs w:val="21"/>
          <w:highlight w:val="none"/>
        </w:rPr>
        <w:t>2．采购文件</w:t>
      </w:r>
      <w:bookmarkEnd w:id="41"/>
      <w:bookmarkEnd w:id="42"/>
    </w:p>
    <w:p w14:paraId="57984827">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2.1采购文件的构成</w:t>
      </w:r>
    </w:p>
    <w:p w14:paraId="0814D2D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第一章 谈判公告</w:t>
      </w:r>
    </w:p>
    <w:p w14:paraId="21E85CD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6A3D7CF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第三章 供应商须知</w:t>
      </w:r>
    </w:p>
    <w:p w14:paraId="53EEFA2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第四章 评审方法及标准</w:t>
      </w:r>
    </w:p>
    <w:p w14:paraId="120054E9">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第五章 合同主要条款格式</w:t>
      </w:r>
    </w:p>
    <w:p w14:paraId="31C629D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1A3FE39E">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2.2供应商的风险</w:t>
      </w:r>
    </w:p>
    <w:p w14:paraId="200BD4F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供应商没有按照采购文件要求提供全部资料，或者供应商没有对采购文件在各方面作出实质性响应是供应商的风险，并可能导致其响应被否决。</w:t>
      </w:r>
    </w:p>
    <w:p w14:paraId="00F56318">
      <w:pPr>
        <w:spacing w:before="120" w:line="320" w:lineRule="atLeast"/>
        <w:ind w:firstLine="422" w:firstLineChars="200"/>
        <w:outlineLvl w:val="2"/>
        <w:rPr>
          <w:rFonts w:ascii="宋体" w:hAnsi="宋体" w:eastAsia="宋体" w:cs="宋体"/>
          <w:b/>
          <w:color w:val="auto"/>
          <w:szCs w:val="21"/>
          <w:highlight w:val="none"/>
        </w:rPr>
      </w:pPr>
      <w:r>
        <w:rPr>
          <w:rFonts w:hint="eastAsia" w:ascii="宋体" w:hAnsi="宋体" w:eastAsia="宋体" w:cs="宋体"/>
          <w:b/>
          <w:bCs/>
          <w:color w:val="auto"/>
          <w:kern w:val="0"/>
          <w:szCs w:val="21"/>
          <w:highlight w:val="none"/>
        </w:rPr>
        <w:t>2.3采购文件的澄清与修改</w:t>
      </w:r>
    </w:p>
    <w:p w14:paraId="60E74A0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2.3.1任何已获得采购文件的潜在供应商，均可以书面形式要求采购代理机构作出书面解释、澄清。</w:t>
      </w:r>
    </w:p>
    <w:p w14:paraId="240F3B1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2.3.2采购人、采购代理机构可以对已发出的采购文件进行必要澄清或者修改，澄清或者修改的内容可能影响响应文件编制的，采购人、采购代理机构应当在提交首次响应文件截止之日3个工作日前，在供应商须知前附表规定的方式通知所有接收采购文件的供应商，不足3个工作日的，应当顺延提交首次响应文件截止之日。</w:t>
      </w:r>
    </w:p>
    <w:p w14:paraId="7759E8A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4F3EEA3E">
      <w:pPr>
        <w:spacing w:before="120" w:line="320" w:lineRule="atLeast"/>
        <w:ind w:left="2" w:leftChars="1" w:firstLine="422" w:firstLineChars="200"/>
        <w:outlineLvl w:val="1"/>
        <w:rPr>
          <w:rFonts w:ascii="宋体" w:hAnsi="宋体" w:eastAsia="宋体" w:cs="宋体"/>
          <w:b/>
          <w:bCs/>
          <w:color w:val="auto"/>
          <w:kern w:val="0"/>
          <w:szCs w:val="21"/>
          <w:highlight w:val="none"/>
        </w:rPr>
      </w:pPr>
      <w:bookmarkStart w:id="43" w:name="_Toc254970676"/>
      <w:bookmarkStart w:id="44" w:name="_Toc254970535"/>
      <w:r>
        <w:rPr>
          <w:rFonts w:hint="eastAsia" w:ascii="宋体" w:hAnsi="宋体" w:eastAsia="宋体" w:cs="宋体"/>
          <w:b/>
          <w:bCs/>
          <w:color w:val="auto"/>
          <w:kern w:val="0"/>
          <w:szCs w:val="21"/>
          <w:highlight w:val="none"/>
        </w:rPr>
        <w:t>3．响应文件</w:t>
      </w:r>
      <w:bookmarkEnd w:id="43"/>
      <w:bookmarkEnd w:id="44"/>
    </w:p>
    <w:p w14:paraId="3BAD205E">
      <w:pPr>
        <w:spacing w:before="120" w:line="320" w:lineRule="atLeast"/>
        <w:ind w:firstLine="422" w:firstLineChars="200"/>
        <w:outlineLvl w:val="2"/>
        <w:rPr>
          <w:rFonts w:ascii="宋体" w:hAnsi="宋体" w:eastAsia="宋体" w:cs="宋体"/>
          <w:b/>
          <w:bCs/>
          <w:color w:val="auto"/>
          <w:kern w:val="0"/>
          <w:szCs w:val="21"/>
          <w:highlight w:val="none"/>
        </w:rPr>
      </w:pPr>
      <w:bookmarkStart w:id="45" w:name="_Toc254970677"/>
      <w:bookmarkStart w:id="46" w:name="_Toc254970536"/>
      <w:r>
        <w:rPr>
          <w:rFonts w:hint="eastAsia" w:ascii="宋体" w:hAnsi="宋体" w:eastAsia="宋体" w:cs="宋体"/>
          <w:b/>
          <w:bCs/>
          <w:color w:val="auto"/>
          <w:kern w:val="0"/>
          <w:szCs w:val="21"/>
          <w:highlight w:val="none"/>
        </w:rPr>
        <w:t>3.1响应文件的组成</w:t>
      </w:r>
      <w:bookmarkEnd w:id="45"/>
      <w:bookmarkEnd w:id="46"/>
    </w:p>
    <w:p w14:paraId="7BBF99C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响应文件由第六章“响应文件格式”规定的内容和供应商所作的一切有效补充、修改和承诺等文件组成。</w:t>
      </w:r>
    </w:p>
    <w:p w14:paraId="007C3DA5">
      <w:pPr>
        <w:spacing w:before="120" w:line="320" w:lineRule="atLeast"/>
        <w:ind w:firstLine="422" w:firstLineChars="200"/>
        <w:outlineLvl w:val="2"/>
        <w:rPr>
          <w:rFonts w:ascii="宋体" w:hAnsi="宋体" w:eastAsia="宋体" w:cs="宋体"/>
          <w:b/>
          <w:bCs/>
          <w:color w:val="auto"/>
          <w:kern w:val="0"/>
          <w:szCs w:val="21"/>
          <w:highlight w:val="none"/>
        </w:rPr>
      </w:pPr>
      <w:bookmarkStart w:id="47" w:name="_Toc254970537"/>
      <w:bookmarkStart w:id="48" w:name="_Toc254970678"/>
      <w:r>
        <w:rPr>
          <w:rFonts w:hint="eastAsia" w:ascii="宋体" w:hAnsi="宋体" w:eastAsia="宋体" w:cs="宋体"/>
          <w:b/>
          <w:color w:val="auto"/>
          <w:szCs w:val="21"/>
          <w:highlight w:val="none"/>
        </w:rPr>
        <w:t>3.2</w:t>
      </w:r>
      <w:r>
        <w:rPr>
          <w:rFonts w:hint="eastAsia" w:ascii="宋体" w:hAnsi="宋体" w:eastAsia="宋体" w:cs="宋体"/>
          <w:b/>
          <w:bCs/>
          <w:color w:val="auto"/>
          <w:kern w:val="0"/>
          <w:szCs w:val="21"/>
          <w:highlight w:val="none"/>
        </w:rPr>
        <w:t>响应文件的语言及计量</w:t>
      </w:r>
      <w:bookmarkEnd w:id="47"/>
      <w:bookmarkEnd w:id="48"/>
    </w:p>
    <w:p w14:paraId="3955934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2FF9DF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3.2.2计量单位采购文件已有明确规定的，响应使用采购文件规定的计量单位；采购文件没有规定的，应采用中华人民共和国法定计量单位。</w:t>
      </w:r>
    </w:p>
    <w:p w14:paraId="435C51F1">
      <w:pPr>
        <w:spacing w:before="120" w:line="320" w:lineRule="atLeast"/>
        <w:ind w:firstLine="422" w:firstLineChars="200"/>
        <w:outlineLvl w:val="2"/>
        <w:rPr>
          <w:rFonts w:ascii="宋体" w:hAnsi="宋体" w:eastAsia="宋体" w:cs="宋体"/>
          <w:b/>
          <w:bCs/>
          <w:color w:val="auto"/>
          <w:kern w:val="0"/>
          <w:szCs w:val="21"/>
          <w:highlight w:val="none"/>
        </w:rPr>
      </w:pPr>
      <w:bookmarkStart w:id="49" w:name="_Toc254970538"/>
      <w:bookmarkStart w:id="50" w:name="_Toc254970679"/>
      <w:r>
        <w:rPr>
          <w:rFonts w:hint="eastAsia" w:ascii="宋体" w:hAnsi="宋体" w:eastAsia="宋体" w:cs="宋体"/>
          <w:b/>
          <w:bCs/>
          <w:color w:val="auto"/>
          <w:kern w:val="0"/>
          <w:szCs w:val="21"/>
          <w:highlight w:val="none"/>
        </w:rPr>
        <w:t>3.3响应报价</w:t>
      </w:r>
      <w:bookmarkEnd w:id="49"/>
      <w:bookmarkEnd w:id="50"/>
    </w:p>
    <w:p w14:paraId="47C0676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3.3.1响应报价应按采购文件中相关附表格式填写。</w:t>
      </w:r>
    </w:p>
    <w:p w14:paraId="3B4B1CD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3.3.2响应文件只允许有一个报价，有选择的或有条件的报价将不予接受。</w:t>
      </w:r>
    </w:p>
    <w:p w14:paraId="4B9DBF04">
      <w:pPr>
        <w:suppressAutoHyphens/>
        <w:spacing w:before="120" w:line="320" w:lineRule="atLeast"/>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7DB5D9A9">
      <w:pPr>
        <w:suppressAutoHyphens/>
        <w:spacing w:before="120" w:line="320" w:lineRule="atLeast"/>
        <w:ind w:firstLine="420" w:firstLineChars="200"/>
        <w:rPr>
          <w:rFonts w:ascii="宋体" w:hAnsi="宋体" w:eastAsia="宋体" w:cs="宋体"/>
          <w:b/>
          <w:bCs/>
          <w:color w:val="auto"/>
          <w:kern w:val="1"/>
          <w:szCs w:val="21"/>
          <w:highlight w:val="none"/>
        </w:rPr>
      </w:pPr>
      <w:r>
        <w:rPr>
          <w:rFonts w:hint="eastAsia" w:ascii="宋体" w:hAnsi="宋体" w:eastAsia="宋体" w:cs="宋体"/>
          <w:color w:val="auto"/>
          <w:kern w:val="1"/>
          <w:szCs w:val="21"/>
          <w:highlight w:val="none"/>
        </w:rPr>
        <w:t>3.3.4采购人不接受供应商给予的赠品、回扣或者与采购无关的其他商品、服务。</w:t>
      </w:r>
    </w:p>
    <w:p w14:paraId="446C2719">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3.4响应有效期</w:t>
      </w:r>
    </w:p>
    <w:p w14:paraId="0424C9E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3.4.1如采购文件其他地方无特别规定，响应有效期则为响应截止之日起90天。在响应有效期内响应文件应保持有效。</w:t>
      </w:r>
      <w:r>
        <w:rPr>
          <w:rFonts w:hint="eastAsia" w:ascii="宋体" w:hAnsi="宋体" w:eastAsia="宋体" w:cs="宋体"/>
          <w:b/>
          <w:bCs/>
          <w:color w:val="auto"/>
          <w:szCs w:val="21"/>
          <w:highlight w:val="none"/>
        </w:rPr>
        <w:t>有效期不足的响应文件将被否决</w:t>
      </w:r>
      <w:r>
        <w:rPr>
          <w:rFonts w:hint="eastAsia" w:ascii="宋体" w:hAnsi="宋体" w:eastAsia="宋体" w:cs="宋体"/>
          <w:color w:val="auto"/>
          <w:szCs w:val="21"/>
          <w:highlight w:val="none"/>
        </w:rPr>
        <w:t>。</w:t>
      </w:r>
    </w:p>
    <w:p w14:paraId="1262FC1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3.4.2在特殊情况下，采购人可与供应商协商延长响应文件的有效期，这种要求和答复均以书面形式进行。</w:t>
      </w:r>
    </w:p>
    <w:p w14:paraId="7A6CB46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3.4.3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37527F6F">
      <w:pPr>
        <w:spacing w:before="120" w:line="320" w:lineRule="atLeast"/>
        <w:ind w:firstLine="422" w:firstLineChars="200"/>
        <w:outlineLvl w:val="2"/>
        <w:rPr>
          <w:rFonts w:ascii="宋体" w:hAnsi="宋体" w:eastAsia="宋体" w:cs="宋体"/>
          <w:b/>
          <w:bCs/>
          <w:color w:val="auto"/>
          <w:kern w:val="0"/>
          <w:szCs w:val="21"/>
          <w:highlight w:val="none"/>
        </w:rPr>
      </w:pPr>
      <w:bookmarkStart w:id="51" w:name="_Toc254970541"/>
      <w:bookmarkStart w:id="52" w:name="_Toc254970682"/>
      <w:r>
        <w:rPr>
          <w:rFonts w:hint="eastAsia" w:ascii="宋体" w:hAnsi="宋体" w:eastAsia="宋体" w:cs="宋体"/>
          <w:b/>
          <w:bCs/>
          <w:color w:val="auto"/>
          <w:kern w:val="0"/>
          <w:szCs w:val="21"/>
          <w:highlight w:val="none"/>
        </w:rPr>
        <w:t>3.5谈判保证金</w:t>
      </w:r>
      <w:bookmarkEnd w:id="51"/>
      <w:bookmarkEnd w:id="52"/>
    </w:p>
    <w:p w14:paraId="72EF83E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3.5.1供应商须按须知前附表规定提交谈判保证金，</w:t>
      </w:r>
      <w:r>
        <w:rPr>
          <w:rFonts w:hint="eastAsia" w:ascii="宋体" w:hAnsi="宋体" w:eastAsia="宋体" w:cs="宋体"/>
          <w:b/>
          <w:bCs/>
          <w:color w:val="auto"/>
          <w:szCs w:val="21"/>
          <w:highlight w:val="none"/>
        </w:rPr>
        <w:t>否则其响应将被否决</w:t>
      </w:r>
      <w:r>
        <w:rPr>
          <w:rFonts w:hint="eastAsia" w:ascii="宋体" w:hAnsi="宋体" w:eastAsia="宋体" w:cs="宋体"/>
          <w:color w:val="auto"/>
          <w:szCs w:val="21"/>
          <w:highlight w:val="none"/>
        </w:rPr>
        <w:t>。除采购文件规定不予退还保证金的情形外，代理机构在规定时间内退回供应商的谈判保证金（供应商自行承担因未按供应商须知前附表要求交纳导致谈判保证金无法及时退还的责任）。</w:t>
      </w:r>
    </w:p>
    <w:p w14:paraId="69A38F0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3.5.2谈判保证金币种应与响应报价币种相同。</w:t>
      </w:r>
    </w:p>
    <w:p w14:paraId="42B1F6C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3.5.3未成交供应商的谈判保证金在成交通知书发出后5个工作日内退还。成交供应商的谈判保证金在合同签订后5个工作日内退还（办理退还手续时需要向采购代理机构提供两份合同复印件）。</w:t>
      </w:r>
    </w:p>
    <w:p w14:paraId="4055DD5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3.5.4供应商有下列情形之一的，谈判保证金将不予退还：</w:t>
      </w:r>
    </w:p>
    <w:p w14:paraId="3919BF74">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供应商在响应有效期内撤销响应文件的；</w:t>
      </w:r>
    </w:p>
    <w:p w14:paraId="2BD2A55A">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供应商在响应过程中弄虚作假，提供虚假材料的；</w:t>
      </w:r>
    </w:p>
    <w:p w14:paraId="4B1E29DD">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成交供应商无正当理由不与采购人签订合同的；</w:t>
      </w:r>
    </w:p>
    <w:p w14:paraId="5F38D7A7">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将成交项目转让给他人或者在响应文件中未说明且未经采购人同意，将成交项目分包给他人的；</w:t>
      </w:r>
    </w:p>
    <w:p w14:paraId="22B60FBD">
      <w:pPr>
        <w:numPr>
          <w:ilvl w:val="0"/>
          <w:numId w:val="2"/>
        </w:numPr>
        <w:spacing w:before="120" w:line="320" w:lineRule="atLeast"/>
        <w:rPr>
          <w:rFonts w:ascii="宋体" w:hAnsi="宋体" w:eastAsia="宋体" w:cs="宋体"/>
          <w:color w:val="auto"/>
          <w:szCs w:val="21"/>
          <w:highlight w:val="none"/>
        </w:rPr>
      </w:pPr>
      <w:bookmarkStart w:id="53" w:name="_Toc254970542"/>
      <w:bookmarkStart w:id="54" w:name="_Toc254970683"/>
      <w:r>
        <w:rPr>
          <w:rFonts w:hint="eastAsia" w:ascii="宋体" w:hAnsi="宋体" w:eastAsia="宋体" w:cs="宋体"/>
          <w:color w:val="auto"/>
          <w:szCs w:val="21"/>
          <w:highlight w:val="none"/>
        </w:rPr>
        <w:t>供应商与采购人、其他供应商或者采购代理机构恶意串通的；</w:t>
      </w:r>
    </w:p>
    <w:p w14:paraId="3D8698FB">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拒绝履行合同义务的；</w:t>
      </w:r>
    </w:p>
    <w:p w14:paraId="6FA7AE6C">
      <w:pPr>
        <w:numPr>
          <w:ilvl w:val="0"/>
          <w:numId w:val="2"/>
        </w:num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其他严重扰乱招投标程序的。</w:t>
      </w:r>
    </w:p>
    <w:p w14:paraId="0EDB4BE4">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3.6响应文件的</w:t>
      </w:r>
      <w:bookmarkEnd w:id="53"/>
      <w:bookmarkEnd w:id="54"/>
      <w:r>
        <w:rPr>
          <w:rFonts w:hint="eastAsia" w:ascii="宋体" w:hAnsi="宋体" w:eastAsia="宋体" w:cs="宋体"/>
          <w:b/>
          <w:bCs/>
          <w:color w:val="auto"/>
          <w:kern w:val="0"/>
          <w:szCs w:val="21"/>
          <w:highlight w:val="none"/>
        </w:rPr>
        <w:t>编制要求</w:t>
      </w:r>
    </w:p>
    <w:p w14:paraId="0DFB179D">
      <w:pPr>
        <w:spacing w:before="120" w:line="320" w:lineRule="atLeast"/>
        <w:ind w:firstLine="420" w:firstLineChars="200"/>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3.6.1</w:t>
      </w:r>
      <w:r>
        <w:rPr>
          <w:rFonts w:hint="eastAsia" w:ascii="宋体" w:hAnsi="宋体" w:eastAsia="宋体" w:cs="宋体"/>
          <w:color w:val="auto"/>
          <w:szCs w:val="21"/>
          <w:highlight w:val="none"/>
        </w:rPr>
        <w:t>供应商应先安装广西政府采购云平台新版客户端，通过账号密码或CA登录客户端制作响应文件。</w:t>
      </w:r>
    </w:p>
    <w:p w14:paraId="74C594D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5AEBB56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3.6.3 供应商的响应文件未按照采购文件要求签署、盖章的，</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w:t>
      </w:r>
    </w:p>
    <w:p w14:paraId="1F9BEEC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3.6.4为确保网上操作合法、有效和安全，供应商应当在响应截止时间前完成在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的身份认证，确保在电子投标过程中能够对相关数据电文进行加密和使用电子签名。</w:t>
      </w:r>
    </w:p>
    <w:p w14:paraId="3C248D3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auto"/>
          <w:szCs w:val="21"/>
          <w:highlight w:val="none"/>
        </w:rPr>
        <w:t>否则作无效响应处理。</w:t>
      </w:r>
    </w:p>
    <w:p w14:paraId="6149EB37">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3.7响应文件的递交、修改和撤回</w:t>
      </w:r>
    </w:p>
    <w:p w14:paraId="6BD1895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 xml:space="preserve">。 </w:t>
      </w:r>
    </w:p>
    <w:p w14:paraId="608E280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3.7.2未在规定时间内提交或者未按照采购文件要求签章、加密的电子响应文件，</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 xml:space="preserve">将拒收。 </w:t>
      </w:r>
    </w:p>
    <w:p w14:paraId="48A20CD3">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将拒收。</w:t>
      </w:r>
    </w:p>
    <w:p w14:paraId="0BD2DFA9">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3.7.4在响应截止时间前，除供应商补充、修改或者撤回响应文件外，任何单位和个人不得解密或提取响应文件。</w:t>
      </w:r>
    </w:p>
    <w:p w14:paraId="33DB042D">
      <w:pPr>
        <w:spacing w:before="120" w:line="320" w:lineRule="atLeast"/>
        <w:ind w:left="2" w:leftChars="1"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3.7.5在响应截止时间止提交电子版响应文件的供应商不足3家时，电子版响应文件由代理机构在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操作退回，除此之外采购人和采购代理机构对已提交的响应文件概不退回。</w:t>
      </w:r>
    </w:p>
    <w:p w14:paraId="743C0B82">
      <w:pPr>
        <w:spacing w:before="120" w:line="320" w:lineRule="atLeast"/>
        <w:ind w:left="2" w:leftChars="1" w:firstLine="420" w:firstLineChars="200"/>
        <w:rPr>
          <w:rFonts w:ascii="宋体" w:hAnsi="宋体" w:eastAsia="宋体" w:cs="宋体"/>
          <w:color w:val="auto"/>
          <w:szCs w:val="21"/>
          <w:highlight w:val="none"/>
        </w:rPr>
      </w:pPr>
      <w:bookmarkStart w:id="55" w:name="_Hlk93046827"/>
      <w:r>
        <w:rPr>
          <w:rFonts w:hint="eastAsia" w:ascii="宋体" w:hAnsi="宋体" w:eastAsia="宋体" w:cs="宋体"/>
          <w:color w:val="auto"/>
          <w:szCs w:val="21"/>
          <w:highlight w:val="none"/>
        </w:rPr>
        <w:t>3.7.6采购文件未允许同一供应商提交两个或以上不同的响应文件，但存在同一供应商提交两个或以上不同的响应文件的，其响应无效。</w:t>
      </w:r>
      <w:bookmarkEnd w:id="55"/>
      <w:r>
        <w:rPr>
          <w:rFonts w:hint="eastAsia" w:ascii="宋体" w:hAnsi="宋体" w:eastAsia="宋体" w:cs="宋体"/>
          <w:color w:val="auto"/>
          <w:szCs w:val="21"/>
          <w:highlight w:val="none"/>
        </w:rPr>
        <w:t>供应商在同一响应文件中对某项技术、商务要求提供有选择性的响应参数或方案等同于提交两个或以上不同的响应文件。</w:t>
      </w:r>
    </w:p>
    <w:p w14:paraId="3E928046">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4．截标</w:t>
      </w:r>
    </w:p>
    <w:p w14:paraId="154FD5A0">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4.1截标准备</w:t>
      </w:r>
    </w:p>
    <w:p w14:paraId="32C30696">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本项目响应截止时间及地点见“供应商须知前附表”规定。</w:t>
      </w:r>
    </w:p>
    <w:p w14:paraId="7EE06974">
      <w:pPr>
        <w:autoSpaceDE w:val="0"/>
        <w:autoSpaceDN w:val="0"/>
        <w:adjustRightInd w:val="0"/>
        <w:spacing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全流程电子化项目没有现场递交响应文件及现场截标环节。采购代理机构将按照采购文件规定的时间通过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023A737E">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如供应商成功解密响应文件，但未在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 xml:space="preserve">电子开标大厅参加截标的，视同认可截标过程和结果，由此产生的后果由供应商自行负责。 </w:t>
      </w:r>
    </w:p>
    <w:p w14:paraId="176D4F11">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4.2截标程序</w:t>
      </w:r>
    </w:p>
    <w:p w14:paraId="577EEBA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4.2.1供应商登录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进入开标大厅签到。</w:t>
      </w:r>
    </w:p>
    <w:p w14:paraId="3B24855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4.2.2解密电子响应文件。</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按截标时间自动提取所有响应文件。采购代理机构在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向各供应商发出电子加密响应文件开始解密通知，由供应商平台设置时间内自行进行响应文件解密。供应商须使用加密时所用的CA锁准时登录到</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电子开标大厅签到并对电子响应文件解密。截标后供应商未及时进行解密的，代理机构可通知供应商。</w:t>
      </w:r>
      <w:bookmarkStart w:id="56" w:name="_Hlk106639817"/>
      <w:r>
        <w:rPr>
          <w:rFonts w:hint="eastAsia" w:ascii="宋体" w:hAnsi="宋体" w:eastAsia="宋体" w:cs="宋体"/>
          <w:color w:val="auto"/>
          <w:highlight w:val="none"/>
        </w:rPr>
        <w:t>通知后供应商仍未在上述规定时间内解密响应文件</w:t>
      </w:r>
      <w:bookmarkEnd w:id="56"/>
      <w:r>
        <w:rPr>
          <w:rFonts w:hint="eastAsia" w:ascii="宋体" w:hAnsi="宋体" w:eastAsia="宋体" w:cs="宋体"/>
          <w:color w:val="auto"/>
          <w:szCs w:val="21"/>
          <w:highlight w:val="none"/>
        </w:rPr>
        <w:t>，或者供应商没预留联系方式或预留联系方式无效导致代理机构无法联系到供应商进行解密的，均视为无效响应。</w:t>
      </w:r>
    </w:p>
    <w:p w14:paraId="031D5D7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4.2.3</w:t>
      </w:r>
      <w:bookmarkStart w:id="57" w:name="_Hlk106637968"/>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18974A7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4.2.4解密异常情况处理：详见本章9.2电子交易活动的中止。</w:t>
      </w:r>
    </w:p>
    <w:p w14:paraId="7F0F8AF8">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4.2.5截标结束。</w:t>
      </w:r>
    </w:p>
    <w:p w14:paraId="12534C99">
      <w:pPr>
        <w:spacing w:before="120" w:line="320" w:lineRule="atLeast"/>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电子化截标或评审程序调整的，按调整后的程序执行。</w:t>
      </w:r>
    </w:p>
    <w:p w14:paraId="20AE50D7">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4.3演示</w:t>
      </w:r>
    </w:p>
    <w:p w14:paraId="5A6017F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4.3.1“供应商须知前附表”规定在截标会议结束后进行演示的，供应商应按规定进行演示。</w:t>
      </w:r>
    </w:p>
    <w:p w14:paraId="3384C3C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4.3.2未按规定时间进行演示可能引起的演示分数被计为0分或响应无效等后果由供应商自行承担。</w:t>
      </w:r>
    </w:p>
    <w:p w14:paraId="0757DA6D">
      <w:pPr>
        <w:spacing w:before="120" w:line="320" w:lineRule="atLeast"/>
        <w:ind w:firstLine="422" w:firstLineChars="200"/>
        <w:outlineLvl w:val="2"/>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4.4样品</w:t>
      </w:r>
    </w:p>
    <w:p w14:paraId="50634A5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4.4.1“供应商须知前附表”规定递交样品的，供应商应按前附表规定递交样品，递交样品时应附样品递交表（格式见第六章）。</w:t>
      </w:r>
    </w:p>
    <w:p w14:paraId="0C287F3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4.4.2未按规定时间递交样品可能引起的样品分数被计为0分或响应无效等后果由供应商自行承担。</w:t>
      </w:r>
    </w:p>
    <w:p w14:paraId="08A4577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4.4.3样品封存或退还的说明请见第六章响应文件格式所附样品递交表。</w:t>
      </w:r>
    </w:p>
    <w:p w14:paraId="23BD2456">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5．资格审查</w:t>
      </w:r>
    </w:p>
    <w:p w14:paraId="2A27CD7C">
      <w:pPr>
        <w:spacing w:before="120" w:line="320" w:lineRule="atLeas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5.1截标</w:t>
      </w:r>
      <w:r>
        <w:rPr>
          <w:rFonts w:hint="eastAsia" w:ascii="宋体" w:hAnsi="宋体" w:eastAsia="宋体" w:cs="宋体"/>
          <w:bCs/>
          <w:color w:val="auto"/>
          <w:szCs w:val="21"/>
          <w:highlight w:val="none"/>
        </w:rPr>
        <w:t>后，谈判小组通过电子交易平台对供应商的资格进行线上审查。资格审查</w:t>
      </w:r>
      <w:r>
        <w:rPr>
          <w:rFonts w:hint="eastAsia" w:ascii="宋体" w:hAnsi="宋体" w:eastAsia="宋体" w:cs="宋体"/>
          <w:bCs/>
          <w:color w:val="auto"/>
          <w:kern w:val="0"/>
          <w:szCs w:val="21"/>
          <w:highlight w:val="none"/>
        </w:rPr>
        <w:t>是根据法律法规和采购文件的规定，对供应商的基本资格条件、特定资格条件进行审查。</w:t>
      </w:r>
    </w:p>
    <w:p w14:paraId="5402EA82">
      <w:pPr>
        <w:spacing w:before="120" w:line="320" w:lineRule="atLeas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5.2资格</w:t>
      </w:r>
      <w:r>
        <w:rPr>
          <w:rFonts w:hint="eastAsia" w:ascii="宋体" w:hAnsi="宋体" w:eastAsia="宋体" w:cs="宋体"/>
          <w:color w:val="auto"/>
          <w:szCs w:val="21"/>
          <w:highlight w:val="none"/>
        </w:rPr>
        <w:t>审查</w:t>
      </w:r>
      <w:r>
        <w:rPr>
          <w:rFonts w:hint="eastAsia" w:ascii="宋体" w:hAnsi="宋体" w:eastAsia="宋体" w:cs="宋体"/>
          <w:bCs/>
          <w:color w:val="auto"/>
          <w:kern w:val="0"/>
          <w:szCs w:val="21"/>
          <w:highlight w:val="none"/>
        </w:rPr>
        <w:t>标准在第四章评审方法及标准中规定，符合资格审查标准要求的供应商即为资格审查合格。</w:t>
      </w:r>
    </w:p>
    <w:p w14:paraId="0EEB5C9D">
      <w:pPr>
        <w:spacing w:before="120" w:line="320" w:lineRule="atLeas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5.3供应商有下列情形之一的，资格审查不合格，作无效响应处理：</w:t>
      </w:r>
    </w:p>
    <w:p w14:paraId="764CAF46">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 xml:space="preserve">5.3.1不具备采购文件中规定的资格要求或资格条件的； </w:t>
      </w:r>
      <w:r>
        <w:rPr>
          <w:rFonts w:hint="eastAsia" w:ascii="宋体" w:hAnsi="宋体" w:eastAsia="宋体" w:cs="宋体"/>
          <w:color w:val="auto"/>
          <w:highlight w:val="none"/>
        </w:rPr>
        <w:t>（注：其中信用查询规则见“供应商须知前附表”，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已与“信用中国”平台做接口，可直接在线查询）</w:t>
      </w:r>
    </w:p>
    <w:p w14:paraId="76ED122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5.3.2响应文件缺少任何一项资格证明文件或不符合第四章评审方法及标准中资格审查标准规定的评审内容的。</w:t>
      </w:r>
    </w:p>
    <w:p w14:paraId="7FDD6602">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6．评审</w:t>
      </w:r>
    </w:p>
    <w:p w14:paraId="6B9F5BD3">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6.1组建谈判小组</w:t>
      </w:r>
    </w:p>
    <w:p w14:paraId="5B92ACA8">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6.1.1本项目评审工作由谈判小组负责，谈判小组由评审专家和采购人代表（如有）组成。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评审专家发现本人与参加采购活动的供应商有利害关系的，应当主动提出回避。</w:t>
      </w:r>
    </w:p>
    <w:p w14:paraId="24F67E6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1F5AFE7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0E01F8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312635CA">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6.2评审方法及依据</w:t>
      </w:r>
    </w:p>
    <w:p w14:paraId="21EA659F">
      <w:pPr>
        <w:spacing w:before="120" w:line="320" w:lineRule="atLeas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6.2.1本项目采用第四章评审方法及标准规定的方法进行评审。</w:t>
      </w:r>
    </w:p>
    <w:p w14:paraId="38493E92">
      <w:pPr>
        <w:suppressAutoHyphens/>
        <w:spacing w:before="120" w:line="320" w:lineRule="atLeas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6.2.2谈判小组</w:t>
      </w:r>
      <w:r>
        <w:rPr>
          <w:rFonts w:hint="eastAsia" w:ascii="宋体" w:hAnsi="宋体" w:eastAsia="宋体" w:cs="宋体"/>
          <w:color w:val="auto"/>
          <w:highlight w:val="none"/>
        </w:rPr>
        <w:t>以采购文件、补充文件、响应文件、澄清及答复为评审依据，</w:t>
      </w:r>
      <w:r>
        <w:rPr>
          <w:rFonts w:hint="eastAsia" w:ascii="宋体" w:hAnsi="宋体" w:eastAsia="宋体" w:cs="宋体"/>
          <w:bCs/>
          <w:color w:val="auto"/>
          <w:kern w:val="0"/>
          <w:szCs w:val="21"/>
          <w:highlight w:val="none"/>
        </w:rPr>
        <w:t>第四章评审方法及标准没有规定的评审方法、标准及因素，不得作为评审依据。</w:t>
      </w:r>
    </w:p>
    <w:p w14:paraId="6CF232E7">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6.3评审程序</w:t>
      </w:r>
    </w:p>
    <w:p w14:paraId="2297B192">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6.</w:t>
      </w:r>
      <w:bookmarkStart w:id="58" w:name="_Hlk19175507"/>
      <w:bookmarkStart w:id="59" w:name="_Hlk80956880"/>
      <w:r>
        <w:rPr>
          <w:rFonts w:hint="eastAsia" w:ascii="宋体" w:hAnsi="宋体" w:eastAsia="宋体" w:cs="宋体"/>
          <w:color w:val="auto"/>
          <w:highlight w:val="none"/>
        </w:rPr>
        <w:t>3.1符合性审查</w:t>
      </w:r>
    </w:p>
    <w:p w14:paraId="3083E60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bCs/>
          <w:color w:val="auto"/>
          <w:kern w:val="1"/>
          <w:szCs w:val="21"/>
          <w:highlight w:val="none"/>
        </w:rPr>
        <w:t>资格审查结束后，</w:t>
      </w:r>
      <w:r>
        <w:rPr>
          <w:rFonts w:hint="eastAsia" w:ascii="宋体" w:hAnsi="宋体" w:eastAsia="宋体" w:cs="宋体"/>
          <w:color w:val="auto"/>
          <w:highlight w:val="none"/>
        </w:rPr>
        <w:t>谈判小组对通过资格审查的供应商的响应文件报价、商务资信、技术等方面实质性内容进行符合性审查，</w:t>
      </w:r>
      <w:r>
        <w:rPr>
          <w:rFonts w:hint="eastAsia" w:ascii="宋体" w:hAnsi="宋体" w:eastAsia="宋体" w:cs="宋体"/>
          <w:color w:val="auto"/>
          <w:szCs w:val="21"/>
          <w:highlight w:val="none"/>
        </w:rPr>
        <w:t>符合性审查标准详见第四章评审方法及标准。</w:t>
      </w:r>
    </w:p>
    <w:bookmarkEnd w:id="58"/>
    <w:bookmarkEnd w:id="59"/>
    <w:p w14:paraId="4F1BCED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6.3.2</w:t>
      </w:r>
      <w:r>
        <w:rPr>
          <w:rFonts w:hint="eastAsia" w:ascii="宋体" w:hAnsi="宋体" w:eastAsia="宋体" w:cs="宋体"/>
          <w:color w:val="auto"/>
          <w:highlight w:val="none"/>
        </w:rPr>
        <w:t>强制性</w:t>
      </w:r>
      <w:r>
        <w:rPr>
          <w:rFonts w:hint="eastAsia" w:ascii="宋体" w:hAnsi="宋体" w:eastAsia="宋体" w:cs="宋体"/>
          <w:color w:val="auto"/>
          <w:szCs w:val="21"/>
          <w:highlight w:val="none"/>
        </w:rPr>
        <w:t>采购要求</w:t>
      </w:r>
    </w:p>
    <w:p w14:paraId="78DBE2F3">
      <w:pPr>
        <w:suppressAutoHyphens/>
        <w:spacing w:before="120" w:line="320" w:lineRule="atLeast"/>
        <w:ind w:firstLine="422" w:firstLineChars="201"/>
        <w:rPr>
          <w:rFonts w:ascii="宋体" w:hAnsi="宋体" w:eastAsia="宋体" w:cs="宋体"/>
          <w:color w:val="auto"/>
          <w:szCs w:val="21"/>
          <w:highlight w:val="none"/>
        </w:rPr>
      </w:pPr>
      <w:bookmarkStart w:id="60" w:name="_Hlk47714684"/>
      <w:r>
        <w:rPr>
          <w:rFonts w:hint="eastAsia" w:ascii="宋体" w:hAnsi="宋体" w:eastAsia="宋体" w:cs="宋体"/>
          <w:color w:val="auto"/>
          <w:szCs w:val="21"/>
          <w:highlight w:val="none"/>
        </w:rPr>
        <w:t>（1）</w:t>
      </w:r>
      <w:bookmarkEnd w:id="60"/>
      <w:r>
        <w:rPr>
          <w:rFonts w:hint="eastAsia" w:ascii="宋体" w:hAnsi="宋体" w:eastAsia="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69E8F59">
      <w:pPr>
        <w:spacing w:before="120" w:line="320" w:lineRule="atLeast"/>
        <w:ind w:firstLine="420" w:firstLineChars="200"/>
        <w:rPr>
          <w:rFonts w:ascii="宋体" w:hAnsi="宋体" w:eastAsia="宋体" w:cs="宋体"/>
          <w:color w:val="auto"/>
          <w:szCs w:val="21"/>
          <w:highlight w:val="none"/>
        </w:rPr>
      </w:pPr>
      <w:bookmarkStart w:id="61" w:name="_Hlk19176155"/>
      <w:r>
        <w:rPr>
          <w:rFonts w:hint="eastAsia" w:ascii="宋体" w:hAnsi="宋体" w:eastAsia="宋体" w:cs="宋体"/>
          <w:color w:val="auto"/>
          <w:szCs w:val="21"/>
          <w:highlight w:val="none"/>
        </w:rPr>
        <w:t>（2）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2BEE019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4C05A98">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6.3.3澄清、说明或补正</w:t>
      </w:r>
    </w:p>
    <w:p w14:paraId="42605767">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（1）对响应文件中含义不明确、同类问题表述不一致或者有明显文字和计算错误的内容，谈判小组应在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发布电子澄清函，要求供应商在平台设置的时间内作出必要的澄清、说明或者补正。供应商在</w:t>
      </w:r>
      <w:r>
        <w:rPr>
          <w:rFonts w:hint="eastAsia" w:ascii="宋体" w:hAnsi="宋体" w:eastAsia="宋体" w:cs="宋体"/>
          <w:color w:val="auto"/>
          <w:kern w:val="0"/>
          <w:szCs w:val="21"/>
          <w:highlight w:val="none"/>
        </w:rPr>
        <w:t>广西政府采购云平</w:t>
      </w:r>
      <w:r>
        <w:rPr>
          <w:rFonts w:hint="eastAsia" w:ascii="宋体" w:hAnsi="宋体" w:eastAsia="宋体" w:cs="宋体"/>
          <w:color w:val="auto"/>
          <w:highlight w:val="none"/>
        </w:rPr>
        <w:t>台接收到电子澄清函后根据澄清函内容直接在线编辑或上传PDF格式回函，电子澄清答复函使用CA证书加盖单位电子签章后提交至谈判小组。供应商的澄清、说明或者补正不得超出响应文件的范围或者改变响应文件的实质性内容。供应商未在规定时间内进行澄清、说明或者补正的，按无效响应处理。</w:t>
      </w:r>
    </w:p>
    <w:p w14:paraId="0505F0A0">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2）异常情况处理：如遇无法正常使用线上发送澄清函的情况，将以书面形式执行。谈判小组以书面形式要求供应商在规定时间内作出必要的澄清、说明或者补正。供应商的澄清、说明或者补正必须采用书面形式，并加盖公章或者由法定代表人或者其授权的代表签字。</w:t>
      </w:r>
    </w:p>
    <w:p w14:paraId="4FECD44F">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6.3.4报价修正</w:t>
      </w:r>
    </w:p>
    <w:p w14:paraId="4B99BEA7">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（1）报价出现前后不一致的，按照下列规定修正：</w:t>
      </w:r>
    </w:p>
    <w:p w14:paraId="6433F258">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①响应文件中开标一览表（报价表）内容与响应文件中相应内容不一致的，以开标一览表（报价表）为准；</w:t>
      </w:r>
    </w:p>
    <w:p w14:paraId="37E5067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②大写金额和小写金额不一致的，以大写金额为准；</w:t>
      </w:r>
    </w:p>
    <w:p w14:paraId="6835DDA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③单价金额小数点或者百分比有明显错位的，以开标一览表的总价为准，并修改单价；</w:t>
      </w:r>
    </w:p>
    <w:p w14:paraId="7585CC2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④总价金额与按单价汇总金额不一致的，以单价金额计算结果为准。</w:t>
      </w:r>
    </w:p>
    <w:p w14:paraId="28F6B92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1C291EA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（2）经供应商确认修正后的报价若超过采购预算金额或者最高限价，其响应文件作无效响应处理。</w:t>
      </w:r>
    </w:p>
    <w:p w14:paraId="7089A33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（3）经供应商确认修正后的报价作为签订合同的依据，并以此报价计算价格分。</w:t>
      </w:r>
    </w:p>
    <w:p w14:paraId="6B4757C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w:t>
      </w:r>
      <w:r>
        <w:rPr>
          <w:rFonts w:hint="eastAsia" w:ascii="宋体" w:hAnsi="宋体" w:eastAsia="宋体" w:cs="宋体"/>
          <w:color w:val="auto"/>
          <w:highlight w:val="none"/>
        </w:rPr>
        <w:t>谈判</w:t>
      </w:r>
      <w:r>
        <w:rPr>
          <w:rFonts w:hint="eastAsia" w:ascii="宋体" w:hAnsi="宋体" w:eastAsia="宋体" w:cs="宋体"/>
          <w:color w:val="auto"/>
          <w:szCs w:val="21"/>
          <w:highlight w:val="none"/>
        </w:rPr>
        <w:t>过程中有多轮报价的，</w:t>
      </w:r>
      <w:r>
        <w:rPr>
          <w:rFonts w:hint="eastAsia" w:ascii="宋体" w:hAnsi="宋体" w:eastAsia="宋体" w:cs="宋体"/>
          <w:color w:val="auto"/>
          <w:highlight w:val="none"/>
        </w:rPr>
        <w:t>谈判</w:t>
      </w:r>
      <w:r>
        <w:rPr>
          <w:rFonts w:hint="eastAsia" w:ascii="宋体" w:hAnsi="宋体" w:eastAsia="宋体" w:cs="宋体"/>
          <w:color w:val="auto"/>
          <w:szCs w:val="21"/>
          <w:highlight w:val="none"/>
        </w:rPr>
        <w:t>小组在每一轮报价均应按上述规则修正报价。</w:t>
      </w:r>
    </w:p>
    <w:p w14:paraId="2B00908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6.3.5异常低价审查</w:t>
      </w:r>
    </w:p>
    <w:p w14:paraId="4FB4FC9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本项目异常低价审查情形见“供应商须知前附表”规定。</w:t>
      </w:r>
    </w:p>
    <w:p w14:paraId="6D4AB7C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79D484">
      <w:pPr>
        <w:spacing w:before="120" w:line="320" w:lineRule="atLeast"/>
        <w:ind w:firstLine="420" w:firstLineChars="200"/>
        <w:rPr>
          <w:rFonts w:ascii="宋体" w:hAnsi="宋体" w:eastAsia="宋体" w:cs="宋体"/>
          <w:strike/>
          <w:color w:val="auto"/>
          <w:szCs w:val="21"/>
          <w:highlight w:val="none"/>
        </w:rPr>
      </w:pPr>
      <w:r>
        <w:rPr>
          <w:rFonts w:hint="eastAsia" w:ascii="宋体" w:hAnsi="宋体" w:eastAsia="宋体" w:cs="宋体"/>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DAA9D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B2676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1436EE5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书面证明应当按照上述“6.3.3澄清、说明或补正”的规定提交。</w:t>
      </w:r>
    </w:p>
    <w:p w14:paraId="1A62FB8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6.3.6相同品牌认定（仅适用于货物采购项目）</w:t>
      </w:r>
    </w:p>
    <w:p w14:paraId="6257C45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（1）单一产品采购项目，</w:t>
      </w:r>
      <w:r>
        <w:rPr>
          <w:rFonts w:hint="eastAsia" w:ascii="宋体" w:hAnsi="宋体" w:eastAsia="宋体" w:cs="宋体"/>
          <w:color w:val="auto"/>
          <w:highlight w:val="none"/>
        </w:rPr>
        <w:t>不同供应商提供的产品品牌相同时，按以下规定确定</w:t>
      </w:r>
      <w:r>
        <w:rPr>
          <w:rFonts w:hint="eastAsia" w:ascii="宋体" w:hAnsi="宋体" w:eastAsia="宋体" w:cs="宋体"/>
          <w:bCs/>
          <w:color w:val="auto"/>
          <w:kern w:val="0"/>
          <w:szCs w:val="21"/>
          <w:highlight w:val="none"/>
        </w:rPr>
        <w:t>相同品牌的响应有效性</w:t>
      </w:r>
      <w:r>
        <w:rPr>
          <w:rFonts w:hint="eastAsia" w:ascii="宋体" w:hAnsi="宋体" w:eastAsia="宋体" w:cs="宋体"/>
          <w:color w:val="auto"/>
          <w:highlight w:val="none"/>
        </w:rPr>
        <w:t>。</w:t>
      </w:r>
    </w:p>
    <w:bookmarkEnd w:id="61"/>
    <w:p w14:paraId="5C14A2E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1EB9B16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p w14:paraId="54D7E5E8">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6.3.7谈判</w:t>
      </w:r>
    </w:p>
    <w:p w14:paraId="799BCA2C">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8A7F278">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（2）在谈判过程中，谈判小组可以根据采购文件和谈判情况实质性变动采购需求中的技术、服务要求以及合同草案条款，但不得变动采购文件中的其他内容。实质性变动的内容，须经采购人代表确认。</w:t>
      </w:r>
    </w:p>
    <w:p w14:paraId="0E0DC26F">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对采购文件作出的实质性变动是采购文件的有效组成部分，由谈判小组通过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以书面形式同时通知所有参加谈判的供应商。</w:t>
      </w:r>
    </w:p>
    <w:p w14:paraId="40E8D1D3">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（3）供应商必须按照采购文件的变动情况和谈判小组的要求重新提交响应文件，并在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在线编辑或上传PDF格式，使用电子签章后提交至谈判小组。参加谈判的供应商未在规定时间内重新提交响应文件的，视同退出谈判。</w:t>
      </w:r>
    </w:p>
    <w:p w14:paraId="3EC659A7">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（4）供应商的法定代表人或其授权代表无须到现场参加谈判，提问及回答/响应均通过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进行。谈判过程中使用的电子签章应为供应商上传响应文件的同一签章。</w:t>
      </w:r>
    </w:p>
    <w:p w14:paraId="5A6A38E1">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6.3.8最后报价</w:t>
      </w:r>
    </w:p>
    <w:p w14:paraId="3814E814">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（1）采购文件能够详细列明采购标的的技术、服务要求的，谈判结束后，谈判小组应当要求所有实质性响应的供应商在规定时间内提交最后报价，提交最后报价的供应商不得少于3家。 </w:t>
      </w:r>
    </w:p>
    <w:p w14:paraId="15182707">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A9DF043">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w:t>
      </w:r>
    </w:p>
    <w:p w14:paraId="7817276F">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（2）最后报价要求通过</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发出，供应商需在</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设置的时间内报价，最后报价不得超过采购预算金额且具有唯一性，否则否决其响应。</w:t>
      </w:r>
    </w:p>
    <w:p w14:paraId="2B50B92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谈判过程中明确供应商应提供技术服务及其它服务的（如检测费、验收发生的费用），相应费用也应包括在最后报价中。最后报价不允许采用汇总后优惠、打折的形式，否则其报价无效并作无效响应处理。</w:t>
      </w:r>
    </w:p>
    <w:p w14:paraId="52DBA8F7">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highlight w:val="none"/>
        </w:rPr>
        <w:t>（3）已提交响应文件的供应商，在提交最后报价之前，可以根据谈判情况退出谈判。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4FEDF47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6.3.9串通投标认定</w:t>
      </w:r>
    </w:p>
    <w:p w14:paraId="76C8E9F9">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谈判小组须根据以下规定认定供应商是否有</w:t>
      </w:r>
      <w:r>
        <w:rPr>
          <w:rFonts w:hint="eastAsia" w:ascii="宋体" w:hAnsi="宋体" w:eastAsia="宋体" w:cs="宋体"/>
          <w:bCs/>
          <w:color w:val="auto"/>
          <w:kern w:val="0"/>
          <w:szCs w:val="21"/>
          <w:highlight w:val="none"/>
        </w:rPr>
        <w:t>串通投标的行为</w:t>
      </w:r>
      <w:r>
        <w:rPr>
          <w:rFonts w:hint="eastAsia" w:ascii="宋体" w:hAnsi="宋体" w:eastAsia="宋体" w:cs="宋体"/>
          <w:color w:val="auto"/>
          <w:highlight w:val="none"/>
        </w:rPr>
        <w:t>。</w:t>
      </w:r>
    </w:p>
    <w:p w14:paraId="14C4E6C0">
      <w:pPr>
        <w:spacing w:before="120" w:line="320" w:lineRule="atLeast"/>
        <w:ind w:firstLine="420" w:firstLineChars="200"/>
        <w:rPr>
          <w:rFonts w:ascii="宋体" w:hAnsi="宋体" w:eastAsia="宋体" w:cs="宋体"/>
          <w:color w:val="auto"/>
          <w:szCs w:val="21"/>
          <w:highlight w:val="none"/>
        </w:rPr>
      </w:pPr>
      <w:bookmarkStart w:id="62" w:name="_Hlk19122026"/>
      <w:r>
        <w:rPr>
          <w:rFonts w:hint="eastAsia" w:ascii="宋体" w:hAnsi="宋体" w:eastAsia="宋体" w:cs="宋体"/>
          <w:color w:val="auto"/>
          <w:szCs w:val="21"/>
          <w:highlight w:val="none"/>
        </w:rPr>
        <w:t>（1）</w:t>
      </w:r>
      <w:bookmarkEnd w:id="62"/>
      <w:r>
        <w:rPr>
          <w:rFonts w:hint="eastAsia" w:ascii="宋体" w:hAnsi="宋体" w:eastAsia="宋体" w:cs="宋体"/>
          <w:color w:val="auto"/>
          <w:szCs w:val="21"/>
          <w:highlight w:val="none"/>
        </w:rPr>
        <w:t>根据《关于防治政府采购招标中串通投标行为的通知》（桂财采[2016]42号）规定，出现下述情况的，相关供应商的投标作无效投标处理。</w:t>
      </w:r>
    </w:p>
    <w:p w14:paraId="60D51FCD">
      <w:pPr>
        <w:spacing w:before="120" w:line="320" w:lineRule="atLeast"/>
        <w:ind w:firstLine="420" w:firstLineChars="200"/>
        <w:rPr>
          <w:rFonts w:ascii="宋体" w:hAnsi="宋体" w:eastAsia="宋体" w:cs="宋体"/>
          <w:color w:val="auto"/>
          <w:szCs w:val="21"/>
          <w:highlight w:val="none"/>
        </w:rPr>
      </w:pPr>
      <w:bookmarkStart w:id="63" w:name="_Hlk19122039"/>
      <w:r>
        <w:rPr>
          <w:rFonts w:hint="eastAsia" w:ascii="宋体" w:hAnsi="宋体" w:eastAsia="宋体" w:cs="宋体"/>
          <w:color w:val="auto"/>
          <w:szCs w:val="21"/>
          <w:highlight w:val="none"/>
        </w:rPr>
        <w:t>①单位负责人为同一人或者存在直接控股、管理关系，参加同一合同项下政府采购活动的不同供应商。</w:t>
      </w:r>
    </w:p>
    <w:p w14:paraId="6B31E35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②授权给供应商后参加同一合同项（分标、分包）投标的生产厂商。</w:t>
      </w:r>
    </w:p>
    <w:p w14:paraId="73EAB78C">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③视为或被认定为串通投标的相关供应商。</w:t>
      </w:r>
    </w:p>
    <w:bookmarkEnd w:id="63"/>
    <w:p w14:paraId="0E907252">
      <w:pPr>
        <w:spacing w:before="120" w:line="320" w:lineRule="atLeast"/>
        <w:ind w:firstLine="420" w:firstLineChars="200"/>
        <w:rPr>
          <w:rFonts w:ascii="宋体" w:hAnsi="宋体" w:eastAsia="宋体" w:cs="宋体"/>
          <w:color w:val="auto"/>
          <w:szCs w:val="21"/>
          <w:highlight w:val="none"/>
        </w:rPr>
      </w:pPr>
      <w:bookmarkStart w:id="64" w:name="_Hlk19122058"/>
      <w:r>
        <w:rPr>
          <w:rFonts w:hint="eastAsia" w:ascii="宋体" w:hAnsi="宋体" w:eastAsia="宋体" w:cs="宋体"/>
          <w:color w:val="auto"/>
          <w:szCs w:val="21"/>
          <w:highlight w:val="none"/>
        </w:rPr>
        <w:t>（2）</w:t>
      </w:r>
      <w:bookmarkEnd w:id="64"/>
      <w:r>
        <w:rPr>
          <w:rFonts w:hint="eastAsia" w:ascii="宋体" w:hAnsi="宋体" w:eastAsia="宋体" w:cs="宋体"/>
          <w:color w:val="auto"/>
          <w:szCs w:val="21"/>
          <w:highlight w:val="none"/>
        </w:rPr>
        <w:t>根据《关于防治政府采购招标中串通投标行为的通知》（桂财采[2016]42号）规定，有下列情形之一的视为供应商相互串通投标，响应文件将被视为无效。</w:t>
      </w:r>
    </w:p>
    <w:p w14:paraId="567E5C06">
      <w:pPr>
        <w:spacing w:before="120" w:line="320" w:lineRule="atLeast"/>
        <w:ind w:firstLine="420" w:firstLineChars="200"/>
        <w:rPr>
          <w:rFonts w:ascii="宋体" w:hAnsi="宋体" w:eastAsia="宋体" w:cs="宋体"/>
          <w:color w:val="auto"/>
          <w:szCs w:val="21"/>
          <w:highlight w:val="none"/>
        </w:rPr>
      </w:pPr>
      <w:bookmarkStart w:id="65" w:name="_Hlk19122048"/>
      <w:r>
        <w:rPr>
          <w:rFonts w:hint="eastAsia" w:ascii="宋体" w:hAnsi="宋体" w:eastAsia="宋体" w:cs="宋体"/>
          <w:color w:val="auto"/>
          <w:szCs w:val="21"/>
          <w:highlight w:val="none"/>
        </w:rPr>
        <w:t>①不同供应商的响应文件由同一单位或者个人编制；或不同供应商报名的IP地址一致的；</w:t>
      </w:r>
    </w:p>
    <w:p w14:paraId="489D40C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②不同供应商委托同一单位或者个人办理投标事宜；</w:t>
      </w:r>
    </w:p>
    <w:p w14:paraId="53CAC9A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③不同的供应商的响应文件载明的项目管理员为同一个人；</w:t>
      </w:r>
    </w:p>
    <w:p w14:paraId="25A7618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④不同供应商的响应文件异常一致或投标报价呈规律性差异；</w:t>
      </w:r>
    </w:p>
    <w:p w14:paraId="2154C7D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⑤不同供应商的响应文件相互混装；</w:t>
      </w:r>
    </w:p>
    <w:p w14:paraId="4C844AF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⑥不同供应商的保证金从同一单位或者个人账户转出。</w:t>
      </w:r>
    </w:p>
    <w:bookmarkEnd w:id="65"/>
    <w:p w14:paraId="0A3DC6B9">
      <w:pPr>
        <w:spacing w:before="120" w:line="320" w:lineRule="atLeast"/>
        <w:ind w:firstLine="420" w:firstLineChars="200"/>
        <w:rPr>
          <w:rFonts w:ascii="宋体" w:hAnsi="宋体" w:eastAsia="宋体" w:cs="宋体"/>
          <w:color w:val="auto"/>
          <w:szCs w:val="21"/>
          <w:highlight w:val="none"/>
        </w:rPr>
      </w:pPr>
      <w:bookmarkStart w:id="66" w:name="_Hlk19122102"/>
      <w:r>
        <w:rPr>
          <w:rFonts w:hint="eastAsia" w:ascii="宋体" w:hAnsi="宋体" w:eastAsia="宋体" w:cs="宋体"/>
          <w:color w:val="auto"/>
          <w:szCs w:val="21"/>
          <w:highlight w:val="none"/>
        </w:rPr>
        <w:t>（3）</w:t>
      </w:r>
      <w:bookmarkEnd w:id="66"/>
      <w:r>
        <w:rPr>
          <w:rFonts w:hint="eastAsia" w:ascii="宋体" w:hAnsi="宋体" w:eastAsia="宋体" w:cs="宋体"/>
          <w:color w:val="auto"/>
          <w:szCs w:val="21"/>
          <w:highlight w:val="none"/>
        </w:rPr>
        <w:t>根据《关于防治政府采购招标中串通投标行为的通知》（桂财采[2016]42号）规定，供应商有下列情形之一的，属于恶意串通行为，响应文件将被视为无效。</w:t>
      </w:r>
    </w:p>
    <w:p w14:paraId="7EFD4F84">
      <w:pPr>
        <w:spacing w:before="120" w:line="320" w:lineRule="atLeast"/>
        <w:ind w:firstLine="420" w:firstLineChars="200"/>
        <w:rPr>
          <w:rFonts w:ascii="宋体" w:hAnsi="宋体" w:eastAsia="宋体" w:cs="宋体"/>
          <w:color w:val="auto"/>
          <w:szCs w:val="21"/>
          <w:highlight w:val="none"/>
        </w:rPr>
      </w:pPr>
      <w:bookmarkStart w:id="67" w:name="_Hlk19122095"/>
      <w:r>
        <w:rPr>
          <w:rFonts w:hint="eastAsia" w:ascii="宋体" w:hAnsi="宋体" w:eastAsia="宋体" w:cs="宋体"/>
          <w:color w:val="auto"/>
          <w:szCs w:val="21"/>
          <w:highlight w:val="none"/>
        </w:rPr>
        <w:t>①供应商直接或者间接从采购人或者采购代理机构处获得其他供应商的相关信息并修改其响应文件或者响应文件；</w:t>
      </w:r>
    </w:p>
    <w:p w14:paraId="56E0708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②供应商按照采购人或者采购代理机构的授意撤换、修改响应文件或者响应文件;；</w:t>
      </w:r>
    </w:p>
    <w:p w14:paraId="7B4951A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③供应商之间协商报价、技术方案等响应文件或者响应文件的实质性内容；</w:t>
      </w:r>
    </w:p>
    <w:p w14:paraId="46CDEAA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④属于同一集团、协会、商会等组织成员的供应商按照该组织要求协同参加政府采购活动；</w:t>
      </w:r>
    </w:p>
    <w:p w14:paraId="64B0D07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6E3ACC28">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⑥供应商之间商定部分供应商放弃参加政府采购活动或者放弃中标；</w:t>
      </w:r>
    </w:p>
    <w:p w14:paraId="60B713B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⑦供应商与采购人或者采购代理机构之间、供应商相互之间，为谋求特定供应商中标或者排斥其他供应商的其他串通行为。</w:t>
      </w:r>
    </w:p>
    <w:bookmarkEnd w:id="67"/>
    <w:p w14:paraId="6A7B3C3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6.3.10响应无效认定</w:t>
      </w:r>
    </w:p>
    <w:p w14:paraId="14C154A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（1）在评审过程中如发现下列情形之一的，响应文件将被视为无效：</w:t>
      </w:r>
    </w:p>
    <w:p w14:paraId="57D8981A">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①响应文件存在法律、法规及监督部门有关文件规定的无效情形。</w:t>
      </w:r>
    </w:p>
    <w:p w14:paraId="2B5001B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②响应文件存在采购文件规定的无效情形。</w:t>
      </w:r>
    </w:p>
    <w:p w14:paraId="375E0B37">
      <w:pPr>
        <w:spacing w:before="120" w:line="320" w:lineRule="atLeast"/>
        <w:ind w:firstLine="420" w:firstLineChars="200"/>
        <w:rPr>
          <w:rFonts w:ascii="宋体" w:hAnsi="宋体" w:eastAsia="宋体" w:cs="宋体"/>
          <w:color w:val="auto"/>
          <w:szCs w:val="21"/>
          <w:highlight w:val="none"/>
        </w:rPr>
      </w:pPr>
      <w:bookmarkStart w:id="68" w:name="_Hlk19113313"/>
      <w:r>
        <w:rPr>
          <w:rFonts w:hint="eastAsia" w:ascii="宋体" w:hAnsi="宋体" w:eastAsia="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8"/>
    <w:p w14:paraId="2DE118F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6.3.11比较与评价</w:t>
      </w:r>
    </w:p>
    <w:p w14:paraId="2F88A43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谈判小组按扣除后的价格由低到高的顺序排列推荐3名以上供应商为本项目（或分标）的成交候选供应商，排名第一的为第一成交候选供应商。若供应商的响应最后报价经扣除后价格相同，则按服务条款的优劣顺序排列。若仍相同的，由谈判小组采用记名投票方式确定。</w:t>
      </w:r>
    </w:p>
    <w:p w14:paraId="28108096">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（2）谈判小组根据评审记录及评审结果编写评审报告，谈判小组成员均应当在评审报告上签字，对自己的评审意见承担法律责任。</w:t>
      </w:r>
      <w:r>
        <w:rPr>
          <w:rFonts w:hint="eastAsia" w:ascii="宋体" w:hAnsi="宋体" w:eastAsia="宋体" w:cs="宋体"/>
          <w:color w:val="auto"/>
          <w:highlight w:val="none"/>
        </w:rPr>
        <w:t>评审报告签署前，经复核发现存在以下情形之一的，谈判小组应当当场修改评审结果，并在评审报告中记载；评审报告签署后，采购人或者采购代理机构发现存在以下情形之一的，应当组织原谈判小组进行重新评审。</w:t>
      </w:r>
    </w:p>
    <w:p w14:paraId="1C21D39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资格性检查认定错误、价格计算错误。</w:t>
      </w:r>
    </w:p>
    <w:p w14:paraId="58BED3D8">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6.4确定成交供应商</w:t>
      </w:r>
    </w:p>
    <w:p w14:paraId="2BD1E1B5">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6.4.1采购代理机构将在评审结束后2个工作日内将评审报告送采购人，采购人在5个工作日内按照评审报告中推荐的成交候选供应商顺序确定成交供应商。</w:t>
      </w:r>
    </w:p>
    <w:p w14:paraId="2DCCA73C">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1F387168">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6.5结果公告</w:t>
      </w:r>
    </w:p>
    <w:p w14:paraId="536356A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6.5.1自成交供应商确定后2个工作日内，采购代理机构按照供应商须知</w:t>
      </w:r>
      <w:r>
        <w:rPr>
          <w:rFonts w:hint="eastAsia" w:ascii="宋体" w:hAnsi="宋体" w:eastAsia="宋体" w:cs="宋体"/>
          <w:color w:val="auto"/>
          <w:kern w:val="0"/>
          <w:szCs w:val="21"/>
          <w:highlight w:val="none"/>
        </w:rPr>
        <w:t>前附表的规定公告</w:t>
      </w:r>
      <w:r>
        <w:rPr>
          <w:rFonts w:hint="eastAsia" w:ascii="宋体" w:hAnsi="宋体" w:eastAsia="宋体" w:cs="宋体"/>
          <w:color w:val="auto"/>
          <w:szCs w:val="21"/>
          <w:highlight w:val="none"/>
        </w:rPr>
        <w:t>成交结果。</w:t>
      </w:r>
    </w:p>
    <w:p w14:paraId="24FF530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72201225">
      <w:pPr>
        <w:suppressAutoHyphens/>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6.6废标</w:t>
      </w:r>
    </w:p>
    <w:p w14:paraId="53650BE7">
      <w:pPr>
        <w:spacing w:before="120" w:line="320" w:lineRule="atLeast"/>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 xml:space="preserve">6.6.1出现下列情形之一，将导致项目废标： </w:t>
      </w:r>
    </w:p>
    <w:p w14:paraId="66867D8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kern w:val="1"/>
          <w:szCs w:val="21"/>
          <w:highlight w:val="none"/>
        </w:rPr>
        <w:t>（1</w:t>
      </w:r>
      <w:r>
        <w:rPr>
          <w:rFonts w:hint="eastAsia" w:ascii="宋体" w:hAnsi="宋体" w:eastAsia="宋体" w:cs="宋体"/>
          <w:color w:val="auto"/>
          <w:szCs w:val="21"/>
          <w:highlight w:val="none"/>
        </w:rPr>
        <w:t>）符合专业条件的供应商或者对采购文件做实质性响应的供应商不足三家；</w:t>
      </w:r>
    </w:p>
    <w:p w14:paraId="5089768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44943F5B">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（3）供应商的报价均超过了采购预算，采购人不能支付的；</w:t>
      </w:r>
    </w:p>
    <w:p w14:paraId="064F4FA4">
      <w:pPr>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因发生重大变故或采购任务取消的。</w:t>
      </w:r>
    </w:p>
    <w:p w14:paraId="2BAF084B">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1"/>
          <w:szCs w:val="21"/>
          <w:highlight w:val="none"/>
        </w:rPr>
        <w:t>6.6.2废标后</w:t>
      </w:r>
      <w:r>
        <w:rPr>
          <w:rFonts w:hint="eastAsia" w:ascii="宋体" w:hAnsi="宋体" w:eastAsia="宋体" w:cs="宋体"/>
          <w:color w:val="auto"/>
          <w:szCs w:val="21"/>
          <w:highlight w:val="none"/>
        </w:rPr>
        <w:t>采购</w:t>
      </w:r>
      <w:r>
        <w:rPr>
          <w:rFonts w:hint="eastAsia" w:ascii="宋体" w:hAnsi="宋体" w:eastAsia="宋体" w:cs="宋体"/>
          <w:color w:val="auto"/>
          <w:kern w:val="1"/>
          <w:szCs w:val="21"/>
          <w:highlight w:val="none"/>
        </w:rPr>
        <w:t>代理机构将发布废标公告通知供应商。</w:t>
      </w:r>
    </w:p>
    <w:p w14:paraId="74DDE42F">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7．合同</w:t>
      </w:r>
    </w:p>
    <w:p w14:paraId="7F87CF17">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7.1合同授予标准</w:t>
      </w:r>
    </w:p>
    <w:p w14:paraId="1820947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采购文件要求，具备履行合同能力，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，应在成交通知书发出前或签订合同前及时书面告知采购人，未主动告知，给采购人造成损失的，采购人有权取消其成交资格并没收谈判保证金。</w:t>
      </w:r>
    </w:p>
    <w:p w14:paraId="34ECCE2F">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7.2签订合同</w:t>
      </w:r>
    </w:p>
    <w:p w14:paraId="7BAEADF3">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7.2.1如采购文件无特别规定，成交供应商按采购文件确定的事项签订政府采购合同。</w:t>
      </w:r>
    </w:p>
    <w:p w14:paraId="77542B0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7304819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7.2.3如成交供应商不按成交通知书的规定签订合同，其谈判保证金将不予退还，并报由同级政府采购监督管理部门处理。</w:t>
      </w:r>
    </w:p>
    <w:p w14:paraId="0EEC5F0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7.2.4成交供应商拒绝与采购人签订合同的，采购人可以按照评审报告推荐的成交候选人名单排序，确定下一候选人为成交供应商，也可以重新开展政府采购活动。</w:t>
      </w:r>
    </w:p>
    <w:p w14:paraId="1D06CCBD">
      <w:pPr>
        <w:spacing w:before="120" w:line="320" w:lineRule="atLeast"/>
        <w:ind w:firstLine="420" w:firstLineChars="200"/>
        <w:rPr>
          <w:rFonts w:ascii="宋体" w:hAnsi="宋体" w:eastAsia="宋体" w:cs="宋体"/>
          <w:color w:val="auto"/>
          <w:szCs w:val="21"/>
          <w:highlight w:val="none"/>
        </w:rPr>
      </w:pPr>
      <w:bookmarkStart w:id="69" w:name="_Hlk155170999"/>
      <w:r>
        <w:rPr>
          <w:rFonts w:hint="eastAsia" w:ascii="宋体" w:hAnsi="宋体" w:eastAsia="宋体" w:cs="宋体"/>
          <w:color w:val="auto"/>
          <w:szCs w:val="21"/>
          <w:highlight w:val="none"/>
        </w:rPr>
        <w:t>7.2.5采购人因不可抗力原因迟延签订合同的，应当自不可抗力事由消除之日起5个工作日内完成合同签订事宜。</w:t>
      </w:r>
      <w:bookmarkEnd w:id="69"/>
    </w:p>
    <w:p w14:paraId="28E93ACA">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7.3合同公告</w:t>
      </w:r>
    </w:p>
    <w:p w14:paraId="16811FD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7.3.1如采购文件无特殊规定，成交供应商应在签订合同后1个工作日内，将政府采购合同副本送采购代理机构存档。</w:t>
      </w:r>
    </w:p>
    <w:p w14:paraId="72AF476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495250FE">
      <w:pPr>
        <w:spacing w:before="120" w:line="320" w:lineRule="atLeast"/>
        <w:ind w:firstLine="420" w:firstLineChars="200"/>
        <w:rPr>
          <w:rFonts w:ascii="宋体" w:hAnsi="宋体" w:eastAsia="宋体" w:cs="宋体"/>
          <w:color w:val="auto"/>
          <w:szCs w:val="21"/>
          <w:highlight w:val="none"/>
        </w:rPr>
      </w:pPr>
      <w:bookmarkStart w:id="70" w:name="_Hlk155171014"/>
      <w:r>
        <w:rPr>
          <w:rFonts w:hint="eastAsia" w:ascii="宋体" w:hAnsi="宋体" w:eastAsia="宋体" w:cs="宋体"/>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0"/>
    </w:p>
    <w:p w14:paraId="75FA0ABE">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7.4 履行合同</w:t>
      </w:r>
    </w:p>
    <w:p w14:paraId="147B1F80">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7.4.1</w:t>
      </w:r>
      <w:bookmarkStart w:id="71" w:name="_Toc217446070"/>
      <w:bookmarkStart w:id="72" w:name="_Toc308164814"/>
      <w:r>
        <w:rPr>
          <w:rFonts w:hint="eastAsia" w:ascii="宋体" w:hAnsi="宋体" w:eastAsia="宋体" w:cs="宋体"/>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52742A5F">
      <w:pPr>
        <w:spacing w:before="120" w:line="320" w:lineRule="atLeast"/>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7.5履约验收</w:t>
      </w:r>
      <w:bookmarkEnd w:id="71"/>
      <w:bookmarkEnd w:id="72"/>
    </w:p>
    <w:p w14:paraId="4D8A532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7.5.1采购人可以根据政府采购项目具体情况自行组织验收，或者委托政府采购代理机构、国家认可的质量检测机构开展采购项目履约验收工作。</w:t>
      </w:r>
    </w:p>
    <w:p w14:paraId="4EA5EF4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ED9D31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1583A75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6B899B6">
      <w:pPr>
        <w:spacing w:before="120" w:line="320" w:lineRule="atLeast"/>
        <w:ind w:left="2" w:leftChars="1" w:firstLine="422" w:firstLineChars="200"/>
        <w:outlineLvl w:val="1"/>
        <w:rPr>
          <w:rFonts w:ascii="宋体" w:hAnsi="宋体" w:eastAsia="宋体" w:cs="宋体"/>
          <w:b/>
          <w:bCs/>
          <w:color w:val="auto"/>
          <w:kern w:val="0"/>
          <w:szCs w:val="21"/>
          <w:highlight w:val="none"/>
        </w:rPr>
      </w:pPr>
      <w:bookmarkStart w:id="73" w:name="_Toc254970533"/>
      <w:bookmarkStart w:id="74" w:name="_Toc254970674"/>
      <w:r>
        <w:rPr>
          <w:rFonts w:hint="eastAsia" w:ascii="宋体" w:hAnsi="宋体" w:eastAsia="宋体" w:cs="宋体"/>
          <w:b/>
          <w:bCs/>
          <w:color w:val="auto"/>
          <w:kern w:val="0"/>
          <w:szCs w:val="21"/>
          <w:highlight w:val="none"/>
        </w:rPr>
        <w:t>8．质疑和投诉</w:t>
      </w:r>
      <w:bookmarkEnd w:id="73"/>
      <w:bookmarkEnd w:id="74"/>
    </w:p>
    <w:p w14:paraId="22EDCFC8">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8.1质疑</w:t>
      </w:r>
    </w:p>
    <w:p w14:paraId="1848FE74">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8.1.1质疑内容、时限</w:t>
      </w:r>
    </w:p>
    <w:p w14:paraId="435676F7">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671EBED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18D1C06">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8.1.2质疑形式</w:t>
      </w:r>
    </w:p>
    <w:p w14:paraId="3D78CFB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5EC4BE5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8.1.3</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供应商提出质疑应当提交质疑函和必要的证明材料。质疑函应当包括下列内容：</w:t>
      </w:r>
    </w:p>
    <w:p w14:paraId="3CC8332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675E530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28A5004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5D0956FF">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4A5B6A59">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300BBFE2">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4DCD1BFD">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50B79F69">
      <w:pPr>
        <w:spacing w:before="120" w:line="320" w:lineRule="atLeast"/>
        <w:ind w:firstLine="422" w:firstLineChars="200"/>
        <w:outlineLvl w:val="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8.2投诉</w:t>
      </w:r>
    </w:p>
    <w:p w14:paraId="2F6B6B91">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70A6D25">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8.2.2投诉书应使用财政部发布的政府采购供应投诉书范本，并应按照“投诉书制作说明”进行编写。</w:t>
      </w:r>
    </w:p>
    <w:p w14:paraId="760A0B9D">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9．其他事项</w:t>
      </w:r>
    </w:p>
    <w:p w14:paraId="7A6C8ACE">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9.1代理服务收费由采购代理机构向成交供应商收取。签订合同前，成交供应商应向采购代理机构一次付清代理服务费。</w:t>
      </w:r>
    </w:p>
    <w:p w14:paraId="3115FBF2">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336F372D">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4CA47F08">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5DAA2CE6">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648948F9">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01C154FF">
      <w:pPr>
        <w:spacing w:before="120" w:line="276"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（5）其他无法保证电子交易的公平、公正和安全的情况。</w:t>
      </w:r>
    </w:p>
    <w:p w14:paraId="70E67A9F">
      <w:pPr>
        <w:tabs>
          <w:tab w:val="left" w:pos="4820"/>
        </w:tabs>
        <w:spacing w:before="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54FB2A9C">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9.3本项目的其他事项详见供应商须知前附表。</w:t>
      </w:r>
    </w:p>
    <w:p w14:paraId="429E9563">
      <w:pPr>
        <w:spacing w:before="120" w:line="320" w:lineRule="atLeast"/>
        <w:ind w:left="2" w:leftChars="1" w:firstLine="422" w:firstLineChars="200"/>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10．其他说明</w:t>
      </w:r>
    </w:p>
    <w:p w14:paraId="58D5D453">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10.1其余未尽事宜按《中华人民共和国政府采购法》、《中华人民共和国政府采购法实施条例》的相关规定执行。</w:t>
      </w:r>
    </w:p>
    <w:p w14:paraId="1E3F5A6F">
      <w:pPr>
        <w:spacing w:line="360" w:lineRule="auto"/>
        <w:ind w:firstLine="420"/>
        <w:rPr>
          <w:rFonts w:ascii="宋体" w:hAnsi="宋体" w:eastAsia="宋体" w:cs="宋体"/>
          <w:color w:val="auto"/>
          <w:szCs w:val="21"/>
          <w:highlight w:val="none"/>
        </w:rPr>
        <w:sectPr>
          <w:headerReference r:id="rId12" w:type="default"/>
          <w:pgSz w:w="11905" w:h="16838"/>
          <w:pgMar w:top="1417" w:right="1417" w:bottom="1417" w:left="1417" w:header="851" w:footer="850" w:gutter="0"/>
          <w:cols w:space="720" w:num="1"/>
          <w:docGrid w:linePitch="312" w:charSpace="0"/>
        </w:sectPr>
      </w:pPr>
      <w:r>
        <w:rPr>
          <w:rFonts w:hint="eastAsia" w:ascii="宋体" w:hAnsi="宋体" w:eastAsia="宋体" w:cs="宋体"/>
          <w:color w:val="auto"/>
          <w:szCs w:val="21"/>
          <w:highlight w:val="none"/>
        </w:rPr>
        <w:t>10.2本采购文件是根据国家有关法律及有关政策、法规和参照国际惯例编制，解释权属采购代理机构。</w:t>
      </w:r>
    </w:p>
    <w:p w14:paraId="7F7D0579">
      <w:pPr>
        <w:pStyle w:val="27"/>
        <w:snapToGrid w:val="0"/>
        <w:spacing w:before="120" w:after="120" w:line="320" w:lineRule="exact"/>
        <w:jc w:val="center"/>
        <w:outlineLvl w:val="0"/>
        <w:rPr>
          <w:rFonts w:hAnsi="宋体" w:eastAsia="宋体" w:cs="宋体"/>
          <w:color w:val="auto"/>
          <w:sz w:val="32"/>
          <w:szCs w:val="32"/>
          <w:highlight w:val="none"/>
        </w:rPr>
      </w:pPr>
      <w:bookmarkStart w:id="75" w:name="_Toc114485414"/>
      <w:bookmarkStart w:id="76" w:name="_Toc254970549"/>
      <w:bookmarkStart w:id="77" w:name="_Toc254970690"/>
      <w:r>
        <w:rPr>
          <w:rFonts w:hint="eastAsia" w:hAnsi="宋体" w:eastAsia="宋体" w:cs="宋体"/>
          <w:color w:val="auto"/>
          <w:sz w:val="32"/>
          <w:szCs w:val="32"/>
          <w:highlight w:val="none"/>
        </w:rPr>
        <w:t>第四章  评审方法及标准</w:t>
      </w:r>
      <w:bookmarkEnd w:id="75"/>
    </w:p>
    <w:p w14:paraId="7A47F926">
      <w:pPr>
        <w:spacing w:before="120" w:line="320" w:lineRule="atLeast"/>
        <w:ind w:firstLine="413" w:firstLineChars="196"/>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1.评审方法</w:t>
      </w:r>
    </w:p>
    <w:p w14:paraId="362E334C">
      <w:pPr>
        <w:suppressAutoHyphens/>
        <w:spacing w:before="120" w:line="320" w:lineRule="atLeas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本项目采用</w:t>
      </w:r>
      <w:r>
        <w:rPr>
          <w:rFonts w:hint="eastAsia" w:ascii="宋体" w:hAnsi="宋体" w:eastAsia="宋体" w:cs="宋体"/>
          <w:bCs/>
          <w:color w:val="auto"/>
          <w:kern w:val="1"/>
          <w:szCs w:val="21"/>
          <w:highlight w:val="none"/>
        </w:rPr>
        <w:t>最低评标价法</w:t>
      </w:r>
      <w:r>
        <w:rPr>
          <w:rFonts w:hint="eastAsia" w:ascii="宋体" w:hAnsi="宋体" w:eastAsia="宋体" w:cs="宋体"/>
          <w:color w:val="auto"/>
          <w:szCs w:val="21"/>
          <w:highlight w:val="none"/>
        </w:rPr>
        <w:t>进行评审</w:t>
      </w:r>
      <w:r>
        <w:rPr>
          <w:rFonts w:hint="eastAsia" w:ascii="宋体" w:hAnsi="宋体" w:eastAsia="宋体" w:cs="宋体"/>
          <w:bCs/>
          <w:color w:val="auto"/>
          <w:kern w:val="1"/>
          <w:szCs w:val="21"/>
          <w:highlight w:val="none"/>
        </w:rPr>
        <w:t>。</w:t>
      </w:r>
      <w:r>
        <w:rPr>
          <w:rFonts w:hint="eastAsia" w:ascii="宋体" w:hAnsi="宋体" w:eastAsia="宋体" w:cs="宋体"/>
          <w:color w:val="auto"/>
          <w:szCs w:val="21"/>
          <w:highlight w:val="none"/>
        </w:rPr>
        <w:t>最低评标价法，是指响应文件满足采购文件全部实质性要求且谈判报价最低的供应商为成交候选人的评审方法。</w:t>
      </w:r>
      <w:r>
        <w:rPr>
          <w:rFonts w:hint="eastAsia" w:ascii="宋体" w:hAnsi="宋体" w:eastAsia="宋体" w:cs="宋体"/>
          <w:color w:val="auto"/>
          <w:highlight w:val="none"/>
        </w:rPr>
        <w:t xml:space="preserve"> </w:t>
      </w:r>
    </w:p>
    <w:p w14:paraId="2572B444">
      <w:pPr>
        <w:suppressAutoHyphens/>
        <w:spacing w:before="120" w:line="320" w:lineRule="atLeast"/>
        <w:ind w:firstLine="420" w:firstLineChars="200"/>
        <w:rPr>
          <w:rFonts w:ascii="宋体" w:hAnsi="宋体" w:eastAsia="宋体" w:cs="宋体"/>
          <w:color w:val="auto"/>
          <w:kern w:val="1"/>
          <w:szCs w:val="21"/>
          <w:highlight w:val="none"/>
        </w:rPr>
      </w:pPr>
      <w:r>
        <w:rPr>
          <w:rFonts w:hint="eastAsia" w:ascii="宋体" w:hAnsi="宋体" w:eastAsia="宋体" w:cs="宋体"/>
          <w:color w:val="auto"/>
          <w:kern w:val="1"/>
          <w:szCs w:val="21"/>
          <w:highlight w:val="none"/>
        </w:rPr>
        <w:t>本项目评审的其他详细规定在第三章供应商须知中规定。</w:t>
      </w:r>
    </w:p>
    <w:p w14:paraId="3C7A5D62">
      <w:pPr>
        <w:spacing w:before="120" w:line="320" w:lineRule="atLeast"/>
        <w:ind w:firstLine="413" w:firstLineChars="196"/>
        <w:outlineLvl w:val="1"/>
        <w:rPr>
          <w:rFonts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2.资格审查标准</w:t>
      </w:r>
      <w:r>
        <w:rPr>
          <w:rFonts w:hint="eastAsia" w:ascii="宋体" w:hAnsi="宋体" w:eastAsia="宋体" w:cs="宋体"/>
          <w:b/>
          <w:bCs/>
          <w:color w:val="auto"/>
          <w:kern w:val="0"/>
          <w:szCs w:val="21"/>
          <w:highlight w:val="none"/>
        </w:rPr>
        <w:t>（不满足任何一项审查内容要求，资格审查即为不合格；联合体响应的，联合体各方均应提交第一项基本资格要求的资格证明文件）</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61"/>
        <w:gridCol w:w="1181"/>
        <w:gridCol w:w="5143"/>
      </w:tblGrid>
      <w:tr w14:paraId="73C1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01" w:type="dxa"/>
            <w:vAlign w:val="center"/>
          </w:tcPr>
          <w:p w14:paraId="3D5D59C9">
            <w:pPr>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审查因素</w:t>
            </w:r>
          </w:p>
        </w:tc>
        <w:tc>
          <w:tcPr>
            <w:tcW w:w="2642" w:type="dxa"/>
            <w:gridSpan w:val="2"/>
            <w:vAlign w:val="center"/>
          </w:tcPr>
          <w:p w14:paraId="414A3E0D">
            <w:pPr>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5143" w:type="dxa"/>
            <w:vAlign w:val="center"/>
          </w:tcPr>
          <w:p w14:paraId="583B3DE1">
            <w:pPr>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2AD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101" w:type="dxa"/>
            <w:vMerge w:val="restart"/>
            <w:vAlign w:val="center"/>
          </w:tcPr>
          <w:p w14:paraId="6DE2861C">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供应商应符合的基本资格要求</w:t>
            </w:r>
          </w:p>
        </w:tc>
        <w:tc>
          <w:tcPr>
            <w:tcW w:w="2642" w:type="dxa"/>
            <w:gridSpan w:val="2"/>
            <w:vAlign w:val="center"/>
          </w:tcPr>
          <w:p w14:paraId="263FE087">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tc>
        <w:tc>
          <w:tcPr>
            <w:tcW w:w="5143" w:type="dxa"/>
            <w:vAlign w:val="center"/>
          </w:tcPr>
          <w:p w14:paraId="7B95545C">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审查供应商为法人或者其他组织的，提供营业执照等证明文件（如营业执照或者事业单位法人证书或者执业许可证等），供应商为自然人的，提供身份证扫描件。</w:t>
            </w:r>
          </w:p>
        </w:tc>
      </w:tr>
      <w:tr w14:paraId="549F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01" w:type="dxa"/>
            <w:vMerge w:val="continue"/>
            <w:vAlign w:val="center"/>
          </w:tcPr>
          <w:p w14:paraId="60B6A7C5">
            <w:pPr>
              <w:spacing w:line="240" w:lineRule="exact"/>
              <w:jc w:val="center"/>
              <w:rPr>
                <w:rFonts w:ascii="宋体" w:hAnsi="宋体" w:eastAsia="宋体" w:cs="宋体"/>
                <w:color w:val="auto"/>
                <w:szCs w:val="21"/>
                <w:highlight w:val="none"/>
              </w:rPr>
            </w:pPr>
          </w:p>
        </w:tc>
        <w:tc>
          <w:tcPr>
            <w:tcW w:w="2642" w:type="dxa"/>
            <w:gridSpan w:val="2"/>
            <w:vAlign w:val="center"/>
          </w:tcPr>
          <w:p w14:paraId="5A4F1C03">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具有良好的商业信誉和健全的财务会计制度</w:t>
            </w:r>
          </w:p>
        </w:tc>
        <w:tc>
          <w:tcPr>
            <w:tcW w:w="5143" w:type="dxa"/>
            <w:vAlign w:val="center"/>
          </w:tcPr>
          <w:p w14:paraId="27F28B10">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①审查商业信誉声明。须提供，格式见第六章响应文件格式“响应声明书”。</w:t>
            </w:r>
          </w:p>
          <w:p w14:paraId="1ECDB4D7">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②审查2025年度财务状况报告（表）扫描件或银行出具的资信证明扫描件。</w:t>
            </w:r>
            <w:r>
              <w:rPr>
                <w:rFonts w:hint="eastAsia" w:ascii="宋体" w:hAnsi="宋体" w:eastAsia="宋体" w:cs="宋体"/>
                <w:color w:val="auto"/>
                <w:highlight w:val="none"/>
              </w:rPr>
              <w:t>对于从取得营业执照时间起到响应文件递交截止时间为止不足1年的供应商，只需提交</w:t>
            </w:r>
            <w:r>
              <w:rPr>
                <w:rFonts w:hint="eastAsia" w:ascii="宋体" w:hAnsi="宋体" w:eastAsia="宋体" w:cs="宋体"/>
                <w:color w:val="auto"/>
                <w:szCs w:val="21"/>
                <w:highlight w:val="none"/>
              </w:rPr>
              <w:t>响应文件递交截止时间前一个月的财务状况报告（表）扫描件。</w:t>
            </w:r>
          </w:p>
        </w:tc>
      </w:tr>
      <w:tr w14:paraId="79B6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trPr>
        <w:tc>
          <w:tcPr>
            <w:tcW w:w="1101" w:type="dxa"/>
            <w:vMerge w:val="continue"/>
            <w:vAlign w:val="center"/>
          </w:tcPr>
          <w:p w14:paraId="7EB15951">
            <w:pPr>
              <w:spacing w:line="240" w:lineRule="exact"/>
              <w:jc w:val="center"/>
              <w:rPr>
                <w:rFonts w:ascii="宋体" w:hAnsi="宋体" w:eastAsia="宋体" w:cs="宋体"/>
                <w:color w:val="auto"/>
                <w:szCs w:val="21"/>
                <w:highlight w:val="none"/>
              </w:rPr>
            </w:pPr>
          </w:p>
        </w:tc>
        <w:tc>
          <w:tcPr>
            <w:tcW w:w="2642" w:type="dxa"/>
            <w:gridSpan w:val="2"/>
            <w:vAlign w:val="center"/>
          </w:tcPr>
          <w:p w14:paraId="74BC624C">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（3）具有履行合同所必需的设备和专业技术能力</w:t>
            </w:r>
          </w:p>
        </w:tc>
        <w:tc>
          <w:tcPr>
            <w:tcW w:w="5143" w:type="dxa"/>
            <w:vAlign w:val="center"/>
          </w:tcPr>
          <w:p w14:paraId="7A13F0C5">
            <w:p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①提供拟投入施工机械设备证明材料、</w:t>
            </w:r>
            <w:r>
              <w:rPr>
                <w:rFonts w:hint="eastAsia" w:ascii="宋体" w:hAnsi="宋体" w:eastAsia="宋体" w:cs="宋体"/>
                <w:color w:val="auto"/>
                <w:highlight w:val="none"/>
              </w:rPr>
              <w:t>项目管理机构人员资格证件及在供应商单位依法缴纳社会保险的凭证等相关证明材料的</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w:t>
            </w:r>
          </w:p>
          <w:p w14:paraId="6A08BCCF">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②审查书面声明。须提供，格式见第六章响应文件格式“响应声明书”。</w:t>
            </w:r>
          </w:p>
          <w:p w14:paraId="6C404C27">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审查①或②，满足其一，即为符合要求。</w:t>
            </w:r>
          </w:p>
        </w:tc>
      </w:tr>
      <w:tr w14:paraId="2BFB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1101" w:type="dxa"/>
            <w:vMerge w:val="continue"/>
            <w:vAlign w:val="center"/>
          </w:tcPr>
          <w:p w14:paraId="68058D65">
            <w:pPr>
              <w:spacing w:line="240" w:lineRule="exact"/>
              <w:jc w:val="center"/>
              <w:rPr>
                <w:rFonts w:ascii="宋体" w:hAnsi="宋体" w:eastAsia="宋体" w:cs="宋体"/>
                <w:color w:val="auto"/>
                <w:szCs w:val="21"/>
                <w:highlight w:val="none"/>
              </w:rPr>
            </w:pPr>
          </w:p>
        </w:tc>
        <w:tc>
          <w:tcPr>
            <w:tcW w:w="2642" w:type="dxa"/>
            <w:gridSpan w:val="2"/>
            <w:vAlign w:val="center"/>
          </w:tcPr>
          <w:p w14:paraId="380E5C7E">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（4）有依法缴纳税收和社会保障金的良好记录</w:t>
            </w:r>
          </w:p>
        </w:tc>
        <w:tc>
          <w:tcPr>
            <w:tcW w:w="5143" w:type="dxa"/>
            <w:vAlign w:val="center"/>
          </w:tcPr>
          <w:p w14:paraId="19FF30D5">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①审查响应截止时间前6个月内，</w:t>
            </w:r>
            <w:r>
              <w:rPr>
                <w:rFonts w:hint="eastAsia" w:ascii="宋体" w:hAnsi="宋体" w:eastAsia="宋体" w:cs="宋体"/>
                <w:color w:val="auto"/>
                <w:highlight w:val="none"/>
              </w:rPr>
              <w:t>供应商任意1个月</w:t>
            </w:r>
            <w:r>
              <w:rPr>
                <w:rFonts w:hint="eastAsia" w:ascii="宋体" w:hAnsi="宋体" w:eastAsia="宋体" w:cs="宋体"/>
                <w:color w:val="auto"/>
                <w:szCs w:val="21"/>
                <w:highlight w:val="none"/>
              </w:rPr>
              <w:t>依法缴纳税费证明扫描件加盖供应商电子签章。</w:t>
            </w:r>
          </w:p>
          <w:p w14:paraId="6E0113CC">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②审查响应截止时间前6个月内，</w:t>
            </w:r>
            <w:r>
              <w:rPr>
                <w:rFonts w:hint="eastAsia" w:ascii="宋体" w:hAnsi="宋体" w:eastAsia="宋体" w:cs="宋体"/>
                <w:color w:val="auto"/>
                <w:highlight w:val="none"/>
              </w:rPr>
              <w:t>供应商任意1个月</w:t>
            </w:r>
            <w:r>
              <w:rPr>
                <w:rFonts w:hint="eastAsia" w:ascii="宋体" w:hAnsi="宋体" w:eastAsia="宋体" w:cs="宋体"/>
                <w:color w:val="auto"/>
                <w:szCs w:val="21"/>
                <w:highlight w:val="none"/>
              </w:rPr>
              <w:t>的社保缴费证明记录扫描件加盖供应商电子签章。</w:t>
            </w:r>
          </w:p>
          <w:p w14:paraId="3A6170B2">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供应商成立不足1个月的，无须提供缴纳税费证明及社保缴费证明加盖供应商电子签章。</w:t>
            </w:r>
          </w:p>
          <w:p w14:paraId="472D329B">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依法免税或不需要缴纳社会保障资金的供应商，须提供相应文件证明其依法免税或不需要缴纳社会保障资金。</w:t>
            </w:r>
          </w:p>
        </w:tc>
      </w:tr>
      <w:tr w14:paraId="0E26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101" w:type="dxa"/>
            <w:vMerge w:val="continue"/>
            <w:vAlign w:val="center"/>
          </w:tcPr>
          <w:p w14:paraId="628312D8">
            <w:pPr>
              <w:spacing w:line="240" w:lineRule="exact"/>
              <w:jc w:val="center"/>
              <w:rPr>
                <w:rFonts w:ascii="宋体" w:hAnsi="宋体" w:eastAsia="宋体" w:cs="宋体"/>
                <w:color w:val="auto"/>
                <w:szCs w:val="21"/>
                <w:highlight w:val="none"/>
              </w:rPr>
            </w:pPr>
          </w:p>
        </w:tc>
        <w:tc>
          <w:tcPr>
            <w:tcW w:w="2642" w:type="dxa"/>
            <w:gridSpan w:val="2"/>
            <w:vAlign w:val="center"/>
          </w:tcPr>
          <w:p w14:paraId="5976C993">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rPr>
              <w:t>（5）参加政府采购活动前三年内，在经营活动中没有重大违法记录</w:t>
            </w:r>
          </w:p>
        </w:tc>
        <w:tc>
          <w:tcPr>
            <w:tcW w:w="5143" w:type="dxa"/>
            <w:vAlign w:val="center"/>
          </w:tcPr>
          <w:p w14:paraId="3D1FF5D4">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审查无重大违法记录声明。须提供，格式见第六章响应文件格式“响应声明书”。 </w:t>
            </w:r>
          </w:p>
        </w:tc>
      </w:tr>
      <w:tr w14:paraId="7034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Merge w:val="continue"/>
            <w:vAlign w:val="center"/>
          </w:tcPr>
          <w:p w14:paraId="785422CF">
            <w:pPr>
              <w:spacing w:line="240" w:lineRule="exact"/>
              <w:jc w:val="center"/>
              <w:rPr>
                <w:rFonts w:ascii="宋体" w:hAnsi="宋体" w:eastAsia="宋体" w:cs="宋体"/>
                <w:color w:val="auto"/>
                <w:szCs w:val="21"/>
                <w:highlight w:val="none"/>
              </w:rPr>
            </w:pPr>
          </w:p>
        </w:tc>
        <w:tc>
          <w:tcPr>
            <w:tcW w:w="2642" w:type="dxa"/>
            <w:gridSpan w:val="2"/>
            <w:vAlign w:val="center"/>
          </w:tcPr>
          <w:p w14:paraId="4EC854FC">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（6）具备法律、行政法规规定的其他要求</w:t>
            </w:r>
          </w:p>
        </w:tc>
        <w:tc>
          <w:tcPr>
            <w:tcW w:w="5143" w:type="dxa"/>
            <w:vAlign w:val="center"/>
          </w:tcPr>
          <w:p w14:paraId="76713610">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7005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Align w:val="center"/>
          </w:tcPr>
          <w:p w14:paraId="16150494">
            <w:pPr>
              <w:spacing w:line="240" w:lineRule="exac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采购政策</w:t>
            </w:r>
          </w:p>
        </w:tc>
        <w:tc>
          <w:tcPr>
            <w:tcW w:w="2642" w:type="dxa"/>
            <w:gridSpan w:val="2"/>
            <w:vAlign w:val="center"/>
          </w:tcPr>
          <w:p w14:paraId="3F5D7250">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落实政府采购政策需满足的资格要求</w:t>
            </w:r>
          </w:p>
        </w:tc>
        <w:tc>
          <w:tcPr>
            <w:tcW w:w="5143" w:type="dxa"/>
            <w:vAlign w:val="center"/>
          </w:tcPr>
          <w:p w14:paraId="7EF74B03">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F6E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restart"/>
            <w:vAlign w:val="center"/>
          </w:tcPr>
          <w:p w14:paraId="275BE490">
            <w:pPr>
              <w:spacing w:line="2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zh-CN"/>
              </w:rPr>
              <w:t>供应商应符合的</w:t>
            </w:r>
            <w:r>
              <w:rPr>
                <w:rFonts w:hint="eastAsia" w:ascii="宋体" w:hAnsi="宋体" w:eastAsia="宋体" w:cs="宋体"/>
                <w:color w:val="auto"/>
                <w:szCs w:val="21"/>
                <w:highlight w:val="none"/>
              </w:rPr>
              <w:t>特定资格条件</w:t>
            </w:r>
          </w:p>
        </w:tc>
        <w:tc>
          <w:tcPr>
            <w:tcW w:w="2642" w:type="dxa"/>
            <w:gridSpan w:val="2"/>
            <w:vAlign w:val="center"/>
          </w:tcPr>
          <w:p w14:paraId="0B5C236F">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（1）资质要求</w:t>
            </w:r>
          </w:p>
        </w:tc>
        <w:tc>
          <w:tcPr>
            <w:tcW w:w="5143" w:type="dxa"/>
            <w:vAlign w:val="center"/>
          </w:tcPr>
          <w:p w14:paraId="68C818DC">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须符合“谈判公告”要求。</w:t>
            </w:r>
          </w:p>
        </w:tc>
      </w:tr>
      <w:tr w14:paraId="5C5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01" w:type="dxa"/>
            <w:vMerge w:val="continue"/>
            <w:vAlign w:val="center"/>
          </w:tcPr>
          <w:p w14:paraId="34958B3B">
            <w:pPr>
              <w:spacing w:line="240" w:lineRule="exact"/>
              <w:jc w:val="center"/>
              <w:rPr>
                <w:rFonts w:ascii="宋体" w:hAnsi="宋体" w:eastAsia="宋体" w:cs="宋体"/>
                <w:color w:val="auto"/>
                <w:szCs w:val="21"/>
                <w:highlight w:val="none"/>
              </w:rPr>
            </w:pPr>
          </w:p>
        </w:tc>
        <w:tc>
          <w:tcPr>
            <w:tcW w:w="1461" w:type="dxa"/>
            <w:vMerge w:val="restart"/>
            <w:vAlign w:val="center"/>
          </w:tcPr>
          <w:p w14:paraId="680B143F">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（2）人员要求</w:t>
            </w:r>
          </w:p>
        </w:tc>
        <w:tc>
          <w:tcPr>
            <w:tcW w:w="1181" w:type="dxa"/>
            <w:vAlign w:val="center"/>
          </w:tcPr>
          <w:p w14:paraId="0C14AF79">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5143" w:type="dxa"/>
            <w:vAlign w:val="center"/>
          </w:tcPr>
          <w:p w14:paraId="109C6EBB">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须符合“谈判公告”要求。须提供在响应文件递交截止时间前6个月内任意1个月在现任职单位依法缴纳社会保险的证明材料扫描件。</w:t>
            </w:r>
          </w:p>
        </w:tc>
      </w:tr>
      <w:tr w14:paraId="786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1" w:type="dxa"/>
            <w:vMerge w:val="continue"/>
            <w:vAlign w:val="center"/>
          </w:tcPr>
          <w:p w14:paraId="1EA83DD8">
            <w:pPr>
              <w:spacing w:line="240" w:lineRule="exact"/>
              <w:jc w:val="center"/>
              <w:rPr>
                <w:rFonts w:ascii="宋体" w:hAnsi="宋体" w:eastAsia="宋体" w:cs="宋体"/>
                <w:color w:val="auto"/>
                <w:szCs w:val="21"/>
                <w:highlight w:val="none"/>
              </w:rPr>
            </w:pPr>
          </w:p>
        </w:tc>
        <w:tc>
          <w:tcPr>
            <w:tcW w:w="1461" w:type="dxa"/>
            <w:vMerge w:val="continue"/>
          </w:tcPr>
          <w:p w14:paraId="37594ECD">
            <w:pPr>
              <w:spacing w:line="240" w:lineRule="exact"/>
              <w:jc w:val="left"/>
              <w:rPr>
                <w:rFonts w:ascii="宋体" w:hAnsi="宋体" w:eastAsia="宋体" w:cs="宋体"/>
                <w:color w:val="auto"/>
                <w:szCs w:val="21"/>
                <w:highlight w:val="none"/>
              </w:rPr>
            </w:pPr>
          </w:p>
        </w:tc>
        <w:tc>
          <w:tcPr>
            <w:tcW w:w="1181" w:type="dxa"/>
            <w:vAlign w:val="center"/>
          </w:tcPr>
          <w:p w14:paraId="7830E550">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5143" w:type="dxa"/>
            <w:vAlign w:val="center"/>
          </w:tcPr>
          <w:p w14:paraId="06DA1BE9">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须符合“谈判公告”要求。须提供在响应文件递交截止时间前6个月内任意1个月在现任职单位依法缴纳社会保险的证明材料扫描件。</w:t>
            </w:r>
          </w:p>
        </w:tc>
      </w:tr>
      <w:tr w14:paraId="229B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101" w:type="dxa"/>
            <w:vMerge w:val="continue"/>
            <w:vAlign w:val="center"/>
          </w:tcPr>
          <w:p w14:paraId="1AA97CCC">
            <w:pPr>
              <w:spacing w:line="240" w:lineRule="exact"/>
              <w:jc w:val="center"/>
              <w:rPr>
                <w:rFonts w:ascii="宋体" w:hAnsi="宋体" w:eastAsia="宋体" w:cs="宋体"/>
                <w:color w:val="auto"/>
                <w:szCs w:val="21"/>
                <w:highlight w:val="none"/>
              </w:rPr>
            </w:pPr>
          </w:p>
        </w:tc>
        <w:tc>
          <w:tcPr>
            <w:tcW w:w="1461" w:type="dxa"/>
            <w:vMerge w:val="continue"/>
          </w:tcPr>
          <w:p w14:paraId="7325552E">
            <w:pPr>
              <w:spacing w:line="240" w:lineRule="exact"/>
              <w:jc w:val="left"/>
              <w:rPr>
                <w:rFonts w:ascii="宋体" w:hAnsi="宋体" w:eastAsia="宋体" w:cs="宋体"/>
                <w:color w:val="auto"/>
                <w:szCs w:val="21"/>
                <w:highlight w:val="none"/>
              </w:rPr>
            </w:pPr>
          </w:p>
        </w:tc>
        <w:tc>
          <w:tcPr>
            <w:tcW w:w="1181" w:type="dxa"/>
            <w:vAlign w:val="center"/>
          </w:tcPr>
          <w:p w14:paraId="7A41B2F4">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专职安全员</w:t>
            </w:r>
          </w:p>
        </w:tc>
        <w:tc>
          <w:tcPr>
            <w:tcW w:w="5143" w:type="dxa"/>
            <w:vAlign w:val="center"/>
          </w:tcPr>
          <w:p w14:paraId="457B348D">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须符合“谈判公告”要求。须提供在响应文件递交截止时间前6个月内任意1个月在现任职单位依法缴纳社会保险的证明材料扫描件。</w:t>
            </w:r>
          </w:p>
        </w:tc>
      </w:tr>
      <w:tr w14:paraId="4B8A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continue"/>
            <w:vAlign w:val="center"/>
          </w:tcPr>
          <w:p w14:paraId="4E175986">
            <w:pPr>
              <w:spacing w:line="240" w:lineRule="exact"/>
              <w:jc w:val="center"/>
              <w:rPr>
                <w:rFonts w:ascii="宋体" w:hAnsi="宋体" w:eastAsia="宋体" w:cs="宋体"/>
                <w:color w:val="auto"/>
                <w:szCs w:val="21"/>
                <w:highlight w:val="none"/>
              </w:rPr>
            </w:pPr>
          </w:p>
        </w:tc>
        <w:tc>
          <w:tcPr>
            <w:tcW w:w="2642" w:type="dxa"/>
            <w:gridSpan w:val="2"/>
            <w:vAlign w:val="center"/>
          </w:tcPr>
          <w:p w14:paraId="70D23AAD">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（3）业绩要求</w:t>
            </w:r>
          </w:p>
        </w:tc>
        <w:tc>
          <w:tcPr>
            <w:tcW w:w="5143" w:type="dxa"/>
            <w:vAlign w:val="center"/>
          </w:tcPr>
          <w:p w14:paraId="4C21E640">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须符合“谈判公告”要求。</w:t>
            </w:r>
          </w:p>
        </w:tc>
      </w:tr>
      <w:tr w14:paraId="744C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01" w:type="dxa"/>
            <w:vMerge w:val="continue"/>
            <w:vAlign w:val="center"/>
          </w:tcPr>
          <w:p w14:paraId="2C7A7D46">
            <w:pPr>
              <w:spacing w:line="240" w:lineRule="exact"/>
              <w:jc w:val="center"/>
              <w:rPr>
                <w:rFonts w:ascii="宋体" w:hAnsi="宋体" w:eastAsia="宋体" w:cs="宋体"/>
                <w:color w:val="auto"/>
                <w:szCs w:val="21"/>
                <w:highlight w:val="none"/>
              </w:rPr>
            </w:pPr>
          </w:p>
        </w:tc>
        <w:tc>
          <w:tcPr>
            <w:tcW w:w="2642" w:type="dxa"/>
            <w:gridSpan w:val="2"/>
            <w:vAlign w:val="center"/>
          </w:tcPr>
          <w:p w14:paraId="7224ABBC">
            <w:pPr>
              <w:spacing w:line="24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（4）供应商不得参加资格审查的情形</w:t>
            </w:r>
          </w:p>
        </w:tc>
        <w:tc>
          <w:tcPr>
            <w:tcW w:w="5143" w:type="dxa"/>
            <w:vAlign w:val="center"/>
          </w:tcPr>
          <w:p w14:paraId="03DD4C2D">
            <w:pPr>
              <w:spacing w:line="24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5BC01E02">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须提供，格式见第六章响应文件格式“供应商直接控股股东、管理关系信息表”。</w:t>
            </w:r>
          </w:p>
        </w:tc>
      </w:tr>
      <w:tr w14:paraId="554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4AA86ED">
            <w:pPr>
              <w:spacing w:line="240" w:lineRule="exact"/>
              <w:jc w:val="center"/>
              <w:rPr>
                <w:rFonts w:ascii="宋体" w:hAnsi="宋体" w:eastAsia="宋体" w:cs="宋体"/>
                <w:color w:val="auto"/>
                <w:szCs w:val="21"/>
                <w:highlight w:val="none"/>
              </w:rPr>
            </w:pPr>
          </w:p>
        </w:tc>
        <w:tc>
          <w:tcPr>
            <w:tcW w:w="2642" w:type="dxa"/>
            <w:gridSpan w:val="2"/>
            <w:vAlign w:val="center"/>
          </w:tcPr>
          <w:p w14:paraId="3D070498">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（5）诚信要求</w:t>
            </w:r>
          </w:p>
        </w:tc>
        <w:tc>
          <w:tcPr>
            <w:tcW w:w="5143" w:type="dxa"/>
          </w:tcPr>
          <w:p w14:paraId="51481488">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未被列入失信被执行人、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w:t>
            </w:r>
          </w:p>
        </w:tc>
      </w:tr>
      <w:tr w14:paraId="30F4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5C3D436A">
            <w:pPr>
              <w:spacing w:line="240" w:lineRule="exact"/>
              <w:jc w:val="center"/>
              <w:rPr>
                <w:rFonts w:ascii="宋体" w:hAnsi="宋体" w:eastAsia="宋体" w:cs="宋体"/>
                <w:color w:val="auto"/>
                <w:szCs w:val="21"/>
                <w:highlight w:val="none"/>
              </w:rPr>
            </w:pPr>
          </w:p>
        </w:tc>
        <w:tc>
          <w:tcPr>
            <w:tcW w:w="2642" w:type="dxa"/>
            <w:gridSpan w:val="2"/>
            <w:vAlign w:val="center"/>
          </w:tcPr>
          <w:p w14:paraId="35502B7A">
            <w:pPr>
              <w:rPr>
                <w:rFonts w:ascii="宋体" w:hAnsi="宋体" w:eastAsia="宋体" w:cs="宋体"/>
                <w:color w:val="auto"/>
                <w:highlight w:val="none"/>
              </w:rPr>
            </w:pPr>
            <w:r>
              <w:rPr>
                <w:rFonts w:hint="eastAsia" w:ascii="宋体" w:hAnsi="宋体" w:eastAsia="宋体" w:cs="宋体"/>
                <w:color w:val="auto"/>
                <w:highlight w:val="none"/>
              </w:rPr>
              <w:t>（6）分包</w:t>
            </w:r>
          </w:p>
        </w:tc>
        <w:tc>
          <w:tcPr>
            <w:tcW w:w="5143" w:type="dxa"/>
            <w:vAlign w:val="center"/>
          </w:tcPr>
          <w:p w14:paraId="5FA0A55C">
            <w:pPr>
              <w:rPr>
                <w:rFonts w:ascii="宋体" w:hAnsi="宋体" w:eastAsia="宋体" w:cs="宋体"/>
                <w:color w:val="auto"/>
                <w:highlight w:val="none"/>
              </w:rPr>
            </w:pPr>
            <w:r>
              <w:rPr>
                <w:rFonts w:hint="eastAsia" w:ascii="宋体" w:hAnsi="宋体" w:eastAsia="宋体" w:cs="宋体"/>
                <w:color w:val="auto"/>
                <w:highlight w:val="none"/>
              </w:rPr>
              <w:t>须符合“</w:t>
            </w:r>
            <w:r>
              <w:rPr>
                <w:rFonts w:hint="eastAsia" w:ascii="宋体" w:hAnsi="宋体" w:eastAsia="宋体" w:cs="宋体"/>
                <w:color w:val="auto"/>
                <w:szCs w:val="21"/>
                <w:highlight w:val="none"/>
                <w:lang w:val="zh-CN"/>
              </w:rPr>
              <w:t>谈判</w:t>
            </w:r>
            <w:r>
              <w:rPr>
                <w:rFonts w:hint="eastAsia" w:ascii="宋体" w:hAnsi="宋体" w:eastAsia="宋体" w:cs="宋体"/>
                <w:color w:val="auto"/>
                <w:szCs w:val="21"/>
                <w:highlight w:val="none"/>
              </w:rPr>
              <w:t>公告</w:t>
            </w:r>
            <w:r>
              <w:rPr>
                <w:rFonts w:hint="eastAsia" w:ascii="宋体" w:hAnsi="宋体" w:eastAsia="宋体" w:cs="宋体"/>
                <w:color w:val="auto"/>
                <w:highlight w:val="none"/>
              </w:rPr>
              <w:t>”的要求</w:t>
            </w:r>
          </w:p>
        </w:tc>
      </w:tr>
      <w:tr w14:paraId="39B3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343305A1">
            <w:pPr>
              <w:spacing w:line="240" w:lineRule="exact"/>
              <w:jc w:val="center"/>
              <w:rPr>
                <w:rFonts w:ascii="宋体" w:hAnsi="宋体" w:eastAsia="宋体" w:cs="宋体"/>
                <w:color w:val="auto"/>
                <w:szCs w:val="21"/>
                <w:highlight w:val="none"/>
              </w:rPr>
            </w:pPr>
          </w:p>
        </w:tc>
        <w:tc>
          <w:tcPr>
            <w:tcW w:w="2642" w:type="dxa"/>
            <w:gridSpan w:val="2"/>
            <w:vAlign w:val="center"/>
          </w:tcPr>
          <w:p w14:paraId="246BCE2D">
            <w:pPr>
              <w:rPr>
                <w:rFonts w:ascii="宋体" w:hAnsi="宋体" w:eastAsia="宋体" w:cs="宋体"/>
                <w:color w:val="auto"/>
                <w:highlight w:val="none"/>
              </w:rPr>
            </w:pPr>
            <w:r>
              <w:rPr>
                <w:rFonts w:hint="eastAsia" w:ascii="宋体" w:hAnsi="宋体" w:eastAsia="宋体" w:cs="宋体"/>
                <w:color w:val="auto"/>
                <w:highlight w:val="none"/>
              </w:rPr>
              <w:t>（7）联合体</w:t>
            </w:r>
          </w:p>
        </w:tc>
        <w:tc>
          <w:tcPr>
            <w:tcW w:w="5143" w:type="dxa"/>
            <w:vAlign w:val="center"/>
          </w:tcPr>
          <w:p w14:paraId="56D16246">
            <w:pPr>
              <w:rPr>
                <w:rFonts w:ascii="宋体" w:hAnsi="宋体" w:eastAsia="宋体" w:cs="宋体"/>
                <w:color w:val="auto"/>
                <w:highlight w:val="none"/>
              </w:rPr>
            </w:pPr>
            <w:r>
              <w:rPr>
                <w:rFonts w:hint="eastAsia" w:ascii="宋体" w:hAnsi="宋体" w:eastAsia="宋体" w:cs="宋体"/>
                <w:color w:val="auto"/>
                <w:highlight w:val="none"/>
              </w:rPr>
              <w:t>须符合“</w:t>
            </w:r>
            <w:r>
              <w:rPr>
                <w:rFonts w:hint="eastAsia" w:ascii="宋体" w:hAnsi="宋体" w:eastAsia="宋体" w:cs="宋体"/>
                <w:color w:val="auto"/>
                <w:szCs w:val="21"/>
                <w:highlight w:val="none"/>
                <w:lang w:val="zh-CN"/>
              </w:rPr>
              <w:t>谈判</w:t>
            </w:r>
            <w:r>
              <w:rPr>
                <w:rFonts w:hint="eastAsia" w:ascii="宋体" w:hAnsi="宋体" w:eastAsia="宋体" w:cs="宋体"/>
                <w:color w:val="auto"/>
                <w:szCs w:val="21"/>
                <w:highlight w:val="none"/>
              </w:rPr>
              <w:t>公告</w:t>
            </w:r>
            <w:r>
              <w:rPr>
                <w:rFonts w:hint="eastAsia" w:ascii="宋体" w:hAnsi="宋体" w:eastAsia="宋体" w:cs="宋体"/>
                <w:color w:val="auto"/>
                <w:highlight w:val="none"/>
              </w:rPr>
              <w:t>”的要求</w:t>
            </w:r>
          </w:p>
        </w:tc>
      </w:tr>
      <w:tr w14:paraId="2746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01" w:type="dxa"/>
            <w:vMerge w:val="continue"/>
            <w:vAlign w:val="center"/>
          </w:tcPr>
          <w:p w14:paraId="46B1BBF2">
            <w:pPr>
              <w:spacing w:line="240" w:lineRule="exact"/>
              <w:jc w:val="center"/>
              <w:rPr>
                <w:rFonts w:ascii="宋体" w:hAnsi="宋体" w:eastAsia="宋体" w:cs="宋体"/>
                <w:color w:val="auto"/>
                <w:szCs w:val="21"/>
                <w:highlight w:val="none"/>
              </w:rPr>
            </w:pPr>
          </w:p>
        </w:tc>
        <w:tc>
          <w:tcPr>
            <w:tcW w:w="2642" w:type="dxa"/>
            <w:gridSpan w:val="2"/>
            <w:vAlign w:val="center"/>
          </w:tcPr>
          <w:p w14:paraId="2B84124D">
            <w:pPr>
              <w:spacing w:line="2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（8）其他要求</w:t>
            </w:r>
          </w:p>
        </w:tc>
        <w:tc>
          <w:tcPr>
            <w:tcW w:w="5143" w:type="dxa"/>
            <w:vAlign w:val="center"/>
          </w:tcPr>
          <w:p w14:paraId="04BED038">
            <w:pPr>
              <w:spacing w:line="312"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按照谈判公告规定获得采购文件。足额、及时缴纳谈判保证金。</w:t>
            </w:r>
          </w:p>
        </w:tc>
      </w:tr>
    </w:tbl>
    <w:p w14:paraId="5CDA725F">
      <w:pPr>
        <w:spacing w:before="120" w:line="320" w:lineRule="atLeast"/>
        <w:ind w:firstLine="413" w:firstLineChars="196"/>
        <w:outlineLvl w:val="1"/>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3.符合性审查标准（不满足任何一项审查内容要求，符合性审查即为不合格）</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450"/>
        <w:gridCol w:w="5333"/>
      </w:tblGrid>
      <w:tr w14:paraId="27BC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3" w:type="dxa"/>
            <w:vAlign w:val="center"/>
          </w:tcPr>
          <w:p w14:paraId="4362A092">
            <w:pPr>
              <w:spacing w:line="240" w:lineRule="exact"/>
              <w:jc w:val="center"/>
              <w:rPr>
                <w:rFonts w:ascii="宋体" w:hAnsi="宋体" w:eastAsia="宋体" w:cs="宋体"/>
                <w:b/>
                <w:color w:val="auto"/>
                <w:kern w:val="0"/>
                <w:szCs w:val="21"/>
                <w:highlight w:val="none"/>
              </w:rPr>
            </w:pPr>
            <w:bookmarkStart w:id="78" w:name="_Hlk93589070"/>
            <w:r>
              <w:rPr>
                <w:rFonts w:hint="eastAsia" w:ascii="宋体" w:hAnsi="宋体" w:eastAsia="宋体" w:cs="宋体"/>
                <w:b/>
                <w:color w:val="auto"/>
                <w:kern w:val="0"/>
                <w:szCs w:val="21"/>
                <w:highlight w:val="none"/>
              </w:rPr>
              <w:t>审查因素</w:t>
            </w:r>
          </w:p>
        </w:tc>
        <w:tc>
          <w:tcPr>
            <w:tcW w:w="2450" w:type="dxa"/>
            <w:vAlign w:val="center"/>
          </w:tcPr>
          <w:p w14:paraId="39B6D6C2">
            <w:pPr>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审查内容</w:t>
            </w:r>
          </w:p>
        </w:tc>
        <w:tc>
          <w:tcPr>
            <w:tcW w:w="5333" w:type="dxa"/>
            <w:vAlign w:val="center"/>
          </w:tcPr>
          <w:p w14:paraId="3659A286">
            <w:pPr>
              <w:spacing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tc>
      </w:tr>
      <w:tr w14:paraId="1E0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03" w:type="dxa"/>
            <w:vMerge w:val="restart"/>
            <w:vAlign w:val="center"/>
          </w:tcPr>
          <w:p w14:paraId="0FCD0ED9">
            <w:pPr>
              <w:spacing w:line="2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商务资信</w:t>
            </w:r>
          </w:p>
        </w:tc>
        <w:tc>
          <w:tcPr>
            <w:tcW w:w="2450" w:type="dxa"/>
            <w:vAlign w:val="center"/>
          </w:tcPr>
          <w:p w14:paraId="48BF4218">
            <w:pPr>
              <w:spacing w:line="240" w:lineRule="exact"/>
              <w:rPr>
                <w:rFonts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333" w:type="dxa"/>
            <w:vAlign w:val="center"/>
          </w:tcPr>
          <w:p w14:paraId="6C577373">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授权代表参加响应时审查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法定代表人授权委托书及附件 </w:t>
            </w:r>
          </w:p>
          <w:p w14:paraId="71F4EFB8">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法定代表人直接参加响应时审查</w:t>
            </w:r>
            <w:r>
              <w:rPr>
                <w:rFonts w:hint="eastAsia" w:ascii="宋体" w:hAnsi="宋体" w:eastAsia="宋体" w:cs="宋体"/>
                <w:color w:val="auto"/>
                <w:highlight w:val="none"/>
              </w:rPr>
              <w:t>：</w:t>
            </w:r>
            <w:r>
              <w:rPr>
                <w:rFonts w:hint="eastAsia" w:ascii="宋体" w:hAnsi="宋体" w:eastAsia="宋体" w:cs="宋体"/>
                <w:color w:val="auto"/>
                <w:szCs w:val="21"/>
                <w:highlight w:val="none"/>
              </w:rPr>
              <w:t>法定代表人身份证明及附件</w:t>
            </w:r>
          </w:p>
          <w:p w14:paraId="5C9D6A3E">
            <w:pPr>
              <w:spacing w:line="240" w:lineRule="exact"/>
              <w:rPr>
                <w:rFonts w:ascii="宋体" w:hAnsi="宋体" w:eastAsia="宋体" w:cs="宋体"/>
                <w:color w:val="auto"/>
                <w:highlight w:val="none"/>
              </w:rPr>
            </w:pPr>
            <w:r>
              <w:rPr>
                <w:rFonts w:hint="eastAsia" w:ascii="宋体" w:hAnsi="宋体" w:eastAsia="宋体" w:cs="宋体"/>
                <w:color w:val="auto"/>
                <w:szCs w:val="21"/>
                <w:highlight w:val="none"/>
              </w:rPr>
              <w:t>格式及附件见第六章响应文件格式要求</w:t>
            </w:r>
          </w:p>
        </w:tc>
      </w:tr>
      <w:tr w14:paraId="772B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401E920B">
            <w:pPr>
              <w:spacing w:line="240" w:lineRule="exact"/>
              <w:jc w:val="center"/>
              <w:rPr>
                <w:rFonts w:ascii="宋体" w:hAnsi="宋体" w:eastAsia="宋体" w:cs="宋体"/>
                <w:color w:val="auto"/>
                <w:kern w:val="0"/>
                <w:szCs w:val="21"/>
                <w:highlight w:val="none"/>
              </w:rPr>
            </w:pPr>
          </w:p>
        </w:tc>
        <w:tc>
          <w:tcPr>
            <w:tcW w:w="2450" w:type="dxa"/>
            <w:vAlign w:val="center"/>
          </w:tcPr>
          <w:p w14:paraId="6FD58F14">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实质性条款响应</w:t>
            </w:r>
          </w:p>
        </w:tc>
        <w:tc>
          <w:tcPr>
            <w:tcW w:w="5333" w:type="dxa"/>
            <w:vAlign w:val="center"/>
          </w:tcPr>
          <w:p w14:paraId="6EDEDF5C">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采购文件实质性要求响应均无负偏离</w:t>
            </w:r>
          </w:p>
        </w:tc>
      </w:tr>
      <w:tr w14:paraId="5518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3" w:type="dxa"/>
            <w:vMerge w:val="continue"/>
            <w:vAlign w:val="center"/>
          </w:tcPr>
          <w:p w14:paraId="63480B0C">
            <w:pPr>
              <w:spacing w:line="240" w:lineRule="exact"/>
              <w:jc w:val="center"/>
              <w:rPr>
                <w:rFonts w:ascii="宋体" w:hAnsi="宋体" w:eastAsia="宋体" w:cs="宋体"/>
                <w:color w:val="auto"/>
                <w:kern w:val="0"/>
                <w:szCs w:val="21"/>
                <w:highlight w:val="none"/>
              </w:rPr>
            </w:pPr>
          </w:p>
        </w:tc>
        <w:tc>
          <w:tcPr>
            <w:tcW w:w="2450" w:type="dxa"/>
            <w:vAlign w:val="center"/>
          </w:tcPr>
          <w:p w14:paraId="5DDCB42F">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串通投标</w:t>
            </w:r>
          </w:p>
        </w:tc>
        <w:tc>
          <w:tcPr>
            <w:tcW w:w="5333" w:type="dxa"/>
            <w:vAlign w:val="center"/>
          </w:tcPr>
          <w:p w14:paraId="76F94D55">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不属于供应商须知正文第6.3.8规定的串通投标情形，见第六章响应文件格式要求</w:t>
            </w:r>
          </w:p>
        </w:tc>
      </w:tr>
      <w:tr w14:paraId="3F9A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restart"/>
            <w:vAlign w:val="center"/>
          </w:tcPr>
          <w:p w14:paraId="2D33F63A">
            <w:pPr>
              <w:spacing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w:t>
            </w:r>
          </w:p>
        </w:tc>
        <w:tc>
          <w:tcPr>
            <w:tcW w:w="2450" w:type="dxa"/>
            <w:vAlign w:val="center"/>
          </w:tcPr>
          <w:p w14:paraId="3D79D401">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工期</w:t>
            </w:r>
          </w:p>
        </w:tc>
        <w:tc>
          <w:tcPr>
            <w:tcW w:w="5333" w:type="dxa"/>
            <w:vAlign w:val="center"/>
          </w:tcPr>
          <w:p w14:paraId="05C70867">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rPr>
              <w:t>满足采购文件规定</w:t>
            </w:r>
          </w:p>
        </w:tc>
      </w:tr>
      <w:tr w14:paraId="4367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13646795">
            <w:pPr>
              <w:spacing w:line="240" w:lineRule="exact"/>
              <w:jc w:val="center"/>
              <w:rPr>
                <w:rFonts w:ascii="宋体" w:hAnsi="宋体" w:eastAsia="宋体" w:cs="宋体"/>
                <w:color w:val="auto"/>
                <w:kern w:val="0"/>
                <w:szCs w:val="21"/>
                <w:highlight w:val="none"/>
              </w:rPr>
            </w:pPr>
          </w:p>
        </w:tc>
        <w:tc>
          <w:tcPr>
            <w:tcW w:w="2450" w:type="dxa"/>
            <w:vAlign w:val="center"/>
          </w:tcPr>
          <w:p w14:paraId="0DE67BF9">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工程质量</w:t>
            </w:r>
          </w:p>
        </w:tc>
        <w:tc>
          <w:tcPr>
            <w:tcW w:w="5333" w:type="dxa"/>
            <w:vAlign w:val="center"/>
          </w:tcPr>
          <w:p w14:paraId="5E2EC5D0">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rPr>
              <w:t>满足采购文件规定</w:t>
            </w:r>
          </w:p>
        </w:tc>
      </w:tr>
      <w:tr w14:paraId="6C1A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7B3AB9F8">
            <w:pPr>
              <w:spacing w:line="240" w:lineRule="exact"/>
              <w:jc w:val="center"/>
              <w:rPr>
                <w:rFonts w:ascii="宋体" w:hAnsi="宋体" w:eastAsia="宋体" w:cs="宋体"/>
                <w:color w:val="auto"/>
                <w:kern w:val="0"/>
                <w:szCs w:val="21"/>
                <w:highlight w:val="none"/>
              </w:rPr>
            </w:pPr>
          </w:p>
        </w:tc>
        <w:tc>
          <w:tcPr>
            <w:tcW w:w="2450" w:type="dxa"/>
            <w:vAlign w:val="center"/>
          </w:tcPr>
          <w:p w14:paraId="16FD655E">
            <w:pPr>
              <w:rPr>
                <w:rFonts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5333" w:type="dxa"/>
            <w:vAlign w:val="center"/>
          </w:tcPr>
          <w:p w14:paraId="12268DCF">
            <w:pPr>
              <w:rPr>
                <w:rFonts w:ascii="宋体" w:hAnsi="宋体" w:eastAsia="宋体" w:cs="宋体"/>
                <w:color w:val="auto"/>
                <w:szCs w:val="21"/>
                <w:highlight w:val="none"/>
              </w:rPr>
            </w:pPr>
            <w:r>
              <w:rPr>
                <w:rFonts w:hint="eastAsia" w:ascii="宋体" w:hAnsi="宋体" w:eastAsia="宋体" w:cs="宋体"/>
                <w:color w:val="auto"/>
                <w:szCs w:val="21"/>
                <w:highlight w:val="none"/>
              </w:rPr>
              <w:t>满足采购文件规定</w:t>
            </w:r>
          </w:p>
        </w:tc>
      </w:tr>
      <w:tr w14:paraId="3A52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625CD882">
            <w:pPr>
              <w:spacing w:line="240" w:lineRule="exact"/>
              <w:jc w:val="center"/>
              <w:rPr>
                <w:rFonts w:ascii="宋体" w:hAnsi="宋体" w:eastAsia="宋体" w:cs="宋体"/>
                <w:color w:val="auto"/>
                <w:kern w:val="0"/>
                <w:szCs w:val="21"/>
                <w:highlight w:val="none"/>
              </w:rPr>
            </w:pPr>
          </w:p>
        </w:tc>
        <w:tc>
          <w:tcPr>
            <w:tcW w:w="2450" w:type="dxa"/>
            <w:vAlign w:val="center"/>
          </w:tcPr>
          <w:p w14:paraId="1EEAD4B6">
            <w:pPr>
              <w:rPr>
                <w:rFonts w:ascii="宋体" w:hAnsi="宋体" w:eastAsia="宋体" w:cs="宋体"/>
                <w:color w:val="auto"/>
                <w:szCs w:val="21"/>
                <w:highlight w:val="none"/>
              </w:rPr>
            </w:pPr>
            <w:r>
              <w:rPr>
                <w:rFonts w:hint="eastAsia" w:ascii="宋体" w:hAnsi="宋体" w:eastAsia="宋体" w:cs="宋体"/>
                <w:color w:val="auto"/>
                <w:szCs w:val="21"/>
                <w:highlight w:val="none"/>
              </w:rPr>
              <w:t>技术标准和要求</w:t>
            </w:r>
          </w:p>
        </w:tc>
        <w:tc>
          <w:tcPr>
            <w:tcW w:w="5333" w:type="dxa"/>
            <w:vAlign w:val="center"/>
          </w:tcPr>
          <w:p w14:paraId="31EF09A8">
            <w:pPr>
              <w:rPr>
                <w:rFonts w:ascii="宋体" w:hAnsi="宋体" w:eastAsia="宋体" w:cs="宋体"/>
                <w:color w:val="auto"/>
                <w:szCs w:val="21"/>
                <w:highlight w:val="none"/>
              </w:rPr>
            </w:pPr>
            <w:r>
              <w:rPr>
                <w:rFonts w:hint="eastAsia" w:ascii="宋体" w:hAnsi="宋体" w:eastAsia="宋体" w:cs="宋体"/>
                <w:color w:val="auto"/>
                <w:szCs w:val="21"/>
                <w:highlight w:val="none"/>
              </w:rPr>
              <w:t>满足采购文件规定</w:t>
            </w:r>
          </w:p>
        </w:tc>
      </w:tr>
      <w:tr w14:paraId="1778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0263799E">
            <w:pPr>
              <w:spacing w:line="240" w:lineRule="exact"/>
              <w:jc w:val="center"/>
              <w:rPr>
                <w:rFonts w:ascii="宋体" w:hAnsi="宋体" w:eastAsia="宋体" w:cs="宋体"/>
                <w:color w:val="auto"/>
                <w:kern w:val="0"/>
                <w:szCs w:val="21"/>
                <w:highlight w:val="none"/>
              </w:rPr>
            </w:pPr>
          </w:p>
        </w:tc>
        <w:tc>
          <w:tcPr>
            <w:tcW w:w="2450" w:type="dxa"/>
            <w:vAlign w:val="center"/>
          </w:tcPr>
          <w:p w14:paraId="3D3D6037">
            <w:pPr>
              <w:rPr>
                <w:rFonts w:ascii="宋体" w:hAnsi="宋体" w:eastAsia="宋体" w:cs="宋体"/>
                <w:color w:val="auto"/>
                <w:szCs w:val="21"/>
                <w:highlight w:val="none"/>
              </w:rPr>
            </w:pPr>
            <w:r>
              <w:rPr>
                <w:rFonts w:hint="eastAsia" w:ascii="宋体" w:hAnsi="宋体" w:eastAsia="宋体" w:cs="宋体"/>
                <w:color w:val="auto"/>
                <w:szCs w:val="21"/>
                <w:highlight w:val="none"/>
              </w:rPr>
              <w:t>分包计划（如有）</w:t>
            </w:r>
          </w:p>
        </w:tc>
        <w:tc>
          <w:tcPr>
            <w:tcW w:w="5333" w:type="dxa"/>
            <w:vAlign w:val="center"/>
          </w:tcPr>
          <w:p w14:paraId="76A0F233">
            <w:pPr>
              <w:rPr>
                <w:rFonts w:ascii="宋体" w:hAnsi="宋体" w:eastAsia="宋体" w:cs="宋体"/>
                <w:color w:val="auto"/>
                <w:szCs w:val="21"/>
                <w:highlight w:val="none"/>
              </w:rPr>
            </w:pPr>
            <w:r>
              <w:rPr>
                <w:rFonts w:hint="eastAsia" w:ascii="宋体" w:hAnsi="宋体" w:eastAsia="宋体" w:cs="宋体"/>
                <w:color w:val="auto"/>
                <w:szCs w:val="21"/>
                <w:highlight w:val="none"/>
              </w:rPr>
              <w:t>满足采购文件规定</w:t>
            </w:r>
          </w:p>
        </w:tc>
      </w:tr>
      <w:tr w14:paraId="6CA0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3" w:type="dxa"/>
            <w:vMerge w:val="continue"/>
            <w:vAlign w:val="center"/>
          </w:tcPr>
          <w:p w14:paraId="05AC9D68">
            <w:pPr>
              <w:spacing w:line="240" w:lineRule="exact"/>
              <w:jc w:val="center"/>
              <w:rPr>
                <w:rFonts w:ascii="宋体" w:hAnsi="宋体" w:eastAsia="宋体" w:cs="宋体"/>
                <w:color w:val="auto"/>
                <w:kern w:val="0"/>
                <w:szCs w:val="21"/>
                <w:highlight w:val="none"/>
              </w:rPr>
            </w:pPr>
          </w:p>
        </w:tc>
        <w:tc>
          <w:tcPr>
            <w:tcW w:w="2450" w:type="dxa"/>
            <w:vAlign w:val="center"/>
          </w:tcPr>
          <w:p w14:paraId="4A1F5FAB">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已标价工程量清单</w:t>
            </w:r>
          </w:p>
        </w:tc>
        <w:tc>
          <w:tcPr>
            <w:tcW w:w="5333" w:type="dxa"/>
            <w:vAlign w:val="center"/>
          </w:tcPr>
          <w:p w14:paraId="30A60880">
            <w:pPr>
              <w:spacing w:line="24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w:t>
            </w:r>
            <w:r>
              <w:rPr>
                <w:rFonts w:hint="eastAsia" w:ascii="宋体" w:hAnsi="宋体" w:eastAsia="宋体" w:cs="宋体"/>
                <w:color w:val="auto"/>
                <w:szCs w:val="21"/>
                <w:highlight w:val="none"/>
              </w:rPr>
              <w:t>第二章“工程量清单”及 “图纸”</w:t>
            </w:r>
            <w:r>
              <w:rPr>
                <w:rFonts w:hint="eastAsia" w:ascii="宋体" w:hAnsi="宋体" w:eastAsia="宋体" w:cs="宋体"/>
                <w:color w:val="auto"/>
                <w:szCs w:val="21"/>
                <w:highlight w:val="none"/>
                <w:lang w:val="zh-CN"/>
              </w:rPr>
              <w:t>给出的范围、数量及编制要求，</w:t>
            </w:r>
            <w:r>
              <w:rPr>
                <w:rFonts w:hint="eastAsia" w:ascii="宋体" w:hAnsi="宋体" w:eastAsia="宋体" w:cs="宋体"/>
                <w:color w:val="auto"/>
                <w:highlight w:val="none"/>
              </w:rPr>
              <w:t>已标价工程量清单的项目编码（12位）、计量单位、工程量任何一处与招标工程量清单均一致</w:t>
            </w:r>
          </w:p>
        </w:tc>
      </w:tr>
      <w:tr w14:paraId="2DCD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3" w:type="dxa"/>
            <w:vMerge w:val="restart"/>
            <w:vAlign w:val="center"/>
          </w:tcPr>
          <w:p w14:paraId="73CF7B2E">
            <w:pPr>
              <w:spacing w:line="2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报价</w:t>
            </w:r>
          </w:p>
        </w:tc>
        <w:tc>
          <w:tcPr>
            <w:tcW w:w="2450" w:type="dxa"/>
            <w:vAlign w:val="center"/>
          </w:tcPr>
          <w:p w14:paraId="79B59BB4">
            <w:pPr>
              <w:rPr>
                <w:rFonts w:ascii="宋体" w:hAnsi="宋体" w:eastAsia="宋体" w:cs="宋体"/>
                <w:color w:val="auto"/>
                <w:highlight w:val="none"/>
              </w:rPr>
            </w:pPr>
            <w:r>
              <w:rPr>
                <w:rFonts w:hint="eastAsia" w:ascii="宋体" w:hAnsi="宋体" w:eastAsia="宋体" w:cs="宋体"/>
                <w:color w:val="auto"/>
                <w:highlight w:val="none"/>
              </w:rPr>
              <w:t>有效报价</w:t>
            </w:r>
          </w:p>
        </w:tc>
        <w:tc>
          <w:tcPr>
            <w:tcW w:w="5333" w:type="dxa"/>
            <w:vAlign w:val="center"/>
          </w:tcPr>
          <w:p w14:paraId="47233C4E">
            <w:pPr>
              <w:rPr>
                <w:rFonts w:ascii="宋体" w:hAnsi="宋体" w:eastAsia="宋体" w:cs="宋体"/>
                <w:color w:val="auto"/>
                <w:highlight w:val="none"/>
              </w:rPr>
            </w:pPr>
            <w:r>
              <w:rPr>
                <w:rFonts w:hint="eastAsia" w:ascii="宋体" w:hAnsi="宋体" w:eastAsia="宋体" w:cs="宋体"/>
                <w:color w:val="auto"/>
                <w:highlight w:val="none"/>
              </w:rPr>
              <w:t>最后报价未超出采购预算金额（包括分项预算），也未超出最高限价（如有）</w:t>
            </w:r>
          </w:p>
        </w:tc>
      </w:tr>
      <w:tr w14:paraId="36C3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3" w:type="dxa"/>
            <w:vMerge w:val="continue"/>
            <w:vAlign w:val="center"/>
          </w:tcPr>
          <w:p w14:paraId="396FCE05">
            <w:pPr>
              <w:spacing w:line="240" w:lineRule="exact"/>
              <w:jc w:val="center"/>
              <w:rPr>
                <w:rFonts w:ascii="宋体" w:hAnsi="宋体" w:eastAsia="宋体" w:cs="宋体"/>
                <w:color w:val="auto"/>
                <w:szCs w:val="21"/>
                <w:highlight w:val="none"/>
              </w:rPr>
            </w:pPr>
          </w:p>
        </w:tc>
        <w:tc>
          <w:tcPr>
            <w:tcW w:w="2450" w:type="dxa"/>
            <w:vAlign w:val="center"/>
          </w:tcPr>
          <w:p w14:paraId="113F6F36">
            <w:pPr>
              <w:rPr>
                <w:rFonts w:ascii="宋体" w:hAnsi="宋体" w:eastAsia="宋体" w:cs="宋体"/>
                <w:color w:val="auto"/>
                <w:highlight w:val="none"/>
              </w:rPr>
            </w:pPr>
            <w:r>
              <w:rPr>
                <w:rFonts w:hint="eastAsia" w:ascii="宋体" w:hAnsi="宋体" w:eastAsia="宋体" w:cs="宋体"/>
                <w:color w:val="auto"/>
                <w:highlight w:val="none"/>
              </w:rPr>
              <w:t>漏项报价</w:t>
            </w:r>
          </w:p>
        </w:tc>
        <w:tc>
          <w:tcPr>
            <w:tcW w:w="5333" w:type="dxa"/>
            <w:vAlign w:val="center"/>
          </w:tcPr>
          <w:p w14:paraId="499A127B">
            <w:pPr>
              <w:rPr>
                <w:rFonts w:ascii="宋体" w:hAnsi="宋体" w:eastAsia="宋体" w:cs="宋体"/>
                <w:color w:val="auto"/>
                <w:highlight w:val="none"/>
              </w:rPr>
            </w:pPr>
            <w:r>
              <w:rPr>
                <w:rFonts w:hint="eastAsia" w:ascii="宋体" w:hAnsi="宋体" w:eastAsia="宋体" w:cs="宋体"/>
                <w:color w:val="auto"/>
                <w:highlight w:val="none"/>
              </w:rPr>
              <w:t>未就所投分标进行报价或者存在漏项报价；</w:t>
            </w:r>
          </w:p>
        </w:tc>
      </w:tr>
      <w:tr w14:paraId="6588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3" w:type="dxa"/>
            <w:vMerge w:val="continue"/>
            <w:vAlign w:val="center"/>
          </w:tcPr>
          <w:p w14:paraId="0F53C8AB">
            <w:pPr>
              <w:spacing w:line="240" w:lineRule="exact"/>
              <w:jc w:val="center"/>
              <w:rPr>
                <w:rFonts w:ascii="宋体" w:hAnsi="宋体" w:eastAsia="宋体" w:cs="宋体"/>
                <w:color w:val="auto"/>
                <w:szCs w:val="21"/>
                <w:highlight w:val="none"/>
              </w:rPr>
            </w:pPr>
          </w:p>
        </w:tc>
        <w:tc>
          <w:tcPr>
            <w:tcW w:w="2450" w:type="dxa"/>
            <w:vAlign w:val="center"/>
          </w:tcPr>
          <w:p w14:paraId="1C4602A5">
            <w:pPr>
              <w:rPr>
                <w:rFonts w:ascii="宋体" w:hAnsi="宋体" w:eastAsia="宋体" w:cs="宋体"/>
                <w:color w:val="auto"/>
                <w:highlight w:val="none"/>
              </w:rPr>
            </w:pPr>
            <w:r>
              <w:rPr>
                <w:rFonts w:hint="eastAsia" w:ascii="宋体" w:hAnsi="宋体" w:eastAsia="宋体" w:cs="宋体"/>
                <w:color w:val="auto"/>
                <w:highlight w:val="none"/>
              </w:rPr>
              <w:t>响应报价唯一性</w:t>
            </w:r>
          </w:p>
        </w:tc>
        <w:tc>
          <w:tcPr>
            <w:tcW w:w="5333" w:type="dxa"/>
            <w:vAlign w:val="center"/>
          </w:tcPr>
          <w:p w14:paraId="44E02219">
            <w:pPr>
              <w:rPr>
                <w:rFonts w:ascii="宋体" w:hAnsi="宋体" w:eastAsia="宋体" w:cs="宋体"/>
                <w:color w:val="auto"/>
                <w:highlight w:val="none"/>
              </w:rPr>
            </w:pPr>
            <w:r>
              <w:rPr>
                <w:rFonts w:hint="eastAsia" w:ascii="宋体" w:hAnsi="宋体" w:eastAsia="宋体" w:cs="宋体"/>
                <w:color w:val="auto"/>
                <w:highlight w:val="none"/>
              </w:rPr>
              <w:t>不存在有选择、有条件的最后报价（采购文件允许有备选方案或者其他约定的除外）</w:t>
            </w:r>
          </w:p>
        </w:tc>
      </w:tr>
      <w:tr w14:paraId="1F30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3" w:type="dxa"/>
            <w:vMerge w:val="continue"/>
            <w:vAlign w:val="center"/>
          </w:tcPr>
          <w:p w14:paraId="513B20A6">
            <w:pPr>
              <w:spacing w:line="240" w:lineRule="exact"/>
              <w:jc w:val="center"/>
              <w:rPr>
                <w:rFonts w:ascii="宋体" w:hAnsi="宋体" w:eastAsia="宋体" w:cs="宋体"/>
                <w:color w:val="auto"/>
                <w:szCs w:val="21"/>
                <w:highlight w:val="none"/>
              </w:rPr>
            </w:pPr>
          </w:p>
        </w:tc>
        <w:tc>
          <w:tcPr>
            <w:tcW w:w="2450" w:type="dxa"/>
            <w:vAlign w:val="center"/>
          </w:tcPr>
          <w:p w14:paraId="64605A4B">
            <w:pPr>
              <w:rPr>
                <w:rFonts w:ascii="宋体" w:hAnsi="宋体" w:eastAsia="宋体" w:cs="宋体"/>
                <w:color w:val="auto"/>
                <w:highlight w:val="none"/>
              </w:rPr>
            </w:pPr>
            <w:r>
              <w:rPr>
                <w:rFonts w:hint="eastAsia" w:ascii="宋体" w:hAnsi="宋体" w:eastAsia="宋体" w:cs="宋体"/>
                <w:color w:val="auto"/>
                <w:highlight w:val="none"/>
                <w:lang w:val="zh-CN"/>
              </w:rPr>
              <w:t>过低报价合理性</w:t>
            </w:r>
          </w:p>
        </w:tc>
        <w:tc>
          <w:tcPr>
            <w:tcW w:w="5333" w:type="dxa"/>
            <w:vAlign w:val="center"/>
          </w:tcPr>
          <w:p w14:paraId="5F74CEDA">
            <w:pPr>
              <w:rPr>
                <w:rFonts w:ascii="宋体" w:hAnsi="宋体" w:eastAsia="宋体" w:cs="宋体"/>
                <w:color w:val="auto"/>
                <w:highlight w:val="none"/>
              </w:rPr>
            </w:pPr>
            <w:r>
              <w:rPr>
                <w:rFonts w:hint="eastAsia" w:ascii="宋体" w:hAnsi="宋体" w:eastAsia="宋体" w:cs="宋体"/>
                <w:color w:val="auto"/>
                <w:highlight w:val="none"/>
              </w:rPr>
              <w:t>供应商的报价存在异常低价问题的情形，评审委员会应当要求其在评标现场合理的时间内提供报价合理性相关的书面说明及必要的证明材料。供应商不能证明其报价合理性的，评审委员会应当将其作为无效响应处理。</w:t>
            </w:r>
          </w:p>
        </w:tc>
      </w:tr>
      <w:tr w14:paraId="09DC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3" w:type="dxa"/>
            <w:vMerge w:val="continue"/>
            <w:vAlign w:val="center"/>
          </w:tcPr>
          <w:p w14:paraId="219386BB">
            <w:pPr>
              <w:spacing w:line="240" w:lineRule="exact"/>
              <w:jc w:val="center"/>
              <w:rPr>
                <w:rFonts w:ascii="宋体" w:hAnsi="宋体" w:eastAsia="宋体" w:cs="宋体"/>
                <w:color w:val="auto"/>
                <w:szCs w:val="21"/>
                <w:highlight w:val="none"/>
              </w:rPr>
            </w:pPr>
          </w:p>
        </w:tc>
        <w:tc>
          <w:tcPr>
            <w:tcW w:w="2450" w:type="dxa"/>
            <w:vAlign w:val="center"/>
          </w:tcPr>
          <w:p w14:paraId="33A478A5">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5333" w:type="dxa"/>
            <w:vAlign w:val="center"/>
          </w:tcPr>
          <w:p w14:paraId="47B51B12">
            <w:pPr>
              <w:spacing w:line="2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满足采购文件规定</w:t>
            </w:r>
          </w:p>
        </w:tc>
      </w:tr>
      <w:bookmarkEnd w:id="78"/>
    </w:tbl>
    <w:p w14:paraId="67485749">
      <w:pPr>
        <w:spacing w:before="120" w:line="320" w:lineRule="atLeast"/>
        <w:ind w:firstLine="316" w:firstLineChars="150"/>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注：政策性扣除计算方法</w:t>
      </w:r>
    </w:p>
    <w:p w14:paraId="5D49794A">
      <w:pPr>
        <w:spacing w:before="120" w:line="32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供应商响应报价将按相应比例进行扣除，用扣除后的价格参与评审（计算价格分），价格扣除比例分别如下：</w:t>
      </w:r>
    </w:p>
    <w:tbl>
      <w:tblPr>
        <w:tblStyle w:val="5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DA7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14:paraId="66BEE9B1">
            <w:pPr>
              <w:spacing w:before="120"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独立响应</w:t>
            </w:r>
          </w:p>
        </w:tc>
        <w:tc>
          <w:tcPr>
            <w:tcW w:w="4962" w:type="dxa"/>
          </w:tcPr>
          <w:p w14:paraId="45181506">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供应商均为所列企业之一（小型企业、微型企业、残疾人福利企业、监狱企业）</w:t>
            </w:r>
          </w:p>
        </w:tc>
        <w:tc>
          <w:tcPr>
            <w:tcW w:w="2551" w:type="dxa"/>
          </w:tcPr>
          <w:p w14:paraId="47EB6C55">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价格扣除响应报价的3%</w:t>
            </w:r>
          </w:p>
        </w:tc>
      </w:tr>
      <w:tr w14:paraId="6D79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1B87E04B">
            <w:pPr>
              <w:spacing w:before="120"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联合体或</w:t>
            </w:r>
          </w:p>
          <w:p w14:paraId="46B45751">
            <w:pPr>
              <w:spacing w:before="120" w:line="32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4962" w:type="dxa"/>
          </w:tcPr>
          <w:p w14:paraId="0F868F80">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小微企业承建的金额比例为100%</w:t>
            </w:r>
          </w:p>
        </w:tc>
        <w:tc>
          <w:tcPr>
            <w:tcW w:w="2551" w:type="dxa"/>
          </w:tcPr>
          <w:p w14:paraId="383BE982">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价格扣除响应报价的3%</w:t>
            </w:r>
          </w:p>
        </w:tc>
      </w:tr>
      <w:tr w14:paraId="04D0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78EEAD34">
            <w:pPr>
              <w:spacing w:before="120" w:line="320" w:lineRule="atLeast"/>
              <w:rPr>
                <w:rFonts w:ascii="宋体" w:hAnsi="宋体" w:eastAsia="宋体" w:cs="宋体"/>
                <w:color w:val="auto"/>
                <w:szCs w:val="21"/>
                <w:highlight w:val="none"/>
              </w:rPr>
            </w:pPr>
          </w:p>
        </w:tc>
        <w:tc>
          <w:tcPr>
            <w:tcW w:w="4962" w:type="dxa"/>
          </w:tcPr>
          <w:p w14:paraId="77778C1D">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小微企业承建的金额比例达到合同总金额30%以上</w:t>
            </w:r>
          </w:p>
        </w:tc>
        <w:tc>
          <w:tcPr>
            <w:tcW w:w="2551" w:type="dxa"/>
          </w:tcPr>
          <w:p w14:paraId="404727DA">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价格扣除响应报价的1%</w:t>
            </w:r>
          </w:p>
        </w:tc>
      </w:tr>
      <w:tr w14:paraId="438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526338F2">
            <w:pPr>
              <w:spacing w:before="120" w:line="32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注：未提供《中小企业声明函》、《分包意向协议书》或《联合体协议书》或不符合条件的，不享受价格扣除优惠。</w:t>
            </w:r>
          </w:p>
        </w:tc>
      </w:tr>
    </w:tbl>
    <w:p w14:paraId="7E0A04BB">
      <w:pPr>
        <w:spacing w:before="120" w:line="320" w:lineRule="atLeast"/>
        <w:ind w:firstLine="413" w:firstLineChars="196"/>
        <w:rPr>
          <w:rFonts w:ascii="宋体" w:hAnsi="宋体" w:eastAsia="宋体" w:cs="宋体"/>
          <w:b/>
          <w:color w:val="auto"/>
          <w:kern w:val="0"/>
          <w:szCs w:val="21"/>
          <w:highlight w:val="none"/>
        </w:rPr>
      </w:pPr>
    </w:p>
    <w:bookmarkEnd w:id="0"/>
    <w:bookmarkEnd w:id="1"/>
    <w:bookmarkEnd w:id="76"/>
    <w:bookmarkEnd w:id="77"/>
    <w:p w14:paraId="61647770">
      <w:pPr>
        <w:pStyle w:val="27"/>
        <w:snapToGrid w:val="0"/>
        <w:spacing w:before="120" w:after="120" w:line="320" w:lineRule="exact"/>
        <w:jc w:val="center"/>
        <w:outlineLvl w:val="0"/>
        <w:rPr>
          <w:rFonts w:hAnsi="宋体" w:eastAsia="宋体" w:cs="宋体"/>
          <w:color w:val="auto"/>
          <w:sz w:val="32"/>
          <w:szCs w:val="32"/>
          <w:highlight w:val="none"/>
        </w:rPr>
      </w:pPr>
      <w:bookmarkStart w:id="79" w:name="_Toc89186353"/>
      <w:r>
        <w:rPr>
          <w:rFonts w:hint="eastAsia" w:hAnsi="宋体" w:eastAsia="宋体" w:cs="宋体"/>
          <w:color w:val="auto"/>
          <w:sz w:val="32"/>
          <w:szCs w:val="32"/>
          <w:highlight w:val="none"/>
        </w:rPr>
        <w:br w:type="page"/>
      </w:r>
      <w:bookmarkEnd w:id="79"/>
      <w:bookmarkStart w:id="80" w:name="_Toc114485415"/>
      <w:bookmarkStart w:id="81" w:name="_Hlk89190624"/>
      <w:r>
        <w:rPr>
          <w:rFonts w:hint="eastAsia" w:hAnsi="宋体" w:eastAsia="宋体" w:cs="宋体"/>
          <w:color w:val="auto"/>
          <w:sz w:val="32"/>
          <w:szCs w:val="32"/>
          <w:highlight w:val="none"/>
        </w:rPr>
        <w:t>第五章  合同主要条款格式</w:t>
      </w:r>
      <w:bookmarkEnd w:id="80"/>
    </w:p>
    <w:p w14:paraId="6646E71E">
      <w:pPr>
        <w:pStyle w:val="27"/>
        <w:snapToGrid w:val="0"/>
        <w:ind w:left="482" w:hanging="482"/>
        <w:jc w:val="center"/>
        <w:rPr>
          <w:rFonts w:hAnsi="宋体" w:eastAsia="宋体" w:cs="宋体"/>
          <w:b/>
          <w:color w:val="auto"/>
          <w:sz w:val="24"/>
          <w:szCs w:val="24"/>
          <w:highlight w:val="none"/>
        </w:rPr>
      </w:pPr>
    </w:p>
    <w:p w14:paraId="491D4529">
      <w:pPr>
        <w:pStyle w:val="3"/>
        <w:jc w:val="center"/>
        <w:rPr>
          <w:rFonts w:ascii="宋体" w:hAnsi="宋体" w:eastAsia="宋体" w:cs="宋体"/>
          <w:b w:val="0"/>
          <w:color w:val="auto"/>
          <w:sz w:val="28"/>
          <w:szCs w:val="28"/>
          <w:highlight w:val="none"/>
        </w:rPr>
      </w:pPr>
      <w:bookmarkStart w:id="82" w:name="_Toc296503025"/>
      <w:bookmarkStart w:id="83" w:name="_Toc78449777"/>
      <w:bookmarkStart w:id="84" w:name="_Toc724920571"/>
      <w:bookmarkStart w:id="85" w:name="_Toc389065255"/>
      <w:bookmarkStart w:id="86" w:name="_Toc351203480"/>
      <w:bookmarkStart w:id="87" w:name="_Toc373227552"/>
      <w:bookmarkStart w:id="88" w:name="_Toc373478199"/>
      <w:bookmarkStart w:id="89" w:name="_Toc1756478213"/>
      <w:bookmarkStart w:id="90" w:name="_Toc296890982"/>
      <w:bookmarkStart w:id="91" w:name="_Toc407135191"/>
      <w:r>
        <w:rPr>
          <w:rFonts w:hint="eastAsia" w:ascii="宋体" w:hAnsi="宋体" w:eastAsia="宋体" w:cs="宋体"/>
          <w:b w:val="0"/>
          <w:color w:val="auto"/>
          <w:sz w:val="28"/>
          <w:szCs w:val="28"/>
          <w:highlight w:val="none"/>
        </w:rPr>
        <w:t>第一部分 合同协议书</w:t>
      </w:r>
      <w:bookmarkEnd w:id="82"/>
      <w:bookmarkEnd w:id="83"/>
      <w:bookmarkEnd w:id="84"/>
      <w:bookmarkEnd w:id="85"/>
      <w:bookmarkEnd w:id="86"/>
      <w:bookmarkEnd w:id="87"/>
      <w:bookmarkEnd w:id="88"/>
      <w:bookmarkEnd w:id="89"/>
      <w:bookmarkEnd w:id="90"/>
      <w:bookmarkEnd w:id="91"/>
    </w:p>
    <w:p w14:paraId="02F318E1">
      <w:pPr>
        <w:spacing w:line="360" w:lineRule="auto"/>
        <w:rPr>
          <w:rFonts w:ascii="宋体" w:hAnsi="宋体" w:eastAsia="宋体" w:cs="宋体"/>
          <w:color w:val="auto"/>
          <w:highlight w:val="none"/>
          <w:u w:val="singl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广西职业师范学院</w:t>
      </w:r>
    </w:p>
    <w:p w14:paraId="430E2131">
      <w:pPr>
        <w:spacing w:line="360" w:lineRule="auto"/>
        <w:rPr>
          <w:rFonts w:ascii="宋体" w:hAnsi="宋体" w:eastAsia="宋体" w:cs="宋体"/>
          <w:color w:val="auto"/>
          <w:highlight w:val="none"/>
          <w:u w:val="singl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p>
    <w:p w14:paraId="101C2A2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根据《中华人民共和国民法典》、《中华人民共和国建筑法》及有关法律规定，遵循平等、自愿、公平和诚实信用的原则，双方就</w:t>
      </w:r>
      <w:r>
        <w:rPr>
          <w:rFonts w:hint="eastAsia" w:ascii="宋体" w:hAnsi="宋体" w:eastAsia="宋体" w:cs="宋体"/>
          <w:color w:val="auto"/>
          <w:highlight w:val="none"/>
          <w:u w:val="single"/>
        </w:rPr>
        <w:t>广西职业师范学院相思湖校区运动场跑道及灯光改造项目</w:t>
      </w:r>
      <w:r>
        <w:rPr>
          <w:rFonts w:hint="eastAsia" w:ascii="宋体" w:hAnsi="宋体" w:eastAsia="宋体" w:cs="宋体"/>
          <w:color w:val="auto"/>
          <w:highlight w:val="none"/>
        </w:rPr>
        <w:t>工程施工及有关事项协商一致，共同达成如下协议：</w:t>
      </w:r>
      <w:bookmarkStart w:id="92" w:name="_Toc351203481"/>
    </w:p>
    <w:p w14:paraId="2389BA04">
      <w:pPr>
        <w:spacing w:line="360" w:lineRule="auto"/>
        <w:ind w:firstLine="42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一、工程概况</w:t>
      </w:r>
      <w:bookmarkEnd w:id="92"/>
    </w:p>
    <w:p w14:paraId="75B1E67E">
      <w:pPr>
        <w:spacing w:line="360" w:lineRule="auto"/>
        <w:ind w:firstLine="411" w:firstLineChars="196"/>
        <w:rPr>
          <w:rFonts w:ascii="宋体" w:hAnsi="宋体" w:eastAsia="宋体" w:cs="宋体"/>
          <w:color w:val="auto"/>
          <w:highlight w:val="none"/>
          <w:u w:val="single"/>
        </w:rPr>
      </w:pPr>
      <w:r>
        <w:rPr>
          <w:rFonts w:hint="eastAsia" w:ascii="宋体" w:hAnsi="宋体" w:eastAsia="宋体" w:cs="宋体"/>
          <w:color w:val="auto"/>
          <w:highlight w:val="none"/>
        </w:rPr>
        <w:t>1. 工程名称：</w:t>
      </w:r>
      <w:r>
        <w:rPr>
          <w:rFonts w:hint="eastAsia" w:ascii="宋体" w:hAnsi="宋体" w:eastAsia="宋体" w:cs="宋体"/>
          <w:color w:val="auto"/>
          <w:highlight w:val="none"/>
          <w:u w:val="single"/>
        </w:rPr>
        <w:t>广西职业师范学院相思湖校区运动场跑道及灯光改造项目</w:t>
      </w:r>
      <w:r>
        <w:rPr>
          <w:rFonts w:hint="eastAsia" w:ascii="宋体" w:hAnsi="宋体" w:eastAsia="宋体" w:cs="宋体"/>
          <w:color w:val="auto"/>
          <w:highlight w:val="none"/>
        </w:rPr>
        <w:t>。</w:t>
      </w:r>
    </w:p>
    <w:p w14:paraId="44E47512">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2. 工程地点：</w:t>
      </w:r>
      <w:r>
        <w:rPr>
          <w:rFonts w:hint="eastAsia" w:ascii="宋体" w:hAnsi="宋体" w:eastAsia="宋体" w:cs="宋体"/>
          <w:color w:val="auto"/>
          <w:highlight w:val="none"/>
          <w:u w:val="single"/>
        </w:rPr>
        <w:t>南宁市</w:t>
      </w:r>
      <w:r>
        <w:rPr>
          <w:rFonts w:hint="eastAsia" w:ascii="宋体" w:hAnsi="宋体" w:eastAsia="宋体" w:cs="宋体"/>
          <w:color w:val="auto"/>
          <w:highlight w:val="none"/>
        </w:rPr>
        <w:t>。</w:t>
      </w:r>
    </w:p>
    <w:p w14:paraId="0B6C12C7">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3. 工程立项批准文号：</w:t>
      </w:r>
      <w:r>
        <w:rPr>
          <w:rFonts w:hint="eastAsia" w:ascii="宋体" w:hAnsi="宋体" w:eastAsia="宋体" w:cs="宋体"/>
          <w:color w:val="auto"/>
          <w:highlight w:val="none"/>
          <w:u w:val="single"/>
        </w:rPr>
        <w:t xml:space="preserve"> 采购计划号： </w:t>
      </w:r>
      <w:r>
        <w:rPr>
          <w:rFonts w:hint="eastAsia" w:ascii="宋体" w:hAnsi="宋体" w:eastAsia="宋体" w:cs="宋体"/>
          <w:color w:val="auto"/>
          <w:highlight w:val="none"/>
        </w:rPr>
        <w:t>。</w:t>
      </w:r>
    </w:p>
    <w:p w14:paraId="4C190A99">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4. 资金来源：</w:t>
      </w:r>
      <w:r>
        <w:rPr>
          <w:rFonts w:hint="eastAsia" w:ascii="宋体" w:hAnsi="宋体" w:eastAsia="宋体" w:cs="宋体"/>
          <w:color w:val="auto"/>
          <w:highlight w:val="none"/>
          <w:u w:val="single"/>
        </w:rPr>
        <w:t>财政资金</w:t>
      </w:r>
      <w:r>
        <w:rPr>
          <w:rFonts w:hint="eastAsia" w:ascii="宋体" w:hAnsi="宋体" w:eastAsia="宋体" w:cs="宋体"/>
          <w:color w:val="auto"/>
          <w:highlight w:val="none"/>
        </w:rPr>
        <w:t>。</w:t>
      </w:r>
    </w:p>
    <w:p w14:paraId="77B87329">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5. 工程内容：</w:t>
      </w:r>
      <w:r>
        <w:rPr>
          <w:rFonts w:hint="eastAsia" w:ascii="宋体" w:hAnsi="宋体" w:eastAsia="宋体" w:cs="宋体"/>
          <w:color w:val="auto"/>
          <w:highlight w:val="none"/>
          <w:u w:val="single"/>
        </w:rPr>
        <w:t xml:space="preserve"> 运动跑道拆除及新建、灯光改造等，具体详见施工图及工程量清单。</w:t>
      </w:r>
    </w:p>
    <w:p w14:paraId="7A26D517">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群体工程应附《承包人承揽工程项目一览表》（附件1）。</w:t>
      </w:r>
    </w:p>
    <w:p w14:paraId="3EC9D475">
      <w:pPr>
        <w:spacing w:line="360" w:lineRule="auto"/>
        <w:ind w:firstLine="411" w:firstLineChars="196"/>
        <w:rPr>
          <w:rFonts w:ascii="宋体" w:hAnsi="宋体" w:eastAsia="宋体" w:cs="宋体"/>
          <w:color w:val="auto"/>
          <w:highlight w:val="none"/>
        </w:rPr>
      </w:pPr>
      <w:r>
        <w:rPr>
          <w:rFonts w:hint="eastAsia" w:ascii="宋体" w:hAnsi="宋体" w:eastAsia="宋体" w:cs="宋体"/>
          <w:color w:val="auto"/>
          <w:highlight w:val="none"/>
        </w:rPr>
        <w:t>6. 工程承包范围：</w:t>
      </w:r>
    </w:p>
    <w:p w14:paraId="5FE86524">
      <w:pPr>
        <w:spacing w:line="360" w:lineRule="auto"/>
        <w:ind w:firstLine="405" w:firstLineChars="193"/>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7D11B5">
      <w:pPr>
        <w:spacing w:line="360" w:lineRule="auto"/>
        <w:ind w:firstLine="407" w:firstLineChars="193"/>
        <w:outlineLvl w:val="2"/>
        <w:rPr>
          <w:rFonts w:ascii="宋体" w:hAnsi="宋体" w:eastAsia="宋体" w:cs="宋体"/>
          <w:b/>
          <w:bCs/>
          <w:color w:val="auto"/>
          <w:highlight w:val="none"/>
        </w:rPr>
      </w:pPr>
      <w:bookmarkStart w:id="93" w:name="_Toc351203482"/>
      <w:r>
        <w:rPr>
          <w:rFonts w:hint="eastAsia" w:ascii="宋体" w:hAnsi="宋体" w:eastAsia="宋体" w:cs="宋体"/>
          <w:b/>
          <w:bCs/>
          <w:color w:val="auto"/>
          <w:highlight w:val="none"/>
        </w:rPr>
        <w:t>二、合同工期</w:t>
      </w:r>
      <w:bookmarkEnd w:id="93"/>
    </w:p>
    <w:p w14:paraId="661D41B7">
      <w:pPr>
        <w:spacing w:line="360" w:lineRule="auto"/>
        <w:ind w:firstLine="459"/>
        <w:rPr>
          <w:rFonts w:ascii="宋体" w:hAnsi="宋体" w:eastAsia="宋体" w:cs="宋体"/>
          <w:color w:val="auto"/>
          <w:highlight w:val="none"/>
        </w:rPr>
      </w:pPr>
      <w:r>
        <w:rPr>
          <w:rFonts w:hint="eastAsia" w:ascii="宋体" w:hAnsi="宋体" w:eastAsia="宋体" w:cs="宋体"/>
          <w:color w:val="auto"/>
          <w:highlight w:val="none"/>
        </w:rPr>
        <w:t>计划开工日期：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日。（具体以发包人书面通知为准）</w:t>
      </w:r>
    </w:p>
    <w:p w14:paraId="0B6EF827">
      <w:pPr>
        <w:spacing w:line="360" w:lineRule="auto"/>
        <w:ind w:firstLine="459"/>
        <w:rPr>
          <w:rFonts w:ascii="宋体" w:hAnsi="宋体" w:eastAsia="宋体" w:cs="宋体"/>
          <w:color w:val="auto"/>
          <w:highlight w:val="none"/>
        </w:rPr>
      </w:pPr>
      <w:r>
        <w:rPr>
          <w:rFonts w:hint="eastAsia" w:ascii="宋体" w:hAnsi="宋体" w:eastAsia="宋体" w:cs="宋体"/>
          <w:color w:val="auto"/>
          <w:highlight w:val="none"/>
        </w:rPr>
        <w:t>计划竣工日期：</w:t>
      </w:r>
      <w:r>
        <w:rPr>
          <w:rFonts w:hint="eastAsia" w:ascii="宋体" w:hAnsi="宋体" w:eastAsia="宋体" w:cs="宋体"/>
          <w:color w:val="auto"/>
          <w:highlight w:val="none"/>
          <w:u w:val="single"/>
        </w:rPr>
        <w:t></w:t>
      </w:r>
      <w:r>
        <w:rPr>
          <w:rFonts w:hint="eastAsia" w:ascii="宋体" w:hAnsi="宋体" w:eastAsia="宋体" w:cs="宋体"/>
          <w:color w:val="auto"/>
          <w:highlight w:val="none"/>
        </w:rPr>
        <w:t>年</w:t>
      </w:r>
      <w:r>
        <w:rPr>
          <w:rFonts w:hint="eastAsia" w:ascii="宋体" w:hAnsi="宋体" w:eastAsia="宋体" w:cs="宋体"/>
          <w:color w:val="auto"/>
          <w:highlight w:val="none"/>
          <w:u w:val="single"/>
        </w:rPr>
        <w:t></w:t>
      </w:r>
      <w:r>
        <w:rPr>
          <w:rFonts w:hint="eastAsia" w:ascii="宋体" w:hAnsi="宋体" w:eastAsia="宋体" w:cs="宋体"/>
          <w:color w:val="auto"/>
          <w:highlight w:val="none"/>
        </w:rPr>
        <w:t>月</w:t>
      </w:r>
      <w:r>
        <w:rPr>
          <w:rFonts w:hint="eastAsia" w:ascii="宋体" w:hAnsi="宋体" w:eastAsia="宋体" w:cs="宋体"/>
          <w:color w:val="auto"/>
          <w:highlight w:val="none"/>
          <w:u w:val="single"/>
        </w:rPr>
        <w:t></w:t>
      </w:r>
      <w:r>
        <w:rPr>
          <w:rFonts w:hint="eastAsia" w:ascii="宋体" w:hAnsi="宋体" w:eastAsia="宋体" w:cs="宋体"/>
          <w:color w:val="auto"/>
          <w:highlight w:val="none"/>
        </w:rPr>
        <w:t>日。</w:t>
      </w:r>
    </w:p>
    <w:p w14:paraId="3B32AE82">
      <w:pPr>
        <w:spacing w:line="360" w:lineRule="auto"/>
        <w:ind w:firstLine="459"/>
        <w:rPr>
          <w:rFonts w:ascii="宋体" w:hAnsi="宋体" w:eastAsia="宋体" w:cs="宋体"/>
          <w:color w:val="auto"/>
          <w:highlight w:val="none"/>
        </w:rPr>
      </w:pPr>
      <w:r>
        <w:rPr>
          <w:rFonts w:hint="eastAsia" w:ascii="宋体" w:hAnsi="宋体" w:eastAsia="宋体" w:cs="宋体"/>
          <w:color w:val="auto"/>
          <w:highlight w:val="none"/>
        </w:rPr>
        <w:t>工期总日历天数：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天。工期总日历天数与根据前述计划开竣工日期计算的工期天数不一致的，以工期总日历天数为准。</w:t>
      </w:r>
    </w:p>
    <w:p w14:paraId="225D8FDD">
      <w:pPr>
        <w:spacing w:line="360" w:lineRule="auto"/>
        <w:ind w:firstLine="459"/>
        <w:outlineLvl w:val="2"/>
        <w:rPr>
          <w:rFonts w:ascii="宋体" w:hAnsi="宋体" w:eastAsia="宋体" w:cs="宋体"/>
          <w:b/>
          <w:bCs/>
          <w:color w:val="auto"/>
          <w:highlight w:val="none"/>
        </w:rPr>
      </w:pPr>
      <w:bookmarkStart w:id="94" w:name="_Toc351203483"/>
      <w:r>
        <w:rPr>
          <w:rFonts w:hint="eastAsia" w:ascii="宋体" w:hAnsi="宋体" w:eastAsia="宋体" w:cs="宋体"/>
          <w:b/>
          <w:bCs/>
          <w:color w:val="auto"/>
          <w:highlight w:val="none"/>
        </w:rPr>
        <w:t>三、质量标准</w:t>
      </w:r>
      <w:bookmarkEnd w:id="94"/>
    </w:p>
    <w:p w14:paraId="7A64D491">
      <w:pPr>
        <w:spacing w:line="360" w:lineRule="auto"/>
        <w:ind w:firstLine="459"/>
        <w:rPr>
          <w:rFonts w:ascii="宋体" w:hAnsi="宋体" w:eastAsia="宋体" w:cs="宋体"/>
          <w:color w:val="auto"/>
          <w:highlight w:val="none"/>
        </w:rPr>
      </w:pPr>
      <w:r>
        <w:rPr>
          <w:rFonts w:hint="eastAsia" w:ascii="宋体" w:hAnsi="宋体" w:eastAsia="宋体" w:cs="宋体"/>
          <w:color w:val="auto"/>
          <w:highlight w:val="none"/>
        </w:rPr>
        <w:t>工程质量符合</w:t>
      </w:r>
      <w:r>
        <w:rPr>
          <w:rFonts w:hint="eastAsia" w:ascii="宋体" w:hAnsi="宋体" w:eastAsia="宋体" w:cs="宋体"/>
          <w:color w:val="auto"/>
          <w:highlight w:val="none"/>
          <w:u w:val="single"/>
        </w:rPr>
        <w:t xml:space="preserve">合格  </w:t>
      </w:r>
      <w:r>
        <w:rPr>
          <w:rFonts w:hint="eastAsia" w:ascii="宋体" w:hAnsi="宋体" w:eastAsia="宋体" w:cs="宋体"/>
          <w:color w:val="auto"/>
          <w:highlight w:val="none"/>
        </w:rPr>
        <w:t>标准。</w:t>
      </w:r>
    </w:p>
    <w:p w14:paraId="093BC33A">
      <w:pPr>
        <w:spacing w:line="360" w:lineRule="auto"/>
        <w:ind w:firstLine="459"/>
        <w:outlineLvl w:val="2"/>
        <w:rPr>
          <w:rFonts w:ascii="宋体" w:hAnsi="宋体" w:eastAsia="宋体" w:cs="宋体"/>
          <w:b/>
          <w:bCs/>
          <w:color w:val="auto"/>
          <w:highlight w:val="none"/>
        </w:rPr>
      </w:pPr>
      <w:bookmarkStart w:id="95" w:name="_Toc351203484"/>
      <w:r>
        <w:rPr>
          <w:rFonts w:hint="eastAsia" w:ascii="宋体" w:hAnsi="宋体" w:eastAsia="宋体" w:cs="宋体"/>
          <w:b/>
          <w:bCs/>
          <w:color w:val="auto"/>
          <w:highlight w:val="none"/>
        </w:rPr>
        <w:t>四、签约合同价与合同价格形式</w:t>
      </w:r>
      <w:bookmarkEnd w:id="95"/>
    </w:p>
    <w:p w14:paraId="54BD47FC">
      <w:pPr>
        <w:spacing w:line="360" w:lineRule="auto"/>
        <w:ind w:firstLine="459"/>
        <w:rPr>
          <w:rFonts w:ascii="宋体" w:hAnsi="宋体" w:eastAsia="宋体" w:cs="宋体"/>
          <w:color w:val="auto"/>
          <w:highlight w:val="none"/>
        </w:rPr>
      </w:pPr>
      <w:r>
        <w:rPr>
          <w:rFonts w:hint="eastAsia" w:ascii="宋体" w:hAnsi="宋体" w:eastAsia="宋体" w:cs="宋体"/>
          <w:color w:val="auto"/>
          <w:highlight w:val="none"/>
        </w:rPr>
        <w:t>1. 签约合同价为：</w:t>
      </w:r>
    </w:p>
    <w:p w14:paraId="7C7F660F">
      <w:pPr>
        <w:spacing w:line="360" w:lineRule="auto"/>
        <w:ind w:firstLine="525" w:firstLineChars="250"/>
        <w:rPr>
          <w:rFonts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3E7B53A5">
      <w:pPr>
        <w:spacing w:line="360" w:lineRule="auto"/>
        <w:ind w:firstLine="525" w:firstLineChars="250"/>
        <w:rPr>
          <w:rFonts w:ascii="宋体" w:hAnsi="宋体" w:eastAsia="宋体" w:cs="宋体"/>
          <w:color w:val="auto"/>
          <w:highlight w:val="none"/>
        </w:rPr>
      </w:pPr>
      <w:r>
        <w:rPr>
          <w:rFonts w:hint="eastAsia" w:ascii="宋体" w:hAnsi="宋体" w:eastAsia="宋体" w:cs="宋体"/>
          <w:color w:val="auto"/>
          <w:highlight w:val="none"/>
        </w:rPr>
        <w:t>其中：</w:t>
      </w:r>
    </w:p>
    <w:p w14:paraId="1C44C712">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（1）安全文明施工费：</w:t>
      </w:r>
    </w:p>
    <w:p w14:paraId="1595C71F">
      <w:pPr>
        <w:spacing w:line="360" w:lineRule="auto"/>
        <w:ind w:left="420" w:leftChars="200" w:firstLine="525" w:firstLineChars="250"/>
        <w:rPr>
          <w:rFonts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2E04B1F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（2）材料和工程设备暂估价金额：</w:t>
      </w:r>
    </w:p>
    <w:p w14:paraId="052C82C4">
      <w:pPr>
        <w:spacing w:line="360" w:lineRule="auto"/>
        <w:ind w:firstLine="945" w:firstLineChars="450"/>
        <w:rPr>
          <w:rFonts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7A13C7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（3）专业工程暂估价金额：</w:t>
      </w:r>
    </w:p>
    <w:p w14:paraId="1F9A9CD2">
      <w:pPr>
        <w:spacing w:line="360" w:lineRule="auto"/>
        <w:ind w:firstLine="945" w:firstLineChars="450"/>
        <w:rPr>
          <w:rFonts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97EDF1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（4）暂列金额：</w:t>
      </w:r>
    </w:p>
    <w:p w14:paraId="6341FF33">
      <w:pPr>
        <w:spacing w:line="360" w:lineRule="auto"/>
        <w:ind w:firstLine="945" w:firstLineChars="450"/>
        <w:rPr>
          <w:rFonts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5E8330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2. 合同价格形式：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7FB464C">
      <w:pPr>
        <w:spacing w:line="360" w:lineRule="auto"/>
        <w:ind w:firstLine="422" w:firstLineChars="200"/>
        <w:outlineLvl w:val="2"/>
        <w:rPr>
          <w:rFonts w:ascii="宋体" w:hAnsi="宋体" w:eastAsia="宋体" w:cs="宋体"/>
          <w:b/>
          <w:bCs/>
          <w:color w:val="auto"/>
          <w:highlight w:val="none"/>
        </w:rPr>
      </w:pPr>
      <w:bookmarkStart w:id="96" w:name="_Toc351203485"/>
      <w:r>
        <w:rPr>
          <w:rFonts w:hint="eastAsia" w:ascii="宋体" w:hAnsi="宋体" w:eastAsia="宋体" w:cs="宋体"/>
          <w:b/>
          <w:bCs/>
          <w:color w:val="auto"/>
          <w:highlight w:val="none"/>
        </w:rPr>
        <w:t>五、</w:t>
      </w:r>
      <w:bookmarkEnd w:id="96"/>
      <w:r>
        <w:rPr>
          <w:rFonts w:hint="eastAsia" w:ascii="宋体" w:hAnsi="宋体" w:eastAsia="宋体" w:cs="宋体"/>
          <w:b/>
          <w:bCs/>
          <w:color w:val="auto"/>
          <w:highlight w:val="none"/>
        </w:rPr>
        <w:t>项目经理</w:t>
      </w:r>
    </w:p>
    <w:p w14:paraId="2DC4C407">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承包人项目经理：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0A10207">
      <w:pPr>
        <w:spacing w:line="360" w:lineRule="auto"/>
        <w:ind w:firstLine="422" w:firstLineChars="200"/>
        <w:outlineLvl w:val="2"/>
        <w:rPr>
          <w:rFonts w:ascii="宋体" w:hAnsi="宋体" w:eastAsia="宋体" w:cs="宋体"/>
          <w:b/>
          <w:bCs/>
          <w:color w:val="auto"/>
          <w:highlight w:val="none"/>
        </w:rPr>
      </w:pPr>
      <w:bookmarkStart w:id="97" w:name="_Toc351203486"/>
      <w:r>
        <w:rPr>
          <w:rFonts w:hint="eastAsia" w:ascii="宋体" w:hAnsi="宋体" w:eastAsia="宋体" w:cs="宋体"/>
          <w:b/>
          <w:bCs/>
          <w:color w:val="auto"/>
          <w:highlight w:val="none"/>
        </w:rPr>
        <w:t>六、合同文件构成</w:t>
      </w:r>
      <w:bookmarkEnd w:id="97"/>
    </w:p>
    <w:p w14:paraId="6BD7BD4D">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本协议书与下列文件一起构成合同文件：</w:t>
      </w:r>
    </w:p>
    <w:p w14:paraId="4E862F6E">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（1）成交通知书（如有）；</w:t>
      </w:r>
    </w:p>
    <w:p w14:paraId="0CD65D90">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（2）响应函及其附录（如有）； </w:t>
      </w:r>
    </w:p>
    <w:p w14:paraId="16D0258C">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（3）专用合同条款及其附件；</w:t>
      </w:r>
    </w:p>
    <w:p w14:paraId="4A3D233B">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（4）通用合同条款；</w:t>
      </w:r>
    </w:p>
    <w:p w14:paraId="267D7131">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56C27B6">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13C52D4">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2423D19">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（8）其他合同文件：</w:t>
      </w:r>
    </w:p>
    <w:p w14:paraId="522EB6C2">
      <w:pPr>
        <w:autoSpaceDE w:val="0"/>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6525FFAC">
      <w:pPr>
        <w:autoSpaceDE w:val="0"/>
        <w:autoSpaceDN w:val="0"/>
        <w:adjustRightInd w:val="0"/>
        <w:spacing w:line="360" w:lineRule="auto"/>
        <w:ind w:firstLine="422" w:firstLineChars="200"/>
        <w:jc w:val="left"/>
        <w:outlineLvl w:val="2"/>
        <w:rPr>
          <w:rFonts w:ascii="宋体" w:hAnsi="宋体" w:eastAsia="宋体" w:cs="宋体"/>
          <w:b/>
          <w:bCs/>
          <w:color w:val="auto"/>
          <w:highlight w:val="none"/>
        </w:rPr>
      </w:pPr>
      <w:bookmarkStart w:id="98" w:name="_Toc351203487"/>
      <w:r>
        <w:rPr>
          <w:rFonts w:hint="eastAsia" w:ascii="宋体" w:hAnsi="宋体" w:eastAsia="宋体" w:cs="宋体"/>
          <w:b/>
          <w:bCs/>
          <w:color w:val="auto"/>
          <w:highlight w:val="none"/>
        </w:rPr>
        <w:t>七、承诺</w:t>
      </w:r>
      <w:bookmarkEnd w:id="98"/>
    </w:p>
    <w:p w14:paraId="7DCE697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 发包人承诺按照法律规定履行项目审批手续、筹集工程建设资金并按照合同约定的期限和方式支付合同价款。</w:t>
      </w:r>
    </w:p>
    <w:p w14:paraId="72B0B6F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 承包人承诺按照法律规定及合同约定组织完成工程施工，确保工程质量和安全，不进行转包及违法分包，并在缺陷责任期及保修期内承担相应的工程维修责任。</w:t>
      </w:r>
    </w:p>
    <w:p w14:paraId="00693A7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 发包人和承包人通过招投标形式签订合同的，双方理解并承诺不再就同一工程另行签订与合同实质性内容相背离的协议。</w:t>
      </w:r>
      <w:bookmarkStart w:id="99" w:name="_Toc351203488"/>
    </w:p>
    <w:p w14:paraId="5FF4BB60">
      <w:pPr>
        <w:spacing w:line="360" w:lineRule="auto"/>
        <w:ind w:firstLine="42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八、词语含义</w:t>
      </w:r>
      <w:bookmarkEnd w:id="99"/>
    </w:p>
    <w:p w14:paraId="4AC52B0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本协议书中词语含义与第二部分通用合同条款中赋予的含义相同。</w:t>
      </w:r>
    </w:p>
    <w:p w14:paraId="09110CB5">
      <w:pPr>
        <w:spacing w:line="360" w:lineRule="auto"/>
        <w:ind w:firstLine="422" w:firstLineChars="200"/>
        <w:outlineLvl w:val="2"/>
        <w:rPr>
          <w:rFonts w:ascii="宋体" w:hAnsi="宋体" w:eastAsia="宋体" w:cs="宋体"/>
          <w:b/>
          <w:bCs/>
          <w:color w:val="auto"/>
          <w:highlight w:val="none"/>
        </w:rPr>
      </w:pPr>
      <w:bookmarkStart w:id="100" w:name="_Toc351203489"/>
      <w:r>
        <w:rPr>
          <w:rFonts w:hint="eastAsia" w:ascii="宋体" w:hAnsi="宋体" w:eastAsia="宋体" w:cs="宋体"/>
          <w:b/>
          <w:bCs/>
          <w:color w:val="auto"/>
          <w:highlight w:val="none"/>
        </w:rPr>
        <w:t>九、签订时间</w:t>
      </w:r>
      <w:bookmarkEnd w:id="100"/>
    </w:p>
    <w:p w14:paraId="6E2128B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本合同于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日签订。</w:t>
      </w:r>
    </w:p>
    <w:p w14:paraId="0923A75C">
      <w:pPr>
        <w:spacing w:line="360" w:lineRule="auto"/>
        <w:ind w:firstLine="422" w:firstLineChars="200"/>
        <w:outlineLvl w:val="2"/>
        <w:rPr>
          <w:rFonts w:ascii="宋体" w:hAnsi="宋体" w:eastAsia="宋体" w:cs="宋体"/>
          <w:b/>
          <w:bCs/>
          <w:color w:val="auto"/>
          <w:highlight w:val="none"/>
        </w:rPr>
      </w:pPr>
      <w:bookmarkStart w:id="101" w:name="_Toc351203490"/>
      <w:r>
        <w:rPr>
          <w:rFonts w:hint="eastAsia" w:ascii="宋体" w:hAnsi="宋体" w:eastAsia="宋体" w:cs="宋体"/>
          <w:b/>
          <w:bCs/>
          <w:color w:val="auto"/>
          <w:highlight w:val="none"/>
        </w:rPr>
        <w:t>十、签订地点</w:t>
      </w:r>
      <w:bookmarkEnd w:id="101"/>
    </w:p>
    <w:p w14:paraId="37D834C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本合同在</w:t>
      </w:r>
      <w:r>
        <w:rPr>
          <w:rFonts w:hint="eastAsia" w:ascii="宋体" w:hAnsi="宋体" w:eastAsia="宋体" w:cs="宋体"/>
          <w:color w:val="auto"/>
          <w:highlight w:val="none"/>
          <w:u w:val="single"/>
        </w:rPr>
        <w:t xml:space="preserve">   广西南宁市  </w:t>
      </w:r>
      <w:r>
        <w:rPr>
          <w:rFonts w:hint="eastAsia" w:ascii="宋体" w:hAnsi="宋体" w:eastAsia="宋体" w:cs="宋体"/>
          <w:color w:val="auto"/>
          <w:highlight w:val="none"/>
        </w:rPr>
        <w:t>签订。</w:t>
      </w:r>
    </w:p>
    <w:p w14:paraId="7C6DDDFB">
      <w:pPr>
        <w:spacing w:line="360" w:lineRule="auto"/>
        <w:ind w:firstLine="422" w:firstLineChars="200"/>
        <w:outlineLvl w:val="2"/>
        <w:rPr>
          <w:rFonts w:ascii="宋体" w:hAnsi="宋体" w:eastAsia="宋体" w:cs="宋体"/>
          <w:b/>
          <w:bCs/>
          <w:color w:val="auto"/>
          <w:highlight w:val="none"/>
        </w:rPr>
      </w:pPr>
      <w:bookmarkStart w:id="102" w:name="_Toc351203491"/>
      <w:r>
        <w:rPr>
          <w:rFonts w:hint="eastAsia" w:ascii="宋体" w:hAnsi="宋体" w:eastAsia="宋体" w:cs="宋体"/>
          <w:b/>
          <w:bCs/>
          <w:color w:val="auto"/>
          <w:highlight w:val="none"/>
        </w:rPr>
        <w:t>十一、补充协议</w:t>
      </w:r>
      <w:bookmarkEnd w:id="102"/>
    </w:p>
    <w:p w14:paraId="1DE9D3A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合同未尽事宜，合同当事人另行签订补充协议，补充协议是合同的组成部分。</w:t>
      </w:r>
    </w:p>
    <w:p w14:paraId="2E69960B">
      <w:pPr>
        <w:spacing w:line="360" w:lineRule="auto"/>
        <w:ind w:firstLine="422" w:firstLineChars="200"/>
        <w:outlineLvl w:val="2"/>
        <w:rPr>
          <w:rFonts w:ascii="宋体" w:hAnsi="宋体" w:eastAsia="宋体" w:cs="宋体"/>
          <w:b/>
          <w:bCs/>
          <w:color w:val="auto"/>
          <w:highlight w:val="none"/>
        </w:rPr>
      </w:pPr>
      <w:bookmarkStart w:id="103" w:name="_Toc351203492"/>
      <w:r>
        <w:rPr>
          <w:rFonts w:hint="eastAsia" w:ascii="宋体" w:hAnsi="宋体" w:eastAsia="宋体" w:cs="宋体"/>
          <w:b/>
          <w:bCs/>
          <w:color w:val="auto"/>
          <w:highlight w:val="none"/>
        </w:rPr>
        <w:t>十二、合同生效</w:t>
      </w:r>
      <w:bookmarkEnd w:id="103"/>
    </w:p>
    <w:p w14:paraId="23ADFED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双方法定代表人/负责人或授权代理人签字或签章并加盖公章后 </w:t>
      </w:r>
      <w:r>
        <w:rPr>
          <w:rFonts w:hint="eastAsia" w:ascii="宋体" w:hAnsi="宋体" w:eastAsia="宋体" w:cs="宋体"/>
          <w:color w:val="auto"/>
          <w:highlight w:val="none"/>
        </w:rPr>
        <w:t>生效。</w:t>
      </w:r>
    </w:p>
    <w:p w14:paraId="65152ABB">
      <w:pPr>
        <w:spacing w:line="360" w:lineRule="auto"/>
        <w:ind w:firstLine="422" w:firstLineChars="200"/>
        <w:outlineLvl w:val="2"/>
        <w:rPr>
          <w:rFonts w:ascii="宋体" w:hAnsi="宋体" w:eastAsia="宋体" w:cs="宋体"/>
          <w:b/>
          <w:bCs/>
          <w:color w:val="auto"/>
          <w:highlight w:val="none"/>
        </w:rPr>
      </w:pPr>
      <w:bookmarkStart w:id="104" w:name="_Toc351203493"/>
      <w:r>
        <w:rPr>
          <w:rFonts w:hint="eastAsia" w:ascii="宋体" w:hAnsi="宋体" w:eastAsia="宋体" w:cs="宋体"/>
          <w:b/>
          <w:bCs/>
          <w:color w:val="auto"/>
          <w:highlight w:val="none"/>
        </w:rPr>
        <w:t>十三、合同份数</w:t>
      </w:r>
      <w:bookmarkEnd w:id="104"/>
    </w:p>
    <w:p w14:paraId="7815387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份，均具有同等法律效力，发包人执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份，承包人执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6124736A">
      <w:pPr>
        <w:spacing w:line="360" w:lineRule="auto"/>
        <w:rPr>
          <w:rFonts w:ascii="宋体" w:hAnsi="宋体" w:eastAsia="宋体" w:cs="宋体"/>
          <w:color w:val="auto"/>
          <w:highlight w:val="none"/>
        </w:rPr>
      </w:pPr>
    </w:p>
    <w:p w14:paraId="4E6C9448">
      <w:pPr>
        <w:spacing w:line="360" w:lineRule="auto"/>
        <w:rPr>
          <w:rFonts w:ascii="宋体" w:hAnsi="宋体" w:eastAsia="宋体" w:cs="宋体"/>
          <w:color w:val="auto"/>
          <w:highlight w:val="none"/>
        </w:rPr>
      </w:pPr>
    </w:p>
    <w:p w14:paraId="368161C7">
      <w:pPr>
        <w:spacing w:line="360" w:lineRule="auto"/>
        <w:rPr>
          <w:rFonts w:ascii="宋体" w:hAnsi="宋体" w:eastAsia="宋体" w:cs="宋体"/>
          <w:color w:val="auto"/>
          <w:highlight w:val="none"/>
        </w:rPr>
      </w:pPr>
      <w:r>
        <w:rPr>
          <w:rFonts w:hint="eastAsia" w:ascii="宋体" w:hAnsi="宋体" w:eastAsia="宋体" w:cs="宋体"/>
          <w:color w:val="auto"/>
          <w:highlight w:val="none"/>
        </w:rPr>
        <w:t>发包人：  （公章）                              承包人：  （公章）</w:t>
      </w:r>
    </w:p>
    <w:p w14:paraId="1C90DE0C">
      <w:pPr>
        <w:spacing w:line="360" w:lineRule="auto"/>
        <w:rPr>
          <w:rFonts w:ascii="宋体" w:hAnsi="宋体" w:eastAsia="宋体" w:cs="宋体"/>
          <w:color w:val="auto"/>
          <w:highlight w:val="none"/>
          <w:u w:val="single"/>
        </w:rPr>
      </w:pPr>
      <w:r>
        <w:rPr>
          <w:rFonts w:hint="eastAsia" w:ascii="宋体" w:hAnsi="宋体" w:eastAsia="宋体" w:cs="宋体"/>
          <w:color w:val="auto"/>
          <w:highlight w:val="none"/>
        </w:rPr>
        <w:t xml:space="preserve">                                 </w:t>
      </w:r>
    </w:p>
    <w:p w14:paraId="7CA32229">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法定代表人或其委托代理人：                    法定代表人或其委托代理人：</w:t>
      </w:r>
    </w:p>
    <w:p w14:paraId="19627AC1">
      <w:pPr>
        <w:spacing w:line="360" w:lineRule="auto"/>
        <w:rPr>
          <w:rFonts w:ascii="宋体" w:hAnsi="宋体" w:eastAsia="宋体" w:cs="宋体"/>
          <w:color w:val="auto"/>
          <w:highlight w:val="none"/>
        </w:rPr>
      </w:pPr>
      <w:r>
        <w:rPr>
          <w:rFonts w:hint="eastAsia" w:ascii="宋体" w:hAnsi="宋体" w:eastAsia="宋体" w:cs="宋体"/>
          <w:color w:val="auto"/>
          <w:highlight w:val="none"/>
        </w:rPr>
        <w:t>（签字）                                     （签字）</w:t>
      </w:r>
    </w:p>
    <w:p w14:paraId="720BFB54">
      <w:pPr>
        <w:spacing w:line="360" w:lineRule="auto"/>
        <w:rPr>
          <w:rFonts w:ascii="宋体" w:hAnsi="宋体" w:eastAsia="宋体" w:cs="宋体"/>
          <w:color w:val="auto"/>
          <w:highlight w:val="none"/>
          <w:u w:val="single"/>
        </w:rPr>
      </w:pPr>
    </w:p>
    <w:p w14:paraId="50B5AEB7">
      <w:pPr>
        <w:tabs>
          <w:tab w:val="left" w:pos="4410"/>
        </w:tabs>
        <w:spacing w:line="360" w:lineRule="auto"/>
        <w:rPr>
          <w:rFonts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统一社会信用代码：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4FC7D37">
      <w:pPr>
        <w:spacing w:line="360" w:lineRule="auto"/>
        <w:rPr>
          <w:rFonts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455CA5E9">
      <w:pPr>
        <w:spacing w:line="360" w:lineRule="auto"/>
        <w:rPr>
          <w:rFonts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0E55A9F3">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u w:val="single"/>
        </w:rPr>
        <w:t xml:space="preserve">                        </w:t>
      </w:r>
    </w:p>
    <w:p w14:paraId="07657BA4">
      <w:pPr>
        <w:spacing w:line="360" w:lineRule="auto"/>
        <w:rPr>
          <w:rFonts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w:t>
      </w:r>
      <w:r>
        <w:rPr>
          <w:rFonts w:hint="eastAsia" w:ascii="宋体" w:hAnsi="宋体" w:eastAsia="宋体" w:cs="宋体"/>
          <w:color w:val="auto"/>
          <w:highlight w:val="none"/>
          <w:u w:val="single"/>
        </w:rPr>
        <w:t xml:space="preserve">                         </w:t>
      </w:r>
    </w:p>
    <w:p w14:paraId="5B44E412">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xml:space="preserve">                            </w:t>
      </w:r>
    </w:p>
    <w:p w14:paraId="7CEE67CB">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xml:space="preserve">                             </w:t>
      </w:r>
    </w:p>
    <w:p w14:paraId="6110CE1B">
      <w:pPr>
        <w:spacing w:line="360" w:lineRule="auto"/>
        <w:rPr>
          <w:rFonts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电子信箱：</w:t>
      </w:r>
      <w:r>
        <w:rPr>
          <w:rFonts w:hint="eastAsia" w:ascii="宋体" w:hAnsi="宋体" w:eastAsia="宋体" w:cs="宋体"/>
          <w:color w:val="auto"/>
          <w:highlight w:val="none"/>
          <w:u w:val="single"/>
        </w:rPr>
        <w:t xml:space="preserve">                         </w:t>
      </w:r>
    </w:p>
    <w:p w14:paraId="5CBFC948">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4499C970">
      <w:pPr>
        <w:rPr>
          <w:rFonts w:ascii="宋体" w:hAnsi="宋体" w:eastAsia="宋体" w:cs="宋体"/>
          <w:color w:val="auto"/>
          <w:highlight w:val="none"/>
          <w:u w:val="singl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xml:space="preserve">                           </w:t>
      </w:r>
    </w:p>
    <w:p w14:paraId="5AD1B84F">
      <w:pPr>
        <w:widowControl/>
        <w:jc w:val="left"/>
        <w:rPr>
          <w:rFonts w:ascii="宋体" w:hAnsi="宋体" w:eastAsia="宋体" w:cs="宋体"/>
          <w:color w:val="auto"/>
          <w:highlight w:val="none"/>
          <w:u w:val="single"/>
        </w:rPr>
      </w:pPr>
      <w:r>
        <w:rPr>
          <w:rFonts w:hint="eastAsia" w:ascii="宋体" w:hAnsi="宋体" w:eastAsia="宋体" w:cs="宋体"/>
          <w:color w:val="auto"/>
          <w:highlight w:val="none"/>
        </w:rPr>
        <w:br w:type="page"/>
      </w:r>
    </w:p>
    <w:p w14:paraId="3A989ABF">
      <w:pPr>
        <w:pStyle w:val="3"/>
        <w:jc w:val="center"/>
        <w:rPr>
          <w:rFonts w:ascii="宋体" w:hAnsi="宋体" w:eastAsia="宋体" w:cs="宋体"/>
          <w:b w:val="0"/>
          <w:color w:val="auto"/>
          <w:sz w:val="28"/>
          <w:szCs w:val="28"/>
          <w:highlight w:val="none"/>
        </w:rPr>
      </w:pPr>
      <w:bookmarkStart w:id="105" w:name="_Toc12609347"/>
      <w:bookmarkStart w:id="106" w:name="_Toc389065256"/>
      <w:bookmarkStart w:id="107" w:name="_Toc407135192"/>
      <w:bookmarkStart w:id="108" w:name="_Toc373227691"/>
      <w:bookmarkStart w:id="109" w:name="_Toc351203632"/>
      <w:bookmarkStart w:id="110" w:name="_Toc373478338"/>
      <w:r>
        <w:rPr>
          <w:rFonts w:hint="eastAsia" w:ascii="宋体" w:hAnsi="宋体" w:eastAsia="宋体" w:cs="宋体"/>
          <w:b w:val="0"/>
          <w:color w:val="auto"/>
          <w:sz w:val="28"/>
          <w:szCs w:val="28"/>
          <w:highlight w:val="none"/>
        </w:rPr>
        <w:t>第二部分 通用合同条款</w:t>
      </w:r>
      <w:bookmarkEnd w:id="105"/>
      <w:bookmarkEnd w:id="106"/>
      <w:bookmarkEnd w:id="107"/>
    </w:p>
    <w:p w14:paraId="0B756862">
      <w:pPr>
        <w:jc w:val="center"/>
        <w:rPr>
          <w:rFonts w:ascii="宋体" w:hAnsi="宋体" w:eastAsia="宋体" w:cs="宋体"/>
          <w:b/>
          <w:color w:val="auto"/>
          <w:sz w:val="28"/>
          <w:szCs w:val="28"/>
          <w:highlight w:val="none"/>
        </w:rPr>
      </w:pPr>
      <w:bookmarkStart w:id="111" w:name="_Toc12609348"/>
      <w:bookmarkStart w:id="112" w:name="_Toc407135193"/>
      <w:bookmarkStart w:id="113" w:name="_Toc389065257"/>
    </w:p>
    <w:p w14:paraId="323226A8">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采用《建设工程施工合同（示范文本）》（GF—2017—0201）。</w:t>
      </w:r>
    </w:p>
    <w:p w14:paraId="4901D791">
      <w:pPr>
        <w:pStyle w:val="3"/>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End w:id="81"/>
      <w:bookmarkEnd w:id="108"/>
      <w:bookmarkEnd w:id="109"/>
      <w:bookmarkEnd w:id="110"/>
      <w:bookmarkEnd w:id="111"/>
      <w:bookmarkEnd w:id="112"/>
      <w:bookmarkEnd w:id="113"/>
      <w:bookmarkStart w:id="114" w:name="_Toc1204138598"/>
      <w:bookmarkStart w:id="115" w:name="_Toc704444909"/>
      <w:bookmarkStart w:id="116" w:name="_Toc78449779"/>
      <w:bookmarkStart w:id="117" w:name="_Toc351203633"/>
      <w:bookmarkStart w:id="118" w:name="_Toc373478339"/>
      <w:bookmarkStart w:id="119" w:name="_Toc1013968286"/>
      <w:bookmarkStart w:id="120" w:name="_Toc407135194"/>
      <w:bookmarkStart w:id="121" w:name="_Toc1516097295"/>
      <w:bookmarkStart w:id="122" w:name="_Toc389065258"/>
      <w:bookmarkStart w:id="123" w:name="_Toc78449780"/>
      <w:bookmarkStart w:id="124" w:name="_Toc373227692"/>
      <w:r>
        <w:rPr>
          <w:rFonts w:hint="eastAsia" w:ascii="宋体" w:hAnsi="宋体" w:eastAsia="宋体" w:cs="宋体"/>
          <w:b w:val="0"/>
          <w:color w:val="auto"/>
          <w:sz w:val="28"/>
          <w:szCs w:val="28"/>
          <w:highlight w:val="none"/>
        </w:rPr>
        <w:t>第三部分 专用合同条款</w:t>
      </w:r>
      <w:bookmarkEnd w:id="114"/>
      <w:bookmarkEnd w:id="115"/>
      <w:bookmarkEnd w:id="116"/>
    </w:p>
    <w:bookmarkEnd w:id="117"/>
    <w:bookmarkEnd w:id="118"/>
    <w:bookmarkEnd w:id="119"/>
    <w:bookmarkEnd w:id="120"/>
    <w:bookmarkEnd w:id="121"/>
    <w:bookmarkEnd w:id="122"/>
    <w:bookmarkEnd w:id="123"/>
    <w:bookmarkEnd w:id="124"/>
    <w:p w14:paraId="66B7BC07">
      <w:pPr>
        <w:pStyle w:val="3"/>
        <w:spacing w:before="0" w:after="0" w:line="420" w:lineRule="exact"/>
        <w:rPr>
          <w:rFonts w:ascii="宋体" w:hAnsi="宋体" w:eastAsia="宋体" w:cs="宋体"/>
          <w:color w:val="auto"/>
          <w:sz w:val="24"/>
          <w:szCs w:val="24"/>
          <w:highlight w:val="none"/>
        </w:rPr>
      </w:pPr>
      <w:bookmarkStart w:id="125" w:name="_Toc12609349"/>
      <w:bookmarkStart w:id="126" w:name="_Toc267251511"/>
      <w:bookmarkStart w:id="127" w:name="_Toc267251513"/>
      <w:bookmarkStart w:id="128" w:name="_Toc267251515"/>
      <w:bookmarkStart w:id="129" w:name="_Toc267251509"/>
      <w:bookmarkStart w:id="130" w:name="_Toc267251514"/>
      <w:bookmarkStart w:id="131" w:name="_Toc267251510"/>
      <w:r>
        <w:rPr>
          <w:rFonts w:hint="eastAsia" w:ascii="宋体" w:hAnsi="宋体" w:eastAsia="宋体" w:cs="宋体"/>
          <w:color w:val="auto"/>
          <w:sz w:val="24"/>
          <w:szCs w:val="24"/>
          <w:highlight w:val="none"/>
        </w:rPr>
        <w:t>1</w:t>
      </w:r>
      <w:bookmarkStart w:id="132" w:name="_Toc296890984"/>
      <w:bookmarkStart w:id="133" w:name="_Toc292559866"/>
      <w:bookmarkStart w:id="134" w:name="_Toc296503156"/>
      <w:bookmarkStart w:id="135" w:name="_Toc292559361"/>
      <w:bookmarkStart w:id="136" w:name="_Toc297048342"/>
      <w:bookmarkStart w:id="137" w:name="_Toc296944495"/>
      <w:bookmarkStart w:id="138" w:name="_Toc296891196"/>
      <w:bookmarkStart w:id="139" w:name="_Toc297120456"/>
      <w:bookmarkStart w:id="140" w:name="_Toc296346657"/>
      <w:bookmarkStart w:id="141" w:name="_Toc296347155"/>
      <w:r>
        <w:rPr>
          <w:rFonts w:hint="eastAsia" w:ascii="宋体" w:hAnsi="宋体" w:eastAsia="宋体" w:cs="宋体"/>
          <w:color w:val="auto"/>
          <w:sz w:val="24"/>
          <w:szCs w:val="24"/>
          <w:highlight w:val="none"/>
        </w:rPr>
        <w:t>. 一般约定</w:t>
      </w:r>
      <w:bookmarkEnd w:id="125"/>
    </w:p>
    <w:bookmarkEnd w:id="132"/>
    <w:bookmarkEnd w:id="133"/>
    <w:bookmarkEnd w:id="134"/>
    <w:bookmarkEnd w:id="135"/>
    <w:bookmarkEnd w:id="136"/>
    <w:bookmarkEnd w:id="137"/>
    <w:bookmarkEnd w:id="138"/>
    <w:bookmarkEnd w:id="139"/>
    <w:bookmarkEnd w:id="140"/>
    <w:bookmarkEnd w:id="141"/>
    <w:p w14:paraId="31B53707">
      <w:pPr>
        <w:pStyle w:val="4"/>
        <w:spacing w:before="0" w:after="0" w:line="420" w:lineRule="exact"/>
        <w:rPr>
          <w:rFonts w:ascii="宋体" w:hAnsi="宋体" w:eastAsia="宋体" w:cs="宋体"/>
          <w:color w:val="auto"/>
          <w:sz w:val="24"/>
          <w:szCs w:val="24"/>
          <w:highlight w:val="none"/>
        </w:rPr>
      </w:pPr>
      <w:bookmarkStart w:id="142" w:name="_Toc407135195"/>
      <w:bookmarkStart w:id="143" w:name="_Toc373227693"/>
      <w:bookmarkStart w:id="144" w:name="_Toc373478340"/>
      <w:bookmarkStart w:id="145" w:name="_Toc12609350"/>
      <w:bookmarkStart w:id="146" w:name="_Toc389065259"/>
      <w:r>
        <w:rPr>
          <w:rFonts w:hint="eastAsia" w:ascii="宋体" w:hAnsi="宋体" w:eastAsia="宋体" w:cs="宋体"/>
          <w:color w:val="auto"/>
          <w:sz w:val="24"/>
          <w:szCs w:val="24"/>
          <w:highlight w:val="none"/>
        </w:rPr>
        <w:t>1.1 词语定义</w:t>
      </w:r>
      <w:bookmarkEnd w:id="142"/>
      <w:bookmarkEnd w:id="143"/>
      <w:bookmarkEnd w:id="144"/>
      <w:bookmarkEnd w:id="145"/>
      <w:bookmarkEnd w:id="146"/>
    </w:p>
    <w:p w14:paraId="100CE342">
      <w:pPr>
        <w:spacing w:line="420" w:lineRule="exact"/>
        <w:ind w:firstLine="480" w:firstLineChars="200"/>
        <w:outlineLvl w:val="3"/>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 合同</w:t>
      </w:r>
    </w:p>
    <w:p w14:paraId="59771B0A">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其他合同文件包括：</w:t>
      </w:r>
      <w:r>
        <w:rPr>
          <w:rStyle w:val="346"/>
          <w:rFonts w:hint="eastAsia" w:ascii="宋体" w:hAnsi="宋体" w:eastAsia="宋体" w:cs="宋体"/>
          <w:color w:val="auto"/>
          <w:kern w:val="0"/>
          <w:sz w:val="24"/>
          <w:highlight w:val="none"/>
          <w:u w:val="single"/>
        </w:rPr>
        <w:t>在合同订立后及</w:t>
      </w:r>
      <w:r>
        <w:rPr>
          <w:rStyle w:val="346"/>
          <w:rFonts w:hint="eastAsia" w:ascii="宋体" w:hAnsi="宋体" w:eastAsia="宋体" w:cs="宋体"/>
          <w:color w:val="auto"/>
          <w:sz w:val="24"/>
          <w:highlight w:val="none"/>
          <w:u w:val="single"/>
        </w:rPr>
        <w:t>履行中，发包人、承包人有关工程的洽商、变更等书面协议或文件视为合同的组成部分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9553416">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1.1.2 合同当事人及其他相关方</w:t>
      </w:r>
    </w:p>
    <w:p w14:paraId="64BC0795">
      <w:pPr>
        <w:spacing w:line="420" w:lineRule="exact"/>
        <w:ind w:firstLine="480" w:firstLineChars="200"/>
        <w:outlineLvl w:val="4"/>
        <w:rPr>
          <w:rFonts w:ascii="宋体" w:hAnsi="宋体" w:eastAsia="宋体" w:cs="宋体"/>
          <w:color w:val="auto"/>
          <w:sz w:val="24"/>
          <w:highlight w:val="none"/>
        </w:rPr>
      </w:pPr>
      <w:r>
        <w:rPr>
          <w:rFonts w:hint="eastAsia" w:ascii="宋体" w:hAnsi="宋体" w:eastAsia="宋体" w:cs="宋体"/>
          <w:color w:val="auto"/>
          <w:sz w:val="24"/>
          <w:highlight w:val="none"/>
        </w:rPr>
        <w:t>1.1.2.4 监理人：</w:t>
      </w:r>
    </w:p>
    <w:p w14:paraId="1C7BC5EF">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651D64">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9256EA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13CB85">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73A400">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67896A">
      <w:pPr>
        <w:spacing w:line="420" w:lineRule="exact"/>
        <w:ind w:firstLine="480" w:firstLineChars="200"/>
        <w:outlineLvl w:val="4"/>
        <w:rPr>
          <w:rFonts w:ascii="宋体" w:hAnsi="宋体" w:eastAsia="宋体" w:cs="宋体"/>
          <w:color w:val="auto"/>
          <w:sz w:val="24"/>
          <w:highlight w:val="none"/>
        </w:rPr>
      </w:pPr>
      <w:r>
        <w:rPr>
          <w:rFonts w:hint="eastAsia" w:ascii="宋体" w:hAnsi="宋体" w:eastAsia="宋体" w:cs="宋体"/>
          <w:color w:val="auto"/>
          <w:sz w:val="24"/>
          <w:highlight w:val="none"/>
        </w:rPr>
        <w:t>1.1.2.5 设计人：</w:t>
      </w:r>
    </w:p>
    <w:p w14:paraId="600F7342">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C59D51">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资质类别和等级：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310D4E">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FD86438">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B898DF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718EDFE">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1.1.3 工程和设备</w:t>
      </w:r>
    </w:p>
    <w:p w14:paraId="626EDCE6">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1.1.3.7 作为施工现场组成部分的其他场所包括：</w:t>
      </w:r>
      <w:r>
        <w:rPr>
          <w:rFonts w:hint="eastAsia" w:ascii="宋体" w:hAnsi="宋体" w:eastAsia="宋体" w:cs="宋体"/>
          <w:color w:val="auto"/>
          <w:sz w:val="24"/>
          <w:highlight w:val="none"/>
          <w:u w:val="single"/>
        </w:rPr>
        <w:t xml:space="preserve">符合通用条款规定的发包方提供的施工场地  </w:t>
      </w:r>
      <w:r>
        <w:rPr>
          <w:rFonts w:hint="eastAsia" w:ascii="宋体" w:hAnsi="宋体" w:eastAsia="宋体" w:cs="宋体"/>
          <w:color w:val="auto"/>
          <w:sz w:val="24"/>
          <w:highlight w:val="none"/>
        </w:rPr>
        <w:t>。</w:t>
      </w:r>
    </w:p>
    <w:p w14:paraId="521D432A">
      <w:pPr>
        <w:spacing w:line="42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永久占地包括：</w:t>
      </w:r>
      <w:r>
        <w:rPr>
          <w:rFonts w:hint="eastAsia" w:ascii="宋体" w:hAnsi="宋体" w:eastAsia="宋体" w:cs="宋体"/>
          <w:color w:val="auto"/>
          <w:kern w:val="0"/>
          <w:sz w:val="24"/>
          <w:highlight w:val="none"/>
          <w:u w:val="single"/>
        </w:rPr>
        <w:t>采购</w:t>
      </w:r>
      <w:r>
        <w:rPr>
          <w:rFonts w:hint="eastAsia" w:ascii="宋体" w:hAnsi="宋体" w:eastAsia="宋体" w:cs="宋体"/>
          <w:color w:val="auto"/>
          <w:sz w:val="24"/>
          <w:highlight w:val="none"/>
          <w:u w:val="single"/>
        </w:rPr>
        <w:t xml:space="preserve">文件和施工图包含的全部工程内容 </w:t>
      </w:r>
      <w:r>
        <w:rPr>
          <w:rFonts w:hint="eastAsia" w:ascii="宋体" w:hAnsi="宋体" w:eastAsia="宋体" w:cs="宋体"/>
          <w:color w:val="auto"/>
          <w:kern w:val="0"/>
          <w:sz w:val="24"/>
          <w:highlight w:val="none"/>
        </w:rPr>
        <w:t>。</w:t>
      </w:r>
    </w:p>
    <w:p w14:paraId="47A67368">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1.1.3.10 临时占地包括：</w:t>
      </w:r>
      <w:r>
        <w:rPr>
          <w:rFonts w:hint="eastAsia" w:ascii="宋体" w:hAnsi="宋体" w:eastAsia="宋体" w:cs="宋体"/>
          <w:color w:val="auto"/>
          <w:kern w:val="0"/>
          <w:sz w:val="24"/>
          <w:highlight w:val="none"/>
          <w:u w:val="single"/>
        </w:rPr>
        <w:t>采购</w:t>
      </w:r>
      <w:r>
        <w:rPr>
          <w:rFonts w:hint="eastAsia" w:ascii="宋体" w:hAnsi="宋体" w:eastAsia="宋体" w:cs="宋体"/>
          <w:color w:val="auto"/>
          <w:sz w:val="24"/>
          <w:highlight w:val="none"/>
          <w:u w:val="single"/>
        </w:rPr>
        <w:t xml:space="preserve">文件和施工图包含的全部工程内容 </w:t>
      </w:r>
      <w:r>
        <w:rPr>
          <w:rFonts w:hint="eastAsia" w:ascii="宋体" w:hAnsi="宋体" w:eastAsia="宋体" w:cs="宋体"/>
          <w:color w:val="auto"/>
          <w:kern w:val="0"/>
          <w:sz w:val="24"/>
          <w:highlight w:val="none"/>
        </w:rPr>
        <w:t>。</w:t>
      </w:r>
    </w:p>
    <w:p w14:paraId="57A62BC1">
      <w:pPr>
        <w:pStyle w:val="4"/>
        <w:spacing w:before="0" w:after="0" w:line="420" w:lineRule="exact"/>
        <w:rPr>
          <w:rFonts w:ascii="宋体" w:hAnsi="宋体" w:eastAsia="宋体" w:cs="宋体"/>
          <w:color w:val="auto"/>
          <w:sz w:val="24"/>
          <w:szCs w:val="24"/>
          <w:highlight w:val="none"/>
        </w:rPr>
      </w:pPr>
      <w:bookmarkStart w:id="147" w:name="_Toc407135196"/>
      <w:bookmarkStart w:id="148" w:name="_Toc12609351"/>
      <w:bookmarkStart w:id="149" w:name="_Toc389065260"/>
      <w:bookmarkStart w:id="150" w:name="_Toc373478341"/>
      <w:bookmarkStart w:id="151" w:name="_Toc373227694"/>
      <w:r>
        <w:rPr>
          <w:rFonts w:hint="eastAsia" w:ascii="宋体" w:hAnsi="宋体" w:eastAsia="宋体" w:cs="宋体"/>
          <w:color w:val="auto"/>
          <w:sz w:val="24"/>
          <w:szCs w:val="24"/>
          <w:highlight w:val="none"/>
        </w:rPr>
        <w:t>1.3 法律</w:t>
      </w:r>
      <w:bookmarkEnd w:id="147"/>
      <w:bookmarkEnd w:id="148"/>
      <w:bookmarkEnd w:id="149"/>
      <w:bookmarkEnd w:id="150"/>
      <w:bookmarkEnd w:id="151"/>
    </w:p>
    <w:p w14:paraId="1CE97630">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适用于合同的其他规范性文件：</w:t>
      </w:r>
      <w:r>
        <w:rPr>
          <w:rStyle w:val="346"/>
          <w:rFonts w:hint="eastAsia" w:ascii="宋体" w:hAnsi="宋体" w:eastAsia="宋体" w:cs="宋体"/>
          <w:color w:val="auto"/>
          <w:sz w:val="24"/>
          <w:highlight w:val="none"/>
          <w:u w:val="single"/>
        </w:rPr>
        <w:t>《中华人民共和国民法典》、《中华人民共和国建筑法》及现行的国家法律和行政法规和部门规章，工程所在地的有关法规和规章及规范性文件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367D891">
      <w:pPr>
        <w:pStyle w:val="4"/>
        <w:spacing w:before="0" w:after="0" w:line="420" w:lineRule="exact"/>
        <w:rPr>
          <w:rFonts w:ascii="宋体" w:hAnsi="宋体" w:eastAsia="宋体" w:cs="宋体"/>
          <w:color w:val="auto"/>
          <w:sz w:val="24"/>
          <w:szCs w:val="24"/>
          <w:highlight w:val="none"/>
        </w:rPr>
      </w:pPr>
      <w:bookmarkStart w:id="152" w:name="_Toc407135197"/>
      <w:bookmarkStart w:id="153" w:name="_Toc389065261"/>
      <w:bookmarkStart w:id="154" w:name="_Toc373227695"/>
      <w:bookmarkStart w:id="155" w:name="_Toc12609352"/>
      <w:bookmarkStart w:id="156" w:name="_Toc373478342"/>
      <w:r>
        <w:rPr>
          <w:rFonts w:hint="eastAsia" w:ascii="宋体" w:hAnsi="宋体" w:eastAsia="宋体" w:cs="宋体"/>
          <w:color w:val="auto"/>
          <w:sz w:val="24"/>
          <w:szCs w:val="24"/>
          <w:highlight w:val="none"/>
        </w:rPr>
        <w:t>1.4 标准和规范</w:t>
      </w:r>
      <w:bookmarkEnd w:id="152"/>
      <w:bookmarkEnd w:id="153"/>
      <w:bookmarkEnd w:id="154"/>
      <w:bookmarkEnd w:id="155"/>
      <w:bookmarkEnd w:id="156"/>
    </w:p>
    <w:p w14:paraId="01EC174F">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1.4.1 适用于工程的标准规范包括：</w:t>
      </w:r>
      <w:r>
        <w:rPr>
          <w:rFonts w:hint="eastAsia" w:ascii="宋体" w:hAnsi="宋体" w:eastAsia="宋体" w:cs="宋体"/>
          <w:color w:val="auto"/>
          <w:sz w:val="24"/>
          <w:highlight w:val="none"/>
          <w:u w:val="single"/>
        </w:rPr>
        <w:t xml:space="preserve"> </w:t>
      </w:r>
      <w:r>
        <w:rPr>
          <w:rStyle w:val="346"/>
          <w:rFonts w:hint="eastAsia" w:ascii="宋体" w:hAnsi="宋体" w:eastAsia="宋体" w:cs="宋体"/>
          <w:b/>
          <w:bCs/>
          <w:color w:val="auto"/>
          <w:sz w:val="24"/>
          <w:highlight w:val="none"/>
          <w:u w:val="single"/>
        </w:rPr>
        <w:t xml:space="preserve">执行国家、行业和地方颁布的所有现行建筑工程及相关现行工程验收规范、质量检验评定标准 </w:t>
      </w:r>
      <w:r>
        <w:rPr>
          <w:rStyle w:val="346"/>
          <w:rFonts w:hint="eastAsia" w:ascii="宋体" w:hAnsi="宋体" w:eastAsia="宋体" w:cs="宋体"/>
          <w:color w:val="auto"/>
          <w:sz w:val="24"/>
          <w:highlight w:val="none"/>
        </w:rPr>
        <w:t>；</w:t>
      </w:r>
      <w:r>
        <w:rPr>
          <w:rStyle w:val="346"/>
          <w:rFonts w:hint="eastAsia" w:ascii="宋体" w:hAnsi="宋体" w:eastAsia="宋体" w:cs="宋体"/>
          <w:b/>
          <w:bCs/>
          <w:color w:val="auto"/>
          <w:sz w:val="24"/>
          <w:highlight w:val="none"/>
          <w:u w:val="single"/>
        </w:rPr>
        <w:t>若上述标准和规范作出修改时，则以修订后的新标准和规范为准，有冲突的则以比较严格的为准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946E300">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发包人提供国外标准、规范的名称：</w:t>
      </w:r>
      <w:r>
        <w:rPr>
          <w:rFonts w:hint="eastAsia" w:ascii="宋体" w:hAnsi="宋体" w:eastAsia="宋体" w:cs="宋体"/>
          <w:color w:val="auto"/>
          <w:kern w:val="0"/>
          <w:sz w:val="24"/>
          <w:highlight w:val="none"/>
          <w:u w:val="single"/>
        </w:rPr>
        <w:t xml:space="preserve">   无         </w:t>
      </w:r>
      <w:r>
        <w:rPr>
          <w:rFonts w:hint="eastAsia" w:ascii="宋体" w:hAnsi="宋体" w:eastAsia="宋体" w:cs="宋体"/>
          <w:color w:val="auto"/>
          <w:kern w:val="0"/>
          <w:sz w:val="24"/>
          <w:highlight w:val="none"/>
        </w:rPr>
        <w:t>；</w:t>
      </w:r>
    </w:p>
    <w:p w14:paraId="0F7F64C7">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发包人提供国外标准、规范的份数：</w:t>
      </w:r>
      <w:r>
        <w:rPr>
          <w:rFonts w:hint="eastAsia" w:ascii="宋体" w:hAnsi="宋体" w:eastAsia="宋体" w:cs="宋体"/>
          <w:color w:val="auto"/>
          <w:kern w:val="0"/>
          <w:sz w:val="24"/>
          <w:highlight w:val="none"/>
          <w:u w:val="single"/>
        </w:rPr>
        <w:t xml:space="preserve">    无        </w:t>
      </w:r>
      <w:r>
        <w:rPr>
          <w:rFonts w:hint="eastAsia" w:ascii="宋体" w:hAnsi="宋体" w:eastAsia="宋体" w:cs="宋体"/>
          <w:color w:val="auto"/>
          <w:kern w:val="0"/>
          <w:sz w:val="24"/>
          <w:highlight w:val="none"/>
        </w:rPr>
        <w:t>；</w:t>
      </w:r>
    </w:p>
    <w:p w14:paraId="2549CE62">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发包人提供国外标准、规范的名称：</w:t>
      </w:r>
      <w:r>
        <w:rPr>
          <w:rFonts w:hint="eastAsia" w:ascii="宋体" w:hAnsi="宋体" w:eastAsia="宋体" w:cs="宋体"/>
          <w:color w:val="auto"/>
          <w:kern w:val="0"/>
          <w:sz w:val="24"/>
          <w:highlight w:val="none"/>
          <w:u w:val="single"/>
        </w:rPr>
        <w:t xml:space="preserve">   无        </w:t>
      </w:r>
      <w:r>
        <w:rPr>
          <w:rFonts w:hint="eastAsia" w:ascii="宋体" w:hAnsi="宋体" w:eastAsia="宋体" w:cs="宋体"/>
          <w:color w:val="auto"/>
          <w:kern w:val="0"/>
          <w:sz w:val="24"/>
          <w:highlight w:val="none"/>
        </w:rPr>
        <w:t>。</w:t>
      </w:r>
    </w:p>
    <w:p w14:paraId="1B7F3FE6">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1.4.3 发包人对工程的技术标准和功能要求的特殊要求：</w:t>
      </w:r>
      <w:r>
        <w:rPr>
          <w:rFonts w:hint="eastAsia" w:ascii="宋体" w:hAnsi="宋体" w:eastAsia="宋体" w:cs="宋体"/>
          <w:color w:val="auto"/>
          <w:kern w:val="0"/>
          <w:sz w:val="24"/>
          <w:highlight w:val="none"/>
          <w:u w:val="single"/>
        </w:rPr>
        <w:t xml:space="preserve">  无    </w:t>
      </w:r>
      <w:r>
        <w:rPr>
          <w:rFonts w:hint="eastAsia" w:ascii="宋体" w:hAnsi="宋体" w:eastAsia="宋体" w:cs="宋体"/>
          <w:color w:val="auto"/>
          <w:kern w:val="0"/>
          <w:sz w:val="24"/>
          <w:highlight w:val="none"/>
        </w:rPr>
        <w:t>。</w:t>
      </w:r>
    </w:p>
    <w:p w14:paraId="7BC31A2A">
      <w:pPr>
        <w:pStyle w:val="4"/>
        <w:spacing w:before="0" w:after="0" w:line="420" w:lineRule="exact"/>
        <w:rPr>
          <w:rFonts w:ascii="宋体" w:hAnsi="宋体" w:eastAsia="宋体" w:cs="宋体"/>
          <w:color w:val="auto"/>
          <w:sz w:val="24"/>
          <w:szCs w:val="24"/>
          <w:highlight w:val="none"/>
        </w:rPr>
      </w:pPr>
      <w:bookmarkStart w:id="157" w:name="_Toc373227696"/>
      <w:bookmarkStart w:id="158" w:name="_Toc12609353"/>
      <w:bookmarkStart w:id="159" w:name="_Toc389065262"/>
      <w:bookmarkStart w:id="160" w:name="_Toc373478343"/>
      <w:bookmarkStart w:id="161" w:name="_Toc407135198"/>
      <w:r>
        <w:rPr>
          <w:rFonts w:hint="eastAsia" w:ascii="宋体" w:hAnsi="宋体" w:eastAsia="宋体" w:cs="宋体"/>
          <w:color w:val="auto"/>
          <w:sz w:val="24"/>
          <w:szCs w:val="24"/>
          <w:highlight w:val="none"/>
        </w:rPr>
        <w:t>1.5 合同文件的优先顺序</w:t>
      </w:r>
      <w:bookmarkEnd w:id="157"/>
      <w:bookmarkEnd w:id="158"/>
      <w:bookmarkEnd w:id="159"/>
      <w:bookmarkEnd w:id="160"/>
      <w:bookmarkEnd w:id="161"/>
    </w:p>
    <w:p w14:paraId="06CFC5A2">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合同文件组成及优先顺序为：</w:t>
      </w:r>
    </w:p>
    <w:p w14:paraId="6BDD7B71">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2AD5829B">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（2）成交通知书；</w:t>
      </w:r>
    </w:p>
    <w:p w14:paraId="5C004528">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（3）响应函；</w:t>
      </w:r>
    </w:p>
    <w:p w14:paraId="1169E900">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（4）专用合同条款及其附件；</w:t>
      </w:r>
    </w:p>
    <w:p w14:paraId="271C53D5">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04C8DA04">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Style w:val="346"/>
          <w:rFonts w:hint="eastAsia" w:ascii="宋体" w:hAnsi="宋体" w:eastAsia="宋体" w:cs="宋体"/>
          <w:color w:val="auto"/>
          <w:kern w:val="0"/>
          <w:sz w:val="24"/>
          <w:highlight w:val="none"/>
        </w:rPr>
        <w:t>技术标准和要求</w:t>
      </w:r>
      <w:r>
        <w:rPr>
          <w:rFonts w:hint="eastAsia" w:ascii="宋体" w:hAnsi="宋体" w:eastAsia="宋体" w:cs="宋体"/>
          <w:color w:val="auto"/>
          <w:sz w:val="24"/>
          <w:highlight w:val="none"/>
        </w:rPr>
        <w:t>；</w:t>
      </w:r>
    </w:p>
    <w:p w14:paraId="28607172">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eastAsia="宋体" w:cs="宋体"/>
          <w:color w:val="auto"/>
          <w:sz w:val="24"/>
          <w:highlight w:val="none"/>
        </w:rPr>
        <w:t>图纸；</w:t>
      </w:r>
    </w:p>
    <w:p w14:paraId="16ECD96A">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w:t>
      </w:r>
      <w:r>
        <w:rPr>
          <w:rFonts w:hint="eastAsia" w:ascii="宋体" w:hAnsi="宋体" w:eastAsia="宋体" w:cs="宋体"/>
          <w:color w:val="auto"/>
          <w:sz w:val="24"/>
          <w:highlight w:val="none"/>
          <w:lang w:val="zh-CN"/>
        </w:rPr>
        <w:t>工程量清单</w:t>
      </w:r>
      <w:r>
        <w:rPr>
          <w:rFonts w:hint="eastAsia" w:ascii="宋体" w:hAnsi="宋体" w:eastAsia="宋体" w:cs="宋体"/>
          <w:color w:val="auto"/>
          <w:sz w:val="24"/>
          <w:highlight w:val="none"/>
        </w:rPr>
        <w:t>；</w:t>
      </w:r>
    </w:p>
    <w:p w14:paraId="175D776D">
      <w:pPr>
        <w:autoSpaceDE w:val="0"/>
        <w:autoSpaceDN w:val="0"/>
        <w:spacing w:line="420" w:lineRule="exact"/>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（9）其他合同文件：</w:t>
      </w:r>
      <w:r>
        <w:rPr>
          <w:rFonts w:hint="eastAsia" w:ascii="宋体" w:hAnsi="宋体" w:eastAsia="宋体" w:cs="宋体"/>
          <w:color w:val="auto"/>
          <w:sz w:val="24"/>
          <w:highlight w:val="none"/>
          <w:u w:val="single"/>
        </w:rPr>
        <w:t xml:space="preserve"> 竞争性谈判文件及相关函件（含所有补充通知、答疑及相关文件）、发包人、承包人双方签署的补充合同、补充协议等  </w:t>
      </w:r>
      <w:r>
        <w:rPr>
          <w:rFonts w:hint="eastAsia" w:ascii="宋体" w:hAnsi="宋体" w:eastAsia="宋体" w:cs="宋体"/>
          <w:color w:val="auto"/>
          <w:sz w:val="24"/>
          <w:highlight w:val="none"/>
        </w:rPr>
        <w:t>。</w:t>
      </w:r>
    </w:p>
    <w:p w14:paraId="77BB41BF">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上述各项合同文件包括合同当事人就该项合同文件所作出的补充和修改，属于同一类内容的文件，应以最新签署的为准（违反竞争性谈判文件实质性内容的约定除外）。专用合同条款及其附件须经合同当事人签字或盖章。</w:t>
      </w:r>
    </w:p>
    <w:p w14:paraId="65D64295">
      <w:pPr>
        <w:pStyle w:val="4"/>
        <w:spacing w:before="0" w:after="0" w:line="420" w:lineRule="exact"/>
        <w:rPr>
          <w:rFonts w:ascii="宋体" w:hAnsi="宋体" w:eastAsia="宋体" w:cs="宋体"/>
          <w:color w:val="auto"/>
          <w:sz w:val="24"/>
          <w:szCs w:val="24"/>
          <w:highlight w:val="none"/>
        </w:rPr>
      </w:pPr>
      <w:bookmarkStart w:id="162" w:name="_Toc389065263"/>
      <w:bookmarkStart w:id="163" w:name="_Toc373227697"/>
      <w:bookmarkStart w:id="164" w:name="_Toc373478344"/>
      <w:bookmarkStart w:id="165" w:name="_Toc407135199"/>
      <w:bookmarkStart w:id="166" w:name="_Toc12609354"/>
      <w:r>
        <w:rPr>
          <w:rFonts w:hint="eastAsia" w:ascii="宋体" w:hAnsi="宋体" w:eastAsia="宋体" w:cs="宋体"/>
          <w:color w:val="auto"/>
          <w:sz w:val="24"/>
          <w:szCs w:val="24"/>
          <w:highlight w:val="none"/>
        </w:rPr>
        <w:t>1.6 图纸和承包人文件</w:t>
      </w:r>
      <w:bookmarkEnd w:id="162"/>
      <w:bookmarkEnd w:id="163"/>
      <w:bookmarkEnd w:id="164"/>
      <w:bookmarkEnd w:id="165"/>
      <w:bookmarkEnd w:id="166"/>
      <w:r>
        <w:rPr>
          <w:rFonts w:hint="eastAsia" w:ascii="宋体" w:hAnsi="宋体" w:eastAsia="宋体" w:cs="宋体"/>
          <w:color w:val="auto"/>
          <w:sz w:val="24"/>
          <w:szCs w:val="24"/>
          <w:highlight w:val="none"/>
        </w:rPr>
        <w:tab/>
      </w:r>
    </w:p>
    <w:p w14:paraId="67C53441">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1.6.1 图纸的提供</w:t>
      </w:r>
    </w:p>
    <w:p w14:paraId="1372918F">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发包人向承包人提供图纸的期限：</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开工前5天</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D46DCAA">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发包人向承包人提供图纸的数量：</w:t>
      </w:r>
      <w:r>
        <w:rPr>
          <w:rFonts w:hint="eastAsia" w:ascii="宋体" w:hAnsi="宋体" w:eastAsia="宋体" w:cs="宋体"/>
          <w:color w:val="auto"/>
          <w:sz w:val="24"/>
          <w:highlight w:val="none"/>
          <w:u w:val="single"/>
        </w:rPr>
        <w:t xml:space="preserve"> 1</w:t>
      </w:r>
      <w:r>
        <w:rPr>
          <w:rFonts w:hint="eastAsia" w:ascii="宋体" w:hAnsi="宋体" w:eastAsia="宋体" w:cs="宋体"/>
          <w:color w:val="auto"/>
          <w:sz w:val="24"/>
          <w:highlight w:val="none"/>
        </w:rPr>
        <w:t>套（承包人需要增加图纸套数的，由承包人复制，复制费用由承包人承担）；图纸电子版。</w:t>
      </w:r>
    </w:p>
    <w:p w14:paraId="128C24B3">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发包人向承包人提供图纸的内容：</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kern w:val="0"/>
          <w:sz w:val="24"/>
          <w:highlight w:val="none"/>
          <w:u w:val="single"/>
        </w:rPr>
        <w:t>承包人承包范围内的所有图纸和有关技术资料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568B0AF">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1.6.4 承包人文件</w:t>
      </w:r>
    </w:p>
    <w:p w14:paraId="3C4EF241">
      <w:pPr>
        <w:spacing w:line="420" w:lineRule="exact"/>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需要由承包人提供的文件，包括：</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建设项目竣工验收前，承包人应根据合同工作内容要求，分别整理竣工验收资料（含竣工图），汇总为完整的建设项目竣工资料报发包人（费用由承包人负责）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B088CC">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承包人提供的文件的期限为：</w:t>
      </w:r>
      <w:r>
        <w:rPr>
          <w:rFonts w:hint="eastAsia" w:ascii="宋体" w:hAnsi="宋体" w:eastAsia="宋体" w:cs="宋体"/>
          <w:color w:val="auto"/>
          <w:sz w:val="24"/>
          <w:highlight w:val="none"/>
          <w:u w:val="single"/>
        </w:rPr>
        <w:t xml:space="preserve"> 确定需要提供文件内容的7日内  </w:t>
      </w:r>
      <w:r>
        <w:rPr>
          <w:rFonts w:hint="eastAsia" w:ascii="宋体" w:hAnsi="宋体" w:eastAsia="宋体" w:cs="宋体"/>
          <w:color w:val="auto"/>
          <w:sz w:val="24"/>
          <w:highlight w:val="none"/>
        </w:rPr>
        <w:t>；</w:t>
      </w:r>
    </w:p>
    <w:p w14:paraId="7E7CC423">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承包人提供的文件的数量为：</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提供竣工图的数量为陆套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37D5E3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承包人提供的文件的形式为：</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书面送达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9516D0">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发包人审批承包人文件的期限：</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收到承包人报送的相关文件之日起7日内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98FC6F">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1.6.5 现场图纸准备</w:t>
      </w:r>
    </w:p>
    <w:p w14:paraId="5519041E">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关于现场图纸准备的约定：</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承包人应在施工现场保留一套完整的施工图纸，供工程师及有关人员进行工程检查时使用，未经发包人同意不许将图纸泄露和转让给第三方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BFCBEA">
      <w:pPr>
        <w:pStyle w:val="4"/>
        <w:spacing w:before="0" w:after="0" w:line="420" w:lineRule="exact"/>
        <w:rPr>
          <w:rFonts w:ascii="宋体" w:hAnsi="宋体" w:eastAsia="宋体" w:cs="宋体"/>
          <w:color w:val="auto"/>
          <w:sz w:val="24"/>
          <w:szCs w:val="24"/>
          <w:highlight w:val="none"/>
        </w:rPr>
      </w:pPr>
      <w:bookmarkStart w:id="167" w:name="_Toc373478345"/>
      <w:bookmarkStart w:id="168" w:name="_Toc12609355"/>
      <w:bookmarkStart w:id="169" w:name="_Toc389065264"/>
      <w:bookmarkStart w:id="170" w:name="_Toc373227698"/>
      <w:bookmarkStart w:id="171" w:name="_Toc407135200"/>
      <w:r>
        <w:rPr>
          <w:rFonts w:hint="eastAsia" w:ascii="宋体" w:hAnsi="宋体" w:eastAsia="宋体" w:cs="宋体"/>
          <w:color w:val="auto"/>
          <w:sz w:val="24"/>
          <w:szCs w:val="24"/>
          <w:highlight w:val="none"/>
        </w:rPr>
        <w:t>1.7 联络</w:t>
      </w:r>
      <w:bookmarkEnd w:id="167"/>
      <w:bookmarkEnd w:id="168"/>
      <w:bookmarkEnd w:id="169"/>
      <w:bookmarkEnd w:id="170"/>
      <w:bookmarkEnd w:id="171"/>
    </w:p>
    <w:p w14:paraId="47FEA1C1">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1.7.1发包人和承包人应当在</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kern w:val="0"/>
          <w:sz w:val="24"/>
          <w:highlight w:val="none"/>
        </w:rPr>
        <w:t>天内将与合同有关的通知、批准、证明、证书、指示、指令、要求、请求、同意、意见、确定和决定等书面函件送达对方当事人。</w:t>
      </w:r>
    </w:p>
    <w:p w14:paraId="0E904979">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发包人接收文件的地点：</w:t>
      </w:r>
      <w:r>
        <w:rPr>
          <w:rFonts w:hint="eastAsia" w:ascii="宋体" w:hAnsi="宋体" w:eastAsia="宋体" w:cs="宋体"/>
          <w:color w:val="auto"/>
          <w:sz w:val="24"/>
          <w:highlight w:val="none"/>
          <w:u w:val="single"/>
        </w:rPr>
        <w:t xml:space="preserve"> 施工现场发包人办公地点 </w:t>
      </w:r>
      <w:r>
        <w:rPr>
          <w:rFonts w:hint="eastAsia" w:ascii="宋体" w:hAnsi="宋体" w:eastAsia="宋体" w:cs="宋体"/>
          <w:color w:val="auto"/>
          <w:kern w:val="0"/>
          <w:sz w:val="24"/>
          <w:highlight w:val="none"/>
        </w:rPr>
        <w:t>；</w:t>
      </w:r>
    </w:p>
    <w:p w14:paraId="505F710F">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发包人指定的接收人为：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                 （现场业主代表）            </w:t>
      </w:r>
      <w:r>
        <w:rPr>
          <w:rFonts w:hint="eastAsia" w:ascii="宋体" w:hAnsi="宋体" w:eastAsia="宋体" w:cs="宋体"/>
          <w:color w:val="auto"/>
          <w:kern w:val="0"/>
          <w:sz w:val="24"/>
          <w:highlight w:val="none"/>
        </w:rPr>
        <w:t>。</w:t>
      </w:r>
    </w:p>
    <w:p w14:paraId="78813EF0">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承包人接收文件的地点：</w:t>
      </w:r>
      <w:r>
        <w:rPr>
          <w:rFonts w:hint="eastAsia" w:ascii="宋体" w:hAnsi="宋体" w:eastAsia="宋体" w:cs="宋体"/>
          <w:color w:val="auto"/>
          <w:sz w:val="24"/>
          <w:highlight w:val="none"/>
          <w:u w:val="single"/>
        </w:rPr>
        <w:t xml:space="preserve"> 承包人施工现场管理机构的办公地点   </w:t>
      </w:r>
      <w:r>
        <w:rPr>
          <w:rFonts w:hint="eastAsia" w:ascii="宋体" w:hAnsi="宋体" w:eastAsia="宋体" w:cs="宋体"/>
          <w:color w:val="auto"/>
          <w:kern w:val="0"/>
          <w:sz w:val="24"/>
          <w:highlight w:val="none"/>
        </w:rPr>
        <w:t>；</w:t>
      </w:r>
    </w:p>
    <w:p w14:paraId="11586C02">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承包人指定的接收人为：</w:t>
      </w:r>
      <w:r>
        <w:rPr>
          <w:rFonts w:hint="eastAsia" w:ascii="宋体" w:hAnsi="宋体" w:eastAsia="宋体" w:cs="宋体"/>
          <w:color w:val="auto"/>
          <w:sz w:val="24"/>
          <w:highlight w:val="none"/>
          <w:u w:val="single"/>
        </w:rPr>
        <w:t xml:space="preserve"> 承包人指定的接收人为合同协议书载明的承包人项目经理本人或者指定的承包人其他工作人员 </w:t>
      </w:r>
      <w:r>
        <w:rPr>
          <w:rFonts w:hint="eastAsia" w:ascii="宋体" w:hAnsi="宋体" w:eastAsia="宋体" w:cs="宋体"/>
          <w:color w:val="auto"/>
          <w:kern w:val="0"/>
          <w:sz w:val="24"/>
          <w:highlight w:val="none"/>
        </w:rPr>
        <w:t>。</w:t>
      </w:r>
    </w:p>
    <w:p w14:paraId="08345515">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监理人接收文件的地点：</w:t>
      </w:r>
      <w:r>
        <w:rPr>
          <w:rFonts w:hint="eastAsia" w:ascii="宋体" w:hAnsi="宋体" w:eastAsia="宋体" w:cs="宋体"/>
          <w:color w:val="auto"/>
          <w:sz w:val="24"/>
          <w:highlight w:val="none"/>
          <w:u w:val="single"/>
        </w:rPr>
        <w:t xml:space="preserve">  施工现场监理人办公地点  </w:t>
      </w:r>
      <w:r>
        <w:rPr>
          <w:rFonts w:hint="eastAsia" w:ascii="宋体" w:hAnsi="宋体" w:eastAsia="宋体" w:cs="宋体"/>
          <w:color w:val="auto"/>
          <w:kern w:val="0"/>
          <w:sz w:val="24"/>
          <w:highlight w:val="none"/>
        </w:rPr>
        <w:t>；</w:t>
      </w:r>
    </w:p>
    <w:p w14:paraId="5AB0BDA0">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监理人指定的接收人为：</w:t>
      </w:r>
      <w:r>
        <w:rPr>
          <w:rFonts w:hint="eastAsia" w:ascii="宋体" w:hAnsi="宋体" w:eastAsia="宋体" w:cs="宋体"/>
          <w:color w:val="auto"/>
          <w:sz w:val="24"/>
          <w:highlight w:val="none"/>
          <w:u w:val="single"/>
        </w:rPr>
        <w:t xml:space="preserve">  总监理工程师或其指定的授权代表  </w:t>
      </w:r>
      <w:r>
        <w:rPr>
          <w:rFonts w:hint="eastAsia" w:ascii="宋体" w:hAnsi="宋体" w:eastAsia="宋体" w:cs="宋体"/>
          <w:color w:val="auto"/>
          <w:kern w:val="0"/>
          <w:sz w:val="24"/>
          <w:highlight w:val="none"/>
        </w:rPr>
        <w:t>。</w:t>
      </w:r>
    </w:p>
    <w:p w14:paraId="49678967">
      <w:pPr>
        <w:pStyle w:val="4"/>
        <w:spacing w:before="0" w:after="0" w:line="420" w:lineRule="exact"/>
        <w:rPr>
          <w:rFonts w:ascii="宋体" w:hAnsi="宋体" w:eastAsia="宋体" w:cs="宋体"/>
          <w:color w:val="auto"/>
          <w:sz w:val="24"/>
          <w:szCs w:val="24"/>
          <w:highlight w:val="none"/>
        </w:rPr>
      </w:pPr>
      <w:bookmarkStart w:id="172" w:name="_Toc373227699"/>
      <w:bookmarkStart w:id="173" w:name="_Toc389065265"/>
      <w:bookmarkStart w:id="174" w:name="_Toc373478346"/>
      <w:bookmarkStart w:id="175" w:name="_Toc12609356"/>
      <w:bookmarkStart w:id="176" w:name="_Toc407135201"/>
      <w:r>
        <w:rPr>
          <w:rFonts w:hint="eastAsia" w:ascii="宋体" w:hAnsi="宋体" w:eastAsia="宋体" w:cs="宋体"/>
          <w:color w:val="auto"/>
          <w:sz w:val="24"/>
          <w:szCs w:val="24"/>
          <w:highlight w:val="none"/>
        </w:rPr>
        <w:t>1.10 交通运输</w:t>
      </w:r>
      <w:bookmarkEnd w:id="172"/>
      <w:bookmarkEnd w:id="173"/>
      <w:bookmarkEnd w:id="174"/>
      <w:bookmarkEnd w:id="175"/>
      <w:bookmarkEnd w:id="176"/>
    </w:p>
    <w:p w14:paraId="240F0BF0">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1</w:t>
      </w:r>
      <w:bookmarkStart w:id="177" w:name="_Toc304295521"/>
      <w:bookmarkStart w:id="178" w:name="_Toc300934943"/>
      <w:bookmarkStart w:id="179" w:name="_Toc303539100"/>
      <w:bookmarkStart w:id="180" w:name="_Toc318581155"/>
      <w:bookmarkStart w:id="181" w:name="_Toc312677986"/>
      <w:r>
        <w:rPr>
          <w:rFonts w:hint="eastAsia" w:ascii="宋体" w:hAnsi="宋体" w:eastAsia="宋体" w:cs="宋体"/>
          <w:color w:val="auto"/>
          <w:sz w:val="24"/>
          <w:highlight w:val="none"/>
        </w:rPr>
        <w:t>.10.1 出入现场的权利</w:t>
      </w:r>
    </w:p>
    <w:p w14:paraId="7049AFA8">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关于出入现场的权利的约定：</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按通用合同条款执行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bookmarkEnd w:id="177"/>
    <w:bookmarkEnd w:id="178"/>
    <w:bookmarkEnd w:id="179"/>
    <w:bookmarkEnd w:id="180"/>
    <w:bookmarkEnd w:id="181"/>
    <w:p w14:paraId="55E4A615">
      <w:pPr>
        <w:spacing w:line="420" w:lineRule="exact"/>
        <w:ind w:firstLine="480" w:firstLineChars="200"/>
        <w:jc w:val="left"/>
        <w:outlineLvl w:val="3"/>
        <w:rPr>
          <w:rFonts w:ascii="宋体" w:hAnsi="宋体" w:eastAsia="宋体" w:cs="宋体"/>
          <w:color w:val="auto"/>
          <w:sz w:val="24"/>
          <w:highlight w:val="none"/>
        </w:rPr>
      </w:pPr>
      <w:r>
        <w:rPr>
          <w:rFonts w:hint="eastAsia" w:ascii="宋体" w:hAnsi="宋体" w:eastAsia="宋体" w:cs="宋体"/>
          <w:color w:val="auto"/>
          <w:sz w:val="24"/>
          <w:highlight w:val="none"/>
        </w:rPr>
        <w:t>1</w:t>
      </w:r>
      <w:bookmarkStart w:id="182" w:name="_Toc312677987"/>
      <w:bookmarkStart w:id="183" w:name="_Toc300934944"/>
      <w:bookmarkStart w:id="184" w:name="_Toc304295522"/>
      <w:bookmarkStart w:id="185" w:name="_Toc318581156"/>
      <w:bookmarkStart w:id="186" w:name="_Toc303539101"/>
      <w:r>
        <w:rPr>
          <w:rFonts w:hint="eastAsia" w:ascii="宋体" w:hAnsi="宋体" w:eastAsia="宋体" w:cs="宋体"/>
          <w:color w:val="auto"/>
          <w:sz w:val="24"/>
          <w:highlight w:val="none"/>
        </w:rPr>
        <w:t>.10.3 场内交通</w:t>
      </w:r>
    </w:p>
    <w:p w14:paraId="3FC45CC1">
      <w:pPr>
        <w:spacing w:line="420" w:lineRule="exact"/>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关于场外交通和场内交通的边界的约定：</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 xml:space="preserve">以工程用地红线界定 </w:t>
      </w:r>
      <w:r>
        <w:rPr>
          <w:rFonts w:hint="eastAsia" w:ascii="宋体" w:hAnsi="宋体" w:eastAsia="宋体" w:cs="宋体"/>
          <w:color w:val="auto"/>
          <w:sz w:val="24"/>
          <w:highlight w:val="none"/>
        </w:rPr>
        <w:t>。</w:t>
      </w:r>
    </w:p>
    <w:p w14:paraId="6B272BE1">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关于发包人向承包人免费提供满足工程施工需要的场内道路和交通设施的约定：</w:t>
      </w:r>
      <w:r>
        <w:rPr>
          <w:rFonts w:hint="eastAsia" w:ascii="宋体" w:hAnsi="宋体" w:eastAsia="宋体" w:cs="宋体"/>
          <w:color w:val="auto"/>
          <w:sz w:val="24"/>
          <w:highlight w:val="none"/>
          <w:u w:val="single"/>
        </w:rPr>
        <w:t xml:space="preserve">由承包人根据现场实际自行考虑，费用自理 </w:t>
      </w:r>
      <w:r>
        <w:rPr>
          <w:rFonts w:hint="eastAsia" w:ascii="宋体" w:hAnsi="宋体" w:eastAsia="宋体" w:cs="宋体"/>
          <w:color w:val="auto"/>
          <w:sz w:val="24"/>
          <w:highlight w:val="none"/>
        </w:rPr>
        <w:t>。</w:t>
      </w:r>
      <w:bookmarkEnd w:id="182"/>
      <w:bookmarkEnd w:id="183"/>
      <w:bookmarkEnd w:id="184"/>
      <w:bookmarkEnd w:id="185"/>
      <w:bookmarkEnd w:id="186"/>
      <w:bookmarkStart w:id="187" w:name="_Toc318581157"/>
    </w:p>
    <w:p w14:paraId="58CB59C9">
      <w:pPr>
        <w:spacing w:line="420" w:lineRule="exact"/>
        <w:ind w:firstLine="480" w:firstLineChars="200"/>
        <w:jc w:val="left"/>
        <w:outlineLvl w:val="3"/>
        <w:rPr>
          <w:rFonts w:ascii="宋体" w:hAnsi="宋体" w:eastAsia="宋体" w:cs="宋体"/>
          <w:color w:val="auto"/>
          <w:sz w:val="24"/>
          <w:highlight w:val="none"/>
        </w:rPr>
      </w:pPr>
      <w:r>
        <w:rPr>
          <w:rFonts w:hint="eastAsia" w:ascii="宋体" w:hAnsi="宋体" w:eastAsia="宋体" w:cs="宋体"/>
          <w:color w:val="auto"/>
          <w:sz w:val="24"/>
          <w:highlight w:val="none"/>
        </w:rPr>
        <w:t>1.10.4 超大件和超重件的运输</w:t>
      </w:r>
    </w:p>
    <w:p w14:paraId="0C406863">
      <w:pPr>
        <w:spacing w:line="420" w:lineRule="exact"/>
        <w:ind w:firstLine="480" w:firstLineChars="2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运输超大件或超重件所需的道路和桥梁临时加固改造费用和其他有关费用由</w:t>
      </w:r>
      <w:r>
        <w:rPr>
          <w:rStyle w:val="346"/>
          <w:rFonts w:hint="eastAsia" w:ascii="宋体" w:hAnsi="宋体" w:eastAsia="宋体" w:cs="宋体"/>
          <w:color w:val="auto"/>
          <w:sz w:val="24"/>
          <w:highlight w:val="none"/>
          <w:u w:val="single"/>
        </w:rPr>
        <w:t>承包人</w:t>
      </w:r>
      <w:r>
        <w:rPr>
          <w:rFonts w:hint="eastAsia" w:ascii="宋体" w:hAnsi="宋体" w:eastAsia="宋体" w:cs="宋体"/>
          <w:color w:val="auto"/>
          <w:sz w:val="24"/>
          <w:highlight w:val="none"/>
        </w:rPr>
        <w:t>承担。</w:t>
      </w:r>
    </w:p>
    <w:bookmarkEnd w:id="187"/>
    <w:p w14:paraId="1DF154D1">
      <w:pPr>
        <w:pStyle w:val="4"/>
        <w:spacing w:before="0" w:after="0" w:line="420" w:lineRule="exact"/>
        <w:rPr>
          <w:rFonts w:ascii="宋体" w:hAnsi="宋体" w:eastAsia="宋体" w:cs="宋体"/>
          <w:color w:val="auto"/>
          <w:sz w:val="24"/>
          <w:szCs w:val="24"/>
          <w:highlight w:val="none"/>
        </w:rPr>
      </w:pPr>
      <w:bookmarkStart w:id="188" w:name="_Toc373227700"/>
      <w:bookmarkStart w:id="189" w:name="_Toc407135202"/>
      <w:bookmarkStart w:id="190" w:name="_Toc389065266"/>
      <w:bookmarkStart w:id="191" w:name="_Toc373478347"/>
      <w:bookmarkStart w:id="192" w:name="_Toc12609357"/>
      <w:r>
        <w:rPr>
          <w:rFonts w:hint="eastAsia" w:ascii="宋体" w:hAnsi="宋体" w:eastAsia="宋体" w:cs="宋体"/>
          <w:color w:val="auto"/>
          <w:sz w:val="24"/>
          <w:szCs w:val="24"/>
          <w:highlight w:val="none"/>
        </w:rPr>
        <w:t>1.11 知识产权</w:t>
      </w:r>
      <w:bookmarkEnd w:id="188"/>
      <w:bookmarkEnd w:id="189"/>
      <w:bookmarkEnd w:id="190"/>
      <w:bookmarkEnd w:id="191"/>
      <w:bookmarkEnd w:id="192"/>
    </w:p>
    <w:p w14:paraId="4E4F87E7">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1D88A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关于发包人提供的上述文件的使用限制的要求：</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41133EE">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1.11.2 关于承包人为实施工程所编制文件的著作权的归属：</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发包人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3021E8E">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关于承包人提供的上述文件的使用限制的要求：</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35B1969">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1.11.4 承包人在施工过程中所采用的专利、专有技术、技术秘密的使用费的承担方式：</w:t>
      </w:r>
      <w:r>
        <w:rPr>
          <w:rStyle w:val="346"/>
          <w:rFonts w:hint="eastAsia" w:ascii="宋体" w:hAnsi="宋体" w:eastAsia="宋体" w:cs="宋体"/>
          <w:color w:val="auto"/>
          <w:sz w:val="24"/>
          <w:highlight w:val="none"/>
          <w:u w:val="single"/>
        </w:rPr>
        <w:t>执行通用合同条款。</w:t>
      </w:r>
    </w:p>
    <w:p w14:paraId="28EA933C">
      <w:pPr>
        <w:pStyle w:val="4"/>
        <w:spacing w:before="0" w:after="0" w:line="420" w:lineRule="exact"/>
        <w:rPr>
          <w:rFonts w:ascii="宋体" w:hAnsi="宋体" w:eastAsia="宋体" w:cs="宋体"/>
          <w:color w:val="auto"/>
          <w:sz w:val="24"/>
          <w:szCs w:val="24"/>
          <w:highlight w:val="none"/>
        </w:rPr>
      </w:pPr>
      <w:bookmarkStart w:id="193" w:name="_Toc12609358"/>
      <w:bookmarkStart w:id="194" w:name="_Toc407135203"/>
      <w:bookmarkStart w:id="195" w:name="_Toc389065267"/>
      <w:bookmarkStart w:id="196" w:name="_Toc373478348"/>
      <w:bookmarkStart w:id="197" w:name="_Toc373227701"/>
      <w:r>
        <w:rPr>
          <w:rFonts w:hint="eastAsia" w:ascii="宋体" w:hAnsi="宋体" w:eastAsia="宋体" w:cs="宋体"/>
          <w:color w:val="auto"/>
          <w:sz w:val="24"/>
          <w:szCs w:val="24"/>
          <w:highlight w:val="none"/>
        </w:rPr>
        <w:t>1.13工程量清单错误的修正</w:t>
      </w:r>
      <w:bookmarkEnd w:id="193"/>
      <w:bookmarkEnd w:id="194"/>
      <w:bookmarkEnd w:id="195"/>
      <w:bookmarkEnd w:id="196"/>
      <w:bookmarkEnd w:id="197"/>
    </w:p>
    <w:p w14:paraId="4A1F2037">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出现工程量清单工程量偏差时，是否调整合同价格：</w:t>
      </w:r>
      <w:r>
        <w:rPr>
          <w:rFonts w:hint="eastAsia" w:ascii="宋体" w:hAnsi="宋体" w:eastAsia="宋体" w:cs="宋体"/>
          <w:color w:val="auto"/>
          <w:sz w:val="24"/>
          <w:highlight w:val="none"/>
          <w:u w:val="single"/>
        </w:rPr>
        <w:t>是</w:t>
      </w:r>
      <w:r>
        <w:rPr>
          <w:rFonts w:hint="eastAsia" w:ascii="宋体" w:hAnsi="宋体" w:eastAsia="宋体" w:cs="宋体"/>
          <w:color w:val="auto"/>
          <w:kern w:val="0"/>
          <w:sz w:val="24"/>
          <w:highlight w:val="none"/>
        </w:rPr>
        <w:t>。</w:t>
      </w:r>
    </w:p>
    <w:p w14:paraId="2723B965">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允许调整合同价格的工程量偏差范围及其调整办法：</w:t>
      </w:r>
    </w:p>
    <w:p w14:paraId="208C223F">
      <w:pPr>
        <w:spacing w:line="42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除严重不平衡报价外，无论分部分项工程量清单项目中的工程量变化多少均不调整</w:t>
      </w:r>
      <w:r>
        <w:rPr>
          <w:rFonts w:hint="eastAsia" w:ascii="宋体" w:hAnsi="宋体" w:eastAsia="宋体" w:cs="宋体"/>
          <w:color w:val="auto"/>
          <w:kern w:val="0"/>
          <w:sz w:val="24"/>
          <w:highlight w:val="none"/>
        </w:rPr>
        <w:t>。</w:t>
      </w:r>
    </w:p>
    <w:p w14:paraId="3B0A9A76">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承包人实际完成的某单项清单项目工程量与招标工程量清单工程量偏差超过  /  %且该单项清单造价超过合同总价15%以上的，超过后增加部分工程量或减少后剩余部分工程量的综合单价按以下方法调整：</w:t>
      </w:r>
      <w:r>
        <w:rPr>
          <w:rFonts w:hint="eastAsia" w:ascii="宋体" w:hAnsi="宋体" w:eastAsia="宋体" w:cs="宋体"/>
          <w:color w:val="auto"/>
          <w:highlight w:val="none"/>
          <w:u w:val="single"/>
        </w:rPr>
        <w:t>按照中标的综合单价调整</w:t>
      </w:r>
      <w:r>
        <w:rPr>
          <w:rFonts w:hint="eastAsia" w:ascii="宋体" w:hAnsi="宋体" w:eastAsia="宋体" w:cs="宋体"/>
          <w:color w:val="auto"/>
          <w:sz w:val="24"/>
          <w:highlight w:val="none"/>
          <w:u w:val="single"/>
        </w:rPr>
        <w:t>。</w:t>
      </w:r>
    </w:p>
    <w:p w14:paraId="20D476F6">
      <w:pPr>
        <w:pStyle w:val="3"/>
        <w:spacing w:before="0" w:after="0" w:line="420" w:lineRule="exact"/>
        <w:rPr>
          <w:rFonts w:ascii="宋体" w:hAnsi="宋体" w:eastAsia="宋体" w:cs="宋体"/>
          <w:color w:val="auto"/>
          <w:sz w:val="24"/>
          <w:szCs w:val="24"/>
          <w:highlight w:val="none"/>
        </w:rPr>
      </w:pPr>
      <w:bookmarkStart w:id="198" w:name="_Toc373478349"/>
      <w:bookmarkStart w:id="199" w:name="_Toc351203634"/>
      <w:bookmarkStart w:id="200" w:name="_Toc12609359"/>
      <w:bookmarkStart w:id="201" w:name="_Toc389065268"/>
      <w:bookmarkStart w:id="202" w:name="_Toc373227702"/>
      <w:bookmarkStart w:id="203" w:name="_Toc407135204"/>
      <w:r>
        <w:rPr>
          <w:rFonts w:hint="eastAsia" w:ascii="宋体" w:hAnsi="宋体" w:eastAsia="宋体" w:cs="宋体"/>
          <w:color w:val="auto"/>
          <w:sz w:val="24"/>
          <w:szCs w:val="24"/>
          <w:highlight w:val="none"/>
        </w:rPr>
        <w:t>2</w:t>
      </w:r>
      <w:bookmarkStart w:id="204" w:name="_Toc296347156"/>
      <w:bookmarkStart w:id="205" w:name="_Toc292559867"/>
      <w:bookmarkStart w:id="206" w:name="_Toc296944496"/>
      <w:bookmarkStart w:id="207" w:name="_Toc296503157"/>
      <w:bookmarkStart w:id="208" w:name="_Toc296346658"/>
      <w:bookmarkStart w:id="209" w:name="_Toc297048343"/>
      <w:bookmarkStart w:id="210" w:name="_Toc292559362"/>
      <w:bookmarkStart w:id="211" w:name="_Toc296891197"/>
      <w:bookmarkStart w:id="212" w:name="_Toc296890985"/>
      <w:bookmarkStart w:id="213" w:name="_Toc297120457"/>
      <w:r>
        <w:rPr>
          <w:rFonts w:hint="eastAsia" w:ascii="宋体" w:hAnsi="宋体" w:eastAsia="宋体" w:cs="宋体"/>
          <w:color w:val="auto"/>
          <w:sz w:val="24"/>
          <w:szCs w:val="24"/>
          <w:highlight w:val="none"/>
        </w:rPr>
        <w:t>. 发包人</w:t>
      </w:r>
      <w:bookmarkEnd w:id="198"/>
      <w:bookmarkEnd w:id="199"/>
      <w:bookmarkEnd w:id="200"/>
      <w:bookmarkEnd w:id="201"/>
      <w:bookmarkEnd w:id="202"/>
      <w:bookmarkEnd w:id="203"/>
    </w:p>
    <w:bookmarkEnd w:id="204"/>
    <w:bookmarkEnd w:id="205"/>
    <w:bookmarkEnd w:id="206"/>
    <w:bookmarkEnd w:id="207"/>
    <w:bookmarkEnd w:id="208"/>
    <w:bookmarkEnd w:id="209"/>
    <w:bookmarkEnd w:id="210"/>
    <w:bookmarkEnd w:id="211"/>
    <w:bookmarkEnd w:id="212"/>
    <w:bookmarkEnd w:id="213"/>
    <w:p w14:paraId="11E489E5">
      <w:pPr>
        <w:pStyle w:val="4"/>
        <w:spacing w:before="0" w:after="0" w:line="420" w:lineRule="exact"/>
        <w:rPr>
          <w:rFonts w:ascii="宋体" w:hAnsi="宋体" w:eastAsia="宋体" w:cs="宋体"/>
          <w:color w:val="auto"/>
          <w:sz w:val="24"/>
          <w:szCs w:val="24"/>
          <w:highlight w:val="none"/>
        </w:rPr>
      </w:pPr>
      <w:bookmarkStart w:id="214" w:name="_Toc389065269"/>
      <w:bookmarkStart w:id="215" w:name="_Toc373227703"/>
      <w:bookmarkStart w:id="216" w:name="_Toc373478350"/>
      <w:bookmarkStart w:id="217" w:name="_Toc407135205"/>
      <w:bookmarkStart w:id="218" w:name="_Toc12609360"/>
      <w:r>
        <w:rPr>
          <w:rFonts w:hint="eastAsia" w:ascii="宋体" w:hAnsi="宋体" w:eastAsia="宋体" w:cs="宋体"/>
          <w:color w:val="auto"/>
          <w:sz w:val="24"/>
          <w:szCs w:val="24"/>
          <w:highlight w:val="none"/>
        </w:rPr>
        <w:t>2.2 发包人代表</w:t>
      </w:r>
      <w:bookmarkEnd w:id="214"/>
      <w:bookmarkEnd w:id="215"/>
      <w:bookmarkEnd w:id="216"/>
      <w:bookmarkEnd w:id="217"/>
      <w:bookmarkEnd w:id="218"/>
    </w:p>
    <w:p w14:paraId="078AD775">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发包人代表：</w:t>
      </w:r>
    </w:p>
    <w:p w14:paraId="74785EFE">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48E13F04">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      </w:t>
      </w:r>
      <w:r>
        <w:rPr>
          <w:rFonts w:hint="eastAsia" w:ascii="宋体" w:hAnsi="宋体" w:eastAsia="宋体" w:cs="宋体"/>
          <w:color w:val="auto"/>
          <w:sz w:val="24"/>
          <w:highlight w:val="none"/>
        </w:rPr>
        <w:t>；</w:t>
      </w:r>
    </w:p>
    <w:p w14:paraId="043B6954">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76446C11">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  </w:t>
      </w:r>
      <w:r>
        <w:rPr>
          <w:rFonts w:hint="eastAsia" w:ascii="宋体" w:hAnsi="宋体" w:eastAsia="宋体" w:cs="宋体"/>
          <w:color w:val="auto"/>
          <w:sz w:val="24"/>
          <w:highlight w:val="none"/>
        </w:rPr>
        <w:t>；</w:t>
      </w:r>
    </w:p>
    <w:p w14:paraId="39F2BCF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   </w:t>
      </w:r>
      <w:r>
        <w:rPr>
          <w:rFonts w:hint="eastAsia" w:ascii="宋体" w:hAnsi="宋体" w:eastAsia="宋体" w:cs="宋体"/>
          <w:color w:val="auto"/>
          <w:sz w:val="24"/>
          <w:highlight w:val="none"/>
        </w:rPr>
        <w:t>；</w:t>
      </w:r>
    </w:p>
    <w:p w14:paraId="304916A5">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 </w:t>
      </w:r>
      <w:r>
        <w:rPr>
          <w:rFonts w:hint="eastAsia" w:ascii="宋体" w:hAnsi="宋体" w:eastAsia="宋体" w:cs="宋体"/>
          <w:color w:val="auto"/>
          <w:sz w:val="24"/>
          <w:highlight w:val="none"/>
        </w:rPr>
        <w:t>。</w:t>
      </w:r>
    </w:p>
    <w:p w14:paraId="7EF67E85">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发包人对发包人代表的授权范围如下：</w:t>
      </w:r>
      <w:r>
        <w:rPr>
          <w:rFonts w:hint="eastAsia" w:ascii="宋体" w:hAnsi="宋体" w:eastAsia="宋体" w:cs="宋体"/>
          <w:color w:val="auto"/>
          <w:sz w:val="24"/>
          <w:highlight w:val="none"/>
          <w:u w:val="single"/>
        </w:rPr>
        <w:t xml:space="preserve">  </w:t>
      </w:r>
      <w:r>
        <w:rPr>
          <w:rStyle w:val="346"/>
          <w:rFonts w:hint="eastAsia" w:ascii="宋体" w:hAnsi="宋体" w:eastAsia="宋体" w:cs="宋体"/>
          <w:color w:val="auto"/>
          <w:kern w:val="0"/>
          <w:sz w:val="24"/>
          <w:highlight w:val="none"/>
          <w:u w:val="single"/>
        </w:rPr>
        <w:t>督促指导监理工程师行使职权，协调施工现场各方面的关系，协调工程质量、进度和安全文明施工中存在的问题，解决有关设计和技术签证，办理、签认现场经济技术签证，审核工程进度报表。开工前7天，发包人应将所派驻的工程师的姓名、委托的事项及权限、委托期限等事项书面通知承包人</w:t>
      </w:r>
      <w:r>
        <w:rPr>
          <w:rFonts w:hint="eastAsia" w:ascii="宋体" w:hAnsi="宋体" w:eastAsia="宋体" w:cs="宋体"/>
          <w:color w:val="auto"/>
          <w:sz w:val="24"/>
          <w:highlight w:val="none"/>
          <w:u w:val="single"/>
        </w:rPr>
        <w:t>。发包人现场代表在承包人提交的任何档上签名时，仅表示发包人收到前述档，并非是对档中任何内容的确认，不可作为结算依据。</w:t>
      </w:r>
    </w:p>
    <w:p w14:paraId="5160B890">
      <w:pPr>
        <w:pStyle w:val="4"/>
        <w:spacing w:before="0" w:after="0" w:line="420" w:lineRule="exact"/>
        <w:rPr>
          <w:rFonts w:ascii="宋体" w:hAnsi="宋体" w:eastAsia="宋体" w:cs="宋体"/>
          <w:color w:val="auto"/>
          <w:sz w:val="24"/>
          <w:szCs w:val="24"/>
          <w:highlight w:val="none"/>
        </w:rPr>
      </w:pPr>
      <w:bookmarkStart w:id="219" w:name="_Toc373227704"/>
      <w:bookmarkStart w:id="220" w:name="_Toc407135206"/>
      <w:bookmarkStart w:id="221" w:name="_Toc12609361"/>
      <w:bookmarkStart w:id="222" w:name="_Toc373478351"/>
      <w:bookmarkStart w:id="223" w:name="_Toc389065270"/>
      <w:r>
        <w:rPr>
          <w:rFonts w:hint="eastAsia" w:ascii="宋体" w:hAnsi="宋体" w:eastAsia="宋体" w:cs="宋体"/>
          <w:color w:val="auto"/>
          <w:sz w:val="24"/>
          <w:szCs w:val="24"/>
          <w:highlight w:val="none"/>
        </w:rPr>
        <w:t>2.4 施工现场、施工条件和基础资料的提供</w:t>
      </w:r>
      <w:bookmarkEnd w:id="219"/>
      <w:bookmarkEnd w:id="220"/>
      <w:bookmarkEnd w:id="221"/>
      <w:bookmarkEnd w:id="222"/>
      <w:bookmarkEnd w:id="223"/>
    </w:p>
    <w:p w14:paraId="06955D15">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2.4.1 提供施工现场</w:t>
      </w:r>
    </w:p>
    <w:p w14:paraId="2B20B045">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关于发包人移交施工现场的期限要求：</w:t>
      </w:r>
      <w:r>
        <w:rPr>
          <w:rFonts w:hint="eastAsia" w:ascii="宋体" w:hAnsi="宋体" w:eastAsia="宋体" w:cs="宋体"/>
          <w:color w:val="auto"/>
          <w:sz w:val="24"/>
          <w:highlight w:val="none"/>
          <w:u w:val="single"/>
        </w:rPr>
        <w:t xml:space="preserve"> 关于发包人移交施工现场的期限要求施工场地应当在监理人发出的开工通知中载明的开工日期前 3 天具备施工条件并移交给承包人，具体施工条件按本合同约定。发包人最迟应当在移交施工场地的同时向承包人提供施工场地内地下管线和地下设施等有关资料，并保证资料的真实、准确和完整 </w:t>
      </w:r>
      <w:r>
        <w:rPr>
          <w:rFonts w:hint="eastAsia" w:ascii="宋体" w:hAnsi="宋体" w:eastAsia="宋体" w:cs="宋体"/>
          <w:color w:val="auto"/>
          <w:sz w:val="24"/>
          <w:highlight w:val="none"/>
        </w:rPr>
        <w:t>。</w:t>
      </w:r>
    </w:p>
    <w:p w14:paraId="2016FF0A">
      <w:pPr>
        <w:spacing w:line="420" w:lineRule="exact"/>
        <w:ind w:firstLine="480" w:firstLineChars="200"/>
        <w:outlineLvl w:val="3"/>
        <w:rPr>
          <w:rFonts w:ascii="宋体" w:hAnsi="宋体" w:eastAsia="宋体" w:cs="宋体"/>
          <w:color w:val="auto"/>
          <w:sz w:val="24"/>
          <w:highlight w:val="none"/>
        </w:rPr>
      </w:pPr>
      <w:r>
        <w:rPr>
          <w:rFonts w:hint="eastAsia" w:ascii="宋体" w:hAnsi="宋体" w:eastAsia="宋体" w:cs="宋体"/>
          <w:color w:val="auto"/>
          <w:sz w:val="24"/>
          <w:highlight w:val="none"/>
        </w:rPr>
        <w:t>2.4.2 提供施工条件</w:t>
      </w:r>
    </w:p>
    <w:p w14:paraId="2D42F069">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关于发包人应负责提供施工所需要的条件，包括：</w:t>
      </w:r>
      <w:r>
        <w:rPr>
          <w:rFonts w:hint="eastAsia" w:ascii="宋体" w:hAnsi="宋体" w:eastAsia="宋体" w:cs="宋体"/>
          <w:color w:val="auto"/>
          <w:sz w:val="24"/>
          <w:highlight w:val="none"/>
          <w:u w:val="single"/>
        </w:rPr>
        <w:t xml:space="preserve"> 将施工所需的水、电、电讯线路接至施工场地的时间、地点和供应要求：由承包人在磋商报价中自行考虑。若供电部门的原因造成停电，承包人必须自行解决施工用电，费用自理。 </w:t>
      </w:r>
    </w:p>
    <w:p w14:paraId="7C0DB472">
      <w:pPr>
        <w:pStyle w:val="4"/>
        <w:spacing w:before="0" w:after="0" w:line="420" w:lineRule="exact"/>
        <w:rPr>
          <w:rFonts w:ascii="宋体" w:hAnsi="宋体" w:eastAsia="宋体" w:cs="宋体"/>
          <w:color w:val="auto"/>
          <w:sz w:val="24"/>
          <w:szCs w:val="24"/>
          <w:highlight w:val="none"/>
        </w:rPr>
      </w:pPr>
      <w:bookmarkStart w:id="224" w:name="_Toc389065271"/>
      <w:bookmarkStart w:id="225" w:name="_Toc373478352"/>
      <w:bookmarkStart w:id="226" w:name="_Toc12609362"/>
      <w:bookmarkStart w:id="227" w:name="_Toc407135207"/>
      <w:bookmarkStart w:id="228" w:name="_Toc373227705"/>
      <w:r>
        <w:rPr>
          <w:rFonts w:hint="eastAsia" w:ascii="宋体" w:hAnsi="宋体" w:eastAsia="宋体" w:cs="宋体"/>
          <w:color w:val="auto"/>
          <w:sz w:val="24"/>
          <w:szCs w:val="24"/>
          <w:highlight w:val="none"/>
        </w:rPr>
        <w:t>2.5 资金来源证明及支付担保</w:t>
      </w:r>
      <w:bookmarkEnd w:id="224"/>
      <w:bookmarkEnd w:id="225"/>
      <w:bookmarkEnd w:id="226"/>
      <w:bookmarkEnd w:id="227"/>
      <w:bookmarkEnd w:id="228"/>
    </w:p>
    <w:p w14:paraId="34D0847B">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发包人提供资金来源证明的期限要求：</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14:paraId="3E774152">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发包人是否提供支付担保：</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w:t>
      </w:r>
    </w:p>
    <w:p w14:paraId="0011AA14">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发包人提供支付担保的形式：</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14:paraId="40B67916">
      <w:pPr>
        <w:spacing w:line="42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发包人提供的支付担保格式见合同附件9。</w:t>
      </w:r>
    </w:p>
    <w:p w14:paraId="33502732">
      <w:pPr>
        <w:pStyle w:val="347"/>
        <w:spacing w:before="0" w:after="0" w:line="420" w:lineRule="exact"/>
        <w:rPr>
          <w:rStyle w:val="346"/>
          <w:rFonts w:ascii="宋体" w:hAnsi="宋体" w:eastAsia="宋体" w:cs="宋体"/>
          <w:color w:val="auto"/>
          <w:sz w:val="24"/>
          <w:szCs w:val="24"/>
          <w:highlight w:val="none"/>
        </w:rPr>
      </w:pPr>
      <w:bookmarkStart w:id="229" w:name="_Toc351203635"/>
      <w:r>
        <w:rPr>
          <w:rStyle w:val="346"/>
          <w:rFonts w:hint="eastAsia" w:ascii="宋体" w:hAnsi="宋体" w:eastAsia="宋体" w:cs="宋体"/>
          <w:color w:val="auto"/>
          <w:sz w:val="24"/>
          <w:szCs w:val="24"/>
          <w:highlight w:val="none"/>
        </w:rPr>
        <w:t>3</w:t>
      </w:r>
      <w:bookmarkEnd w:id="229"/>
      <w:bookmarkStart w:id="230" w:name="_Toc297048344"/>
      <w:bookmarkEnd w:id="230"/>
      <w:bookmarkStart w:id="231" w:name="_Toc296503158"/>
      <w:bookmarkEnd w:id="231"/>
      <w:bookmarkStart w:id="232" w:name="_Toc292559363"/>
      <w:bookmarkEnd w:id="232"/>
      <w:bookmarkStart w:id="233" w:name="_Toc296346659"/>
      <w:bookmarkEnd w:id="233"/>
      <w:bookmarkStart w:id="234" w:name="_Toc296347157"/>
      <w:bookmarkEnd w:id="234"/>
      <w:bookmarkStart w:id="235" w:name="_Toc292559868"/>
      <w:bookmarkEnd w:id="235"/>
      <w:bookmarkStart w:id="236" w:name="_Toc296890986"/>
      <w:bookmarkEnd w:id="236"/>
      <w:bookmarkStart w:id="237" w:name="_Toc296944497"/>
      <w:bookmarkEnd w:id="237"/>
      <w:bookmarkStart w:id="238" w:name="_Toc296891198"/>
      <w:bookmarkEnd w:id="238"/>
      <w:bookmarkStart w:id="239" w:name="_Toc297120458"/>
      <w:r>
        <w:rPr>
          <w:rStyle w:val="346"/>
          <w:rFonts w:hint="eastAsia" w:ascii="宋体" w:hAnsi="宋体" w:eastAsia="宋体" w:cs="宋体"/>
          <w:color w:val="auto"/>
          <w:sz w:val="24"/>
          <w:szCs w:val="24"/>
          <w:highlight w:val="none"/>
        </w:rPr>
        <w:t xml:space="preserve">. </w:t>
      </w:r>
      <w:bookmarkEnd w:id="239"/>
      <w:r>
        <w:rPr>
          <w:rStyle w:val="346"/>
          <w:rFonts w:hint="eastAsia" w:ascii="宋体" w:hAnsi="宋体" w:eastAsia="宋体" w:cs="宋体"/>
          <w:color w:val="auto"/>
          <w:sz w:val="24"/>
          <w:szCs w:val="24"/>
          <w:highlight w:val="none"/>
        </w:rPr>
        <w:t>承包人</w:t>
      </w:r>
    </w:p>
    <w:p w14:paraId="24FC875A">
      <w:pPr>
        <w:pStyle w:val="352"/>
        <w:spacing w:line="420" w:lineRule="exact"/>
        <w:rPr>
          <w:rStyle w:val="346"/>
          <w:rFonts w:ascii="宋体" w:hAnsi="宋体" w:eastAsia="宋体" w:cs="宋体"/>
          <w:color w:val="auto"/>
          <w:sz w:val="24"/>
          <w:szCs w:val="24"/>
          <w:highlight w:val="none"/>
        </w:rPr>
      </w:pPr>
      <w:bookmarkStart w:id="240" w:name="_Toc15899"/>
      <w:bookmarkEnd w:id="240"/>
      <w:bookmarkStart w:id="241" w:name="_Toc389065273"/>
      <w:bookmarkEnd w:id="241"/>
      <w:bookmarkStart w:id="242" w:name="_Toc373478354"/>
      <w:bookmarkEnd w:id="242"/>
      <w:bookmarkStart w:id="243" w:name="_Toc373227707"/>
      <w:bookmarkEnd w:id="243"/>
      <w:r>
        <w:rPr>
          <w:rStyle w:val="346"/>
          <w:rFonts w:hint="eastAsia" w:ascii="宋体" w:hAnsi="宋体" w:eastAsia="宋体" w:cs="宋体"/>
          <w:color w:val="auto"/>
          <w:sz w:val="24"/>
          <w:szCs w:val="24"/>
          <w:highlight w:val="none"/>
        </w:rPr>
        <w:t>3.1 承包人的一般义务</w:t>
      </w:r>
    </w:p>
    <w:p w14:paraId="06E1478A">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（9）</w:t>
      </w:r>
      <w:r>
        <w:rPr>
          <w:rStyle w:val="346"/>
          <w:rFonts w:hint="eastAsia" w:ascii="宋体" w:hAnsi="宋体" w:cs="宋体"/>
          <w:color w:val="auto"/>
          <w:sz w:val="24"/>
          <w:szCs w:val="24"/>
          <w:highlight w:val="none"/>
        </w:rPr>
        <w:t>承包人提交的竣工资料的内容：</w:t>
      </w:r>
    </w:p>
    <w:p w14:paraId="0B822352">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u w:val="single"/>
        </w:rPr>
        <w:t>与本工程有关的所有竣工图纸、变更等</w:t>
      </w:r>
      <w:r>
        <w:rPr>
          <w:rStyle w:val="346"/>
          <w:rFonts w:hint="eastAsia" w:ascii="宋体" w:hAnsi="宋体" w:cs="宋体"/>
          <w:color w:val="auto"/>
          <w:sz w:val="24"/>
          <w:szCs w:val="24"/>
          <w:highlight w:val="none"/>
        </w:rPr>
        <w:t xml:space="preserve">。 </w:t>
      </w:r>
    </w:p>
    <w:p w14:paraId="1A91BE62">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承包人需要提交的竣工资料套数：</w:t>
      </w:r>
      <w:r>
        <w:rPr>
          <w:rStyle w:val="346"/>
          <w:rFonts w:hint="eastAsia" w:ascii="宋体" w:hAnsi="宋体" w:cs="宋体"/>
          <w:color w:val="auto"/>
          <w:sz w:val="24"/>
          <w:szCs w:val="24"/>
          <w:highlight w:val="none"/>
          <w:u w:val="single"/>
        </w:rPr>
        <w:t xml:space="preserve">  陆      </w:t>
      </w:r>
      <w:r>
        <w:rPr>
          <w:rStyle w:val="346"/>
          <w:rFonts w:hint="eastAsia" w:ascii="宋体" w:hAnsi="宋体" w:cs="宋体"/>
          <w:color w:val="auto"/>
          <w:sz w:val="24"/>
          <w:szCs w:val="24"/>
          <w:highlight w:val="none"/>
        </w:rPr>
        <w:t>。</w:t>
      </w:r>
    </w:p>
    <w:p w14:paraId="644174EA">
      <w:pPr>
        <w:pStyle w:val="348"/>
        <w:spacing w:line="420" w:lineRule="exact"/>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承包人提交的竣工资料的费用承担：</w:t>
      </w:r>
      <w:r>
        <w:rPr>
          <w:rStyle w:val="346"/>
          <w:rFonts w:hint="eastAsia" w:ascii="宋体" w:hAnsi="宋体" w:cs="宋体"/>
          <w:color w:val="auto"/>
          <w:sz w:val="24"/>
          <w:szCs w:val="24"/>
          <w:highlight w:val="none"/>
          <w:u w:val="single"/>
        </w:rPr>
        <w:t xml:space="preserve">  承包人    </w:t>
      </w:r>
      <w:r>
        <w:rPr>
          <w:rStyle w:val="346"/>
          <w:rFonts w:hint="eastAsia" w:ascii="宋体" w:hAnsi="宋体" w:cs="宋体"/>
          <w:color w:val="auto"/>
          <w:sz w:val="24"/>
          <w:szCs w:val="24"/>
          <w:highlight w:val="none"/>
        </w:rPr>
        <w:t>。</w:t>
      </w:r>
    </w:p>
    <w:p w14:paraId="3E2F2181">
      <w:pPr>
        <w:pStyle w:val="348"/>
        <w:spacing w:line="420" w:lineRule="exact"/>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承包人提交的竣工资料移交时间：</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竣工验收十五日前</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31252C4E">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承包人提交的竣工资料形式要求：</w:t>
      </w:r>
      <w:r>
        <w:rPr>
          <w:rStyle w:val="346"/>
          <w:rFonts w:hint="eastAsia" w:ascii="宋体" w:hAnsi="宋体" w:cs="宋体"/>
          <w:color w:val="auto"/>
          <w:sz w:val="24"/>
          <w:szCs w:val="24"/>
          <w:highlight w:val="none"/>
          <w:u w:val="single"/>
        </w:rPr>
        <w:t xml:space="preserve"> 送达发包人代表签收   </w:t>
      </w:r>
      <w:r>
        <w:rPr>
          <w:rStyle w:val="346"/>
          <w:rFonts w:hint="eastAsia" w:ascii="宋体" w:hAnsi="宋体" w:cs="宋体"/>
          <w:color w:val="auto"/>
          <w:sz w:val="24"/>
          <w:szCs w:val="24"/>
          <w:highlight w:val="none"/>
        </w:rPr>
        <w:t>。</w:t>
      </w:r>
    </w:p>
    <w:p w14:paraId="7A216906">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未按照合同约定的质量标准完成工作内容并拒绝或不配合进行完善，或未能在合同约定的工期内完成本工程，发包人有权安排第三方实施承包人未能完成的工作内容，由此发生的费用发包人可从承包人的工程款中直接扣除，无需承包人签字认可，且发包人有权要求承包人支付本工程结算总价5%的违约金。</w:t>
      </w:r>
    </w:p>
    <w:p w14:paraId="6EC71053">
      <w:pPr>
        <w:pStyle w:val="348"/>
        <w:spacing w:line="420" w:lineRule="exact"/>
        <w:jc w:val="left"/>
        <w:outlineLvl w:val="3"/>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（10）承包人应履行的其他义务：</w:t>
      </w:r>
    </w:p>
    <w:p w14:paraId="65CA37D0">
      <w:pPr>
        <w:pStyle w:val="348"/>
        <w:spacing w:line="420" w:lineRule="exact"/>
        <w:ind w:firstLine="482" w:firstLineChars="200"/>
        <w:jc w:val="left"/>
        <w:rPr>
          <w:rStyle w:val="346"/>
          <w:rFonts w:ascii="宋体" w:hAnsi="宋体" w:cs="宋体"/>
          <w:b/>
          <w:bCs/>
          <w:color w:val="auto"/>
          <w:kern w:val="0"/>
          <w:sz w:val="24"/>
          <w:szCs w:val="24"/>
          <w:highlight w:val="none"/>
        </w:rPr>
      </w:pPr>
      <w:r>
        <w:rPr>
          <w:rStyle w:val="346"/>
          <w:rFonts w:hint="eastAsia" w:ascii="宋体" w:hAnsi="宋体" w:cs="宋体"/>
          <w:b/>
          <w:bCs/>
          <w:color w:val="auto"/>
          <w:kern w:val="0"/>
          <w:sz w:val="24"/>
          <w:szCs w:val="24"/>
          <w:highlight w:val="non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19CC038D">
      <w:pPr>
        <w:pStyle w:val="352"/>
        <w:spacing w:line="420" w:lineRule="exact"/>
        <w:rPr>
          <w:rStyle w:val="346"/>
          <w:rFonts w:ascii="宋体" w:hAnsi="宋体" w:eastAsia="宋体" w:cs="宋体"/>
          <w:color w:val="auto"/>
          <w:sz w:val="24"/>
          <w:szCs w:val="24"/>
          <w:highlight w:val="none"/>
        </w:rPr>
      </w:pPr>
      <w:bookmarkStart w:id="244" w:name="_Toc373478355"/>
      <w:bookmarkEnd w:id="244"/>
      <w:bookmarkStart w:id="245" w:name="_Toc389065274"/>
      <w:bookmarkEnd w:id="245"/>
      <w:bookmarkStart w:id="246" w:name="_Toc20483"/>
      <w:bookmarkEnd w:id="246"/>
      <w:bookmarkStart w:id="247" w:name="_Toc373227708"/>
      <w:r>
        <w:rPr>
          <w:rStyle w:val="346"/>
          <w:rFonts w:hint="eastAsia" w:ascii="宋体" w:hAnsi="宋体" w:eastAsia="宋体" w:cs="宋体"/>
          <w:color w:val="auto"/>
          <w:sz w:val="24"/>
          <w:szCs w:val="24"/>
          <w:highlight w:val="none"/>
        </w:rPr>
        <w:t xml:space="preserve">3.2 </w:t>
      </w:r>
      <w:bookmarkEnd w:id="247"/>
      <w:r>
        <w:rPr>
          <w:rStyle w:val="346"/>
          <w:rFonts w:hint="eastAsia" w:ascii="宋体" w:hAnsi="宋体" w:eastAsia="宋体" w:cs="宋体"/>
          <w:color w:val="auto"/>
          <w:sz w:val="24"/>
          <w:szCs w:val="24"/>
          <w:highlight w:val="none"/>
        </w:rPr>
        <w:t>项目经理</w:t>
      </w:r>
    </w:p>
    <w:p w14:paraId="42B0FBA9">
      <w:pPr>
        <w:pStyle w:val="348"/>
        <w:spacing w:line="420" w:lineRule="exact"/>
        <w:ind w:firstLine="480" w:firstLineChars="200"/>
        <w:outlineLvl w:val="3"/>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 xml:space="preserve">3.2.1 </w:t>
      </w:r>
      <w:r>
        <w:rPr>
          <w:rStyle w:val="346"/>
          <w:rFonts w:hint="eastAsia" w:ascii="宋体" w:hAnsi="宋体" w:cs="宋体"/>
          <w:color w:val="auto"/>
          <w:sz w:val="24"/>
          <w:szCs w:val="24"/>
          <w:highlight w:val="none"/>
        </w:rPr>
        <w:t>项目经理：</w:t>
      </w:r>
    </w:p>
    <w:p w14:paraId="1AB34828">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姓    名：</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AE3DE20">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身份证号：</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42CD6949">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建造师执业资格等级：</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5D4CF281">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建造师注册证书号：</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C0028A9">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建造师执业印章号：</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5D24C784">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安全生产考核合格证书号：</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706F0FC">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1057F22E">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电子信箱：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F28124">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通信地址：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50FEEC">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 xml:space="preserve">承包人对项目经理的授权范围如下： </w:t>
      </w:r>
      <w:r>
        <w:rPr>
          <w:rStyle w:val="346"/>
          <w:rFonts w:hint="eastAsia" w:ascii="宋体" w:hAnsi="宋体" w:cs="宋体"/>
          <w:color w:val="auto"/>
          <w:sz w:val="24"/>
          <w:szCs w:val="24"/>
          <w:highlight w:val="none"/>
          <w:u w:val="single"/>
        </w:rPr>
        <w:t>项目经理仅限于本工程的现场施工管理，但未经承包人盖章同意，不得以承包人名义向外采购材料设备、租用建筑周转材料、雇佣劳动力、签订分包合同等从事一切为承包人设立义务或责任的行为</w:t>
      </w:r>
      <w:r>
        <w:rPr>
          <w:rStyle w:val="346"/>
          <w:rFonts w:hint="eastAsia" w:ascii="宋体" w:hAnsi="宋体" w:cs="宋体"/>
          <w:color w:val="auto"/>
          <w:sz w:val="24"/>
          <w:szCs w:val="24"/>
          <w:highlight w:val="none"/>
        </w:rPr>
        <w:t>。</w:t>
      </w:r>
    </w:p>
    <w:p w14:paraId="00506A19">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关于项目经理每月在施工现场的时间要求：</w:t>
      </w:r>
      <w:r>
        <w:rPr>
          <w:rStyle w:val="346"/>
          <w:rFonts w:hint="eastAsia" w:ascii="宋体" w:hAnsi="宋体" w:cs="宋体"/>
          <w:color w:val="auto"/>
          <w:sz w:val="24"/>
          <w:szCs w:val="24"/>
          <w:highlight w:val="none"/>
          <w:u w:val="single"/>
        </w:rPr>
        <w:t>项目经理无正当理由不得请假，到施工现场的时间每月不少于25天，每少到一天支付违约金1000元，违约金须当月向发包人缴清，否则发包人有权延期支付当月工程进度款（由发包人派驻代表或监理人员确认项目经理到场天数）。项目经理无故连续七天不到的，发包人将本项目视为挂靠工程，有权解除合同并没收履约保证金</w:t>
      </w:r>
      <w:r>
        <w:rPr>
          <w:rStyle w:val="346"/>
          <w:rFonts w:hint="eastAsia" w:ascii="宋体" w:hAnsi="宋体" w:cs="宋体"/>
          <w:color w:val="auto"/>
          <w:sz w:val="24"/>
          <w:szCs w:val="24"/>
          <w:highlight w:val="none"/>
        </w:rPr>
        <w:t>。</w:t>
      </w:r>
    </w:p>
    <w:p w14:paraId="2802E3B3">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承包人未提交劳动合同，以及没有为项目经理缴纳社会保险证明的违约责任：</w:t>
      </w:r>
      <w:r>
        <w:rPr>
          <w:rStyle w:val="346"/>
          <w:rFonts w:hint="eastAsia" w:ascii="宋体" w:hAnsi="宋体" w:cs="宋体"/>
          <w:color w:val="auto"/>
          <w:sz w:val="24"/>
          <w:szCs w:val="24"/>
          <w:highlight w:val="none"/>
          <w:u w:val="single"/>
        </w:rPr>
        <w:t xml:space="preserve">承包人交纳违约金20000元，责令限期提交劳动合同并补缴社会保险  </w:t>
      </w:r>
      <w:r>
        <w:rPr>
          <w:rStyle w:val="346"/>
          <w:rFonts w:hint="eastAsia" w:ascii="宋体" w:hAnsi="宋体" w:cs="宋体"/>
          <w:color w:val="auto"/>
          <w:sz w:val="24"/>
          <w:szCs w:val="24"/>
          <w:highlight w:val="none"/>
        </w:rPr>
        <w:t>。</w:t>
      </w:r>
    </w:p>
    <w:p w14:paraId="11E620B9">
      <w:pPr>
        <w:pStyle w:val="348"/>
        <w:spacing w:line="420" w:lineRule="exact"/>
        <w:ind w:firstLine="480" w:firstLineChars="200"/>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项目经理未经批准，擅自离开施工现场的违约责任：</w:t>
      </w:r>
      <w:r>
        <w:rPr>
          <w:rStyle w:val="346"/>
          <w:rFonts w:hint="eastAsia" w:ascii="宋体" w:hAnsi="宋体" w:cs="宋体"/>
          <w:color w:val="auto"/>
          <w:sz w:val="24"/>
          <w:szCs w:val="24"/>
          <w:highlight w:val="none"/>
          <w:u w:val="single"/>
        </w:rPr>
        <w:t xml:space="preserve">项目经理每月在岗带班时间不得少于当月施工时间的80%。未经发包人书面同意，项目经理每月在岗带班时间少于当月施工时间80%的，少在岗带班一天，发包人有权处违约金 1000元/日（人民币）  </w:t>
      </w:r>
      <w:r>
        <w:rPr>
          <w:rStyle w:val="346"/>
          <w:rFonts w:hint="eastAsia" w:ascii="宋体" w:hAnsi="宋体" w:cs="宋体"/>
          <w:color w:val="auto"/>
          <w:sz w:val="24"/>
          <w:szCs w:val="24"/>
          <w:highlight w:val="none"/>
        </w:rPr>
        <w:t>。</w:t>
      </w:r>
    </w:p>
    <w:p w14:paraId="44822123">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3.2.3 承包人擅自更换项目经理的违约责任：</w:t>
      </w:r>
      <w:r>
        <w:rPr>
          <w:rStyle w:val="346"/>
          <w:rFonts w:hint="eastAsia" w:ascii="宋体" w:hAnsi="宋体" w:cs="宋体"/>
          <w:color w:val="auto"/>
          <w:sz w:val="24"/>
          <w:szCs w:val="24"/>
          <w:highlight w:val="none"/>
          <w:u w:val="single"/>
        </w:rPr>
        <w:t>承包人项目经理必须与承包人投标时所承诺的人员一致，并在（开工日期）7天前到任。在监理人向承包人颁发</w:t>
      </w:r>
      <w:r>
        <w:rPr>
          <w:rFonts w:hint="eastAsia" w:ascii="宋体" w:hAnsi="宋体" w:cs="宋体"/>
          <w:b/>
          <w:color w:val="auto"/>
          <w:sz w:val="24"/>
          <w:szCs w:val="24"/>
          <w:highlight w:val="none"/>
          <w:u w:val="single"/>
        </w:rPr>
        <w:t>竣工验收意见书</w:t>
      </w:r>
      <w:r>
        <w:rPr>
          <w:rStyle w:val="346"/>
          <w:rFonts w:hint="eastAsia" w:ascii="宋体" w:hAnsi="宋体" w:cs="宋体"/>
          <w:color w:val="auto"/>
          <w:sz w:val="24"/>
          <w:szCs w:val="24"/>
          <w:highlight w:val="none"/>
          <w:u w:val="single"/>
        </w:rPr>
        <w:t>（竣工证明材料名称）前，项目经理不得同时兼任其他任何项目的项目经理</w:t>
      </w:r>
      <w:r>
        <w:rPr>
          <w:rStyle w:val="346"/>
          <w:rFonts w:hint="eastAsia" w:ascii="宋体" w:hAnsi="宋体" w:cs="宋体"/>
          <w:color w:val="auto"/>
          <w:kern w:val="0"/>
          <w:sz w:val="24"/>
          <w:szCs w:val="24"/>
          <w:highlight w:val="none"/>
          <w:u w:val="single"/>
        </w:rPr>
        <w:t>（符合桂建管</w:t>
      </w:r>
      <w:r>
        <w:rPr>
          <w:rStyle w:val="346"/>
          <w:rFonts w:hint="eastAsia" w:ascii="宋体" w:hAnsi="宋体" w:cs="宋体"/>
          <w:color w:val="auto"/>
          <w:sz w:val="24"/>
          <w:szCs w:val="24"/>
          <w:highlight w:val="none"/>
          <w:u w:val="single"/>
        </w:rPr>
        <w:t>﹝2013﹞</w:t>
      </w:r>
      <w:r>
        <w:rPr>
          <w:rStyle w:val="346"/>
          <w:rFonts w:hint="eastAsia" w:ascii="宋体" w:hAnsi="宋体" w:cs="宋体"/>
          <w:color w:val="auto"/>
          <w:kern w:val="0"/>
          <w:sz w:val="24"/>
          <w:szCs w:val="24"/>
          <w:highlight w:val="none"/>
          <w:u w:val="single"/>
        </w:rPr>
        <w:t>17号和桂建管﹝2016﹞70号、桂建管〔2020〕11号文除外）</w:t>
      </w:r>
      <w:r>
        <w:rPr>
          <w:rStyle w:val="346"/>
          <w:rFonts w:hint="eastAsia" w:ascii="宋体" w:hAnsi="宋体" w:cs="宋体"/>
          <w:color w:val="auto"/>
          <w:sz w:val="24"/>
          <w:szCs w:val="24"/>
          <w:highlight w:val="none"/>
          <w:u w:val="single"/>
        </w:rPr>
        <w:t>。未经发包人书面同意，承包人擅自更换项目经理的视为违约，违约金处 5000 元/人•次（人民币）</w:t>
      </w:r>
      <w:r>
        <w:rPr>
          <w:rStyle w:val="346"/>
          <w:rFonts w:hint="eastAsia" w:ascii="宋体" w:hAnsi="宋体" w:cs="宋体"/>
          <w:color w:val="auto"/>
          <w:sz w:val="24"/>
          <w:szCs w:val="24"/>
          <w:highlight w:val="none"/>
        </w:rPr>
        <w:t>。</w:t>
      </w:r>
    </w:p>
    <w:p w14:paraId="4F3E23F1">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3.2.4 承包人无正当理由拒绝更换项目经理的违约责任：</w:t>
      </w:r>
      <w:r>
        <w:rPr>
          <w:rStyle w:val="346"/>
          <w:rFonts w:hint="eastAsia" w:ascii="宋体" w:hAnsi="宋体" w:cs="宋体"/>
          <w:color w:val="auto"/>
          <w:sz w:val="24"/>
          <w:szCs w:val="24"/>
          <w:highlight w:val="none"/>
          <w:u w:val="single"/>
        </w:rPr>
        <w:t>因承包人项目经理不称职，发包人要求调换而未及时调换的，视为承包人违约，必须向发包人交纳处罚金</w:t>
      </w:r>
      <w:r>
        <w:rPr>
          <w:rStyle w:val="346"/>
          <w:rFonts w:hint="eastAsia" w:ascii="宋体" w:hAnsi="宋体" w:cs="宋体"/>
          <w:b/>
          <w:bCs/>
          <w:color w:val="auto"/>
          <w:sz w:val="24"/>
          <w:szCs w:val="24"/>
          <w:highlight w:val="none"/>
          <w:u w:val="single"/>
        </w:rPr>
        <w:t xml:space="preserve">10000 </w:t>
      </w:r>
      <w:r>
        <w:rPr>
          <w:rStyle w:val="346"/>
          <w:rFonts w:hint="eastAsia" w:ascii="宋体" w:hAnsi="宋体" w:cs="宋体"/>
          <w:color w:val="auto"/>
          <w:sz w:val="24"/>
          <w:szCs w:val="24"/>
          <w:highlight w:val="none"/>
          <w:u w:val="single"/>
        </w:rPr>
        <w:t>元/人•次（人民币）</w:t>
      </w:r>
      <w:r>
        <w:rPr>
          <w:rStyle w:val="346"/>
          <w:rFonts w:hint="eastAsia" w:ascii="宋体" w:hAnsi="宋体" w:cs="宋体"/>
          <w:color w:val="auto"/>
          <w:sz w:val="24"/>
          <w:szCs w:val="24"/>
          <w:highlight w:val="none"/>
        </w:rPr>
        <w:t>。</w:t>
      </w:r>
    </w:p>
    <w:p w14:paraId="1DF5A16E">
      <w:pPr>
        <w:pStyle w:val="352"/>
        <w:spacing w:line="420" w:lineRule="exact"/>
        <w:rPr>
          <w:rStyle w:val="346"/>
          <w:rFonts w:ascii="宋体" w:hAnsi="宋体" w:eastAsia="宋体" w:cs="宋体"/>
          <w:color w:val="auto"/>
          <w:sz w:val="24"/>
          <w:szCs w:val="24"/>
          <w:highlight w:val="none"/>
        </w:rPr>
      </w:pPr>
      <w:bookmarkStart w:id="248" w:name="_Toc373227709"/>
      <w:bookmarkEnd w:id="248"/>
      <w:bookmarkStart w:id="249" w:name="_Toc17124"/>
      <w:bookmarkEnd w:id="249"/>
      <w:bookmarkStart w:id="250" w:name="_Toc373478356"/>
      <w:bookmarkEnd w:id="250"/>
      <w:bookmarkStart w:id="251" w:name="_Toc389065275"/>
      <w:r>
        <w:rPr>
          <w:rStyle w:val="346"/>
          <w:rFonts w:hint="eastAsia" w:ascii="宋体" w:hAnsi="宋体" w:eastAsia="宋体" w:cs="宋体"/>
          <w:color w:val="auto"/>
          <w:sz w:val="24"/>
          <w:szCs w:val="24"/>
          <w:highlight w:val="none"/>
        </w:rPr>
        <w:t xml:space="preserve">3.3 </w:t>
      </w:r>
      <w:bookmarkEnd w:id="251"/>
      <w:r>
        <w:rPr>
          <w:rStyle w:val="346"/>
          <w:rFonts w:hint="eastAsia" w:ascii="宋体" w:hAnsi="宋体" w:eastAsia="宋体" w:cs="宋体"/>
          <w:color w:val="auto"/>
          <w:sz w:val="24"/>
          <w:szCs w:val="24"/>
          <w:highlight w:val="none"/>
        </w:rPr>
        <w:t>承包人人员</w:t>
      </w:r>
    </w:p>
    <w:p w14:paraId="733EBA5F">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3.3.1 承包人提交项目管理机构及施工现场管理人员安排报告（格式见合同附件5）的期限：</w:t>
      </w:r>
      <w:r>
        <w:rPr>
          <w:rStyle w:val="346"/>
          <w:rFonts w:hint="eastAsia" w:ascii="宋体" w:hAnsi="宋体" w:cs="宋体"/>
          <w:color w:val="auto"/>
          <w:sz w:val="24"/>
          <w:szCs w:val="24"/>
          <w:highlight w:val="none"/>
          <w:u w:val="single"/>
        </w:rPr>
        <w:t>开工前7天</w:t>
      </w:r>
      <w:r>
        <w:rPr>
          <w:rStyle w:val="346"/>
          <w:rFonts w:hint="eastAsia" w:ascii="宋体" w:hAnsi="宋体" w:cs="宋体"/>
          <w:color w:val="auto"/>
          <w:sz w:val="24"/>
          <w:szCs w:val="24"/>
          <w:highlight w:val="none"/>
        </w:rPr>
        <w:t>。</w:t>
      </w:r>
    </w:p>
    <w:p w14:paraId="4880BE4E">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3.3.3 承包人无正当理由拒绝撤换主要施工管理人员的违约责任：</w:t>
      </w:r>
      <w:r>
        <w:rPr>
          <w:rStyle w:val="346"/>
          <w:rFonts w:hint="eastAsia" w:ascii="宋体" w:hAnsi="宋体" w:cs="宋体"/>
          <w:color w:val="auto"/>
          <w:sz w:val="24"/>
          <w:szCs w:val="24"/>
          <w:highlight w:val="none"/>
          <w:u w:val="single"/>
        </w:rPr>
        <w:t>因承包人主要施工管理人员不称职，发包人要求调换而无正当理由拒绝撤换或未及时调换的，视为承包人违约，必须向发包人交纳处罚金，处罚标准：技术负责人1000 元/人•次（人民币）；专业工程师 500元/人•次（人民币）</w:t>
      </w:r>
      <w:r>
        <w:rPr>
          <w:rStyle w:val="346"/>
          <w:rFonts w:hint="eastAsia" w:ascii="宋体" w:hAnsi="宋体" w:cs="宋体"/>
          <w:color w:val="auto"/>
          <w:sz w:val="24"/>
          <w:szCs w:val="24"/>
          <w:highlight w:val="none"/>
        </w:rPr>
        <w:t>。</w:t>
      </w:r>
    </w:p>
    <w:p w14:paraId="0E11907A">
      <w:pPr>
        <w:pStyle w:val="348"/>
        <w:spacing w:line="420" w:lineRule="exact"/>
        <w:ind w:firstLine="480" w:firstLineChars="200"/>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3.3.4 承包人主要施工管理人员离开施工现场的批准要求：</w:t>
      </w:r>
      <w:r>
        <w:rPr>
          <w:rStyle w:val="346"/>
          <w:rFonts w:hint="eastAsia" w:ascii="宋体" w:hAnsi="宋体" w:cs="宋体"/>
          <w:color w:val="auto"/>
          <w:sz w:val="24"/>
          <w:szCs w:val="24"/>
          <w:highlight w:val="none"/>
          <w:u w:val="single"/>
        </w:rPr>
        <w:t>须经发包人或监理人书面同意</w:t>
      </w:r>
      <w:r>
        <w:rPr>
          <w:rStyle w:val="346"/>
          <w:rFonts w:hint="eastAsia" w:ascii="宋体" w:hAnsi="宋体" w:cs="宋体"/>
          <w:color w:val="auto"/>
          <w:sz w:val="24"/>
          <w:szCs w:val="24"/>
          <w:highlight w:val="none"/>
        </w:rPr>
        <w:t>。</w:t>
      </w:r>
    </w:p>
    <w:p w14:paraId="52E05F80">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3.3.5 承包人擅自更换主要施工管理人员的违约责任：</w:t>
      </w:r>
      <w:r>
        <w:rPr>
          <w:rStyle w:val="346"/>
          <w:rFonts w:hint="eastAsia" w:ascii="宋体" w:hAnsi="宋体" w:cs="宋体"/>
          <w:color w:val="auto"/>
          <w:sz w:val="24"/>
          <w:szCs w:val="24"/>
          <w:highlight w:val="none"/>
          <w:u w:val="single"/>
        </w:rPr>
        <w:t>项目技术负责人、专职安全员及其承诺的其他在场管理人员未经发包人书面同意不准擅自更换，擅自更换项目技术负责人处2000元/人•次（人民币）违约金；擅自更换专职安全员处1000元/人•次（人民币）违约金；擅自更换其他在场管理人员处500元/人•次（人民币）违约金</w:t>
      </w:r>
      <w:r>
        <w:rPr>
          <w:rStyle w:val="346"/>
          <w:rFonts w:hint="eastAsia" w:ascii="宋体" w:hAnsi="宋体" w:cs="宋体"/>
          <w:color w:val="auto"/>
          <w:sz w:val="24"/>
          <w:szCs w:val="24"/>
          <w:highlight w:val="none"/>
        </w:rPr>
        <w:t>。</w:t>
      </w:r>
    </w:p>
    <w:p w14:paraId="04BCA0C6">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承包人主要施工管理人员擅自离开施工现场的违约责任：</w:t>
      </w:r>
      <w:r>
        <w:rPr>
          <w:rStyle w:val="346"/>
          <w:rFonts w:hint="eastAsia" w:ascii="宋体" w:hAnsi="宋体" w:cs="宋体"/>
          <w:color w:val="auto"/>
          <w:sz w:val="24"/>
          <w:szCs w:val="24"/>
          <w:highlight w:val="none"/>
          <w:u w:val="single"/>
        </w:rPr>
        <w:t>未经发包人同意，项目技术负责人擅自离岗的，视为承包人违约，发包人有权处违约金1000元/人•次（人民币）；未经发包人同意，专职安全员擅自离岗的，视为承包人违约，发包人有权处违约金500元/人•次（人民币）；其他在场管理人员擅自离岗的，视为承包人违约，发包人有权处违约金500元/人•次（人民币）</w:t>
      </w:r>
      <w:r>
        <w:rPr>
          <w:rStyle w:val="346"/>
          <w:rFonts w:hint="eastAsia" w:ascii="宋体" w:hAnsi="宋体" w:cs="宋体"/>
          <w:color w:val="auto"/>
          <w:sz w:val="24"/>
          <w:szCs w:val="24"/>
          <w:highlight w:val="none"/>
        </w:rPr>
        <w:t>。</w:t>
      </w:r>
    </w:p>
    <w:p w14:paraId="5370754A">
      <w:pPr>
        <w:pStyle w:val="352"/>
        <w:spacing w:line="420" w:lineRule="exact"/>
        <w:rPr>
          <w:rStyle w:val="346"/>
          <w:rFonts w:ascii="宋体" w:hAnsi="宋体" w:eastAsia="宋体" w:cs="宋体"/>
          <w:color w:val="auto"/>
          <w:sz w:val="24"/>
          <w:szCs w:val="24"/>
          <w:highlight w:val="none"/>
        </w:rPr>
      </w:pPr>
      <w:bookmarkStart w:id="252" w:name="_Toc373227710"/>
      <w:bookmarkEnd w:id="252"/>
      <w:bookmarkStart w:id="253" w:name="_Toc3880"/>
      <w:bookmarkEnd w:id="253"/>
      <w:bookmarkStart w:id="254" w:name="_Toc373478357"/>
      <w:bookmarkEnd w:id="254"/>
      <w:bookmarkStart w:id="255" w:name="_Toc389065276"/>
      <w:r>
        <w:rPr>
          <w:rStyle w:val="346"/>
          <w:rFonts w:hint="eastAsia" w:ascii="宋体" w:hAnsi="宋体" w:eastAsia="宋体" w:cs="宋体"/>
          <w:color w:val="auto"/>
          <w:sz w:val="24"/>
          <w:szCs w:val="24"/>
          <w:highlight w:val="none"/>
        </w:rPr>
        <w:t>3</w:t>
      </w:r>
      <w:bookmarkEnd w:id="255"/>
      <w:bookmarkStart w:id="256" w:name="_Toc297048345"/>
      <w:bookmarkEnd w:id="256"/>
      <w:bookmarkStart w:id="257" w:name="_Toc297123492"/>
      <w:bookmarkEnd w:id="257"/>
      <w:bookmarkStart w:id="258" w:name="_Toc296890987"/>
      <w:bookmarkEnd w:id="258"/>
      <w:bookmarkStart w:id="259" w:name="_Toc296346660"/>
      <w:bookmarkEnd w:id="259"/>
      <w:bookmarkStart w:id="260" w:name="_Toc292559364"/>
      <w:bookmarkEnd w:id="260"/>
      <w:bookmarkStart w:id="261" w:name="_Toc304295523"/>
      <w:bookmarkEnd w:id="261"/>
      <w:bookmarkStart w:id="262" w:name="_Toc303539102"/>
      <w:bookmarkEnd w:id="262"/>
      <w:bookmarkStart w:id="263" w:name="_Toc292559869"/>
      <w:bookmarkEnd w:id="263"/>
      <w:bookmarkStart w:id="264" w:name="_Toc296347158"/>
      <w:bookmarkEnd w:id="264"/>
      <w:bookmarkStart w:id="265" w:name="_Toc300934945"/>
      <w:bookmarkEnd w:id="265"/>
      <w:bookmarkStart w:id="266" w:name="_Toc296503159"/>
      <w:bookmarkEnd w:id="266"/>
      <w:bookmarkStart w:id="267" w:name="_Toc296944498"/>
      <w:bookmarkEnd w:id="267"/>
      <w:bookmarkStart w:id="268" w:name="_Toc296891199"/>
      <w:bookmarkEnd w:id="268"/>
      <w:bookmarkStart w:id="269" w:name="_Toc297120459"/>
      <w:bookmarkEnd w:id="269"/>
      <w:bookmarkStart w:id="270" w:name="_Toc312677988"/>
      <w:bookmarkEnd w:id="270"/>
      <w:bookmarkStart w:id="271" w:name="_Toc297216151"/>
      <w:r>
        <w:rPr>
          <w:rStyle w:val="346"/>
          <w:rFonts w:hint="eastAsia" w:ascii="宋体" w:hAnsi="宋体" w:eastAsia="宋体" w:cs="宋体"/>
          <w:color w:val="auto"/>
          <w:sz w:val="24"/>
          <w:szCs w:val="24"/>
          <w:highlight w:val="none"/>
        </w:rPr>
        <w:t xml:space="preserve">.5 </w:t>
      </w:r>
      <w:bookmarkEnd w:id="271"/>
      <w:r>
        <w:rPr>
          <w:rStyle w:val="346"/>
          <w:rFonts w:hint="eastAsia" w:ascii="宋体" w:hAnsi="宋体" w:eastAsia="宋体" w:cs="宋体"/>
          <w:color w:val="auto"/>
          <w:sz w:val="24"/>
          <w:szCs w:val="24"/>
          <w:highlight w:val="none"/>
        </w:rPr>
        <w:t>分包</w:t>
      </w:r>
    </w:p>
    <w:p w14:paraId="1C507BEA">
      <w:pPr>
        <w:pStyle w:val="348"/>
        <w:spacing w:line="420" w:lineRule="exact"/>
        <w:ind w:firstLine="480" w:firstLineChars="200"/>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w:t>
      </w:r>
      <w:bookmarkStart w:id="272" w:name="_Toc296346661"/>
      <w:bookmarkEnd w:id="272"/>
      <w:bookmarkStart w:id="273" w:name="_Toc312677989"/>
      <w:bookmarkEnd w:id="273"/>
      <w:bookmarkStart w:id="274" w:name="_Toc318581158"/>
      <w:bookmarkEnd w:id="274"/>
      <w:bookmarkStart w:id="275" w:name="_Toc303539103"/>
      <w:bookmarkEnd w:id="275"/>
      <w:bookmarkStart w:id="276" w:name="_Toc297120460"/>
      <w:bookmarkEnd w:id="276"/>
      <w:bookmarkStart w:id="277" w:name="_Toc296890988"/>
      <w:bookmarkEnd w:id="277"/>
      <w:bookmarkStart w:id="278" w:name="_Toc292559870"/>
      <w:bookmarkEnd w:id="278"/>
      <w:bookmarkStart w:id="279" w:name="_Toc297123493"/>
      <w:bookmarkEnd w:id="279"/>
      <w:bookmarkStart w:id="280" w:name="_Toc296347159"/>
      <w:bookmarkEnd w:id="280"/>
      <w:bookmarkStart w:id="281" w:name="_Toc304295524"/>
      <w:bookmarkEnd w:id="281"/>
      <w:bookmarkStart w:id="282" w:name="_Toc297048346"/>
      <w:bookmarkEnd w:id="282"/>
      <w:bookmarkStart w:id="283" w:name="_Toc292559365"/>
      <w:bookmarkEnd w:id="283"/>
      <w:bookmarkStart w:id="284" w:name="_Toc300934946"/>
      <w:bookmarkEnd w:id="284"/>
      <w:bookmarkStart w:id="285" w:name="_Toc297216152"/>
      <w:bookmarkEnd w:id="285"/>
      <w:bookmarkStart w:id="286" w:name="_Toc296503160"/>
      <w:bookmarkEnd w:id="286"/>
      <w:bookmarkStart w:id="287" w:name="_Toc296944499"/>
      <w:bookmarkEnd w:id="287"/>
      <w:bookmarkStart w:id="288" w:name="_Toc296891200"/>
      <w:r>
        <w:rPr>
          <w:rStyle w:val="346"/>
          <w:rFonts w:hint="eastAsia" w:ascii="宋体" w:hAnsi="宋体" w:cs="宋体"/>
          <w:color w:val="auto"/>
          <w:sz w:val="24"/>
          <w:szCs w:val="24"/>
          <w:highlight w:val="none"/>
        </w:rPr>
        <w:t xml:space="preserve">.5.1 </w:t>
      </w:r>
      <w:bookmarkEnd w:id="288"/>
      <w:r>
        <w:rPr>
          <w:rStyle w:val="346"/>
          <w:rFonts w:hint="eastAsia" w:ascii="宋体" w:hAnsi="宋体" w:cs="宋体"/>
          <w:color w:val="auto"/>
          <w:sz w:val="24"/>
          <w:szCs w:val="24"/>
          <w:highlight w:val="none"/>
        </w:rPr>
        <w:t>分包的一般约定</w:t>
      </w:r>
    </w:p>
    <w:p w14:paraId="56AE864A">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禁止分包的工程包括：</w:t>
      </w:r>
      <w:r>
        <w:rPr>
          <w:rStyle w:val="346"/>
          <w:rFonts w:hint="eastAsia" w:ascii="宋体" w:hAnsi="宋体" w:cs="宋体"/>
          <w:b/>
          <w:bCs/>
          <w:color w:val="auto"/>
          <w:sz w:val="24"/>
          <w:szCs w:val="24"/>
          <w:highlight w:val="none"/>
          <w:u w:val="single"/>
        </w:rPr>
        <w:t>本工程不允许分包</w:t>
      </w:r>
      <w:r>
        <w:rPr>
          <w:rStyle w:val="346"/>
          <w:rFonts w:hint="eastAsia" w:ascii="宋体" w:hAnsi="宋体" w:cs="宋体"/>
          <w:color w:val="auto"/>
          <w:sz w:val="24"/>
          <w:szCs w:val="24"/>
          <w:highlight w:val="none"/>
        </w:rPr>
        <w:t>。</w:t>
      </w:r>
    </w:p>
    <w:p w14:paraId="0062AD43">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主体结构、关键性工作的范围：</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649D97CA">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w:t>
      </w:r>
      <w:bookmarkStart w:id="289" w:name="_Toc318581159"/>
      <w:bookmarkEnd w:id="289"/>
      <w:bookmarkStart w:id="290" w:name="_Toc312677990"/>
      <w:r>
        <w:rPr>
          <w:rStyle w:val="346"/>
          <w:rFonts w:hint="eastAsia" w:ascii="宋体" w:hAnsi="宋体" w:cs="宋体"/>
          <w:color w:val="auto"/>
          <w:sz w:val="24"/>
          <w:szCs w:val="24"/>
          <w:highlight w:val="none"/>
        </w:rPr>
        <w:t>.5.2</w:t>
      </w:r>
      <w:bookmarkEnd w:id="290"/>
      <w:r>
        <w:rPr>
          <w:rStyle w:val="346"/>
          <w:rFonts w:hint="eastAsia" w:ascii="宋体" w:hAnsi="宋体" w:cs="宋体"/>
          <w:color w:val="auto"/>
          <w:sz w:val="24"/>
          <w:szCs w:val="24"/>
          <w:highlight w:val="none"/>
        </w:rPr>
        <w:t xml:space="preserve"> 分包的确定</w:t>
      </w:r>
    </w:p>
    <w:p w14:paraId="0CD4FFEC">
      <w:pPr>
        <w:pStyle w:val="348"/>
        <w:spacing w:line="420" w:lineRule="exact"/>
        <w:ind w:firstLine="480" w:firstLineChars="200"/>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允许分包的专业工程包括：</w:t>
      </w:r>
      <w:r>
        <w:rPr>
          <w:rStyle w:val="346"/>
          <w:rFonts w:hint="eastAsia" w:ascii="宋体" w:hAnsi="宋体" w:cs="宋体"/>
          <w:color w:val="auto"/>
          <w:sz w:val="24"/>
          <w:szCs w:val="24"/>
          <w:highlight w:val="none"/>
          <w:u w:val="single"/>
        </w:rPr>
        <w:t>无</w:t>
      </w:r>
      <w:r>
        <w:rPr>
          <w:rStyle w:val="346"/>
          <w:rFonts w:hint="eastAsia" w:ascii="宋体" w:hAnsi="宋体" w:cs="宋体"/>
          <w:color w:val="auto"/>
          <w:sz w:val="24"/>
          <w:szCs w:val="24"/>
          <w:highlight w:val="none"/>
        </w:rPr>
        <w:t>。</w:t>
      </w:r>
    </w:p>
    <w:p w14:paraId="626AB2EF">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其他关于分包的约定：</w:t>
      </w:r>
    </w:p>
    <w:p w14:paraId="325F6F7D">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除前款约定的分包内容外，经过发包人和监理人同意，承包人可以将其他非主体、非关键性工作分包给第三人，但分包人应当经过发包人和监理人书面审批。发包人和监理人有权拒绝承包人的分包请求和承包人选择的分包人。本项目分包人主要施工管理人员名单详见合同附件6。</w:t>
      </w:r>
    </w:p>
    <w:p w14:paraId="1244E122">
      <w:pPr>
        <w:pStyle w:val="348"/>
        <w:spacing w:line="420" w:lineRule="exact"/>
        <w:ind w:firstLine="480" w:firstLineChars="200"/>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（2）在相关分包合同签订并报送有关建设行政主管部门备案后7天内，承包人应当将一份副本提交给监理人，承包人应保障分包工作不得再次分包。</w:t>
      </w:r>
    </w:p>
    <w:p w14:paraId="777D9D34">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（3）未经发包人和监理人审批同意的分包工程和分包人，发包人有权拒绝验收分包工程和支付相应款项，由此引起的承包人费用增加和(或)延误的工期由承包人承担。</w:t>
      </w:r>
    </w:p>
    <w:p w14:paraId="2904DB83">
      <w:pPr>
        <w:pStyle w:val="354"/>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（4）承包人有以下情况之一者，发包人有权解除合同，并视情况扣除其履约保证金：</w:t>
      </w:r>
    </w:p>
    <w:p w14:paraId="3A6601BD">
      <w:pPr>
        <w:pStyle w:val="354"/>
        <w:spacing w:line="420" w:lineRule="exact"/>
        <w:ind w:firstLine="504" w:firstLineChars="21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①个人承包工程，包括本单位及外单位人员承包，发包人不承认其个人拥有任何资质等级及营业许可资格。没收全部履约保证金。</w:t>
      </w:r>
    </w:p>
    <w:p w14:paraId="765D7EA2">
      <w:pPr>
        <w:pStyle w:val="354"/>
        <w:spacing w:line="420" w:lineRule="exact"/>
        <w:ind w:firstLine="504" w:firstLineChars="21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②几个人联合承包工程，就地组织暗分包队伍，不具备完成本工程的技术、机械能力，被发包人判定为没有能力履行的承包人。没收全部履约保证金。</w:t>
      </w:r>
    </w:p>
    <w:p w14:paraId="7BCFF7EC">
      <w:pPr>
        <w:pStyle w:val="354"/>
        <w:spacing w:line="420" w:lineRule="exact"/>
        <w:ind w:firstLine="504" w:firstLineChars="21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③就地转包全部的工程，以谋取高额转让费、管理费的承包人。没收全部履约保证金。</w:t>
      </w:r>
    </w:p>
    <w:p w14:paraId="7467084D">
      <w:pPr>
        <w:pStyle w:val="348"/>
        <w:spacing w:line="420" w:lineRule="exact"/>
        <w:ind w:firstLine="480" w:firstLineChars="200"/>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FB65DA5">
      <w:pPr>
        <w:pStyle w:val="348"/>
        <w:spacing w:line="420" w:lineRule="exact"/>
        <w:ind w:firstLine="480" w:firstLineChars="200"/>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3.5.4 分包合同价款</w:t>
      </w:r>
    </w:p>
    <w:p w14:paraId="02335D89">
      <w:pPr>
        <w:pStyle w:val="348"/>
        <w:spacing w:line="420" w:lineRule="exact"/>
        <w:ind w:firstLine="480" w:firstLineChars="200"/>
        <w:rPr>
          <w:rStyle w:val="346"/>
          <w:rFonts w:ascii="宋体" w:hAnsi="宋体" w:cs="宋体"/>
          <w:color w:val="auto"/>
          <w:sz w:val="24"/>
          <w:szCs w:val="24"/>
          <w:highlight w:val="none"/>
        </w:rPr>
      </w:pPr>
      <w:bookmarkStart w:id="291" w:name="_Toc373478358"/>
      <w:bookmarkEnd w:id="291"/>
      <w:bookmarkStart w:id="292" w:name="_Toc389065277"/>
      <w:bookmarkEnd w:id="292"/>
      <w:bookmarkStart w:id="293" w:name="_Toc373227711"/>
      <w:r>
        <w:rPr>
          <w:rStyle w:val="346"/>
          <w:rFonts w:hint="eastAsia" w:ascii="宋体" w:hAnsi="宋体" w:cs="宋体"/>
          <w:color w:val="auto"/>
          <w:sz w:val="24"/>
          <w:szCs w:val="24"/>
          <w:highlight w:val="none"/>
        </w:rPr>
        <w:t>关于分包合同价款支付的约定：</w:t>
      </w:r>
      <w:bookmarkEnd w:id="293"/>
      <w:r>
        <w:rPr>
          <w:rStyle w:val="346"/>
          <w:rFonts w:hint="eastAsia" w:ascii="宋体" w:hAnsi="宋体" w:cs="宋体"/>
          <w:color w:val="auto"/>
          <w:sz w:val="24"/>
          <w:szCs w:val="24"/>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797F50A">
      <w:pPr>
        <w:pStyle w:val="352"/>
        <w:spacing w:line="420" w:lineRule="exact"/>
        <w:rPr>
          <w:rStyle w:val="346"/>
          <w:rFonts w:ascii="宋体" w:hAnsi="宋体" w:eastAsia="宋体" w:cs="宋体"/>
          <w:color w:val="auto"/>
          <w:sz w:val="24"/>
          <w:szCs w:val="24"/>
          <w:highlight w:val="none"/>
        </w:rPr>
      </w:pPr>
      <w:bookmarkStart w:id="294" w:name="_Toc8082"/>
      <w:bookmarkEnd w:id="294"/>
      <w:r>
        <w:rPr>
          <w:rStyle w:val="346"/>
          <w:rFonts w:hint="eastAsia" w:ascii="宋体" w:hAnsi="宋体" w:eastAsia="宋体" w:cs="宋体"/>
          <w:color w:val="auto"/>
          <w:sz w:val="24"/>
          <w:szCs w:val="24"/>
          <w:highlight w:val="none"/>
        </w:rPr>
        <w:t>3.6 工程照管与成品、半成品保护</w:t>
      </w:r>
    </w:p>
    <w:p w14:paraId="6BA030D0">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承包人负责照管工程及工程相关的材料、工程设备的起始时间：</w:t>
      </w:r>
      <w:r>
        <w:rPr>
          <w:rStyle w:val="346"/>
          <w:rFonts w:hint="eastAsia" w:ascii="宋体" w:hAnsi="宋体" w:cs="宋体"/>
          <w:color w:val="auto"/>
          <w:kern w:val="0"/>
          <w:sz w:val="24"/>
          <w:szCs w:val="24"/>
          <w:highlight w:val="none"/>
          <w:u w:val="single"/>
        </w:rPr>
        <w:t>从开工之日起至竣工验收合格交付使用之日止</w:t>
      </w:r>
      <w:r>
        <w:rPr>
          <w:rStyle w:val="346"/>
          <w:rFonts w:hint="eastAsia" w:ascii="宋体" w:hAnsi="宋体" w:cs="宋体"/>
          <w:color w:val="auto"/>
          <w:kern w:val="0"/>
          <w:sz w:val="24"/>
          <w:szCs w:val="24"/>
          <w:highlight w:val="none"/>
        </w:rPr>
        <w:t>。</w:t>
      </w:r>
    </w:p>
    <w:p w14:paraId="7B7D8486">
      <w:pPr>
        <w:pStyle w:val="352"/>
        <w:spacing w:line="420" w:lineRule="exact"/>
        <w:rPr>
          <w:rFonts w:ascii="宋体" w:hAnsi="宋体" w:eastAsia="宋体" w:cs="宋体"/>
          <w:color w:val="auto"/>
          <w:sz w:val="24"/>
          <w:szCs w:val="24"/>
          <w:highlight w:val="none"/>
        </w:rPr>
      </w:pPr>
      <w:bookmarkStart w:id="295" w:name="_Toc467599573"/>
      <w:r>
        <w:rPr>
          <w:rFonts w:hint="eastAsia" w:ascii="宋体" w:hAnsi="宋体" w:eastAsia="宋体" w:cs="宋体"/>
          <w:color w:val="auto"/>
          <w:sz w:val="24"/>
          <w:szCs w:val="24"/>
          <w:highlight w:val="none"/>
        </w:rPr>
        <w:t>3.7 履约保证金</w:t>
      </w:r>
      <w:bookmarkEnd w:id="295"/>
    </w:p>
    <w:p w14:paraId="19520C08">
      <w:pPr>
        <w:pStyle w:val="355"/>
        <w:spacing w:line="4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承包人提供履约担保的形式、金额及期限：</w:t>
      </w:r>
      <w:r>
        <w:rPr>
          <w:rFonts w:hint="eastAsia" w:ascii="宋体" w:hAnsi="宋体" w:cs="宋体"/>
          <w:color w:val="auto"/>
          <w:sz w:val="24"/>
          <w:szCs w:val="24"/>
          <w:highlight w:val="none"/>
          <w:u w:val="single"/>
        </w:rPr>
        <w:t>承包人在收到成交通知书后，须在7日内向发包人提交合同总价的5</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中小微企业的收合同总价的2</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的履约保证金；履约保证金递交方式：电汇、转账、支票、汇票、本票、保函等非现金形式。</w:t>
      </w:r>
    </w:p>
    <w:p w14:paraId="7BA4526A">
      <w:pPr>
        <w:pStyle w:val="355"/>
        <w:spacing w:line="42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工程竣工验收合格并对验收发现的问题完成整改后的7个日历天内，发包人支付履约保证金的50%；承包人向发包人完成（施工）竣工资料、档案资料移交、管理权（移交确认书）移交手续后，可向发包人申请退还剩余履约保证金，发包人应在收到申请之日起28个日历天内扣减承包人赔偿金和其他应从承包人扣回的款项后，将履约保证金的余额退还给承包人。</w:t>
      </w:r>
    </w:p>
    <w:p w14:paraId="69FA9F98">
      <w:pPr>
        <w:pStyle w:val="347"/>
        <w:spacing w:before="0" w:after="0" w:line="420" w:lineRule="exact"/>
        <w:rPr>
          <w:rStyle w:val="346"/>
          <w:rFonts w:ascii="宋体" w:hAnsi="宋体" w:eastAsia="宋体" w:cs="宋体"/>
          <w:color w:val="auto"/>
          <w:sz w:val="24"/>
          <w:szCs w:val="24"/>
          <w:highlight w:val="none"/>
        </w:rPr>
      </w:pPr>
      <w:bookmarkStart w:id="296" w:name="_Toc373478359"/>
      <w:bookmarkEnd w:id="296"/>
      <w:bookmarkStart w:id="297" w:name="_Toc389065278"/>
      <w:bookmarkEnd w:id="297"/>
      <w:bookmarkStart w:id="298" w:name="_Toc373227712"/>
      <w:bookmarkEnd w:id="298"/>
      <w:bookmarkStart w:id="299" w:name="_Toc32460"/>
      <w:bookmarkEnd w:id="299"/>
      <w:r>
        <w:rPr>
          <w:rStyle w:val="346"/>
          <w:rFonts w:hint="eastAsia" w:ascii="宋体" w:hAnsi="宋体" w:eastAsia="宋体" w:cs="宋体"/>
          <w:color w:val="auto"/>
          <w:sz w:val="24"/>
          <w:szCs w:val="24"/>
          <w:highlight w:val="none"/>
        </w:rPr>
        <w:t>4</w:t>
      </w:r>
      <w:bookmarkStart w:id="300" w:name="_Toc292559871"/>
      <w:bookmarkEnd w:id="300"/>
      <w:bookmarkStart w:id="301" w:name="_Toc296503162"/>
      <w:bookmarkEnd w:id="301"/>
      <w:bookmarkStart w:id="302" w:name="_Toc296347161"/>
      <w:bookmarkEnd w:id="302"/>
      <w:bookmarkStart w:id="303" w:name="_Toc267251413"/>
      <w:bookmarkEnd w:id="303"/>
      <w:bookmarkStart w:id="304" w:name="_Toc292559366"/>
      <w:bookmarkEnd w:id="304"/>
      <w:bookmarkStart w:id="305" w:name="_Toc296346663"/>
      <w:bookmarkEnd w:id="305"/>
      <w:bookmarkStart w:id="306" w:name="_Toc297048348"/>
      <w:bookmarkEnd w:id="306"/>
      <w:bookmarkStart w:id="307" w:name="_Toc296890990"/>
      <w:bookmarkEnd w:id="307"/>
      <w:bookmarkStart w:id="308" w:name="_Toc296891202"/>
      <w:bookmarkEnd w:id="308"/>
      <w:bookmarkStart w:id="309" w:name="_Toc296944501"/>
      <w:bookmarkEnd w:id="309"/>
      <w:bookmarkStart w:id="310" w:name="_Toc297120462"/>
      <w:r>
        <w:rPr>
          <w:rStyle w:val="346"/>
          <w:rFonts w:hint="eastAsia" w:ascii="宋体" w:hAnsi="宋体" w:eastAsia="宋体" w:cs="宋体"/>
          <w:color w:val="auto"/>
          <w:sz w:val="24"/>
          <w:szCs w:val="24"/>
          <w:highlight w:val="none"/>
        </w:rPr>
        <w:t xml:space="preserve">. </w:t>
      </w:r>
      <w:bookmarkEnd w:id="310"/>
      <w:r>
        <w:rPr>
          <w:rStyle w:val="346"/>
          <w:rFonts w:hint="eastAsia" w:ascii="宋体" w:hAnsi="宋体" w:eastAsia="宋体" w:cs="宋体"/>
          <w:color w:val="auto"/>
          <w:sz w:val="24"/>
          <w:szCs w:val="24"/>
          <w:highlight w:val="none"/>
        </w:rPr>
        <w:t>监理人</w:t>
      </w:r>
    </w:p>
    <w:p w14:paraId="4EC98A6C">
      <w:pPr>
        <w:pStyle w:val="352"/>
        <w:spacing w:line="420" w:lineRule="exact"/>
        <w:rPr>
          <w:rStyle w:val="346"/>
          <w:rFonts w:ascii="宋体" w:hAnsi="宋体" w:eastAsia="宋体" w:cs="宋体"/>
          <w:color w:val="auto"/>
          <w:sz w:val="24"/>
          <w:szCs w:val="24"/>
          <w:highlight w:val="none"/>
        </w:rPr>
      </w:pPr>
      <w:bookmarkStart w:id="311" w:name="_Toc389065280"/>
      <w:bookmarkEnd w:id="311"/>
      <w:bookmarkStart w:id="312" w:name="_Toc28478"/>
      <w:bookmarkEnd w:id="312"/>
      <w:bookmarkStart w:id="313" w:name="_Toc373227714"/>
      <w:bookmarkEnd w:id="313"/>
      <w:bookmarkStart w:id="314" w:name="_Toc373478361"/>
      <w:r>
        <w:rPr>
          <w:rStyle w:val="346"/>
          <w:rFonts w:hint="eastAsia" w:ascii="宋体" w:hAnsi="宋体" w:eastAsia="宋体" w:cs="宋体"/>
          <w:color w:val="auto"/>
          <w:sz w:val="24"/>
          <w:szCs w:val="24"/>
          <w:highlight w:val="none"/>
        </w:rPr>
        <w:t>4.1</w:t>
      </w:r>
      <w:bookmarkEnd w:id="314"/>
      <w:r>
        <w:rPr>
          <w:rStyle w:val="346"/>
          <w:rFonts w:hint="eastAsia" w:ascii="宋体" w:hAnsi="宋体" w:eastAsia="宋体" w:cs="宋体"/>
          <w:color w:val="auto"/>
          <w:sz w:val="24"/>
          <w:szCs w:val="24"/>
          <w:highlight w:val="none"/>
        </w:rPr>
        <w:t xml:space="preserve"> 监理人的一般规定</w:t>
      </w:r>
    </w:p>
    <w:p w14:paraId="24D022E8">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关于监理人的监理内容：</w:t>
      </w:r>
      <w:r>
        <w:rPr>
          <w:rStyle w:val="346"/>
          <w:rFonts w:hint="eastAsia" w:ascii="宋体" w:hAnsi="宋体" w:cs="宋体"/>
          <w:color w:val="auto"/>
          <w:sz w:val="24"/>
          <w:szCs w:val="24"/>
          <w:highlight w:val="none"/>
          <w:u w:val="single"/>
        </w:rPr>
        <w:t>见监理合同</w:t>
      </w:r>
      <w:r>
        <w:rPr>
          <w:rStyle w:val="346"/>
          <w:rFonts w:hint="eastAsia" w:ascii="宋体" w:hAnsi="宋体" w:cs="宋体"/>
          <w:color w:val="auto"/>
          <w:sz w:val="24"/>
          <w:szCs w:val="24"/>
          <w:highlight w:val="none"/>
        </w:rPr>
        <w:t>。</w:t>
      </w:r>
    </w:p>
    <w:p w14:paraId="5FD7F7AB">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关于监理人的监理权限：</w:t>
      </w:r>
      <w:r>
        <w:rPr>
          <w:rStyle w:val="346"/>
          <w:rFonts w:hint="eastAsia" w:ascii="宋体" w:hAnsi="宋体" w:cs="宋体"/>
          <w:color w:val="auto"/>
          <w:sz w:val="24"/>
          <w:szCs w:val="24"/>
          <w:highlight w:val="none"/>
          <w:u w:val="single"/>
        </w:rPr>
        <w:t>见监理合同</w:t>
      </w:r>
      <w:r>
        <w:rPr>
          <w:rStyle w:val="346"/>
          <w:rFonts w:hint="eastAsia" w:ascii="宋体" w:hAnsi="宋体" w:cs="宋体"/>
          <w:color w:val="auto"/>
          <w:sz w:val="24"/>
          <w:szCs w:val="24"/>
          <w:highlight w:val="none"/>
        </w:rPr>
        <w:t xml:space="preserve">。 </w:t>
      </w:r>
    </w:p>
    <w:p w14:paraId="7B454FB5">
      <w:pPr>
        <w:pStyle w:val="348"/>
        <w:spacing w:line="420" w:lineRule="exac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关于监理人在施工现场的办公场所、生活场所的提供和费用承担的约定：</w:t>
      </w:r>
      <w:r>
        <w:rPr>
          <w:rStyle w:val="346"/>
          <w:rFonts w:hint="eastAsia" w:ascii="宋体" w:hAnsi="宋体" w:cs="宋体"/>
          <w:color w:val="auto"/>
          <w:sz w:val="24"/>
          <w:szCs w:val="24"/>
          <w:highlight w:val="none"/>
          <w:u w:val="single"/>
        </w:rPr>
        <w:t xml:space="preserve">见监理合同 </w:t>
      </w:r>
      <w:r>
        <w:rPr>
          <w:rStyle w:val="346"/>
          <w:rFonts w:hint="eastAsia" w:ascii="宋体" w:hAnsi="宋体" w:cs="宋体"/>
          <w:color w:val="auto"/>
          <w:sz w:val="24"/>
          <w:szCs w:val="24"/>
          <w:highlight w:val="none"/>
        </w:rPr>
        <w:t>。</w:t>
      </w:r>
    </w:p>
    <w:p w14:paraId="2D0FC4DF">
      <w:pPr>
        <w:pStyle w:val="352"/>
        <w:spacing w:line="420" w:lineRule="exact"/>
        <w:rPr>
          <w:rStyle w:val="346"/>
          <w:rFonts w:ascii="宋体" w:hAnsi="宋体" w:eastAsia="宋体" w:cs="宋体"/>
          <w:color w:val="auto"/>
          <w:sz w:val="24"/>
          <w:szCs w:val="24"/>
          <w:highlight w:val="none"/>
        </w:rPr>
      </w:pPr>
      <w:bookmarkStart w:id="315" w:name="_Toc373478362"/>
      <w:bookmarkEnd w:id="315"/>
      <w:bookmarkStart w:id="316" w:name="_Toc389065281"/>
      <w:bookmarkEnd w:id="316"/>
      <w:bookmarkStart w:id="317" w:name="_Toc373227715"/>
      <w:bookmarkEnd w:id="317"/>
      <w:bookmarkStart w:id="318" w:name="_Toc12326"/>
      <w:r>
        <w:rPr>
          <w:rStyle w:val="346"/>
          <w:rFonts w:hint="eastAsia" w:ascii="宋体" w:hAnsi="宋体" w:eastAsia="宋体" w:cs="宋体"/>
          <w:color w:val="auto"/>
          <w:sz w:val="24"/>
          <w:szCs w:val="24"/>
          <w:highlight w:val="none"/>
        </w:rPr>
        <w:t xml:space="preserve">4.2 </w:t>
      </w:r>
      <w:bookmarkEnd w:id="318"/>
      <w:r>
        <w:rPr>
          <w:rStyle w:val="346"/>
          <w:rFonts w:hint="eastAsia" w:ascii="宋体" w:hAnsi="宋体" w:eastAsia="宋体" w:cs="宋体"/>
          <w:color w:val="auto"/>
          <w:sz w:val="24"/>
          <w:szCs w:val="24"/>
          <w:highlight w:val="none"/>
        </w:rPr>
        <w:t>监理人员</w:t>
      </w:r>
    </w:p>
    <w:p w14:paraId="51006B10">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总监理工程师：</w:t>
      </w:r>
    </w:p>
    <w:p w14:paraId="18182CAA">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姓    名：</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72764627">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职    务：</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3E6E428D">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监理工程师执业资格证书号：</w:t>
      </w:r>
      <w:r>
        <w:rPr>
          <w:rStyle w:val="346"/>
          <w:rFonts w:hint="eastAsia" w:ascii="宋体" w:hAnsi="宋体" w:cs="宋体"/>
          <w:color w:val="auto"/>
          <w:sz w:val="24"/>
          <w:szCs w:val="24"/>
          <w:highlight w:val="none"/>
          <w:u w:val="single"/>
        </w:rPr>
        <w:t> </w:t>
      </w:r>
      <w:r>
        <w:rPr>
          <w:rStyle w:val="346"/>
          <w:rFonts w:hint="eastAsia" w:ascii="宋体" w:hAnsi="宋体" w:cs="宋体"/>
          <w:color w:val="auto"/>
          <w:sz w:val="24"/>
          <w:szCs w:val="24"/>
          <w:highlight w:val="none"/>
        </w:rPr>
        <w:t>；</w:t>
      </w:r>
    </w:p>
    <w:p w14:paraId="26FBE2C8">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联系电话：</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2837D80B">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电子信箱：</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0167D91E">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通信地址：</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08011371">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关于监理人的其他约定：</w:t>
      </w:r>
      <w:r>
        <w:rPr>
          <w:rStyle w:val="346"/>
          <w:rFonts w:hint="eastAsia" w:ascii="宋体" w:hAnsi="宋体" w:cs="宋体"/>
          <w:color w:val="auto"/>
          <w:sz w:val="24"/>
          <w:szCs w:val="24"/>
          <w:highlight w:val="none"/>
          <w:u w:val="single"/>
        </w:rPr>
        <w:t>   </w:t>
      </w:r>
      <w:r>
        <w:rPr>
          <w:rStyle w:val="346"/>
          <w:rFonts w:hint="eastAsia" w:ascii="宋体" w:hAnsi="宋体" w:cs="宋体"/>
          <w:color w:val="auto"/>
          <w:sz w:val="24"/>
          <w:szCs w:val="24"/>
          <w:highlight w:val="none"/>
        </w:rPr>
        <w:t>。</w:t>
      </w:r>
    </w:p>
    <w:p w14:paraId="2C538ABA">
      <w:pPr>
        <w:pStyle w:val="352"/>
        <w:spacing w:line="420" w:lineRule="exact"/>
        <w:rPr>
          <w:rStyle w:val="346"/>
          <w:rFonts w:ascii="宋体" w:hAnsi="宋体" w:eastAsia="宋体" w:cs="宋体"/>
          <w:color w:val="auto"/>
          <w:sz w:val="24"/>
          <w:szCs w:val="24"/>
          <w:highlight w:val="none"/>
        </w:rPr>
      </w:pPr>
      <w:bookmarkStart w:id="319" w:name="_Toc373227716"/>
      <w:bookmarkEnd w:id="319"/>
      <w:bookmarkStart w:id="320" w:name="_Toc373478363"/>
      <w:bookmarkEnd w:id="320"/>
      <w:bookmarkStart w:id="321" w:name="_Toc6626"/>
      <w:bookmarkEnd w:id="321"/>
      <w:bookmarkStart w:id="322" w:name="_Toc389065282"/>
      <w:r>
        <w:rPr>
          <w:rStyle w:val="346"/>
          <w:rFonts w:hint="eastAsia" w:ascii="宋体" w:hAnsi="宋体" w:eastAsia="宋体" w:cs="宋体"/>
          <w:color w:val="auto"/>
          <w:sz w:val="24"/>
          <w:szCs w:val="24"/>
          <w:highlight w:val="none"/>
        </w:rPr>
        <w:t xml:space="preserve">4.4 </w:t>
      </w:r>
      <w:bookmarkEnd w:id="322"/>
      <w:r>
        <w:rPr>
          <w:rStyle w:val="346"/>
          <w:rFonts w:hint="eastAsia" w:ascii="宋体" w:hAnsi="宋体" w:eastAsia="宋体" w:cs="宋体"/>
          <w:color w:val="auto"/>
          <w:sz w:val="24"/>
          <w:szCs w:val="24"/>
          <w:highlight w:val="none"/>
        </w:rPr>
        <w:t>商定或确定</w:t>
      </w:r>
    </w:p>
    <w:p w14:paraId="1BFDDB26">
      <w:pPr>
        <w:pStyle w:val="348"/>
        <w:spacing w:line="420" w:lineRule="exact"/>
        <w:ind w:firstLine="480" w:firstLineChars="200"/>
        <w:rPr>
          <w:rStyle w:val="346"/>
          <w:rFonts w:ascii="宋体" w:hAnsi="宋体" w:cs="宋体"/>
          <w:color w:val="auto"/>
          <w:sz w:val="24"/>
          <w:szCs w:val="24"/>
          <w:highlight w:val="none"/>
        </w:rPr>
      </w:pPr>
      <w:bookmarkStart w:id="323" w:name="_Toc267251418"/>
      <w:bookmarkEnd w:id="323"/>
      <w:r>
        <w:rPr>
          <w:rStyle w:val="346"/>
          <w:rFonts w:hint="eastAsia" w:ascii="宋体" w:hAnsi="宋体" w:cs="宋体"/>
          <w:color w:val="auto"/>
          <w:sz w:val="24"/>
          <w:szCs w:val="24"/>
          <w:highlight w:val="none"/>
        </w:rPr>
        <w:t>在发包人和承包人不能通过协商达成一致意见时，发包人授权监理人对以下事项进行确定：</w:t>
      </w:r>
    </w:p>
    <w:p w14:paraId="74CD0D44">
      <w:pPr>
        <w:pStyle w:val="348"/>
        <w:autoSpaceDE w:val="0"/>
        <w:autoSpaceDN w:val="0"/>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按本合同通用相关条款执行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7982E4B2">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2D8C73FB">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（3）</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004A2CA5">
      <w:pPr>
        <w:pStyle w:val="347"/>
        <w:spacing w:before="0" w:after="0" w:line="420" w:lineRule="exact"/>
        <w:rPr>
          <w:rStyle w:val="346"/>
          <w:rFonts w:ascii="宋体" w:hAnsi="宋体" w:eastAsia="宋体" w:cs="宋体"/>
          <w:color w:val="auto"/>
          <w:sz w:val="24"/>
          <w:szCs w:val="24"/>
          <w:highlight w:val="none"/>
        </w:rPr>
      </w:pPr>
      <w:bookmarkStart w:id="324" w:name="_Toc373227717"/>
      <w:bookmarkEnd w:id="324"/>
      <w:bookmarkStart w:id="325" w:name="_Toc373478364"/>
      <w:bookmarkEnd w:id="325"/>
      <w:bookmarkStart w:id="326" w:name="_Toc389065283"/>
      <w:bookmarkEnd w:id="326"/>
      <w:bookmarkStart w:id="327" w:name="_Toc351203637"/>
      <w:bookmarkEnd w:id="327"/>
      <w:bookmarkStart w:id="328" w:name="_Toc28100"/>
      <w:r>
        <w:rPr>
          <w:rStyle w:val="346"/>
          <w:rFonts w:hint="eastAsia" w:ascii="宋体" w:hAnsi="宋体" w:eastAsia="宋体" w:cs="宋体"/>
          <w:color w:val="auto"/>
          <w:sz w:val="24"/>
          <w:szCs w:val="24"/>
          <w:highlight w:val="none"/>
        </w:rPr>
        <w:t>5</w:t>
      </w:r>
      <w:bookmarkEnd w:id="328"/>
      <w:bookmarkStart w:id="329" w:name="_Toc297048349"/>
      <w:bookmarkEnd w:id="329"/>
      <w:bookmarkStart w:id="330" w:name="_Toc296503163"/>
      <w:bookmarkEnd w:id="330"/>
      <w:bookmarkStart w:id="331" w:name="_Toc292559367"/>
      <w:bookmarkEnd w:id="331"/>
      <w:bookmarkStart w:id="332" w:name="_Toc297120463"/>
      <w:bookmarkEnd w:id="332"/>
      <w:bookmarkStart w:id="333" w:name="_Toc296891203"/>
      <w:bookmarkEnd w:id="333"/>
      <w:bookmarkStart w:id="334" w:name="_Toc292559872"/>
      <w:bookmarkEnd w:id="334"/>
      <w:bookmarkStart w:id="335" w:name="_Toc296346664"/>
      <w:bookmarkEnd w:id="335"/>
      <w:bookmarkStart w:id="336" w:name="_Toc296890991"/>
      <w:bookmarkEnd w:id="336"/>
      <w:bookmarkStart w:id="337" w:name="_Toc296944502"/>
      <w:bookmarkEnd w:id="337"/>
      <w:bookmarkStart w:id="338" w:name="_Toc296347162"/>
      <w:r>
        <w:rPr>
          <w:rStyle w:val="346"/>
          <w:rFonts w:hint="eastAsia" w:ascii="宋体" w:hAnsi="宋体" w:eastAsia="宋体" w:cs="宋体"/>
          <w:color w:val="auto"/>
          <w:sz w:val="24"/>
          <w:szCs w:val="24"/>
          <w:highlight w:val="none"/>
        </w:rPr>
        <w:t xml:space="preserve">. </w:t>
      </w:r>
      <w:bookmarkEnd w:id="338"/>
      <w:r>
        <w:rPr>
          <w:rStyle w:val="346"/>
          <w:rFonts w:hint="eastAsia" w:ascii="宋体" w:hAnsi="宋体" w:eastAsia="宋体" w:cs="宋体"/>
          <w:color w:val="auto"/>
          <w:sz w:val="24"/>
          <w:szCs w:val="24"/>
          <w:highlight w:val="none"/>
        </w:rPr>
        <w:t>工程质量</w:t>
      </w:r>
    </w:p>
    <w:p w14:paraId="389F5BDB">
      <w:pPr>
        <w:pStyle w:val="352"/>
        <w:spacing w:line="420" w:lineRule="exact"/>
        <w:rPr>
          <w:rStyle w:val="346"/>
          <w:rFonts w:ascii="宋体" w:hAnsi="宋体" w:eastAsia="宋体" w:cs="宋体"/>
          <w:color w:val="auto"/>
          <w:sz w:val="24"/>
          <w:szCs w:val="24"/>
          <w:highlight w:val="none"/>
        </w:rPr>
      </w:pPr>
      <w:bookmarkStart w:id="339" w:name="_Toc373227718"/>
      <w:bookmarkEnd w:id="339"/>
      <w:bookmarkStart w:id="340" w:name="_Toc15241"/>
      <w:bookmarkEnd w:id="340"/>
      <w:bookmarkStart w:id="341" w:name="_Toc373478365"/>
      <w:bookmarkEnd w:id="341"/>
      <w:bookmarkStart w:id="342" w:name="_Toc389065284"/>
      <w:r>
        <w:rPr>
          <w:rStyle w:val="346"/>
          <w:rFonts w:hint="eastAsia" w:ascii="宋体" w:hAnsi="宋体" w:eastAsia="宋体" w:cs="宋体"/>
          <w:color w:val="auto"/>
          <w:sz w:val="24"/>
          <w:szCs w:val="24"/>
          <w:highlight w:val="none"/>
        </w:rPr>
        <w:t xml:space="preserve">5.1 </w:t>
      </w:r>
      <w:bookmarkEnd w:id="342"/>
      <w:r>
        <w:rPr>
          <w:rStyle w:val="346"/>
          <w:rFonts w:hint="eastAsia" w:ascii="宋体" w:hAnsi="宋体" w:eastAsia="宋体" w:cs="宋体"/>
          <w:color w:val="auto"/>
          <w:sz w:val="24"/>
          <w:szCs w:val="24"/>
          <w:highlight w:val="none"/>
        </w:rPr>
        <w:t>质量要求</w:t>
      </w:r>
    </w:p>
    <w:p w14:paraId="5493B6F4">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5</w:t>
      </w:r>
      <w:bookmarkStart w:id="343" w:name="_Toc318581164"/>
      <w:bookmarkEnd w:id="343"/>
      <w:bookmarkStart w:id="344" w:name="_Toc297123496"/>
      <w:bookmarkEnd w:id="344"/>
      <w:bookmarkStart w:id="345" w:name="_Toc312677997"/>
      <w:bookmarkEnd w:id="345"/>
      <w:bookmarkStart w:id="346" w:name="_Toc303539106"/>
      <w:bookmarkEnd w:id="346"/>
      <w:bookmarkStart w:id="347" w:name="_Toc297216155"/>
      <w:bookmarkEnd w:id="347"/>
      <w:bookmarkStart w:id="348" w:name="_Toc304295527"/>
      <w:bookmarkEnd w:id="348"/>
      <w:bookmarkStart w:id="349" w:name="_Toc300934949"/>
      <w:r>
        <w:rPr>
          <w:rStyle w:val="346"/>
          <w:rFonts w:hint="eastAsia" w:ascii="宋体" w:hAnsi="宋体" w:cs="宋体"/>
          <w:color w:val="auto"/>
          <w:sz w:val="24"/>
          <w:szCs w:val="24"/>
          <w:highlight w:val="none"/>
        </w:rPr>
        <w:t xml:space="preserve">.1.1 </w:t>
      </w:r>
      <w:bookmarkEnd w:id="349"/>
      <w:r>
        <w:rPr>
          <w:rStyle w:val="346"/>
          <w:rFonts w:hint="eastAsia" w:ascii="宋体" w:hAnsi="宋体" w:cs="宋体"/>
          <w:color w:val="auto"/>
          <w:sz w:val="24"/>
          <w:szCs w:val="24"/>
          <w:highlight w:val="none"/>
        </w:rPr>
        <w:t>特殊质量标准和要求：</w:t>
      </w:r>
      <w:r>
        <w:rPr>
          <w:rStyle w:val="346"/>
          <w:rFonts w:hint="eastAsia" w:ascii="宋体" w:hAnsi="宋体" w:cs="宋体"/>
          <w:color w:val="auto"/>
          <w:sz w:val="24"/>
          <w:szCs w:val="24"/>
          <w:highlight w:val="none"/>
          <w:u w:val="single"/>
        </w:rPr>
        <w:t>严格执行广西壮族自治区住房和城乡建设厅《关于严格实行房屋建筑和市政基础设施工程质量终身责任承诺、永久性质量责任标牌、终身责任信息档案等制度的通知》(桂建管[2014]96号)要求，落实建设工程质量终身责任。</w:t>
      </w:r>
    </w:p>
    <w:p w14:paraId="41DE8110">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关于工程奖项的约定：</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双方另行约定</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100A1529">
      <w:pPr>
        <w:spacing w:line="420" w:lineRule="exact"/>
        <w:ind w:firstLine="480" w:firstLineChars="200"/>
        <w:jc w:val="left"/>
        <w:outlineLvl w:val="2"/>
        <w:rPr>
          <w:rFonts w:ascii="宋体" w:hAnsi="宋体" w:eastAsia="宋体" w:cs="宋体"/>
          <w:color w:val="auto"/>
          <w:sz w:val="24"/>
          <w:highlight w:val="none"/>
        </w:rPr>
      </w:pPr>
      <w:r>
        <w:rPr>
          <w:rFonts w:hint="eastAsia" w:ascii="宋体" w:hAnsi="宋体" w:eastAsia="宋体" w:cs="宋体"/>
          <w:color w:val="auto"/>
          <w:sz w:val="24"/>
          <w:highlight w:val="none"/>
        </w:rPr>
        <w:t>5.2质量保证措施</w:t>
      </w:r>
    </w:p>
    <w:p w14:paraId="6DDA9145">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5.2.1发包人对施工当中因承包人管理不善造成的严重质量问题可进行处罚，处罚金额为5000元（人民币）/起，处罚累计超过三起，发包人有权要求更换承包人的项目质量负责人，累计超过五起，发包人有权要求承包人更换项目经理。如发生重大质量事故（政府主管部门认定）一起，发包人有权要求承包人更换项目经理并进行每起人民币2万元（含2万元）以内的处罚。</w:t>
      </w:r>
    </w:p>
    <w:p w14:paraId="7503F9ED">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5.2.2承包人须在发包人开出罚款通知书即日起七个工作日内，到发包人的财务部门缴纳相应的罚款，若逾期未缴纳罚款，发包人有权停止拨付当月或下月的工程进度款，所造成的责任由承包人承担。</w:t>
      </w:r>
    </w:p>
    <w:p w14:paraId="3497EEA9">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5.2.3在施工过程中，如本道工序存在质量、安全隐患，承包人未按发包人、监理人要求整改就擅自进入下道工序施工的，发包人有权视情况扣罚施工单位每处2000元，同时责令返工。</w:t>
      </w:r>
    </w:p>
    <w:p w14:paraId="43ABA315">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5.2.4分部工程质量验收时,若工程质量不合格，发包人可视其情节轻重，每处每次处以承包人不少于</w:t>
      </w:r>
      <w:r>
        <w:rPr>
          <w:rFonts w:hint="eastAsia" w:ascii="宋体" w:hAnsi="宋体" w:eastAsia="宋体" w:cs="宋体"/>
          <w:color w:val="auto"/>
          <w:sz w:val="24"/>
          <w:highlight w:val="none"/>
          <w:u w:val="single"/>
        </w:rPr>
        <w:t>5000</w:t>
      </w:r>
      <w:r>
        <w:rPr>
          <w:rFonts w:hint="eastAsia" w:ascii="宋体" w:hAnsi="宋体" w:eastAsia="宋体" w:cs="宋体"/>
          <w:color w:val="auto"/>
          <w:sz w:val="24"/>
          <w:highlight w:val="none"/>
        </w:rPr>
        <w:t>元的违约处理金，且工程质量必须无条件返工达到合格要求。对违反相关安全生产规范要求、相关建筑质量规范要求的情况，发包人及监理单位除有权要求承包人整改返工外还可以视情节严重程度，每次处5000元的经济处罚。</w:t>
      </w:r>
    </w:p>
    <w:p w14:paraId="2A9C46BB">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5.2.5承包人施工的工程内容全部竣工后，工程质量正式验收时,工程整体质量若达不到合格标准，发包人视其情节轻重处以承包人不低于</w:t>
      </w:r>
      <w:r>
        <w:rPr>
          <w:rFonts w:hint="eastAsia" w:ascii="宋体" w:hAnsi="宋体" w:eastAsia="宋体" w:cs="宋体"/>
          <w:color w:val="auto"/>
          <w:sz w:val="24"/>
          <w:highlight w:val="none"/>
          <w:u w:val="single"/>
        </w:rPr>
        <w:t>20000</w:t>
      </w:r>
      <w:r>
        <w:rPr>
          <w:rFonts w:hint="eastAsia" w:ascii="宋体" w:hAnsi="宋体" w:eastAsia="宋体" w:cs="宋体"/>
          <w:color w:val="auto"/>
          <w:sz w:val="24"/>
          <w:highlight w:val="none"/>
        </w:rPr>
        <w:t>元的工程质量违约处理金，同时承包人必须无条件全部返工达到合格要求。承包人未按发包人通知时限内返工处理，发包人有权另行选择第三方处理质量缺陷，因此产生的费用由承包人承担，承包方予以无条件认可。因承包人拒不返工整改给发包人造成的其他费用损失和工期延误，由承包人承担责任。</w:t>
      </w:r>
    </w:p>
    <w:p w14:paraId="48522F34">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5.2.6发包人和监理单位在工程实施过程中，可以随时对承包人已使用和未使用的工程材料进行抽检，若发现有不符合设计和规范及合同要求的不合格产品，承包人必须对不合格部分工程进行返工至合格为止，并将不合格的材料清出施工现场，否则，发包人按已使用的不合格材料价值的</w:t>
      </w:r>
      <w:r>
        <w:rPr>
          <w:rFonts w:hint="eastAsia" w:ascii="宋体" w:hAnsi="宋体" w:eastAsia="宋体" w:cs="宋体"/>
          <w:color w:val="auto"/>
          <w:sz w:val="24"/>
          <w:highlight w:val="none"/>
          <w:u w:val="single"/>
        </w:rPr>
        <w:t xml:space="preserve"> 5%</w:t>
      </w:r>
      <w:r>
        <w:rPr>
          <w:rFonts w:hint="eastAsia" w:ascii="宋体" w:hAnsi="宋体" w:eastAsia="宋体" w:cs="宋体"/>
          <w:color w:val="auto"/>
          <w:sz w:val="24"/>
          <w:highlight w:val="none"/>
        </w:rPr>
        <w:t xml:space="preserve"> 处以承包人违约处理金，承包人承担由此引起的一切经济损失（包括全部返工在内的费用）。</w:t>
      </w:r>
    </w:p>
    <w:p w14:paraId="13E9AB5F">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5.2.7发包人在施工过程中的日常工程质量检查，检查发现的工程质量存在不合格时，在发包人或监理发出2次整改通知书后，承包人仍未在规定的时间内整改达到合格要求，则发包人可视其情节轻重，每次处以承包人不少于</w:t>
      </w:r>
      <w:r>
        <w:rPr>
          <w:rFonts w:hint="eastAsia" w:ascii="宋体" w:hAnsi="宋体" w:eastAsia="宋体" w:cs="宋体"/>
          <w:color w:val="auto"/>
          <w:sz w:val="24"/>
          <w:highlight w:val="none"/>
          <w:u w:val="single"/>
        </w:rPr>
        <w:t xml:space="preserve"> 5000 </w:t>
      </w:r>
      <w:r>
        <w:rPr>
          <w:rFonts w:hint="eastAsia" w:ascii="宋体" w:hAnsi="宋体" w:eastAsia="宋体" w:cs="宋体"/>
          <w:color w:val="auto"/>
          <w:sz w:val="24"/>
          <w:highlight w:val="none"/>
        </w:rPr>
        <w:t>元的违约处理金，且工程质量必须无条件返工达到合格要求。</w:t>
      </w:r>
    </w:p>
    <w:p w14:paraId="066007F3">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5.2.8承包人若在施工过程中未严格按国家施工规范和操作规程要求进行施工，或者承包人擅自实施未经监理单位及发包人同意的施工方案, 发包人或监理单位在发出2次整改通知书后，承包人仍未整改，发包人将视其情节轻重，处以承包人每次或每处不少于 </w:t>
      </w:r>
      <w:r>
        <w:rPr>
          <w:rFonts w:hint="eastAsia" w:ascii="宋体" w:hAnsi="宋体" w:eastAsia="宋体" w:cs="宋体"/>
          <w:color w:val="auto"/>
          <w:sz w:val="24"/>
          <w:highlight w:val="none"/>
          <w:u w:val="single"/>
        </w:rPr>
        <w:t xml:space="preserve">5000 </w:t>
      </w:r>
      <w:r>
        <w:rPr>
          <w:rFonts w:hint="eastAsia" w:ascii="宋体" w:hAnsi="宋体" w:eastAsia="宋体" w:cs="宋体"/>
          <w:color w:val="auto"/>
          <w:sz w:val="24"/>
          <w:highlight w:val="none"/>
        </w:rPr>
        <w:t>元的违约处理金。</w:t>
      </w:r>
    </w:p>
    <w:p w14:paraId="2D1D9DBD">
      <w:pPr>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5.2.9经行业主管部门及项目业主予以通报或处罚的，处以</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元/次罚款。承包人因施工进度慢、质量管理差受到行政监管部门约谈的，发包人可处</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元/次经济处罚。</w:t>
      </w:r>
    </w:p>
    <w:p w14:paraId="643938CB">
      <w:pPr>
        <w:spacing w:line="420" w:lineRule="exact"/>
        <w:ind w:firstLine="480" w:firstLineChars="200"/>
        <w:jc w:val="left"/>
        <w:rPr>
          <w:rStyle w:val="346"/>
          <w:rFonts w:ascii="宋体" w:hAnsi="宋体" w:eastAsia="宋体" w:cs="宋体"/>
          <w:color w:val="auto"/>
          <w:sz w:val="24"/>
          <w:highlight w:val="none"/>
        </w:rPr>
      </w:pPr>
      <w:r>
        <w:rPr>
          <w:rFonts w:hint="eastAsia" w:ascii="宋体" w:hAnsi="宋体" w:eastAsia="宋体" w:cs="宋体"/>
          <w:color w:val="auto"/>
          <w:sz w:val="24"/>
          <w:highlight w:val="none"/>
        </w:rPr>
        <w:t>5.2.10经社会媒体曝光及市民投诉的予以证实后处以</w:t>
      </w:r>
      <w:r>
        <w:rPr>
          <w:rFonts w:hint="eastAsia" w:ascii="宋体" w:hAnsi="宋体" w:eastAsia="宋体" w:cs="宋体"/>
          <w:color w:val="auto"/>
          <w:sz w:val="24"/>
          <w:highlight w:val="none"/>
          <w:u w:val="single"/>
        </w:rPr>
        <w:t>2000</w:t>
      </w:r>
      <w:r>
        <w:rPr>
          <w:rFonts w:hint="eastAsia" w:ascii="宋体" w:hAnsi="宋体" w:eastAsia="宋体" w:cs="宋体"/>
          <w:color w:val="auto"/>
          <w:sz w:val="24"/>
          <w:highlight w:val="none"/>
        </w:rPr>
        <w:t>元/次罚款。相应罚款在当期进度款中予以扣除。</w:t>
      </w:r>
    </w:p>
    <w:p w14:paraId="0244BB7C">
      <w:pPr>
        <w:pStyle w:val="348"/>
        <w:spacing w:line="420" w:lineRule="exact"/>
        <w:ind w:firstLine="480" w:firstLineChars="200"/>
        <w:jc w:val="left"/>
        <w:outlineLvl w:val="2"/>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5.3 隐蔽工程检查</w:t>
      </w:r>
    </w:p>
    <w:p w14:paraId="21D94191">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5.3.2承包人提前通知监理人隐蔽工程检查的期限的约定：工程隐蔽或中间验收前12小时以书面形式通知发包人和监理工程师验收的内容、时间、地点，承包人准备验收记录单（必须为印制的表格）由双方签证。验收合格，承包人可进行隐蔽和继续施工；验收不合格，双方商订时限内修改后按上述循序重新验收。</w:t>
      </w:r>
    </w:p>
    <w:p w14:paraId="26B51007">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监理人不能按时进行检查时，应提前</w:t>
      </w:r>
      <w:r>
        <w:rPr>
          <w:rStyle w:val="346"/>
          <w:rFonts w:hint="eastAsia" w:ascii="宋体" w:hAnsi="宋体" w:cs="宋体"/>
          <w:color w:val="auto"/>
          <w:sz w:val="24"/>
          <w:szCs w:val="24"/>
          <w:highlight w:val="none"/>
          <w:u w:val="single"/>
        </w:rPr>
        <w:t xml:space="preserve">   12    </w:t>
      </w:r>
      <w:r>
        <w:rPr>
          <w:rStyle w:val="346"/>
          <w:rFonts w:hint="eastAsia" w:ascii="宋体" w:hAnsi="宋体" w:cs="宋体"/>
          <w:color w:val="auto"/>
          <w:sz w:val="24"/>
          <w:szCs w:val="24"/>
          <w:highlight w:val="none"/>
        </w:rPr>
        <w:t>小时提交书面延期要求。</w:t>
      </w:r>
    </w:p>
    <w:p w14:paraId="0B34977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关于延期最长不得超过：</w:t>
      </w:r>
      <w:r>
        <w:rPr>
          <w:rStyle w:val="346"/>
          <w:rFonts w:hint="eastAsia" w:ascii="宋体" w:hAnsi="宋体" w:cs="宋体"/>
          <w:color w:val="auto"/>
          <w:sz w:val="24"/>
          <w:szCs w:val="24"/>
          <w:highlight w:val="none"/>
          <w:u w:val="single"/>
        </w:rPr>
        <w:t xml:space="preserve">   12      </w:t>
      </w:r>
      <w:r>
        <w:rPr>
          <w:rStyle w:val="346"/>
          <w:rFonts w:hint="eastAsia" w:ascii="宋体" w:hAnsi="宋体" w:cs="宋体"/>
          <w:color w:val="auto"/>
          <w:sz w:val="24"/>
          <w:szCs w:val="24"/>
          <w:highlight w:val="none"/>
        </w:rPr>
        <w:t>小时。</w:t>
      </w:r>
    </w:p>
    <w:p w14:paraId="7BA274AF">
      <w:pPr>
        <w:pStyle w:val="347"/>
        <w:spacing w:before="0" w:after="0" w:line="420" w:lineRule="exact"/>
        <w:rPr>
          <w:rStyle w:val="346"/>
          <w:rFonts w:ascii="宋体" w:hAnsi="宋体" w:eastAsia="宋体" w:cs="宋体"/>
          <w:color w:val="auto"/>
          <w:sz w:val="24"/>
          <w:szCs w:val="24"/>
          <w:highlight w:val="none"/>
        </w:rPr>
      </w:pPr>
      <w:bookmarkStart w:id="350" w:name="_Toc373478366"/>
      <w:bookmarkEnd w:id="350"/>
      <w:bookmarkStart w:id="351" w:name="_Toc389065285"/>
      <w:bookmarkEnd w:id="351"/>
      <w:bookmarkStart w:id="352" w:name="_Toc373227719"/>
      <w:bookmarkEnd w:id="352"/>
      <w:bookmarkStart w:id="353" w:name="_Toc351203638"/>
      <w:bookmarkEnd w:id="353"/>
      <w:bookmarkStart w:id="354" w:name="_Toc16364"/>
      <w:r>
        <w:rPr>
          <w:rStyle w:val="346"/>
          <w:rFonts w:hint="eastAsia" w:ascii="宋体" w:hAnsi="宋体" w:eastAsia="宋体" w:cs="宋体"/>
          <w:color w:val="auto"/>
          <w:sz w:val="24"/>
          <w:szCs w:val="24"/>
          <w:highlight w:val="none"/>
        </w:rPr>
        <w:t>6. 安全文明施工与环境保护</w:t>
      </w:r>
      <w:bookmarkEnd w:id="354"/>
    </w:p>
    <w:p w14:paraId="226344FA">
      <w:pPr>
        <w:pStyle w:val="352"/>
        <w:spacing w:line="420" w:lineRule="exact"/>
        <w:rPr>
          <w:rStyle w:val="346"/>
          <w:rFonts w:ascii="宋体" w:hAnsi="宋体" w:eastAsia="宋体" w:cs="宋体"/>
          <w:color w:val="auto"/>
          <w:sz w:val="24"/>
          <w:szCs w:val="24"/>
          <w:highlight w:val="none"/>
        </w:rPr>
      </w:pPr>
      <w:bookmarkStart w:id="355" w:name="_Toc373227720"/>
      <w:bookmarkEnd w:id="355"/>
      <w:bookmarkStart w:id="356" w:name="_Toc373478367"/>
      <w:bookmarkEnd w:id="356"/>
      <w:bookmarkStart w:id="357" w:name="_Toc389065286"/>
      <w:bookmarkEnd w:id="357"/>
      <w:bookmarkStart w:id="358" w:name="_Toc19419"/>
      <w:r>
        <w:rPr>
          <w:rStyle w:val="346"/>
          <w:rFonts w:hint="eastAsia" w:ascii="宋体" w:hAnsi="宋体" w:eastAsia="宋体" w:cs="宋体"/>
          <w:color w:val="auto"/>
          <w:sz w:val="24"/>
          <w:szCs w:val="24"/>
          <w:highlight w:val="none"/>
        </w:rPr>
        <w:t>6.1</w:t>
      </w:r>
      <w:bookmarkEnd w:id="358"/>
      <w:r>
        <w:rPr>
          <w:rStyle w:val="346"/>
          <w:rFonts w:hint="eastAsia" w:ascii="宋体" w:hAnsi="宋体" w:eastAsia="宋体" w:cs="宋体"/>
          <w:color w:val="auto"/>
          <w:sz w:val="24"/>
          <w:szCs w:val="24"/>
          <w:highlight w:val="none"/>
        </w:rPr>
        <w:t xml:space="preserve"> 安全文明施工</w:t>
      </w:r>
    </w:p>
    <w:p w14:paraId="5559F7C5">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6.1.1 项目安全生产的达标目标及相应事项的约定：</w:t>
      </w:r>
      <w:r>
        <w:rPr>
          <w:rStyle w:val="346"/>
          <w:rFonts w:hint="eastAsia" w:ascii="宋体" w:hAnsi="宋体" w:cs="宋体"/>
          <w:color w:val="auto"/>
          <w:sz w:val="24"/>
          <w:szCs w:val="24"/>
          <w:highlight w:val="none"/>
          <w:u w:val="single"/>
        </w:rPr>
        <w:t>承包人应遵守现行工程建设安全文明施工有关管理规定，严格按专用条款约定的安全文明标准及《工程管理制度》组织施工，创建规范的施工现场，并随时接受行业安全检查人员依法实施的监督检查，采取必要的安全防护措施，消除事故隐患。由于承包人安全文明施工措施不力造成事故的责任和因此发生的费用，由承包人承担（即使在对外法律关系上人民法院判决发包人承担责任，但在承包人与发包人间，由承包人全部承担）。</w:t>
      </w:r>
    </w:p>
    <w:p w14:paraId="77832F4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关于安全文明施工奖项的约定：</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双方另行约定</w:t>
      </w:r>
      <w:r>
        <w:rPr>
          <w:rStyle w:val="346"/>
          <w:rFonts w:hint="eastAsia" w:ascii="宋体" w:hAnsi="宋体" w:cs="宋体"/>
          <w:color w:val="auto"/>
          <w:sz w:val="24"/>
          <w:szCs w:val="24"/>
          <w:highlight w:val="none"/>
        </w:rPr>
        <w:t>。</w:t>
      </w:r>
    </w:p>
    <w:p w14:paraId="7EBAD55E">
      <w:pPr>
        <w:spacing w:line="420" w:lineRule="exact"/>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6.1.2发包人对施工当中因承包人管理不善造成的较大安全问题可视作承包人违约，违约金额为20000元（人民币）/起，累计发生超过三起，发包人有权要求更换承包人的项目安全负责人，累计超过五起，发包人有权要求承包人更换项目经理。如发生一般事故（政府主管部门认定）一起，发包人有权扣除每起人民币2万元（含2万元）违约金。如发生较大事故及以上（政府主管部门认定）一起，发包人有权要求承包人更换项目经理并进行每起人民币5万元（含5万元）违约金。</w:t>
      </w:r>
    </w:p>
    <w:p w14:paraId="60987819">
      <w:pPr>
        <w:widowControl/>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1）若不严格按国家有关安全文明施工标准做好各项安全防护，由此造成的经济责任和法律责任均由承包人承担。</w:t>
      </w:r>
    </w:p>
    <w:p w14:paraId="54444826">
      <w:pPr>
        <w:widowControl/>
        <w:spacing w:line="420" w:lineRule="exact"/>
        <w:ind w:firstLine="393"/>
        <w:rPr>
          <w:rFonts w:ascii="宋体" w:hAnsi="宋体" w:eastAsia="宋体" w:cs="宋体"/>
          <w:b/>
          <w:color w:val="auto"/>
          <w:sz w:val="24"/>
          <w:highlight w:val="none"/>
        </w:rPr>
      </w:pPr>
      <w:r>
        <w:rPr>
          <w:rFonts w:hint="eastAsia" w:ascii="宋体" w:hAnsi="宋体" w:eastAsia="宋体" w:cs="宋体"/>
          <w:color w:val="auto"/>
          <w:sz w:val="24"/>
          <w:highlight w:val="none"/>
        </w:rPr>
        <w:t>2）发包人或监理在施工过程中对承包人的安全文明施工进行检查时，发现其达不到安全文明施工合格标准。若承包人未在整改通知的规定的时间内整改完毕时，发包人对承包人处以违约处理金</w:t>
      </w:r>
      <w:r>
        <w:rPr>
          <w:rFonts w:hint="eastAsia" w:ascii="宋体" w:hAnsi="宋体" w:eastAsia="宋体" w:cs="宋体"/>
          <w:color w:val="auto"/>
          <w:sz w:val="24"/>
          <w:highlight w:val="none"/>
          <w:u w:val="single"/>
        </w:rPr>
        <w:t xml:space="preserve">5000 </w:t>
      </w:r>
      <w:r>
        <w:rPr>
          <w:rFonts w:hint="eastAsia" w:ascii="宋体" w:hAnsi="宋体" w:eastAsia="宋体" w:cs="宋体"/>
          <w:color w:val="auto"/>
          <w:sz w:val="24"/>
          <w:highlight w:val="none"/>
        </w:rPr>
        <w:t>元/次。</w:t>
      </w:r>
    </w:p>
    <w:p w14:paraId="5A90B750">
      <w:pPr>
        <w:widowControl/>
        <w:spacing w:line="420" w:lineRule="exact"/>
        <w:ind w:firstLine="393"/>
        <w:rPr>
          <w:rFonts w:ascii="宋体" w:hAnsi="宋体" w:eastAsia="宋体" w:cs="宋体"/>
          <w:b/>
          <w:color w:val="auto"/>
          <w:sz w:val="24"/>
          <w:highlight w:val="none"/>
        </w:rPr>
      </w:pPr>
      <w:r>
        <w:rPr>
          <w:rFonts w:hint="eastAsia" w:ascii="宋体" w:hAnsi="宋体" w:eastAsia="宋体" w:cs="宋体"/>
          <w:color w:val="auto"/>
          <w:sz w:val="24"/>
          <w:highlight w:val="none"/>
        </w:rPr>
        <w:t>3）承包人安全员每周在项目部的在岗时间不少于7天×8小时/天。承包人安全员在例行安全检查时不到岗的，发包人可处500元/次经济处罚。</w:t>
      </w:r>
    </w:p>
    <w:p w14:paraId="7CD56C46">
      <w:pPr>
        <w:widowControl/>
        <w:spacing w:line="420" w:lineRule="exact"/>
        <w:ind w:firstLine="420"/>
        <w:rPr>
          <w:rFonts w:ascii="宋体" w:hAnsi="宋体" w:eastAsia="宋体" w:cs="宋体"/>
          <w:color w:val="auto"/>
          <w:sz w:val="24"/>
          <w:highlight w:val="none"/>
        </w:rPr>
      </w:pPr>
      <w:r>
        <w:rPr>
          <w:rFonts w:hint="eastAsia" w:ascii="宋体" w:hAnsi="宋体" w:eastAsia="宋体" w:cs="宋体"/>
          <w:color w:val="auto"/>
          <w:sz w:val="24"/>
          <w:highlight w:val="none"/>
        </w:rPr>
        <w:t>4）经行业主管部门及项目业主予以通报或处罚的，处以5000元/次罚款。承包人因不文明施工、违法施工造成发包人受行业监管部门通报批评的，发包人有权处承包人5000元经济处罚。</w:t>
      </w:r>
    </w:p>
    <w:p w14:paraId="22A7AF12">
      <w:pPr>
        <w:widowControl/>
        <w:spacing w:line="420" w:lineRule="exact"/>
        <w:ind w:firstLine="420"/>
        <w:rPr>
          <w:rFonts w:ascii="宋体" w:hAnsi="宋体" w:eastAsia="宋体" w:cs="宋体"/>
          <w:color w:val="auto"/>
          <w:sz w:val="24"/>
          <w:highlight w:val="none"/>
        </w:rPr>
      </w:pPr>
      <w:r>
        <w:rPr>
          <w:rFonts w:hint="eastAsia" w:ascii="宋体" w:hAnsi="宋体" w:eastAsia="宋体" w:cs="宋体"/>
          <w:color w:val="auto"/>
          <w:sz w:val="24"/>
          <w:highlight w:val="none"/>
        </w:rPr>
        <w:t>5）经社会媒体曝光及市民投诉的予以证实后处以5000元/次罚款。</w:t>
      </w:r>
    </w:p>
    <w:p w14:paraId="15F3FFE9">
      <w:pPr>
        <w:widowControl/>
        <w:spacing w:line="420" w:lineRule="exact"/>
        <w:ind w:firstLine="420"/>
        <w:rPr>
          <w:rFonts w:ascii="宋体" w:hAnsi="宋体" w:eastAsia="宋体" w:cs="宋体"/>
          <w:color w:val="auto"/>
          <w:sz w:val="24"/>
          <w:highlight w:val="none"/>
        </w:rPr>
      </w:pPr>
      <w:r>
        <w:rPr>
          <w:rFonts w:hint="eastAsia" w:ascii="宋体" w:hAnsi="宋体" w:eastAsia="宋体" w:cs="宋体"/>
          <w:color w:val="auto"/>
          <w:sz w:val="24"/>
          <w:highlight w:val="none"/>
        </w:rPr>
        <w:t>6）承包人项目经理在发包人或建设主管部门组织的季度安全生产检查，国庆、春节等重大节庆安全检查活动中，必须在项目工场现场接受检查，如不到岗，每次发包人可处2000元经济处罚。</w:t>
      </w:r>
    </w:p>
    <w:p w14:paraId="4CAD543A">
      <w:pPr>
        <w:spacing w:line="420" w:lineRule="exact"/>
        <w:ind w:firstLine="480" w:firstLineChars="200"/>
        <w:jc w:val="left"/>
        <w:rPr>
          <w:rStyle w:val="346"/>
          <w:rFonts w:ascii="宋体" w:hAnsi="宋体" w:eastAsia="宋体" w:cs="宋体"/>
          <w:color w:val="auto"/>
          <w:sz w:val="24"/>
          <w:highlight w:val="none"/>
        </w:rPr>
      </w:pPr>
      <w:r>
        <w:rPr>
          <w:rFonts w:hint="eastAsia" w:ascii="宋体" w:hAnsi="宋体" w:eastAsia="宋体" w:cs="宋体"/>
          <w:color w:val="auto"/>
          <w:sz w:val="24"/>
          <w:highlight w:val="none"/>
        </w:rPr>
        <w:t>6.1.3承包人须在发包人开出罚款通知书即日起七个工作日内，到发包人的财务部门缴纳相应的违约金，若逾期未缴纳，发包人有权停止拨付当月或下月的工程进度款，并直接在应付工程款中扣除，所造成的责任由承包人承担。</w:t>
      </w:r>
    </w:p>
    <w:p w14:paraId="308512F5">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6.1.4 关于治安保卫的特别约定：</w:t>
      </w:r>
      <w:r>
        <w:rPr>
          <w:rStyle w:val="346"/>
          <w:rFonts w:hint="eastAsia" w:ascii="宋体" w:hAnsi="宋体" w:cs="宋体"/>
          <w:color w:val="auto"/>
          <w:sz w:val="24"/>
          <w:szCs w:val="24"/>
          <w:highlight w:val="none"/>
          <w:u w:val="single"/>
        </w:rPr>
        <w:t>承包人应承担施工安全保卫工作及非夜间施工照明的责任，承包人应采取一切合理的预防措施，防止人员伤亡、财产损失事故，否则造成事故的赔偿费用由承包人承担。承包人生活设施及施工场应自费配备消防设备，防止火灾发生。</w:t>
      </w:r>
    </w:p>
    <w:p w14:paraId="7C350B54">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关于编制施工场地治安管理计划的约定：</w:t>
      </w:r>
      <w:r>
        <w:rPr>
          <w:rStyle w:val="346"/>
          <w:rFonts w:hint="eastAsia" w:ascii="宋体" w:hAnsi="宋体" w:cs="宋体"/>
          <w:color w:val="auto"/>
          <w:sz w:val="24"/>
          <w:szCs w:val="24"/>
          <w:highlight w:val="none"/>
          <w:u w:val="single"/>
        </w:rPr>
        <w:t xml:space="preserve">作为安全文明施工专项方案内容之一，合同签订后7天内由承包人负责编制完成后由发包人审核同意后实施 </w:t>
      </w:r>
      <w:r>
        <w:rPr>
          <w:rStyle w:val="346"/>
          <w:rFonts w:hint="eastAsia" w:ascii="宋体" w:hAnsi="宋体" w:cs="宋体"/>
          <w:color w:val="auto"/>
          <w:sz w:val="24"/>
          <w:szCs w:val="24"/>
          <w:highlight w:val="none"/>
        </w:rPr>
        <w:t>。</w:t>
      </w:r>
    </w:p>
    <w:p w14:paraId="1A009CEA">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6.1.5 文明施工</w:t>
      </w:r>
    </w:p>
    <w:p w14:paraId="2490792D">
      <w:pPr>
        <w:pStyle w:val="356"/>
        <w:spacing w:line="420" w:lineRule="exact"/>
        <w:ind w:firstLine="480" w:firstLineChars="200"/>
        <w:jc w:val="left"/>
        <w:rPr>
          <w:rStyle w:val="346"/>
          <w:rFonts w:ascii="宋体" w:hAnsi="宋体" w:cs="宋体"/>
          <w:color w:val="auto"/>
          <w:sz w:val="24"/>
          <w:highlight w:val="none"/>
        </w:rPr>
      </w:pPr>
      <w:r>
        <w:rPr>
          <w:rStyle w:val="346"/>
          <w:rFonts w:hint="eastAsia" w:ascii="宋体" w:hAnsi="宋体" w:cs="宋体"/>
          <w:color w:val="auto"/>
          <w:sz w:val="24"/>
          <w:highlight w:val="none"/>
        </w:rPr>
        <w:t>合同当事人对文明施工的要求：严格执行《中华人民共和国大气污染防治法》（主席令第三十一号）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bookmarkStart w:id="359" w:name="_Toc389065287"/>
      <w:bookmarkEnd w:id="359"/>
      <w:bookmarkStart w:id="360" w:name="_Toc373478368"/>
      <w:bookmarkEnd w:id="360"/>
    </w:p>
    <w:p w14:paraId="558587B7">
      <w:pPr>
        <w:autoSpaceDE w:val="0"/>
        <w:autoSpaceDN w:val="0"/>
        <w:spacing w:line="420" w:lineRule="exact"/>
        <w:ind w:firstLine="480" w:firstLineChars="200"/>
        <w:jc w:val="left"/>
        <w:rPr>
          <w:rStyle w:val="346"/>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在工程建设过程中，发包人或监理人将不定期组织对承包人的安全管理进行检查，对未按合同要求执行和现场存在安全隐患问题等情况下达整改通知单，承包人未在指定期限内完成整改的，视为承包违约，发包人有权视情况按5000元/次处罚，且暂不支付进度款。</w:t>
      </w:r>
    </w:p>
    <w:p w14:paraId="7EB4658C">
      <w:pPr>
        <w:pStyle w:val="352"/>
        <w:spacing w:line="420" w:lineRule="exact"/>
        <w:rPr>
          <w:rStyle w:val="346"/>
          <w:rFonts w:ascii="宋体" w:hAnsi="宋体" w:eastAsia="宋体" w:cs="宋体"/>
          <w:b w:val="0"/>
          <w:bCs w:val="0"/>
          <w:color w:val="auto"/>
          <w:kern w:val="0"/>
          <w:sz w:val="24"/>
          <w:szCs w:val="24"/>
          <w:highlight w:val="none"/>
        </w:rPr>
      </w:pPr>
      <w:bookmarkStart w:id="361" w:name="_Toc30263"/>
      <w:bookmarkEnd w:id="361"/>
      <w:r>
        <w:rPr>
          <w:rStyle w:val="346"/>
          <w:rFonts w:hint="eastAsia" w:ascii="宋体" w:hAnsi="宋体" w:eastAsia="宋体" w:cs="宋体"/>
          <w:color w:val="auto"/>
          <w:sz w:val="24"/>
          <w:szCs w:val="24"/>
          <w:highlight w:val="none"/>
        </w:rPr>
        <w:t xml:space="preserve">6.3 </w:t>
      </w:r>
      <w:r>
        <w:rPr>
          <w:rStyle w:val="346"/>
          <w:rFonts w:hint="eastAsia" w:ascii="宋体" w:hAnsi="宋体" w:eastAsia="宋体" w:cs="宋体"/>
          <w:b w:val="0"/>
          <w:bCs w:val="0"/>
          <w:color w:val="auto"/>
          <w:kern w:val="0"/>
          <w:sz w:val="24"/>
          <w:szCs w:val="24"/>
          <w:highlight w:val="none"/>
        </w:rPr>
        <w:t>环境保护</w:t>
      </w:r>
    </w:p>
    <w:p w14:paraId="69A8A58A">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因施工需要，经发包人批准，由承包人办理有关施工场地交通、环卫和施工噪音管理等手续，费用由承包人负责。</w:t>
      </w:r>
    </w:p>
    <w:p w14:paraId="05E39EBD">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经过城市道路的施工车辆，必须按交警、城管、运输等部门相关规定执行。由于施工车辆造成的道路、环境等污染，其责任和费用均由承包人承担。</w:t>
      </w:r>
    </w:p>
    <w:p w14:paraId="084D78F4">
      <w:pPr>
        <w:pStyle w:val="348"/>
        <w:spacing w:line="420" w:lineRule="exact"/>
        <w:ind w:firstLine="480" w:firstLineChars="200"/>
        <w:jc w:val="left"/>
        <w:rPr>
          <w:rStyle w:val="346"/>
          <w:rFonts w:ascii="宋体" w:hAnsi="宋体" w:cs="宋体"/>
          <w:color w:val="auto"/>
          <w:sz w:val="24"/>
          <w:szCs w:val="24"/>
          <w:highlight w:val="none"/>
          <w:u w:val="single"/>
        </w:rPr>
      </w:pPr>
    </w:p>
    <w:p w14:paraId="1F25D646">
      <w:pPr>
        <w:pStyle w:val="347"/>
        <w:spacing w:before="0" w:after="0" w:line="420" w:lineRule="exact"/>
        <w:rPr>
          <w:rStyle w:val="346"/>
          <w:rFonts w:ascii="宋体" w:hAnsi="宋体" w:eastAsia="宋体" w:cs="宋体"/>
          <w:color w:val="auto"/>
          <w:sz w:val="24"/>
          <w:szCs w:val="24"/>
          <w:highlight w:val="none"/>
        </w:rPr>
      </w:pPr>
      <w:bookmarkStart w:id="362" w:name="_Toc351203639"/>
      <w:bookmarkEnd w:id="362"/>
      <w:bookmarkStart w:id="363" w:name="_Toc373478369"/>
      <w:bookmarkEnd w:id="363"/>
      <w:bookmarkStart w:id="364" w:name="_Toc389065288"/>
      <w:bookmarkEnd w:id="364"/>
      <w:bookmarkStart w:id="365" w:name="_Toc89"/>
      <w:bookmarkEnd w:id="365"/>
      <w:bookmarkStart w:id="366" w:name="_Toc373227722"/>
      <w:bookmarkEnd w:id="366"/>
      <w:r>
        <w:rPr>
          <w:rStyle w:val="346"/>
          <w:rFonts w:hint="eastAsia" w:ascii="宋体" w:hAnsi="宋体" w:eastAsia="宋体" w:cs="宋体"/>
          <w:color w:val="auto"/>
          <w:sz w:val="24"/>
          <w:szCs w:val="24"/>
          <w:highlight w:val="none"/>
        </w:rPr>
        <w:t>7. 工期和进度</w:t>
      </w:r>
    </w:p>
    <w:p w14:paraId="099A06A9">
      <w:pPr>
        <w:pStyle w:val="352"/>
        <w:spacing w:line="420" w:lineRule="exact"/>
        <w:rPr>
          <w:rStyle w:val="346"/>
          <w:rFonts w:ascii="宋体" w:hAnsi="宋体" w:eastAsia="宋体" w:cs="宋体"/>
          <w:color w:val="auto"/>
          <w:sz w:val="24"/>
          <w:szCs w:val="24"/>
          <w:highlight w:val="none"/>
        </w:rPr>
      </w:pPr>
      <w:bookmarkStart w:id="367" w:name="_Toc11077"/>
      <w:bookmarkEnd w:id="367"/>
      <w:bookmarkStart w:id="368" w:name="_Toc373227723"/>
      <w:bookmarkEnd w:id="368"/>
      <w:bookmarkStart w:id="369" w:name="_Toc373478370"/>
      <w:bookmarkEnd w:id="369"/>
      <w:bookmarkStart w:id="370" w:name="_Toc389065289"/>
      <w:r>
        <w:rPr>
          <w:rStyle w:val="346"/>
          <w:rFonts w:hint="eastAsia" w:ascii="宋体" w:hAnsi="宋体" w:eastAsia="宋体" w:cs="宋体"/>
          <w:color w:val="auto"/>
          <w:sz w:val="24"/>
          <w:szCs w:val="24"/>
          <w:highlight w:val="none"/>
        </w:rPr>
        <w:t>7.1 施工组织设计</w:t>
      </w:r>
      <w:bookmarkEnd w:id="370"/>
    </w:p>
    <w:p w14:paraId="74FE42F4">
      <w:pPr>
        <w:pStyle w:val="348"/>
        <w:autoSpaceDE w:val="0"/>
        <w:autoSpaceDN w:val="0"/>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7.1.1 合</w:t>
      </w:r>
      <w:r>
        <w:rPr>
          <w:rStyle w:val="346"/>
          <w:rFonts w:hint="eastAsia" w:ascii="宋体" w:hAnsi="宋体" w:cs="宋体"/>
          <w:color w:val="auto"/>
          <w:kern w:val="0"/>
          <w:sz w:val="24"/>
          <w:szCs w:val="24"/>
          <w:highlight w:val="none"/>
        </w:rPr>
        <w:t>同当事人约定的施工组织设计应包括的其他内容：</w:t>
      </w:r>
      <w:r>
        <w:rPr>
          <w:rStyle w:val="346"/>
          <w:rFonts w:hint="eastAsia" w:ascii="宋体" w:hAnsi="宋体" w:cs="宋体"/>
          <w:color w:val="auto"/>
          <w:sz w:val="24"/>
          <w:szCs w:val="24"/>
          <w:highlight w:val="none"/>
          <w:u w:val="single"/>
        </w:rPr>
        <w:t>按竞争性谈判文件约定，竞争性谈判文件无约定的按通用合同条款或双方另行约定</w:t>
      </w:r>
      <w:r>
        <w:rPr>
          <w:rStyle w:val="346"/>
          <w:rFonts w:hint="eastAsia" w:ascii="宋体" w:hAnsi="宋体" w:cs="宋体"/>
          <w:color w:val="auto"/>
          <w:sz w:val="24"/>
          <w:szCs w:val="24"/>
          <w:highlight w:val="none"/>
        </w:rPr>
        <w:t>。</w:t>
      </w:r>
    </w:p>
    <w:p w14:paraId="595B885E">
      <w:pPr>
        <w:pStyle w:val="348"/>
        <w:autoSpaceDE w:val="0"/>
        <w:autoSpaceDN w:val="0"/>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sz w:val="24"/>
          <w:szCs w:val="24"/>
          <w:highlight w:val="none"/>
        </w:rPr>
        <w:t xml:space="preserve">7.1.2 </w:t>
      </w:r>
      <w:r>
        <w:rPr>
          <w:rStyle w:val="346"/>
          <w:rFonts w:hint="eastAsia" w:ascii="宋体" w:hAnsi="宋体" w:cs="宋体"/>
          <w:color w:val="auto"/>
          <w:kern w:val="0"/>
          <w:sz w:val="24"/>
          <w:szCs w:val="24"/>
          <w:highlight w:val="none"/>
        </w:rPr>
        <w:t>施工组织设计的提交和修改</w:t>
      </w:r>
    </w:p>
    <w:p w14:paraId="278B768F">
      <w:pPr>
        <w:pStyle w:val="348"/>
        <w:autoSpaceDE w:val="0"/>
        <w:autoSpaceDN w:val="0"/>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承包人提交详细施工组织设计的期限的约定：</w:t>
      </w:r>
      <w:r>
        <w:rPr>
          <w:rStyle w:val="346"/>
          <w:rFonts w:hint="eastAsia" w:ascii="宋体" w:hAnsi="宋体" w:cs="宋体"/>
          <w:color w:val="auto"/>
          <w:sz w:val="24"/>
          <w:szCs w:val="24"/>
          <w:highlight w:val="none"/>
          <w:u w:val="single"/>
        </w:rPr>
        <w:t>工程开工前10天</w:t>
      </w:r>
      <w:r>
        <w:rPr>
          <w:rStyle w:val="346"/>
          <w:rFonts w:hint="eastAsia" w:ascii="宋体" w:hAnsi="宋体" w:cs="宋体"/>
          <w:color w:val="auto"/>
          <w:sz w:val="24"/>
          <w:szCs w:val="24"/>
          <w:highlight w:val="none"/>
        </w:rPr>
        <w:t>。</w:t>
      </w:r>
    </w:p>
    <w:p w14:paraId="2C5021D2">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发包人和监理人在收到详细的施工组织设计后确认或提出修改意见的期限：</w:t>
      </w:r>
      <w:r>
        <w:rPr>
          <w:rStyle w:val="346"/>
          <w:rFonts w:hint="eastAsia" w:ascii="宋体" w:hAnsi="宋体" w:cs="宋体"/>
          <w:color w:val="auto"/>
          <w:sz w:val="24"/>
          <w:szCs w:val="24"/>
          <w:highlight w:val="none"/>
          <w:u w:val="single"/>
        </w:rPr>
        <w:t>于收到之日起7日内</w:t>
      </w:r>
      <w:r>
        <w:rPr>
          <w:rStyle w:val="346"/>
          <w:rFonts w:hint="eastAsia" w:ascii="宋体" w:hAnsi="宋体" w:cs="宋体"/>
          <w:color w:val="auto"/>
          <w:sz w:val="24"/>
          <w:szCs w:val="24"/>
          <w:highlight w:val="none"/>
        </w:rPr>
        <w:t>。</w:t>
      </w:r>
    </w:p>
    <w:p w14:paraId="192E2EE9">
      <w:pPr>
        <w:pStyle w:val="352"/>
        <w:spacing w:line="420" w:lineRule="exact"/>
        <w:rPr>
          <w:rStyle w:val="346"/>
          <w:rFonts w:ascii="宋体" w:hAnsi="宋体" w:eastAsia="宋体" w:cs="宋体"/>
          <w:color w:val="auto"/>
          <w:sz w:val="24"/>
          <w:szCs w:val="24"/>
          <w:highlight w:val="none"/>
        </w:rPr>
      </w:pPr>
      <w:bookmarkStart w:id="371" w:name="_Toc24506"/>
      <w:bookmarkEnd w:id="371"/>
      <w:bookmarkStart w:id="372" w:name="_Toc389065290"/>
      <w:bookmarkEnd w:id="372"/>
      <w:bookmarkStart w:id="373" w:name="_Toc373478371"/>
      <w:bookmarkEnd w:id="373"/>
      <w:bookmarkStart w:id="374" w:name="_Toc373227724"/>
      <w:r>
        <w:rPr>
          <w:rStyle w:val="346"/>
          <w:rFonts w:hint="eastAsia" w:ascii="宋体" w:hAnsi="宋体" w:eastAsia="宋体" w:cs="宋体"/>
          <w:color w:val="auto"/>
          <w:sz w:val="24"/>
          <w:szCs w:val="24"/>
          <w:highlight w:val="none"/>
        </w:rPr>
        <w:t>7</w:t>
      </w:r>
      <w:bookmarkEnd w:id="374"/>
      <w:bookmarkStart w:id="375" w:name="_Toc297216173"/>
      <w:bookmarkEnd w:id="375"/>
      <w:bookmarkStart w:id="376" w:name="_Toc297123514"/>
      <w:bookmarkEnd w:id="376"/>
      <w:bookmarkStart w:id="377" w:name="_Toc304295541"/>
      <w:bookmarkEnd w:id="377"/>
      <w:bookmarkStart w:id="378" w:name="_Toc312678005"/>
      <w:bookmarkEnd w:id="378"/>
      <w:bookmarkStart w:id="379" w:name="_Toc303539123"/>
      <w:bookmarkEnd w:id="379"/>
      <w:bookmarkStart w:id="380" w:name="_Toc300934966"/>
      <w:bookmarkEnd w:id="380"/>
      <w:bookmarkStart w:id="381" w:name="_Toc312677479"/>
      <w:r>
        <w:rPr>
          <w:rStyle w:val="346"/>
          <w:rFonts w:hint="eastAsia" w:ascii="宋体" w:hAnsi="宋体" w:eastAsia="宋体" w:cs="宋体"/>
          <w:color w:val="auto"/>
          <w:sz w:val="24"/>
          <w:szCs w:val="24"/>
          <w:highlight w:val="none"/>
        </w:rPr>
        <w:t>.2 施工进度计划</w:t>
      </w:r>
      <w:bookmarkEnd w:id="381"/>
    </w:p>
    <w:p w14:paraId="1BCA6E46">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7.2.2 施工进度计划的修订</w:t>
      </w:r>
    </w:p>
    <w:p w14:paraId="3FF52DCD">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发包人和监理人在收到修订的施工进度计划后确认或提出修改意见的期限：</w:t>
      </w:r>
      <w:r>
        <w:rPr>
          <w:rStyle w:val="346"/>
          <w:rFonts w:hint="eastAsia" w:ascii="宋体" w:hAnsi="宋体" w:cs="宋体"/>
          <w:color w:val="auto"/>
          <w:sz w:val="24"/>
          <w:szCs w:val="24"/>
          <w:highlight w:val="none"/>
          <w:u w:val="single"/>
        </w:rPr>
        <w:t>于收到之日起7日内批复</w:t>
      </w:r>
      <w:r>
        <w:rPr>
          <w:rStyle w:val="346"/>
          <w:rFonts w:hint="eastAsia" w:ascii="宋体" w:hAnsi="宋体" w:cs="宋体"/>
          <w:color w:val="auto"/>
          <w:sz w:val="24"/>
          <w:szCs w:val="24"/>
          <w:highlight w:val="none"/>
        </w:rPr>
        <w:t>。</w:t>
      </w:r>
    </w:p>
    <w:p w14:paraId="3BEAD80E">
      <w:pPr>
        <w:pStyle w:val="352"/>
        <w:spacing w:line="420" w:lineRule="exact"/>
        <w:rPr>
          <w:rStyle w:val="346"/>
          <w:rFonts w:ascii="宋体" w:hAnsi="宋体" w:eastAsia="宋体" w:cs="宋体"/>
          <w:color w:val="auto"/>
          <w:sz w:val="24"/>
          <w:szCs w:val="24"/>
          <w:highlight w:val="none"/>
        </w:rPr>
      </w:pPr>
      <w:bookmarkStart w:id="382" w:name="_Toc373227725"/>
      <w:bookmarkEnd w:id="382"/>
      <w:bookmarkStart w:id="383" w:name="_Toc389065291"/>
      <w:bookmarkEnd w:id="383"/>
      <w:bookmarkStart w:id="384" w:name="_Toc373478372"/>
      <w:bookmarkEnd w:id="384"/>
      <w:bookmarkStart w:id="385" w:name="_Toc12066"/>
      <w:r>
        <w:rPr>
          <w:rStyle w:val="346"/>
          <w:rFonts w:hint="eastAsia" w:ascii="宋体" w:hAnsi="宋体" w:eastAsia="宋体" w:cs="宋体"/>
          <w:color w:val="auto"/>
          <w:sz w:val="24"/>
          <w:szCs w:val="24"/>
          <w:highlight w:val="none"/>
        </w:rPr>
        <w:t>7.3 开工</w:t>
      </w:r>
      <w:bookmarkEnd w:id="385"/>
    </w:p>
    <w:p w14:paraId="3B6F6EF9">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7.3.1 开工准备</w:t>
      </w:r>
    </w:p>
    <w:p w14:paraId="3D0110C9">
      <w:pPr>
        <w:pStyle w:val="348"/>
        <w:spacing w:line="420" w:lineRule="exact"/>
        <w:ind w:firstLine="426"/>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关于承包人提交</w:t>
      </w:r>
      <w:r>
        <w:rPr>
          <w:rStyle w:val="346"/>
          <w:rFonts w:hint="eastAsia" w:ascii="宋体" w:hAnsi="宋体" w:cs="宋体"/>
          <w:color w:val="auto"/>
          <w:kern w:val="0"/>
          <w:sz w:val="24"/>
          <w:szCs w:val="24"/>
          <w:highlight w:val="none"/>
        </w:rPr>
        <w:t>工程开工报审表的期限：</w:t>
      </w:r>
      <w:r>
        <w:rPr>
          <w:rStyle w:val="346"/>
          <w:rFonts w:hint="eastAsia" w:ascii="宋体" w:hAnsi="宋体" w:cs="宋体"/>
          <w:color w:val="auto"/>
          <w:sz w:val="24"/>
          <w:szCs w:val="24"/>
          <w:highlight w:val="none"/>
          <w:u w:val="single"/>
        </w:rPr>
        <w:t>开工前7日</w:t>
      </w:r>
      <w:r>
        <w:rPr>
          <w:rStyle w:val="346"/>
          <w:rFonts w:hint="eastAsia" w:ascii="宋体" w:hAnsi="宋体" w:cs="宋体"/>
          <w:color w:val="auto"/>
          <w:sz w:val="24"/>
          <w:szCs w:val="24"/>
          <w:highlight w:val="none"/>
        </w:rPr>
        <w:t>。</w:t>
      </w:r>
    </w:p>
    <w:p w14:paraId="6CEDD00D">
      <w:pPr>
        <w:pStyle w:val="348"/>
        <w:spacing w:line="420" w:lineRule="exact"/>
        <w:ind w:firstLine="426"/>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关于发包人应完成的其他开工准备工作及期限：</w:t>
      </w:r>
      <w:r>
        <w:rPr>
          <w:rStyle w:val="346"/>
          <w:rFonts w:hint="eastAsia" w:ascii="宋体" w:hAnsi="宋体" w:cs="宋体"/>
          <w:color w:val="auto"/>
          <w:sz w:val="24"/>
          <w:szCs w:val="24"/>
          <w:highlight w:val="none"/>
          <w:u w:val="single"/>
        </w:rPr>
        <w:t>开工前7日</w:t>
      </w:r>
      <w:r>
        <w:rPr>
          <w:rStyle w:val="346"/>
          <w:rFonts w:hint="eastAsia" w:ascii="宋体" w:hAnsi="宋体" w:cs="宋体"/>
          <w:color w:val="auto"/>
          <w:sz w:val="24"/>
          <w:szCs w:val="24"/>
          <w:highlight w:val="none"/>
        </w:rPr>
        <w:t>。</w:t>
      </w:r>
    </w:p>
    <w:p w14:paraId="7A53652D">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关于承包人应完成的其他开工准备工作及期限：</w:t>
      </w:r>
      <w:r>
        <w:rPr>
          <w:rStyle w:val="346"/>
          <w:rFonts w:hint="eastAsia" w:ascii="宋体" w:hAnsi="宋体" w:cs="宋体"/>
          <w:color w:val="auto"/>
          <w:sz w:val="24"/>
          <w:szCs w:val="24"/>
          <w:highlight w:val="none"/>
          <w:u w:val="single"/>
        </w:rPr>
        <w:t>开工前7日</w:t>
      </w:r>
      <w:r>
        <w:rPr>
          <w:rStyle w:val="346"/>
          <w:rFonts w:hint="eastAsia" w:ascii="宋体" w:hAnsi="宋体" w:cs="宋体"/>
          <w:color w:val="auto"/>
          <w:sz w:val="24"/>
          <w:szCs w:val="24"/>
          <w:highlight w:val="none"/>
        </w:rPr>
        <w:t>。</w:t>
      </w:r>
    </w:p>
    <w:p w14:paraId="6C5D6342">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7.3.2 开工通知</w:t>
      </w:r>
    </w:p>
    <w:p w14:paraId="55B5DB2E">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因发包人原因造成监理人未能在计划开工日期之日起</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天内发出开工通知的，承包人有权提出价格调整要求，或者解除合同。</w:t>
      </w:r>
    </w:p>
    <w:p w14:paraId="3CA64575">
      <w:pPr>
        <w:pStyle w:val="352"/>
        <w:spacing w:line="420" w:lineRule="exact"/>
        <w:rPr>
          <w:rStyle w:val="346"/>
          <w:rFonts w:ascii="宋体" w:hAnsi="宋体" w:eastAsia="宋体" w:cs="宋体"/>
          <w:color w:val="auto"/>
          <w:sz w:val="24"/>
          <w:szCs w:val="24"/>
          <w:highlight w:val="none"/>
        </w:rPr>
      </w:pPr>
      <w:bookmarkStart w:id="386" w:name="_Toc389065292"/>
      <w:bookmarkEnd w:id="386"/>
      <w:bookmarkStart w:id="387" w:name="_Toc373227726"/>
      <w:bookmarkEnd w:id="387"/>
      <w:bookmarkStart w:id="388" w:name="_Toc5444"/>
      <w:bookmarkEnd w:id="388"/>
      <w:bookmarkStart w:id="389" w:name="_Toc373478373"/>
      <w:bookmarkEnd w:id="389"/>
      <w:r>
        <w:rPr>
          <w:rStyle w:val="346"/>
          <w:rFonts w:hint="eastAsia" w:ascii="宋体" w:hAnsi="宋体" w:eastAsia="宋体" w:cs="宋体"/>
          <w:color w:val="auto"/>
          <w:sz w:val="24"/>
          <w:szCs w:val="24"/>
          <w:highlight w:val="none"/>
        </w:rPr>
        <w:t>7.4 测量放线</w:t>
      </w:r>
    </w:p>
    <w:p w14:paraId="51C379DC">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7.4.1发包人通过监理人向承包人提供测量基准点、基准线和水准点及其书面资料的期限：</w:t>
      </w:r>
    </w:p>
    <w:p w14:paraId="5326DD63">
      <w:pPr>
        <w:pStyle w:val="348"/>
        <w:spacing w:line="420" w:lineRule="exact"/>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u w:val="single"/>
        </w:rPr>
        <w:t>开工前3日</w:t>
      </w:r>
      <w:r>
        <w:rPr>
          <w:rStyle w:val="346"/>
          <w:rFonts w:hint="eastAsia" w:ascii="宋体" w:hAnsi="宋体" w:cs="宋体"/>
          <w:color w:val="auto"/>
          <w:sz w:val="24"/>
          <w:szCs w:val="24"/>
          <w:highlight w:val="none"/>
        </w:rPr>
        <w:t>。</w:t>
      </w:r>
    </w:p>
    <w:p w14:paraId="15081175">
      <w:pPr>
        <w:pStyle w:val="352"/>
        <w:spacing w:line="420" w:lineRule="exact"/>
        <w:rPr>
          <w:rStyle w:val="346"/>
          <w:rFonts w:ascii="宋体" w:hAnsi="宋体" w:eastAsia="宋体" w:cs="宋体"/>
          <w:color w:val="auto"/>
          <w:sz w:val="24"/>
          <w:szCs w:val="24"/>
          <w:highlight w:val="none"/>
        </w:rPr>
      </w:pPr>
      <w:bookmarkStart w:id="390" w:name="_Toc389065293"/>
      <w:bookmarkEnd w:id="390"/>
      <w:bookmarkStart w:id="391" w:name="_Toc373478374"/>
      <w:bookmarkEnd w:id="391"/>
      <w:bookmarkStart w:id="392" w:name="_Toc373227727"/>
      <w:bookmarkEnd w:id="392"/>
      <w:bookmarkStart w:id="393" w:name="_Toc21949"/>
      <w:r>
        <w:rPr>
          <w:rStyle w:val="346"/>
          <w:rFonts w:hint="eastAsia" w:ascii="宋体" w:hAnsi="宋体" w:eastAsia="宋体" w:cs="宋体"/>
          <w:color w:val="auto"/>
          <w:sz w:val="24"/>
          <w:szCs w:val="24"/>
          <w:highlight w:val="none"/>
        </w:rPr>
        <w:t>7</w:t>
      </w:r>
      <w:bookmarkEnd w:id="393"/>
      <w:bookmarkStart w:id="394" w:name="_Toc304295546"/>
      <w:bookmarkEnd w:id="394"/>
      <w:bookmarkStart w:id="395" w:name="_Toc312677484"/>
      <w:bookmarkEnd w:id="395"/>
      <w:bookmarkStart w:id="396" w:name="_Toc300934968"/>
      <w:bookmarkEnd w:id="396"/>
      <w:bookmarkStart w:id="397" w:name="_Toc297123516"/>
      <w:bookmarkEnd w:id="397"/>
      <w:bookmarkStart w:id="398" w:name="_Toc303539125"/>
      <w:bookmarkEnd w:id="398"/>
      <w:bookmarkStart w:id="399" w:name="_Toc312678010"/>
      <w:bookmarkEnd w:id="399"/>
      <w:bookmarkStart w:id="400" w:name="_Toc297216175"/>
      <w:r>
        <w:rPr>
          <w:rStyle w:val="346"/>
          <w:rFonts w:hint="eastAsia" w:ascii="宋体" w:hAnsi="宋体" w:eastAsia="宋体" w:cs="宋体"/>
          <w:color w:val="auto"/>
          <w:sz w:val="24"/>
          <w:szCs w:val="24"/>
          <w:highlight w:val="none"/>
        </w:rPr>
        <w:t xml:space="preserve">.5 </w:t>
      </w:r>
      <w:bookmarkEnd w:id="400"/>
      <w:r>
        <w:rPr>
          <w:rStyle w:val="346"/>
          <w:rFonts w:hint="eastAsia" w:ascii="宋体" w:hAnsi="宋体" w:eastAsia="宋体" w:cs="宋体"/>
          <w:color w:val="auto"/>
          <w:sz w:val="24"/>
          <w:szCs w:val="24"/>
          <w:highlight w:val="none"/>
        </w:rPr>
        <w:t>工期延误</w:t>
      </w:r>
    </w:p>
    <w:p w14:paraId="71927DF5">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7.5.1 因发包人原因导致工期延误</w:t>
      </w:r>
    </w:p>
    <w:p w14:paraId="1BF712A6">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（7）因发包人原因导致工期延误的其他情形：</w:t>
      </w:r>
      <w:r>
        <w:rPr>
          <w:rFonts w:hint="eastAsia" w:ascii="宋体" w:hAnsi="宋体" w:cs="宋体"/>
          <w:color w:val="auto"/>
          <w:sz w:val="24"/>
          <w:szCs w:val="24"/>
          <w:highlight w:val="none"/>
          <w:u w:val="single"/>
        </w:rPr>
        <w:t>①重大图纸变更影响关键线路工序施工；②施工期间因发包人原因停电、停水连续8小时以上影响正常施工的；③因发包人原因政府指令该项目停工；④在施工过程中遇到地下水、地下障碍物、淤泥、流砂、溶洞、岩石、文物或地下管线或地基处理等影响关键线路工序施工的；⑤因发包人未能及时确认变更价格或甲供材料提供延误的；⑥因发包人原因造成的延误开工、施工障碍、停建、缓建等情况；⑦发包人未能按专用条款的约定提供图纸及开工条件；”</w:t>
      </w:r>
    </w:p>
    <w:p w14:paraId="70931A7B">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7</w:t>
      </w:r>
      <w:bookmarkStart w:id="401" w:name="_Toc312677486"/>
      <w:bookmarkEnd w:id="401"/>
      <w:bookmarkStart w:id="402" w:name="_Toc312678012"/>
      <w:bookmarkEnd w:id="402"/>
      <w:bookmarkStart w:id="403" w:name="_Toc303539127"/>
      <w:bookmarkEnd w:id="403"/>
      <w:bookmarkStart w:id="404" w:name="_Toc304295548"/>
      <w:bookmarkEnd w:id="404"/>
      <w:bookmarkStart w:id="405" w:name="_Toc318581169"/>
      <w:bookmarkEnd w:id="405"/>
      <w:bookmarkStart w:id="406" w:name="_Toc300934970"/>
      <w:bookmarkEnd w:id="406"/>
      <w:bookmarkStart w:id="407" w:name="_Toc297216177"/>
      <w:bookmarkEnd w:id="407"/>
      <w:bookmarkStart w:id="408" w:name="_Toc297123518"/>
      <w:r>
        <w:rPr>
          <w:rStyle w:val="346"/>
          <w:rFonts w:hint="eastAsia" w:ascii="宋体" w:hAnsi="宋体" w:cs="宋体"/>
          <w:color w:val="auto"/>
          <w:sz w:val="24"/>
          <w:szCs w:val="24"/>
          <w:highlight w:val="none"/>
        </w:rPr>
        <w:t xml:space="preserve">.5.2 </w:t>
      </w:r>
      <w:bookmarkEnd w:id="408"/>
      <w:r>
        <w:rPr>
          <w:rStyle w:val="346"/>
          <w:rFonts w:hint="eastAsia" w:ascii="宋体" w:hAnsi="宋体" w:cs="宋体"/>
          <w:color w:val="auto"/>
          <w:sz w:val="24"/>
          <w:szCs w:val="24"/>
          <w:highlight w:val="none"/>
        </w:rPr>
        <w:t>因承包人原因导致工期延误</w:t>
      </w:r>
    </w:p>
    <w:p w14:paraId="566BD904">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双方约定经监理工程师确认，工期相应顺延的情况：</w:t>
      </w:r>
      <w:r>
        <w:rPr>
          <w:rStyle w:val="346"/>
          <w:rFonts w:hint="eastAsia" w:ascii="宋体" w:hAnsi="宋体" w:cs="宋体"/>
          <w:color w:val="auto"/>
          <w:sz w:val="24"/>
          <w:szCs w:val="24"/>
          <w:highlight w:val="none"/>
          <w:u w:val="single"/>
        </w:rPr>
        <w:t>非承包人的责任造成的工期延误；或承包人有证据证明的可顺延工期的其他情况</w:t>
      </w:r>
      <w:r>
        <w:rPr>
          <w:rStyle w:val="346"/>
          <w:rFonts w:hint="eastAsia" w:ascii="宋体" w:hAnsi="宋体" w:cs="宋体"/>
          <w:color w:val="auto"/>
          <w:sz w:val="24"/>
          <w:szCs w:val="24"/>
          <w:highlight w:val="none"/>
        </w:rPr>
        <w:t>。</w:t>
      </w:r>
    </w:p>
    <w:p w14:paraId="027163DF">
      <w:pPr>
        <w:pStyle w:val="17"/>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因</w:t>
      </w:r>
      <w:bookmarkStart w:id="409" w:name="_Toc318581170"/>
      <w:bookmarkEnd w:id="409"/>
      <w:bookmarkStart w:id="410" w:name="_Toc312678013"/>
      <w:bookmarkEnd w:id="410"/>
      <w:bookmarkStart w:id="411" w:name="_Toc312677487"/>
      <w:r>
        <w:rPr>
          <w:rStyle w:val="346"/>
          <w:rFonts w:hint="eastAsia" w:ascii="宋体" w:hAnsi="宋体" w:eastAsia="宋体" w:cs="宋体"/>
          <w:color w:val="auto"/>
          <w:sz w:val="24"/>
          <w:highlight w:val="none"/>
        </w:rPr>
        <w:t>承包人原因造成工期延误，逾期竣工违约金的计算方法为：</w:t>
      </w:r>
      <w:bookmarkEnd w:id="411"/>
      <w:r>
        <w:rPr>
          <w:rStyle w:val="346"/>
          <w:rFonts w:hint="eastAsia" w:ascii="宋体" w:hAnsi="宋体" w:eastAsia="宋体" w:cs="宋体"/>
          <w:color w:val="auto"/>
          <w:sz w:val="24"/>
          <w:highlight w:val="none"/>
          <w:u w:val="single"/>
        </w:rPr>
        <w:t>承包人不能按合同约定的时间竣工，承包人应承担违约责任。应向发包人支付误期违约金（每天违约金额为合同价款的万分之四），误期时间从合同约定竣工日期起直到全部工程竣工验收各方签章日期之间的天数（扣除发包人批准顺延的工期）。发包人可从应向承包人支付的任何金额中扣除此项违约金或其他方式收回此款，此违约金的支付并不能解除承包人应完成工程的责任或合同规定的其他责任。工期延误超过100天，发包人有权单方解除合同，并要求承包人赔偿发包人损失并承担其他相关法律责任”</w:t>
      </w:r>
      <w:bookmarkStart w:id="412" w:name="_Toc318581171"/>
      <w:bookmarkEnd w:id="412"/>
      <w:bookmarkStart w:id="413" w:name="_Toc312678014"/>
      <w:bookmarkEnd w:id="413"/>
    </w:p>
    <w:p w14:paraId="53110753">
      <w:pPr>
        <w:pStyle w:val="352"/>
        <w:spacing w:line="420" w:lineRule="exact"/>
        <w:rPr>
          <w:rStyle w:val="346"/>
          <w:rFonts w:ascii="宋体" w:hAnsi="宋体" w:eastAsia="宋体" w:cs="宋体"/>
          <w:color w:val="auto"/>
          <w:sz w:val="24"/>
          <w:szCs w:val="24"/>
          <w:highlight w:val="none"/>
        </w:rPr>
      </w:pPr>
      <w:bookmarkStart w:id="414" w:name="_Toc373478375"/>
      <w:bookmarkEnd w:id="414"/>
      <w:bookmarkStart w:id="415" w:name="_Toc11238"/>
      <w:bookmarkEnd w:id="415"/>
      <w:bookmarkStart w:id="416" w:name="_Toc373227728"/>
      <w:bookmarkEnd w:id="416"/>
      <w:bookmarkStart w:id="417" w:name="_Toc389065294"/>
      <w:r>
        <w:rPr>
          <w:rStyle w:val="346"/>
          <w:rFonts w:hint="eastAsia" w:ascii="宋体" w:hAnsi="宋体" w:eastAsia="宋体" w:cs="宋体"/>
          <w:color w:val="auto"/>
          <w:sz w:val="24"/>
          <w:szCs w:val="24"/>
          <w:highlight w:val="none"/>
        </w:rPr>
        <w:t>7</w:t>
      </w:r>
      <w:bookmarkEnd w:id="417"/>
      <w:bookmarkStart w:id="418" w:name="_Toc312678015"/>
      <w:bookmarkEnd w:id="418"/>
      <w:bookmarkStart w:id="419" w:name="_Toc304295549"/>
      <w:bookmarkEnd w:id="419"/>
      <w:bookmarkStart w:id="420" w:name="_Toc300934971"/>
      <w:bookmarkEnd w:id="420"/>
      <w:bookmarkStart w:id="421" w:name="_Toc297123519"/>
      <w:bookmarkEnd w:id="421"/>
      <w:bookmarkStart w:id="422" w:name="_Toc297216178"/>
      <w:bookmarkEnd w:id="422"/>
      <w:bookmarkStart w:id="423" w:name="_Toc303539128"/>
      <w:r>
        <w:rPr>
          <w:rStyle w:val="346"/>
          <w:rFonts w:hint="eastAsia" w:ascii="宋体" w:hAnsi="宋体" w:eastAsia="宋体" w:cs="宋体"/>
          <w:color w:val="auto"/>
          <w:sz w:val="24"/>
          <w:szCs w:val="24"/>
          <w:highlight w:val="none"/>
        </w:rPr>
        <w:t>.6 不</w:t>
      </w:r>
      <w:bookmarkEnd w:id="423"/>
      <w:r>
        <w:rPr>
          <w:rStyle w:val="346"/>
          <w:rFonts w:hint="eastAsia" w:ascii="宋体" w:hAnsi="宋体" w:eastAsia="宋体" w:cs="宋体"/>
          <w:color w:val="auto"/>
          <w:sz w:val="24"/>
          <w:szCs w:val="24"/>
          <w:highlight w:val="none"/>
        </w:rPr>
        <w:t>利物质条件</w:t>
      </w:r>
    </w:p>
    <w:p w14:paraId="4F52E687">
      <w:pPr>
        <w:pStyle w:val="348"/>
        <w:spacing w:line="420" w:lineRule="exact"/>
        <w:ind w:firstLine="480" w:firstLineChars="200"/>
        <w:jc w:val="left"/>
        <w:rPr>
          <w:rStyle w:val="346"/>
          <w:rFonts w:ascii="宋体" w:hAnsi="宋体" w:cs="宋体"/>
          <w:color w:val="auto"/>
          <w:sz w:val="24"/>
          <w:szCs w:val="24"/>
          <w:highlight w:val="none"/>
          <w:u w:val="single"/>
        </w:rPr>
      </w:pPr>
      <w:bookmarkStart w:id="424" w:name="_Toc297216179"/>
      <w:bookmarkEnd w:id="424"/>
      <w:bookmarkStart w:id="425" w:name="_Toc303539129"/>
      <w:bookmarkEnd w:id="425"/>
      <w:bookmarkStart w:id="426" w:name="_Toc297123520"/>
      <w:bookmarkEnd w:id="426"/>
      <w:bookmarkStart w:id="427" w:name="_Toc318581172"/>
      <w:bookmarkEnd w:id="427"/>
      <w:bookmarkStart w:id="428" w:name="_Toc312678016"/>
      <w:bookmarkEnd w:id="428"/>
      <w:bookmarkStart w:id="429" w:name="_Toc304295550"/>
      <w:bookmarkEnd w:id="429"/>
      <w:bookmarkStart w:id="430" w:name="_Toc300934972"/>
      <w:r>
        <w:rPr>
          <w:rStyle w:val="346"/>
          <w:rFonts w:hint="eastAsia" w:ascii="宋体" w:hAnsi="宋体" w:cs="宋体"/>
          <w:color w:val="auto"/>
          <w:sz w:val="24"/>
          <w:szCs w:val="24"/>
          <w:highlight w:val="none"/>
        </w:rPr>
        <w:t>不利物质条件的其他情形和有关约定：</w:t>
      </w:r>
      <w:bookmarkEnd w:id="430"/>
      <w:r>
        <w:rPr>
          <w:rStyle w:val="346"/>
          <w:rFonts w:hint="eastAsia" w:ascii="宋体" w:hAnsi="宋体" w:cs="宋体"/>
          <w:color w:val="auto"/>
          <w:sz w:val="24"/>
          <w:szCs w:val="24"/>
          <w:highlight w:val="none"/>
          <w:u w:val="single"/>
        </w:rPr>
        <w:t>无</w:t>
      </w:r>
      <w:r>
        <w:rPr>
          <w:rStyle w:val="346"/>
          <w:rFonts w:hint="eastAsia" w:ascii="宋体" w:hAnsi="宋体" w:cs="宋体"/>
          <w:color w:val="auto"/>
          <w:sz w:val="24"/>
          <w:szCs w:val="24"/>
          <w:highlight w:val="none"/>
        </w:rPr>
        <w:t>。</w:t>
      </w:r>
    </w:p>
    <w:p w14:paraId="3A629EB0">
      <w:pPr>
        <w:pStyle w:val="352"/>
        <w:spacing w:line="420" w:lineRule="exact"/>
        <w:rPr>
          <w:rStyle w:val="346"/>
          <w:rFonts w:ascii="宋体" w:hAnsi="宋体" w:eastAsia="宋体" w:cs="宋体"/>
          <w:color w:val="auto"/>
          <w:sz w:val="24"/>
          <w:szCs w:val="24"/>
          <w:highlight w:val="none"/>
        </w:rPr>
      </w:pPr>
      <w:bookmarkStart w:id="431" w:name="_Toc373227729"/>
      <w:bookmarkEnd w:id="431"/>
      <w:bookmarkStart w:id="432" w:name="_Toc373478376"/>
      <w:bookmarkEnd w:id="432"/>
      <w:bookmarkStart w:id="433" w:name="_Toc21019"/>
      <w:bookmarkEnd w:id="433"/>
      <w:bookmarkStart w:id="434" w:name="_Toc389065295"/>
      <w:bookmarkEnd w:id="434"/>
      <w:r>
        <w:rPr>
          <w:rStyle w:val="346"/>
          <w:rFonts w:hint="eastAsia" w:ascii="宋体" w:hAnsi="宋体" w:eastAsia="宋体" w:cs="宋体"/>
          <w:color w:val="auto"/>
          <w:sz w:val="24"/>
          <w:szCs w:val="24"/>
          <w:highlight w:val="none"/>
        </w:rPr>
        <w:t>7</w:t>
      </w:r>
      <w:bookmarkStart w:id="435" w:name="_Toc303539130"/>
      <w:bookmarkEnd w:id="435"/>
      <w:bookmarkStart w:id="436" w:name="_Toc304295551"/>
      <w:bookmarkEnd w:id="436"/>
      <w:bookmarkStart w:id="437" w:name="_Toc297216180"/>
      <w:bookmarkEnd w:id="437"/>
      <w:bookmarkStart w:id="438" w:name="_Toc312678017"/>
      <w:bookmarkEnd w:id="438"/>
      <w:bookmarkStart w:id="439" w:name="_Toc297123521"/>
      <w:bookmarkEnd w:id="439"/>
      <w:bookmarkStart w:id="440" w:name="_Toc300934973"/>
      <w:r>
        <w:rPr>
          <w:rStyle w:val="346"/>
          <w:rFonts w:hint="eastAsia" w:ascii="宋体" w:hAnsi="宋体" w:eastAsia="宋体" w:cs="宋体"/>
          <w:color w:val="auto"/>
          <w:sz w:val="24"/>
          <w:szCs w:val="24"/>
          <w:highlight w:val="none"/>
        </w:rPr>
        <w:t>.7</w:t>
      </w:r>
      <w:bookmarkEnd w:id="440"/>
      <w:r>
        <w:rPr>
          <w:rStyle w:val="346"/>
          <w:rFonts w:hint="eastAsia" w:ascii="宋体" w:hAnsi="宋体" w:eastAsia="宋体" w:cs="宋体"/>
          <w:color w:val="auto"/>
          <w:sz w:val="24"/>
          <w:szCs w:val="24"/>
          <w:highlight w:val="none"/>
        </w:rPr>
        <w:t xml:space="preserve"> 异常恶劣的气候条件</w:t>
      </w:r>
    </w:p>
    <w:p w14:paraId="746E9103">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发包人和承包人同意以下情形视为异常恶劣的气候条件：</w:t>
      </w:r>
    </w:p>
    <w:p w14:paraId="50BE2071">
      <w:pPr>
        <w:pStyle w:val="361"/>
        <w:widowControl/>
        <w:spacing w:line="420" w:lineRule="exact"/>
        <w:ind w:firstLine="420"/>
        <w:jc w:val="left"/>
        <w:rPr>
          <w:rStyle w:val="346"/>
          <w:rFonts w:ascii="宋体" w:hAnsi="宋体" w:cs="宋体"/>
          <w:color w:val="auto"/>
          <w:kern w:val="0"/>
          <w:sz w:val="24"/>
          <w:szCs w:val="24"/>
          <w:highlight w:val="none"/>
          <w:u w:val="single"/>
        </w:rPr>
      </w:pPr>
      <w:bookmarkStart w:id="441" w:name="_Toc373478377"/>
      <w:bookmarkEnd w:id="441"/>
      <w:bookmarkStart w:id="442" w:name="_Toc22298"/>
      <w:bookmarkEnd w:id="442"/>
      <w:bookmarkStart w:id="443" w:name="_Toc373227730"/>
      <w:bookmarkEnd w:id="443"/>
      <w:bookmarkStart w:id="444" w:name="_Toc389065296"/>
      <w:r>
        <w:rPr>
          <w:rStyle w:val="346"/>
          <w:rFonts w:hint="eastAsia" w:ascii="宋体" w:hAnsi="宋体" w:cs="宋体"/>
          <w:color w:val="auto"/>
          <w:kern w:val="0"/>
          <w:sz w:val="24"/>
          <w:szCs w:val="24"/>
          <w:highlight w:val="none"/>
        </w:rPr>
        <w:t>（1）</w:t>
      </w:r>
      <w:bookmarkEnd w:id="444"/>
      <w:r>
        <w:rPr>
          <w:rStyle w:val="346"/>
          <w:rFonts w:hint="eastAsia" w:ascii="宋体" w:hAnsi="宋体" w:cs="宋体"/>
          <w:color w:val="auto"/>
          <w:kern w:val="0"/>
          <w:sz w:val="24"/>
          <w:szCs w:val="24"/>
          <w:highlight w:val="none"/>
          <w:u w:val="single"/>
        </w:rPr>
        <w:t>6级以上地震；</w:t>
      </w:r>
    </w:p>
    <w:p w14:paraId="28EF6EBC">
      <w:pPr>
        <w:pStyle w:val="361"/>
        <w:widowControl/>
        <w:spacing w:line="420" w:lineRule="exact"/>
        <w:ind w:firstLine="42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（2）</w:t>
      </w:r>
      <w:r>
        <w:rPr>
          <w:rStyle w:val="346"/>
          <w:rFonts w:hint="eastAsia" w:ascii="宋体" w:hAnsi="宋体" w:cs="宋体"/>
          <w:color w:val="auto"/>
          <w:kern w:val="0"/>
          <w:sz w:val="24"/>
          <w:szCs w:val="24"/>
          <w:highlight w:val="none"/>
          <w:u w:val="single"/>
        </w:rPr>
        <w:t>10级以上持续1天的大风；</w:t>
      </w:r>
    </w:p>
    <w:p w14:paraId="0477FA6B">
      <w:pPr>
        <w:pStyle w:val="361"/>
        <w:widowControl/>
        <w:spacing w:line="420" w:lineRule="exact"/>
        <w:ind w:firstLine="42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（3）</w:t>
      </w:r>
      <w:r>
        <w:rPr>
          <w:rStyle w:val="346"/>
          <w:rFonts w:hint="eastAsia" w:ascii="宋体" w:hAnsi="宋体" w:cs="宋体"/>
          <w:color w:val="auto"/>
          <w:kern w:val="0"/>
          <w:sz w:val="24"/>
          <w:szCs w:val="24"/>
          <w:highlight w:val="none"/>
          <w:u w:val="single"/>
        </w:rPr>
        <w:t>台风及暴雨级以上持续1天的大雨；</w:t>
      </w:r>
    </w:p>
    <w:p w14:paraId="09CE7F5D">
      <w:pPr>
        <w:pStyle w:val="361"/>
        <w:widowControl/>
        <w:spacing w:line="420" w:lineRule="exact"/>
        <w:ind w:firstLine="42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（4）</w:t>
      </w:r>
      <w:r>
        <w:rPr>
          <w:rStyle w:val="346"/>
          <w:rFonts w:hint="eastAsia" w:ascii="宋体" w:hAnsi="宋体" w:cs="宋体"/>
          <w:color w:val="auto"/>
          <w:kern w:val="0"/>
          <w:sz w:val="24"/>
          <w:szCs w:val="24"/>
          <w:highlight w:val="none"/>
          <w:u w:val="single"/>
        </w:rPr>
        <w:t>50年以上未发生过，持续2天的高温天气；</w:t>
      </w:r>
    </w:p>
    <w:p w14:paraId="51F8D7DE">
      <w:pPr>
        <w:pStyle w:val="361"/>
        <w:widowControl/>
        <w:spacing w:line="420" w:lineRule="exact"/>
        <w:ind w:firstLine="42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（5）</w:t>
      </w:r>
      <w:r>
        <w:rPr>
          <w:rStyle w:val="346"/>
          <w:rFonts w:hint="eastAsia" w:ascii="宋体" w:hAnsi="宋体" w:cs="宋体"/>
          <w:color w:val="auto"/>
          <w:kern w:val="0"/>
          <w:sz w:val="24"/>
          <w:szCs w:val="24"/>
          <w:highlight w:val="none"/>
          <w:u w:val="single"/>
        </w:rPr>
        <w:t>50年以上未发生过，持续2天的低温天气；</w:t>
      </w:r>
    </w:p>
    <w:p w14:paraId="527E4B9F">
      <w:pPr>
        <w:pStyle w:val="361"/>
        <w:widowControl/>
        <w:spacing w:line="420" w:lineRule="exact"/>
        <w:ind w:firstLine="42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（6）</w:t>
      </w:r>
      <w:r>
        <w:rPr>
          <w:rStyle w:val="346"/>
          <w:rFonts w:hint="eastAsia" w:ascii="宋体" w:hAnsi="宋体" w:cs="宋体"/>
          <w:color w:val="auto"/>
          <w:kern w:val="0"/>
          <w:sz w:val="24"/>
          <w:szCs w:val="24"/>
          <w:highlight w:val="none"/>
          <w:u w:val="single"/>
        </w:rPr>
        <w:t>50年以上未发生过的洪水。</w:t>
      </w:r>
    </w:p>
    <w:p w14:paraId="5227E2C9">
      <w:pPr>
        <w:pStyle w:val="361"/>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其余按通用条款执行。</w:t>
      </w:r>
    </w:p>
    <w:p w14:paraId="5F34128F">
      <w:pPr>
        <w:pStyle w:val="347"/>
        <w:spacing w:before="0" w:after="0" w:line="420" w:lineRule="exact"/>
        <w:rPr>
          <w:rStyle w:val="346"/>
          <w:rFonts w:ascii="宋体" w:hAnsi="宋体" w:eastAsia="宋体" w:cs="宋体"/>
          <w:color w:val="auto"/>
          <w:sz w:val="24"/>
          <w:szCs w:val="24"/>
          <w:highlight w:val="none"/>
        </w:rPr>
      </w:pPr>
      <w:bookmarkStart w:id="445" w:name="_Toc373227731"/>
      <w:bookmarkEnd w:id="445"/>
      <w:bookmarkStart w:id="446" w:name="_Toc389065297"/>
      <w:bookmarkEnd w:id="446"/>
      <w:bookmarkStart w:id="447" w:name="_Toc373478378"/>
      <w:bookmarkEnd w:id="447"/>
      <w:bookmarkStart w:id="448" w:name="_Toc351203640"/>
      <w:bookmarkEnd w:id="448"/>
      <w:bookmarkStart w:id="449" w:name="_Toc19507"/>
      <w:r>
        <w:rPr>
          <w:rStyle w:val="346"/>
          <w:rFonts w:hint="eastAsia" w:ascii="宋体" w:hAnsi="宋体" w:eastAsia="宋体" w:cs="宋体"/>
          <w:color w:val="auto"/>
          <w:sz w:val="24"/>
          <w:szCs w:val="24"/>
          <w:highlight w:val="none"/>
        </w:rPr>
        <w:t>8. 材料与设备</w:t>
      </w:r>
      <w:bookmarkEnd w:id="449"/>
    </w:p>
    <w:p w14:paraId="6BB8D41C">
      <w:pPr>
        <w:pStyle w:val="352"/>
        <w:spacing w:line="420" w:lineRule="exact"/>
        <w:rPr>
          <w:rStyle w:val="346"/>
          <w:rFonts w:ascii="宋体" w:hAnsi="宋体" w:eastAsia="宋体" w:cs="宋体"/>
          <w:color w:val="auto"/>
          <w:sz w:val="24"/>
          <w:szCs w:val="24"/>
          <w:highlight w:val="none"/>
        </w:rPr>
      </w:pPr>
      <w:bookmarkStart w:id="450" w:name="_Toc373227732"/>
      <w:bookmarkEnd w:id="450"/>
      <w:bookmarkStart w:id="451" w:name="_Toc373478379"/>
      <w:bookmarkEnd w:id="451"/>
      <w:bookmarkStart w:id="452" w:name="_Toc389065298"/>
      <w:bookmarkEnd w:id="452"/>
      <w:bookmarkStart w:id="453" w:name="_Toc24535"/>
      <w:bookmarkEnd w:id="453"/>
      <w:r>
        <w:rPr>
          <w:rStyle w:val="346"/>
          <w:rFonts w:hint="eastAsia" w:ascii="宋体" w:hAnsi="宋体" w:eastAsia="宋体" w:cs="宋体"/>
          <w:color w:val="auto"/>
          <w:sz w:val="24"/>
          <w:szCs w:val="24"/>
          <w:highlight w:val="none"/>
        </w:rPr>
        <w:t>8.2 承包人采购材料与工程设备</w:t>
      </w:r>
    </w:p>
    <w:p w14:paraId="2CAE200C">
      <w:pPr>
        <w:autoSpaceDE w:val="0"/>
        <w:autoSpaceDN w:val="0"/>
        <w:spacing w:line="420" w:lineRule="exact"/>
        <w:ind w:firstLine="480" w:firstLineChars="200"/>
        <w:jc w:val="left"/>
        <w:rPr>
          <w:rFonts w:ascii="宋体" w:hAnsi="宋体" w:eastAsia="宋体" w:cs="宋体"/>
          <w:color w:val="auto"/>
          <w:sz w:val="24"/>
          <w:highlight w:val="none"/>
        </w:rPr>
      </w:pPr>
      <w:bookmarkStart w:id="454" w:name="_Toc3731"/>
      <w:bookmarkEnd w:id="454"/>
      <w:r>
        <w:rPr>
          <w:rFonts w:hint="eastAsia" w:ascii="宋体" w:hAnsi="宋体" w:eastAsia="宋体" w:cs="宋体"/>
          <w:color w:val="auto"/>
          <w:kern w:val="0"/>
          <w:sz w:val="24"/>
          <w:highlight w:val="none"/>
        </w:rPr>
        <w:t>承包人负责材料和工程设备的采购、运输和保管。</w:t>
      </w:r>
      <w:r>
        <w:rPr>
          <w:rFonts w:hint="eastAsia" w:ascii="宋体" w:hAnsi="宋体" w:eastAsia="宋体" w:cs="宋体"/>
          <w:color w:val="auto"/>
          <w:sz w:val="24"/>
          <w:highlight w:val="none"/>
        </w:rPr>
        <w:t xml:space="preserve">对发包人在招标时有“参照或相当于**品牌、级别”约定的材料或设备，承包人采购时必须按类似于或优于所约定的品牌、等级进行采购，施工期间该部分材料或设备如未超过招标约定的风险幅度的，结算时按投标单价支付，不得调整。 </w:t>
      </w:r>
    </w:p>
    <w:p w14:paraId="2F10392A">
      <w:pPr>
        <w:autoSpaceDE w:val="0"/>
        <w:autoSpaceDN w:val="0"/>
        <w:spacing w:line="420" w:lineRule="exact"/>
        <w:ind w:firstLine="480" w:firstLineChars="200"/>
        <w:jc w:val="left"/>
        <w:rPr>
          <w:rFonts w:ascii="宋体" w:hAnsi="宋体" w:eastAsia="宋体" w:cs="宋体"/>
          <w:color w:val="auto"/>
          <w:sz w:val="24"/>
          <w:highlight w:val="none"/>
        </w:rPr>
      </w:pPr>
    </w:p>
    <w:p w14:paraId="1C6DBAB4">
      <w:pPr>
        <w:pStyle w:val="352"/>
        <w:spacing w:line="420" w:lineRule="exact"/>
        <w:rPr>
          <w:rStyle w:val="346"/>
          <w:rFonts w:ascii="宋体" w:hAnsi="宋体" w:eastAsia="宋体" w:cs="宋体"/>
          <w:color w:val="auto"/>
          <w:sz w:val="24"/>
          <w:szCs w:val="24"/>
          <w:highlight w:val="none"/>
        </w:rPr>
      </w:pPr>
      <w:r>
        <w:rPr>
          <w:rStyle w:val="346"/>
          <w:rFonts w:hint="eastAsia" w:ascii="宋体" w:hAnsi="宋体" w:eastAsia="宋体" w:cs="宋体"/>
          <w:color w:val="auto"/>
          <w:sz w:val="24"/>
          <w:szCs w:val="24"/>
          <w:highlight w:val="none"/>
        </w:rPr>
        <w:t>8</w:t>
      </w:r>
      <w:bookmarkStart w:id="455" w:name="_Toc297123527"/>
      <w:bookmarkEnd w:id="455"/>
      <w:bookmarkStart w:id="456" w:name="_Toc292559877"/>
      <w:bookmarkEnd w:id="456"/>
      <w:bookmarkStart w:id="457" w:name="_Toc292559372"/>
      <w:bookmarkEnd w:id="457"/>
      <w:bookmarkStart w:id="458" w:name="_Toc303539136"/>
      <w:bookmarkEnd w:id="458"/>
      <w:bookmarkStart w:id="459" w:name="_Toc296891207"/>
      <w:bookmarkEnd w:id="459"/>
      <w:bookmarkStart w:id="460" w:name="_Toc297120467"/>
      <w:bookmarkEnd w:id="460"/>
      <w:bookmarkStart w:id="461" w:name="_Toc296503167"/>
      <w:bookmarkEnd w:id="461"/>
      <w:bookmarkStart w:id="462" w:name="_Toc296944506"/>
      <w:bookmarkEnd w:id="462"/>
      <w:bookmarkStart w:id="463" w:name="_Toc296347166"/>
      <w:bookmarkEnd w:id="463"/>
      <w:bookmarkStart w:id="464" w:name="_Toc296890995"/>
      <w:bookmarkEnd w:id="464"/>
      <w:bookmarkStart w:id="465" w:name="_Toc312678019"/>
      <w:bookmarkEnd w:id="465"/>
      <w:bookmarkStart w:id="466" w:name="_Toc267251424"/>
      <w:bookmarkEnd w:id="466"/>
      <w:bookmarkStart w:id="467" w:name="_Toc300934979"/>
      <w:bookmarkEnd w:id="467"/>
      <w:bookmarkStart w:id="468" w:name="_Toc297216186"/>
      <w:bookmarkEnd w:id="468"/>
      <w:bookmarkStart w:id="469" w:name="_Toc296346668"/>
      <w:bookmarkEnd w:id="469"/>
      <w:bookmarkStart w:id="470" w:name="_Toc297048353"/>
      <w:bookmarkEnd w:id="470"/>
      <w:bookmarkStart w:id="471" w:name="_Toc280868656"/>
      <w:bookmarkEnd w:id="471"/>
      <w:bookmarkStart w:id="472" w:name="_Toc304295556"/>
      <w:bookmarkEnd w:id="472"/>
      <w:bookmarkStart w:id="473" w:name="_Toc312677493"/>
      <w:bookmarkEnd w:id="473"/>
      <w:bookmarkStart w:id="474" w:name="_Toc280868654"/>
      <w:bookmarkEnd w:id="474"/>
      <w:bookmarkStart w:id="475" w:name="_Toc280868655"/>
      <w:r>
        <w:rPr>
          <w:rStyle w:val="346"/>
          <w:rFonts w:hint="eastAsia" w:ascii="宋体" w:hAnsi="宋体" w:eastAsia="宋体" w:cs="宋体"/>
          <w:color w:val="auto"/>
          <w:sz w:val="24"/>
          <w:szCs w:val="24"/>
          <w:highlight w:val="none"/>
        </w:rPr>
        <w:t>.4</w:t>
      </w:r>
      <w:bookmarkEnd w:id="475"/>
      <w:r>
        <w:rPr>
          <w:rStyle w:val="346"/>
          <w:rFonts w:hint="eastAsia" w:ascii="宋体" w:hAnsi="宋体" w:eastAsia="宋体" w:cs="宋体"/>
          <w:color w:val="auto"/>
          <w:sz w:val="24"/>
          <w:szCs w:val="24"/>
          <w:highlight w:val="none"/>
        </w:rPr>
        <w:t xml:space="preserve"> 材料与工程设备的保管与使用</w:t>
      </w:r>
    </w:p>
    <w:p w14:paraId="38A058F1">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8</w:t>
      </w:r>
      <w:bookmarkStart w:id="476" w:name="_Toc296346669"/>
      <w:bookmarkEnd w:id="476"/>
      <w:bookmarkStart w:id="477" w:name="_Toc312677494"/>
      <w:bookmarkEnd w:id="477"/>
      <w:bookmarkStart w:id="478" w:name="_Toc292559878"/>
      <w:bookmarkEnd w:id="478"/>
      <w:bookmarkStart w:id="479" w:name="_Toc297048354"/>
      <w:bookmarkEnd w:id="479"/>
      <w:bookmarkStart w:id="480" w:name="_Toc304295557"/>
      <w:bookmarkEnd w:id="480"/>
      <w:bookmarkStart w:id="481" w:name="_Toc296347167"/>
      <w:bookmarkEnd w:id="481"/>
      <w:bookmarkStart w:id="482" w:name="_Toc296944507"/>
      <w:bookmarkEnd w:id="482"/>
      <w:bookmarkStart w:id="483" w:name="_Toc300934980"/>
      <w:bookmarkEnd w:id="483"/>
      <w:bookmarkStart w:id="484" w:name="_Toc292559373"/>
      <w:bookmarkEnd w:id="484"/>
      <w:bookmarkStart w:id="485" w:name="_Toc297123528"/>
      <w:bookmarkEnd w:id="485"/>
      <w:bookmarkStart w:id="486" w:name="_Toc318581173"/>
      <w:bookmarkEnd w:id="486"/>
      <w:bookmarkStart w:id="487" w:name="_Toc296890996"/>
      <w:bookmarkEnd w:id="487"/>
      <w:bookmarkStart w:id="488" w:name="_Toc312678020"/>
      <w:bookmarkEnd w:id="488"/>
      <w:bookmarkStart w:id="489" w:name="_Toc296891208"/>
      <w:bookmarkEnd w:id="489"/>
      <w:bookmarkStart w:id="490" w:name="_Toc297120468"/>
      <w:bookmarkEnd w:id="490"/>
      <w:bookmarkStart w:id="491" w:name="_Toc297216187"/>
      <w:bookmarkEnd w:id="491"/>
      <w:bookmarkStart w:id="492" w:name="_Toc303539137"/>
      <w:bookmarkEnd w:id="492"/>
      <w:bookmarkStart w:id="493" w:name="_Toc296503168"/>
      <w:r>
        <w:rPr>
          <w:rStyle w:val="346"/>
          <w:rFonts w:hint="eastAsia" w:ascii="宋体" w:hAnsi="宋体" w:cs="宋体"/>
          <w:color w:val="auto"/>
          <w:sz w:val="24"/>
          <w:szCs w:val="24"/>
          <w:highlight w:val="none"/>
        </w:rPr>
        <w:t>.4.1</w:t>
      </w:r>
      <w:bookmarkEnd w:id="493"/>
      <w:r>
        <w:rPr>
          <w:rStyle w:val="346"/>
          <w:rFonts w:hint="eastAsia" w:ascii="宋体" w:hAnsi="宋体" w:cs="宋体"/>
          <w:color w:val="auto"/>
          <w:sz w:val="24"/>
          <w:szCs w:val="24"/>
          <w:highlight w:val="none"/>
        </w:rPr>
        <w:t>发包人供应的材料设备的保管费用的承担：</w:t>
      </w:r>
      <w:r>
        <w:rPr>
          <w:rStyle w:val="346"/>
          <w:rFonts w:hint="eastAsia" w:ascii="宋体" w:hAnsi="宋体" w:cs="宋体"/>
          <w:b/>
          <w:color w:val="auto"/>
          <w:sz w:val="24"/>
          <w:szCs w:val="24"/>
          <w:highlight w:val="none"/>
          <w:u w:val="single"/>
        </w:rPr>
        <w:t>保</w:t>
      </w:r>
      <w:r>
        <w:rPr>
          <w:rStyle w:val="346"/>
          <w:rFonts w:hint="eastAsia" w:ascii="宋体" w:hAnsi="宋体" w:cs="宋体"/>
          <w:b/>
          <w:bCs/>
          <w:color w:val="auto"/>
          <w:sz w:val="24"/>
          <w:szCs w:val="24"/>
          <w:highlight w:val="none"/>
          <w:u w:val="single"/>
        </w:rPr>
        <w:t>管期间产生的费用由发包人承担。监理人未通知承包人清点的，承包人不负责材料和工程设备的保管，由此导致丢失毁损的由发包人负责。发包人供应的材料和工程设备使用前，由承包人负责检验，检验费用由发包人承担，不合格的不得使用</w:t>
      </w:r>
      <w:r>
        <w:rPr>
          <w:rStyle w:val="346"/>
          <w:rFonts w:hint="eastAsia" w:ascii="宋体" w:hAnsi="宋体" w:cs="宋体"/>
          <w:color w:val="auto"/>
          <w:sz w:val="24"/>
          <w:szCs w:val="24"/>
          <w:highlight w:val="none"/>
        </w:rPr>
        <w:t>。</w:t>
      </w:r>
    </w:p>
    <w:p w14:paraId="7A80EF50">
      <w:pPr>
        <w:pStyle w:val="352"/>
        <w:spacing w:line="420" w:lineRule="exact"/>
        <w:rPr>
          <w:rStyle w:val="346"/>
          <w:rFonts w:ascii="宋体" w:hAnsi="宋体" w:eastAsia="宋体" w:cs="宋体"/>
          <w:color w:val="auto"/>
          <w:sz w:val="24"/>
          <w:szCs w:val="24"/>
          <w:highlight w:val="none"/>
        </w:rPr>
      </w:pPr>
      <w:bookmarkStart w:id="494" w:name="_Toc15900"/>
      <w:bookmarkEnd w:id="494"/>
      <w:bookmarkStart w:id="495" w:name="_Toc389065300"/>
      <w:bookmarkEnd w:id="495"/>
      <w:bookmarkStart w:id="496" w:name="_Toc373478381"/>
      <w:bookmarkEnd w:id="496"/>
      <w:bookmarkStart w:id="497" w:name="_Toc373227734"/>
      <w:r>
        <w:rPr>
          <w:rStyle w:val="346"/>
          <w:rFonts w:hint="eastAsia" w:ascii="宋体" w:hAnsi="宋体" w:eastAsia="宋体" w:cs="宋体"/>
          <w:color w:val="auto"/>
          <w:sz w:val="24"/>
          <w:szCs w:val="24"/>
          <w:highlight w:val="none"/>
        </w:rPr>
        <w:t xml:space="preserve">8.6 </w:t>
      </w:r>
      <w:bookmarkEnd w:id="497"/>
      <w:r>
        <w:rPr>
          <w:rStyle w:val="346"/>
          <w:rFonts w:hint="eastAsia" w:ascii="宋体" w:hAnsi="宋体" w:eastAsia="宋体" w:cs="宋体"/>
          <w:color w:val="auto"/>
          <w:sz w:val="24"/>
          <w:szCs w:val="24"/>
          <w:highlight w:val="none"/>
        </w:rPr>
        <w:t>样品</w:t>
      </w:r>
    </w:p>
    <w:p w14:paraId="3F69C121">
      <w:pPr>
        <w:pStyle w:val="348"/>
        <w:autoSpaceDE w:val="0"/>
        <w:autoSpaceDN w:val="0"/>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8.6.1 样品的报送与封存</w:t>
      </w:r>
    </w:p>
    <w:p w14:paraId="5722EC93">
      <w:pPr>
        <w:pStyle w:val="348"/>
        <w:autoSpaceDE w:val="0"/>
        <w:autoSpaceDN w:val="0"/>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需要承包人报送样品的材料或工程设备，样品的种类、名称、规格、数量要求：</w:t>
      </w:r>
      <w:r>
        <w:rPr>
          <w:rStyle w:val="346"/>
          <w:rFonts w:hint="eastAsia" w:ascii="宋体" w:hAnsi="宋体" w:cs="宋体"/>
          <w:color w:val="auto"/>
          <w:sz w:val="24"/>
          <w:szCs w:val="24"/>
          <w:highlight w:val="none"/>
          <w:u w:val="single"/>
        </w:rPr>
        <w:t>主要材料涉及品种、款式、颜色等方面内容的，承包人应提交准备合格的材料样品送发包人选定。</w:t>
      </w:r>
    </w:p>
    <w:p w14:paraId="71DA9838">
      <w:pPr>
        <w:pStyle w:val="352"/>
        <w:spacing w:line="420" w:lineRule="exact"/>
        <w:rPr>
          <w:rStyle w:val="346"/>
          <w:rFonts w:ascii="宋体" w:hAnsi="宋体" w:eastAsia="宋体" w:cs="宋体"/>
          <w:color w:val="auto"/>
          <w:sz w:val="24"/>
          <w:szCs w:val="24"/>
          <w:highlight w:val="none"/>
        </w:rPr>
      </w:pPr>
      <w:bookmarkStart w:id="498" w:name="_Toc21051"/>
      <w:bookmarkEnd w:id="498"/>
      <w:bookmarkStart w:id="499" w:name="_Toc373227735"/>
      <w:bookmarkEnd w:id="499"/>
      <w:bookmarkStart w:id="500" w:name="_Toc389065301"/>
      <w:bookmarkEnd w:id="500"/>
      <w:bookmarkStart w:id="501" w:name="_Toc373478382"/>
      <w:r>
        <w:rPr>
          <w:rStyle w:val="346"/>
          <w:rFonts w:hint="eastAsia" w:ascii="宋体" w:hAnsi="宋体" w:eastAsia="宋体" w:cs="宋体"/>
          <w:color w:val="auto"/>
          <w:sz w:val="24"/>
          <w:szCs w:val="24"/>
          <w:highlight w:val="none"/>
        </w:rPr>
        <w:t>8.8 施工设备和临时设施</w:t>
      </w:r>
      <w:bookmarkEnd w:id="501"/>
    </w:p>
    <w:p w14:paraId="6A0E8DDC">
      <w:pPr>
        <w:pStyle w:val="348"/>
        <w:autoSpaceDE w:val="0"/>
        <w:autoSpaceDN w:val="0"/>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8.8.1 承包人提供的施工设备和临时设施</w:t>
      </w:r>
    </w:p>
    <w:p w14:paraId="4B6511F4">
      <w:pPr>
        <w:pStyle w:val="348"/>
        <w:autoSpaceDE w:val="0"/>
        <w:autoSpaceDN w:val="0"/>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7F6EA018">
      <w:pPr>
        <w:pStyle w:val="348"/>
        <w:autoSpaceDE w:val="0"/>
        <w:autoSpaceDN w:val="0"/>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关于修建临时设施费用承担的约定：</w:t>
      </w:r>
      <w:r>
        <w:rPr>
          <w:rStyle w:val="346"/>
          <w:rFonts w:hint="eastAsia" w:ascii="宋体" w:hAnsi="宋体" w:cs="宋体"/>
          <w:color w:val="auto"/>
          <w:sz w:val="24"/>
          <w:szCs w:val="24"/>
          <w:highlight w:val="none"/>
          <w:u w:val="single"/>
        </w:rPr>
        <w:t>无。</w:t>
      </w:r>
    </w:p>
    <w:p w14:paraId="5200AC7B">
      <w:pPr>
        <w:pStyle w:val="348"/>
        <w:autoSpaceDE w:val="0"/>
        <w:autoSpaceDN w:val="0"/>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8.8.2 发包人提供的施工设备和临时设施</w:t>
      </w:r>
    </w:p>
    <w:p w14:paraId="7EE5DCF2">
      <w:pPr>
        <w:pStyle w:val="348"/>
        <w:autoSpaceDE w:val="0"/>
        <w:autoSpaceDN w:val="0"/>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发包人提供的施工设备和临时设施：</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535A3031">
      <w:pPr>
        <w:pStyle w:val="348"/>
        <w:autoSpaceDE w:val="0"/>
        <w:autoSpaceDN w:val="0"/>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发包人提供的施工设备和临时设施的运行、维护、拆除、清运费用的承担人：</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45F7A071">
      <w:pPr>
        <w:pStyle w:val="347"/>
        <w:spacing w:before="0" w:after="0" w:line="420" w:lineRule="exact"/>
        <w:rPr>
          <w:rStyle w:val="346"/>
          <w:rFonts w:ascii="宋体" w:hAnsi="宋体" w:eastAsia="宋体" w:cs="宋体"/>
          <w:color w:val="auto"/>
          <w:sz w:val="24"/>
          <w:szCs w:val="24"/>
          <w:highlight w:val="none"/>
        </w:rPr>
      </w:pPr>
      <w:bookmarkStart w:id="502" w:name="_Toc373478383"/>
      <w:bookmarkEnd w:id="502"/>
      <w:bookmarkStart w:id="503" w:name="_Toc373227736"/>
      <w:bookmarkEnd w:id="503"/>
      <w:bookmarkStart w:id="504" w:name="_Toc351203641"/>
      <w:bookmarkEnd w:id="504"/>
      <w:bookmarkStart w:id="505" w:name="_Toc389065302"/>
      <w:bookmarkEnd w:id="505"/>
      <w:bookmarkStart w:id="506" w:name="_Toc27616"/>
      <w:bookmarkEnd w:id="506"/>
      <w:r>
        <w:rPr>
          <w:rStyle w:val="346"/>
          <w:rFonts w:hint="eastAsia" w:ascii="宋体" w:hAnsi="宋体" w:eastAsia="宋体" w:cs="宋体"/>
          <w:color w:val="auto"/>
          <w:sz w:val="24"/>
          <w:szCs w:val="24"/>
          <w:highlight w:val="none"/>
        </w:rPr>
        <w:t>9</w:t>
      </w:r>
      <w:bookmarkStart w:id="507" w:name="_Toc297216192"/>
      <w:bookmarkEnd w:id="507"/>
      <w:bookmarkStart w:id="508" w:name="_Toc296503173"/>
      <w:bookmarkEnd w:id="508"/>
      <w:bookmarkStart w:id="509" w:name="_Toc292559883"/>
      <w:bookmarkEnd w:id="509"/>
      <w:bookmarkStart w:id="510" w:name="_Toc297120473"/>
      <w:bookmarkEnd w:id="510"/>
      <w:bookmarkStart w:id="511" w:name="_Toc292559378"/>
      <w:bookmarkEnd w:id="511"/>
      <w:bookmarkStart w:id="512" w:name="_Toc296346674"/>
      <w:bookmarkEnd w:id="512"/>
      <w:bookmarkStart w:id="513" w:name="_Toc303539139"/>
      <w:bookmarkEnd w:id="513"/>
      <w:bookmarkStart w:id="514" w:name="_Toc312677495"/>
      <w:bookmarkEnd w:id="514"/>
      <w:bookmarkStart w:id="515" w:name="_Toc297123533"/>
      <w:bookmarkEnd w:id="515"/>
      <w:bookmarkStart w:id="516" w:name="_Toc296891001"/>
      <w:bookmarkEnd w:id="516"/>
      <w:bookmarkStart w:id="517" w:name="_Toc296347172"/>
      <w:bookmarkEnd w:id="517"/>
      <w:bookmarkStart w:id="518" w:name="_Toc296944512"/>
      <w:bookmarkEnd w:id="518"/>
      <w:bookmarkStart w:id="519" w:name="_Toc304295559"/>
      <w:bookmarkEnd w:id="519"/>
      <w:bookmarkStart w:id="520" w:name="_Toc267251428"/>
      <w:bookmarkEnd w:id="520"/>
      <w:bookmarkStart w:id="521" w:name="_Toc300934982"/>
      <w:bookmarkEnd w:id="521"/>
      <w:bookmarkStart w:id="522" w:name="_Toc297048359"/>
      <w:bookmarkEnd w:id="522"/>
      <w:bookmarkStart w:id="523" w:name="_Toc312678021"/>
      <w:bookmarkEnd w:id="523"/>
      <w:bookmarkStart w:id="524" w:name="_Toc296891213"/>
      <w:bookmarkEnd w:id="524"/>
      <w:bookmarkStart w:id="525" w:name="_Toc267251427"/>
      <w:r>
        <w:rPr>
          <w:rStyle w:val="346"/>
          <w:rFonts w:hint="eastAsia" w:ascii="宋体" w:hAnsi="宋体" w:eastAsia="宋体" w:cs="宋体"/>
          <w:color w:val="auto"/>
          <w:sz w:val="24"/>
          <w:szCs w:val="24"/>
          <w:highlight w:val="none"/>
        </w:rPr>
        <w:t>. 试验与检验</w:t>
      </w:r>
      <w:bookmarkEnd w:id="525"/>
    </w:p>
    <w:p w14:paraId="47D2E452">
      <w:pPr>
        <w:pStyle w:val="352"/>
        <w:spacing w:line="420" w:lineRule="exact"/>
        <w:rPr>
          <w:rStyle w:val="346"/>
          <w:rFonts w:ascii="宋体" w:hAnsi="宋体" w:eastAsia="宋体" w:cs="宋体"/>
          <w:color w:val="auto"/>
          <w:sz w:val="24"/>
          <w:szCs w:val="24"/>
          <w:highlight w:val="none"/>
        </w:rPr>
      </w:pPr>
      <w:bookmarkStart w:id="526" w:name="_Toc373227737"/>
      <w:bookmarkEnd w:id="526"/>
      <w:bookmarkStart w:id="527" w:name="_Toc389065303"/>
      <w:bookmarkEnd w:id="527"/>
      <w:bookmarkStart w:id="528" w:name="_Toc8792"/>
      <w:bookmarkEnd w:id="528"/>
      <w:bookmarkStart w:id="529" w:name="_Toc373478384"/>
      <w:bookmarkEnd w:id="529"/>
      <w:r>
        <w:rPr>
          <w:rStyle w:val="346"/>
          <w:rFonts w:hint="eastAsia" w:ascii="宋体" w:hAnsi="宋体" w:eastAsia="宋体" w:cs="宋体"/>
          <w:color w:val="auto"/>
          <w:sz w:val="24"/>
          <w:szCs w:val="24"/>
          <w:highlight w:val="none"/>
        </w:rPr>
        <w:t>9</w:t>
      </w:r>
      <w:bookmarkStart w:id="530" w:name="_Toc303539140"/>
      <w:bookmarkEnd w:id="530"/>
      <w:bookmarkStart w:id="531" w:name="_Toc304295560"/>
      <w:bookmarkEnd w:id="531"/>
      <w:bookmarkStart w:id="532" w:name="_Toc297123534"/>
      <w:bookmarkEnd w:id="532"/>
      <w:bookmarkStart w:id="533" w:name="_Toc312677496"/>
      <w:bookmarkEnd w:id="533"/>
      <w:bookmarkStart w:id="534" w:name="_Toc312678022"/>
      <w:bookmarkEnd w:id="534"/>
      <w:bookmarkStart w:id="535" w:name="_Toc300934983"/>
      <w:bookmarkEnd w:id="535"/>
      <w:bookmarkStart w:id="536" w:name="_Toc297216193"/>
      <w:r>
        <w:rPr>
          <w:rStyle w:val="346"/>
          <w:rFonts w:hint="eastAsia" w:ascii="宋体" w:hAnsi="宋体" w:eastAsia="宋体" w:cs="宋体"/>
          <w:color w:val="auto"/>
          <w:sz w:val="24"/>
          <w:szCs w:val="24"/>
          <w:highlight w:val="none"/>
        </w:rPr>
        <w:t>.1</w:t>
      </w:r>
      <w:bookmarkEnd w:id="536"/>
      <w:r>
        <w:rPr>
          <w:rStyle w:val="346"/>
          <w:rFonts w:hint="eastAsia" w:ascii="宋体" w:hAnsi="宋体" w:eastAsia="宋体" w:cs="宋体"/>
          <w:color w:val="auto"/>
          <w:sz w:val="24"/>
          <w:szCs w:val="24"/>
          <w:highlight w:val="none"/>
        </w:rPr>
        <w:t xml:space="preserve"> 试验设备与试验人员</w:t>
      </w:r>
    </w:p>
    <w:p w14:paraId="008DEC65">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9</w:t>
      </w:r>
      <w:bookmarkStart w:id="537" w:name="_Toc312678023"/>
      <w:bookmarkEnd w:id="537"/>
      <w:bookmarkStart w:id="538" w:name="_Toc312677497"/>
      <w:bookmarkEnd w:id="538"/>
      <w:bookmarkStart w:id="539" w:name="_Toc303539141"/>
      <w:bookmarkEnd w:id="539"/>
      <w:bookmarkStart w:id="540" w:name="_Toc318581174"/>
      <w:bookmarkEnd w:id="540"/>
      <w:bookmarkStart w:id="541" w:name="_Toc297123535"/>
      <w:bookmarkEnd w:id="541"/>
      <w:bookmarkStart w:id="542" w:name="_Toc297216194"/>
      <w:bookmarkEnd w:id="542"/>
      <w:bookmarkStart w:id="543" w:name="_Toc300934984"/>
      <w:bookmarkEnd w:id="543"/>
      <w:bookmarkStart w:id="544" w:name="_Toc304295561"/>
      <w:r>
        <w:rPr>
          <w:rStyle w:val="346"/>
          <w:rFonts w:hint="eastAsia" w:ascii="宋体" w:hAnsi="宋体" w:cs="宋体"/>
          <w:color w:val="auto"/>
          <w:sz w:val="24"/>
          <w:szCs w:val="24"/>
          <w:highlight w:val="none"/>
        </w:rPr>
        <w:t xml:space="preserve">.1.2 </w:t>
      </w:r>
      <w:bookmarkEnd w:id="544"/>
      <w:r>
        <w:rPr>
          <w:rStyle w:val="346"/>
          <w:rFonts w:hint="eastAsia" w:ascii="宋体" w:hAnsi="宋体" w:cs="宋体"/>
          <w:color w:val="auto"/>
          <w:sz w:val="24"/>
          <w:szCs w:val="24"/>
          <w:highlight w:val="none"/>
        </w:rPr>
        <w:t>试验设备</w:t>
      </w:r>
    </w:p>
    <w:p w14:paraId="5FB2808F">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施工现场需要配置的试验场所：</w:t>
      </w:r>
      <w:bookmarkStart w:id="545" w:name="_Toc297123536"/>
      <w:bookmarkEnd w:id="545"/>
      <w:bookmarkStart w:id="546" w:name="_Toc312678024"/>
      <w:bookmarkEnd w:id="546"/>
      <w:bookmarkStart w:id="547" w:name="_Toc312677498"/>
      <w:bookmarkEnd w:id="547"/>
      <w:bookmarkStart w:id="548" w:name="_Toc300934985"/>
      <w:bookmarkEnd w:id="548"/>
      <w:bookmarkStart w:id="549" w:name="_Toc297216195"/>
      <w:bookmarkEnd w:id="549"/>
      <w:bookmarkStart w:id="550" w:name="_Toc303539142"/>
      <w:bookmarkEnd w:id="550"/>
      <w:bookmarkStart w:id="551" w:name="_Toc304295562"/>
      <w:bookmarkEnd w:id="551"/>
      <w:r>
        <w:rPr>
          <w:rStyle w:val="346"/>
          <w:rFonts w:hint="eastAsia" w:ascii="宋体" w:hAnsi="宋体" w:cs="宋体"/>
          <w:color w:val="auto"/>
          <w:sz w:val="24"/>
          <w:szCs w:val="24"/>
          <w:highlight w:val="none"/>
          <w:u w:val="single"/>
        </w:rPr>
        <w:t>承包人根据施工需要自行确定</w:t>
      </w:r>
      <w:r>
        <w:rPr>
          <w:rStyle w:val="346"/>
          <w:rFonts w:hint="eastAsia" w:ascii="宋体" w:hAnsi="宋体" w:cs="宋体"/>
          <w:color w:val="auto"/>
          <w:sz w:val="24"/>
          <w:szCs w:val="24"/>
          <w:highlight w:val="none"/>
        </w:rPr>
        <w:t>。</w:t>
      </w:r>
    </w:p>
    <w:p w14:paraId="5DFACBAF">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施工现场需要配备的试验设备：</w:t>
      </w:r>
      <w:r>
        <w:rPr>
          <w:rStyle w:val="346"/>
          <w:rFonts w:hint="eastAsia" w:ascii="宋体" w:hAnsi="宋体" w:cs="宋体"/>
          <w:color w:val="auto"/>
          <w:sz w:val="24"/>
          <w:szCs w:val="24"/>
          <w:highlight w:val="none"/>
          <w:u w:val="single"/>
        </w:rPr>
        <w:t>承包人根据施工需要自行确定</w:t>
      </w:r>
      <w:r>
        <w:rPr>
          <w:rStyle w:val="346"/>
          <w:rFonts w:hint="eastAsia" w:ascii="宋体" w:hAnsi="宋体" w:cs="宋体"/>
          <w:color w:val="auto"/>
          <w:sz w:val="24"/>
          <w:szCs w:val="24"/>
          <w:highlight w:val="none"/>
        </w:rPr>
        <w:t>。</w:t>
      </w:r>
    </w:p>
    <w:p w14:paraId="7964E6CA">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施工现场需要具备的其他试验条件：</w:t>
      </w:r>
      <w:r>
        <w:rPr>
          <w:rStyle w:val="346"/>
          <w:rFonts w:hint="eastAsia" w:ascii="宋体" w:hAnsi="宋体" w:cs="宋体"/>
          <w:color w:val="auto"/>
          <w:sz w:val="24"/>
          <w:szCs w:val="24"/>
          <w:highlight w:val="none"/>
          <w:u w:val="single"/>
        </w:rPr>
        <w:t>承包人根据施工需要自行确定</w:t>
      </w:r>
      <w:r>
        <w:rPr>
          <w:rStyle w:val="346"/>
          <w:rFonts w:hint="eastAsia" w:ascii="宋体" w:hAnsi="宋体" w:cs="宋体"/>
          <w:color w:val="auto"/>
          <w:sz w:val="24"/>
          <w:szCs w:val="24"/>
          <w:highlight w:val="none"/>
        </w:rPr>
        <w:t>。</w:t>
      </w:r>
    </w:p>
    <w:p w14:paraId="2EF6DB01">
      <w:pPr>
        <w:pStyle w:val="352"/>
        <w:spacing w:line="420" w:lineRule="exact"/>
        <w:rPr>
          <w:rStyle w:val="346"/>
          <w:rFonts w:ascii="宋体" w:hAnsi="宋体" w:eastAsia="宋体" w:cs="宋体"/>
          <w:color w:val="auto"/>
          <w:sz w:val="24"/>
          <w:szCs w:val="24"/>
          <w:highlight w:val="none"/>
        </w:rPr>
      </w:pPr>
      <w:bookmarkStart w:id="552" w:name="_Toc373478385"/>
      <w:bookmarkEnd w:id="552"/>
      <w:bookmarkStart w:id="553" w:name="_Toc373227738"/>
      <w:bookmarkEnd w:id="553"/>
      <w:bookmarkStart w:id="554" w:name="_Toc9320"/>
      <w:bookmarkEnd w:id="554"/>
      <w:bookmarkStart w:id="555" w:name="_Toc389065304"/>
      <w:r>
        <w:rPr>
          <w:rStyle w:val="346"/>
          <w:rFonts w:hint="eastAsia" w:ascii="宋体" w:hAnsi="宋体" w:eastAsia="宋体" w:cs="宋体"/>
          <w:color w:val="auto"/>
          <w:sz w:val="24"/>
          <w:szCs w:val="24"/>
          <w:highlight w:val="none"/>
        </w:rPr>
        <w:t xml:space="preserve">9.4 </w:t>
      </w:r>
      <w:bookmarkEnd w:id="555"/>
      <w:r>
        <w:rPr>
          <w:rStyle w:val="346"/>
          <w:rFonts w:hint="eastAsia" w:ascii="宋体" w:hAnsi="宋体" w:eastAsia="宋体" w:cs="宋体"/>
          <w:color w:val="auto"/>
          <w:sz w:val="24"/>
          <w:szCs w:val="24"/>
          <w:highlight w:val="none"/>
        </w:rPr>
        <w:t xml:space="preserve">现场工艺试验 </w:t>
      </w:r>
    </w:p>
    <w:p w14:paraId="4F3C8683">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现场工艺试验的有关约定：</w:t>
      </w:r>
      <w:r>
        <w:rPr>
          <w:rStyle w:val="346"/>
          <w:rFonts w:hint="eastAsia" w:ascii="宋体" w:hAnsi="宋体" w:cs="宋体"/>
          <w:color w:val="auto"/>
          <w:sz w:val="24"/>
          <w:szCs w:val="24"/>
          <w:highlight w:val="none"/>
          <w:u w:val="single"/>
        </w:rPr>
        <w:t>按合同约定</w:t>
      </w:r>
      <w:r>
        <w:rPr>
          <w:rStyle w:val="346"/>
          <w:rFonts w:hint="eastAsia" w:ascii="宋体" w:hAnsi="宋体" w:cs="宋体"/>
          <w:color w:val="auto"/>
          <w:sz w:val="24"/>
          <w:szCs w:val="24"/>
          <w:highlight w:val="none"/>
        </w:rPr>
        <w:t>。</w:t>
      </w:r>
    </w:p>
    <w:p w14:paraId="60011E90">
      <w:pPr>
        <w:pStyle w:val="352"/>
        <w:spacing w:line="420" w:lineRule="exact"/>
        <w:rPr>
          <w:rStyle w:val="346"/>
          <w:rFonts w:ascii="宋体" w:hAnsi="宋体" w:eastAsia="宋体" w:cs="宋体"/>
          <w:color w:val="auto"/>
          <w:sz w:val="24"/>
          <w:szCs w:val="24"/>
          <w:highlight w:val="none"/>
        </w:rPr>
      </w:pPr>
      <w:bookmarkStart w:id="556" w:name="_Toc24256"/>
      <w:bookmarkEnd w:id="556"/>
      <w:r>
        <w:rPr>
          <w:rStyle w:val="346"/>
          <w:rFonts w:hint="eastAsia" w:ascii="宋体" w:hAnsi="宋体" w:eastAsia="宋体" w:cs="宋体"/>
          <w:color w:val="auto"/>
          <w:sz w:val="24"/>
          <w:szCs w:val="24"/>
          <w:highlight w:val="none"/>
        </w:rPr>
        <w:t>9.5 检验费用</w:t>
      </w:r>
    </w:p>
    <w:p w14:paraId="25FE6563">
      <w:pPr>
        <w:pStyle w:val="348"/>
        <w:spacing w:line="420" w:lineRule="exact"/>
        <w:ind w:firstLine="470" w:firstLineChars="196"/>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根据《建设工程质量检测管理办法》（建设部令第141号）以及《广西壮族自治区建设工程质量检测管理实施细则》（桂建发〔2025〕5号）规定，工程质量检测业务由发包人委托有相应资质的检测机构检测。费用从发包人的项目建设经费中支出并直接支付给检测机构，不计入合同价款内。</w:t>
      </w:r>
    </w:p>
    <w:p w14:paraId="2B845019">
      <w:pPr>
        <w:pStyle w:val="347"/>
        <w:spacing w:before="0" w:after="0" w:line="420" w:lineRule="exact"/>
        <w:rPr>
          <w:rStyle w:val="346"/>
          <w:rFonts w:ascii="宋体" w:hAnsi="宋体" w:eastAsia="宋体" w:cs="宋体"/>
          <w:color w:val="auto"/>
          <w:sz w:val="24"/>
          <w:szCs w:val="24"/>
          <w:highlight w:val="none"/>
        </w:rPr>
      </w:pPr>
      <w:bookmarkStart w:id="557" w:name="_Toc6988"/>
      <w:bookmarkEnd w:id="557"/>
      <w:bookmarkStart w:id="558" w:name="_Toc389065305"/>
      <w:bookmarkEnd w:id="558"/>
      <w:bookmarkStart w:id="559" w:name="_Toc373478386"/>
      <w:bookmarkEnd w:id="559"/>
      <w:bookmarkStart w:id="560" w:name="_Toc351203642"/>
      <w:bookmarkEnd w:id="560"/>
      <w:bookmarkStart w:id="561" w:name="_Toc373227739"/>
      <w:bookmarkEnd w:id="561"/>
      <w:r>
        <w:rPr>
          <w:rStyle w:val="346"/>
          <w:rFonts w:hint="eastAsia" w:ascii="宋体" w:hAnsi="宋体" w:eastAsia="宋体" w:cs="宋体"/>
          <w:color w:val="auto"/>
          <w:sz w:val="24"/>
          <w:szCs w:val="24"/>
          <w:highlight w:val="none"/>
        </w:rPr>
        <w:t>1</w:t>
      </w:r>
      <w:bookmarkStart w:id="562" w:name="_Toc297123540"/>
      <w:bookmarkEnd w:id="562"/>
      <w:bookmarkStart w:id="563" w:name="_Toc304295566"/>
      <w:bookmarkEnd w:id="563"/>
      <w:bookmarkStart w:id="564" w:name="_Toc296503193"/>
      <w:bookmarkEnd w:id="564"/>
      <w:bookmarkStart w:id="565" w:name="_Toc267251440"/>
      <w:bookmarkEnd w:id="565"/>
      <w:bookmarkStart w:id="566" w:name="_Toc303539146"/>
      <w:bookmarkEnd w:id="566"/>
      <w:bookmarkStart w:id="567" w:name="_Toc300934989"/>
      <w:bookmarkEnd w:id="567"/>
      <w:bookmarkStart w:id="568" w:name="_Toc292559903"/>
      <w:bookmarkEnd w:id="568"/>
      <w:bookmarkStart w:id="569" w:name="_Toc312677499"/>
      <w:bookmarkEnd w:id="569"/>
      <w:bookmarkStart w:id="570" w:name="_Toc296347192"/>
      <w:bookmarkEnd w:id="570"/>
      <w:bookmarkStart w:id="571" w:name="_Toc292559398"/>
      <w:bookmarkEnd w:id="571"/>
      <w:bookmarkStart w:id="572" w:name="_Toc297216199"/>
      <w:bookmarkEnd w:id="572"/>
      <w:bookmarkStart w:id="573" w:name="_Toc296891233"/>
      <w:bookmarkEnd w:id="573"/>
      <w:bookmarkStart w:id="574" w:name="_Toc267251441"/>
      <w:bookmarkEnd w:id="574"/>
      <w:bookmarkStart w:id="575" w:name="_Toc296346694"/>
      <w:bookmarkEnd w:id="575"/>
      <w:bookmarkStart w:id="576" w:name="_Toc297120493"/>
      <w:bookmarkEnd w:id="576"/>
      <w:bookmarkStart w:id="577" w:name="_Toc312678025"/>
      <w:bookmarkEnd w:id="577"/>
      <w:bookmarkStart w:id="578" w:name="_Toc267251433"/>
      <w:bookmarkEnd w:id="578"/>
      <w:bookmarkStart w:id="579" w:name="_Toc296944532"/>
      <w:bookmarkEnd w:id="579"/>
      <w:bookmarkStart w:id="580" w:name="_Toc267251437"/>
      <w:bookmarkEnd w:id="580"/>
      <w:bookmarkStart w:id="581" w:name="_Toc297048379"/>
      <w:bookmarkEnd w:id="581"/>
      <w:bookmarkStart w:id="582" w:name="_Toc267251439"/>
      <w:bookmarkEnd w:id="582"/>
      <w:bookmarkStart w:id="583" w:name="_Toc296891021"/>
      <w:bookmarkEnd w:id="583"/>
      <w:bookmarkStart w:id="584" w:name="_Toc267251435"/>
      <w:bookmarkEnd w:id="584"/>
      <w:bookmarkStart w:id="585" w:name="_Toc267251442"/>
      <w:r>
        <w:rPr>
          <w:rStyle w:val="346"/>
          <w:rFonts w:hint="eastAsia" w:ascii="宋体" w:hAnsi="宋体" w:eastAsia="宋体" w:cs="宋体"/>
          <w:color w:val="auto"/>
          <w:sz w:val="24"/>
          <w:szCs w:val="24"/>
          <w:highlight w:val="none"/>
        </w:rPr>
        <w:t xml:space="preserve">0. </w:t>
      </w:r>
      <w:bookmarkEnd w:id="585"/>
      <w:r>
        <w:rPr>
          <w:rStyle w:val="346"/>
          <w:rFonts w:hint="eastAsia" w:ascii="宋体" w:hAnsi="宋体" w:eastAsia="宋体" w:cs="宋体"/>
          <w:color w:val="auto"/>
          <w:sz w:val="24"/>
          <w:szCs w:val="24"/>
          <w:highlight w:val="none"/>
        </w:rPr>
        <w:t>变更</w:t>
      </w:r>
    </w:p>
    <w:p w14:paraId="0E018D5A">
      <w:pPr>
        <w:pStyle w:val="352"/>
        <w:spacing w:line="420" w:lineRule="exact"/>
        <w:rPr>
          <w:rStyle w:val="346"/>
          <w:rFonts w:ascii="宋体" w:hAnsi="宋体" w:eastAsia="宋体" w:cs="宋体"/>
          <w:color w:val="auto"/>
          <w:sz w:val="24"/>
          <w:szCs w:val="24"/>
          <w:highlight w:val="none"/>
        </w:rPr>
      </w:pPr>
      <w:bookmarkStart w:id="586" w:name="_Toc23389"/>
      <w:bookmarkEnd w:id="586"/>
      <w:bookmarkStart w:id="587" w:name="_Toc373227740"/>
      <w:bookmarkEnd w:id="587"/>
      <w:bookmarkStart w:id="588" w:name="_Toc373478387"/>
      <w:bookmarkEnd w:id="588"/>
      <w:bookmarkStart w:id="589" w:name="_Toc389065306"/>
      <w:r>
        <w:rPr>
          <w:rStyle w:val="346"/>
          <w:rFonts w:hint="eastAsia" w:ascii="宋体" w:hAnsi="宋体" w:eastAsia="宋体" w:cs="宋体"/>
          <w:color w:val="auto"/>
          <w:sz w:val="24"/>
          <w:szCs w:val="24"/>
          <w:highlight w:val="none"/>
        </w:rPr>
        <w:t>1</w:t>
      </w:r>
      <w:bookmarkEnd w:id="589"/>
      <w:bookmarkStart w:id="590" w:name="_Toc296944533"/>
      <w:bookmarkEnd w:id="590"/>
      <w:bookmarkStart w:id="591" w:name="_Toc297216200"/>
      <w:bookmarkEnd w:id="591"/>
      <w:bookmarkStart w:id="592" w:name="_Toc296346695"/>
      <w:bookmarkEnd w:id="592"/>
      <w:bookmarkStart w:id="593" w:name="_Toc312677500"/>
      <w:bookmarkEnd w:id="593"/>
      <w:bookmarkStart w:id="594" w:name="_Toc303539147"/>
      <w:bookmarkEnd w:id="594"/>
      <w:bookmarkStart w:id="595" w:name="_Toc296347193"/>
      <w:bookmarkEnd w:id="595"/>
      <w:bookmarkStart w:id="596" w:name="_Toc297123541"/>
      <w:bookmarkEnd w:id="596"/>
      <w:bookmarkStart w:id="597" w:name="_Toc297120494"/>
      <w:bookmarkEnd w:id="597"/>
      <w:bookmarkStart w:id="598" w:name="_Toc304295567"/>
      <w:bookmarkEnd w:id="598"/>
      <w:bookmarkStart w:id="599" w:name="_Toc296891022"/>
      <w:bookmarkEnd w:id="599"/>
      <w:bookmarkStart w:id="600" w:name="_Toc296503194"/>
      <w:bookmarkEnd w:id="600"/>
      <w:bookmarkStart w:id="601" w:name="_Toc292559904"/>
      <w:bookmarkEnd w:id="601"/>
      <w:bookmarkStart w:id="602" w:name="_Toc312678026"/>
      <w:bookmarkEnd w:id="602"/>
      <w:bookmarkStart w:id="603" w:name="_Toc292559399"/>
      <w:bookmarkEnd w:id="603"/>
      <w:bookmarkStart w:id="604" w:name="_Toc300934990"/>
      <w:bookmarkEnd w:id="604"/>
      <w:bookmarkStart w:id="605" w:name="_Toc297048380"/>
      <w:bookmarkEnd w:id="605"/>
      <w:bookmarkStart w:id="606" w:name="_Toc296891234"/>
      <w:r>
        <w:rPr>
          <w:rStyle w:val="346"/>
          <w:rFonts w:hint="eastAsia" w:ascii="宋体" w:hAnsi="宋体" w:eastAsia="宋体" w:cs="宋体"/>
          <w:color w:val="auto"/>
          <w:sz w:val="24"/>
          <w:szCs w:val="24"/>
          <w:highlight w:val="none"/>
        </w:rPr>
        <w:t>0.1</w:t>
      </w:r>
      <w:bookmarkEnd w:id="606"/>
      <w:r>
        <w:rPr>
          <w:rStyle w:val="346"/>
          <w:rFonts w:hint="eastAsia" w:ascii="宋体" w:hAnsi="宋体" w:eastAsia="宋体" w:cs="宋体"/>
          <w:color w:val="auto"/>
          <w:sz w:val="24"/>
          <w:szCs w:val="24"/>
          <w:highlight w:val="none"/>
        </w:rPr>
        <w:t xml:space="preserve"> 变更的范围</w:t>
      </w:r>
    </w:p>
    <w:p w14:paraId="6C9866FF">
      <w:pPr>
        <w:pStyle w:val="348"/>
        <w:spacing w:line="420" w:lineRule="exact"/>
        <w:ind w:firstLine="426"/>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关于变更的范围的约定：</w:t>
      </w:r>
      <w:r>
        <w:rPr>
          <w:rStyle w:val="346"/>
          <w:rFonts w:hint="eastAsia" w:ascii="宋体" w:hAnsi="宋体" w:cs="宋体"/>
          <w:color w:val="auto"/>
          <w:sz w:val="24"/>
          <w:szCs w:val="24"/>
          <w:highlight w:val="none"/>
          <w:u w:val="single"/>
        </w:rPr>
        <w:t>执行通用合同条款10.1款并经发包人书面批准</w:t>
      </w:r>
      <w:r>
        <w:rPr>
          <w:rStyle w:val="346"/>
          <w:rFonts w:hint="eastAsia" w:ascii="宋体" w:hAnsi="宋体" w:cs="宋体"/>
          <w:color w:val="auto"/>
          <w:sz w:val="24"/>
          <w:szCs w:val="24"/>
          <w:highlight w:val="none"/>
        </w:rPr>
        <w:t>。</w:t>
      </w:r>
    </w:p>
    <w:p w14:paraId="2DB43268">
      <w:pPr>
        <w:pStyle w:val="348"/>
        <w:spacing w:line="420" w:lineRule="exact"/>
        <w:ind w:firstLine="426"/>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在本工程实施过程中，如发生工程承包范围内的增减工程、工程变更或现场签证，承包人应无任何先决条件予以执行，否则，发包人有权委托第三方完成该项增减工程或工程变更，且按实际发生的费用从承包人最终的结算款中扣除。工程承包范围外的承包人应积极配合。凡涉及合同价款增减变化的变更事项，设计变更必须经设计单位、总监理工程师和发包人代表共同签字；现场鉴证必须经总监理工程师和发包人代表共同签字，并经发包人盖章确认后的书面档案为准，否则不作为结算调整依据；承包人根据发包人书面确认的变更档予以变更。变更档中须明确原做法、变更后做法及工艺、材料名称、规格、品牌、尺寸等，标注要清晰。</w:t>
      </w:r>
    </w:p>
    <w:p w14:paraId="74FE9DAA">
      <w:pPr>
        <w:pStyle w:val="348"/>
        <w:spacing w:line="420" w:lineRule="exact"/>
        <w:ind w:firstLine="426"/>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 xml:space="preserve"> </w:t>
      </w:r>
    </w:p>
    <w:p w14:paraId="66F37373">
      <w:pPr>
        <w:pStyle w:val="352"/>
        <w:spacing w:line="420" w:lineRule="exact"/>
        <w:rPr>
          <w:rStyle w:val="346"/>
          <w:rFonts w:ascii="宋体" w:hAnsi="宋体" w:eastAsia="宋体" w:cs="宋体"/>
          <w:color w:val="auto"/>
          <w:sz w:val="24"/>
          <w:szCs w:val="24"/>
          <w:highlight w:val="none"/>
        </w:rPr>
      </w:pPr>
      <w:bookmarkStart w:id="607" w:name="_Toc389065307"/>
      <w:bookmarkEnd w:id="607"/>
      <w:bookmarkStart w:id="608" w:name="_Toc373227741"/>
      <w:bookmarkEnd w:id="608"/>
      <w:bookmarkStart w:id="609" w:name="_Toc373478388"/>
      <w:bookmarkEnd w:id="609"/>
      <w:bookmarkStart w:id="610" w:name="_Toc20664"/>
      <w:r>
        <w:rPr>
          <w:rStyle w:val="346"/>
          <w:rFonts w:hint="eastAsia" w:ascii="宋体" w:hAnsi="宋体" w:eastAsia="宋体" w:cs="宋体"/>
          <w:color w:val="auto"/>
          <w:sz w:val="24"/>
          <w:szCs w:val="24"/>
          <w:highlight w:val="none"/>
        </w:rPr>
        <w:t xml:space="preserve">10.3 </w:t>
      </w:r>
      <w:bookmarkEnd w:id="610"/>
      <w:r>
        <w:rPr>
          <w:rStyle w:val="346"/>
          <w:rFonts w:hint="eastAsia" w:ascii="宋体" w:hAnsi="宋体" w:eastAsia="宋体" w:cs="宋体"/>
          <w:color w:val="auto"/>
          <w:sz w:val="24"/>
          <w:szCs w:val="24"/>
          <w:highlight w:val="none"/>
        </w:rPr>
        <w:t>变更程序</w:t>
      </w:r>
    </w:p>
    <w:p w14:paraId="24A0E3D0">
      <w:pPr>
        <w:pStyle w:val="354"/>
        <w:spacing w:line="420" w:lineRule="exact"/>
        <w:ind w:firstLine="504" w:firstLineChars="210"/>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10.3.1国有投资项目：</w:t>
      </w:r>
    </w:p>
    <w:p w14:paraId="4B505EA8">
      <w:pPr>
        <w:pStyle w:val="17"/>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⑴设计变更和工程签证，</w:t>
      </w:r>
      <w:r>
        <w:rPr>
          <w:rFonts w:hint="eastAsia" w:ascii="宋体" w:hAnsi="宋体" w:eastAsia="宋体" w:cs="宋体"/>
          <w:color w:val="auto"/>
          <w:highlight w:val="none"/>
        </w:rPr>
        <w:t>按照发包人和监理工程师的要求办理</w:t>
      </w:r>
      <w:r>
        <w:rPr>
          <w:rStyle w:val="346"/>
          <w:rFonts w:hint="eastAsia" w:ascii="宋体" w:hAnsi="宋体" w:eastAsia="宋体" w:cs="宋体"/>
          <w:color w:val="auto"/>
          <w:sz w:val="24"/>
          <w:highlight w:val="none"/>
        </w:rPr>
        <w:t>。属不可抗力（自然灾害、突发事件等）造成变更的，按特事特办原则予以办理。</w:t>
      </w:r>
    </w:p>
    <w:p w14:paraId="654C206E">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⑵建设单位在实施项目过程中，若发生单价变动，由建设单位、监理单位、施工单位及其他相关单位共同商定并签字确认，并按规定办理相关手续。</w:t>
      </w:r>
    </w:p>
    <w:p w14:paraId="34850E27">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F7CC11C">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 xml:space="preserve">10.3.2 非国有投资项目： </w:t>
      </w:r>
    </w:p>
    <w:p w14:paraId="2009524C">
      <w:pPr>
        <w:pStyle w:val="348"/>
        <w:spacing w:line="420" w:lineRule="exact"/>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20A702A8">
      <w:pPr>
        <w:pStyle w:val="352"/>
        <w:spacing w:line="420" w:lineRule="exact"/>
        <w:rPr>
          <w:rStyle w:val="346"/>
          <w:rFonts w:ascii="宋体" w:hAnsi="宋体" w:eastAsia="宋体" w:cs="宋体"/>
          <w:color w:val="auto"/>
          <w:sz w:val="24"/>
          <w:szCs w:val="24"/>
          <w:highlight w:val="none"/>
        </w:rPr>
      </w:pPr>
      <w:bookmarkStart w:id="611" w:name="_Toc389065308"/>
      <w:bookmarkEnd w:id="611"/>
      <w:bookmarkStart w:id="612" w:name="_Toc373478389"/>
      <w:bookmarkEnd w:id="612"/>
      <w:bookmarkStart w:id="613" w:name="_Toc19438"/>
      <w:bookmarkEnd w:id="613"/>
      <w:bookmarkStart w:id="614" w:name="_Toc373227742"/>
      <w:r>
        <w:rPr>
          <w:rStyle w:val="346"/>
          <w:rFonts w:hint="eastAsia" w:ascii="宋体" w:hAnsi="宋体" w:eastAsia="宋体" w:cs="宋体"/>
          <w:color w:val="auto"/>
          <w:sz w:val="24"/>
          <w:szCs w:val="24"/>
          <w:highlight w:val="none"/>
        </w:rPr>
        <w:t xml:space="preserve">10.4 </w:t>
      </w:r>
      <w:bookmarkEnd w:id="614"/>
      <w:r>
        <w:rPr>
          <w:rStyle w:val="346"/>
          <w:rFonts w:hint="eastAsia" w:ascii="宋体" w:hAnsi="宋体" w:eastAsia="宋体" w:cs="宋体"/>
          <w:color w:val="auto"/>
          <w:sz w:val="24"/>
          <w:szCs w:val="24"/>
          <w:highlight w:val="none"/>
        </w:rPr>
        <w:t>变更估价</w:t>
      </w:r>
    </w:p>
    <w:p w14:paraId="421DA0BA">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10.4.1 变更估价原则</w:t>
      </w:r>
    </w:p>
    <w:p w14:paraId="05ABD42B">
      <w:pPr>
        <w:pStyle w:val="351"/>
        <w:spacing w:line="360" w:lineRule="auto"/>
        <w:ind w:firstLine="480" w:firstLineChars="200"/>
        <w:jc w:val="left"/>
        <w:rPr>
          <w:rStyle w:val="346"/>
          <w:rFonts w:ascii="宋体" w:hAnsi="宋体" w:cs="宋体"/>
          <w:color w:val="auto"/>
          <w:sz w:val="24"/>
          <w:highlight w:val="none"/>
          <w:u w:val="single"/>
        </w:rPr>
      </w:pPr>
      <w:bookmarkStart w:id="615" w:name="_Toc373227743"/>
      <w:bookmarkEnd w:id="615"/>
      <w:bookmarkStart w:id="616" w:name="_Toc251051742"/>
      <w:bookmarkEnd w:id="616"/>
      <w:bookmarkStart w:id="617" w:name="_Toc5293"/>
      <w:bookmarkEnd w:id="617"/>
      <w:bookmarkStart w:id="618" w:name="_Toc373478390"/>
      <w:bookmarkEnd w:id="618"/>
      <w:bookmarkStart w:id="619" w:name="_Toc389065309"/>
      <w:r>
        <w:rPr>
          <w:rStyle w:val="346"/>
          <w:rFonts w:hint="eastAsia" w:ascii="宋体" w:hAnsi="宋体" w:cs="宋体"/>
          <w:color w:val="auto"/>
          <w:sz w:val="24"/>
          <w:highlight w:val="none"/>
          <w:u w:val="single"/>
        </w:rPr>
        <w:t>关于变更估价的约定: 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中标系数（中标价/招标控制价） %，□不乘下浮系数）计算，其中：材料设备价格按施工期间的《南宁市建设工程造价信息》相应信息价的加权平均值计算，《南宁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以上约定同时适用于工程量清单缺项以及工程量清单项目特征与图纸不符时的价款确定。对于政府及国有资金投资的项目，新增项目的单价必须经相关部门审定。</w:t>
      </w:r>
    </w:p>
    <w:p w14:paraId="2BF72BDF">
      <w:pPr>
        <w:pStyle w:val="352"/>
        <w:spacing w:line="420" w:lineRule="exact"/>
        <w:rPr>
          <w:rStyle w:val="346"/>
          <w:rFonts w:ascii="宋体" w:hAnsi="宋体" w:eastAsia="宋体" w:cs="宋体"/>
          <w:color w:val="auto"/>
          <w:sz w:val="24"/>
          <w:szCs w:val="24"/>
          <w:highlight w:val="none"/>
        </w:rPr>
      </w:pPr>
      <w:r>
        <w:rPr>
          <w:rStyle w:val="346"/>
          <w:rFonts w:hint="eastAsia" w:ascii="宋体" w:hAnsi="宋体" w:eastAsia="宋体" w:cs="宋体"/>
          <w:color w:val="auto"/>
          <w:sz w:val="24"/>
          <w:szCs w:val="24"/>
          <w:highlight w:val="none"/>
        </w:rPr>
        <w:t>1</w:t>
      </w:r>
      <w:bookmarkEnd w:id="619"/>
      <w:bookmarkStart w:id="620" w:name="_Toc296347196"/>
      <w:bookmarkEnd w:id="620"/>
      <w:bookmarkStart w:id="621" w:name="_Toc312677503"/>
      <w:bookmarkEnd w:id="621"/>
      <w:bookmarkStart w:id="622" w:name="_Toc303539150"/>
      <w:bookmarkEnd w:id="622"/>
      <w:bookmarkStart w:id="623" w:name="_Toc297216203"/>
      <w:bookmarkEnd w:id="623"/>
      <w:bookmarkStart w:id="624" w:name="_Toc292559907"/>
      <w:bookmarkEnd w:id="624"/>
      <w:bookmarkStart w:id="625" w:name="_Toc297123544"/>
      <w:bookmarkEnd w:id="625"/>
      <w:bookmarkStart w:id="626" w:name="_Toc296891237"/>
      <w:bookmarkEnd w:id="626"/>
      <w:bookmarkStart w:id="627" w:name="_Toc304295570"/>
      <w:bookmarkEnd w:id="627"/>
      <w:bookmarkStart w:id="628" w:name="_Toc312678029"/>
      <w:bookmarkEnd w:id="628"/>
      <w:bookmarkStart w:id="629" w:name="_Toc296503197"/>
      <w:bookmarkEnd w:id="629"/>
      <w:bookmarkStart w:id="630" w:name="_Toc300934993"/>
      <w:bookmarkEnd w:id="630"/>
      <w:bookmarkStart w:id="631" w:name="_Toc296944536"/>
      <w:bookmarkEnd w:id="631"/>
      <w:bookmarkStart w:id="632" w:name="_Toc296346698"/>
      <w:bookmarkEnd w:id="632"/>
      <w:bookmarkStart w:id="633" w:name="_Toc297048383"/>
      <w:bookmarkEnd w:id="633"/>
      <w:bookmarkStart w:id="634" w:name="_Toc296891025"/>
      <w:bookmarkEnd w:id="634"/>
      <w:bookmarkStart w:id="635" w:name="_Toc297120497"/>
      <w:bookmarkEnd w:id="635"/>
      <w:bookmarkStart w:id="636" w:name="_Toc292559402"/>
      <w:bookmarkEnd w:id="636"/>
      <w:r>
        <w:rPr>
          <w:rStyle w:val="346"/>
          <w:rFonts w:hint="eastAsia" w:ascii="宋体" w:hAnsi="宋体" w:eastAsia="宋体" w:cs="宋体"/>
          <w:color w:val="auto"/>
          <w:sz w:val="24"/>
          <w:szCs w:val="24"/>
          <w:highlight w:val="none"/>
        </w:rPr>
        <w:t>0.5 承</w:t>
      </w:r>
      <w:bookmarkStart w:id="637" w:name="_Toc297216204"/>
      <w:bookmarkEnd w:id="637"/>
      <w:bookmarkStart w:id="638" w:name="_Toc300934994"/>
      <w:bookmarkEnd w:id="638"/>
      <w:bookmarkStart w:id="639" w:name="_Toc292559913"/>
      <w:bookmarkEnd w:id="639"/>
      <w:bookmarkStart w:id="640" w:name="_Toc296346704"/>
      <w:bookmarkEnd w:id="640"/>
      <w:bookmarkStart w:id="641" w:name="_Toc292559408"/>
      <w:bookmarkEnd w:id="641"/>
      <w:bookmarkStart w:id="642" w:name="_Toc297048389"/>
      <w:bookmarkEnd w:id="642"/>
      <w:bookmarkStart w:id="643" w:name="_Toc297120503"/>
      <w:bookmarkEnd w:id="643"/>
      <w:bookmarkStart w:id="644" w:name="_Toc296944542"/>
      <w:bookmarkEnd w:id="644"/>
      <w:bookmarkStart w:id="645" w:name="_Toc296891031"/>
      <w:bookmarkEnd w:id="645"/>
      <w:bookmarkStart w:id="646" w:name="_Toc303539151"/>
      <w:bookmarkEnd w:id="646"/>
      <w:bookmarkStart w:id="647" w:name="_Toc296347202"/>
      <w:bookmarkEnd w:id="647"/>
      <w:bookmarkStart w:id="648" w:name="_Toc297123545"/>
      <w:bookmarkEnd w:id="648"/>
      <w:bookmarkStart w:id="649" w:name="_Toc296503203"/>
      <w:bookmarkEnd w:id="649"/>
      <w:bookmarkStart w:id="650" w:name="_Toc296891243"/>
      <w:bookmarkEnd w:id="650"/>
      <w:r>
        <w:rPr>
          <w:rStyle w:val="346"/>
          <w:rFonts w:hint="eastAsia" w:ascii="宋体" w:hAnsi="宋体" w:eastAsia="宋体" w:cs="宋体"/>
          <w:color w:val="auto"/>
          <w:sz w:val="24"/>
          <w:szCs w:val="24"/>
          <w:highlight w:val="none"/>
        </w:rPr>
        <w:t>包人的合理化建议</w:t>
      </w:r>
    </w:p>
    <w:p w14:paraId="445AD0F8">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监理人审查承包人合理化建议的期限：</w:t>
      </w:r>
      <w:r>
        <w:rPr>
          <w:rStyle w:val="346"/>
          <w:rFonts w:hint="eastAsia" w:ascii="宋体" w:hAnsi="宋体" w:cs="宋体"/>
          <w:color w:val="auto"/>
          <w:sz w:val="24"/>
          <w:szCs w:val="24"/>
          <w:highlight w:val="none"/>
          <w:u w:val="single"/>
        </w:rPr>
        <w:t xml:space="preserve"> 监理人应在收到承包人提交的合理化建议后7天内审查完毕并报送发包人 </w:t>
      </w:r>
      <w:r>
        <w:rPr>
          <w:rStyle w:val="346"/>
          <w:rFonts w:hint="eastAsia" w:ascii="宋体" w:hAnsi="宋体" w:cs="宋体"/>
          <w:color w:val="auto"/>
          <w:sz w:val="24"/>
          <w:szCs w:val="24"/>
          <w:highlight w:val="none"/>
        </w:rPr>
        <w:t>。</w:t>
      </w:r>
    </w:p>
    <w:p w14:paraId="6B0F9474">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发包人审批承包人合理化建议的期限：</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发包人应在收到监理人报送的合理化建议后7天内审查完毕</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4FBF2897">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承</w:t>
      </w:r>
      <w:bookmarkStart w:id="651" w:name="_Toc297120504"/>
      <w:bookmarkEnd w:id="651"/>
      <w:bookmarkStart w:id="652" w:name="_Toc296346705"/>
      <w:bookmarkEnd w:id="652"/>
      <w:bookmarkStart w:id="653" w:name="_Toc300934995"/>
      <w:bookmarkEnd w:id="653"/>
      <w:bookmarkStart w:id="654" w:name="_Toc297048390"/>
      <w:bookmarkEnd w:id="654"/>
      <w:bookmarkStart w:id="655" w:name="_Toc297216205"/>
      <w:bookmarkEnd w:id="655"/>
      <w:bookmarkStart w:id="656" w:name="_Toc296503204"/>
      <w:bookmarkEnd w:id="656"/>
      <w:bookmarkStart w:id="657" w:name="_Toc296891032"/>
      <w:bookmarkEnd w:id="657"/>
      <w:bookmarkStart w:id="658" w:name="_Toc296891244"/>
      <w:bookmarkEnd w:id="658"/>
      <w:bookmarkStart w:id="659" w:name="_Toc296944543"/>
      <w:bookmarkEnd w:id="659"/>
      <w:bookmarkStart w:id="660" w:name="_Toc303539152"/>
      <w:bookmarkEnd w:id="660"/>
      <w:bookmarkStart w:id="661" w:name="_Toc312678030"/>
      <w:bookmarkEnd w:id="661"/>
      <w:bookmarkStart w:id="662" w:name="_Toc296347203"/>
      <w:bookmarkEnd w:id="662"/>
      <w:bookmarkStart w:id="663" w:name="_Toc312677504"/>
      <w:bookmarkEnd w:id="663"/>
      <w:bookmarkStart w:id="664" w:name="_Toc297123546"/>
      <w:bookmarkEnd w:id="664"/>
      <w:bookmarkStart w:id="665" w:name="_Toc318581175"/>
      <w:bookmarkEnd w:id="665"/>
      <w:bookmarkStart w:id="666" w:name="_Toc292559914"/>
      <w:bookmarkEnd w:id="666"/>
      <w:bookmarkStart w:id="667" w:name="_Toc292559409"/>
      <w:bookmarkEnd w:id="667"/>
      <w:bookmarkStart w:id="668" w:name="_Toc304295571"/>
      <w:r>
        <w:rPr>
          <w:rStyle w:val="346"/>
          <w:rFonts w:hint="eastAsia" w:ascii="宋体" w:hAnsi="宋体" w:cs="宋体"/>
          <w:color w:val="auto"/>
          <w:sz w:val="24"/>
          <w:szCs w:val="24"/>
          <w:highlight w:val="none"/>
        </w:rPr>
        <w:t>包人提出的合理化建议降低了合同价格或者提高了工程经济效益的奖励的方法和金额为：</w:t>
      </w:r>
      <w:bookmarkEnd w:id="668"/>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73850BD5">
      <w:pPr>
        <w:pStyle w:val="352"/>
        <w:spacing w:line="420" w:lineRule="exact"/>
        <w:rPr>
          <w:rStyle w:val="346"/>
          <w:rFonts w:ascii="宋体" w:hAnsi="宋体" w:eastAsia="宋体" w:cs="宋体"/>
          <w:color w:val="auto"/>
          <w:sz w:val="24"/>
          <w:szCs w:val="24"/>
          <w:highlight w:val="none"/>
        </w:rPr>
      </w:pPr>
      <w:bookmarkStart w:id="669" w:name="_Toc373227744"/>
      <w:bookmarkEnd w:id="669"/>
      <w:bookmarkStart w:id="670" w:name="_Toc373478391"/>
      <w:bookmarkEnd w:id="670"/>
      <w:bookmarkStart w:id="671" w:name="_Toc389065310"/>
      <w:bookmarkEnd w:id="671"/>
      <w:bookmarkStart w:id="672" w:name="_Toc26302"/>
      <w:bookmarkEnd w:id="672"/>
      <w:r>
        <w:rPr>
          <w:rStyle w:val="346"/>
          <w:rFonts w:hint="eastAsia" w:ascii="宋体" w:hAnsi="宋体" w:eastAsia="宋体" w:cs="宋体"/>
          <w:color w:val="auto"/>
          <w:sz w:val="24"/>
          <w:szCs w:val="24"/>
          <w:highlight w:val="none"/>
        </w:rPr>
        <w:t>1</w:t>
      </w:r>
      <w:bookmarkStart w:id="673" w:name="_Toc297123548"/>
      <w:bookmarkEnd w:id="673"/>
      <w:bookmarkStart w:id="674" w:name="_Toc296346700"/>
      <w:bookmarkEnd w:id="674"/>
      <w:bookmarkStart w:id="675" w:name="_Toc296891027"/>
      <w:bookmarkEnd w:id="675"/>
      <w:bookmarkStart w:id="676" w:name="_Toc296503199"/>
      <w:bookmarkEnd w:id="676"/>
      <w:bookmarkStart w:id="677" w:name="_Toc296944538"/>
      <w:bookmarkEnd w:id="677"/>
      <w:bookmarkStart w:id="678" w:name="_Toc312677507"/>
      <w:bookmarkEnd w:id="678"/>
      <w:bookmarkStart w:id="679" w:name="_Toc292559404"/>
      <w:bookmarkEnd w:id="679"/>
      <w:bookmarkStart w:id="680" w:name="_Toc297120499"/>
      <w:bookmarkEnd w:id="680"/>
      <w:bookmarkStart w:id="681" w:name="_Toc300934997"/>
      <w:bookmarkEnd w:id="681"/>
      <w:bookmarkStart w:id="682" w:name="_Toc303539154"/>
      <w:bookmarkEnd w:id="682"/>
      <w:bookmarkStart w:id="683" w:name="_Toc297216207"/>
      <w:bookmarkEnd w:id="683"/>
      <w:bookmarkStart w:id="684" w:name="_Toc296891239"/>
      <w:bookmarkEnd w:id="684"/>
      <w:bookmarkStart w:id="685" w:name="_Toc312678033"/>
      <w:bookmarkEnd w:id="685"/>
      <w:bookmarkStart w:id="686" w:name="_Toc296347198"/>
      <w:bookmarkEnd w:id="686"/>
      <w:bookmarkStart w:id="687" w:name="_Toc297048385"/>
      <w:bookmarkEnd w:id="687"/>
      <w:bookmarkStart w:id="688" w:name="_Toc304295574"/>
      <w:bookmarkEnd w:id="688"/>
      <w:bookmarkStart w:id="689" w:name="_Toc292559909"/>
      <w:r>
        <w:rPr>
          <w:rStyle w:val="346"/>
          <w:rFonts w:hint="eastAsia" w:ascii="宋体" w:hAnsi="宋体" w:eastAsia="宋体" w:cs="宋体"/>
          <w:color w:val="auto"/>
          <w:sz w:val="24"/>
          <w:szCs w:val="24"/>
          <w:highlight w:val="none"/>
        </w:rPr>
        <w:t xml:space="preserve">0.7 </w:t>
      </w:r>
      <w:bookmarkEnd w:id="689"/>
      <w:r>
        <w:rPr>
          <w:rStyle w:val="346"/>
          <w:rFonts w:hint="eastAsia" w:ascii="宋体" w:hAnsi="宋体" w:eastAsia="宋体" w:cs="宋体"/>
          <w:color w:val="auto"/>
          <w:sz w:val="24"/>
          <w:szCs w:val="24"/>
          <w:highlight w:val="none"/>
        </w:rPr>
        <w:t>暂估价</w:t>
      </w:r>
    </w:p>
    <w:p w14:paraId="5223E88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暂</w:t>
      </w:r>
      <w:bookmarkStart w:id="690" w:name="_Toc312677508"/>
      <w:bookmarkEnd w:id="690"/>
      <w:bookmarkStart w:id="691" w:name="_Toc318581176"/>
      <w:bookmarkEnd w:id="691"/>
      <w:bookmarkStart w:id="692" w:name="_Toc312678034"/>
      <w:r>
        <w:rPr>
          <w:rStyle w:val="346"/>
          <w:rFonts w:hint="eastAsia" w:ascii="宋体" w:hAnsi="宋体" w:cs="宋体"/>
          <w:color w:val="auto"/>
          <w:kern w:val="0"/>
          <w:sz w:val="24"/>
          <w:szCs w:val="24"/>
          <w:highlight w:val="none"/>
        </w:rPr>
        <w:t>估价材料和工程设备的明细详见</w:t>
      </w:r>
      <w:bookmarkEnd w:id="692"/>
      <w:r>
        <w:rPr>
          <w:rStyle w:val="346"/>
          <w:rFonts w:hint="eastAsia" w:ascii="宋体" w:hAnsi="宋体" w:cs="宋体"/>
          <w:color w:val="auto"/>
          <w:kern w:val="0"/>
          <w:sz w:val="24"/>
          <w:szCs w:val="24"/>
          <w:highlight w:val="none"/>
        </w:rPr>
        <w:t>已标价工程量清单。</w:t>
      </w:r>
    </w:p>
    <w:p w14:paraId="469D8B4B">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w:t>
      </w:r>
      <w:bookmarkStart w:id="693" w:name="_Toc312677509"/>
      <w:bookmarkEnd w:id="693"/>
      <w:bookmarkStart w:id="694" w:name="_Toc318581177"/>
      <w:bookmarkEnd w:id="694"/>
      <w:bookmarkStart w:id="695" w:name="_Toc312678035"/>
      <w:r>
        <w:rPr>
          <w:rStyle w:val="346"/>
          <w:rFonts w:hint="eastAsia" w:ascii="宋体" w:hAnsi="宋体" w:cs="宋体"/>
          <w:color w:val="auto"/>
          <w:sz w:val="24"/>
          <w:szCs w:val="24"/>
          <w:highlight w:val="none"/>
        </w:rPr>
        <w:t xml:space="preserve">0.7.1 </w:t>
      </w:r>
      <w:bookmarkEnd w:id="695"/>
      <w:r>
        <w:rPr>
          <w:rStyle w:val="346"/>
          <w:rFonts w:hint="eastAsia" w:ascii="宋体" w:hAnsi="宋体" w:cs="宋体"/>
          <w:color w:val="auto"/>
          <w:sz w:val="24"/>
          <w:szCs w:val="24"/>
          <w:highlight w:val="none"/>
        </w:rPr>
        <w:t>依法必须招标的暂估价项目</w:t>
      </w:r>
    </w:p>
    <w:p w14:paraId="24F591D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对于依法必须招标的暂估价项目的确认和批准采取第</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种方式确定。</w:t>
      </w:r>
    </w:p>
    <w:p w14:paraId="7BE7C308">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10.7.2 不属于依法必须招标的暂估价项目</w:t>
      </w:r>
    </w:p>
    <w:p w14:paraId="05320E62">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对于不属于依法必须招标的暂估价项目的确认和批准采取第</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 xml:space="preserve"> 种方式确定。</w:t>
      </w:r>
    </w:p>
    <w:p w14:paraId="6C5E7E78">
      <w:pPr>
        <w:pStyle w:val="348"/>
        <w:spacing w:line="420" w:lineRule="exact"/>
        <w:ind w:firstLine="480" w:firstLineChars="200"/>
        <w:jc w:val="left"/>
        <w:outlineLvl w:val="4"/>
        <w:rPr>
          <w:rStyle w:val="346"/>
          <w:rFonts w:ascii="宋体" w:hAnsi="宋体" w:cs="宋体"/>
          <w:color w:val="auto"/>
          <w:kern w:val="0"/>
          <w:sz w:val="24"/>
          <w:szCs w:val="24"/>
          <w:highlight w:val="none"/>
        </w:rPr>
      </w:pPr>
      <w:r>
        <w:rPr>
          <w:rStyle w:val="346"/>
          <w:rFonts w:hint="eastAsia" w:ascii="宋体" w:hAnsi="宋体" w:cs="宋体"/>
          <w:color w:val="auto"/>
          <w:sz w:val="24"/>
          <w:szCs w:val="24"/>
          <w:highlight w:val="none"/>
        </w:rPr>
        <w:t>第3种方式：</w:t>
      </w:r>
      <w:r>
        <w:rPr>
          <w:rStyle w:val="346"/>
          <w:rFonts w:hint="eastAsia" w:ascii="宋体" w:hAnsi="宋体" w:cs="宋体"/>
          <w:color w:val="auto"/>
          <w:kern w:val="0"/>
          <w:sz w:val="24"/>
          <w:szCs w:val="24"/>
          <w:highlight w:val="none"/>
        </w:rPr>
        <w:t>承包人直接实施的暂估价项目</w:t>
      </w:r>
    </w:p>
    <w:p w14:paraId="0026BCA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承包人直接实施的暂估价项目的约定：</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691F29DA">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注：</w:t>
      </w:r>
      <w:r>
        <w:rPr>
          <w:rStyle w:val="346"/>
          <w:rFonts w:hint="eastAsia" w:ascii="宋体" w:hAnsi="宋体" w:cs="宋体"/>
          <w:color w:val="auto"/>
          <w:sz w:val="24"/>
          <w:szCs w:val="24"/>
          <w:highlight w:val="none"/>
          <w:u w:val="single"/>
        </w:rPr>
        <w:t xml:space="preserve">必须按规定为本工程参保房屋建筑和市政基础设施工程安全生产责任保险，并支付保险费。备注：根据自治区住房和城乡建设厅关于印发广西壮族自治区房屋建筑和市政基础设施工程安全生产责任保险计价规定的通知（桂建发〔2023〕6 号），安全生产责任保险费按分部分项工程费及措施项目费（含单价及总价措施项目费）为计算基数乘以 0.2%计入暂估价，工程结算时，由发承包双方根据工程实际情况确认的安全生产责任保险费计入工程造价。 </w:t>
      </w:r>
    </w:p>
    <w:p w14:paraId="6B958755">
      <w:pPr>
        <w:pStyle w:val="352"/>
        <w:spacing w:line="420" w:lineRule="exact"/>
        <w:rPr>
          <w:rStyle w:val="346"/>
          <w:rFonts w:ascii="宋体" w:hAnsi="宋体" w:eastAsia="宋体" w:cs="宋体"/>
          <w:color w:val="auto"/>
          <w:sz w:val="24"/>
          <w:szCs w:val="24"/>
          <w:highlight w:val="none"/>
        </w:rPr>
      </w:pPr>
      <w:bookmarkStart w:id="696" w:name="_Toc6476"/>
      <w:bookmarkEnd w:id="696"/>
      <w:bookmarkStart w:id="697" w:name="_Toc373478392"/>
      <w:bookmarkEnd w:id="697"/>
      <w:bookmarkStart w:id="698" w:name="_Toc389065311"/>
      <w:bookmarkEnd w:id="698"/>
      <w:bookmarkStart w:id="699" w:name="_Toc373227745"/>
      <w:r>
        <w:rPr>
          <w:rStyle w:val="346"/>
          <w:rFonts w:hint="eastAsia" w:ascii="宋体" w:hAnsi="宋体" w:eastAsia="宋体" w:cs="宋体"/>
          <w:color w:val="auto"/>
          <w:sz w:val="24"/>
          <w:szCs w:val="24"/>
          <w:highlight w:val="none"/>
        </w:rPr>
        <w:t xml:space="preserve">10.8 </w:t>
      </w:r>
      <w:bookmarkEnd w:id="699"/>
      <w:r>
        <w:rPr>
          <w:rStyle w:val="346"/>
          <w:rFonts w:hint="eastAsia" w:ascii="宋体" w:hAnsi="宋体" w:eastAsia="宋体" w:cs="宋体"/>
          <w:color w:val="auto"/>
          <w:sz w:val="24"/>
          <w:szCs w:val="24"/>
          <w:highlight w:val="none"/>
        </w:rPr>
        <w:t>暂列金额</w:t>
      </w:r>
    </w:p>
    <w:p w14:paraId="6275A8C2">
      <w:pPr>
        <w:pStyle w:val="348"/>
        <w:autoSpaceDE w:val="0"/>
        <w:autoSpaceDN w:val="0"/>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合同当事人关于暂列金额使用的约定：</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kern w:val="0"/>
          <w:sz w:val="24"/>
          <w:szCs w:val="24"/>
          <w:highlight w:val="none"/>
        </w:rPr>
        <w:t>。</w:t>
      </w:r>
    </w:p>
    <w:p w14:paraId="56D8156F">
      <w:pPr>
        <w:pStyle w:val="347"/>
        <w:numPr>
          <w:ilvl w:val="0"/>
          <w:numId w:val="3"/>
        </w:numPr>
        <w:spacing w:before="0" w:after="0" w:line="420" w:lineRule="exact"/>
        <w:rPr>
          <w:rStyle w:val="346"/>
          <w:rFonts w:ascii="宋体" w:hAnsi="宋体" w:eastAsia="宋体" w:cs="宋体"/>
          <w:color w:val="auto"/>
          <w:sz w:val="24"/>
          <w:szCs w:val="24"/>
          <w:highlight w:val="none"/>
        </w:rPr>
      </w:pPr>
      <w:bookmarkStart w:id="700" w:name="_Toc15950"/>
      <w:bookmarkEnd w:id="700"/>
      <w:bookmarkStart w:id="701" w:name="_Toc373478393"/>
      <w:bookmarkEnd w:id="701"/>
      <w:bookmarkStart w:id="702" w:name="_Toc389065312"/>
      <w:bookmarkEnd w:id="702"/>
      <w:bookmarkStart w:id="703" w:name="_Toc351203643"/>
      <w:bookmarkEnd w:id="703"/>
      <w:bookmarkStart w:id="704" w:name="_Toc373227746"/>
      <w:r>
        <w:rPr>
          <w:rStyle w:val="346"/>
          <w:rFonts w:hint="eastAsia" w:ascii="宋体" w:hAnsi="宋体" w:eastAsia="宋体" w:cs="宋体"/>
          <w:color w:val="auto"/>
          <w:sz w:val="24"/>
          <w:szCs w:val="24"/>
          <w:highlight w:val="none"/>
        </w:rPr>
        <w:t>价格调整</w:t>
      </w:r>
      <w:bookmarkEnd w:id="704"/>
    </w:p>
    <w:p w14:paraId="3ABB1FF0">
      <w:pPr>
        <w:pStyle w:val="348"/>
        <w:spacing w:line="420" w:lineRule="exact"/>
        <w:ind w:firstLine="480" w:firstLineChars="200"/>
        <w:jc w:val="left"/>
        <w:outlineLvl w:val="2"/>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①法律变化引起的调整；</w:t>
      </w:r>
    </w:p>
    <w:p w14:paraId="37C50125">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②工程变更、项目特征不符、工程量清单缺项、工程量偏差引起的调整；</w:t>
      </w:r>
    </w:p>
    <w:p w14:paraId="1BC9C2CF">
      <w:pPr>
        <w:pStyle w:val="348"/>
        <w:spacing w:line="420" w:lineRule="exact"/>
        <w:ind w:firstLine="480" w:firstLineChars="200"/>
        <w:jc w:val="left"/>
        <w:outlineLvl w:val="2"/>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③计日工引起的调整。</w:t>
      </w:r>
    </w:p>
    <w:p w14:paraId="264334ED">
      <w:pPr>
        <w:pStyle w:val="352"/>
        <w:spacing w:line="420" w:lineRule="exact"/>
        <w:outlineLvl w:val="3"/>
        <w:rPr>
          <w:rStyle w:val="346"/>
          <w:rFonts w:ascii="宋体" w:hAnsi="宋体" w:eastAsia="宋体" w:cs="宋体"/>
          <w:color w:val="auto"/>
          <w:sz w:val="24"/>
          <w:szCs w:val="24"/>
          <w:highlight w:val="none"/>
        </w:rPr>
      </w:pPr>
      <w:bookmarkStart w:id="705" w:name="_Toc373478394"/>
      <w:bookmarkEnd w:id="705"/>
      <w:bookmarkStart w:id="706" w:name="_Toc304295577"/>
      <w:bookmarkEnd w:id="706"/>
      <w:bookmarkStart w:id="707" w:name="_Toc297048387"/>
      <w:bookmarkEnd w:id="707"/>
      <w:bookmarkStart w:id="708" w:name="_Toc296346702"/>
      <w:bookmarkEnd w:id="708"/>
      <w:bookmarkStart w:id="709" w:name="_Toc296944540"/>
      <w:bookmarkEnd w:id="709"/>
      <w:bookmarkStart w:id="710" w:name="_Toc297123550"/>
      <w:bookmarkEnd w:id="710"/>
      <w:bookmarkStart w:id="711" w:name="_Toc296347200"/>
      <w:bookmarkEnd w:id="711"/>
      <w:bookmarkStart w:id="712" w:name="_Toc296503201"/>
      <w:bookmarkEnd w:id="712"/>
      <w:bookmarkStart w:id="713" w:name="_Toc13425"/>
      <w:bookmarkEnd w:id="713"/>
      <w:bookmarkStart w:id="714" w:name="_Toc312678039"/>
      <w:bookmarkEnd w:id="714"/>
      <w:bookmarkStart w:id="715" w:name="_Toc373227747"/>
      <w:bookmarkEnd w:id="715"/>
      <w:bookmarkStart w:id="716" w:name="_Toc292559406"/>
      <w:bookmarkEnd w:id="716"/>
      <w:bookmarkStart w:id="717" w:name="_Toc292559911"/>
      <w:bookmarkEnd w:id="717"/>
      <w:bookmarkStart w:id="718" w:name="_Toc303539157"/>
      <w:bookmarkEnd w:id="718"/>
      <w:bookmarkStart w:id="719" w:name="_Toc297120501"/>
      <w:bookmarkEnd w:id="719"/>
      <w:bookmarkStart w:id="720" w:name="_Toc297216209"/>
      <w:bookmarkEnd w:id="720"/>
      <w:bookmarkStart w:id="721" w:name="_Toc296891029"/>
      <w:bookmarkEnd w:id="721"/>
      <w:bookmarkStart w:id="722" w:name="_Toc300935000"/>
      <w:bookmarkEnd w:id="722"/>
      <w:bookmarkStart w:id="723" w:name="_Toc296891241"/>
      <w:bookmarkEnd w:id="723"/>
      <w:bookmarkStart w:id="724" w:name="_Toc389065313"/>
      <w:r>
        <w:rPr>
          <w:rStyle w:val="346"/>
          <w:rFonts w:hint="eastAsia" w:ascii="宋体" w:hAnsi="宋体" w:eastAsia="宋体" w:cs="宋体"/>
          <w:color w:val="auto"/>
          <w:sz w:val="24"/>
          <w:szCs w:val="24"/>
          <w:highlight w:val="none"/>
        </w:rPr>
        <w:t>11.1 市场价格波动引起的调整</w:t>
      </w:r>
      <w:bookmarkEnd w:id="724"/>
    </w:p>
    <w:p w14:paraId="7B5224A3">
      <w:pPr>
        <w:pStyle w:val="351"/>
        <w:spacing w:line="360" w:lineRule="auto"/>
        <w:ind w:firstLine="480" w:firstLineChars="200"/>
        <w:jc w:val="left"/>
        <w:rPr>
          <w:rStyle w:val="364"/>
          <w:rFonts w:ascii="宋体" w:hAnsi="宋体" w:cs="宋体"/>
          <w:color w:val="auto"/>
          <w:sz w:val="24"/>
          <w:highlight w:val="none"/>
        </w:rPr>
      </w:pPr>
      <w:r>
        <w:rPr>
          <w:rStyle w:val="364"/>
          <w:rFonts w:hint="eastAsia" w:ascii="宋体" w:hAnsi="宋体" w:cs="宋体"/>
          <w:color w:val="auto"/>
          <w:kern w:val="0"/>
          <w:sz w:val="24"/>
          <w:highlight w:val="none"/>
        </w:rPr>
        <w:t>市场价格波动是否调整合同价格的约定：市场价格波动超过双方约定的范围，调整合同价格</w:t>
      </w:r>
      <w:r>
        <w:rPr>
          <w:rStyle w:val="364"/>
          <w:rFonts w:hint="eastAsia" w:ascii="宋体" w:hAnsi="宋体" w:cs="宋体"/>
          <w:color w:val="auto"/>
          <w:sz w:val="24"/>
          <w:highlight w:val="none"/>
        </w:rPr>
        <w:t>。</w:t>
      </w:r>
    </w:p>
    <w:p w14:paraId="1954786E">
      <w:pPr>
        <w:pStyle w:val="351"/>
        <w:spacing w:line="360" w:lineRule="auto"/>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因市场价格波动调整合同价格，采用以下第</w:t>
      </w:r>
      <w:r>
        <w:rPr>
          <w:rStyle w:val="364"/>
          <w:rFonts w:hint="eastAsia" w:ascii="宋体" w:hAnsi="宋体" w:cs="宋体"/>
          <w:color w:val="auto"/>
          <w:sz w:val="24"/>
          <w:highlight w:val="none"/>
          <w:u w:val="single"/>
        </w:rPr>
        <w:t>2</w:t>
      </w:r>
      <w:r>
        <w:rPr>
          <w:rStyle w:val="364"/>
          <w:rFonts w:hint="eastAsia" w:ascii="宋体" w:hAnsi="宋体" w:cs="宋体"/>
          <w:color w:val="auto"/>
          <w:sz w:val="24"/>
          <w:highlight w:val="none"/>
        </w:rPr>
        <w:t>种方式对合同价格进行调整：</w:t>
      </w:r>
    </w:p>
    <w:p w14:paraId="589CC723">
      <w:pPr>
        <w:pStyle w:val="351"/>
        <w:spacing w:line="360" w:lineRule="auto"/>
        <w:ind w:firstLine="480" w:firstLineChars="200"/>
        <w:jc w:val="left"/>
        <w:outlineLvl w:val="4"/>
        <w:rPr>
          <w:rStyle w:val="364"/>
          <w:rFonts w:ascii="宋体" w:hAnsi="宋体" w:cs="宋体"/>
          <w:color w:val="auto"/>
          <w:sz w:val="24"/>
          <w:highlight w:val="none"/>
        </w:rPr>
      </w:pPr>
      <w:r>
        <w:rPr>
          <w:rStyle w:val="364"/>
          <w:rFonts w:hint="eastAsia" w:ascii="宋体" w:hAnsi="宋体" w:cs="宋体"/>
          <w:color w:val="auto"/>
          <w:sz w:val="24"/>
          <w:highlight w:val="none"/>
        </w:rPr>
        <w:t>第1种方式：采用价格指数进行价格调整。</w:t>
      </w:r>
    </w:p>
    <w:p w14:paraId="119065E1">
      <w:pPr>
        <w:pStyle w:val="351"/>
        <w:spacing w:line="360" w:lineRule="auto"/>
        <w:ind w:firstLine="480" w:firstLineChars="200"/>
        <w:jc w:val="left"/>
        <w:rPr>
          <w:rStyle w:val="364"/>
          <w:rFonts w:ascii="宋体" w:hAnsi="宋体" w:cs="宋体"/>
          <w:color w:val="auto"/>
          <w:sz w:val="24"/>
          <w:highlight w:val="none"/>
          <w:u w:val="single"/>
        </w:rPr>
      </w:pPr>
      <w:r>
        <w:rPr>
          <w:rStyle w:val="364"/>
          <w:rFonts w:hint="eastAsia" w:ascii="宋体" w:hAnsi="宋体" w:cs="宋体"/>
          <w:color w:val="auto"/>
          <w:sz w:val="24"/>
          <w:highlight w:val="none"/>
        </w:rPr>
        <w:t>关于各可调因子、定值和变值权重，以及基本价格指数及其来源的约定：</w:t>
      </w:r>
      <w:r>
        <w:rPr>
          <w:rStyle w:val="364"/>
          <w:rFonts w:hint="eastAsia" w:ascii="宋体" w:hAnsi="宋体" w:cs="宋体"/>
          <w:color w:val="auto"/>
          <w:sz w:val="24"/>
          <w:highlight w:val="none"/>
          <w:u w:val="single"/>
        </w:rPr>
        <w:t xml:space="preserve">      /       </w:t>
      </w:r>
      <w:r>
        <w:rPr>
          <w:rStyle w:val="364"/>
          <w:rFonts w:hint="eastAsia" w:ascii="宋体" w:hAnsi="宋体" w:cs="宋体"/>
          <w:color w:val="auto"/>
          <w:sz w:val="24"/>
          <w:highlight w:val="none"/>
        </w:rPr>
        <w:t xml:space="preserve">；  </w:t>
      </w:r>
    </w:p>
    <w:p w14:paraId="6BA12C3F">
      <w:pPr>
        <w:pStyle w:val="351"/>
        <w:spacing w:line="360" w:lineRule="auto"/>
        <w:ind w:firstLine="480" w:firstLineChars="200"/>
        <w:jc w:val="left"/>
        <w:outlineLvl w:val="4"/>
        <w:rPr>
          <w:rStyle w:val="364"/>
          <w:rFonts w:ascii="宋体" w:hAnsi="宋体" w:cs="宋体"/>
          <w:color w:val="auto"/>
          <w:sz w:val="24"/>
          <w:highlight w:val="none"/>
        </w:rPr>
      </w:pPr>
      <w:r>
        <w:rPr>
          <w:rStyle w:val="364"/>
          <w:rFonts w:hint="eastAsia" w:ascii="宋体" w:hAnsi="宋体" w:cs="宋体"/>
          <w:color w:val="auto"/>
          <w:sz w:val="24"/>
          <w:highlight w:val="none"/>
        </w:rPr>
        <w:t>第2种方式：采用造价信息进行价格调整。</w:t>
      </w:r>
    </w:p>
    <w:p w14:paraId="212B5FFB">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单价按施工期间《南宁市建设工程造价信息》发布的价格作为调整依据。无信息价的按市场价。</w:t>
      </w:r>
    </w:p>
    <w:p w14:paraId="180DD3A9">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1）人工单价发生变化且符合省级或行业建设主管部门发布的人工费调整规定，合同当事人应按照省级或行业建设主管部门或其授权的工程造价管理机构发布的人工费等文件调整合同价格，但承包人对人工费或人工单价的报价高于发布价格的除外。</w:t>
      </w:r>
    </w:p>
    <w:p w14:paraId="657DCC10">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（2）材料、工程设备价格变化的价款调整按照发包人提供的基准价格，按以下风险范围规定执行:</w:t>
      </w:r>
    </w:p>
    <w:p w14:paraId="260A8191">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的材料单价为基础超过5%时，其超过部分据实调整。</w:t>
      </w:r>
    </w:p>
    <w:p w14:paraId="7C1965E6">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5671AAB">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0F77048A">
      <w:pPr>
        <w:pStyle w:val="351"/>
        <w:spacing w:line="480" w:lineRule="exact"/>
        <w:ind w:firstLine="480" w:firstLineChars="200"/>
        <w:jc w:val="left"/>
        <w:rPr>
          <w:rStyle w:val="364"/>
          <w:rFonts w:ascii="宋体" w:hAnsi="宋体" w:cs="宋体"/>
          <w:color w:val="auto"/>
          <w:sz w:val="24"/>
          <w:highlight w:val="none"/>
        </w:rPr>
      </w:pPr>
      <w:r>
        <w:rPr>
          <w:rStyle w:val="364"/>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3F5E3B1">
      <w:pPr>
        <w:pStyle w:val="351"/>
        <w:spacing w:line="480" w:lineRule="exact"/>
        <w:ind w:firstLine="480" w:firstLineChars="200"/>
        <w:rPr>
          <w:rStyle w:val="364"/>
          <w:rFonts w:ascii="宋体" w:hAnsi="宋体" w:cs="宋体"/>
          <w:color w:val="auto"/>
          <w:sz w:val="24"/>
          <w:highlight w:val="none"/>
        </w:rPr>
      </w:pPr>
      <w:r>
        <w:rPr>
          <w:rStyle w:val="364"/>
          <w:rFonts w:hint="eastAsia" w:ascii="宋体" w:hAnsi="宋体" w:cs="宋体"/>
          <w:color w:val="auto"/>
          <w:sz w:val="24"/>
          <w:highlight w:val="none"/>
        </w:rPr>
        <w:t>前述基准价格是指由发包人在竞争性谈判文件或专用合同条款中给定的材料、工程设备的价格，该价格原则上应当按照省级或行业建设主管部门或其授权的工程造价管理机构发布的信息价编制。</w:t>
      </w:r>
    </w:p>
    <w:p w14:paraId="6B2CFB07">
      <w:pPr>
        <w:pStyle w:val="351"/>
        <w:spacing w:line="480" w:lineRule="exact"/>
        <w:ind w:firstLine="646"/>
        <w:jc w:val="left"/>
        <w:outlineLvl w:val="4"/>
        <w:rPr>
          <w:rStyle w:val="364"/>
          <w:rFonts w:ascii="宋体" w:hAnsi="宋体" w:cs="宋体"/>
          <w:color w:val="auto"/>
          <w:sz w:val="24"/>
          <w:highlight w:val="none"/>
        </w:rPr>
      </w:pPr>
      <w:r>
        <w:rPr>
          <w:rStyle w:val="364"/>
          <w:rFonts w:hint="eastAsia" w:ascii="宋体" w:hAnsi="宋体" w:cs="宋体"/>
          <w:color w:val="auto"/>
          <w:sz w:val="24"/>
          <w:highlight w:val="none"/>
        </w:rPr>
        <w:t>第3种方式：</w:t>
      </w:r>
      <w:r>
        <w:rPr>
          <w:rStyle w:val="364"/>
          <w:rFonts w:hint="eastAsia" w:ascii="宋体" w:hAnsi="宋体" w:cs="宋体"/>
          <w:color w:val="auto"/>
          <w:sz w:val="24"/>
          <w:highlight w:val="none"/>
          <w:u w:val="single"/>
        </w:rPr>
        <w:t xml:space="preserve">    无    </w:t>
      </w:r>
      <w:r>
        <w:rPr>
          <w:rStyle w:val="364"/>
          <w:rFonts w:hint="eastAsia" w:ascii="宋体" w:hAnsi="宋体" w:cs="宋体"/>
          <w:color w:val="auto"/>
          <w:sz w:val="24"/>
          <w:highlight w:val="none"/>
        </w:rPr>
        <w:t>。</w:t>
      </w:r>
    </w:p>
    <w:p w14:paraId="37A733CE">
      <w:pPr>
        <w:pStyle w:val="361"/>
        <w:spacing w:line="420" w:lineRule="exact"/>
        <w:ind w:firstLine="645"/>
        <w:jc w:val="left"/>
        <w:rPr>
          <w:rStyle w:val="346"/>
          <w:rFonts w:ascii="宋体" w:hAnsi="宋体" w:cs="宋体"/>
          <w:color w:val="auto"/>
          <w:sz w:val="24"/>
          <w:szCs w:val="24"/>
          <w:highlight w:val="none"/>
        </w:rPr>
      </w:pPr>
    </w:p>
    <w:p w14:paraId="247B2DD8">
      <w:pPr>
        <w:pStyle w:val="347"/>
        <w:spacing w:before="0" w:after="0" w:line="420" w:lineRule="exact"/>
        <w:rPr>
          <w:rStyle w:val="346"/>
          <w:rFonts w:ascii="宋体" w:hAnsi="宋体" w:eastAsia="宋体" w:cs="宋体"/>
          <w:color w:val="auto"/>
          <w:sz w:val="24"/>
          <w:szCs w:val="24"/>
          <w:highlight w:val="none"/>
        </w:rPr>
      </w:pPr>
      <w:bookmarkStart w:id="725" w:name="_Toc296944544"/>
      <w:bookmarkEnd w:id="725"/>
      <w:bookmarkStart w:id="726" w:name="_Toc351203644"/>
      <w:bookmarkEnd w:id="726"/>
      <w:bookmarkStart w:id="727" w:name="_Toc296891245"/>
      <w:bookmarkEnd w:id="727"/>
      <w:bookmarkStart w:id="728" w:name="_Toc303539159"/>
      <w:bookmarkEnd w:id="728"/>
      <w:bookmarkStart w:id="729" w:name="_Toc297216211"/>
      <w:bookmarkEnd w:id="729"/>
      <w:bookmarkStart w:id="730" w:name="_Toc296347204"/>
      <w:bookmarkEnd w:id="730"/>
      <w:bookmarkStart w:id="731" w:name="_Toc4351"/>
      <w:bookmarkEnd w:id="731"/>
      <w:bookmarkStart w:id="732" w:name="_Toc297120505"/>
      <w:bookmarkEnd w:id="732"/>
      <w:bookmarkStart w:id="733" w:name="_Toc373227748"/>
      <w:bookmarkEnd w:id="733"/>
      <w:bookmarkStart w:id="734" w:name="_Toc296346706"/>
      <w:bookmarkEnd w:id="734"/>
      <w:bookmarkStart w:id="735" w:name="_Toc292559410"/>
      <w:bookmarkEnd w:id="735"/>
      <w:bookmarkStart w:id="736" w:name="_Toc373478395"/>
      <w:bookmarkEnd w:id="736"/>
      <w:bookmarkStart w:id="737" w:name="_Toc312678040"/>
      <w:bookmarkEnd w:id="737"/>
      <w:bookmarkStart w:id="738" w:name="_Toc297123552"/>
      <w:bookmarkEnd w:id="738"/>
      <w:bookmarkStart w:id="739" w:name="_Toc300935002"/>
      <w:bookmarkEnd w:id="739"/>
      <w:bookmarkStart w:id="740" w:name="_Toc296891033"/>
      <w:bookmarkEnd w:id="740"/>
      <w:bookmarkStart w:id="741" w:name="_Toc296503205"/>
      <w:bookmarkEnd w:id="741"/>
      <w:bookmarkStart w:id="742" w:name="_Toc297048391"/>
      <w:bookmarkEnd w:id="742"/>
      <w:bookmarkStart w:id="743" w:name="_Toc292559915"/>
      <w:bookmarkEnd w:id="743"/>
      <w:bookmarkStart w:id="744" w:name="_Toc304295579"/>
      <w:r>
        <w:rPr>
          <w:rStyle w:val="346"/>
          <w:rFonts w:hint="eastAsia" w:ascii="宋体" w:hAnsi="宋体" w:eastAsia="宋体" w:cs="宋体"/>
          <w:color w:val="auto"/>
          <w:sz w:val="24"/>
          <w:szCs w:val="24"/>
          <w:highlight w:val="none"/>
        </w:rPr>
        <w:t xml:space="preserve">12. </w:t>
      </w:r>
      <w:bookmarkEnd w:id="744"/>
      <w:r>
        <w:rPr>
          <w:rStyle w:val="346"/>
          <w:rFonts w:hint="eastAsia" w:ascii="宋体" w:hAnsi="宋体" w:eastAsia="宋体" w:cs="宋体"/>
          <w:color w:val="auto"/>
          <w:sz w:val="24"/>
          <w:szCs w:val="24"/>
          <w:highlight w:val="none"/>
        </w:rPr>
        <w:t>合同价格、计量与支付</w:t>
      </w:r>
    </w:p>
    <w:p w14:paraId="249A804D">
      <w:pPr>
        <w:pStyle w:val="352"/>
        <w:spacing w:line="420" w:lineRule="exact"/>
        <w:rPr>
          <w:rStyle w:val="346"/>
          <w:rFonts w:ascii="宋体" w:hAnsi="宋体" w:eastAsia="宋体" w:cs="宋体"/>
          <w:color w:val="auto"/>
          <w:sz w:val="24"/>
          <w:szCs w:val="24"/>
          <w:highlight w:val="none"/>
        </w:rPr>
      </w:pPr>
      <w:bookmarkStart w:id="745" w:name="_Toc292559411"/>
      <w:bookmarkEnd w:id="745"/>
      <w:bookmarkStart w:id="746" w:name="_Toc297216212"/>
      <w:bookmarkEnd w:id="746"/>
      <w:bookmarkStart w:id="747" w:name="_Toc312678041"/>
      <w:bookmarkEnd w:id="747"/>
      <w:bookmarkStart w:id="748" w:name="_Toc296346707"/>
      <w:bookmarkEnd w:id="748"/>
      <w:bookmarkStart w:id="749" w:name="_Toc296891034"/>
      <w:bookmarkEnd w:id="749"/>
      <w:bookmarkStart w:id="750" w:name="_Toc373227749"/>
      <w:bookmarkEnd w:id="750"/>
      <w:bookmarkStart w:id="751" w:name="_Toc296944545"/>
      <w:bookmarkEnd w:id="751"/>
      <w:bookmarkStart w:id="752" w:name="_Toc304295580"/>
      <w:bookmarkEnd w:id="752"/>
      <w:bookmarkStart w:id="753" w:name="_Toc296503206"/>
      <w:bookmarkEnd w:id="753"/>
      <w:bookmarkStart w:id="754" w:name="_Toc292559916"/>
      <w:bookmarkEnd w:id="754"/>
      <w:bookmarkStart w:id="755" w:name="_Toc297048392"/>
      <w:bookmarkEnd w:id="755"/>
      <w:bookmarkStart w:id="756" w:name="_Toc13093"/>
      <w:bookmarkEnd w:id="756"/>
      <w:bookmarkStart w:id="757" w:name="_Toc389065314"/>
      <w:bookmarkEnd w:id="757"/>
      <w:bookmarkStart w:id="758" w:name="_Toc296347205"/>
      <w:bookmarkEnd w:id="758"/>
      <w:bookmarkStart w:id="759" w:name="_Toc297123553"/>
      <w:bookmarkEnd w:id="759"/>
      <w:bookmarkStart w:id="760" w:name="_Toc373478396"/>
      <w:bookmarkEnd w:id="760"/>
      <w:bookmarkStart w:id="761" w:name="_Toc296891246"/>
      <w:bookmarkEnd w:id="761"/>
      <w:bookmarkStart w:id="762" w:name="_Toc300935003"/>
      <w:bookmarkEnd w:id="762"/>
      <w:bookmarkStart w:id="763" w:name="_Toc297120506"/>
      <w:bookmarkEnd w:id="763"/>
      <w:bookmarkStart w:id="764" w:name="_Toc303539160"/>
      <w:bookmarkEnd w:id="764"/>
      <w:bookmarkStart w:id="765" w:name="_Toc267251461"/>
      <w:r>
        <w:rPr>
          <w:rStyle w:val="346"/>
          <w:rFonts w:hint="eastAsia" w:ascii="宋体" w:hAnsi="宋体" w:eastAsia="宋体" w:cs="宋体"/>
          <w:color w:val="auto"/>
          <w:sz w:val="24"/>
          <w:szCs w:val="24"/>
          <w:highlight w:val="none"/>
        </w:rPr>
        <w:t xml:space="preserve">12.1 </w:t>
      </w:r>
      <w:bookmarkEnd w:id="765"/>
      <w:r>
        <w:rPr>
          <w:rStyle w:val="346"/>
          <w:rFonts w:hint="eastAsia" w:ascii="宋体" w:hAnsi="宋体" w:eastAsia="宋体" w:cs="宋体"/>
          <w:color w:val="auto"/>
          <w:sz w:val="24"/>
          <w:szCs w:val="24"/>
          <w:highlight w:val="none"/>
        </w:rPr>
        <w:t>合同价格形式</w:t>
      </w:r>
    </w:p>
    <w:p w14:paraId="5638D2BA">
      <w:pPr>
        <w:pStyle w:val="348"/>
        <w:spacing w:line="420" w:lineRule="exact"/>
        <w:ind w:firstLine="480" w:firstLineChars="200"/>
        <w:jc w:val="left"/>
        <w:rPr>
          <w:rStyle w:val="346"/>
          <w:rFonts w:ascii="宋体" w:hAnsi="宋体" w:cs="宋体"/>
          <w:color w:val="auto"/>
          <w:sz w:val="24"/>
          <w:szCs w:val="24"/>
          <w:highlight w:val="none"/>
        </w:rPr>
      </w:pPr>
      <w:bookmarkStart w:id="766" w:name="_Toc296891247"/>
      <w:bookmarkEnd w:id="766"/>
      <w:bookmarkStart w:id="767" w:name="_Toc297120507"/>
      <w:bookmarkEnd w:id="767"/>
      <w:bookmarkStart w:id="768" w:name="_Toc389065315"/>
      <w:bookmarkEnd w:id="768"/>
      <w:bookmarkStart w:id="769" w:name="_Toc373227750"/>
      <w:bookmarkEnd w:id="769"/>
      <w:bookmarkStart w:id="770" w:name="_Toc297048393"/>
      <w:bookmarkEnd w:id="770"/>
      <w:bookmarkStart w:id="771" w:name="_Toc296346708"/>
      <w:bookmarkEnd w:id="771"/>
      <w:bookmarkStart w:id="772" w:name="_Toc296944546"/>
      <w:bookmarkEnd w:id="772"/>
      <w:bookmarkStart w:id="773" w:name="_Toc312678042"/>
      <w:bookmarkEnd w:id="773"/>
      <w:bookmarkStart w:id="774" w:name="_Toc296891035"/>
      <w:bookmarkEnd w:id="774"/>
      <w:bookmarkStart w:id="775" w:name="_Toc303539161"/>
      <w:bookmarkEnd w:id="775"/>
      <w:bookmarkStart w:id="776" w:name="_Toc300935004"/>
      <w:bookmarkEnd w:id="776"/>
      <w:bookmarkStart w:id="777" w:name="_Toc297123554"/>
      <w:bookmarkEnd w:id="777"/>
      <w:bookmarkStart w:id="778" w:name="_Toc292559412"/>
      <w:bookmarkEnd w:id="778"/>
      <w:bookmarkStart w:id="779" w:name="_Toc304295581"/>
      <w:bookmarkEnd w:id="779"/>
      <w:bookmarkStart w:id="780" w:name="_Toc296503207"/>
      <w:bookmarkEnd w:id="780"/>
      <w:bookmarkStart w:id="781" w:name="_Toc297216213"/>
      <w:bookmarkEnd w:id="781"/>
      <w:bookmarkStart w:id="782" w:name="_Toc292559917"/>
      <w:bookmarkEnd w:id="782"/>
      <w:bookmarkStart w:id="783" w:name="_Toc296347206"/>
      <w:bookmarkEnd w:id="783"/>
      <w:bookmarkStart w:id="784" w:name="_Toc373478397"/>
      <w:r>
        <w:rPr>
          <w:rStyle w:val="346"/>
          <w:rFonts w:hint="eastAsia" w:ascii="宋体" w:hAnsi="宋体" w:cs="宋体"/>
          <w:color w:val="auto"/>
          <w:sz w:val="24"/>
          <w:szCs w:val="24"/>
          <w:highlight w:val="none"/>
        </w:rPr>
        <w:t>本工程采用</w:t>
      </w:r>
      <w:bookmarkEnd w:id="784"/>
      <w:r>
        <w:rPr>
          <w:rStyle w:val="346"/>
          <w:rFonts w:hint="eastAsia" w:ascii="宋体" w:hAnsi="宋体" w:cs="宋体"/>
          <w:color w:val="auto"/>
          <w:sz w:val="24"/>
          <w:szCs w:val="24"/>
          <w:highlight w:val="none"/>
          <w:u w:val="single"/>
        </w:rPr>
        <w:t xml:space="preserve"> 固定单价 </w:t>
      </w:r>
      <w:r>
        <w:rPr>
          <w:rStyle w:val="346"/>
          <w:rFonts w:hint="eastAsia" w:ascii="宋体" w:hAnsi="宋体" w:cs="宋体"/>
          <w:color w:val="auto"/>
          <w:sz w:val="24"/>
          <w:szCs w:val="24"/>
          <w:highlight w:val="none"/>
        </w:rPr>
        <w:t>合同价格形式，合同价格包含增值税，本工程计价时采用的增值税计税方法为：☑一般计税法   □简易计税法。</w:t>
      </w:r>
    </w:p>
    <w:p w14:paraId="5CF911B8">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（1）单价合同。</w:t>
      </w:r>
    </w:p>
    <w:p w14:paraId="5A29AC1D">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采用综合单价合同方式时，工程量按实际结算。</w:t>
      </w:r>
    </w:p>
    <w:p w14:paraId="0BBCC06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综合单价包含的风险范围：</w:t>
      </w:r>
      <w:r>
        <w:rPr>
          <w:rStyle w:val="346"/>
          <w:rFonts w:hint="eastAsia" w:ascii="宋体" w:hAnsi="宋体" w:cs="宋体"/>
          <w:color w:val="auto"/>
          <w:sz w:val="24"/>
          <w:szCs w:val="24"/>
          <w:highlight w:val="none"/>
          <w:u w:val="single"/>
        </w:rPr>
        <w:t>除工程变更、项目特征不符、工程量清单缺项、工程量偏差、政策性调整、本工程《承包人提供主要材料和设备一览表》中约定的材料和设备价格变动风险以外的其他风险因素。</w:t>
      </w:r>
    </w:p>
    <w:p w14:paraId="632F2B6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风险范围以外合同价格的调整方法：</w:t>
      </w:r>
    </w:p>
    <w:p w14:paraId="23A005E7">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①工程变更、项目特征不符、工程量清单缺项：按10.4.1变更估价原则的约定调整。</w:t>
      </w:r>
    </w:p>
    <w:p w14:paraId="4D0F2457">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②工程量偏差：按1.13工程量清单错误修正的约定调整。</w:t>
      </w:r>
    </w:p>
    <w:p w14:paraId="58F20B00">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③政策性调整：按自治区住房和城乡建设厅或工程所在地住房城乡建设主管部门颁布的文件执行。</w:t>
      </w:r>
    </w:p>
    <w:p w14:paraId="589CE055">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④材料价格风险：按11.1的约定调整。</w:t>
      </w:r>
    </w:p>
    <w:p w14:paraId="1556F4D9">
      <w:pPr>
        <w:pStyle w:val="361"/>
        <w:spacing w:line="420" w:lineRule="exact"/>
        <w:ind w:firstLine="480" w:firstLineChars="200"/>
        <w:jc w:val="left"/>
        <w:rPr>
          <w:rStyle w:val="346"/>
          <w:rFonts w:ascii="宋体" w:hAnsi="宋体" w:cs="宋体"/>
          <w:b/>
          <w:bCs/>
          <w:color w:val="auto"/>
          <w:kern w:val="0"/>
          <w:sz w:val="24"/>
          <w:szCs w:val="24"/>
          <w:highlight w:val="none"/>
          <w:u w:val="single"/>
        </w:rPr>
      </w:pPr>
      <w:r>
        <w:rPr>
          <w:rStyle w:val="346"/>
          <w:rFonts w:hint="eastAsia" w:ascii="宋体" w:hAnsi="宋体" w:cs="宋体"/>
          <w:color w:val="auto"/>
          <w:sz w:val="24"/>
          <w:szCs w:val="24"/>
          <w:highlight w:val="none"/>
        </w:rPr>
        <w:t>⑤其它：</w:t>
      </w:r>
      <w:r>
        <w:rPr>
          <w:rStyle w:val="346"/>
          <w:rFonts w:hint="eastAsia" w:ascii="宋体" w:hAnsi="宋体" w:cs="宋体"/>
          <w:b/>
          <w:bCs/>
          <w:color w:val="auto"/>
          <w:kern w:val="0"/>
          <w:sz w:val="24"/>
          <w:szCs w:val="24"/>
          <w:highlight w:val="none"/>
          <w:u w:val="single"/>
        </w:rPr>
        <w:t>本工程可以调整的主要材料：</w:t>
      </w:r>
      <w:r>
        <w:rPr>
          <w:rStyle w:val="346"/>
          <w:rFonts w:hint="eastAsia" w:ascii="宋体" w:hAnsi="宋体" w:cs="宋体"/>
          <w:b/>
          <w:bCs/>
          <w:color w:val="auto"/>
          <w:sz w:val="24"/>
          <w:szCs w:val="24"/>
          <w:highlight w:val="none"/>
          <w:u w:val="single"/>
        </w:rPr>
        <w:t>钢材、水泥、砂、石、商品砼、沥青砼</w:t>
      </w:r>
      <w:r>
        <w:rPr>
          <w:rStyle w:val="346"/>
          <w:rFonts w:hint="eastAsia" w:ascii="宋体" w:hAnsi="宋体" w:cs="宋体"/>
          <w:b/>
          <w:bCs/>
          <w:color w:val="auto"/>
          <w:kern w:val="0"/>
          <w:sz w:val="24"/>
          <w:szCs w:val="24"/>
          <w:highlight w:val="none"/>
          <w:u w:val="single"/>
        </w:rPr>
        <w:t>。前述材料以《南宁市建设工程造价信息》</w:t>
      </w:r>
      <w:r>
        <w:rPr>
          <w:rStyle w:val="346"/>
          <w:rFonts w:hint="eastAsia" w:ascii="宋体" w:hAnsi="宋体" w:cs="宋体"/>
          <w:b/>
          <w:bCs/>
          <w:color w:val="auto"/>
          <w:sz w:val="24"/>
          <w:szCs w:val="24"/>
          <w:highlight w:val="none"/>
          <w:u w:val="single"/>
        </w:rPr>
        <w:t>2026年1月下半月</w:t>
      </w:r>
      <w:r>
        <w:rPr>
          <w:rStyle w:val="346"/>
          <w:rFonts w:hint="eastAsia" w:ascii="宋体" w:hAnsi="宋体" w:cs="宋体"/>
          <w:b/>
          <w:bCs/>
          <w:color w:val="auto"/>
          <w:kern w:val="0"/>
          <w:sz w:val="24"/>
          <w:szCs w:val="24"/>
          <w:highlight w:val="none"/>
          <w:u w:val="single"/>
        </w:rPr>
        <w:t>发布信息价格为基准价格。</w:t>
      </w:r>
    </w:p>
    <w:p w14:paraId="43FBE5C0">
      <w:pPr>
        <w:pStyle w:val="361"/>
        <w:spacing w:line="420" w:lineRule="exact"/>
        <w:ind w:firstLine="482" w:firstLineChars="200"/>
        <w:jc w:val="left"/>
        <w:rPr>
          <w:rStyle w:val="346"/>
          <w:rFonts w:ascii="宋体" w:hAnsi="宋体" w:cs="宋体"/>
          <w:b/>
          <w:bCs/>
          <w:color w:val="auto"/>
          <w:sz w:val="24"/>
          <w:szCs w:val="24"/>
          <w:highlight w:val="none"/>
          <w:u w:val="single"/>
        </w:rPr>
      </w:pPr>
      <w:r>
        <w:rPr>
          <w:rStyle w:val="346"/>
          <w:rFonts w:hint="eastAsia" w:ascii="宋体" w:hAnsi="宋体" w:cs="宋体"/>
          <w:b/>
          <w:bCs/>
          <w:color w:val="auto"/>
          <w:sz w:val="24"/>
          <w:szCs w:val="24"/>
          <w:highlight w:val="none"/>
          <w:u w:val="single"/>
        </w:rPr>
        <w:t>对于双方在价格上有争议的材料或设备，发包方有权采取甲供材的方式进行材料或设备采购；承包方必须无条件执行且继续履行安装任务。</w:t>
      </w:r>
    </w:p>
    <w:p w14:paraId="31A9C414">
      <w:pPr>
        <w:pStyle w:val="361"/>
        <w:spacing w:line="420" w:lineRule="exact"/>
        <w:ind w:firstLine="482" w:firstLineChars="200"/>
        <w:jc w:val="left"/>
        <w:rPr>
          <w:rStyle w:val="346"/>
          <w:rFonts w:ascii="宋体" w:hAnsi="宋体" w:cs="宋体"/>
          <w:color w:val="auto"/>
          <w:sz w:val="24"/>
          <w:szCs w:val="24"/>
          <w:highlight w:val="none"/>
        </w:rPr>
      </w:pPr>
      <w:r>
        <w:rPr>
          <w:rStyle w:val="346"/>
          <w:rFonts w:hint="eastAsia" w:ascii="宋体" w:hAnsi="宋体" w:cs="宋体"/>
          <w:b/>
          <w:bCs/>
          <w:color w:val="auto"/>
          <w:sz w:val="24"/>
          <w:szCs w:val="24"/>
          <w:highlight w:val="none"/>
          <w:u w:val="single"/>
        </w:rPr>
        <w:t>本工程最终结算价以发包人或发包人委托的第三方审计审定为准。</w:t>
      </w:r>
    </w:p>
    <w:p w14:paraId="58D3F820">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（2）总价合同。</w:t>
      </w:r>
    </w:p>
    <w:p w14:paraId="56E2BAB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总价包含的风险范围：包含除工程变更、政策性调整、</w:t>
      </w:r>
      <w:r>
        <w:rPr>
          <w:rStyle w:val="346"/>
          <w:rFonts w:hint="eastAsia" w:ascii="宋体" w:hAnsi="宋体" w:cs="宋体"/>
          <w:color w:val="auto"/>
          <w:sz w:val="24"/>
          <w:szCs w:val="24"/>
          <w:highlight w:val="none"/>
          <w:u w:val="single"/>
        </w:rPr>
        <w:t>本工程《承包人提供主要材料和设备一览表》中约定的材料和设备价格变动风险以外的其他风险。除工程变更外，结算时不再对施工图对应的工程量重新计量</w:t>
      </w:r>
      <w:r>
        <w:rPr>
          <w:rStyle w:val="346"/>
          <w:rFonts w:hint="eastAsia" w:ascii="宋体" w:hAnsi="宋体" w:cs="宋体"/>
          <w:color w:val="auto"/>
          <w:sz w:val="24"/>
          <w:szCs w:val="24"/>
          <w:highlight w:val="none"/>
        </w:rPr>
        <w:t>。</w:t>
      </w:r>
    </w:p>
    <w:p w14:paraId="5320F4B0">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风险范围以外合同价格的调整方法：</w:t>
      </w:r>
    </w:p>
    <w:p w14:paraId="3257DC5B">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①工程变更：按10.4.1变更估价原则的约定调整。</w:t>
      </w:r>
    </w:p>
    <w:p w14:paraId="6FAD4F6B">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②政策性调整：按自治区住房城乡建设厅或工程所在地住房城乡建设主管部门颁布的文件执行。</w:t>
      </w:r>
    </w:p>
    <w:p w14:paraId="66CCBD32">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③材料价格风险：按11.1的约定调整。</w:t>
      </w:r>
    </w:p>
    <w:p w14:paraId="578314C8">
      <w:pPr>
        <w:pStyle w:val="348"/>
        <w:spacing w:line="420" w:lineRule="exact"/>
        <w:ind w:firstLine="480" w:firstLineChars="200"/>
        <w:jc w:val="left"/>
        <w:outlineLvl w:val="1"/>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4其它：</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5AC132E4">
      <w:pPr>
        <w:pStyle w:val="348"/>
        <w:spacing w:line="420" w:lineRule="exact"/>
        <w:ind w:firstLine="480" w:firstLineChars="200"/>
        <w:jc w:val="left"/>
        <w:outlineLvl w:val="2"/>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（3）其他价格方式：</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40CA46CB">
      <w:pPr>
        <w:pStyle w:val="352"/>
        <w:spacing w:line="420" w:lineRule="exact"/>
        <w:outlineLvl w:val="3"/>
        <w:rPr>
          <w:rStyle w:val="346"/>
          <w:rFonts w:ascii="宋体" w:hAnsi="宋体" w:eastAsia="宋体" w:cs="宋体"/>
          <w:color w:val="auto"/>
          <w:sz w:val="24"/>
          <w:szCs w:val="24"/>
          <w:highlight w:val="none"/>
        </w:rPr>
      </w:pPr>
      <w:bookmarkStart w:id="785" w:name="_Toc1843"/>
      <w:bookmarkEnd w:id="785"/>
      <w:r>
        <w:rPr>
          <w:rStyle w:val="346"/>
          <w:rFonts w:hint="eastAsia" w:ascii="宋体" w:hAnsi="宋体" w:eastAsia="宋体" w:cs="宋体"/>
          <w:color w:val="auto"/>
          <w:sz w:val="24"/>
          <w:szCs w:val="24"/>
          <w:highlight w:val="none"/>
        </w:rPr>
        <w:t>12.2 预付款：无</w:t>
      </w:r>
    </w:p>
    <w:p w14:paraId="2B0ABE27">
      <w:pPr>
        <w:pStyle w:val="352"/>
        <w:spacing w:line="420" w:lineRule="exact"/>
        <w:outlineLvl w:val="3"/>
        <w:rPr>
          <w:rStyle w:val="346"/>
          <w:rFonts w:ascii="宋体" w:hAnsi="宋体" w:eastAsia="宋体" w:cs="宋体"/>
          <w:color w:val="auto"/>
          <w:sz w:val="24"/>
          <w:szCs w:val="24"/>
          <w:highlight w:val="none"/>
        </w:rPr>
      </w:pPr>
      <w:bookmarkStart w:id="786" w:name="_Toc389065316"/>
      <w:bookmarkEnd w:id="786"/>
      <w:bookmarkStart w:id="787" w:name="_Toc373227751"/>
      <w:bookmarkEnd w:id="787"/>
      <w:bookmarkStart w:id="788" w:name="_Toc373478398"/>
      <w:bookmarkEnd w:id="788"/>
      <w:bookmarkStart w:id="789" w:name="_Toc30134"/>
      <w:bookmarkEnd w:id="789"/>
      <w:r>
        <w:rPr>
          <w:rStyle w:val="346"/>
          <w:rFonts w:hint="eastAsia" w:ascii="宋体" w:hAnsi="宋体" w:eastAsia="宋体" w:cs="宋体"/>
          <w:color w:val="auto"/>
          <w:sz w:val="24"/>
          <w:szCs w:val="24"/>
          <w:highlight w:val="none"/>
        </w:rPr>
        <w:t>12.3 计量</w:t>
      </w:r>
    </w:p>
    <w:p w14:paraId="562DA0EE">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12.3.1 计量原则</w:t>
      </w:r>
    </w:p>
    <w:p w14:paraId="2F839E3B">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工程量计算规则：</w:t>
      </w:r>
      <w:r>
        <w:rPr>
          <w:rStyle w:val="346"/>
          <w:rFonts w:hint="eastAsia" w:ascii="宋体" w:hAnsi="宋体" w:cs="宋体"/>
          <w:color w:val="auto"/>
          <w:sz w:val="24"/>
          <w:szCs w:val="24"/>
          <w:highlight w:val="none"/>
          <w:u w:val="single"/>
        </w:rPr>
        <w:t>工程的计量均以《建设工程工程量清单计价规范》（GB50500－2013）及其广西壮族自治区实施细则、《建设工程工程量清单计算规范》（GB50854~50862－2013）及其广西实施细则、本工程补充项目清单为准。</w:t>
      </w:r>
    </w:p>
    <w:p w14:paraId="675A1A1E">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12.3.2 计量周期</w:t>
      </w:r>
    </w:p>
    <w:p w14:paraId="06A8E531">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关于计量周期的约定：</w:t>
      </w:r>
      <w:r>
        <w:rPr>
          <w:rStyle w:val="346"/>
          <w:rFonts w:hint="eastAsia" w:ascii="宋体" w:hAnsi="宋体" w:cs="宋体"/>
          <w:color w:val="auto"/>
          <w:sz w:val="24"/>
          <w:szCs w:val="24"/>
          <w:highlight w:val="none"/>
          <w:u w:val="single"/>
        </w:rPr>
        <w:t>每月25日前</w:t>
      </w:r>
      <w:r>
        <w:rPr>
          <w:rStyle w:val="346"/>
          <w:rFonts w:hint="eastAsia" w:ascii="宋体" w:hAnsi="宋体" w:cs="宋体"/>
          <w:color w:val="auto"/>
          <w:sz w:val="24"/>
          <w:szCs w:val="24"/>
          <w:highlight w:val="none"/>
        </w:rPr>
        <w:t>。</w:t>
      </w:r>
    </w:p>
    <w:p w14:paraId="186D38AF">
      <w:pPr>
        <w:pStyle w:val="348"/>
        <w:spacing w:line="420" w:lineRule="exact"/>
        <w:ind w:firstLine="480" w:firstLineChars="200"/>
        <w:jc w:val="left"/>
        <w:outlineLvl w:val="4"/>
        <w:rPr>
          <w:rStyle w:val="346"/>
          <w:rFonts w:ascii="宋体" w:hAnsi="宋体" w:cs="宋体"/>
          <w:color w:val="auto"/>
          <w:sz w:val="24"/>
          <w:szCs w:val="24"/>
          <w:highlight w:val="none"/>
        </w:rPr>
      </w:pPr>
      <w:bookmarkStart w:id="790" w:name="_Toc14718"/>
      <w:r>
        <w:rPr>
          <w:rStyle w:val="346"/>
          <w:rFonts w:hint="eastAsia" w:ascii="宋体" w:hAnsi="宋体" w:cs="宋体"/>
          <w:color w:val="auto"/>
          <w:sz w:val="24"/>
          <w:szCs w:val="24"/>
          <w:highlight w:val="none"/>
        </w:rPr>
        <w:t>12.3.3 单价合同的计量</w:t>
      </w:r>
      <w:bookmarkEnd w:id="790"/>
    </w:p>
    <w:p w14:paraId="312447AC">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关于单价合同计量的约定：</w:t>
      </w:r>
    </w:p>
    <w:p w14:paraId="57DE70DE">
      <w:pPr>
        <w:pStyle w:val="348"/>
        <w:spacing w:line="420" w:lineRule="exact"/>
        <w:ind w:firstLine="504" w:firstLineChars="21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 工程量清单所列的工程量，不能作为承包人按合同履行其责任依据，实际施工中发生的工程量增加或减少并不影响承包人履行合同的责任，工程结算以完成的实际工程量为准。</w:t>
      </w:r>
    </w:p>
    <w:p w14:paraId="0B9CD742">
      <w:pPr>
        <w:pStyle w:val="348"/>
        <w:spacing w:line="420" w:lineRule="exact"/>
        <w:ind w:firstLine="504" w:firstLineChars="21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 除另有规定外，工程师应按照合同约定的方式通过计量来核实确定已完成的工程量和价款，承包人应得到该价款扣除保留金后的金额。当工程师要对已完工的工程量进行计量时，应适时地通知承包人参加。</w:t>
      </w:r>
    </w:p>
    <w:p w14:paraId="1AFAB3F4">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12.3.4 总价合同的计量</w:t>
      </w:r>
    </w:p>
    <w:p w14:paraId="1ED65B3A">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（1）总价合同计量约定：进度款按支付分解表支付</w:t>
      </w:r>
      <w:r>
        <w:rPr>
          <w:rStyle w:val="346"/>
          <w:rFonts w:hint="eastAsia" w:ascii="宋体" w:hAnsi="宋体" w:cs="宋体"/>
          <w:color w:val="auto"/>
          <w:kern w:val="0"/>
          <w:sz w:val="24"/>
          <w:szCs w:val="24"/>
          <w:highlight w:val="none"/>
        </w:rPr>
        <w:t>，</w:t>
      </w:r>
      <w:r>
        <w:rPr>
          <w:rStyle w:val="346"/>
          <w:rFonts w:hint="eastAsia" w:ascii="宋体" w:hAnsi="宋体" w:cs="宋体"/>
          <w:color w:val="auto"/>
          <w:sz w:val="24"/>
          <w:szCs w:val="24"/>
          <w:highlight w:val="none"/>
        </w:rPr>
        <w:t>支付分解表在招标完成后签合同之前制定，具体详见本专用合同条款12.4.6。</w:t>
      </w:r>
    </w:p>
    <w:p w14:paraId="207693C4">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12.3.6 其他价格形式合同的计量</w:t>
      </w:r>
    </w:p>
    <w:p w14:paraId="000F9BED">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其他价格形式的计量方式和程序：</w:t>
      </w:r>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无</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71DD7EC7">
      <w:pPr>
        <w:pStyle w:val="352"/>
        <w:spacing w:line="420" w:lineRule="exact"/>
        <w:outlineLvl w:val="3"/>
        <w:rPr>
          <w:rStyle w:val="346"/>
          <w:rFonts w:ascii="宋体" w:hAnsi="宋体" w:eastAsia="宋体" w:cs="宋体"/>
          <w:color w:val="auto"/>
          <w:sz w:val="24"/>
          <w:szCs w:val="24"/>
          <w:highlight w:val="none"/>
        </w:rPr>
      </w:pPr>
      <w:bookmarkStart w:id="791" w:name="_Toc389065317"/>
      <w:bookmarkEnd w:id="791"/>
      <w:bookmarkStart w:id="792" w:name="_Toc373227752"/>
      <w:bookmarkEnd w:id="792"/>
      <w:bookmarkStart w:id="793" w:name="_Toc23445"/>
      <w:bookmarkEnd w:id="793"/>
      <w:bookmarkStart w:id="794" w:name="_Toc373478399"/>
      <w:r>
        <w:rPr>
          <w:rStyle w:val="346"/>
          <w:rFonts w:hint="eastAsia" w:ascii="宋体" w:hAnsi="宋体" w:eastAsia="宋体" w:cs="宋体"/>
          <w:color w:val="auto"/>
          <w:sz w:val="24"/>
          <w:szCs w:val="24"/>
          <w:highlight w:val="none"/>
        </w:rPr>
        <w:t>12.4 工程进度款支付</w:t>
      </w:r>
      <w:bookmarkEnd w:id="794"/>
    </w:p>
    <w:p w14:paraId="59559486">
      <w:pPr>
        <w:spacing w:line="400" w:lineRule="exact"/>
        <w:ind w:firstLine="480" w:firstLineChars="200"/>
        <w:jc w:val="left"/>
        <w:rPr>
          <w:rStyle w:val="346"/>
          <w:rFonts w:ascii="宋体" w:hAnsi="宋体" w:eastAsia="宋体" w:cs="宋体"/>
          <w:color w:val="auto"/>
          <w:sz w:val="24"/>
          <w:highlight w:val="none"/>
        </w:rPr>
      </w:pPr>
      <w:bookmarkStart w:id="795" w:name="_Toc296944550"/>
      <w:bookmarkEnd w:id="795"/>
      <w:bookmarkStart w:id="796" w:name="_Toc296346712"/>
      <w:bookmarkEnd w:id="796"/>
      <w:bookmarkStart w:id="797" w:name="_Toc297120511"/>
      <w:bookmarkEnd w:id="797"/>
      <w:bookmarkStart w:id="798" w:name="_Toc296891251"/>
      <w:bookmarkEnd w:id="798"/>
      <w:bookmarkStart w:id="799" w:name="_Toc303539163"/>
      <w:bookmarkEnd w:id="799"/>
      <w:bookmarkStart w:id="800" w:name="_Toc297123556"/>
      <w:bookmarkEnd w:id="800"/>
      <w:bookmarkStart w:id="801" w:name="_Toc300935006"/>
      <w:bookmarkEnd w:id="801"/>
      <w:bookmarkStart w:id="802" w:name="_Toc296891039"/>
      <w:bookmarkEnd w:id="802"/>
      <w:bookmarkStart w:id="803" w:name="_Toc296503211"/>
      <w:bookmarkEnd w:id="803"/>
      <w:bookmarkStart w:id="804" w:name="_Toc292559921"/>
      <w:bookmarkEnd w:id="804"/>
      <w:bookmarkStart w:id="805" w:name="_Toc296347210"/>
      <w:bookmarkEnd w:id="805"/>
      <w:bookmarkStart w:id="806" w:name="_Toc292559416"/>
      <w:bookmarkEnd w:id="806"/>
      <w:bookmarkStart w:id="807" w:name="_Toc297216215"/>
      <w:bookmarkEnd w:id="807"/>
      <w:bookmarkStart w:id="808" w:name="_Toc297048397"/>
      <w:r>
        <w:rPr>
          <w:rStyle w:val="346"/>
          <w:rFonts w:hint="eastAsia" w:ascii="宋体" w:hAnsi="宋体" w:eastAsia="宋体" w:cs="宋体"/>
          <w:color w:val="auto"/>
          <w:sz w:val="24"/>
          <w:highlight w:val="none"/>
        </w:rPr>
        <w:t>12.4.1关于工程进度款支付的约定</w:t>
      </w:r>
    </w:p>
    <w:p w14:paraId="432FC673">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（1）本项目无预付款；</w:t>
      </w:r>
    </w:p>
    <w:p w14:paraId="1ADD0797">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（2）合同内按工程计量周期内完成工程量不超过80%支付，合同内使用暂估价的按工程计量周期内完成工程量不超过60%支付；</w:t>
      </w:r>
    </w:p>
    <w:p w14:paraId="2C78EF38">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3）在工程完工，经竣工验收合格后，按自治区财政相关政策规定完成审计结算前，工程进度款合同内支付金额不得超过本项目实际合同价的90%，合同内使用暂估价的工程结算累计支付金额不得超出项目实际变更的70%支付；</w:t>
      </w:r>
    </w:p>
    <w:p w14:paraId="367DF622">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4）工程完工，采购人组织项目竣工结算审计完成后（如工程最终竣工结算达到《自治区本级财政投资评审实施办法》（桂财办﹝2015﹞70号）规定的评审范围，需报财政部门审定，在自治区财政相关政策完成审计结算后），支付比例为最终结算价的97%。剩余最终结算价的3%作为项目的质保金，2年后如无质量问题，则退还质保金（无息）的50%，剩余质保金（无息）待该项目所有工程质保期满后，无质量问题，再退还。</w:t>
      </w:r>
    </w:p>
    <w:bookmarkEnd w:id="808"/>
    <w:p w14:paraId="1958586F">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12.4.2 进度付款申请单的编制</w:t>
      </w:r>
    </w:p>
    <w:p w14:paraId="6D456B3F">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关于进度付款申请单编制的约定：</w:t>
      </w:r>
    </w:p>
    <w:p w14:paraId="1B303052">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(1)承包人必须依照付款周期，按实际发生工程量，依据合同约定进行进度付款申请。</w:t>
      </w:r>
    </w:p>
    <w:p w14:paraId="22BA8AF0">
      <w:pPr>
        <w:spacing w:line="400" w:lineRule="exact"/>
        <w:ind w:firstLine="480" w:firstLineChars="200"/>
        <w:jc w:val="left"/>
        <w:rPr>
          <w:rStyle w:val="346"/>
          <w:rFonts w:ascii="宋体" w:hAnsi="宋体" w:eastAsia="宋体" w:cs="宋体"/>
          <w:color w:val="auto"/>
          <w:sz w:val="24"/>
          <w:highlight w:val="none"/>
        </w:rPr>
      </w:pPr>
      <w:r>
        <w:rPr>
          <w:rStyle w:val="346"/>
          <w:rFonts w:hint="eastAsia" w:ascii="宋体" w:hAnsi="宋体" w:eastAsia="宋体" w:cs="宋体"/>
          <w:color w:val="auto"/>
          <w:sz w:val="24"/>
          <w:highlight w:val="none"/>
        </w:rPr>
        <w:t>(2)承包人必须书面列项说明已完成工程内容，计算范围。</w:t>
      </w:r>
    </w:p>
    <w:p w14:paraId="6970E829">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12.4.3 进度付款申请单的提交</w:t>
      </w:r>
    </w:p>
    <w:p w14:paraId="2B8757F8">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（1）单价合同进度付款申请单提交的约定： 格式按发包人具体要求  。</w:t>
      </w:r>
    </w:p>
    <w:p w14:paraId="02468E3A">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（2）总价合同进度付款申请单提交的约定： 无  。</w:t>
      </w:r>
    </w:p>
    <w:p w14:paraId="67CB0555">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（3）其他价格形式合同进度付款申请单提交的约定：  无  。</w:t>
      </w:r>
    </w:p>
    <w:p w14:paraId="72988BE8">
      <w:pPr>
        <w:pStyle w:val="348"/>
        <w:spacing w:line="420" w:lineRule="exact"/>
        <w:ind w:firstLine="480" w:firstLineChars="200"/>
        <w:jc w:val="left"/>
        <w:outlineLvl w:val="4"/>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12.4.4 进度款审核和支付</w:t>
      </w:r>
    </w:p>
    <w:p w14:paraId="613C480D">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（1）监理人审查并报送发包人的期限：</w:t>
      </w:r>
      <w:r>
        <w:rPr>
          <w:rStyle w:val="346"/>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按通用条款执行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0A515D4">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发包人完成审批并签发进度款支付证书的期限：</w:t>
      </w:r>
      <w:r>
        <w:rPr>
          <w:rFonts w:hint="eastAsia" w:ascii="宋体" w:hAnsi="宋体" w:cs="宋体"/>
          <w:color w:val="auto"/>
          <w:sz w:val="24"/>
          <w:szCs w:val="24"/>
          <w:highlight w:val="none"/>
          <w:u w:val="single"/>
        </w:rPr>
        <w:t>按通用条款执行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38435090">
      <w:pPr>
        <w:pStyle w:val="348"/>
        <w:spacing w:line="420" w:lineRule="exact"/>
        <w:ind w:firstLine="480" w:firstLineChars="200"/>
        <w:jc w:val="left"/>
        <w:outlineLvl w:val="2"/>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（2）发包人支付进度款的期限：</w:t>
      </w:r>
      <w:r>
        <w:rPr>
          <w:rStyle w:val="346"/>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按通用条款执行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09768965">
      <w:pPr>
        <w:pStyle w:val="348"/>
        <w:spacing w:line="420" w:lineRule="exact"/>
        <w:ind w:firstLine="600" w:firstLineChars="25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发包人逾期支付进度款的违约金的计算方式：</w:t>
      </w:r>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无</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23819C71">
      <w:pPr>
        <w:pStyle w:val="348"/>
        <w:spacing w:line="420" w:lineRule="exact"/>
        <w:ind w:firstLine="600" w:firstLineChars="25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进度款支付方式：</w:t>
      </w:r>
      <w:r>
        <w:rPr>
          <w:rFonts w:hint="eastAsia" w:ascii="宋体" w:hAnsi="宋体" w:cs="宋体"/>
          <w:color w:val="auto"/>
          <w:sz w:val="24"/>
          <w:szCs w:val="24"/>
          <w:highlight w:val="none"/>
          <w:u w:val="single"/>
        </w:rPr>
        <w:t>银行转账至本合同指定的承包人开户银行及账号内</w:t>
      </w:r>
      <w:r>
        <w:rPr>
          <w:rStyle w:val="346"/>
          <w:rFonts w:hint="eastAsia" w:ascii="宋体" w:hAnsi="宋体" w:cs="宋体"/>
          <w:color w:val="auto"/>
          <w:sz w:val="24"/>
          <w:szCs w:val="24"/>
          <w:highlight w:val="none"/>
        </w:rPr>
        <w:t>。</w:t>
      </w:r>
    </w:p>
    <w:p w14:paraId="3E5B7018">
      <w:pPr>
        <w:spacing w:line="420" w:lineRule="exact"/>
        <w:ind w:firstLine="720" w:firstLineChars="300"/>
        <w:jc w:val="left"/>
        <w:rPr>
          <w:rStyle w:val="346"/>
          <w:rFonts w:ascii="宋体" w:hAnsi="宋体" w:eastAsia="宋体" w:cs="宋体"/>
          <w:color w:val="auto"/>
          <w:sz w:val="24"/>
          <w:highlight w:val="none"/>
        </w:rPr>
      </w:pPr>
      <w:r>
        <w:rPr>
          <w:rFonts w:hint="eastAsia" w:ascii="宋体" w:hAnsi="宋体" w:eastAsia="宋体" w:cs="宋体"/>
          <w:color w:val="auto"/>
          <w:sz w:val="24"/>
          <w:highlight w:val="none"/>
        </w:rPr>
        <w:t>①承包人在发包人支付工程款前3日内提供有效的增值税专用发票给发包人，否则发包人有权拒付该笔工程款，所造成的责任由承包人负责承担且发包人不承担逾期付款的责任。</w:t>
      </w:r>
    </w:p>
    <w:p w14:paraId="54E828C7">
      <w:pPr>
        <w:pStyle w:val="348"/>
        <w:spacing w:line="420" w:lineRule="exact"/>
        <w:ind w:firstLine="600" w:firstLineChars="250"/>
        <w:jc w:val="left"/>
        <w:outlineLvl w:val="2"/>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 农民工工资支付</w:t>
      </w:r>
    </w:p>
    <w:p w14:paraId="69712EE3">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承包人将农民工工资支付情况定期报告发包人和监理单位，并提供相应的材料接受建设行政主管部门和劳动保障行政主管部门对此事项监管。</w:t>
      </w:r>
    </w:p>
    <w:p w14:paraId="36209714">
      <w:pPr>
        <w:pStyle w:val="348"/>
        <w:spacing w:line="420" w:lineRule="exact"/>
        <w:ind w:firstLine="600" w:firstLineChars="25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12.4.6 支付分解表的编制</w:t>
      </w:r>
    </w:p>
    <w:p w14:paraId="1B50A13A">
      <w:pPr>
        <w:pStyle w:val="348"/>
        <w:spacing w:line="420" w:lineRule="exact"/>
        <w:ind w:firstLine="600" w:firstLineChars="25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（1）总价合同支付分解表的编制与审批：</w:t>
      </w:r>
      <w:r>
        <w:rPr>
          <w:rStyle w:val="346"/>
          <w:rFonts w:hint="eastAsia" w:ascii="宋体" w:hAnsi="宋体" w:cs="宋体"/>
          <w:color w:val="auto"/>
          <w:sz w:val="24"/>
          <w:szCs w:val="24"/>
          <w:highlight w:val="none"/>
          <w:u w:val="single"/>
        </w:rPr>
        <w:t>总价合同支付分解表在招标完成后由发包人和承包人共同编制，发包人审批，并作为本合同内容，具体详见合同附件14。</w:t>
      </w:r>
    </w:p>
    <w:p w14:paraId="7F45E211">
      <w:pPr>
        <w:pStyle w:val="348"/>
        <w:spacing w:line="420" w:lineRule="exact"/>
        <w:ind w:firstLine="600" w:firstLineChars="25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（2）单价合同的总价项目支付分解表的编制与审批：总价项目不采用支付分解表的方式计算，而按《建设工程工程量清单计价规范（GB50500-2013）广西壮族自治区实施细则》的规定执行。</w:t>
      </w:r>
    </w:p>
    <w:p w14:paraId="36FEA8A0">
      <w:pPr>
        <w:pStyle w:val="347"/>
        <w:spacing w:before="0" w:after="0" w:line="420" w:lineRule="exact"/>
        <w:rPr>
          <w:rStyle w:val="346"/>
          <w:rFonts w:ascii="宋体" w:hAnsi="宋体" w:eastAsia="宋体" w:cs="宋体"/>
          <w:color w:val="auto"/>
          <w:sz w:val="24"/>
          <w:szCs w:val="24"/>
          <w:highlight w:val="none"/>
        </w:rPr>
      </w:pPr>
      <w:bookmarkStart w:id="809" w:name="_Toc296503219"/>
      <w:bookmarkEnd w:id="809"/>
      <w:bookmarkStart w:id="810" w:name="_Toc296347218"/>
      <w:bookmarkEnd w:id="810"/>
      <w:bookmarkStart w:id="811" w:name="_Toc296891259"/>
      <w:bookmarkEnd w:id="811"/>
      <w:bookmarkStart w:id="812" w:name="_Toc351203645"/>
      <w:bookmarkEnd w:id="812"/>
      <w:bookmarkStart w:id="813" w:name="_Toc297120519"/>
      <w:bookmarkEnd w:id="813"/>
      <w:bookmarkStart w:id="814" w:name="_Toc304295593"/>
      <w:bookmarkEnd w:id="814"/>
      <w:bookmarkStart w:id="815" w:name="_Toc296944558"/>
      <w:bookmarkEnd w:id="815"/>
      <w:bookmarkStart w:id="816" w:name="_Toc303539172"/>
      <w:bookmarkEnd w:id="816"/>
      <w:bookmarkStart w:id="817" w:name="_Toc297048405"/>
      <w:bookmarkEnd w:id="817"/>
      <w:bookmarkStart w:id="818" w:name="_Toc296346720"/>
      <w:bookmarkEnd w:id="818"/>
      <w:bookmarkStart w:id="819" w:name="_Toc292559424"/>
      <w:bookmarkEnd w:id="819"/>
      <w:bookmarkStart w:id="820" w:name="_Toc300935015"/>
      <w:bookmarkEnd w:id="820"/>
      <w:bookmarkStart w:id="821" w:name="_Toc297123564"/>
      <w:bookmarkEnd w:id="821"/>
      <w:bookmarkStart w:id="822" w:name="_Toc297216223"/>
      <w:bookmarkEnd w:id="822"/>
      <w:bookmarkStart w:id="823" w:name="_Toc389065318"/>
      <w:bookmarkEnd w:id="823"/>
      <w:bookmarkStart w:id="824" w:name="_Toc372"/>
      <w:bookmarkEnd w:id="824"/>
      <w:bookmarkStart w:id="825" w:name="_Toc292559929"/>
      <w:bookmarkEnd w:id="825"/>
      <w:bookmarkStart w:id="826" w:name="_Toc373227753"/>
      <w:bookmarkEnd w:id="826"/>
      <w:bookmarkStart w:id="827" w:name="_Toc312678053"/>
      <w:bookmarkEnd w:id="827"/>
      <w:bookmarkStart w:id="828" w:name="_Toc373478400"/>
      <w:bookmarkEnd w:id="828"/>
      <w:bookmarkStart w:id="829" w:name="_Toc296891047"/>
      <w:r>
        <w:rPr>
          <w:rStyle w:val="346"/>
          <w:rFonts w:hint="eastAsia" w:ascii="宋体" w:hAnsi="宋体" w:eastAsia="宋体" w:cs="宋体"/>
          <w:color w:val="auto"/>
          <w:sz w:val="24"/>
          <w:szCs w:val="24"/>
          <w:highlight w:val="none"/>
        </w:rPr>
        <w:t>13. 验收和工程试车</w:t>
      </w:r>
      <w:bookmarkEnd w:id="829"/>
    </w:p>
    <w:p w14:paraId="6297E51A">
      <w:pPr>
        <w:pStyle w:val="352"/>
        <w:spacing w:line="420" w:lineRule="exact"/>
        <w:rPr>
          <w:rStyle w:val="346"/>
          <w:rFonts w:ascii="宋体" w:hAnsi="宋体" w:eastAsia="宋体" w:cs="宋体"/>
          <w:color w:val="auto"/>
          <w:sz w:val="24"/>
          <w:szCs w:val="24"/>
          <w:highlight w:val="none"/>
        </w:rPr>
      </w:pPr>
      <w:bookmarkStart w:id="830" w:name="_Toc1622"/>
      <w:bookmarkEnd w:id="830"/>
      <w:bookmarkStart w:id="831" w:name="_Toc373227754"/>
      <w:bookmarkEnd w:id="831"/>
      <w:bookmarkStart w:id="832" w:name="_Toc389065319"/>
      <w:bookmarkEnd w:id="832"/>
      <w:bookmarkStart w:id="833" w:name="_Toc373478401"/>
      <w:bookmarkEnd w:id="833"/>
      <w:r>
        <w:rPr>
          <w:rStyle w:val="346"/>
          <w:rFonts w:hint="eastAsia" w:ascii="宋体" w:hAnsi="宋体" w:eastAsia="宋体" w:cs="宋体"/>
          <w:color w:val="auto"/>
          <w:sz w:val="24"/>
          <w:szCs w:val="24"/>
          <w:highlight w:val="none"/>
        </w:rPr>
        <w:t>13.1 分部分项工程验收</w:t>
      </w:r>
    </w:p>
    <w:p w14:paraId="783D149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13.1.2监理人不能按时进行验收时，应提前</w:t>
      </w:r>
      <w:r>
        <w:rPr>
          <w:rStyle w:val="346"/>
          <w:rFonts w:hint="eastAsia" w:ascii="宋体" w:hAnsi="宋体" w:cs="宋体"/>
          <w:color w:val="auto"/>
          <w:sz w:val="24"/>
          <w:szCs w:val="24"/>
          <w:highlight w:val="none"/>
          <w:u w:val="single"/>
        </w:rPr>
        <w:t xml:space="preserve"> 24  </w:t>
      </w:r>
      <w:r>
        <w:rPr>
          <w:rStyle w:val="346"/>
          <w:rFonts w:hint="eastAsia" w:ascii="宋体" w:hAnsi="宋体" w:cs="宋体"/>
          <w:color w:val="auto"/>
          <w:sz w:val="24"/>
          <w:szCs w:val="24"/>
          <w:highlight w:val="none"/>
        </w:rPr>
        <w:t>小时提交书面延期要求。</w:t>
      </w:r>
    </w:p>
    <w:p w14:paraId="5A4D1378">
      <w:pPr>
        <w:pStyle w:val="348"/>
        <w:spacing w:line="420" w:lineRule="exact"/>
        <w:ind w:firstLine="480" w:firstLineChars="200"/>
        <w:jc w:val="left"/>
        <w:rPr>
          <w:rStyle w:val="346"/>
          <w:rFonts w:ascii="宋体" w:hAnsi="宋体" w:cs="宋体"/>
          <w:b/>
          <w:bCs/>
          <w:color w:val="auto"/>
          <w:sz w:val="24"/>
          <w:szCs w:val="24"/>
          <w:highlight w:val="none"/>
        </w:rPr>
      </w:pPr>
      <w:r>
        <w:rPr>
          <w:rStyle w:val="346"/>
          <w:rFonts w:hint="eastAsia" w:ascii="宋体" w:hAnsi="宋体" w:cs="宋体"/>
          <w:color w:val="auto"/>
          <w:sz w:val="24"/>
          <w:szCs w:val="24"/>
          <w:highlight w:val="none"/>
        </w:rPr>
        <w:t>关于延期最长不得超过：</w:t>
      </w:r>
      <w:r>
        <w:rPr>
          <w:rStyle w:val="346"/>
          <w:rFonts w:hint="eastAsia" w:ascii="宋体" w:hAnsi="宋体" w:cs="宋体"/>
          <w:color w:val="auto"/>
          <w:sz w:val="24"/>
          <w:szCs w:val="24"/>
          <w:highlight w:val="none"/>
          <w:u w:val="single"/>
        </w:rPr>
        <w:t xml:space="preserve">  24   </w:t>
      </w:r>
      <w:r>
        <w:rPr>
          <w:rStyle w:val="346"/>
          <w:rFonts w:hint="eastAsia" w:ascii="宋体" w:hAnsi="宋体" w:cs="宋体"/>
          <w:color w:val="auto"/>
          <w:sz w:val="24"/>
          <w:szCs w:val="24"/>
          <w:highlight w:val="none"/>
        </w:rPr>
        <w:t>小时。</w:t>
      </w:r>
    </w:p>
    <w:p w14:paraId="59F0B83C">
      <w:pPr>
        <w:pStyle w:val="352"/>
        <w:spacing w:line="420" w:lineRule="exact"/>
        <w:rPr>
          <w:rStyle w:val="346"/>
          <w:rFonts w:ascii="宋体" w:hAnsi="宋体" w:eastAsia="宋体" w:cs="宋体"/>
          <w:color w:val="auto"/>
          <w:sz w:val="24"/>
          <w:szCs w:val="24"/>
          <w:highlight w:val="none"/>
        </w:rPr>
      </w:pPr>
      <w:bookmarkStart w:id="834" w:name="_Toc373478402"/>
      <w:bookmarkEnd w:id="834"/>
      <w:bookmarkStart w:id="835" w:name="_Toc304295596"/>
      <w:bookmarkEnd w:id="835"/>
      <w:bookmarkStart w:id="836" w:name="_Toc296346724"/>
      <w:bookmarkEnd w:id="836"/>
      <w:bookmarkStart w:id="837" w:name="_Toc267251472"/>
      <w:bookmarkEnd w:id="837"/>
      <w:bookmarkStart w:id="838" w:name="_Toc267251471"/>
      <w:bookmarkEnd w:id="838"/>
      <w:bookmarkStart w:id="839" w:name="_Toc296347222"/>
      <w:bookmarkEnd w:id="839"/>
      <w:bookmarkStart w:id="840" w:name="_Toc297216224"/>
      <w:bookmarkEnd w:id="840"/>
      <w:bookmarkStart w:id="841" w:name="_Toc267251470"/>
      <w:bookmarkEnd w:id="841"/>
      <w:bookmarkStart w:id="842" w:name="_Toc267251473"/>
      <w:bookmarkEnd w:id="842"/>
      <w:bookmarkStart w:id="843" w:name="_Toc297048409"/>
      <w:bookmarkEnd w:id="843"/>
      <w:bookmarkStart w:id="844" w:name="_Toc297120523"/>
      <w:bookmarkEnd w:id="844"/>
      <w:bookmarkStart w:id="845" w:name="_Toc296891051"/>
      <w:bookmarkEnd w:id="845"/>
      <w:bookmarkStart w:id="846" w:name="_Toc296944562"/>
      <w:bookmarkEnd w:id="846"/>
      <w:bookmarkStart w:id="847" w:name="_Toc292559428"/>
      <w:bookmarkEnd w:id="847"/>
      <w:bookmarkStart w:id="848" w:name="_Toc292559933"/>
      <w:bookmarkEnd w:id="848"/>
      <w:bookmarkStart w:id="849" w:name="_Toc373227755"/>
      <w:bookmarkEnd w:id="849"/>
      <w:bookmarkStart w:id="850" w:name="_Toc297123565"/>
      <w:bookmarkEnd w:id="850"/>
      <w:bookmarkStart w:id="851" w:name="_Toc389065320"/>
      <w:bookmarkEnd w:id="851"/>
      <w:bookmarkStart w:id="852" w:name="_Toc303539173"/>
      <w:bookmarkEnd w:id="852"/>
      <w:bookmarkStart w:id="853" w:name="_Toc296891263"/>
      <w:bookmarkEnd w:id="853"/>
      <w:bookmarkStart w:id="854" w:name="_Toc267251476"/>
      <w:bookmarkEnd w:id="854"/>
      <w:bookmarkStart w:id="855" w:name="_Toc23904"/>
      <w:bookmarkEnd w:id="855"/>
      <w:bookmarkStart w:id="856" w:name="_Toc296503223"/>
      <w:bookmarkEnd w:id="856"/>
      <w:bookmarkStart w:id="857" w:name="_Toc300935016"/>
      <w:bookmarkEnd w:id="857"/>
      <w:bookmarkStart w:id="858" w:name="_Toc312678056"/>
      <w:bookmarkEnd w:id="858"/>
      <w:bookmarkStart w:id="859" w:name="_Toc267251475"/>
      <w:bookmarkEnd w:id="859"/>
      <w:bookmarkStart w:id="860" w:name="_Toc267251474"/>
      <w:r>
        <w:rPr>
          <w:rStyle w:val="346"/>
          <w:rFonts w:hint="eastAsia" w:ascii="宋体" w:hAnsi="宋体" w:eastAsia="宋体" w:cs="宋体"/>
          <w:color w:val="auto"/>
          <w:sz w:val="24"/>
          <w:szCs w:val="24"/>
          <w:highlight w:val="none"/>
        </w:rPr>
        <w:t xml:space="preserve">13.2 </w:t>
      </w:r>
      <w:bookmarkEnd w:id="860"/>
      <w:r>
        <w:rPr>
          <w:rStyle w:val="346"/>
          <w:rFonts w:hint="eastAsia" w:ascii="宋体" w:hAnsi="宋体" w:eastAsia="宋体" w:cs="宋体"/>
          <w:color w:val="auto"/>
          <w:sz w:val="24"/>
          <w:szCs w:val="24"/>
          <w:highlight w:val="none"/>
        </w:rPr>
        <w:t>竣工验收</w:t>
      </w:r>
    </w:p>
    <w:p w14:paraId="02D8C73E">
      <w:pPr>
        <w:pStyle w:val="348"/>
        <w:spacing w:line="420" w:lineRule="exact"/>
        <w:ind w:firstLine="480" w:firstLineChars="200"/>
        <w:jc w:val="left"/>
        <w:outlineLvl w:val="3"/>
        <w:rPr>
          <w:rStyle w:val="346"/>
          <w:rFonts w:ascii="宋体" w:hAnsi="宋体" w:cs="宋体"/>
          <w:color w:val="auto"/>
          <w:sz w:val="24"/>
          <w:szCs w:val="24"/>
          <w:highlight w:val="none"/>
        </w:rPr>
      </w:pPr>
      <w:bookmarkStart w:id="861" w:name="_Toc280868707"/>
      <w:bookmarkEnd w:id="861"/>
      <w:bookmarkStart w:id="862" w:name="_Toc280868705"/>
      <w:bookmarkEnd w:id="862"/>
      <w:bookmarkStart w:id="863" w:name="_Toc280868709"/>
      <w:bookmarkEnd w:id="863"/>
      <w:bookmarkStart w:id="864" w:name="_Toc280868708"/>
      <w:bookmarkEnd w:id="864"/>
      <w:bookmarkStart w:id="865" w:name="_Toc280868704"/>
      <w:bookmarkEnd w:id="865"/>
      <w:bookmarkStart w:id="866" w:name="_Toc280868706"/>
      <w:bookmarkEnd w:id="866"/>
      <w:r>
        <w:rPr>
          <w:rStyle w:val="346"/>
          <w:rFonts w:hint="eastAsia" w:ascii="宋体" w:hAnsi="宋体" w:cs="宋体"/>
          <w:color w:val="auto"/>
          <w:sz w:val="24"/>
          <w:szCs w:val="24"/>
          <w:highlight w:val="none"/>
        </w:rPr>
        <w:t>13.2.1竣工验收条件</w:t>
      </w:r>
    </w:p>
    <w:p w14:paraId="51604926">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（3）承包人负责整理和提交的竣工验收资料应当符合工程所在地建设行政主管部门和(或)城市建设档案管理机构有关施工资料的要求，具体内容包括：</w:t>
      </w:r>
      <w:r>
        <w:rPr>
          <w:rStyle w:val="346"/>
          <w:rFonts w:hint="eastAsia" w:ascii="宋体" w:hAnsi="宋体" w:cs="宋体"/>
          <w:color w:val="auto"/>
          <w:sz w:val="24"/>
          <w:szCs w:val="24"/>
          <w:highlight w:val="none"/>
          <w:u w:val="single"/>
        </w:rPr>
        <w:t>工程竣工资料（含竣工图）和工程竣工报告等</w:t>
      </w:r>
      <w:r>
        <w:rPr>
          <w:rStyle w:val="346"/>
          <w:rFonts w:hint="eastAsia" w:ascii="宋体" w:hAnsi="宋体" w:cs="宋体"/>
          <w:color w:val="auto"/>
          <w:sz w:val="24"/>
          <w:szCs w:val="24"/>
          <w:highlight w:val="none"/>
        </w:rPr>
        <w:t>。</w:t>
      </w:r>
    </w:p>
    <w:p w14:paraId="75E3166A">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竣工验收资料的份数：</w:t>
      </w:r>
      <w:r>
        <w:rPr>
          <w:rStyle w:val="346"/>
          <w:rFonts w:hint="eastAsia" w:ascii="宋体" w:hAnsi="宋体" w:cs="宋体"/>
          <w:color w:val="auto"/>
          <w:sz w:val="24"/>
          <w:szCs w:val="24"/>
          <w:highlight w:val="none"/>
          <w:u w:val="single"/>
        </w:rPr>
        <w:t xml:space="preserve"> 6套   </w:t>
      </w:r>
      <w:r>
        <w:rPr>
          <w:rStyle w:val="346"/>
          <w:rFonts w:hint="eastAsia" w:ascii="宋体" w:hAnsi="宋体" w:cs="宋体"/>
          <w:color w:val="auto"/>
          <w:sz w:val="24"/>
          <w:szCs w:val="24"/>
          <w:highlight w:val="none"/>
        </w:rPr>
        <w:t>。</w:t>
      </w:r>
    </w:p>
    <w:p w14:paraId="23DFC8A9">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承包人提供竣工图的约定：</w:t>
      </w:r>
      <w:r>
        <w:rPr>
          <w:rStyle w:val="346"/>
          <w:rFonts w:hint="eastAsia" w:ascii="宋体" w:hAnsi="宋体" w:cs="宋体"/>
          <w:color w:val="auto"/>
          <w:sz w:val="24"/>
          <w:szCs w:val="24"/>
          <w:highlight w:val="none"/>
          <w:u w:val="single"/>
        </w:rPr>
        <w:t>竣工验收正式通过后5天，提供竣工图的数量分别为6套，且必须为原件。</w:t>
      </w:r>
    </w:p>
    <w:p w14:paraId="5B21C173">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13.2.2竣工验收程序</w:t>
      </w:r>
    </w:p>
    <w:p w14:paraId="3907529D">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关于竣工验收程序的约定：</w:t>
      </w:r>
      <w:r>
        <w:rPr>
          <w:rStyle w:val="346"/>
          <w:rFonts w:hint="eastAsia" w:ascii="宋体" w:hAnsi="宋体" w:cs="宋体"/>
          <w:color w:val="auto"/>
          <w:kern w:val="0"/>
          <w:sz w:val="24"/>
          <w:szCs w:val="24"/>
          <w:highlight w:val="none"/>
          <w:u w:val="single"/>
        </w:rPr>
        <w:t>按国家竣工验收规定及项目所在地建设行政管理部门规定要求执行</w:t>
      </w:r>
      <w:r>
        <w:rPr>
          <w:rStyle w:val="346"/>
          <w:rFonts w:hint="eastAsia" w:ascii="宋体" w:hAnsi="宋体" w:cs="宋体"/>
          <w:color w:val="auto"/>
          <w:sz w:val="24"/>
          <w:szCs w:val="24"/>
          <w:highlight w:val="none"/>
        </w:rPr>
        <w:t>。</w:t>
      </w:r>
    </w:p>
    <w:p w14:paraId="68F911D9">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发包人不按照本项约定组织竣工验收、颁发工程接收证书的违约金的计算方法：</w:t>
      </w:r>
      <w:r>
        <w:rPr>
          <w:rStyle w:val="346"/>
          <w:rFonts w:hint="eastAsia" w:ascii="宋体" w:hAnsi="宋体" w:cs="宋体"/>
          <w:b/>
          <w:bCs/>
          <w:color w:val="auto"/>
          <w:sz w:val="24"/>
          <w:szCs w:val="24"/>
          <w:highlight w:val="none"/>
          <w:u w:val="single"/>
        </w:rPr>
        <w:t>无</w:t>
      </w:r>
      <w:r>
        <w:rPr>
          <w:rStyle w:val="346"/>
          <w:rFonts w:hint="eastAsia" w:ascii="宋体" w:hAnsi="宋体" w:cs="宋体"/>
          <w:color w:val="auto"/>
          <w:sz w:val="24"/>
          <w:szCs w:val="24"/>
          <w:highlight w:val="none"/>
        </w:rPr>
        <w:t>。</w:t>
      </w:r>
    </w:p>
    <w:p w14:paraId="362E903E">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13.2.5移交、接收全部与部分工程</w:t>
      </w:r>
    </w:p>
    <w:p w14:paraId="33606F45">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承包人向发包人移交工程的期限：</w:t>
      </w:r>
      <w:r>
        <w:rPr>
          <w:rStyle w:val="346"/>
          <w:rFonts w:hint="eastAsia" w:ascii="宋体" w:hAnsi="宋体" w:cs="宋体"/>
          <w:b/>
          <w:bCs/>
          <w:color w:val="auto"/>
          <w:sz w:val="24"/>
          <w:szCs w:val="24"/>
          <w:highlight w:val="none"/>
          <w:u w:val="single"/>
        </w:rPr>
        <w:t>按通用合同条款13.2.5执行</w:t>
      </w:r>
      <w:r>
        <w:rPr>
          <w:rStyle w:val="346"/>
          <w:rFonts w:hint="eastAsia" w:ascii="宋体" w:hAnsi="宋体" w:cs="宋体"/>
          <w:color w:val="auto"/>
          <w:sz w:val="24"/>
          <w:szCs w:val="24"/>
          <w:highlight w:val="none"/>
        </w:rPr>
        <w:t>。</w:t>
      </w:r>
    </w:p>
    <w:p w14:paraId="15996E41">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发包人未按本合同约定接收全部或部分工程的，违约金的计算方法为：</w:t>
      </w:r>
      <w:r>
        <w:rPr>
          <w:rStyle w:val="346"/>
          <w:rFonts w:hint="eastAsia" w:ascii="宋体" w:hAnsi="宋体" w:cs="宋体"/>
          <w:b/>
          <w:bCs/>
          <w:color w:val="auto"/>
          <w:sz w:val="24"/>
          <w:szCs w:val="24"/>
          <w:highlight w:val="none"/>
          <w:u w:val="single"/>
        </w:rPr>
        <w:t>每逾期一天,发包人向承包人支付合同价款万分之四的违约金，违约金上限为：累计最高赔偿金额为合同协议书的合同价格的</w:t>
      </w:r>
      <w:r>
        <w:rPr>
          <w:rStyle w:val="346"/>
          <w:rFonts w:ascii="宋体" w:hAnsi="宋体" w:cs="宋体"/>
          <w:b/>
          <w:bCs/>
          <w:color w:val="auto"/>
          <w:sz w:val="24"/>
          <w:szCs w:val="24"/>
          <w:highlight w:val="none"/>
          <w:u w:val="single"/>
        </w:rPr>
        <w:t>5%</w:t>
      </w:r>
      <w:r>
        <w:rPr>
          <w:rStyle w:val="346"/>
          <w:rFonts w:hint="eastAsia" w:ascii="宋体" w:hAnsi="宋体" w:cs="宋体"/>
          <w:color w:val="auto"/>
          <w:sz w:val="24"/>
          <w:szCs w:val="24"/>
          <w:highlight w:val="none"/>
        </w:rPr>
        <w:t>。</w:t>
      </w:r>
    </w:p>
    <w:p w14:paraId="3A277254">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承包人未按时移交工程的，违约金的计算方法为：</w:t>
      </w:r>
      <w:r>
        <w:rPr>
          <w:rStyle w:val="346"/>
          <w:rFonts w:hint="eastAsia" w:ascii="宋体" w:hAnsi="宋体" w:cs="宋体"/>
          <w:b/>
          <w:bCs/>
          <w:color w:val="auto"/>
          <w:sz w:val="24"/>
          <w:szCs w:val="24"/>
          <w:highlight w:val="none"/>
          <w:u w:val="single"/>
        </w:rPr>
        <w:t>每逾期一天,承包人向发包人支付合同价款万分之四的违约金，违约金上限为：累计最高赔偿金额为合同协议书的合同价格的</w:t>
      </w:r>
      <w:r>
        <w:rPr>
          <w:rStyle w:val="346"/>
          <w:rFonts w:ascii="宋体" w:hAnsi="宋体" w:cs="宋体"/>
          <w:b/>
          <w:bCs/>
          <w:color w:val="auto"/>
          <w:sz w:val="24"/>
          <w:szCs w:val="24"/>
          <w:highlight w:val="none"/>
          <w:u w:val="single"/>
        </w:rPr>
        <w:t>5%</w:t>
      </w:r>
      <w:r>
        <w:rPr>
          <w:rStyle w:val="346"/>
          <w:rFonts w:hint="eastAsia" w:ascii="宋体" w:hAnsi="宋体" w:cs="宋体"/>
          <w:color w:val="auto"/>
          <w:sz w:val="24"/>
          <w:szCs w:val="24"/>
          <w:highlight w:val="none"/>
        </w:rPr>
        <w:t>。</w:t>
      </w:r>
    </w:p>
    <w:p w14:paraId="1659DBA2">
      <w:pPr>
        <w:pStyle w:val="352"/>
        <w:spacing w:line="420" w:lineRule="exact"/>
        <w:rPr>
          <w:rStyle w:val="346"/>
          <w:rFonts w:ascii="宋体" w:hAnsi="宋体" w:eastAsia="宋体" w:cs="宋体"/>
          <w:color w:val="auto"/>
          <w:sz w:val="24"/>
          <w:szCs w:val="24"/>
          <w:highlight w:val="none"/>
        </w:rPr>
      </w:pPr>
      <w:bookmarkStart w:id="867" w:name="_Toc373227756"/>
      <w:bookmarkEnd w:id="867"/>
      <w:bookmarkStart w:id="868" w:name="_Toc2983"/>
      <w:bookmarkEnd w:id="868"/>
      <w:bookmarkStart w:id="869" w:name="_Toc373478403"/>
      <w:bookmarkEnd w:id="869"/>
      <w:bookmarkStart w:id="870" w:name="_Toc389065321"/>
      <w:r>
        <w:rPr>
          <w:rStyle w:val="346"/>
          <w:rFonts w:hint="eastAsia" w:ascii="宋体" w:hAnsi="宋体" w:eastAsia="宋体" w:cs="宋体"/>
          <w:color w:val="auto"/>
          <w:sz w:val="24"/>
          <w:szCs w:val="24"/>
          <w:highlight w:val="none"/>
        </w:rPr>
        <w:t xml:space="preserve">13.3 </w:t>
      </w:r>
      <w:bookmarkEnd w:id="870"/>
      <w:r>
        <w:rPr>
          <w:rStyle w:val="346"/>
          <w:rFonts w:hint="eastAsia" w:ascii="宋体" w:hAnsi="宋体" w:eastAsia="宋体" w:cs="宋体"/>
          <w:color w:val="auto"/>
          <w:sz w:val="24"/>
          <w:szCs w:val="24"/>
          <w:highlight w:val="none"/>
        </w:rPr>
        <w:t>工程试车</w:t>
      </w:r>
    </w:p>
    <w:p w14:paraId="104B8489">
      <w:pPr>
        <w:pStyle w:val="348"/>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13.3.1 试车程序</w:t>
      </w:r>
    </w:p>
    <w:p w14:paraId="3C283577">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工程试车内容：</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6D97EAD2">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（1）单机无负荷试车费用由</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kern w:val="0"/>
          <w:sz w:val="24"/>
          <w:szCs w:val="24"/>
          <w:highlight w:val="none"/>
        </w:rPr>
        <w:t>承担；</w:t>
      </w:r>
    </w:p>
    <w:p w14:paraId="78187D43">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（2）无负荷联动试车费用由</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kern w:val="0"/>
          <w:sz w:val="24"/>
          <w:szCs w:val="24"/>
          <w:highlight w:val="none"/>
        </w:rPr>
        <w:t>承担。</w:t>
      </w:r>
    </w:p>
    <w:p w14:paraId="5E8A60A9">
      <w:pPr>
        <w:pStyle w:val="348"/>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13.3.3 投料试车</w:t>
      </w:r>
    </w:p>
    <w:p w14:paraId="7DAB0DD4">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关于投料试车相关事项的约定：</w:t>
      </w:r>
      <w:r>
        <w:rPr>
          <w:rStyle w:val="346"/>
          <w:rFonts w:hint="eastAsia" w:ascii="宋体" w:hAnsi="宋体" w:cs="宋体"/>
          <w:color w:val="auto"/>
          <w:sz w:val="24"/>
          <w:szCs w:val="24"/>
          <w:highlight w:val="none"/>
          <w:u w:val="single"/>
        </w:rPr>
        <w:t xml:space="preserve">     无        </w:t>
      </w:r>
      <w:r>
        <w:rPr>
          <w:rStyle w:val="346"/>
          <w:rFonts w:hint="eastAsia" w:ascii="宋体" w:hAnsi="宋体" w:cs="宋体"/>
          <w:color w:val="auto"/>
          <w:sz w:val="24"/>
          <w:szCs w:val="24"/>
          <w:highlight w:val="none"/>
        </w:rPr>
        <w:t>。</w:t>
      </w:r>
    </w:p>
    <w:p w14:paraId="263E8770">
      <w:pPr>
        <w:pStyle w:val="352"/>
        <w:spacing w:line="420" w:lineRule="exact"/>
        <w:rPr>
          <w:rStyle w:val="346"/>
          <w:rFonts w:ascii="宋体" w:hAnsi="宋体" w:eastAsia="宋体" w:cs="宋体"/>
          <w:color w:val="auto"/>
          <w:sz w:val="24"/>
          <w:szCs w:val="24"/>
          <w:highlight w:val="none"/>
        </w:rPr>
      </w:pPr>
      <w:bookmarkStart w:id="871" w:name="_Toc373478404"/>
      <w:bookmarkEnd w:id="871"/>
      <w:bookmarkStart w:id="872" w:name="_Toc389065322"/>
      <w:bookmarkEnd w:id="872"/>
      <w:bookmarkStart w:id="873" w:name="_Toc31058"/>
      <w:bookmarkEnd w:id="873"/>
      <w:bookmarkStart w:id="874" w:name="_Toc373227757"/>
      <w:r>
        <w:rPr>
          <w:rStyle w:val="346"/>
          <w:rFonts w:hint="eastAsia" w:ascii="宋体" w:hAnsi="宋体" w:eastAsia="宋体" w:cs="宋体"/>
          <w:color w:val="auto"/>
          <w:sz w:val="24"/>
          <w:szCs w:val="24"/>
          <w:highlight w:val="none"/>
        </w:rPr>
        <w:t xml:space="preserve">13.6 </w:t>
      </w:r>
      <w:bookmarkEnd w:id="874"/>
      <w:r>
        <w:rPr>
          <w:rStyle w:val="346"/>
          <w:rFonts w:hint="eastAsia" w:ascii="宋体" w:hAnsi="宋体" w:eastAsia="宋体" w:cs="宋体"/>
          <w:color w:val="auto"/>
          <w:sz w:val="24"/>
          <w:szCs w:val="24"/>
          <w:highlight w:val="none"/>
        </w:rPr>
        <w:t>竣工退场</w:t>
      </w:r>
    </w:p>
    <w:p w14:paraId="47DE8C42">
      <w:pPr>
        <w:pStyle w:val="348"/>
        <w:spacing w:line="420" w:lineRule="exact"/>
        <w:ind w:firstLine="480" w:firstLineChars="200"/>
        <w:jc w:val="left"/>
        <w:outlineLvl w:val="3"/>
        <w:rPr>
          <w:rStyle w:val="346"/>
          <w:rFonts w:ascii="宋体" w:hAnsi="宋体" w:cs="宋体"/>
          <w:color w:val="auto"/>
          <w:kern w:val="0"/>
          <w:sz w:val="24"/>
          <w:szCs w:val="24"/>
          <w:highlight w:val="none"/>
        </w:rPr>
      </w:pPr>
      <w:bookmarkStart w:id="875" w:name="_Toc4778"/>
      <w:r>
        <w:rPr>
          <w:rStyle w:val="346"/>
          <w:rFonts w:hint="eastAsia" w:ascii="宋体" w:hAnsi="宋体" w:cs="宋体"/>
          <w:color w:val="auto"/>
          <w:kern w:val="0"/>
          <w:sz w:val="24"/>
          <w:szCs w:val="24"/>
          <w:highlight w:val="none"/>
        </w:rPr>
        <w:t>13.6.1 竣工退场</w:t>
      </w:r>
      <w:bookmarkEnd w:id="875"/>
    </w:p>
    <w:p w14:paraId="3FB79F23">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承包人完成竣工退场的期限：</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按发包人要求</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rPr>
        <w:t>。</w:t>
      </w:r>
    </w:p>
    <w:p w14:paraId="0260CF6B">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sz w:val="24"/>
          <w:szCs w:val="24"/>
          <w:highlight w:val="none"/>
        </w:rPr>
        <w:t>承包人应按相关条款完工撤场，如承包人不能及时拆除或清理，发包人处承包人1万元的违约金，同时发包人将直接委托第三方强行拆除并清理，由此产生的费用（发包人仅需书面告知且加收20%的管理费）及造成发包人的损失由承包人承担。</w:t>
      </w:r>
    </w:p>
    <w:p w14:paraId="5701FD35">
      <w:pPr>
        <w:pStyle w:val="347"/>
        <w:numPr>
          <w:ilvl w:val="0"/>
          <w:numId w:val="4"/>
        </w:numPr>
        <w:spacing w:before="0" w:after="0" w:line="420" w:lineRule="exact"/>
        <w:rPr>
          <w:rStyle w:val="346"/>
          <w:rFonts w:ascii="宋体" w:hAnsi="宋体" w:eastAsia="宋体" w:cs="宋体"/>
          <w:color w:val="auto"/>
          <w:sz w:val="24"/>
          <w:szCs w:val="24"/>
          <w:highlight w:val="none"/>
        </w:rPr>
      </w:pPr>
      <w:bookmarkStart w:id="876" w:name="_Toc351203646"/>
      <w:bookmarkEnd w:id="876"/>
      <w:bookmarkStart w:id="877" w:name="_Toc20157"/>
      <w:bookmarkEnd w:id="877"/>
      <w:bookmarkStart w:id="878" w:name="_Toc373227758"/>
      <w:bookmarkEnd w:id="878"/>
      <w:bookmarkStart w:id="879" w:name="_Toc389065323"/>
      <w:bookmarkEnd w:id="879"/>
      <w:bookmarkStart w:id="880" w:name="_Toc373478405"/>
      <w:r>
        <w:rPr>
          <w:rStyle w:val="346"/>
          <w:rFonts w:hint="eastAsia" w:ascii="宋体" w:hAnsi="宋体" w:eastAsia="宋体" w:cs="宋体"/>
          <w:color w:val="auto"/>
          <w:sz w:val="24"/>
          <w:szCs w:val="24"/>
          <w:highlight w:val="none"/>
        </w:rPr>
        <w:t>竣工结算</w:t>
      </w:r>
      <w:bookmarkEnd w:id="880"/>
    </w:p>
    <w:p w14:paraId="025BC316">
      <w:pPr>
        <w:pStyle w:val="352"/>
        <w:spacing w:line="420" w:lineRule="exact"/>
        <w:rPr>
          <w:rStyle w:val="346"/>
          <w:rFonts w:ascii="宋体" w:hAnsi="宋体" w:eastAsia="宋体" w:cs="宋体"/>
          <w:color w:val="auto"/>
          <w:sz w:val="24"/>
          <w:szCs w:val="24"/>
          <w:highlight w:val="none"/>
        </w:rPr>
      </w:pPr>
      <w:bookmarkStart w:id="881" w:name="_Toc373478406"/>
      <w:bookmarkEnd w:id="881"/>
      <w:bookmarkStart w:id="882" w:name="_Toc7016"/>
      <w:bookmarkEnd w:id="882"/>
      <w:bookmarkStart w:id="883" w:name="_Toc373227759"/>
      <w:bookmarkEnd w:id="883"/>
      <w:bookmarkStart w:id="884" w:name="_Toc389065324"/>
      <w:r>
        <w:rPr>
          <w:rStyle w:val="346"/>
          <w:rFonts w:hint="eastAsia" w:ascii="宋体" w:hAnsi="宋体" w:eastAsia="宋体" w:cs="宋体"/>
          <w:color w:val="auto"/>
          <w:sz w:val="24"/>
          <w:szCs w:val="24"/>
          <w:highlight w:val="none"/>
        </w:rPr>
        <w:t xml:space="preserve">14.1 </w:t>
      </w:r>
      <w:bookmarkEnd w:id="884"/>
      <w:r>
        <w:rPr>
          <w:rStyle w:val="346"/>
          <w:rFonts w:hint="eastAsia" w:ascii="宋体" w:hAnsi="宋体" w:eastAsia="宋体" w:cs="宋体"/>
          <w:color w:val="auto"/>
          <w:sz w:val="24"/>
          <w:szCs w:val="24"/>
          <w:highlight w:val="none"/>
        </w:rPr>
        <w:t>竣工付款申请</w:t>
      </w:r>
    </w:p>
    <w:p w14:paraId="1557CB88">
      <w:pPr>
        <w:pStyle w:val="361"/>
        <w:spacing w:line="420" w:lineRule="exact"/>
        <w:ind w:firstLine="480" w:firstLineChars="200"/>
        <w:jc w:val="left"/>
        <w:rPr>
          <w:rStyle w:val="346"/>
          <w:rFonts w:ascii="宋体" w:hAnsi="宋体" w:cs="宋体"/>
          <w:color w:val="auto"/>
          <w:sz w:val="24"/>
          <w:szCs w:val="24"/>
          <w:highlight w:val="none"/>
        </w:rPr>
      </w:pPr>
      <w:bookmarkStart w:id="885" w:name="_Toc373478407"/>
      <w:bookmarkEnd w:id="885"/>
      <w:bookmarkStart w:id="886" w:name="_Toc389065325"/>
      <w:bookmarkEnd w:id="886"/>
      <w:bookmarkStart w:id="887" w:name="_Toc373227760"/>
      <w:r>
        <w:rPr>
          <w:rStyle w:val="346"/>
          <w:rFonts w:hint="eastAsia" w:ascii="宋体" w:hAnsi="宋体" w:cs="宋体"/>
          <w:color w:val="auto"/>
          <w:sz w:val="24"/>
          <w:szCs w:val="24"/>
          <w:highlight w:val="none"/>
        </w:rPr>
        <w:t>承包人提交竣工付款申请单的期限：</w:t>
      </w:r>
      <w:bookmarkEnd w:id="887"/>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工程竣工经双方核对并确认结算金额28日内承包人提交</w:t>
      </w:r>
      <w:r>
        <w:rPr>
          <w:rStyle w:val="346"/>
          <w:rFonts w:hint="eastAsia" w:ascii="宋体" w:hAnsi="宋体" w:cs="宋体"/>
          <w:color w:val="auto"/>
          <w:sz w:val="24"/>
          <w:szCs w:val="24"/>
          <w:highlight w:val="none"/>
        </w:rPr>
        <w:t>竣工付款申请单</w:t>
      </w:r>
      <w:r>
        <w:rPr>
          <w:rStyle w:val="346"/>
          <w:rFonts w:hint="eastAsia" w:ascii="宋体" w:hAnsi="宋体" w:cs="宋体"/>
          <w:b/>
          <w:bCs/>
          <w:color w:val="auto"/>
          <w:sz w:val="24"/>
          <w:szCs w:val="24"/>
          <w:highlight w:val="none"/>
          <w:u w:val="single"/>
        </w:rPr>
        <w:t>给发包人</w:t>
      </w:r>
      <w:r>
        <w:rPr>
          <w:rStyle w:val="346"/>
          <w:rFonts w:hint="eastAsia" w:ascii="宋体" w:hAnsi="宋体" w:cs="宋体"/>
          <w:color w:val="auto"/>
          <w:sz w:val="24"/>
          <w:szCs w:val="24"/>
          <w:highlight w:val="none"/>
        </w:rPr>
        <w:t>。</w:t>
      </w:r>
    </w:p>
    <w:p w14:paraId="6427DE26">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竣工付款申请单应包括的内容：</w:t>
      </w:r>
      <w:r>
        <w:rPr>
          <w:rStyle w:val="346"/>
          <w:rFonts w:hint="eastAsia" w:ascii="宋体" w:hAnsi="宋体" w:cs="宋体"/>
          <w:b/>
          <w:bCs/>
          <w:color w:val="auto"/>
          <w:sz w:val="24"/>
          <w:szCs w:val="24"/>
          <w:highlight w:val="none"/>
          <w:u w:val="single"/>
        </w:rPr>
        <w:t xml:space="preserve">合同、响应文件、工程量计算书、结算书、签证单、竣工图等发包人要求的结算审核资料 </w:t>
      </w:r>
      <w:r>
        <w:rPr>
          <w:rStyle w:val="346"/>
          <w:rFonts w:hint="eastAsia" w:ascii="宋体" w:hAnsi="宋体" w:cs="宋体"/>
          <w:color w:val="auto"/>
          <w:sz w:val="24"/>
          <w:szCs w:val="24"/>
          <w:highlight w:val="none"/>
        </w:rPr>
        <w:t>。竣工结算款支付申请（核准）表见合同附件12。</w:t>
      </w:r>
    </w:p>
    <w:p w14:paraId="6746E6A3">
      <w:pPr>
        <w:pStyle w:val="352"/>
        <w:spacing w:line="420" w:lineRule="exact"/>
        <w:rPr>
          <w:rStyle w:val="346"/>
          <w:rFonts w:hint="eastAsia" w:ascii="宋体" w:hAnsi="宋体" w:eastAsia="宋体" w:cs="宋体"/>
          <w:color w:val="auto"/>
          <w:sz w:val="24"/>
          <w:szCs w:val="24"/>
          <w:highlight w:val="none"/>
        </w:rPr>
      </w:pPr>
      <w:bookmarkStart w:id="888" w:name="_Toc5653"/>
      <w:bookmarkEnd w:id="888"/>
      <w:r>
        <w:rPr>
          <w:rStyle w:val="346"/>
          <w:rFonts w:hint="eastAsia" w:ascii="宋体" w:hAnsi="宋体" w:eastAsia="宋体" w:cs="宋体"/>
          <w:color w:val="auto"/>
          <w:sz w:val="24"/>
          <w:szCs w:val="24"/>
          <w:highlight w:val="none"/>
        </w:rPr>
        <w:t>14.2 竣工结算审核</w:t>
      </w:r>
    </w:p>
    <w:p w14:paraId="04EE1E5D">
      <w:pPr>
        <w:pStyle w:val="348"/>
        <w:spacing w:line="420" w:lineRule="exact"/>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 xml:space="preserve"> </w:t>
      </w:r>
      <w:r>
        <w:rPr>
          <w:rStyle w:val="346"/>
          <w:rFonts w:ascii="宋体" w:hAnsi="宋体" w:cs="宋体"/>
          <w:color w:val="auto"/>
          <w:sz w:val="24"/>
          <w:szCs w:val="24"/>
          <w:highlight w:val="none"/>
        </w:rPr>
        <w:t xml:space="preserve">  </w:t>
      </w:r>
      <w:r>
        <w:rPr>
          <w:rStyle w:val="346"/>
          <w:rFonts w:hint="eastAsia" w:ascii="宋体" w:hAnsi="宋体" w:cs="宋体"/>
          <w:color w:val="auto"/>
          <w:sz w:val="24"/>
          <w:szCs w:val="24"/>
          <w:highlight w:val="none"/>
        </w:rPr>
        <w:t>结算审核约定：</w:t>
      </w:r>
    </w:p>
    <w:p w14:paraId="733FF5F6">
      <w:pPr>
        <w:pStyle w:val="348"/>
        <w:spacing w:line="420" w:lineRule="exact"/>
        <w:ind w:firstLine="480" w:firstLineChars="200"/>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w:t>
      </w:r>
      <w:r>
        <w:rPr>
          <w:rStyle w:val="346"/>
          <w:rFonts w:ascii="宋体" w:hAnsi="宋体" w:cs="宋体"/>
          <w:color w:val="auto"/>
          <w:sz w:val="24"/>
          <w:szCs w:val="24"/>
          <w:highlight w:val="none"/>
        </w:rPr>
        <w:t>1）工程竣工验收后，发包人接到承包人提交的结算报告、完整结算资料提出结算审核意见，并由发包人或发包人委托的有资质的造价咨询机构与承包人进行核对。</w:t>
      </w:r>
    </w:p>
    <w:p w14:paraId="5FA58122">
      <w:pPr>
        <w:pStyle w:val="348"/>
        <w:spacing w:line="420" w:lineRule="exact"/>
        <w:ind w:firstLine="480" w:firstLineChars="200"/>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w:t>
      </w:r>
      <w:r>
        <w:rPr>
          <w:rStyle w:val="346"/>
          <w:rFonts w:ascii="宋体" w:hAnsi="宋体" w:cs="宋体"/>
          <w:color w:val="auto"/>
          <w:sz w:val="24"/>
          <w:szCs w:val="24"/>
          <w:highlight w:val="none"/>
        </w:rPr>
        <w:t>2）承包人逾期未提交完整、合格的结算资料，则发包人进行单方结算，发包人同时认为承包人放弃该阶段支付申请权利。</w:t>
      </w:r>
    </w:p>
    <w:p w14:paraId="26A82EF4">
      <w:pPr>
        <w:pStyle w:val="348"/>
        <w:spacing w:line="420" w:lineRule="exact"/>
        <w:ind w:firstLine="480" w:firstLineChars="200"/>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w:t>
      </w:r>
      <w:r>
        <w:rPr>
          <w:rStyle w:val="346"/>
          <w:rFonts w:ascii="宋体" w:hAnsi="宋体" w:cs="宋体"/>
          <w:color w:val="auto"/>
          <w:sz w:val="24"/>
          <w:szCs w:val="24"/>
          <w:highlight w:val="none"/>
        </w:rPr>
        <w:t>3）</w:t>
      </w:r>
      <w:r>
        <w:rPr>
          <w:rStyle w:val="346"/>
          <w:rFonts w:hint="eastAsia" w:ascii="宋体" w:hAnsi="宋体" w:cs="宋体"/>
          <w:color w:val="auto"/>
          <w:sz w:val="24"/>
          <w:szCs w:val="24"/>
          <w:highlight w:val="none"/>
        </w:rPr>
        <w:t>工程结算审核服务费</w:t>
      </w:r>
      <w:r>
        <w:rPr>
          <w:rStyle w:val="346"/>
          <w:rFonts w:ascii="宋体" w:hAnsi="宋体" w:cs="宋体"/>
          <w:color w:val="auto"/>
          <w:sz w:val="24"/>
          <w:szCs w:val="24"/>
          <w:highlight w:val="none"/>
        </w:rPr>
        <w:t>:工程结算以发包人或第三方审定为准。如承包人报送的工程竣工结算总价过高，造成该结算审减率超过5%以上，则超出5%以上部分的审核费，由承包人承担，费用由发包人从承包人工程结算款中扣除。计算公式如下：</w:t>
      </w:r>
    </w:p>
    <w:p w14:paraId="231996AD">
      <w:pPr>
        <w:pStyle w:val="348"/>
        <w:spacing w:line="420" w:lineRule="exact"/>
        <w:ind w:firstLine="480" w:firstLineChars="200"/>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审减率</w:t>
      </w:r>
      <w:r>
        <w:rPr>
          <w:rStyle w:val="346"/>
          <w:rFonts w:ascii="宋体" w:hAnsi="宋体" w:cs="宋体"/>
          <w:color w:val="auto"/>
          <w:sz w:val="24"/>
          <w:szCs w:val="24"/>
          <w:highlight w:val="none"/>
        </w:rPr>
        <w:t>=（送审造价-审定造价）/送审造价*100%</w:t>
      </w:r>
    </w:p>
    <w:p w14:paraId="115160D8">
      <w:pPr>
        <w:pStyle w:val="348"/>
        <w:spacing w:line="420" w:lineRule="exact"/>
        <w:ind w:firstLine="480" w:firstLineChars="200"/>
        <w:rPr>
          <w:rStyle w:val="346"/>
          <w:rFonts w:hint="eastAsia" w:ascii="宋体" w:hAnsi="宋体" w:cs="宋体"/>
          <w:color w:val="auto"/>
          <w:sz w:val="24"/>
          <w:szCs w:val="24"/>
          <w:highlight w:val="none"/>
        </w:rPr>
      </w:pPr>
      <w:r>
        <w:rPr>
          <w:rStyle w:val="346"/>
          <w:rFonts w:hint="eastAsia" w:ascii="宋体" w:hAnsi="宋体" w:cs="宋体"/>
          <w:color w:val="auto"/>
          <w:sz w:val="24"/>
          <w:szCs w:val="24"/>
          <w:highlight w:val="none"/>
        </w:rPr>
        <w:t>承包人应承担的审核费</w:t>
      </w:r>
      <w:r>
        <w:rPr>
          <w:rStyle w:val="346"/>
          <w:rFonts w:ascii="宋体" w:hAnsi="宋体" w:cs="宋体"/>
          <w:color w:val="auto"/>
          <w:sz w:val="24"/>
          <w:szCs w:val="24"/>
          <w:highlight w:val="none"/>
        </w:rPr>
        <w:t>=（净审减额-送审额*5%）*核减效益费率</w:t>
      </w:r>
    </w:p>
    <w:p w14:paraId="51C79F1B">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净审减额</w:t>
      </w:r>
      <w:r>
        <w:rPr>
          <w:rStyle w:val="346"/>
          <w:rFonts w:ascii="宋体" w:hAnsi="宋体" w:cs="宋体"/>
          <w:color w:val="auto"/>
          <w:sz w:val="24"/>
          <w:szCs w:val="24"/>
          <w:highlight w:val="none"/>
        </w:rPr>
        <w:t>=送审造价-审定造价</w:t>
      </w:r>
    </w:p>
    <w:p w14:paraId="260AD73B">
      <w:pPr>
        <w:pStyle w:val="348"/>
        <w:spacing w:line="420" w:lineRule="exact"/>
        <w:ind w:firstLine="480" w:firstLineChars="200"/>
        <w:rPr>
          <w:rStyle w:val="346"/>
          <w:rFonts w:ascii="宋体" w:hAnsi="宋体" w:cs="宋体"/>
          <w:color w:val="auto"/>
          <w:sz w:val="24"/>
          <w:szCs w:val="24"/>
          <w:highlight w:val="none"/>
        </w:rPr>
      </w:pPr>
      <w:r>
        <w:rPr>
          <w:rStyle w:val="346"/>
          <w:rFonts w:ascii="宋体" w:hAnsi="宋体" w:cs="宋体"/>
          <w:color w:val="auto"/>
          <w:sz w:val="24"/>
          <w:szCs w:val="24"/>
          <w:highlight w:val="none"/>
        </w:rPr>
        <w:t>核减效益费率根据</w:t>
      </w:r>
      <w:r>
        <w:rPr>
          <w:rStyle w:val="346"/>
          <w:rFonts w:hint="eastAsia" w:ascii="宋体" w:hAnsi="宋体" w:cs="宋体"/>
          <w:color w:val="auto"/>
          <w:sz w:val="24"/>
          <w:szCs w:val="24"/>
          <w:highlight w:val="none"/>
        </w:rPr>
        <w:t>《关于印发〈广西建设工程造价咨询服务行业收费参考标准〉的通知》（</w:t>
      </w:r>
      <w:r>
        <w:rPr>
          <w:rStyle w:val="346"/>
          <w:rFonts w:ascii="宋体" w:hAnsi="宋体" w:cs="宋体"/>
          <w:color w:val="auto"/>
          <w:sz w:val="24"/>
          <w:szCs w:val="24"/>
          <w:highlight w:val="none"/>
        </w:rPr>
        <w:t>桂价协字[2019]15号</w:t>
      </w:r>
      <w:r>
        <w:rPr>
          <w:rStyle w:val="346"/>
          <w:rFonts w:hint="eastAsia" w:ascii="宋体" w:hAnsi="宋体" w:cs="宋体"/>
          <w:color w:val="auto"/>
          <w:sz w:val="24"/>
          <w:szCs w:val="24"/>
          <w:highlight w:val="none"/>
        </w:rPr>
        <w:t>）</w:t>
      </w:r>
      <w:r>
        <w:rPr>
          <w:rStyle w:val="346"/>
          <w:rFonts w:ascii="宋体" w:hAnsi="宋体" w:cs="宋体"/>
          <w:color w:val="auto"/>
          <w:sz w:val="24"/>
          <w:szCs w:val="24"/>
          <w:highlight w:val="none"/>
        </w:rPr>
        <w:t>相关收费标准计取。</w:t>
      </w:r>
    </w:p>
    <w:p w14:paraId="2971482C">
      <w:pPr>
        <w:pStyle w:val="350"/>
        <w:rPr>
          <w:rFonts w:hint="eastAsia"/>
          <w:color w:val="auto"/>
          <w:highlight w:val="none"/>
        </w:rPr>
      </w:pPr>
    </w:p>
    <w:p w14:paraId="08EFA803">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发包人审批竣工付款申请单的期限：</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AF5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6D0D29B1">
            <w:pPr>
              <w:pStyle w:val="348"/>
              <w:spacing w:line="420" w:lineRule="exact"/>
              <w:rPr>
                <w:rStyle w:val="346"/>
                <w:rFonts w:ascii="宋体" w:hAnsi="宋体" w:cs="宋体"/>
                <w:color w:val="auto"/>
                <w:sz w:val="24"/>
                <w:szCs w:val="24"/>
                <w:highlight w:val="none"/>
              </w:rPr>
            </w:pPr>
          </w:p>
        </w:tc>
        <w:tc>
          <w:tcPr>
            <w:tcW w:w="2466" w:type="dxa"/>
            <w:tcBorders>
              <w:top w:val="single" w:color="auto" w:sz="4" w:space="0"/>
              <w:left w:val="nil"/>
              <w:bottom w:val="single" w:color="auto" w:sz="4" w:space="0"/>
              <w:right w:val="single" w:color="auto" w:sz="4" w:space="0"/>
            </w:tcBorders>
            <w:vAlign w:val="center"/>
          </w:tcPr>
          <w:p w14:paraId="2D056AC1">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工程竣工结算报告金额</w:t>
            </w:r>
          </w:p>
        </w:tc>
        <w:tc>
          <w:tcPr>
            <w:tcW w:w="5967" w:type="dxa"/>
            <w:tcBorders>
              <w:top w:val="single" w:color="auto" w:sz="4" w:space="0"/>
              <w:left w:val="nil"/>
              <w:bottom w:val="single" w:color="auto" w:sz="4" w:space="0"/>
              <w:right w:val="single" w:color="auto" w:sz="4" w:space="0"/>
            </w:tcBorders>
            <w:vAlign w:val="center"/>
          </w:tcPr>
          <w:p w14:paraId="43DD46E7">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发包人审查时间</w:t>
            </w:r>
          </w:p>
        </w:tc>
      </w:tr>
      <w:tr w14:paraId="184F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67E364FB">
            <w:pPr>
              <w:pStyle w:val="348"/>
              <w:spacing w:line="420" w:lineRule="exact"/>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w:t>
            </w:r>
          </w:p>
        </w:tc>
        <w:tc>
          <w:tcPr>
            <w:tcW w:w="2466" w:type="dxa"/>
            <w:tcBorders>
              <w:top w:val="single" w:color="auto" w:sz="4" w:space="0"/>
              <w:left w:val="nil"/>
              <w:bottom w:val="single" w:color="auto" w:sz="4" w:space="0"/>
              <w:right w:val="single" w:color="auto" w:sz="4" w:space="0"/>
            </w:tcBorders>
            <w:vAlign w:val="center"/>
          </w:tcPr>
          <w:p w14:paraId="19A5E088">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500万元以下</w:t>
            </w:r>
          </w:p>
        </w:tc>
        <w:tc>
          <w:tcPr>
            <w:tcW w:w="5967" w:type="dxa"/>
            <w:tcBorders>
              <w:top w:val="single" w:color="auto" w:sz="4" w:space="0"/>
              <w:left w:val="nil"/>
              <w:bottom w:val="single" w:color="auto" w:sz="4" w:space="0"/>
              <w:right w:val="single" w:color="auto" w:sz="4" w:space="0"/>
            </w:tcBorders>
            <w:vAlign w:val="center"/>
          </w:tcPr>
          <w:p w14:paraId="0BA371BD">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从接到竣工结算报告和完整的竣工结算资料之日起20天</w:t>
            </w:r>
          </w:p>
        </w:tc>
      </w:tr>
      <w:tr w14:paraId="205A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2D86CCEA">
            <w:pPr>
              <w:pStyle w:val="348"/>
              <w:spacing w:line="420" w:lineRule="exact"/>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w:t>
            </w:r>
          </w:p>
        </w:tc>
        <w:tc>
          <w:tcPr>
            <w:tcW w:w="2466" w:type="dxa"/>
            <w:tcBorders>
              <w:top w:val="single" w:color="auto" w:sz="4" w:space="0"/>
              <w:left w:val="nil"/>
              <w:bottom w:val="single" w:color="auto" w:sz="4" w:space="0"/>
              <w:right w:val="single" w:color="auto" w:sz="4" w:space="0"/>
            </w:tcBorders>
            <w:vAlign w:val="center"/>
          </w:tcPr>
          <w:p w14:paraId="276FEB80">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500万元-2000万元</w:t>
            </w:r>
          </w:p>
        </w:tc>
        <w:tc>
          <w:tcPr>
            <w:tcW w:w="5967" w:type="dxa"/>
            <w:tcBorders>
              <w:top w:val="single" w:color="auto" w:sz="4" w:space="0"/>
              <w:left w:val="nil"/>
              <w:bottom w:val="single" w:color="auto" w:sz="4" w:space="0"/>
              <w:right w:val="single" w:color="auto" w:sz="4" w:space="0"/>
            </w:tcBorders>
            <w:vAlign w:val="center"/>
          </w:tcPr>
          <w:p w14:paraId="0BAA53B6">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从接到竣工结算报告和完整的竣工结算资料之日起30天</w:t>
            </w:r>
          </w:p>
        </w:tc>
      </w:tr>
      <w:tr w14:paraId="097B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DC38BD4">
            <w:pPr>
              <w:pStyle w:val="348"/>
              <w:spacing w:line="420" w:lineRule="exact"/>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3</w:t>
            </w:r>
          </w:p>
        </w:tc>
        <w:tc>
          <w:tcPr>
            <w:tcW w:w="2466" w:type="dxa"/>
            <w:tcBorders>
              <w:top w:val="single" w:color="auto" w:sz="4" w:space="0"/>
              <w:left w:val="nil"/>
              <w:bottom w:val="single" w:color="auto" w:sz="4" w:space="0"/>
              <w:right w:val="single" w:color="auto" w:sz="4" w:space="0"/>
            </w:tcBorders>
            <w:vAlign w:val="center"/>
          </w:tcPr>
          <w:p w14:paraId="11D8232D">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2000万元-5000万元</w:t>
            </w:r>
          </w:p>
        </w:tc>
        <w:tc>
          <w:tcPr>
            <w:tcW w:w="5967" w:type="dxa"/>
            <w:tcBorders>
              <w:top w:val="single" w:color="auto" w:sz="4" w:space="0"/>
              <w:left w:val="nil"/>
              <w:bottom w:val="single" w:color="auto" w:sz="4" w:space="0"/>
              <w:right w:val="single" w:color="auto" w:sz="4" w:space="0"/>
            </w:tcBorders>
            <w:vAlign w:val="center"/>
          </w:tcPr>
          <w:p w14:paraId="2BCA430D">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从接到竣工结算报告和完整的竣工结算资料之日起45天</w:t>
            </w:r>
          </w:p>
        </w:tc>
      </w:tr>
      <w:tr w14:paraId="2BB8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50642746">
            <w:pPr>
              <w:pStyle w:val="348"/>
              <w:spacing w:line="420" w:lineRule="exact"/>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4</w:t>
            </w:r>
          </w:p>
        </w:tc>
        <w:tc>
          <w:tcPr>
            <w:tcW w:w="2466" w:type="dxa"/>
            <w:tcBorders>
              <w:top w:val="single" w:color="auto" w:sz="4" w:space="0"/>
              <w:left w:val="nil"/>
              <w:bottom w:val="single" w:color="auto" w:sz="4" w:space="0"/>
              <w:right w:val="single" w:color="auto" w:sz="4" w:space="0"/>
            </w:tcBorders>
            <w:vAlign w:val="center"/>
          </w:tcPr>
          <w:p w14:paraId="2D4386B1">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5000万元以上</w:t>
            </w:r>
          </w:p>
        </w:tc>
        <w:tc>
          <w:tcPr>
            <w:tcW w:w="5967" w:type="dxa"/>
            <w:tcBorders>
              <w:top w:val="single" w:color="auto" w:sz="4" w:space="0"/>
              <w:left w:val="nil"/>
              <w:bottom w:val="single" w:color="auto" w:sz="4" w:space="0"/>
              <w:right w:val="single" w:color="auto" w:sz="4" w:space="0"/>
            </w:tcBorders>
            <w:vAlign w:val="center"/>
          </w:tcPr>
          <w:p w14:paraId="1292FB1C">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从接到竣工结算报告和完整的竣工结算资料之日起60天</w:t>
            </w:r>
          </w:p>
        </w:tc>
      </w:tr>
      <w:tr w14:paraId="78E4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53BA2AE9">
            <w:pPr>
              <w:pStyle w:val="348"/>
              <w:spacing w:line="420" w:lineRule="exact"/>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w:t>
            </w:r>
          </w:p>
        </w:tc>
        <w:tc>
          <w:tcPr>
            <w:tcW w:w="2466" w:type="dxa"/>
            <w:tcBorders>
              <w:top w:val="single" w:color="auto" w:sz="4" w:space="0"/>
              <w:left w:val="nil"/>
              <w:bottom w:val="single" w:color="auto" w:sz="4" w:space="0"/>
              <w:right w:val="single" w:color="auto" w:sz="4" w:space="0"/>
            </w:tcBorders>
            <w:vAlign w:val="center"/>
          </w:tcPr>
          <w:p w14:paraId="280D0ECD">
            <w:pPr>
              <w:pStyle w:val="348"/>
              <w:spacing w:line="420" w:lineRule="exact"/>
              <w:ind w:firstLine="31" w:firstLineChars="13"/>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5000万以上每增加0.5亿(不足0.5亿不增加)</w:t>
            </w:r>
          </w:p>
        </w:tc>
        <w:tc>
          <w:tcPr>
            <w:tcW w:w="5967" w:type="dxa"/>
            <w:tcBorders>
              <w:top w:val="single" w:color="auto" w:sz="4" w:space="0"/>
              <w:left w:val="nil"/>
              <w:bottom w:val="single" w:color="auto" w:sz="4" w:space="0"/>
              <w:right w:val="single" w:color="auto" w:sz="4" w:space="0"/>
            </w:tcBorders>
            <w:vAlign w:val="center"/>
          </w:tcPr>
          <w:p w14:paraId="17FDA65E">
            <w:pPr>
              <w:pStyle w:val="348"/>
              <w:spacing w:line="420" w:lineRule="exact"/>
              <w:ind w:firstLine="504" w:firstLineChars="210"/>
              <w:jc w:val="center"/>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增加10天</w:t>
            </w:r>
          </w:p>
        </w:tc>
      </w:tr>
    </w:tbl>
    <w:p w14:paraId="61CA0287">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因承包人提供的结算资料不完整而需要补充或承包人不按时对账耽误时间时，审查时间应相应顺延。</w:t>
      </w:r>
    </w:p>
    <w:p w14:paraId="1DCFDFF8">
      <w:pPr>
        <w:pStyle w:val="348"/>
        <w:spacing w:line="420" w:lineRule="exact"/>
        <w:ind w:firstLine="470" w:firstLineChars="196"/>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竣工结算审核约定：</w:t>
      </w:r>
    </w:p>
    <w:p w14:paraId="4ACFE849">
      <w:pPr>
        <w:spacing w:line="420" w:lineRule="exact"/>
        <w:ind w:firstLine="470" w:firstLineChars="196"/>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非国有投资项目：</w:t>
      </w:r>
      <w:r>
        <w:rPr>
          <w:rFonts w:hint="eastAsia" w:ascii="宋体" w:hAnsi="宋体" w:eastAsia="宋体" w:cs="宋体"/>
          <w:bCs/>
          <w:color w:val="auto"/>
          <w:sz w:val="24"/>
          <w:highlight w:val="none"/>
          <w:u w:val="single"/>
        </w:rPr>
        <w:t>1、工程竣工验收报告经发包人认可后20天内，承包人向发包人递交竣工验收合格资料及完整的结算资料和报告，双方按照协议书约定的合同价款及专用条款约定的合同价调整内容，进行工程竣工结算。2、发包人收到承包人递交的竣工结算报告及结算资料之日起20天内进行审核，给予确认或者提出初审意见。发包人逾期不予审定结算的视为发包人已同意上述竣工结算报告及结算资料，并以此作为最终结算的依据。承包人应根据发包人的需要随时将竣工工程交付发包人。</w:t>
      </w:r>
    </w:p>
    <w:p w14:paraId="250F2564">
      <w:pPr>
        <w:pStyle w:val="348"/>
        <w:spacing w:line="420" w:lineRule="exact"/>
        <w:ind w:firstLine="470" w:firstLineChars="196"/>
        <w:rPr>
          <w:rStyle w:val="346"/>
          <w:rFonts w:ascii="宋体" w:hAnsi="宋体" w:cs="宋体"/>
          <w:color w:val="auto"/>
          <w:sz w:val="24"/>
          <w:szCs w:val="24"/>
          <w:highlight w:val="none"/>
        </w:rPr>
      </w:pPr>
      <w:r>
        <w:rPr>
          <w:rFonts w:hint="eastAsia" w:ascii="宋体" w:hAnsi="宋体" w:cs="宋体"/>
          <w:bCs/>
          <w:color w:val="auto"/>
          <w:sz w:val="24"/>
          <w:szCs w:val="24"/>
          <w:highlight w:val="none"/>
        </w:rPr>
        <w:t>国有投资项目：</w:t>
      </w:r>
      <w:r>
        <w:rPr>
          <w:rFonts w:hint="eastAsia" w:ascii="宋体" w:hAnsi="宋体" w:cs="宋体"/>
          <w:bCs/>
          <w:color w:val="auto"/>
          <w:sz w:val="24"/>
          <w:szCs w:val="24"/>
          <w:highlight w:val="none"/>
          <w:u w:val="single"/>
        </w:rPr>
        <w:t xml:space="preserve">（双方结合各地政府或有关部门管理规定进行局部调整）  </w:t>
      </w:r>
    </w:p>
    <w:p w14:paraId="511A443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发包人完成竣工付款的期限：</w:t>
      </w:r>
      <w:r>
        <w:rPr>
          <w:rStyle w:val="346"/>
          <w:rFonts w:hint="eastAsia" w:ascii="宋体" w:hAnsi="宋体" w:cs="宋体"/>
          <w:b/>
          <w:bCs/>
          <w:color w:val="auto"/>
          <w:sz w:val="24"/>
          <w:szCs w:val="24"/>
          <w:highlight w:val="none"/>
          <w:u w:val="single"/>
        </w:rPr>
        <w:t xml:space="preserve">      56天内     </w:t>
      </w:r>
      <w:r>
        <w:rPr>
          <w:rStyle w:val="346"/>
          <w:rFonts w:hint="eastAsia" w:ascii="宋体" w:hAnsi="宋体" w:cs="宋体"/>
          <w:color w:val="auto"/>
          <w:sz w:val="24"/>
          <w:szCs w:val="24"/>
          <w:highlight w:val="none"/>
        </w:rPr>
        <w:t>。</w:t>
      </w:r>
    </w:p>
    <w:p w14:paraId="77B8F355">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关于竣工付款证书异议部分复核的方式和程序：</w:t>
      </w:r>
      <w:r>
        <w:rPr>
          <w:rStyle w:val="346"/>
          <w:rFonts w:hint="eastAsia" w:ascii="宋体" w:hAnsi="宋体" w:cs="宋体"/>
          <w:color w:val="auto"/>
          <w:sz w:val="24"/>
          <w:szCs w:val="24"/>
          <w:highlight w:val="none"/>
          <w:u w:val="single"/>
        </w:rPr>
        <w:t xml:space="preserve">发包人与承包人协商解决 </w:t>
      </w:r>
      <w:r>
        <w:rPr>
          <w:rStyle w:val="346"/>
          <w:rFonts w:hint="eastAsia" w:ascii="宋体" w:hAnsi="宋体" w:cs="宋体"/>
          <w:color w:val="auto"/>
          <w:sz w:val="24"/>
          <w:szCs w:val="24"/>
          <w:highlight w:val="none"/>
        </w:rPr>
        <w:t>。</w:t>
      </w:r>
    </w:p>
    <w:p w14:paraId="0D5C0AE7">
      <w:pPr>
        <w:pStyle w:val="352"/>
        <w:spacing w:line="420" w:lineRule="exact"/>
        <w:rPr>
          <w:rStyle w:val="346"/>
          <w:rFonts w:ascii="宋体" w:hAnsi="宋体" w:eastAsia="宋体" w:cs="宋体"/>
          <w:color w:val="auto"/>
          <w:sz w:val="24"/>
          <w:szCs w:val="24"/>
          <w:highlight w:val="none"/>
        </w:rPr>
      </w:pPr>
      <w:bookmarkStart w:id="889" w:name="_Toc373227761"/>
      <w:bookmarkEnd w:id="889"/>
      <w:bookmarkStart w:id="890" w:name="_Toc389065326"/>
      <w:bookmarkEnd w:id="890"/>
      <w:bookmarkStart w:id="891" w:name="_Toc28081"/>
      <w:bookmarkEnd w:id="891"/>
      <w:bookmarkStart w:id="892" w:name="_Toc373478408"/>
      <w:r>
        <w:rPr>
          <w:rStyle w:val="346"/>
          <w:rFonts w:hint="eastAsia" w:ascii="宋体" w:hAnsi="宋体" w:eastAsia="宋体" w:cs="宋体"/>
          <w:color w:val="auto"/>
          <w:sz w:val="24"/>
          <w:szCs w:val="24"/>
          <w:highlight w:val="none"/>
        </w:rPr>
        <w:t xml:space="preserve">14.4 </w:t>
      </w:r>
      <w:bookmarkEnd w:id="892"/>
      <w:r>
        <w:rPr>
          <w:rStyle w:val="346"/>
          <w:rFonts w:hint="eastAsia" w:ascii="宋体" w:hAnsi="宋体" w:eastAsia="宋体" w:cs="宋体"/>
          <w:color w:val="auto"/>
          <w:sz w:val="24"/>
          <w:szCs w:val="24"/>
          <w:highlight w:val="none"/>
        </w:rPr>
        <w:t>最终结清</w:t>
      </w:r>
    </w:p>
    <w:p w14:paraId="1F1AFFAF">
      <w:pPr>
        <w:pStyle w:val="348"/>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14.4.1 最终结清申请单</w:t>
      </w:r>
    </w:p>
    <w:p w14:paraId="69CFA627">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承包人提交最终结清申请单的份数：</w:t>
      </w:r>
      <w:r>
        <w:rPr>
          <w:rStyle w:val="346"/>
          <w:rFonts w:hint="eastAsia" w:ascii="宋体" w:hAnsi="宋体" w:cs="宋体"/>
          <w:color w:val="auto"/>
          <w:sz w:val="24"/>
          <w:szCs w:val="24"/>
          <w:highlight w:val="none"/>
          <w:u w:val="single"/>
        </w:rPr>
        <w:t>4份</w:t>
      </w:r>
      <w:r>
        <w:rPr>
          <w:rStyle w:val="346"/>
          <w:rFonts w:hint="eastAsia" w:ascii="宋体" w:hAnsi="宋体" w:cs="宋体"/>
          <w:color w:val="auto"/>
          <w:sz w:val="24"/>
          <w:szCs w:val="24"/>
          <w:highlight w:val="none"/>
        </w:rPr>
        <w:t>。</w:t>
      </w:r>
    </w:p>
    <w:p w14:paraId="5E260E3E">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kern w:val="0"/>
          <w:sz w:val="24"/>
          <w:szCs w:val="24"/>
          <w:highlight w:val="none"/>
        </w:rPr>
        <w:t>承包人提交最终结算申请单的期限：</w:t>
      </w:r>
      <w:r>
        <w:rPr>
          <w:rStyle w:val="346"/>
          <w:rFonts w:hint="eastAsia" w:ascii="宋体" w:hAnsi="宋体" w:cs="宋体"/>
          <w:b/>
          <w:bCs/>
          <w:color w:val="auto"/>
          <w:sz w:val="24"/>
          <w:szCs w:val="24"/>
          <w:highlight w:val="none"/>
          <w:u w:val="single"/>
        </w:rPr>
        <w:t>按通用合同条款14.4.1执行</w:t>
      </w:r>
      <w:r>
        <w:rPr>
          <w:rStyle w:val="346"/>
          <w:rFonts w:hint="eastAsia" w:ascii="宋体" w:hAnsi="宋体" w:cs="宋体"/>
          <w:color w:val="auto"/>
          <w:sz w:val="24"/>
          <w:szCs w:val="24"/>
          <w:highlight w:val="none"/>
        </w:rPr>
        <w:t xml:space="preserve">。 </w:t>
      </w:r>
    </w:p>
    <w:p w14:paraId="74FD45D3">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14.4.2 最终结清证书和支付</w:t>
      </w:r>
    </w:p>
    <w:p w14:paraId="336C9FAC">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（1）发包人完成最终结清申请单的审批并颁发最终结清证书的期限：</w:t>
      </w:r>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按通用合同条款14.4.2执行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936523D">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（2）发包人完成支付的期限：</w:t>
      </w:r>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按通用合同条款14.4.2执行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63FDD64F">
      <w:pPr>
        <w:pStyle w:val="347"/>
        <w:spacing w:before="0" w:after="0" w:line="420" w:lineRule="exact"/>
        <w:rPr>
          <w:rStyle w:val="346"/>
          <w:rFonts w:ascii="宋体" w:hAnsi="宋体" w:eastAsia="宋体" w:cs="宋体"/>
          <w:color w:val="auto"/>
          <w:sz w:val="24"/>
          <w:szCs w:val="24"/>
          <w:highlight w:val="none"/>
        </w:rPr>
      </w:pPr>
      <w:bookmarkStart w:id="893" w:name="_Toc373478409"/>
      <w:bookmarkEnd w:id="893"/>
      <w:bookmarkStart w:id="894" w:name="_Toc267251490"/>
      <w:bookmarkEnd w:id="894"/>
      <w:bookmarkStart w:id="895" w:name="_Toc267251504"/>
      <w:bookmarkEnd w:id="895"/>
      <w:bookmarkStart w:id="896" w:name="_Toc267251493"/>
      <w:bookmarkEnd w:id="896"/>
      <w:bookmarkStart w:id="897" w:name="_Toc267251488"/>
      <w:bookmarkEnd w:id="897"/>
      <w:bookmarkStart w:id="898" w:name="_Toc267251485"/>
      <w:bookmarkEnd w:id="898"/>
      <w:bookmarkStart w:id="899" w:name="_Toc267251495"/>
      <w:bookmarkEnd w:id="899"/>
      <w:bookmarkStart w:id="900" w:name="_Toc267251483"/>
      <w:bookmarkEnd w:id="900"/>
      <w:bookmarkStart w:id="901" w:name="_Toc267251482"/>
      <w:bookmarkEnd w:id="901"/>
      <w:bookmarkStart w:id="902" w:name="_Toc267251506"/>
      <w:bookmarkEnd w:id="902"/>
      <w:bookmarkStart w:id="903" w:name="_Toc267251486"/>
      <w:bookmarkEnd w:id="903"/>
      <w:bookmarkStart w:id="904" w:name="_Toc267251491"/>
      <w:bookmarkEnd w:id="904"/>
      <w:bookmarkStart w:id="905" w:name="_Toc267251508"/>
      <w:bookmarkEnd w:id="905"/>
      <w:bookmarkStart w:id="906" w:name="_Toc351203647"/>
      <w:bookmarkEnd w:id="906"/>
      <w:bookmarkStart w:id="907" w:name="_Toc267251507"/>
      <w:bookmarkEnd w:id="907"/>
      <w:bookmarkStart w:id="908" w:name="_Toc267251497"/>
      <w:bookmarkEnd w:id="908"/>
      <w:bookmarkStart w:id="909" w:name="_Toc267251499"/>
      <w:bookmarkEnd w:id="909"/>
      <w:bookmarkStart w:id="910" w:name="_Toc373227762"/>
      <w:bookmarkEnd w:id="910"/>
      <w:bookmarkStart w:id="911" w:name="_Toc267251503"/>
      <w:bookmarkEnd w:id="911"/>
      <w:bookmarkStart w:id="912" w:name="_Toc267251502"/>
      <w:bookmarkEnd w:id="912"/>
      <w:bookmarkStart w:id="913" w:name="_Toc267251501"/>
      <w:bookmarkEnd w:id="913"/>
      <w:bookmarkStart w:id="914" w:name="_Toc267251496"/>
      <w:bookmarkEnd w:id="914"/>
      <w:bookmarkStart w:id="915" w:name="_Toc267251498"/>
      <w:bookmarkEnd w:id="915"/>
      <w:bookmarkStart w:id="916" w:name="_Toc267251494"/>
      <w:bookmarkEnd w:id="916"/>
      <w:bookmarkStart w:id="917" w:name="_Toc267251489"/>
      <w:bookmarkEnd w:id="917"/>
      <w:bookmarkStart w:id="918" w:name="_Toc4833"/>
      <w:bookmarkEnd w:id="918"/>
      <w:bookmarkStart w:id="919" w:name="_Toc267251484"/>
      <w:bookmarkEnd w:id="919"/>
      <w:bookmarkStart w:id="920" w:name="_Toc389065327"/>
      <w:bookmarkEnd w:id="920"/>
      <w:bookmarkStart w:id="921" w:name="_Toc267251492"/>
      <w:bookmarkEnd w:id="921"/>
      <w:r>
        <w:rPr>
          <w:rStyle w:val="346"/>
          <w:rFonts w:hint="eastAsia" w:ascii="宋体" w:hAnsi="宋体" w:eastAsia="宋体" w:cs="宋体"/>
          <w:color w:val="auto"/>
          <w:sz w:val="24"/>
          <w:szCs w:val="24"/>
          <w:highlight w:val="none"/>
        </w:rPr>
        <w:t>15. 缺陷责任期与保修</w:t>
      </w:r>
    </w:p>
    <w:p w14:paraId="1C1380F9">
      <w:pPr>
        <w:pStyle w:val="352"/>
        <w:spacing w:line="420" w:lineRule="exact"/>
        <w:rPr>
          <w:rStyle w:val="346"/>
          <w:rFonts w:ascii="宋体" w:hAnsi="宋体" w:eastAsia="宋体" w:cs="宋体"/>
          <w:color w:val="auto"/>
          <w:sz w:val="24"/>
          <w:szCs w:val="24"/>
          <w:highlight w:val="none"/>
        </w:rPr>
      </w:pPr>
      <w:bookmarkStart w:id="922" w:name="_Toc373478410"/>
      <w:bookmarkEnd w:id="922"/>
      <w:bookmarkStart w:id="923" w:name="_Toc389065328"/>
      <w:bookmarkEnd w:id="923"/>
      <w:bookmarkStart w:id="924" w:name="_Toc373227763"/>
      <w:bookmarkEnd w:id="924"/>
      <w:bookmarkStart w:id="925" w:name="_Toc22134"/>
      <w:r>
        <w:rPr>
          <w:rStyle w:val="346"/>
          <w:rFonts w:hint="eastAsia" w:ascii="宋体" w:hAnsi="宋体" w:eastAsia="宋体" w:cs="宋体"/>
          <w:color w:val="auto"/>
          <w:sz w:val="24"/>
          <w:szCs w:val="24"/>
          <w:highlight w:val="none"/>
        </w:rPr>
        <w:t>15.2</w:t>
      </w:r>
      <w:bookmarkEnd w:id="925"/>
      <w:r>
        <w:rPr>
          <w:rStyle w:val="346"/>
          <w:rFonts w:hint="eastAsia" w:ascii="宋体" w:hAnsi="宋体" w:eastAsia="宋体" w:cs="宋体"/>
          <w:color w:val="auto"/>
          <w:sz w:val="24"/>
          <w:szCs w:val="24"/>
          <w:highlight w:val="none"/>
        </w:rPr>
        <w:t xml:space="preserve"> 缺陷责任期</w:t>
      </w:r>
    </w:p>
    <w:p w14:paraId="334795FE">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缺陷责任期的具体期限：</w:t>
      </w:r>
      <w:r>
        <w:rPr>
          <w:rStyle w:val="346"/>
          <w:rFonts w:hint="eastAsia" w:ascii="宋体" w:hAnsi="宋体" w:cs="宋体"/>
          <w:color w:val="auto"/>
          <w:sz w:val="24"/>
          <w:szCs w:val="24"/>
          <w:highlight w:val="none"/>
          <w:u w:val="single"/>
        </w:rPr>
        <w:t xml:space="preserve"> 24个月 </w:t>
      </w:r>
      <w:r>
        <w:rPr>
          <w:rStyle w:val="346"/>
          <w:rFonts w:hint="eastAsia" w:ascii="宋体" w:hAnsi="宋体" w:cs="宋体"/>
          <w:color w:val="auto"/>
          <w:sz w:val="24"/>
          <w:szCs w:val="24"/>
          <w:highlight w:val="none"/>
        </w:rPr>
        <w:t>。</w:t>
      </w:r>
    </w:p>
    <w:p w14:paraId="5C51FA54">
      <w:pPr>
        <w:pStyle w:val="352"/>
        <w:spacing w:line="420" w:lineRule="exact"/>
        <w:rPr>
          <w:rStyle w:val="346"/>
          <w:rFonts w:ascii="宋体" w:hAnsi="宋体" w:eastAsia="宋体" w:cs="宋体"/>
          <w:color w:val="auto"/>
          <w:sz w:val="24"/>
          <w:szCs w:val="24"/>
          <w:highlight w:val="none"/>
        </w:rPr>
      </w:pPr>
      <w:bookmarkStart w:id="926" w:name="_Toc373478411"/>
      <w:bookmarkEnd w:id="926"/>
      <w:bookmarkStart w:id="927" w:name="_Toc389065329"/>
      <w:bookmarkEnd w:id="927"/>
      <w:bookmarkStart w:id="928" w:name="_Toc3258"/>
      <w:bookmarkEnd w:id="928"/>
      <w:bookmarkStart w:id="929" w:name="_Toc373227764"/>
      <w:r>
        <w:rPr>
          <w:rStyle w:val="346"/>
          <w:rFonts w:hint="eastAsia" w:ascii="宋体" w:hAnsi="宋体" w:eastAsia="宋体" w:cs="宋体"/>
          <w:color w:val="auto"/>
          <w:sz w:val="24"/>
          <w:szCs w:val="24"/>
          <w:highlight w:val="none"/>
        </w:rPr>
        <w:t xml:space="preserve">15.3 </w:t>
      </w:r>
      <w:bookmarkEnd w:id="929"/>
      <w:r>
        <w:rPr>
          <w:rStyle w:val="346"/>
          <w:rFonts w:hint="eastAsia" w:ascii="宋体" w:hAnsi="宋体" w:eastAsia="宋体" w:cs="宋体"/>
          <w:color w:val="auto"/>
          <w:sz w:val="24"/>
          <w:szCs w:val="24"/>
          <w:highlight w:val="none"/>
        </w:rPr>
        <w:t>质量保证金</w:t>
      </w:r>
    </w:p>
    <w:p w14:paraId="4FFD462D">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关于是否扣留质量保证金的约定：</w:t>
      </w:r>
      <w:r>
        <w:rPr>
          <w:rStyle w:val="346"/>
          <w:rFonts w:hint="eastAsia" w:ascii="宋体" w:hAnsi="宋体" w:cs="宋体"/>
          <w:color w:val="auto"/>
          <w:sz w:val="24"/>
          <w:szCs w:val="24"/>
          <w:highlight w:val="none"/>
          <w:u w:val="single"/>
        </w:rPr>
        <w:t xml:space="preserve"> 是   </w:t>
      </w:r>
      <w:r>
        <w:rPr>
          <w:rStyle w:val="346"/>
          <w:rFonts w:hint="eastAsia" w:ascii="宋体" w:hAnsi="宋体" w:cs="宋体"/>
          <w:color w:val="auto"/>
          <w:sz w:val="24"/>
          <w:szCs w:val="24"/>
          <w:highlight w:val="none"/>
        </w:rPr>
        <w:t>。</w:t>
      </w:r>
    </w:p>
    <w:p w14:paraId="427A0823">
      <w:pPr>
        <w:pStyle w:val="348"/>
        <w:spacing w:line="420" w:lineRule="exact"/>
        <w:ind w:firstLine="480" w:firstLineChars="200"/>
        <w:jc w:val="left"/>
        <w:outlineLvl w:val="3"/>
        <w:rPr>
          <w:rStyle w:val="346"/>
          <w:rFonts w:ascii="宋体" w:hAnsi="宋体" w:cs="宋体"/>
          <w:color w:val="auto"/>
          <w:sz w:val="24"/>
          <w:szCs w:val="24"/>
          <w:highlight w:val="none"/>
        </w:rPr>
      </w:pPr>
      <w:bookmarkStart w:id="930" w:name="_Toc7980"/>
      <w:r>
        <w:rPr>
          <w:rStyle w:val="346"/>
          <w:rFonts w:hint="eastAsia" w:ascii="宋体" w:hAnsi="宋体" w:cs="宋体"/>
          <w:color w:val="auto"/>
          <w:sz w:val="24"/>
          <w:szCs w:val="24"/>
          <w:highlight w:val="none"/>
        </w:rPr>
        <w:t>15.3.1 承包人提供质量保证金的方式</w:t>
      </w:r>
      <w:bookmarkEnd w:id="930"/>
    </w:p>
    <w:p w14:paraId="5E96EDBF">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质量保证金采用以下第</w:t>
      </w:r>
      <w:r>
        <w:rPr>
          <w:rStyle w:val="346"/>
          <w:rFonts w:hint="eastAsia" w:ascii="宋体" w:hAnsi="宋体" w:cs="宋体"/>
          <w:color w:val="auto"/>
          <w:sz w:val="24"/>
          <w:szCs w:val="24"/>
          <w:highlight w:val="none"/>
          <w:u w:val="single"/>
        </w:rPr>
        <w:t xml:space="preserve">  （2）   </w:t>
      </w:r>
      <w:r>
        <w:rPr>
          <w:rStyle w:val="346"/>
          <w:rFonts w:hint="eastAsia" w:ascii="宋体" w:hAnsi="宋体" w:cs="宋体"/>
          <w:color w:val="auto"/>
          <w:sz w:val="24"/>
          <w:szCs w:val="24"/>
          <w:highlight w:val="none"/>
        </w:rPr>
        <w:t>种方式：</w:t>
      </w:r>
    </w:p>
    <w:p w14:paraId="5F2B99B8">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（1）质量保证金保函，保证金额为：</w:t>
      </w:r>
      <w:r>
        <w:rPr>
          <w:rStyle w:val="346"/>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工程价款结算总额的3 %</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color w:val="auto"/>
          <w:kern w:val="0"/>
          <w:sz w:val="24"/>
          <w:szCs w:val="24"/>
          <w:highlight w:val="none"/>
        </w:rPr>
        <w:t>；</w:t>
      </w:r>
    </w:p>
    <w:p w14:paraId="26B4FFD0">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w:t>
      </w:r>
      <w:r>
        <w:rPr>
          <w:rStyle w:val="346"/>
          <w:rFonts w:hint="eastAsia" w:ascii="宋体" w:hAnsi="宋体" w:cs="宋体"/>
          <w:color w:val="auto"/>
          <w:sz w:val="24"/>
          <w:szCs w:val="24"/>
          <w:highlight w:val="none"/>
        </w:rPr>
        <w:t>发包人按工程价款结算总额的</w:t>
      </w:r>
      <w:r>
        <w:rPr>
          <w:rStyle w:val="346"/>
          <w:rFonts w:hint="eastAsia" w:ascii="宋体" w:hAnsi="宋体" w:cs="宋体"/>
          <w:color w:val="auto"/>
          <w:sz w:val="24"/>
          <w:szCs w:val="24"/>
          <w:highlight w:val="none"/>
          <w:u w:val="single"/>
        </w:rPr>
        <w:t xml:space="preserve"> 3  </w:t>
      </w:r>
      <w:r>
        <w:rPr>
          <w:rStyle w:val="346"/>
          <w:rFonts w:hint="eastAsia" w:ascii="宋体" w:hAnsi="宋体" w:cs="宋体"/>
          <w:color w:val="auto"/>
          <w:sz w:val="24"/>
          <w:szCs w:val="24"/>
          <w:highlight w:val="none"/>
        </w:rPr>
        <w:t>%（不得超过3%）预留工程质量保修金，待缺陷责任期满后返还，是否付息及利息计算方式为：</w:t>
      </w:r>
      <w:r>
        <w:rPr>
          <w:rStyle w:val="346"/>
          <w:rFonts w:hint="eastAsia" w:ascii="宋体" w:hAnsi="宋体" w:cs="宋体"/>
          <w:color w:val="auto"/>
          <w:sz w:val="24"/>
          <w:szCs w:val="24"/>
          <w:highlight w:val="none"/>
          <w:u w:val="single"/>
        </w:rPr>
        <w:t xml:space="preserve"> 无息返还 </w:t>
      </w:r>
      <w:r>
        <w:rPr>
          <w:rStyle w:val="346"/>
          <w:rFonts w:hint="eastAsia" w:ascii="宋体" w:hAnsi="宋体" w:cs="宋体"/>
          <w:color w:val="auto"/>
          <w:kern w:val="0"/>
          <w:sz w:val="24"/>
          <w:szCs w:val="24"/>
          <w:highlight w:val="none"/>
        </w:rPr>
        <w:t>；</w:t>
      </w:r>
    </w:p>
    <w:p w14:paraId="08C68B7C">
      <w:pPr>
        <w:pStyle w:val="348"/>
        <w:spacing w:line="420" w:lineRule="exact"/>
        <w:ind w:firstLine="480" w:firstLineChars="200"/>
        <w:jc w:val="left"/>
        <w:outlineLvl w:val="4"/>
        <w:rPr>
          <w:rStyle w:val="346"/>
          <w:rFonts w:ascii="宋体" w:hAnsi="宋体" w:cs="宋体"/>
          <w:b/>
          <w:bCs/>
          <w:color w:val="auto"/>
          <w:sz w:val="24"/>
          <w:szCs w:val="24"/>
          <w:highlight w:val="none"/>
        </w:rPr>
      </w:pPr>
      <w:r>
        <w:rPr>
          <w:rStyle w:val="346"/>
          <w:rFonts w:hint="eastAsia" w:ascii="宋体" w:hAnsi="宋体" w:cs="宋体"/>
          <w:color w:val="auto"/>
          <w:kern w:val="0"/>
          <w:sz w:val="24"/>
          <w:szCs w:val="24"/>
          <w:highlight w:val="none"/>
        </w:rPr>
        <w:t>（3）其他方式：</w:t>
      </w:r>
      <w:r>
        <w:rPr>
          <w:rFonts w:hint="eastAsia" w:ascii="宋体" w:hAnsi="宋体" w:cs="宋体"/>
          <w:b/>
          <w:bCs/>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 xml:space="preserve"> </w:t>
      </w:r>
      <w:r>
        <w:rPr>
          <w:rStyle w:val="346"/>
          <w:rFonts w:hint="eastAsia" w:ascii="宋体" w:hAnsi="宋体" w:cs="宋体"/>
          <w:b/>
          <w:bCs/>
          <w:color w:val="auto"/>
          <w:sz w:val="24"/>
          <w:szCs w:val="24"/>
          <w:highlight w:val="none"/>
        </w:rPr>
        <w:t>。</w:t>
      </w:r>
    </w:p>
    <w:p w14:paraId="43E1BB02">
      <w:pPr>
        <w:pStyle w:val="348"/>
        <w:spacing w:line="420" w:lineRule="exact"/>
        <w:ind w:firstLine="480" w:firstLineChars="200"/>
        <w:jc w:val="left"/>
        <w:rPr>
          <w:rStyle w:val="346"/>
          <w:rFonts w:ascii="宋体" w:hAnsi="宋体" w:cs="宋体"/>
          <w:color w:val="auto"/>
          <w:kern w:val="0"/>
          <w:sz w:val="24"/>
          <w:szCs w:val="24"/>
          <w:highlight w:val="none"/>
          <w:u w:val="single"/>
        </w:rPr>
      </w:pPr>
      <w:r>
        <w:rPr>
          <w:rStyle w:val="346"/>
          <w:rFonts w:hint="eastAsia" w:ascii="宋体" w:hAnsi="宋体" w:cs="宋体"/>
          <w:color w:val="auto"/>
          <w:sz w:val="24"/>
          <w:szCs w:val="24"/>
          <w:highlight w:val="none"/>
        </w:rPr>
        <w:t>关于质量保证金的补充约定：</w:t>
      </w:r>
      <w:r>
        <w:rPr>
          <w:rStyle w:val="346"/>
          <w:rFonts w:hint="eastAsia" w:ascii="宋体" w:hAnsi="宋体" w:cs="宋体"/>
          <w:color w:val="auto"/>
          <w:kern w:val="0"/>
          <w:sz w:val="24"/>
          <w:szCs w:val="24"/>
          <w:highlight w:val="none"/>
          <w:u w:val="single"/>
        </w:rPr>
        <w:t xml:space="preserve">     无                    </w:t>
      </w:r>
      <w:r>
        <w:rPr>
          <w:rStyle w:val="346"/>
          <w:rFonts w:hint="eastAsia" w:ascii="宋体" w:hAnsi="宋体" w:cs="宋体"/>
          <w:color w:val="auto"/>
          <w:kern w:val="0"/>
          <w:sz w:val="24"/>
          <w:szCs w:val="24"/>
          <w:highlight w:val="none"/>
        </w:rPr>
        <w:t>。</w:t>
      </w:r>
    </w:p>
    <w:p w14:paraId="45D026F3">
      <w:pPr>
        <w:pStyle w:val="352"/>
        <w:spacing w:line="420" w:lineRule="exact"/>
        <w:rPr>
          <w:rStyle w:val="346"/>
          <w:rFonts w:ascii="宋体" w:hAnsi="宋体" w:eastAsia="宋体" w:cs="宋体"/>
          <w:color w:val="auto"/>
          <w:sz w:val="24"/>
          <w:szCs w:val="24"/>
          <w:highlight w:val="none"/>
        </w:rPr>
      </w:pPr>
      <w:bookmarkStart w:id="931" w:name="_Toc389065330"/>
      <w:bookmarkEnd w:id="931"/>
      <w:bookmarkStart w:id="932" w:name="_Toc373478412"/>
      <w:bookmarkEnd w:id="932"/>
      <w:bookmarkStart w:id="933" w:name="_Toc373227765"/>
      <w:bookmarkEnd w:id="933"/>
      <w:bookmarkStart w:id="934" w:name="_Toc22419"/>
      <w:r>
        <w:rPr>
          <w:rStyle w:val="346"/>
          <w:rFonts w:hint="eastAsia" w:ascii="宋体" w:hAnsi="宋体" w:eastAsia="宋体" w:cs="宋体"/>
          <w:color w:val="auto"/>
          <w:sz w:val="24"/>
          <w:szCs w:val="24"/>
          <w:highlight w:val="none"/>
        </w:rPr>
        <w:t>15.4</w:t>
      </w:r>
      <w:bookmarkEnd w:id="934"/>
      <w:r>
        <w:rPr>
          <w:rStyle w:val="346"/>
          <w:rFonts w:hint="eastAsia" w:ascii="宋体" w:hAnsi="宋体" w:eastAsia="宋体" w:cs="宋体"/>
          <w:color w:val="auto"/>
          <w:sz w:val="24"/>
          <w:szCs w:val="24"/>
          <w:highlight w:val="none"/>
        </w:rPr>
        <w:t xml:space="preserve"> 保修</w:t>
      </w:r>
    </w:p>
    <w:p w14:paraId="5D730F58">
      <w:pPr>
        <w:pStyle w:val="348"/>
        <w:spacing w:line="420" w:lineRule="exact"/>
        <w:ind w:firstLine="468" w:firstLineChars="195"/>
        <w:jc w:val="left"/>
        <w:outlineLvl w:val="3"/>
        <w:rPr>
          <w:rStyle w:val="346"/>
          <w:rFonts w:ascii="宋体" w:hAnsi="宋体" w:cs="宋体"/>
          <w:color w:val="auto"/>
          <w:sz w:val="24"/>
          <w:szCs w:val="24"/>
          <w:highlight w:val="none"/>
        </w:rPr>
      </w:pPr>
      <w:bookmarkStart w:id="935" w:name="_Toc1417"/>
      <w:r>
        <w:rPr>
          <w:rStyle w:val="346"/>
          <w:rFonts w:hint="eastAsia" w:ascii="宋体" w:hAnsi="宋体" w:cs="宋体"/>
          <w:color w:val="auto"/>
          <w:sz w:val="24"/>
          <w:szCs w:val="24"/>
          <w:highlight w:val="none"/>
        </w:rPr>
        <w:t>15.4.1 保修责任</w:t>
      </w:r>
      <w:bookmarkEnd w:id="935"/>
    </w:p>
    <w:p w14:paraId="22207F5C">
      <w:pPr>
        <w:pStyle w:val="348"/>
        <w:spacing w:line="420" w:lineRule="exact"/>
        <w:ind w:firstLine="468" w:firstLineChars="195"/>
        <w:jc w:val="left"/>
        <w:rPr>
          <w:rStyle w:val="346"/>
          <w:rFonts w:ascii="宋体" w:hAnsi="宋体" w:cs="宋体"/>
          <w:color w:val="auto"/>
          <w:kern w:val="0"/>
          <w:sz w:val="24"/>
          <w:szCs w:val="24"/>
          <w:highlight w:val="none"/>
        </w:rPr>
      </w:pPr>
      <w:r>
        <w:rPr>
          <w:rStyle w:val="346"/>
          <w:rFonts w:hint="eastAsia" w:ascii="宋体" w:hAnsi="宋体" w:cs="宋体"/>
          <w:color w:val="auto"/>
          <w:sz w:val="24"/>
          <w:szCs w:val="24"/>
          <w:highlight w:val="none"/>
        </w:rPr>
        <w:t>工程保修期为：</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b/>
          <w:bCs/>
          <w:color w:val="auto"/>
          <w:kern w:val="0"/>
          <w:sz w:val="24"/>
          <w:szCs w:val="24"/>
          <w:highlight w:val="none"/>
          <w:u w:val="single"/>
        </w:rPr>
        <w:t>按《工程质量保修书》</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color w:val="auto"/>
          <w:kern w:val="0"/>
          <w:sz w:val="24"/>
          <w:szCs w:val="24"/>
          <w:highlight w:val="none"/>
        </w:rPr>
        <w:t>。</w:t>
      </w:r>
    </w:p>
    <w:p w14:paraId="53C29E79">
      <w:pPr>
        <w:pStyle w:val="348"/>
        <w:spacing w:line="420" w:lineRule="exact"/>
        <w:ind w:firstLine="468" w:firstLineChars="195"/>
        <w:jc w:val="left"/>
        <w:rPr>
          <w:rStyle w:val="346"/>
          <w:rFonts w:ascii="宋体" w:hAnsi="宋体" w:cs="宋体"/>
          <w:color w:val="auto"/>
          <w:kern w:val="0"/>
          <w:sz w:val="24"/>
          <w:szCs w:val="24"/>
          <w:highlight w:val="none"/>
          <w:u w:val="single"/>
        </w:rPr>
      </w:pPr>
      <w:r>
        <w:rPr>
          <w:rStyle w:val="346"/>
          <w:rFonts w:hint="eastAsia" w:ascii="宋体" w:hAnsi="宋体" w:cs="宋体"/>
          <w:color w:val="auto"/>
          <w:sz w:val="24"/>
          <w:szCs w:val="24"/>
          <w:highlight w:val="none"/>
        </w:rPr>
        <w:t>工程保修书具体内容见合同附件2。</w:t>
      </w:r>
    </w:p>
    <w:p w14:paraId="6C466EAE">
      <w:pPr>
        <w:pStyle w:val="348"/>
        <w:spacing w:line="420" w:lineRule="exact"/>
        <w:ind w:firstLine="468" w:firstLineChars="195"/>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15.4.3 修复通知</w:t>
      </w:r>
    </w:p>
    <w:p w14:paraId="65110A89">
      <w:pPr>
        <w:pStyle w:val="361"/>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承包人收到保修通知并到达工程现场的合理时间：</w:t>
      </w:r>
      <w:r>
        <w:rPr>
          <w:rFonts w:hint="eastAsia" w:ascii="宋体" w:hAnsi="宋体" w:cs="宋体"/>
          <w:color w:val="auto"/>
          <w:kern w:val="0"/>
          <w:sz w:val="24"/>
          <w:szCs w:val="24"/>
          <w:highlight w:val="none"/>
          <w:u w:val="single"/>
          <w:lang w:bidi="ar"/>
        </w:rPr>
        <w:t>承包人应当在接到保修通知之日起 2 天内派人保修</w:t>
      </w:r>
      <w:r>
        <w:rPr>
          <w:rStyle w:val="346"/>
          <w:rFonts w:hint="eastAsia" w:ascii="宋体" w:hAnsi="宋体" w:cs="宋体"/>
          <w:b/>
          <w:bCs/>
          <w:color w:val="auto"/>
          <w:kern w:val="0"/>
          <w:sz w:val="24"/>
          <w:szCs w:val="24"/>
          <w:highlight w:val="none"/>
          <w:u w:val="single"/>
        </w:rPr>
        <w:t>。</w:t>
      </w:r>
      <w:r>
        <w:rPr>
          <w:rStyle w:val="346"/>
          <w:rFonts w:hint="eastAsia" w:ascii="宋体" w:hAnsi="宋体" w:cs="宋体"/>
          <w:color w:val="auto"/>
          <w:kern w:val="0"/>
          <w:sz w:val="24"/>
          <w:szCs w:val="24"/>
          <w:highlight w:val="none"/>
          <w:u w:val="single"/>
        </w:rPr>
        <w:t>在接到发包人书面或电话通知48小时内未能进行修补的，发包人有权直接委托他人进行抢修，费用直接从承包人的质保金中扣除，质量保证金不足以支付的，费用仍由承包人承担，且承包人在保修金不足的时候开始7天内补足所需的保修费用，否则发包人按法定程序向承包人索赔超出部分费用。</w:t>
      </w:r>
    </w:p>
    <w:p w14:paraId="59CE1763">
      <w:pPr>
        <w:pStyle w:val="347"/>
        <w:spacing w:before="0" w:after="0" w:line="420" w:lineRule="exact"/>
        <w:rPr>
          <w:rStyle w:val="346"/>
          <w:rFonts w:ascii="宋体" w:hAnsi="宋体" w:eastAsia="宋体" w:cs="宋体"/>
          <w:color w:val="auto"/>
          <w:sz w:val="24"/>
          <w:szCs w:val="24"/>
          <w:highlight w:val="none"/>
        </w:rPr>
      </w:pPr>
      <w:bookmarkStart w:id="936" w:name="_Toc351203648"/>
      <w:bookmarkEnd w:id="936"/>
      <w:bookmarkStart w:id="937" w:name="_Toc280868717"/>
      <w:bookmarkEnd w:id="937"/>
      <w:bookmarkStart w:id="938" w:name="_Toc389065331"/>
      <w:bookmarkEnd w:id="938"/>
      <w:bookmarkStart w:id="939" w:name="_Toc373478413"/>
      <w:bookmarkEnd w:id="939"/>
      <w:bookmarkStart w:id="940" w:name="_Toc280868718"/>
      <w:bookmarkEnd w:id="940"/>
      <w:bookmarkStart w:id="941" w:name="_Toc7183"/>
      <w:bookmarkEnd w:id="941"/>
      <w:bookmarkStart w:id="942" w:name="_Toc373227766"/>
      <w:r>
        <w:rPr>
          <w:rStyle w:val="346"/>
          <w:rFonts w:hint="eastAsia" w:ascii="宋体" w:hAnsi="宋体" w:eastAsia="宋体" w:cs="宋体"/>
          <w:color w:val="auto"/>
          <w:sz w:val="24"/>
          <w:szCs w:val="24"/>
          <w:highlight w:val="none"/>
        </w:rPr>
        <w:t xml:space="preserve">16. </w:t>
      </w:r>
      <w:bookmarkEnd w:id="942"/>
      <w:r>
        <w:rPr>
          <w:rStyle w:val="346"/>
          <w:rFonts w:hint="eastAsia" w:ascii="宋体" w:hAnsi="宋体" w:eastAsia="宋体" w:cs="宋体"/>
          <w:color w:val="auto"/>
          <w:sz w:val="24"/>
          <w:szCs w:val="24"/>
          <w:highlight w:val="none"/>
        </w:rPr>
        <w:t>违约</w:t>
      </w:r>
    </w:p>
    <w:p w14:paraId="52642733">
      <w:pPr>
        <w:pStyle w:val="352"/>
        <w:spacing w:line="420" w:lineRule="exact"/>
        <w:rPr>
          <w:rStyle w:val="346"/>
          <w:rFonts w:ascii="宋体" w:hAnsi="宋体" w:eastAsia="宋体" w:cs="宋体"/>
          <w:color w:val="auto"/>
          <w:sz w:val="24"/>
          <w:szCs w:val="24"/>
          <w:highlight w:val="none"/>
        </w:rPr>
      </w:pPr>
      <w:bookmarkStart w:id="943" w:name="_Toc389065332"/>
      <w:bookmarkEnd w:id="943"/>
      <w:bookmarkStart w:id="944" w:name="_Toc373227767"/>
      <w:bookmarkEnd w:id="944"/>
      <w:bookmarkStart w:id="945" w:name="_Toc21939"/>
      <w:bookmarkEnd w:id="945"/>
      <w:bookmarkStart w:id="946" w:name="_Toc373478414"/>
      <w:r>
        <w:rPr>
          <w:rStyle w:val="346"/>
          <w:rFonts w:hint="eastAsia" w:ascii="宋体" w:hAnsi="宋体" w:eastAsia="宋体" w:cs="宋体"/>
          <w:color w:val="auto"/>
          <w:sz w:val="24"/>
          <w:szCs w:val="24"/>
          <w:highlight w:val="none"/>
        </w:rPr>
        <w:t xml:space="preserve">16.1 </w:t>
      </w:r>
      <w:bookmarkEnd w:id="946"/>
      <w:r>
        <w:rPr>
          <w:rStyle w:val="346"/>
          <w:rFonts w:hint="eastAsia" w:ascii="宋体" w:hAnsi="宋体" w:eastAsia="宋体" w:cs="宋体"/>
          <w:color w:val="auto"/>
          <w:sz w:val="24"/>
          <w:szCs w:val="24"/>
          <w:highlight w:val="none"/>
        </w:rPr>
        <w:t>发包人违约</w:t>
      </w:r>
    </w:p>
    <w:p w14:paraId="6740C17E">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16.1.1发包人违约的情形</w:t>
      </w:r>
    </w:p>
    <w:p w14:paraId="3A4BE32E">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发包人违约的其他情形：</w:t>
      </w:r>
      <w:r>
        <w:rPr>
          <w:rStyle w:val="346"/>
          <w:rFonts w:hint="eastAsia" w:ascii="宋体" w:hAnsi="宋体" w:cs="宋体"/>
          <w:color w:val="auto"/>
          <w:kern w:val="0"/>
          <w:sz w:val="24"/>
          <w:szCs w:val="24"/>
          <w:highlight w:val="none"/>
          <w:u w:val="single"/>
        </w:rPr>
        <w:t xml:space="preserve"> 按本合同专用条款执行 </w:t>
      </w:r>
      <w:r>
        <w:rPr>
          <w:rStyle w:val="346"/>
          <w:rFonts w:hint="eastAsia" w:ascii="宋体" w:hAnsi="宋体" w:cs="宋体"/>
          <w:color w:val="auto"/>
          <w:kern w:val="0"/>
          <w:sz w:val="24"/>
          <w:szCs w:val="24"/>
          <w:highlight w:val="none"/>
        </w:rPr>
        <w:t>。</w:t>
      </w:r>
    </w:p>
    <w:p w14:paraId="0C571E7A">
      <w:pPr>
        <w:pStyle w:val="348"/>
        <w:spacing w:line="420" w:lineRule="exact"/>
        <w:ind w:firstLine="480" w:firstLineChars="200"/>
        <w:jc w:val="left"/>
        <w:outlineLvl w:val="3"/>
        <w:rPr>
          <w:rStyle w:val="346"/>
          <w:rFonts w:ascii="宋体" w:hAnsi="宋体" w:cs="宋体"/>
          <w:color w:val="auto"/>
          <w:kern w:val="0"/>
          <w:sz w:val="24"/>
          <w:szCs w:val="24"/>
          <w:highlight w:val="none"/>
        </w:rPr>
      </w:pPr>
      <w:bookmarkStart w:id="947" w:name="_Toc29432"/>
      <w:r>
        <w:rPr>
          <w:rStyle w:val="346"/>
          <w:rFonts w:hint="eastAsia" w:ascii="宋体" w:hAnsi="宋体" w:cs="宋体"/>
          <w:color w:val="auto"/>
          <w:kern w:val="0"/>
          <w:sz w:val="24"/>
          <w:szCs w:val="24"/>
          <w:highlight w:val="none"/>
        </w:rPr>
        <w:t>16.1.2 发包人违约的责任</w:t>
      </w:r>
      <w:bookmarkEnd w:id="947"/>
    </w:p>
    <w:p w14:paraId="0538DBBB">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发包人违约责任的承担方式和计算方法：</w:t>
      </w:r>
    </w:p>
    <w:p w14:paraId="71524B41">
      <w:pPr>
        <w:pStyle w:val="348"/>
        <w:spacing w:line="420" w:lineRule="exact"/>
        <w:ind w:firstLine="480" w:firstLineChars="20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（1）因发包人原因未能在计划开工日期前7天内下达开工通知的违约责任：</w:t>
      </w:r>
      <w:r>
        <w:rPr>
          <w:rStyle w:val="346"/>
          <w:rFonts w:hint="eastAsia" w:ascii="宋体" w:hAnsi="宋体" w:cs="宋体"/>
          <w:color w:val="auto"/>
          <w:kern w:val="0"/>
          <w:sz w:val="24"/>
          <w:szCs w:val="24"/>
          <w:highlight w:val="none"/>
          <w:u w:val="single"/>
        </w:rPr>
        <w:t xml:space="preserve"> 顺延工期  </w:t>
      </w:r>
      <w:r>
        <w:rPr>
          <w:rStyle w:val="346"/>
          <w:rFonts w:hint="eastAsia" w:ascii="宋体" w:hAnsi="宋体" w:cs="宋体"/>
          <w:color w:val="auto"/>
          <w:kern w:val="0"/>
          <w:sz w:val="24"/>
          <w:szCs w:val="24"/>
          <w:highlight w:val="none"/>
        </w:rPr>
        <w:t>。</w:t>
      </w:r>
    </w:p>
    <w:p w14:paraId="7D1DF0E6">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（2）因发包人原因未能按合同约定支付合同价款的违约责任：</w:t>
      </w:r>
      <w:r>
        <w:rPr>
          <w:rStyle w:val="346"/>
          <w:rFonts w:hint="eastAsia" w:ascii="宋体" w:hAnsi="宋体" w:cs="宋体"/>
          <w:color w:val="auto"/>
          <w:sz w:val="24"/>
          <w:szCs w:val="24"/>
          <w:highlight w:val="none"/>
          <w:u w:val="single"/>
        </w:rPr>
        <w:t>所耽误的工期相应顺延</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color w:val="auto"/>
          <w:kern w:val="0"/>
          <w:sz w:val="24"/>
          <w:szCs w:val="24"/>
          <w:highlight w:val="none"/>
        </w:rPr>
        <w:t>。</w:t>
      </w:r>
    </w:p>
    <w:p w14:paraId="00AFA42A">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（3）发包人违反第10.1款〔变更的范围〕第（2）项约定，自行实施被取消的工作或转由他人实施的违约责任：</w:t>
      </w:r>
      <w:r>
        <w:rPr>
          <w:rStyle w:val="346"/>
          <w:rFonts w:hint="eastAsia" w:ascii="宋体" w:hAnsi="宋体" w:cs="宋体"/>
          <w:color w:val="auto"/>
          <w:kern w:val="0"/>
          <w:sz w:val="24"/>
          <w:szCs w:val="24"/>
          <w:highlight w:val="none"/>
          <w:u w:val="single"/>
        </w:rPr>
        <w:t xml:space="preserve"> 另行协商  </w:t>
      </w:r>
      <w:r>
        <w:rPr>
          <w:rStyle w:val="346"/>
          <w:rFonts w:hint="eastAsia" w:ascii="宋体" w:hAnsi="宋体" w:cs="宋体"/>
          <w:color w:val="auto"/>
          <w:kern w:val="0"/>
          <w:sz w:val="24"/>
          <w:szCs w:val="24"/>
          <w:highlight w:val="none"/>
        </w:rPr>
        <w:t>。</w:t>
      </w:r>
    </w:p>
    <w:p w14:paraId="6D39956E">
      <w:pPr>
        <w:pStyle w:val="361"/>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（4）发包人提供的材料、工程设备的规格、数量或质量不符合合同约定，或因发包人的原因导致交货日期延误或交货地点变更等情况的违约责任：</w:t>
      </w:r>
      <w:r>
        <w:rPr>
          <w:rStyle w:val="346"/>
          <w:rFonts w:hint="eastAsia" w:ascii="宋体" w:hAnsi="宋体" w:cs="宋体"/>
          <w:color w:val="auto"/>
          <w:sz w:val="24"/>
          <w:szCs w:val="24"/>
          <w:highlight w:val="none"/>
          <w:u w:val="single"/>
        </w:rPr>
        <w:t>承包人的损失按实际发生计，所耽误的工期相应顺延</w:t>
      </w:r>
      <w:r>
        <w:rPr>
          <w:rStyle w:val="346"/>
          <w:rFonts w:hint="eastAsia" w:ascii="宋体" w:hAnsi="宋体" w:cs="宋体"/>
          <w:color w:val="auto"/>
          <w:kern w:val="0"/>
          <w:sz w:val="24"/>
          <w:szCs w:val="24"/>
          <w:highlight w:val="none"/>
        </w:rPr>
        <w:t>。</w:t>
      </w:r>
    </w:p>
    <w:p w14:paraId="55268350">
      <w:pPr>
        <w:pStyle w:val="348"/>
        <w:spacing w:line="420" w:lineRule="exact"/>
        <w:ind w:firstLine="480" w:firstLineChars="20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（5）因发包人违反合同约定造成暂停施工的违约责任：</w:t>
      </w:r>
      <w:r>
        <w:rPr>
          <w:rStyle w:val="346"/>
          <w:rFonts w:hint="eastAsia" w:ascii="宋体" w:hAnsi="宋体" w:cs="宋体"/>
          <w:color w:val="auto"/>
          <w:sz w:val="24"/>
          <w:szCs w:val="24"/>
          <w:highlight w:val="none"/>
          <w:u w:val="single"/>
        </w:rPr>
        <w:t>所耽误的工期相应顺延</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color w:val="auto"/>
          <w:kern w:val="0"/>
          <w:sz w:val="24"/>
          <w:szCs w:val="24"/>
          <w:highlight w:val="none"/>
        </w:rPr>
        <w:t>。</w:t>
      </w:r>
    </w:p>
    <w:p w14:paraId="41887E16">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（6）发包人无正当理由没有在约定期限内发出复工指示，导致承包人无法复工的违约责任：</w:t>
      </w:r>
      <w:r>
        <w:rPr>
          <w:rStyle w:val="346"/>
          <w:rFonts w:hint="eastAsia" w:ascii="宋体" w:hAnsi="宋体" w:cs="宋体"/>
          <w:color w:val="auto"/>
          <w:sz w:val="24"/>
          <w:szCs w:val="24"/>
          <w:highlight w:val="none"/>
          <w:u w:val="single"/>
        </w:rPr>
        <w:t>所耽误的工期相应顺延</w:t>
      </w:r>
      <w:r>
        <w:rPr>
          <w:rStyle w:val="346"/>
          <w:rFonts w:hint="eastAsia" w:ascii="宋体" w:hAnsi="宋体" w:cs="宋体"/>
          <w:color w:val="auto"/>
          <w:kern w:val="0"/>
          <w:sz w:val="24"/>
          <w:szCs w:val="24"/>
          <w:highlight w:val="none"/>
        </w:rPr>
        <w:t>。</w:t>
      </w:r>
    </w:p>
    <w:p w14:paraId="2C59ECA8">
      <w:pPr>
        <w:pStyle w:val="348"/>
        <w:spacing w:line="420" w:lineRule="exact"/>
        <w:ind w:firstLine="480" w:firstLineChars="200"/>
        <w:jc w:val="left"/>
        <w:outlineLvl w:val="4"/>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（7）其他：</w:t>
      </w:r>
      <w:r>
        <w:rPr>
          <w:rStyle w:val="346"/>
          <w:rFonts w:hint="eastAsia" w:ascii="宋体" w:hAnsi="宋体" w:cs="宋体"/>
          <w:color w:val="auto"/>
          <w:kern w:val="0"/>
          <w:sz w:val="24"/>
          <w:szCs w:val="24"/>
          <w:highlight w:val="none"/>
          <w:u w:val="single"/>
        </w:rPr>
        <w:t xml:space="preserve">另行协商 </w:t>
      </w:r>
      <w:r>
        <w:rPr>
          <w:rStyle w:val="346"/>
          <w:rFonts w:hint="eastAsia" w:ascii="宋体" w:hAnsi="宋体" w:cs="宋体"/>
          <w:color w:val="auto"/>
          <w:kern w:val="0"/>
          <w:sz w:val="24"/>
          <w:szCs w:val="24"/>
          <w:highlight w:val="none"/>
        </w:rPr>
        <w:t>。</w:t>
      </w:r>
    </w:p>
    <w:p w14:paraId="10D8BAA2">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16.1.3 因发包人违约解除合同</w:t>
      </w:r>
    </w:p>
    <w:p w14:paraId="657C84E8">
      <w:pPr>
        <w:pStyle w:val="348"/>
        <w:autoSpaceDE w:val="0"/>
        <w:autoSpaceDN w:val="0"/>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承包人按16.1.1项〔发包人违约的情形〕约定暂停施工满</w:t>
      </w:r>
      <w:r>
        <w:rPr>
          <w:rStyle w:val="346"/>
          <w:rFonts w:hint="eastAsia" w:ascii="宋体" w:hAnsi="宋体" w:cs="宋体"/>
          <w:color w:val="auto"/>
          <w:kern w:val="0"/>
          <w:sz w:val="24"/>
          <w:szCs w:val="24"/>
          <w:highlight w:val="none"/>
          <w:u w:val="single"/>
        </w:rPr>
        <w:t xml:space="preserve"> 28 </w:t>
      </w:r>
      <w:r>
        <w:rPr>
          <w:rStyle w:val="346"/>
          <w:rFonts w:hint="eastAsia" w:ascii="宋体" w:hAnsi="宋体" w:cs="宋体"/>
          <w:color w:val="auto"/>
          <w:kern w:val="0"/>
          <w:sz w:val="24"/>
          <w:szCs w:val="24"/>
          <w:highlight w:val="none"/>
        </w:rPr>
        <w:t>天后发包人仍不纠正其违约行为并致使合同目的不能实现的，承包人有权解除合同。</w:t>
      </w:r>
    </w:p>
    <w:p w14:paraId="7503B0FD">
      <w:pPr>
        <w:pStyle w:val="352"/>
        <w:spacing w:line="420" w:lineRule="exact"/>
        <w:rPr>
          <w:rStyle w:val="346"/>
          <w:rFonts w:ascii="宋体" w:hAnsi="宋体" w:eastAsia="宋体" w:cs="宋体"/>
          <w:color w:val="auto"/>
          <w:sz w:val="24"/>
          <w:szCs w:val="24"/>
          <w:highlight w:val="none"/>
        </w:rPr>
      </w:pPr>
      <w:bookmarkStart w:id="948" w:name="_Toc389065333"/>
      <w:bookmarkEnd w:id="948"/>
      <w:bookmarkStart w:id="949" w:name="_Toc373478415"/>
      <w:bookmarkEnd w:id="949"/>
      <w:bookmarkStart w:id="950" w:name="_Toc373227768"/>
      <w:bookmarkEnd w:id="950"/>
      <w:bookmarkStart w:id="951" w:name="_Toc28910"/>
      <w:r>
        <w:rPr>
          <w:rStyle w:val="346"/>
          <w:rFonts w:hint="eastAsia" w:ascii="宋体" w:hAnsi="宋体" w:eastAsia="宋体" w:cs="宋体"/>
          <w:color w:val="auto"/>
          <w:sz w:val="24"/>
          <w:szCs w:val="24"/>
          <w:highlight w:val="none"/>
        </w:rPr>
        <w:t xml:space="preserve">16.2 </w:t>
      </w:r>
      <w:bookmarkEnd w:id="951"/>
      <w:r>
        <w:rPr>
          <w:rStyle w:val="346"/>
          <w:rFonts w:hint="eastAsia" w:ascii="宋体" w:hAnsi="宋体" w:eastAsia="宋体" w:cs="宋体"/>
          <w:color w:val="auto"/>
          <w:sz w:val="24"/>
          <w:szCs w:val="24"/>
          <w:highlight w:val="none"/>
        </w:rPr>
        <w:t>承包人违约</w:t>
      </w:r>
    </w:p>
    <w:p w14:paraId="29A9CBA7">
      <w:pPr>
        <w:pStyle w:val="348"/>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16.2.1 承包人违约的情形</w:t>
      </w:r>
    </w:p>
    <w:p w14:paraId="71F69550">
      <w:pPr>
        <w:pStyle w:val="348"/>
        <w:spacing w:line="420" w:lineRule="exact"/>
        <w:ind w:firstLine="480" w:firstLineChars="200"/>
        <w:jc w:val="left"/>
        <w:rPr>
          <w:rStyle w:val="346"/>
          <w:rFonts w:ascii="宋体" w:hAnsi="宋体" w:cs="宋体"/>
          <w:color w:val="auto"/>
          <w:kern w:val="0"/>
          <w:sz w:val="24"/>
          <w:szCs w:val="24"/>
          <w:highlight w:val="none"/>
          <w:u w:val="single"/>
        </w:rPr>
      </w:pPr>
      <w:r>
        <w:rPr>
          <w:rStyle w:val="346"/>
          <w:rFonts w:hint="eastAsia" w:ascii="宋体" w:hAnsi="宋体" w:cs="宋体"/>
          <w:color w:val="auto"/>
          <w:kern w:val="0"/>
          <w:sz w:val="24"/>
          <w:szCs w:val="24"/>
          <w:highlight w:val="none"/>
        </w:rPr>
        <w:t>承包人违约的其他情形：</w:t>
      </w:r>
      <w:r>
        <w:rPr>
          <w:rStyle w:val="346"/>
          <w:rFonts w:hint="eastAsia" w:ascii="宋体" w:hAnsi="宋体" w:cs="宋体"/>
          <w:b/>
          <w:bCs/>
          <w:color w:val="auto"/>
          <w:kern w:val="0"/>
          <w:sz w:val="24"/>
          <w:szCs w:val="24"/>
          <w:highlight w:val="none"/>
          <w:u w:val="single"/>
        </w:rPr>
        <w:t>承包人有违反相关规定的，按规定给予处罚。</w:t>
      </w:r>
    </w:p>
    <w:p w14:paraId="1BCB217D">
      <w:pPr>
        <w:pStyle w:val="348"/>
        <w:spacing w:line="420" w:lineRule="exact"/>
        <w:ind w:firstLine="480" w:firstLineChars="200"/>
        <w:jc w:val="left"/>
        <w:outlineLvl w:val="3"/>
        <w:rPr>
          <w:rStyle w:val="346"/>
          <w:rFonts w:ascii="宋体" w:hAnsi="宋体" w:cs="宋体"/>
          <w:color w:val="auto"/>
          <w:kern w:val="0"/>
          <w:sz w:val="24"/>
          <w:szCs w:val="24"/>
          <w:highlight w:val="none"/>
        </w:rPr>
      </w:pPr>
      <w:bookmarkStart w:id="952" w:name="_Toc15495"/>
      <w:r>
        <w:rPr>
          <w:rStyle w:val="346"/>
          <w:rFonts w:hint="eastAsia" w:ascii="宋体" w:hAnsi="宋体" w:cs="宋体"/>
          <w:color w:val="auto"/>
          <w:kern w:val="0"/>
          <w:sz w:val="24"/>
          <w:szCs w:val="24"/>
          <w:highlight w:val="none"/>
        </w:rPr>
        <w:t>16.2.2承包人违约的责任</w:t>
      </w:r>
      <w:bookmarkEnd w:id="952"/>
    </w:p>
    <w:p w14:paraId="5AD082F6">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承包人违约责任的承担方式和计算方法：</w:t>
      </w:r>
    </w:p>
    <w:p w14:paraId="0C3D0D4F">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D343F6E">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（2）承包人有本合同通用条款第16.2.1（6）条情形的，或经监理人检验认为修复质量不合格而承包人拒绝再进行修补的，发包人将扣除承包人全部质量保修金。</w:t>
      </w:r>
    </w:p>
    <w:p w14:paraId="78722D7C">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F47D5AC">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16.2.3 因承包人违约解除合同</w:t>
      </w:r>
    </w:p>
    <w:p w14:paraId="11DD096B">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关于承包人违约解除合同的特别约定：</w:t>
      </w:r>
      <w:r>
        <w:rPr>
          <w:rStyle w:val="346"/>
          <w:rFonts w:hint="eastAsia" w:ascii="宋体" w:hAnsi="宋体" w:cs="宋体"/>
          <w:color w:val="auto"/>
          <w:kern w:val="0"/>
          <w:sz w:val="24"/>
          <w:szCs w:val="24"/>
          <w:highlight w:val="none"/>
          <w:u w:val="single"/>
        </w:rPr>
        <w:t>承包人有违反以下情况之一的，发包人有权解除合同，并没收其全部履约保证金</w:t>
      </w:r>
      <w:r>
        <w:rPr>
          <w:rStyle w:val="346"/>
          <w:rFonts w:hint="eastAsia" w:ascii="宋体" w:hAnsi="宋体" w:cs="宋体"/>
          <w:color w:val="auto"/>
          <w:kern w:val="0"/>
          <w:sz w:val="24"/>
          <w:szCs w:val="24"/>
          <w:highlight w:val="none"/>
        </w:rPr>
        <w:t>。</w:t>
      </w:r>
    </w:p>
    <w:p w14:paraId="67BF10DB">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(1)承包人无正当理由不按开工通知的要求及时进场组织施工和不按签订协议书时商定的进度计划有效地开展施工准备，造成工期延误的；</w:t>
      </w:r>
    </w:p>
    <w:p w14:paraId="27F68A3C">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(2)承包人违反本合同通用条款第3.5条规定私自将合同或合同的任何部分或任何权利转让给其他人，或私自将工程或工程的一部分分包出去的；</w:t>
      </w:r>
    </w:p>
    <w:p w14:paraId="3821F01F">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(3)未经监理人批准，承包人私自将已按响应文件承诺进入工地的工程设备、施工设备、临时工程或材料撤离工地的；</w:t>
      </w:r>
    </w:p>
    <w:p w14:paraId="0905A451">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(4)由于承包人原因拒绝按合同进度计划及时完成合同规定的工程，而又未采取有效措施赶上进度，造成工期延误的或合同履行期间，承包人不按合同约定或核批的进度计划组织施工，经监理书面通知整改而未满足要求，经发包人书面通知3日内仍未能有效整改的”</w:t>
      </w:r>
    </w:p>
    <w:p w14:paraId="387D5CBE">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(5)承包人否认合同有效或拒绝履行合同规定的承包人义务，或由于法律、财务等原因导致承包人无法继续履行或实质上已停止履行合同的义务的；</w:t>
      </w:r>
    </w:p>
    <w:p w14:paraId="3C5BAA08">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(6) 合同签订</w:t>
      </w:r>
      <w:r>
        <w:rPr>
          <w:rStyle w:val="346"/>
          <w:rFonts w:hint="eastAsia" w:ascii="宋体" w:hAnsi="宋体" w:cs="宋体"/>
          <w:color w:val="auto"/>
          <w:sz w:val="24"/>
          <w:szCs w:val="24"/>
          <w:highlight w:val="none"/>
        </w:rPr>
        <w:t>且具备法定开工条件后</w:t>
      </w:r>
      <w:r>
        <w:rPr>
          <w:rStyle w:val="346"/>
          <w:rFonts w:hint="eastAsia" w:ascii="宋体" w:hAnsi="宋体" w:cs="宋体"/>
          <w:color w:val="auto"/>
          <w:kern w:val="0"/>
          <w:sz w:val="24"/>
          <w:szCs w:val="24"/>
          <w:highlight w:val="none"/>
        </w:rPr>
        <w:t>之日起十五日内，承包人无法按合同规定及响应文件的承诺进场经监理工程师认可的该施工阶段应有的全部人员和机械的。</w:t>
      </w:r>
    </w:p>
    <w:p w14:paraId="2396D9E9">
      <w:pPr>
        <w:pStyle w:val="361"/>
        <w:widowControl/>
        <w:spacing w:line="420" w:lineRule="exact"/>
        <w:ind w:firstLine="420"/>
        <w:rPr>
          <w:rStyle w:val="346"/>
          <w:rFonts w:ascii="宋体" w:hAnsi="宋体" w:cs="宋体"/>
          <w:b/>
          <w:bCs/>
          <w:color w:val="auto"/>
          <w:kern w:val="0"/>
          <w:sz w:val="24"/>
          <w:szCs w:val="24"/>
          <w:highlight w:val="none"/>
        </w:rPr>
      </w:pPr>
      <w:r>
        <w:rPr>
          <w:rStyle w:val="346"/>
          <w:rFonts w:hint="eastAsia" w:ascii="宋体" w:hAnsi="宋体" w:cs="宋体"/>
          <w:b/>
          <w:bCs/>
          <w:color w:val="auto"/>
          <w:kern w:val="0"/>
          <w:sz w:val="24"/>
          <w:szCs w:val="24"/>
          <w:highlight w:val="none"/>
        </w:rPr>
        <w:t>（7）在发包人按合同约定支付工程进度款的前提下，承包人拖欠员工工资待遇导致其员工到发包方或政府部门静坐、闹事的。</w:t>
      </w:r>
    </w:p>
    <w:p w14:paraId="6D3293C9">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 xml:space="preserve"> </w:t>
      </w:r>
    </w:p>
    <w:p w14:paraId="485C858C">
      <w:pPr>
        <w:pStyle w:val="348"/>
        <w:spacing w:line="420" w:lineRule="exact"/>
        <w:ind w:firstLine="480" w:firstLineChars="200"/>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 w:val="24"/>
          <w:szCs w:val="24"/>
          <w:highlight w:val="none"/>
          <w:u w:val="single"/>
        </w:rPr>
        <w:t>发包人和承包人可协商解决费用承担问题，无法协商一致的，发包人发出清场通知之日起十日内，承包人应将施工现场的材料、设备无条件搬离，不得以任何理由拒不清场搬离，否则每延误一天承包人按工程总价款的千分之三向发包人支付逾期清场违约金</w:t>
      </w:r>
      <w:r>
        <w:rPr>
          <w:rFonts w:hint="eastAsia" w:ascii="宋体" w:hAnsi="宋体" w:cs="宋体"/>
          <w:color w:val="auto"/>
          <w:kern w:val="0"/>
          <w:sz w:val="24"/>
          <w:szCs w:val="24"/>
          <w:highlight w:val="none"/>
        </w:rPr>
        <w:t>。</w:t>
      </w:r>
    </w:p>
    <w:p w14:paraId="207C2BB2">
      <w:pPr>
        <w:pStyle w:val="347"/>
        <w:spacing w:before="0" w:after="0" w:line="420" w:lineRule="exact"/>
        <w:rPr>
          <w:rStyle w:val="346"/>
          <w:rFonts w:ascii="宋体" w:hAnsi="宋体" w:eastAsia="宋体" w:cs="宋体"/>
          <w:color w:val="auto"/>
          <w:sz w:val="24"/>
          <w:szCs w:val="24"/>
          <w:highlight w:val="none"/>
        </w:rPr>
      </w:pPr>
      <w:bookmarkStart w:id="953" w:name="_Toc351203649"/>
      <w:bookmarkEnd w:id="953"/>
      <w:bookmarkStart w:id="954" w:name="_Toc389065334"/>
      <w:bookmarkEnd w:id="954"/>
      <w:bookmarkStart w:id="955" w:name="_Toc28282"/>
      <w:bookmarkEnd w:id="955"/>
      <w:bookmarkStart w:id="956" w:name="_Toc373227769"/>
      <w:bookmarkEnd w:id="956"/>
      <w:bookmarkStart w:id="957" w:name="_Toc373478416"/>
      <w:r>
        <w:rPr>
          <w:rStyle w:val="346"/>
          <w:rFonts w:hint="eastAsia" w:ascii="宋体" w:hAnsi="宋体" w:eastAsia="宋体" w:cs="宋体"/>
          <w:color w:val="auto"/>
          <w:sz w:val="24"/>
          <w:szCs w:val="24"/>
          <w:highlight w:val="none"/>
        </w:rPr>
        <w:t xml:space="preserve">17. </w:t>
      </w:r>
      <w:bookmarkEnd w:id="957"/>
      <w:r>
        <w:rPr>
          <w:rStyle w:val="346"/>
          <w:rFonts w:hint="eastAsia" w:ascii="宋体" w:hAnsi="宋体" w:eastAsia="宋体" w:cs="宋体"/>
          <w:color w:val="auto"/>
          <w:sz w:val="24"/>
          <w:szCs w:val="24"/>
          <w:highlight w:val="none"/>
        </w:rPr>
        <w:t xml:space="preserve">不可抗力 </w:t>
      </w:r>
    </w:p>
    <w:p w14:paraId="56A50B5A">
      <w:pPr>
        <w:pStyle w:val="352"/>
        <w:spacing w:line="420" w:lineRule="exact"/>
        <w:rPr>
          <w:rStyle w:val="346"/>
          <w:rFonts w:ascii="宋体" w:hAnsi="宋体" w:eastAsia="宋体" w:cs="宋体"/>
          <w:color w:val="auto"/>
          <w:sz w:val="24"/>
          <w:szCs w:val="24"/>
          <w:highlight w:val="none"/>
        </w:rPr>
      </w:pPr>
      <w:bookmarkStart w:id="958" w:name="_Toc373227770"/>
      <w:bookmarkEnd w:id="958"/>
      <w:bookmarkStart w:id="959" w:name="_Toc373478417"/>
      <w:bookmarkEnd w:id="959"/>
      <w:bookmarkStart w:id="960" w:name="_Toc389065335"/>
      <w:bookmarkEnd w:id="960"/>
      <w:bookmarkStart w:id="961" w:name="_Toc20751"/>
      <w:r>
        <w:rPr>
          <w:rStyle w:val="346"/>
          <w:rFonts w:hint="eastAsia" w:ascii="宋体" w:hAnsi="宋体" w:eastAsia="宋体" w:cs="宋体"/>
          <w:color w:val="auto"/>
          <w:sz w:val="24"/>
          <w:szCs w:val="24"/>
          <w:highlight w:val="none"/>
        </w:rPr>
        <w:t>17.1 不可抗力的确认</w:t>
      </w:r>
      <w:bookmarkEnd w:id="961"/>
    </w:p>
    <w:p w14:paraId="14B164AC">
      <w:pPr>
        <w:pStyle w:val="361"/>
        <w:spacing w:line="420" w:lineRule="exact"/>
        <w:ind w:firstLine="600" w:firstLineChars="250"/>
        <w:rPr>
          <w:rStyle w:val="346"/>
          <w:rFonts w:ascii="宋体" w:hAnsi="宋体" w:cs="宋体"/>
          <w:b/>
          <w:bCs/>
          <w:color w:val="auto"/>
          <w:kern w:val="0"/>
          <w:sz w:val="24"/>
          <w:szCs w:val="24"/>
          <w:highlight w:val="none"/>
        </w:rPr>
      </w:pPr>
      <w:r>
        <w:rPr>
          <w:rStyle w:val="346"/>
          <w:rFonts w:hint="eastAsia" w:ascii="宋体" w:hAnsi="宋体" w:cs="宋体"/>
          <w:color w:val="auto"/>
          <w:sz w:val="24"/>
          <w:szCs w:val="24"/>
          <w:highlight w:val="none"/>
        </w:rPr>
        <w:t>除通用合同条款约定的不可抗力事件之外，视为不可抗力的其他情形：</w:t>
      </w:r>
      <w:r>
        <w:rPr>
          <w:rStyle w:val="346"/>
          <w:rFonts w:hint="eastAsia" w:ascii="宋体" w:hAnsi="宋体" w:cs="宋体"/>
          <w:color w:val="auto"/>
          <w:kern w:val="0"/>
          <w:sz w:val="24"/>
          <w:szCs w:val="24"/>
          <w:highlight w:val="none"/>
          <w:u w:val="single"/>
        </w:rPr>
        <w:t>不可抗力的自然灾害认定标准，以政府有关部门的规定为准</w:t>
      </w:r>
      <w:r>
        <w:rPr>
          <w:rStyle w:val="346"/>
          <w:rFonts w:hint="eastAsia" w:ascii="宋体" w:hAnsi="宋体" w:cs="宋体"/>
          <w:color w:val="auto"/>
          <w:kern w:val="0"/>
          <w:sz w:val="24"/>
          <w:szCs w:val="24"/>
          <w:highlight w:val="none"/>
        </w:rPr>
        <w:t>。</w:t>
      </w:r>
    </w:p>
    <w:p w14:paraId="746FE051">
      <w:pPr>
        <w:pStyle w:val="352"/>
        <w:spacing w:line="420" w:lineRule="exact"/>
        <w:rPr>
          <w:rStyle w:val="346"/>
          <w:rFonts w:ascii="宋体" w:hAnsi="宋体" w:eastAsia="宋体" w:cs="宋体"/>
          <w:color w:val="auto"/>
          <w:sz w:val="24"/>
          <w:szCs w:val="24"/>
          <w:highlight w:val="none"/>
        </w:rPr>
      </w:pPr>
      <w:bookmarkStart w:id="962" w:name="_Toc31960"/>
      <w:bookmarkEnd w:id="962"/>
      <w:bookmarkStart w:id="963" w:name="_Toc389065336"/>
      <w:bookmarkEnd w:id="963"/>
      <w:bookmarkStart w:id="964" w:name="_Toc373227771"/>
      <w:bookmarkEnd w:id="964"/>
      <w:bookmarkStart w:id="965" w:name="_Toc373478418"/>
      <w:r>
        <w:rPr>
          <w:rStyle w:val="346"/>
          <w:rFonts w:hint="eastAsia" w:ascii="宋体" w:hAnsi="宋体" w:eastAsia="宋体" w:cs="宋体"/>
          <w:color w:val="auto"/>
          <w:sz w:val="24"/>
          <w:szCs w:val="24"/>
          <w:highlight w:val="none"/>
        </w:rPr>
        <w:t>17.4 因不可抗力解除合同</w:t>
      </w:r>
      <w:bookmarkEnd w:id="965"/>
    </w:p>
    <w:p w14:paraId="02FD685C">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合同解除后，发包人应在商定或确定发包人应支付款项后</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天内完成款项的支付。</w:t>
      </w:r>
    </w:p>
    <w:p w14:paraId="4E99384F">
      <w:pPr>
        <w:pStyle w:val="347"/>
        <w:spacing w:before="0" w:after="0" w:line="420" w:lineRule="exact"/>
        <w:rPr>
          <w:rStyle w:val="346"/>
          <w:rFonts w:ascii="宋体" w:hAnsi="宋体" w:eastAsia="宋体" w:cs="宋体"/>
          <w:color w:val="auto"/>
          <w:sz w:val="24"/>
          <w:szCs w:val="24"/>
          <w:highlight w:val="none"/>
        </w:rPr>
      </w:pPr>
      <w:bookmarkStart w:id="966" w:name="_Toc351203650"/>
      <w:bookmarkEnd w:id="966"/>
      <w:bookmarkStart w:id="967" w:name="_Toc389065337"/>
      <w:bookmarkEnd w:id="967"/>
      <w:bookmarkStart w:id="968" w:name="_Toc3919"/>
      <w:bookmarkEnd w:id="968"/>
      <w:bookmarkStart w:id="969" w:name="_Toc373227772"/>
      <w:bookmarkEnd w:id="969"/>
      <w:bookmarkStart w:id="970" w:name="_Toc373478419"/>
      <w:r>
        <w:rPr>
          <w:rStyle w:val="346"/>
          <w:rFonts w:hint="eastAsia" w:ascii="宋体" w:hAnsi="宋体" w:eastAsia="宋体" w:cs="宋体"/>
          <w:color w:val="auto"/>
          <w:sz w:val="24"/>
          <w:szCs w:val="24"/>
          <w:highlight w:val="none"/>
        </w:rPr>
        <w:t xml:space="preserve">18. </w:t>
      </w:r>
      <w:bookmarkEnd w:id="970"/>
      <w:r>
        <w:rPr>
          <w:rStyle w:val="346"/>
          <w:rFonts w:hint="eastAsia" w:ascii="宋体" w:hAnsi="宋体" w:eastAsia="宋体" w:cs="宋体"/>
          <w:color w:val="auto"/>
          <w:sz w:val="24"/>
          <w:szCs w:val="24"/>
          <w:highlight w:val="none"/>
        </w:rPr>
        <w:t>保险</w:t>
      </w:r>
    </w:p>
    <w:p w14:paraId="671212F4">
      <w:pPr>
        <w:pStyle w:val="352"/>
        <w:spacing w:line="420" w:lineRule="exact"/>
        <w:rPr>
          <w:rStyle w:val="346"/>
          <w:rFonts w:ascii="宋体" w:hAnsi="宋体" w:eastAsia="宋体" w:cs="宋体"/>
          <w:color w:val="auto"/>
          <w:sz w:val="24"/>
          <w:szCs w:val="24"/>
          <w:highlight w:val="none"/>
        </w:rPr>
      </w:pPr>
      <w:bookmarkStart w:id="971" w:name="_Toc389065338"/>
      <w:bookmarkEnd w:id="971"/>
      <w:bookmarkStart w:id="972" w:name="_Toc373478420"/>
      <w:bookmarkEnd w:id="972"/>
      <w:bookmarkStart w:id="973" w:name="_Toc9503"/>
      <w:bookmarkEnd w:id="973"/>
      <w:bookmarkStart w:id="974" w:name="_Toc373227773"/>
      <w:r>
        <w:rPr>
          <w:rStyle w:val="346"/>
          <w:rFonts w:hint="eastAsia" w:ascii="宋体" w:hAnsi="宋体" w:eastAsia="宋体" w:cs="宋体"/>
          <w:color w:val="auto"/>
          <w:sz w:val="24"/>
          <w:szCs w:val="24"/>
          <w:highlight w:val="none"/>
        </w:rPr>
        <w:t xml:space="preserve">18.1 </w:t>
      </w:r>
      <w:bookmarkEnd w:id="974"/>
      <w:r>
        <w:rPr>
          <w:rStyle w:val="346"/>
          <w:rFonts w:hint="eastAsia" w:ascii="宋体" w:hAnsi="宋体" w:eastAsia="宋体" w:cs="宋体"/>
          <w:color w:val="auto"/>
          <w:sz w:val="24"/>
          <w:szCs w:val="24"/>
          <w:highlight w:val="none"/>
        </w:rPr>
        <w:t>工程保险</w:t>
      </w:r>
    </w:p>
    <w:p w14:paraId="3B6E0CD5">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关于工程保险的特别约定：</w:t>
      </w:r>
      <w:r>
        <w:rPr>
          <w:rStyle w:val="346"/>
          <w:rFonts w:hint="eastAsia" w:ascii="宋体" w:hAnsi="宋体" w:cs="宋体"/>
          <w:color w:val="auto"/>
          <w:kern w:val="0"/>
          <w:sz w:val="24"/>
          <w:szCs w:val="24"/>
          <w:highlight w:val="none"/>
          <w:u w:val="single"/>
        </w:rPr>
        <w:t xml:space="preserve">  </w:t>
      </w:r>
      <w:r>
        <w:rPr>
          <w:rStyle w:val="346"/>
          <w:rFonts w:hint="eastAsia" w:ascii="宋体" w:hAnsi="宋体" w:cs="宋体"/>
          <w:color w:val="auto"/>
          <w:sz w:val="24"/>
          <w:szCs w:val="24"/>
          <w:highlight w:val="none"/>
          <w:u w:val="single"/>
        </w:rPr>
        <w:t>发包人可根据需要投保工程质量保险；对已投保的工程项目，承包人应积极配合保险公司开展相关工作</w:t>
      </w:r>
      <w:r>
        <w:rPr>
          <w:rStyle w:val="346"/>
          <w:rFonts w:hint="eastAsia" w:ascii="宋体" w:hAnsi="宋体" w:cs="宋体"/>
          <w:color w:val="auto"/>
          <w:kern w:val="0"/>
          <w:sz w:val="24"/>
          <w:szCs w:val="24"/>
          <w:highlight w:val="none"/>
          <w:u w:val="single"/>
        </w:rPr>
        <w:t>。</w:t>
      </w:r>
      <w:r>
        <w:rPr>
          <w:rStyle w:val="346"/>
          <w:rFonts w:hint="eastAsia" w:ascii="宋体" w:hAnsi="宋体" w:cs="宋体"/>
          <w:color w:val="auto"/>
          <w:sz w:val="24"/>
          <w:szCs w:val="24"/>
          <w:highlight w:val="none"/>
          <w:u w:val="single"/>
        </w:rPr>
        <w:t xml:space="preserve"> 承包人应购买工程一切险和第三者责任险，并承担相关费用。</w:t>
      </w:r>
    </w:p>
    <w:p w14:paraId="07EF1A54">
      <w:pPr>
        <w:pStyle w:val="352"/>
        <w:spacing w:line="420" w:lineRule="exact"/>
        <w:rPr>
          <w:rStyle w:val="346"/>
          <w:rFonts w:ascii="宋体" w:hAnsi="宋体" w:eastAsia="宋体" w:cs="宋体"/>
          <w:color w:val="auto"/>
          <w:sz w:val="24"/>
          <w:szCs w:val="24"/>
          <w:highlight w:val="none"/>
        </w:rPr>
      </w:pPr>
      <w:bookmarkStart w:id="975" w:name="_Toc373227774"/>
      <w:bookmarkEnd w:id="975"/>
      <w:bookmarkStart w:id="976" w:name="_Toc4100"/>
      <w:bookmarkEnd w:id="976"/>
      <w:bookmarkStart w:id="977" w:name="_Toc373478421"/>
      <w:bookmarkEnd w:id="977"/>
      <w:bookmarkStart w:id="978" w:name="_Toc389065339"/>
      <w:r>
        <w:rPr>
          <w:rStyle w:val="346"/>
          <w:rFonts w:hint="eastAsia" w:ascii="宋体" w:hAnsi="宋体" w:eastAsia="宋体" w:cs="宋体"/>
          <w:color w:val="auto"/>
          <w:sz w:val="24"/>
          <w:szCs w:val="24"/>
          <w:highlight w:val="none"/>
        </w:rPr>
        <w:t xml:space="preserve">18.3 </w:t>
      </w:r>
      <w:bookmarkEnd w:id="978"/>
      <w:r>
        <w:rPr>
          <w:rStyle w:val="346"/>
          <w:rFonts w:hint="eastAsia" w:ascii="宋体" w:hAnsi="宋体" w:eastAsia="宋体" w:cs="宋体"/>
          <w:color w:val="auto"/>
          <w:sz w:val="24"/>
          <w:szCs w:val="24"/>
          <w:highlight w:val="none"/>
        </w:rPr>
        <w:t>其他保险</w:t>
      </w:r>
    </w:p>
    <w:p w14:paraId="7AD1BEE9">
      <w:pPr>
        <w:pStyle w:val="348"/>
        <w:spacing w:line="420" w:lineRule="exact"/>
        <w:ind w:firstLine="480" w:firstLineChars="200"/>
        <w:jc w:val="left"/>
        <w:rPr>
          <w:rStyle w:val="346"/>
          <w:rFonts w:ascii="宋体" w:hAnsi="宋体" w:cs="宋体"/>
          <w:color w:val="auto"/>
          <w:kern w:val="0"/>
          <w:sz w:val="24"/>
          <w:szCs w:val="24"/>
          <w:highlight w:val="none"/>
        </w:rPr>
      </w:pPr>
      <w:r>
        <w:rPr>
          <w:rStyle w:val="346"/>
          <w:rFonts w:hint="eastAsia" w:ascii="宋体" w:hAnsi="宋体" w:cs="宋体"/>
          <w:color w:val="auto"/>
          <w:sz w:val="24"/>
          <w:szCs w:val="24"/>
          <w:highlight w:val="none"/>
        </w:rPr>
        <w:t>关于其他保险的约定：</w:t>
      </w:r>
      <w:r>
        <w:rPr>
          <w:rStyle w:val="346"/>
          <w:rFonts w:hint="eastAsia" w:ascii="宋体" w:hAnsi="宋体" w:cs="宋体"/>
          <w:color w:val="auto"/>
          <w:sz w:val="24"/>
          <w:szCs w:val="24"/>
          <w:highlight w:val="none"/>
          <w:u w:val="single"/>
        </w:rPr>
        <w:t xml:space="preserve"> </w:t>
      </w:r>
      <w:r>
        <w:rPr>
          <w:rStyle w:val="346"/>
          <w:rFonts w:hint="eastAsia" w:ascii="宋体" w:hAnsi="宋体" w:cs="宋体"/>
          <w:b/>
          <w:bCs/>
          <w:color w:val="auto"/>
          <w:sz w:val="24"/>
          <w:szCs w:val="24"/>
          <w:highlight w:val="none"/>
          <w:u w:val="single"/>
        </w:rPr>
        <w:t>承包人必须为施工现场从事施工的所有作业人员和管理人员办理意外伤害保险，并支付保险费</w:t>
      </w:r>
      <w:r>
        <w:rPr>
          <w:rStyle w:val="346"/>
          <w:rFonts w:hint="eastAsia" w:ascii="宋体" w:hAnsi="宋体" w:cs="宋体"/>
          <w:color w:val="auto"/>
          <w:sz w:val="24"/>
          <w:szCs w:val="24"/>
          <w:highlight w:val="none"/>
        </w:rPr>
        <w:t>。</w:t>
      </w:r>
    </w:p>
    <w:p w14:paraId="5B95EBE6">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承包人是否应为其施工设备等办理财产保险：</w:t>
      </w:r>
      <w:r>
        <w:rPr>
          <w:rStyle w:val="346"/>
          <w:rFonts w:hint="eastAsia" w:ascii="宋体" w:hAnsi="宋体" w:cs="宋体"/>
          <w:color w:val="auto"/>
          <w:sz w:val="24"/>
          <w:szCs w:val="24"/>
          <w:highlight w:val="none"/>
          <w:u w:val="single"/>
        </w:rPr>
        <w:t xml:space="preserve">  承包人自行考虑       </w:t>
      </w:r>
      <w:r>
        <w:rPr>
          <w:rStyle w:val="346"/>
          <w:rFonts w:hint="eastAsia" w:ascii="宋体" w:hAnsi="宋体" w:cs="宋体"/>
          <w:color w:val="auto"/>
          <w:sz w:val="24"/>
          <w:szCs w:val="24"/>
          <w:highlight w:val="none"/>
        </w:rPr>
        <w:t>。</w:t>
      </w:r>
    </w:p>
    <w:p w14:paraId="2187CF1E">
      <w:pPr>
        <w:pStyle w:val="352"/>
        <w:spacing w:line="420" w:lineRule="exact"/>
        <w:rPr>
          <w:rStyle w:val="346"/>
          <w:rFonts w:ascii="宋体" w:hAnsi="宋体" w:eastAsia="宋体" w:cs="宋体"/>
          <w:color w:val="auto"/>
          <w:sz w:val="24"/>
          <w:szCs w:val="24"/>
          <w:highlight w:val="none"/>
        </w:rPr>
      </w:pPr>
      <w:bookmarkStart w:id="979" w:name="_Toc389065340"/>
      <w:bookmarkEnd w:id="979"/>
      <w:bookmarkStart w:id="980" w:name="_Toc20108"/>
      <w:bookmarkEnd w:id="980"/>
      <w:bookmarkStart w:id="981" w:name="_Toc373478422"/>
      <w:bookmarkEnd w:id="981"/>
      <w:bookmarkStart w:id="982" w:name="_Toc373227775"/>
      <w:r>
        <w:rPr>
          <w:rStyle w:val="346"/>
          <w:rFonts w:hint="eastAsia" w:ascii="宋体" w:hAnsi="宋体" w:eastAsia="宋体" w:cs="宋体"/>
          <w:color w:val="auto"/>
          <w:sz w:val="24"/>
          <w:szCs w:val="24"/>
          <w:highlight w:val="none"/>
        </w:rPr>
        <w:t xml:space="preserve">18.7 </w:t>
      </w:r>
      <w:bookmarkEnd w:id="982"/>
      <w:r>
        <w:rPr>
          <w:rStyle w:val="346"/>
          <w:rFonts w:hint="eastAsia" w:ascii="宋体" w:hAnsi="宋体" w:eastAsia="宋体" w:cs="宋体"/>
          <w:color w:val="auto"/>
          <w:sz w:val="24"/>
          <w:szCs w:val="24"/>
          <w:highlight w:val="none"/>
        </w:rPr>
        <w:t>通知义务</w:t>
      </w:r>
    </w:p>
    <w:p w14:paraId="72216F56">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kern w:val="0"/>
          <w:sz w:val="24"/>
          <w:szCs w:val="24"/>
          <w:highlight w:val="none"/>
        </w:rPr>
        <w:t>关于变更保险合同时的通知义务的约定：</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kern w:val="0"/>
          <w:sz w:val="24"/>
          <w:szCs w:val="24"/>
          <w:highlight w:val="none"/>
          <w:u w:val="single"/>
        </w:rPr>
        <w:t>按通用条款执行</w:t>
      </w:r>
      <w:r>
        <w:rPr>
          <w:rStyle w:val="346"/>
          <w:rFonts w:hint="eastAsia" w:ascii="宋体" w:hAnsi="宋体" w:cs="宋体"/>
          <w:color w:val="auto"/>
          <w:sz w:val="24"/>
          <w:szCs w:val="24"/>
          <w:highlight w:val="none"/>
          <w:u w:val="single"/>
        </w:rPr>
        <w:t xml:space="preserve">  </w:t>
      </w:r>
      <w:r>
        <w:rPr>
          <w:rStyle w:val="346"/>
          <w:rFonts w:hint="eastAsia" w:ascii="宋体" w:hAnsi="宋体" w:cs="宋体"/>
          <w:color w:val="auto"/>
          <w:sz w:val="24"/>
          <w:szCs w:val="24"/>
          <w:highlight w:val="none"/>
        </w:rPr>
        <w:t>。</w:t>
      </w:r>
    </w:p>
    <w:p w14:paraId="07B9345A">
      <w:pPr>
        <w:pStyle w:val="347"/>
        <w:spacing w:before="0" w:after="0" w:line="420" w:lineRule="exact"/>
        <w:rPr>
          <w:rStyle w:val="346"/>
          <w:rFonts w:ascii="宋体" w:hAnsi="宋体" w:eastAsia="宋体" w:cs="宋体"/>
          <w:color w:val="auto"/>
          <w:sz w:val="24"/>
          <w:szCs w:val="24"/>
          <w:highlight w:val="none"/>
        </w:rPr>
      </w:pPr>
      <w:bookmarkStart w:id="983" w:name="_Toc18626"/>
      <w:bookmarkEnd w:id="983"/>
      <w:bookmarkStart w:id="984" w:name="_Toc389065341"/>
      <w:bookmarkEnd w:id="984"/>
      <w:bookmarkStart w:id="985" w:name="_Toc351203651"/>
      <w:bookmarkEnd w:id="985"/>
      <w:bookmarkStart w:id="986" w:name="_Toc373227776"/>
      <w:bookmarkEnd w:id="986"/>
      <w:bookmarkStart w:id="987" w:name="_Toc373478423"/>
      <w:bookmarkEnd w:id="987"/>
      <w:r>
        <w:rPr>
          <w:rStyle w:val="346"/>
          <w:rFonts w:hint="eastAsia" w:ascii="宋体" w:hAnsi="宋体" w:eastAsia="宋体" w:cs="宋体"/>
          <w:color w:val="auto"/>
          <w:sz w:val="24"/>
          <w:szCs w:val="24"/>
          <w:highlight w:val="none"/>
        </w:rPr>
        <w:t>20. 争议解决</w:t>
      </w:r>
    </w:p>
    <w:p w14:paraId="671A08C8">
      <w:pPr>
        <w:pStyle w:val="352"/>
        <w:spacing w:line="420" w:lineRule="exact"/>
        <w:rPr>
          <w:rStyle w:val="346"/>
          <w:rFonts w:ascii="宋体" w:hAnsi="宋体" w:eastAsia="宋体" w:cs="宋体"/>
          <w:color w:val="auto"/>
          <w:sz w:val="24"/>
          <w:szCs w:val="24"/>
          <w:highlight w:val="none"/>
        </w:rPr>
      </w:pPr>
      <w:bookmarkStart w:id="988" w:name="_Toc389065342"/>
      <w:bookmarkEnd w:id="988"/>
      <w:bookmarkStart w:id="989" w:name="_Toc373227777"/>
      <w:bookmarkEnd w:id="989"/>
      <w:bookmarkStart w:id="990" w:name="_Toc24166"/>
      <w:bookmarkEnd w:id="990"/>
      <w:bookmarkStart w:id="991" w:name="_Toc373478424"/>
      <w:r>
        <w:rPr>
          <w:rStyle w:val="346"/>
          <w:rFonts w:hint="eastAsia" w:ascii="宋体" w:hAnsi="宋体" w:eastAsia="宋体" w:cs="宋体"/>
          <w:color w:val="auto"/>
          <w:sz w:val="24"/>
          <w:szCs w:val="24"/>
          <w:highlight w:val="none"/>
        </w:rPr>
        <w:t xml:space="preserve">20.3 </w:t>
      </w:r>
      <w:bookmarkEnd w:id="991"/>
      <w:r>
        <w:rPr>
          <w:rStyle w:val="346"/>
          <w:rFonts w:hint="eastAsia" w:ascii="宋体" w:hAnsi="宋体" w:eastAsia="宋体" w:cs="宋体"/>
          <w:color w:val="auto"/>
          <w:sz w:val="24"/>
          <w:szCs w:val="24"/>
          <w:highlight w:val="none"/>
        </w:rPr>
        <w:t>争议评审</w:t>
      </w:r>
    </w:p>
    <w:p w14:paraId="6CCFC150">
      <w:pPr>
        <w:pStyle w:val="348"/>
        <w:spacing w:line="420" w:lineRule="exact"/>
        <w:ind w:firstLine="360" w:firstLineChars="15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合同当事人是否同意将工程争议提交争议评审小组决定：</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79380009">
      <w:pPr>
        <w:pStyle w:val="348"/>
        <w:spacing w:line="420" w:lineRule="exact"/>
        <w:ind w:firstLine="480" w:firstLineChars="200"/>
        <w:jc w:val="left"/>
        <w:outlineLvl w:val="3"/>
        <w:rPr>
          <w:rStyle w:val="346"/>
          <w:rFonts w:ascii="宋体" w:hAnsi="宋体" w:cs="宋体"/>
          <w:color w:val="auto"/>
          <w:sz w:val="24"/>
          <w:szCs w:val="24"/>
          <w:highlight w:val="none"/>
        </w:rPr>
      </w:pPr>
      <w:bookmarkStart w:id="992" w:name="_Toc4082"/>
      <w:r>
        <w:rPr>
          <w:rStyle w:val="346"/>
          <w:rFonts w:hint="eastAsia" w:ascii="宋体" w:hAnsi="宋体" w:cs="宋体"/>
          <w:color w:val="auto"/>
          <w:sz w:val="24"/>
          <w:szCs w:val="24"/>
          <w:highlight w:val="none"/>
        </w:rPr>
        <w:t>20.3.1 争议评审小组的确定</w:t>
      </w:r>
      <w:bookmarkEnd w:id="992"/>
    </w:p>
    <w:p w14:paraId="746661B6">
      <w:pPr>
        <w:pStyle w:val="348"/>
        <w:spacing w:line="420" w:lineRule="exact"/>
        <w:ind w:firstLine="480" w:firstLineChars="200"/>
        <w:jc w:val="left"/>
        <w:rPr>
          <w:rStyle w:val="346"/>
          <w:rFonts w:ascii="宋体" w:hAnsi="宋体" w:cs="宋体"/>
          <w:color w:val="auto"/>
          <w:sz w:val="24"/>
          <w:szCs w:val="24"/>
          <w:highlight w:val="none"/>
          <w:u w:val="single"/>
        </w:rPr>
      </w:pPr>
      <w:r>
        <w:rPr>
          <w:rStyle w:val="346"/>
          <w:rFonts w:hint="eastAsia" w:ascii="宋体" w:hAnsi="宋体" w:cs="宋体"/>
          <w:color w:val="auto"/>
          <w:sz w:val="24"/>
          <w:szCs w:val="24"/>
          <w:highlight w:val="none"/>
        </w:rPr>
        <w:t>争议评审小组成员的确定：</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16BF7A7B">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选定争议评审员的期限：</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4ACA81CC">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争议评审小组成员的报酬承担方式：</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55E24307">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其他事项的约定：</w:t>
      </w:r>
      <w:r>
        <w:rPr>
          <w:rStyle w:val="346"/>
          <w:rFonts w:hint="eastAsia" w:ascii="宋体" w:hAnsi="宋体" w:cs="宋体"/>
          <w:color w:val="auto"/>
          <w:sz w:val="24"/>
          <w:szCs w:val="24"/>
          <w:highlight w:val="none"/>
          <w:u w:val="single"/>
        </w:rPr>
        <w:t xml:space="preserve">            /                        </w:t>
      </w:r>
      <w:r>
        <w:rPr>
          <w:rStyle w:val="346"/>
          <w:rFonts w:hint="eastAsia" w:ascii="宋体" w:hAnsi="宋体" w:cs="宋体"/>
          <w:color w:val="auto"/>
          <w:sz w:val="24"/>
          <w:szCs w:val="24"/>
          <w:highlight w:val="none"/>
        </w:rPr>
        <w:t>。</w:t>
      </w:r>
    </w:p>
    <w:p w14:paraId="64324E2A">
      <w:pPr>
        <w:pStyle w:val="348"/>
        <w:autoSpaceDE w:val="0"/>
        <w:autoSpaceDN w:val="0"/>
        <w:spacing w:line="420" w:lineRule="exact"/>
        <w:ind w:firstLine="480" w:firstLineChars="200"/>
        <w:jc w:val="left"/>
        <w:outlineLvl w:val="3"/>
        <w:rPr>
          <w:rStyle w:val="346"/>
          <w:rFonts w:ascii="宋体" w:hAnsi="宋体" w:cs="宋体"/>
          <w:color w:val="auto"/>
          <w:kern w:val="0"/>
          <w:sz w:val="24"/>
          <w:szCs w:val="24"/>
          <w:highlight w:val="none"/>
        </w:rPr>
      </w:pPr>
      <w:r>
        <w:rPr>
          <w:rStyle w:val="346"/>
          <w:rFonts w:hint="eastAsia" w:ascii="宋体" w:hAnsi="宋体" w:cs="宋体"/>
          <w:color w:val="auto"/>
          <w:kern w:val="0"/>
          <w:sz w:val="24"/>
          <w:szCs w:val="24"/>
          <w:highlight w:val="none"/>
        </w:rPr>
        <w:t>20.3.2 争议评审小组的决定</w:t>
      </w:r>
    </w:p>
    <w:p w14:paraId="78ED8D4D">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合同当事人关于本项的约定：</w:t>
      </w:r>
      <w:r>
        <w:rPr>
          <w:rStyle w:val="346"/>
          <w:rFonts w:hint="eastAsia" w:ascii="宋体" w:hAnsi="宋体" w:cs="宋体"/>
          <w:color w:val="auto"/>
          <w:sz w:val="24"/>
          <w:szCs w:val="24"/>
          <w:highlight w:val="none"/>
          <w:u w:val="single"/>
        </w:rPr>
        <w:t xml:space="preserve">另行商定   </w:t>
      </w:r>
      <w:r>
        <w:rPr>
          <w:rStyle w:val="346"/>
          <w:rFonts w:hint="eastAsia" w:ascii="宋体" w:hAnsi="宋体" w:cs="宋体"/>
          <w:color w:val="auto"/>
          <w:sz w:val="24"/>
          <w:szCs w:val="24"/>
          <w:highlight w:val="none"/>
        </w:rPr>
        <w:t>。</w:t>
      </w:r>
    </w:p>
    <w:p w14:paraId="4C52C054">
      <w:pPr>
        <w:pStyle w:val="352"/>
        <w:spacing w:line="420" w:lineRule="exact"/>
        <w:rPr>
          <w:rStyle w:val="346"/>
          <w:rFonts w:ascii="宋体" w:hAnsi="宋体" w:eastAsia="宋体" w:cs="宋体"/>
          <w:color w:val="auto"/>
          <w:sz w:val="24"/>
          <w:szCs w:val="24"/>
          <w:highlight w:val="none"/>
        </w:rPr>
      </w:pPr>
      <w:bookmarkStart w:id="993" w:name="_Toc373227778"/>
      <w:bookmarkEnd w:id="993"/>
      <w:bookmarkStart w:id="994" w:name="_Toc389065343"/>
      <w:bookmarkEnd w:id="994"/>
      <w:bookmarkStart w:id="995" w:name="_Toc24467"/>
      <w:bookmarkEnd w:id="995"/>
      <w:bookmarkStart w:id="996" w:name="_Toc373478425"/>
      <w:r>
        <w:rPr>
          <w:rStyle w:val="346"/>
          <w:rFonts w:hint="eastAsia" w:ascii="宋体" w:hAnsi="宋体" w:eastAsia="宋体" w:cs="宋体"/>
          <w:color w:val="auto"/>
          <w:sz w:val="24"/>
          <w:szCs w:val="24"/>
          <w:highlight w:val="none"/>
        </w:rPr>
        <w:t>20.4</w:t>
      </w:r>
      <w:bookmarkEnd w:id="996"/>
      <w:r>
        <w:rPr>
          <w:rStyle w:val="346"/>
          <w:rFonts w:hint="eastAsia" w:ascii="宋体" w:hAnsi="宋体" w:eastAsia="宋体" w:cs="宋体"/>
          <w:color w:val="auto"/>
          <w:sz w:val="24"/>
          <w:szCs w:val="24"/>
          <w:highlight w:val="none"/>
        </w:rPr>
        <w:t xml:space="preserve"> 仲裁或诉讼</w:t>
      </w:r>
    </w:p>
    <w:p w14:paraId="1DA92C03">
      <w:pPr>
        <w:pStyle w:val="348"/>
        <w:spacing w:line="420" w:lineRule="exact"/>
        <w:ind w:firstLine="480" w:firstLineChars="200"/>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因合同及合同有关事项发生的争议，按下列第</w:t>
      </w:r>
      <w:r>
        <w:rPr>
          <w:rStyle w:val="346"/>
          <w:rFonts w:hint="eastAsia" w:ascii="宋体" w:hAnsi="宋体" w:cs="宋体"/>
          <w:color w:val="auto"/>
          <w:sz w:val="24"/>
          <w:szCs w:val="24"/>
          <w:highlight w:val="none"/>
          <w:u w:val="single"/>
        </w:rPr>
        <w:t xml:space="preserve"> （2） </w:t>
      </w:r>
      <w:r>
        <w:rPr>
          <w:rStyle w:val="346"/>
          <w:rFonts w:hint="eastAsia" w:ascii="宋体" w:hAnsi="宋体" w:cs="宋体"/>
          <w:color w:val="auto"/>
          <w:sz w:val="24"/>
          <w:szCs w:val="24"/>
          <w:highlight w:val="none"/>
        </w:rPr>
        <w:t>种方式解决：</w:t>
      </w:r>
    </w:p>
    <w:p w14:paraId="7E0A2C3A">
      <w:pPr>
        <w:pStyle w:val="348"/>
        <w:spacing w:line="420" w:lineRule="exact"/>
        <w:ind w:firstLine="480" w:firstLineChars="200"/>
        <w:jc w:val="left"/>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（1）提请</w:t>
      </w:r>
      <w:r>
        <w:rPr>
          <w:rStyle w:val="346"/>
          <w:rFonts w:hint="eastAsia" w:ascii="宋体" w:hAnsi="宋体" w:cs="宋体"/>
          <w:color w:val="auto"/>
          <w:sz w:val="24"/>
          <w:szCs w:val="24"/>
          <w:highlight w:val="none"/>
          <w:u w:val="single"/>
        </w:rPr>
        <w:t xml:space="preserve">  南宁  </w:t>
      </w:r>
      <w:r>
        <w:rPr>
          <w:rStyle w:val="346"/>
          <w:rFonts w:hint="eastAsia" w:ascii="宋体" w:hAnsi="宋体" w:cs="宋体"/>
          <w:color w:val="auto"/>
          <w:sz w:val="24"/>
          <w:szCs w:val="24"/>
          <w:highlight w:val="none"/>
        </w:rPr>
        <w:t>仲裁委员会按照该会仲裁规则进行仲裁，仲裁裁决是终局的，对合同双方均有约束力。</w:t>
      </w:r>
    </w:p>
    <w:p w14:paraId="674FB5AA">
      <w:pPr>
        <w:pStyle w:val="348"/>
        <w:spacing w:line="420" w:lineRule="exact"/>
        <w:ind w:firstLine="480" w:firstLineChars="200"/>
        <w:jc w:val="left"/>
        <w:outlineLvl w:val="3"/>
        <w:rPr>
          <w:rStyle w:val="346"/>
          <w:rFonts w:ascii="宋体" w:hAnsi="宋体" w:cs="宋体"/>
          <w:color w:val="auto"/>
          <w:sz w:val="24"/>
          <w:szCs w:val="24"/>
          <w:highlight w:val="none"/>
        </w:rPr>
      </w:pPr>
      <w:r>
        <w:rPr>
          <w:rStyle w:val="346"/>
          <w:rFonts w:hint="eastAsia" w:ascii="宋体" w:hAnsi="宋体" w:cs="宋体"/>
          <w:color w:val="auto"/>
          <w:sz w:val="24"/>
          <w:szCs w:val="24"/>
          <w:highlight w:val="none"/>
        </w:rPr>
        <w:t>（2）向</w:t>
      </w:r>
      <w:r>
        <w:rPr>
          <w:rStyle w:val="346"/>
          <w:rFonts w:hint="eastAsia" w:ascii="宋体" w:hAnsi="宋体" w:cs="宋体"/>
          <w:b/>
          <w:bCs/>
          <w:color w:val="auto"/>
          <w:sz w:val="24"/>
          <w:szCs w:val="24"/>
          <w:highlight w:val="none"/>
          <w:u w:val="single"/>
        </w:rPr>
        <w:t xml:space="preserve"> 项目所在地 </w:t>
      </w:r>
      <w:r>
        <w:rPr>
          <w:rStyle w:val="346"/>
          <w:rFonts w:hint="eastAsia" w:ascii="宋体" w:hAnsi="宋体" w:cs="宋体"/>
          <w:color w:val="auto"/>
          <w:sz w:val="24"/>
          <w:szCs w:val="24"/>
          <w:highlight w:val="none"/>
        </w:rPr>
        <w:t>人民法院起诉。</w:t>
      </w:r>
    </w:p>
    <w:p w14:paraId="77F919B0">
      <w:pPr>
        <w:keepNext/>
        <w:keepLines/>
        <w:spacing w:line="420" w:lineRule="exact"/>
        <w:outlineLvl w:val="1"/>
        <w:rPr>
          <w:rFonts w:ascii="宋体" w:hAnsi="宋体" w:eastAsia="宋体" w:cs="宋体"/>
          <w:b/>
          <w:bCs/>
          <w:color w:val="auto"/>
          <w:kern w:val="44"/>
          <w:sz w:val="24"/>
          <w:highlight w:val="none"/>
        </w:rPr>
      </w:pPr>
      <w:bookmarkStart w:id="997" w:name="_Toc433787460"/>
      <w:bookmarkStart w:id="998" w:name="_Toc373743696"/>
      <w:bookmarkStart w:id="999" w:name="_Toc476645956"/>
      <w:bookmarkStart w:id="1000" w:name="_Toc433389716"/>
      <w:bookmarkStart w:id="1001" w:name="_Toc433131824"/>
      <w:bookmarkStart w:id="1002" w:name="_Toc431192222"/>
      <w:bookmarkStart w:id="1003" w:name="_Toc454188820"/>
      <w:r>
        <w:rPr>
          <w:rFonts w:hint="eastAsia" w:ascii="宋体" w:hAnsi="宋体" w:eastAsia="宋体" w:cs="宋体"/>
          <w:b/>
          <w:bCs/>
          <w:color w:val="auto"/>
          <w:kern w:val="44"/>
          <w:sz w:val="24"/>
          <w:highlight w:val="none"/>
        </w:rPr>
        <w:t>21. 补充条款</w:t>
      </w:r>
      <w:bookmarkEnd w:id="997"/>
      <w:bookmarkEnd w:id="998"/>
      <w:bookmarkEnd w:id="999"/>
      <w:bookmarkEnd w:id="1000"/>
      <w:bookmarkEnd w:id="1001"/>
      <w:bookmarkEnd w:id="1002"/>
      <w:bookmarkEnd w:id="1003"/>
    </w:p>
    <w:p w14:paraId="2A5B7A76">
      <w:pPr>
        <w:spacing w:line="420" w:lineRule="exact"/>
        <w:ind w:firstLine="405"/>
        <w:outlineLvl w:val="2"/>
        <w:rPr>
          <w:rFonts w:ascii="宋体" w:hAnsi="宋体" w:eastAsia="宋体" w:cs="宋体"/>
          <w:color w:val="auto"/>
          <w:sz w:val="24"/>
          <w:highlight w:val="none"/>
        </w:rPr>
      </w:pPr>
      <w:r>
        <w:rPr>
          <w:rFonts w:hint="eastAsia" w:ascii="宋体" w:hAnsi="宋体" w:eastAsia="宋体" w:cs="宋体"/>
          <w:color w:val="auto"/>
          <w:sz w:val="24"/>
          <w:highlight w:val="none"/>
        </w:rPr>
        <w:t xml:space="preserve">21.1 </w:t>
      </w:r>
      <w:r>
        <w:rPr>
          <w:rFonts w:hint="eastAsia" w:ascii="宋体" w:hAnsi="宋体" w:eastAsia="宋体" w:cs="宋体"/>
          <w:bCs/>
          <w:color w:val="auto"/>
          <w:sz w:val="24"/>
          <w:highlight w:val="none"/>
        </w:rPr>
        <w:t>凡进入本工程工作的禁止使用童工。</w:t>
      </w:r>
    </w:p>
    <w:p w14:paraId="1275CEB9">
      <w:pPr>
        <w:spacing w:line="420" w:lineRule="exact"/>
        <w:ind w:firstLine="480" w:firstLineChars="200"/>
        <w:outlineLvl w:val="0"/>
        <w:rPr>
          <w:rFonts w:ascii="宋体" w:hAnsi="宋体" w:eastAsia="宋体" w:cs="宋体"/>
          <w:color w:val="auto"/>
          <w:sz w:val="24"/>
          <w:highlight w:val="none"/>
        </w:rPr>
      </w:pPr>
      <w:bookmarkStart w:id="1004" w:name="_Toc476645957"/>
      <w:bookmarkStart w:id="1005" w:name="_Toc454188821"/>
      <w:r>
        <w:rPr>
          <w:rFonts w:hint="eastAsia" w:ascii="宋体" w:hAnsi="宋体" w:eastAsia="宋体" w:cs="宋体"/>
          <w:color w:val="auto"/>
          <w:sz w:val="24"/>
          <w:highlight w:val="none"/>
        </w:rPr>
        <w:t>21.2承包人拟投入本项目的所有管理人员在本项目实施过程中均不得同时在其他在建项目任职，如有违反，发包人有权扣除承包人的履约保证金。</w:t>
      </w:r>
      <w:bookmarkEnd w:id="1004"/>
      <w:bookmarkEnd w:id="1005"/>
    </w:p>
    <w:p w14:paraId="4C88381E">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21.3因任何一方违约致使相对方采取诉讼方式实现债权的，违约方应承担相对方为此支付的合理费用包括但不限于诉讼费、保全费、律师代理费、评估费、差旅费、公告费、拍卖费、申请执行费及其实现债权发生的其他费用等。</w:t>
      </w:r>
    </w:p>
    <w:p w14:paraId="20DDB77C">
      <w:pPr>
        <w:spacing w:line="420" w:lineRule="exact"/>
        <w:ind w:firstLine="482"/>
        <w:textAlignment w:val="baseline"/>
        <w:rPr>
          <w:rFonts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21.4 承包人应加强对包括管理人员、分包、材料供货商等人员的管理，杜绝群体性事件的发生，本项目合同履行期间5人以上群体性事件的，每发生一次或者群体性事件每延续一天，承包人按合同金额的千分之一（按天）向发包方承担违约责任。</w:t>
      </w:r>
    </w:p>
    <w:p w14:paraId="74D4C8B1">
      <w:pPr>
        <w:widowControl/>
        <w:autoSpaceDE w:val="0"/>
        <w:autoSpaceDN w:val="0"/>
        <w:spacing w:line="420" w:lineRule="exact"/>
        <w:ind w:firstLine="482" w:firstLineChars="200"/>
        <w:jc w:val="left"/>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21.6 工程管理</w:t>
      </w:r>
    </w:p>
    <w:p w14:paraId="2224146E">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21.6.1承包人未按本合同“施工组织”约定组织施工，投入相应的材料，设备，劳动力，发包人视其情节轻重，处以承包人不低于10000元的违约处理金。在首次支付工程进度款之前，承包人项目部须提交施工组织计划、施工进度计划及人员、机械投入计划，上述计划至少以周为单位，并加盖施工单位公章及项目经理签字确认后提交监理单位和发包人单位一周内审核。上述文件作为发包人及监理单位考核承包人项目建设进度的依据，实行不定期考核，考核达不到进度要求，经发包人代表及监理单位评判并无客观理由可以免责的，发包人可处承包人2000元/次经济处罚。</w:t>
      </w:r>
    </w:p>
    <w:p w14:paraId="5D30899D">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21.6.2承包人将所承包的工程转包，如经发现，发包人将没收承包人全部履约保证金并有权解除合同关系，承包人给发包人造成的损失由承包人承担。</w:t>
      </w:r>
    </w:p>
    <w:p w14:paraId="2A1C3B15">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21.6.3若承包人未按国家规定发放民工工资，造成民工闹事等，发包人将处以承包人20000元/次违约处理金，且承包人还应无条件按规定发放民工工资。</w:t>
      </w:r>
    </w:p>
    <w:p w14:paraId="18134F73">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21.6.4非合同确定的承包人现场管理人员或发包人以书面形式同意认可的项目管理人员，不得进入施工现场从事现场管理工作，否则，由此造成的一切损失，均由承包人自行负责。</w:t>
      </w:r>
    </w:p>
    <w:p w14:paraId="37DBB8CF">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21.6.5工程在完成工程竣工验收后，承包人应无条件将工程实物向项目业主进行移交，并立即撤出场地，其它任何事宜均与此无关，如承包人不移交，发包人将处以承包人违约处理金20000元整，且还应在十天内移交完毕；如承包人在移交后拒不撤场地，发包人将处以承包人违约处理金20000元整，且还应在三天内无条件撤出场地。</w:t>
      </w:r>
    </w:p>
    <w:p w14:paraId="034DA25D">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21.6.6承包人在竣工验收合格之日起90天之内未能向发包人提交工程竣工结算书和全套结算资料的，发包人按竣工验收合格之日起第91天开始计算承包人的违约延期时间，并按2000元/天计算承包人的违约延期处理金。若承包人在半年内拒不提交工程竣工结算资料的，发包人有权聘请中介机构代为办理工程结算工作，相关费用由承包人支付。</w:t>
      </w:r>
    </w:p>
    <w:p w14:paraId="545A6FFF">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21.6.7承包人或承包人人员人为破坏工程成品被其它承包单位或个人现场抓获或有确凿证据的，发包人按被破坏成品恢复金额的双倍处罚承包人，处罚金额由发包人在工程结算款中直接扣除，情节严重的，报公安机关进行处理。</w:t>
      </w:r>
    </w:p>
    <w:p w14:paraId="2C877BE8">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21.6.8承包人或承包人人员盗取自身的工程材料和设备，被现场抓获或有确凿证据的，发包人按被盗材料和设备相应价值的双倍处罚承包人，处理金额由发包人在工程结算款中直接扣除，情节严重的，报公安机关进行处理。</w:t>
      </w:r>
    </w:p>
    <w:p w14:paraId="64A93DD5">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21.6.9承包人应严格按照发包人给定的运距要求到合法合规的取土点、弃土点进行土方工程的取土和弃土工作。非法弃土所产生的后果由承包人自行负责，任何情况下，本项目的土方工程出现非法取土、弃土的情况，承包人须承担全部法律责任。</w:t>
      </w:r>
    </w:p>
    <w:p w14:paraId="4BB60A51">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21.6.10在不违反国家相关法律法规的前提下，承包人不按时落实发包人工地例会要求，发包人每次可处200元经济处罚，该处罚可累计，并从每期工程款中进行扣除。</w:t>
      </w:r>
    </w:p>
    <w:p w14:paraId="21B69B85">
      <w:pPr>
        <w:spacing w:line="420" w:lineRule="exact"/>
        <w:ind w:firstLine="482" w:firstLineChars="200"/>
        <w:outlineLvl w:val="2"/>
        <w:rPr>
          <w:rFonts w:ascii="宋体" w:hAnsi="宋体" w:eastAsia="宋体" w:cs="宋体"/>
          <w:b/>
          <w:bCs/>
          <w:color w:val="auto"/>
          <w:sz w:val="24"/>
          <w:highlight w:val="none"/>
        </w:rPr>
      </w:pPr>
      <w:r>
        <w:rPr>
          <w:rFonts w:hint="eastAsia" w:ascii="宋体" w:hAnsi="宋体" w:eastAsia="宋体" w:cs="宋体"/>
          <w:b/>
          <w:bCs/>
          <w:color w:val="auto"/>
          <w:sz w:val="24"/>
          <w:highlight w:val="none"/>
        </w:rPr>
        <w:t>21.7 竣工结算</w:t>
      </w:r>
    </w:p>
    <w:p w14:paraId="75790BD7">
      <w:pPr>
        <w:spacing w:line="420" w:lineRule="exact"/>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rPr>
        <w:t>21.7.1项目经审计结算后，遇到审计机关对项目进行抽查，承包人应予配合，并且按照最终审计报告出具的审计结果为最终工程结算价。对于已经支付的工程款，进行多还少补原则。</w:t>
      </w:r>
    </w:p>
    <w:p w14:paraId="3FC81EBB">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21.7.2若发生工程量增减，发包人按实施部分合同价款与承包人据实结算。</w:t>
      </w:r>
    </w:p>
    <w:p w14:paraId="7B4FCDDD">
      <w:pPr>
        <w:spacing w:line="420" w:lineRule="exact"/>
        <w:ind w:firstLine="482" w:firstLineChars="200"/>
        <w:outlineLvl w:val="2"/>
        <w:rPr>
          <w:rStyle w:val="346"/>
          <w:rFonts w:ascii="宋体" w:hAnsi="宋体" w:eastAsia="宋体" w:cs="宋体"/>
          <w:color w:val="auto"/>
          <w:highlight w:val="none"/>
        </w:rPr>
      </w:pPr>
      <w:r>
        <w:rPr>
          <w:rFonts w:hint="eastAsia" w:ascii="宋体" w:hAnsi="宋体" w:eastAsia="宋体" w:cs="宋体"/>
          <w:b/>
          <w:bCs/>
          <w:color w:val="auto"/>
          <w:sz w:val="24"/>
          <w:highlight w:val="none"/>
        </w:rPr>
        <w:t>21.8 特别提醒</w:t>
      </w:r>
    </w:p>
    <w:p w14:paraId="3F9980A2">
      <w:pPr>
        <w:spacing w:line="360" w:lineRule="auto"/>
        <w:ind w:firstLine="480" w:firstLineChars="200"/>
        <w:jc w:val="left"/>
        <w:rPr>
          <w:rFonts w:ascii="宋体" w:hAnsi="宋体" w:eastAsia="宋体" w:cs="宋体"/>
          <w:color w:val="auto"/>
          <w:highlight w:val="none"/>
        </w:rPr>
      </w:pPr>
      <w:bookmarkStart w:id="1006" w:name="_Toc31658"/>
      <w:bookmarkEnd w:id="1006"/>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乙方围标串标或投标响应文件存在弄虚作假的，列为不诚信行为，签订的合同无效，乙方应向甲方支付赔偿金，赔偿金比例不低于成交价（合同总金额）的20%，同时，报请财政监管部门裁决处理</w:t>
      </w:r>
      <w:r>
        <w:rPr>
          <w:rFonts w:hint="eastAsia" w:ascii="宋体" w:hAnsi="宋体" w:eastAsia="宋体" w:cs="宋体"/>
          <w:color w:val="auto"/>
          <w:highlight w:val="none"/>
        </w:rPr>
        <w:t>。</w:t>
      </w:r>
      <w:bookmarkEnd w:id="126"/>
      <w:bookmarkEnd w:id="127"/>
      <w:bookmarkEnd w:id="128"/>
      <w:bookmarkEnd w:id="129"/>
      <w:bookmarkEnd w:id="130"/>
      <w:bookmarkEnd w:id="131"/>
    </w:p>
    <w:p w14:paraId="7EE8AFAC">
      <w:pPr>
        <w:pStyle w:val="4"/>
        <w:rPr>
          <w:rFonts w:ascii="宋体" w:hAnsi="宋体" w:eastAsia="宋体" w:cs="宋体"/>
          <w:b w:val="0"/>
          <w:bCs w:val="0"/>
          <w:color w:val="auto"/>
          <w:sz w:val="28"/>
          <w:szCs w:val="28"/>
          <w:highlight w:val="none"/>
        </w:rPr>
      </w:pPr>
      <w:bookmarkStart w:id="1007" w:name="_Toc351203652"/>
      <w:r>
        <w:rPr>
          <w:rFonts w:hint="eastAsia" w:ascii="宋体" w:hAnsi="宋体" w:eastAsia="宋体" w:cs="宋体"/>
          <w:color w:val="auto"/>
          <w:highlight w:val="none"/>
        </w:rPr>
        <w:t>附件</w:t>
      </w:r>
      <w:bookmarkEnd w:id="1007"/>
    </w:p>
    <w:p w14:paraId="3FA85E1C">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附件1：承包人承揽工程项目一览表</w:t>
      </w:r>
    </w:p>
    <w:p w14:paraId="392F1F21">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附件2：工程质量保修书</w:t>
      </w:r>
    </w:p>
    <w:p w14:paraId="5FCA0F5A">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附件3：主要建设工程文件目录</w:t>
      </w:r>
    </w:p>
    <w:p w14:paraId="65BBCBC8">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附件4：承包人用于本工程施工的机械设备表</w:t>
      </w:r>
    </w:p>
    <w:p w14:paraId="70859A8F">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附件5：承包人主要施工管理人员表</w:t>
      </w:r>
    </w:p>
    <w:p w14:paraId="50875729">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附件6：分包人主要施工管理人员表</w:t>
      </w:r>
    </w:p>
    <w:p w14:paraId="7327996E">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附件7：履约担保格式（独立保函、非独立保函）</w:t>
      </w:r>
    </w:p>
    <w:p w14:paraId="5136137C">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附件8：预付款担保格式（独立保函、非独立保函）</w:t>
      </w:r>
    </w:p>
    <w:p w14:paraId="22966613">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附件9：支付担保格式（独立保函、非独立保函）</w:t>
      </w:r>
    </w:p>
    <w:p w14:paraId="7ED69B33">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附件10：预付款支付申请（核准）表</w:t>
      </w:r>
    </w:p>
    <w:p w14:paraId="0A0CEB7E">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附件11：进度款支付申请（核准）表</w:t>
      </w:r>
    </w:p>
    <w:p w14:paraId="2CB2ECE8">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附件12：竣工结算款支付申请（核准）表</w:t>
      </w:r>
    </w:p>
    <w:p w14:paraId="67375998">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附件13：最终结算款支付申请（核准）表</w:t>
      </w:r>
    </w:p>
    <w:p w14:paraId="517509D7">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附件14：总价合同进度款支付分解表</w:t>
      </w:r>
    </w:p>
    <w:p w14:paraId="12074CFB">
      <w:pPr>
        <w:spacing w:line="460" w:lineRule="exact"/>
        <w:ind w:firstLine="420" w:firstLineChars="200"/>
        <w:rPr>
          <w:rFonts w:ascii="宋体" w:hAnsi="宋体" w:eastAsia="宋体" w:cs="宋体"/>
          <w:color w:val="auto"/>
          <w:highlight w:val="none"/>
        </w:rPr>
      </w:pPr>
    </w:p>
    <w:p w14:paraId="36C1776D">
      <w:pPr>
        <w:spacing w:line="460" w:lineRule="exact"/>
        <w:ind w:firstLine="420" w:firstLineChars="200"/>
        <w:rPr>
          <w:rFonts w:ascii="宋体" w:hAnsi="宋体" w:eastAsia="宋体" w:cs="宋体"/>
          <w:color w:val="auto"/>
          <w:highlight w:val="none"/>
        </w:rPr>
        <w:sectPr>
          <w:pgSz w:w="11905" w:h="16838"/>
          <w:pgMar w:top="1417" w:right="1417" w:bottom="1417" w:left="1417" w:header="851" w:footer="850" w:gutter="0"/>
          <w:cols w:space="720" w:num="1"/>
          <w:docGrid w:linePitch="312" w:charSpace="0"/>
        </w:sectPr>
      </w:pPr>
    </w:p>
    <w:p w14:paraId="370F535C">
      <w:pPr>
        <w:pStyle w:val="5"/>
        <w:jc w:val="left"/>
        <w:rPr>
          <w:rFonts w:ascii="宋体" w:hAnsi="宋体" w:eastAsia="宋体" w:cs="宋体"/>
          <w:color w:val="auto"/>
          <w:sz w:val="30"/>
          <w:szCs w:val="30"/>
          <w:highlight w:val="none"/>
        </w:rPr>
      </w:pP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1：</w:t>
      </w:r>
    </w:p>
    <w:p w14:paraId="61FDC431">
      <w:pPr>
        <w:spacing w:before="120" w:beforeLines="50" w:after="120" w:afterLines="50" w:line="44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承包人承揽工程项目一览表</w:t>
      </w:r>
    </w:p>
    <w:tbl>
      <w:tblPr>
        <w:tblStyle w:val="5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1"/>
        <w:gridCol w:w="941"/>
        <w:gridCol w:w="1060"/>
        <w:gridCol w:w="1087"/>
        <w:gridCol w:w="551"/>
        <w:gridCol w:w="1020"/>
        <w:gridCol w:w="1394"/>
        <w:gridCol w:w="1023"/>
        <w:gridCol w:w="553"/>
        <w:gridCol w:w="552"/>
      </w:tblGrid>
      <w:tr w14:paraId="6018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21" w:type="pct"/>
            <w:vAlign w:val="center"/>
          </w:tcPr>
          <w:p w14:paraId="5F5C687C">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单位工程名称</w:t>
            </w:r>
          </w:p>
        </w:tc>
        <w:tc>
          <w:tcPr>
            <w:tcW w:w="521" w:type="pct"/>
            <w:vAlign w:val="center"/>
          </w:tcPr>
          <w:p w14:paraId="7721515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建设规模</w:t>
            </w:r>
          </w:p>
        </w:tc>
        <w:tc>
          <w:tcPr>
            <w:tcW w:w="586" w:type="pct"/>
            <w:vAlign w:val="center"/>
          </w:tcPr>
          <w:p w14:paraId="543A267C">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建筑面积(平方米)</w:t>
            </w:r>
          </w:p>
        </w:tc>
        <w:tc>
          <w:tcPr>
            <w:tcW w:w="601" w:type="pct"/>
            <w:vAlign w:val="center"/>
          </w:tcPr>
          <w:p w14:paraId="55E33F9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结构形式</w:t>
            </w:r>
          </w:p>
        </w:tc>
        <w:tc>
          <w:tcPr>
            <w:tcW w:w="307" w:type="pct"/>
            <w:vAlign w:val="center"/>
          </w:tcPr>
          <w:p w14:paraId="0A0B1D7C">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层数</w:t>
            </w:r>
          </w:p>
        </w:tc>
        <w:tc>
          <w:tcPr>
            <w:tcW w:w="564" w:type="pct"/>
            <w:vAlign w:val="center"/>
          </w:tcPr>
          <w:p w14:paraId="6776D62B">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生产能力</w:t>
            </w:r>
          </w:p>
        </w:tc>
        <w:tc>
          <w:tcPr>
            <w:tcW w:w="769" w:type="pct"/>
            <w:vAlign w:val="center"/>
          </w:tcPr>
          <w:p w14:paraId="55030B5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设备安装内容</w:t>
            </w:r>
          </w:p>
        </w:tc>
        <w:tc>
          <w:tcPr>
            <w:tcW w:w="512" w:type="pct"/>
            <w:vAlign w:val="center"/>
          </w:tcPr>
          <w:p w14:paraId="70D6A24E">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合同价格（元）</w:t>
            </w:r>
          </w:p>
        </w:tc>
        <w:tc>
          <w:tcPr>
            <w:tcW w:w="308" w:type="pct"/>
            <w:vAlign w:val="center"/>
          </w:tcPr>
          <w:p w14:paraId="751D6FC9">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开工日期</w:t>
            </w:r>
          </w:p>
        </w:tc>
        <w:tc>
          <w:tcPr>
            <w:tcW w:w="307" w:type="pct"/>
            <w:vAlign w:val="center"/>
          </w:tcPr>
          <w:p w14:paraId="05567021">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竣工日期</w:t>
            </w:r>
          </w:p>
        </w:tc>
      </w:tr>
      <w:tr w14:paraId="1F84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1EDE9B90">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5D02A2ED">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4931401B">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017515C4">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03D0BE66">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7A24F963">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77804859">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0F64892D">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1EEF4D28">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5D6FA7C9">
            <w:pPr>
              <w:pStyle w:val="19"/>
              <w:keepNext/>
              <w:spacing w:line="440" w:lineRule="exact"/>
              <w:ind w:left="63" w:right="63"/>
              <w:rPr>
                <w:rFonts w:ascii="宋体" w:hAnsi="宋体" w:eastAsia="宋体" w:cs="宋体"/>
                <w:color w:val="auto"/>
                <w:sz w:val="30"/>
                <w:szCs w:val="30"/>
                <w:highlight w:val="none"/>
              </w:rPr>
            </w:pPr>
          </w:p>
        </w:tc>
      </w:tr>
      <w:tr w14:paraId="68F3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3E6C8225">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63C9A9EB">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4A888C77">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738180E0">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4A3A14CD">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313CC707">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03AC271F">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7E657FFD">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16EC01CD">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770DD6BB">
            <w:pPr>
              <w:pStyle w:val="19"/>
              <w:keepNext/>
              <w:spacing w:line="440" w:lineRule="exact"/>
              <w:ind w:left="63" w:right="63"/>
              <w:rPr>
                <w:rFonts w:ascii="宋体" w:hAnsi="宋体" w:eastAsia="宋体" w:cs="宋体"/>
                <w:color w:val="auto"/>
                <w:sz w:val="30"/>
                <w:szCs w:val="30"/>
                <w:highlight w:val="none"/>
              </w:rPr>
            </w:pPr>
          </w:p>
        </w:tc>
      </w:tr>
      <w:tr w14:paraId="281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6BEBD6B2">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51986565">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5E76C1E9">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0CF9E8E8">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6A68B6EA">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4E3E1669">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3EEE8719">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5FC19276">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201CA48B">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05E11CA6">
            <w:pPr>
              <w:pStyle w:val="19"/>
              <w:keepNext/>
              <w:spacing w:line="440" w:lineRule="exact"/>
              <w:ind w:left="63" w:right="63"/>
              <w:rPr>
                <w:rFonts w:ascii="宋体" w:hAnsi="宋体" w:eastAsia="宋体" w:cs="宋体"/>
                <w:color w:val="auto"/>
                <w:sz w:val="30"/>
                <w:szCs w:val="30"/>
                <w:highlight w:val="none"/>
              </w:rPr>
            </w:pPr>
          </w:p>
        </w:tc>
      </w:tr>
      <w:tr w14:paraId="735D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417B1165">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2957214A">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0EA4E64F">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672410AE">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6DA0D4F3">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4E166424">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4C0C8847">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17D4E569">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5D71A9E9">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6C903565">
            <w:pPr>
              <w:pStyle w:val="19"/>
              <w:keepNext/>
              <w:spacing w:line="440" w:lineRule="exact"/>
              <w:ind w:left="63" w:right="63"/>
              <w:rPr>
                <w:rFonts w:ascii="宋体" w:hAnsi="宋体" w:eastAsia="宋体" w:cs="宋体"/>
                <w:color w:val="auto"/>
                <w:sz w:val="30"/>
                <w:szCs w:val="30"/>
                <w:highlight w:val="none"/>
              </w:rPr>
            </w:pPr>
          </w:p>
        </w:tc>
      </w:tr>
      <w:tr w14:paraId="174C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5EE56FEC">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23039B36">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5C661E5D">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54A7B505">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40D8557C">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465459A0">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2CFF3853">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5620A2E4">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3D15DD65">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0ADB39FF">
            <w:pPr>
              <w:pStyle w:val="19"/>
              <w:keepNext/>
              <w:spacing w:line="440" w:lineRule="exact"/>
              <w:ind w:left="63" w:right="63"/>
              <w:rPr>
                <w:rFonts w:ascii="宋体" w:hAnsi="宋体" w:eastAsia="宋体" w:cs="宋体"/>
                <w:color w:val="auto"/>
                <w:sz w:val="30"/>
                <w:szCs w:val="30"/>
                <w:highlight w:val="none"/>
              </w:rPr>
            </w:pPr>
          </w:p>
        </w:tc>
      </w:tr>
      <w:tr w14:paraId="243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706FD97E">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0DF79809">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6E903C0D">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2E5CB410">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35748EAC">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5392338D">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2AD0849C">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1C7C2D17">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62DA8BB8">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752EECCE">
            <w:pPr>
              <w:pStyle w:val="19"/>
              <w:keepNext/>
              <w:spacing w:line="440" w:lineRule="exact"/>
              <w:ind w:left="63" w:right="63"/>
              <w:rPr>
                <w:rFonts w:ascii="宋体" w:hAnsi="宋体" w:eastAsia="宋体" w:cs="宋体"/>
                <w:color w:val="auto"/>
                <w:sz w:val="30"/>
                <w:szCs w:val="30"/>
                <w:highlight w:val="none"/>
              </w:rPr>
            </w:pPr>
          </w:p>
        </w:tc>
      </w:tr>
      <w:tr w14:paraId="0654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345D00B6">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6EF120EE">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338929FF">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301CE5E4">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5FAC35E4">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6C9C5267">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44122CCF">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084DD08D">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2C467269">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25A00109">
            <w:pPr>
              <w:pStyle w:val="19"/>
              <w:keepNext/>
              <w:spacing w:line="440" w:lineRule="exact"/>
              <w:ind w:left="63" w:right="63"/>
              <w:rPr>
                <w:rFonts w:ascii="宋体" w:hAnsi="宋体" w:eastAsia="宋体" w:cs="宋体"/>
                <w:color w:val="auto"/>
                <w:sz w:val="30"/>
                <w:szCs w:val="30"/>
                <w:highlight w:val="none"/>
              </w:rPr>
            </w:pPr>
          </w:p>
        </w:tc>
      </w:tr>
      <w:tr w14:paraId="6344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714F6033">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0D2A7E5D">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323E76C0">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215E69BC">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3E0B1DCD">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4B830668">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7C99A1D0">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2CE1A731">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67D7DBBD">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5F15D2CD">
            <w:pPr>
              <w:pStyle w:val="19"/>
              <w:keepNext/>
              <w:spacing w:line="440" w:lineRule="exact"/>
              <w:ind w:left="63" w:right="63"/>
              <w:rPr>
                <w:rFonts w:ascii="宋体" w:hAnsi="宋体" w:eastAsia="宋体" w:cs="宋体"/>
                <w:color w:val="auto"/>
                <w:sz w:val="30"/>
                <w:szCs w:val="30"/>
                <w:highlight w:val="none"/>
              </w:rPr>
            </w:pPr>
          </w:p>
        </w:tc>
      </w:tr>
      <w:tr w14:paraId="398A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655CE85E">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384B5429">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3CE885F5">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3F67D268">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0CFFC7C9">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4BA021FE">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5944DB0C">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41944A07">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70E8D33E">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2EFCF686">
            <w:pPr>
              <w:pStyle w:val="19"/>
              <w:keepNext/>
              <w:spacing w:line="440" w:lineRule="exact"/>
              <w:ind w:left="63" w:right="63"/>
              <w:rPr>
                <w:rFonts w:ascii="宋体" w:hAnsi="宋体" w:eastAsia="宋体" w:cs="宋体"/>
                <w:color w:val="auto"/>
                <w:sz w:val="30"/>
                <w:szCs w:val="30"/>
                <w:highlight w:val="none"/>
              </w:rPr>
            </w:pPr>
          </w:p>
        </w:tc>
      </w:tr>
      <w:tr w14:paraId="4948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vAlign w:val="center"/>
          </w:tcPr>
          <w:p w14:paraId="064802CA">
            <w:pPr>
              <w:pStyle w:val="19"/>
              <w:keepNext/>
              <w:spacing w:line="440" w:lineRule="exact"/>
              <w:ind w:left="63" w:right="63"/>
              <w:rPr>
                <w:rFonts w:ascii="宋体" w:hAnsi="宋体" w:eastAsia="宋体" w:cs="宋体"/>
                <w:color w:val="auto"/>
                <w:sz w:val="30"/>
                <w:szCs w:val="30"/>
                <w:highlight w:val="none"/>
              </w:rPr>
            </w:pPr>
          </w:p>
        </w:tc>
        <w:tc>
          <w:tcPr>
            <w:tcW w:w="521" w:type="pct"/>
            <w:vAlign w:val="center"/>
          </w:tcPr>
          <w:p w14:paraId="139FBB1B">
            <w:pPr>
              <w:pStyle w:val="19"/>
              <w:keepNext/>
              <w:spacing w:line="440" w:lineRule="exact"/>
              <w:ind w:left="63" w:right="63"/>
              <w:rPr>
                <w:rFonts w:ascii="宋体" w:hAnsi="宋体" w:eastAsia="宋体" w:cs="宋体"/>
                <w:color w:val="auto"/>
                <w:sz w:val="30"/>
                <w:szCs w:val="30"/>
                <w:highlight w:val="none"/>
              </w:rPr>
            </w:pPr>
          </w:p>
        </w:tc>
        <w:tc>
          <w:tcPr>
            <w:tcW w:w="586" w:type="pct"/>
            <w:vAlign w:val="center"/>
          </w:tcPr>
          <w:p w14:paraId="71D9A55D">
            <w:pPr>
              <w:pStyle w:val="19"/>
              <w:keepNext/>
              <w:spacing w:line="440" w:lineRule="exact"/>
              <w:ind w:left="63" w:right="63"/>
              <w:rPr>
                <w:rFonts w:ascii="宋体" w:hAnsi="宋体" w:eastAsia="宋体" w:cs="宋体"/>
                <w:color w:val="auto"/>
                <w:sz w:val="30"/>
                <w:szCs w:val="30"/>
                <w:highlight w:val="none"/>
              </w:rPr>
            </w:pPr>
          </w:p>
        </w:tc>
        <w:tc>
          <w:tcPr>
            <w:tcW w:w="601" w:type="pct"/>
            <w:vAlign w:val="center"/>
          </w:tcPr>
          <w:p w14:paraId="45A9E795">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22261047">
            <w:pPr>
              <w:pStyle w:val="19"/>
              <w:keepNext/>
              <w:spacing w:line="440" w:lineRule="exact"/>
              <w:ind w:left="63" w:right="63"/>
              <w:rPr>
                <w:rFonts w:ascii="宋体" w:hAnsi="宋体" w:eastAsia="宋体" w:cs="宋体"/>
                <w:color w:val="auto"/>
                <w:sz w:val="30"/>
                <w:szCs w:val="30"/>
                <w:highlight w:val="none"/>
              </w:rPr>
            </w:pPr>
          </w:p>
        </w:tc>
        <w:tc>
          <w:tcPr>
            <w:tcW w:w="564" w:type="pct"/>
            <w:vAlign w:val="center"/>
          </w:tcPr>
          <w:p w14:paraId="294B42C5">
            <w:pPr>
              <w:pStyle w:val="19"/>
              <w:keepNext/>
              <w:spacing w:line="440" w:lineRule="exact"/>
              <w:ind w:left="63" w:right="63"/>
              <w:rPr>
                <w:rFonts w:ascii="宋体" w:hAnsi="宋体" w:eastAsia="宋体" w:cs="宋体"/>
                <w:color w:val="auto"/>
                <w:sz w:val="30"/>
                <w:szCs w:val="30"/>
                <w:highlight w:val="none"/>
              </w:rPr>
            </w:pPr>
          </w:p>
        </w:tc>
        <w:tc>
          <w:tcPr>
            <w:tcW w:w="769" w:type="pct"/>
            <w:vAlign w:val="center"/>
          </w:tcPr>
          <w:p w14:paraId="474D4447">
            <w:pPr>
              <w:pStyle w:val="19"/>
              <w:keepNext/>
              <w:spacing w:line="440" w:lineRule="exact"/>
              <w:ind w:left="63" w:right="63"/>
              <w:rPr>
                <w:rFonts w:ascii="宋体" w:hAnsi="宋体" w:eastAsia="宋体" w:cs="宋体"/>
                <w:color w:val="auto"/>
                <w:sz w:val="30"/>
                <w:szCs w:val="30"/>
                <w:highlight w:val="none"/>
              </w:rPr>
            </w:pPr>
          </w:p>
        </w:tc>
        <w:tc>
          <w:tcPr>
            <w:tcW w:w="512" w:type="pct"/>
            <w:vAlign w:val="center"/>
          </w:tcPr>
          <w:p w14:paraId="7A4120EB">
            <w:pPr>
              <w:pStyle w:val="19"/>
              <w:keepNext/>
              <w:spacing w:line="440" w:lineRule="exact"/>
              <w:ind w:left="63" w:right="63"/>
              <w:rPr>
                <w:rFonts w:ascii="宋体" w:hAnsi="宋体" w:eastAsia="宋体" w:cs="宋体"/>
                <w:color w:val="auto"/>
                <w:sz w:val="30"/>
                <w:szCs w:val="30"/>
                <w:highlight w:val="none"/>
              </w:rPr>
            </w:pPr>
          </w:p>
        </w:tc>
        <w:tc>
          <w:tcPr>
            <w:tcW w:w="308" w:type="pct"/>
            <w:vAlign w:val="center"/>
          </w:tcPr>
          <w:p w14:paraId="2F98E25D">
            <w:pPr>
              <w:pStyle w:val="19"/>
              <w:keepNext/>
              <w:spacing w:line="440" w:lineRule="exact"/>
              <w:ind w:left="63" w:right="63"/>
              <w:rPr>
                <w:rFonts w:ascii="宋体" w:hAnsi="宋体" w:eastAsia="宋体" w:cs="宋体"/>
                <w:color w:val="auto"/>
                <w:sz w:val="30"/>
                <w:szCs w:val="30"/>
                <w:highlight w:val="none"/>
              </w:rPr>
            </w:pPr>
          </w:p>
        </w:tc>
        <w:tc>
          <w:tcPr>
            <w:tcW w:w="307" w:type="pct"/>
            <w:vAlign w:val="center"/>
          </w:tcPr>
          <w:p w14:paraId="1730E187">
            <w:pPr>
              <w:pStyle w:val="19"/>
              <w:keepNext/>
              <w:spacing w:line="440" w:lineRule="exact"/>
              <w:ind w:left="63" w:right="63"/>
              <w:rPr>
                <w:rFonts w:ascii="宋体" w:hAnsi="宋体" w:eastAsia="宋体" w:cs="宋体"/>
                <w:color w:val="auto"/>
                <w:sz w:val="30"/>
                <w:szCs w:val="30"/>
                <w:highlight w:val="none"/>
              </w:rPr>
            </w:pPr>
          </w:p>
        </w:tc>
      </w:tr>
    </w:tbl>
    <w:p w14:paraId="07F0D090">
      <w:pPr>
        <w:spacing w:line="460" w:lineRule="exact"/>
        <w:ind w:firstLine="420" w:firstLineChars="200"/>
        <w:rPr>
          <w:rFonts w:ascii="宋体" w:hAnsi="宋体" w:eastAsia="宋体" w:cs="宋体"/>
          <w:color w:val="auto"/>
          <w:highlight w:val="none"/>
        </w:rPr>
      </w:pPr>
    </w:p>
    <w:p w14:paraId="3C7DE80C">
      <w:pPr>
        <w:spacing w:line="460" w:lineRule="exact"/>
        <w:ind w:firstLine="420" w:firstLineChars="200"/>
        <w:rPr>
          <w:rFonts w:ascii="宋体" w:hAnsi="宋体" w:eastAsia="宋体" w:cs="宋体"/>
          <w:color w:val="auto"/>
          <w:highlight w:val="none"/>
        </w:rPr>
      </w:pPr>
    </w:p>
    <w:p w14:paraId="453BF5FE">
      <w:pPr>
        <w:spacing w:line="460" w:lineRule="exact"/>
        <w:ind w:firstLine="420" w:firstLineChars="200"/>
        <w:rPr>
          <w:rFonts w:ascii="宋体" w:hAnsi="宋体" w:eastAsia="宋体" w:cs="宋体"/>
          <w:color w:val="auto"/>
          <w:highlight w:val="none"/>
        </w:rPr>
        <w:sectPr>
          <w:pgSz w:w="11905" w:h="16838"/>
          <w:pgMar w:top="1417" w:right="1417" w:bottom="1417" w:left="1417" w:header="851" w:footer="850" w:gutter="0"/>
          <w:cols w:space="720" w:num="1"/>
          <w:docGrid w:linePitch="312" w:charSpace="0"/>
        </w:sectPr>
      </w:pPr>
    </w:p>
    <w:p w14:paraId="2858DEC0">
      <w:pPr>
        <w:pStyle w:val="5"/>
        <w:jc w:val="left"/>
        <w:rPr>
          <w:rFonts w:ascii="宋体" w:hAnsi="宋体" w:eastAsia="宋体" w:cs="宋体"/>
          <w:color w:val="auto"/>
          <w:sz w:val="30"/>
          <w:szCs w:val="30"/>
          <w:highlight w:val="none"/>
        </w:rPr>
      </w:pP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2：</w:t>
      </w:r>
    </w:p>
    <w:p w14:paraId="74663E8B">
      <w:pPr>
        <w:spacing w:before="120" w:beforeLines="50" w:after="120" w:afterLines="50" w:line="44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工程质量保修书（房屋建筑工程）</w:t>
      </w:r>
    </w:p>
    <w:p w14:paraId="117A4FB0">
      <w:pPr>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广西职业师范学院 </w:t>
      </w:r>
      <w:r>
        <w:rPr>
          <w:rFonts w:hint="eastAsia" w:ascii="宋体" w:hAnsi="宋体" w:eastAsia="宋体" w:cs="宋体"/>
          <w:color w:val="auto"/>
          <w:highlight w:val="none"/>
        </w:rPr>
        <w:t xml:space="preserve"> </w:t>
      </w:r>
    </w:p>
    <w:p w14:paraId="1C4FC9B6">
      <w:pPr>
        <w:spacing w:line="4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BFA1C7D">
      <w:pPr>
        <w:spacing w:line="440" w:lineRule="exact"/>
        <w:rPr>
          <w:rFonts w:ascii="宋体" w:hAnsi="宋体" w:eastAsia="宋体" w:cs="宋体"/>
          <w:color w:val="auto"/>
          <w:highlight w:val="none"/>
        </w:rPr>
      </w:pPr>
    </w:p>
    <w:p w14:paraId="0523CB4B">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发包人和承包人根据《中华人民共和国建筑法》和《建设工程质量管理条例》，经协商一致就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（工程全称）签订工程质量保修书。</w:t>
      </w:r>
    </w:p>
    <w:p w14:paraId="493AB49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一、工程质量保修范围和内容</w:t>
      </w:r>
    </w:p>
    <w:p w14:paraId="6C2EF578">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承包人在质量保修期内，按照有关法律规定和合同约定，承担工程质量保修责任。</w:t>
      </w:r>
    </w:p>
    <w:p w14:paraId="608BFD05">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5768F8A">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u w:val="single"/>
        </w:rPr>
        <w:t xml:space="preserve"> 本合同协议书规定的承包范围内，属承包人责任造成的工程质量问题，承包人在约定的保修期内自行负责保修 </w:t>
      </w:r>
      <w:r>
        <w:rPr>
          <w:rFonts w:hint="eastAsia" w:ascii="宋体" w:hAnsi="宋体" w:eastAsia="宋体" w:cs="宋体"/>
          <w:color w:val="auto"/>
          <w:highlight w:val="none"/>
        </w:rPr>
        <w:t>。</w:t>
      </w:r>
    </w:p>
    <w:p w14:paraId="606DA275">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二、质量保修期</w:t>
      </w:r>
    </w:p>
    <w:p w14:paraId="68FE501F">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根据《建设工程质量管理条例》及有关规定，工程的质量保修期如下：</w:t>
      </w:r>
    </w:p>
    <w:p w14:paraId="7F54AB7F">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6E44191A">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年；</w:t>
      </w:r>
    </w:p>
    <w:p w14:paraId="4583DEED">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6F0BF3E6">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3898BB89">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个采暖期、供冷期；</w:t>
      </w:r>
    </w:p>
    <w:p w14:paraId="565F4FB5">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181C3E6">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7．其他项目保修期限约定如下：</w:t>
      </w:r>
    </w:p>
    <w:p w14:paraId="0A450CAD">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u w:val="single"/>
        </w:rPr>
        <w:t xml:space="preserve">在没有明文规定下，参照建设工程质量保修条例，双方协商为设计文件规定的该工程的合理使用年限内保修 </w:t>
      </w:r>
      <w:r>
        <w:rPr>
          <w:rFonts w:hint="eastAsia" w:ascii="宋体" w:hAnsi="宋体" w:eastAsia="宋体" w:cs="宋体"/>
          <w:color w:val="auto"/>
          <w:highlight w:val="none"/>
        </w:rPr>
        <w:t xml:space="preserve"> 。</w:t>
      </w:r>
    </w:p>
    <w:p w14:paraId="1603EC37">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p>
    <w:p w14:paraId="2F89C9A1">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三、缺陷责任期</w:t>
      </w:r>
    </w:p>
    <w:p w14:paraId="5409028C">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工程缺陷责任期为</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个月（最长不超过24个月），缺陷责任期自工程竣工验收合格之日起计算。单位工程先于全部工程进行验收，单位工程缺陷责任期自单位工程验收合格之日起算。</w:t>
      </w:r>
    </w:p>
    <w:p w14:paraId="78B3A5A0">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缺陷责任期</w:t>
      </w:r>
      <w:r>
        <w:rPr>
          <w:rFonts w:hint="eastAsia" w:ascii="宋体" w:hAnsi="宋体" w:eastAsia="宋体" w:cs="宋体"/>
          <w:color w:val="auto"/>
          <w:highlight w:val="none"/>
          <w:u w:val="single"/>
        </w:rPr>
        <w:t>满</w:t>
      </w:r>
      <w:r>
        <w:rPr>
          <w:rFonts w:hint="eastAsia" w:ascii="宋体" w:hAnsi="宋体" w:eastAsia="宋体" w:cs="宋体"/>
          <w:color w:val="auto"/>
          <w:highlight w:val="none"/>
        </w:rPr>
        <w:t>之日起</w:t>
      </w:r>
      <w:r>
        <w:rPr>
          <w:rFonts w:hint="eastAsia" w:ascii="宋体" w:hAnsi="宋体" w:eastAsia="宋体" w:cs="宋体"/>
          <w:color w:val="auto"/>
          <w:highlight w:val="none"/>
          <w:u w:val="single"/>
        </w:rPr>
        <w:t xml:space="preserve"> 14 </w:t>
      </w:r>
      <w:r>
        <w:rPr>
          <w:rFonts w:hint="eastAsia" w:ascii="宋体" w:hAnsi="宋体" w:eastAsia="宋体" w:cs="宋体"/>
          <w:color w:val="auto"/>
          <w:highlight w:val="none"/>
        </w:rPr>
        <w:t>天</w:t>
      </w:r>
      <w:r>
        <w:rPr>
          <w:rFonts w:hint="eastAsia" w:ascii="宋体" w:hAnsi="宋体" w:eastAsia="宋体" w:cs="宋体"/>
          <w:color w:val="auto"/>
          <w:highlight w:val="none"/>
          <w:u w:val="single"/>
        </w:rPr>
        <w:t>（按合同约定期限），</w:t>
      </w:r>
      <w:r>
        <w:rPr>
          <w:rFonts w:hint="eastAsia" w:ascii="宋体" w:hAnsi="宋体" w:eastAsia="宋体" w:cs="宋体"/>
          <w:color w:val="auto"/>
          <w:highlight w:val="none"/>
        </w:rPr>
        <w:t>发包人应退还剩余的质量保证金。</w:t>
      </w:r>
    </w:p>
    <w:p w14:paraId="1EE5D321">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四、质量保修责任</w:t>
      </w:r>
    </w:p>
    <w:p w14:paraId="71E150F5">
      <w:pPr>
        <w:spacing w:line="360" w:lineRule="auto"/>
        <w:ind w:left="105" w:leftChars="50" w:firstLine="430" w:firstLineChars="205"/>
        <w:rPr>
          <w:rFonts w:ascii="宋体" w:hAnsi="宋体" w:eastAsia="宋体" w:cs="宋体"/>
          <w:color w:val="auto"/>
          <w:highlight w:val="none"/>
        </w:rPr>
      </w:pPr>
      <w:r>
        <w:rPr>
          <w:rFonts w:hint="eastAsia" w:ascii="宋体" w:hAnsi="宋体" w:eastAsia="宋体" w:cs="宋体"/>
          <w:color w:val="auto"/>
          <w:highlight w:val="none"/>
        </w:rPr>
        <w:t>1．属于保修范围、内容的项目，承包人应当在接到保修通知之日起</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天内派人保修。承包人不在约定期限内派人保修的，发包人可以委托他人修理，修理费用从质量保证金内扣除。</w:t>
      </w:r>
    </w:p>
    <w:p w14:paraId="6BEBBB24">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2．发生紧急事故需抢修的，承包人在接到事故通知后，应当立即到达事故现场抢修。</w:t>
      </w:r>
    </w:p>
    <w:p w14:paraId="4D7742E6">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34E3DE7">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4．质量保修完成后，由发包人组织验收。</w:t>
      </w:r>
    </w:p>
    <w:p w14:paraId="1BA9CAA5">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五、保修费用</w:t>
      </w:r>
    </w:p>
    <w:p w14:paraId="5BCFDC01">
      <w:pPr>
        <w:tabs>
          <w:tab w:val="left" w:pos="7380"/>
        </w:tabs>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保修费用由造成质量缺陷的责任方承担。</w:t>
      </w:r>
    </w:p>
    <w:p w14:paraId="5037F7D1">
      <w:pPr>
        <w:spacing w:line="360" w:lineRule="auto"/>
        <w:ind w:firstLine="420"/>
        <w:rPr>
          <w:rFonts w:ascii="宋体" w:hAnsi="宋体" w:eastAsia="宋体" w:cs="宋体"/>
          <w:color w:val="auto"/>
          <w:highlight w:val="none"/>
        </w:rPr>
      </w:pPr>
      <w:r>
        <w:rPr>
          <w:rFonts w:hint="eastAsia" w:ascii="宋体" w:hAnsi="宋体" w:eastAsia="宋体" w:cs="宋体"/>
          <w:color w:val="auto"/>
          <w:highlight w:val="none"/>
        </w:rPr>
        <w:t xml:space="preserve">六、双方约定的其他工程质量保修事项： </w:t>
      </w:r>
    </w:p>
    <w:p w14:paraId="0E2AE485">
      <w:pPr>
        <w:spacing w:line="360" w:lineRule="auto"/>
        <w:ind w:firstLine="420" w:firstLineChars="200"/>
        <w:jc w:val="lef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属于保修范围、内容的项目，承包人应当在接到保修通知之日 起 2 天内派人保修。发包人在保修通知中应明确要求承包人进场维修时间和维修完成的时间。 </w:t>
      </w:r>
    </w:p>
    <w:p w14:paraId="1E8D82C2">
      <w:pPr>
        <w:spacing w:line="360" w:lineRule="auto"/>
        <w:ind w:firstLine="420" w:firstLineChars="200"/>
        <w:jc w:val="lef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保修通知的方式和要求具体如下： </w:t>
      </w:r>
    </w:p>
    <w:p w14:paraId="35DE080C">
      <w:pPr>
        <w:spacing w:line="360" w:lineRule="auto"/>
        <w:ind w:firstLine="420" w:firstLineChars="200"/>
        <w:jc w:val="lef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1.承包人向发包人提出竣工验收申请时，以书面形式明确其工程项目质量保修期内指定的维修负责人及承包人另行授权负责人的 24 小时服务报修电话。保修期间发包人可通过报修电话口头向承包人报修。承包人自项目工程竣工验收日起至项目工程质量保修期期满验收合格日止，保修期内如承包人明确的维修负责人及承包人另行授权负责人的 24 小时服务报修电话发生变更，承包人需次日以书面的形式告知发包人，发包人因承包人变更联系方式而未能告知承包人相关维修事宜的，造成的损失由承包人承担。 </w:t>
      </w:r>
    </w:p>
    <w:p w14:paraId="21E77759">
      <w:pPr>
        <w:spacing w:line="360" w:lineRule="auto"/>
        <w:ind w:firstLine="420" w:firstLineChars="200"/>
        <w:jc w:val="lef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2.工程竣工交付使用起至保修期满，发包人通过承包人的报修电话向承包人报修。同时承包人授权的工程负责人或其委托人应于当天到发包人质量安全监管部签收保修通知。如承包人未到现场签收保修通知，由发包人次日以邮寄的方式向承包人发出书面的报修通知，邮资由承包人负责，具体由发包人直接在承包人的质量保修金中扣付。 </w:t>
      </w:r>
    </w:p>
    <w:p w14:paraId="47DA53A5">
      <w:pPr>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u w:val="single"/>
        </w:rPr>
        <w:t xml:space="preserve">3.对紧急抢修事故（如路面损毁、排水受阻等影响业主正常生活），发包人随时通过承包人的报修电话向承包人报修。承包人在接到事故通知后，应当立即到达事故现场抢修，并于抢修完成后二个工作日内与发包人以书面形式对通知和抢修事宜进行确认 </w:t>
      </w:r>
      <w:r>
        <w:rPr>
          <w:rFonts w:hint="eastAsia" w:ascii="宋体" w:hAnsi="宋体" w:eastAsia="宋体" w:cs="宋体"/>
          <w:color w:val="auto"/>
          <w:highlight w:val="none"/>
        </w:rPr>
        <w:t>。</w:t>
      </w:r>
    </w:p>
    <w:p w14:paraId="1DC7B144">
      <w:pPr>
        <w:spacing w:line="360" w:lineRule="auto"/>
        <w:ind w:firstLine="399" w:firstLineChars="190"/>
        <w:rPr>
          <w:rFonts w:ascii="宋体" w:hAnsi="宋体" w:eastAsia="宋体" w:cs="宋体"/>
          <w:color w:val="auto"/>
          <w:highlight w:val="none"/>
        </w:rPr>
      </w:pPr>
      <w:r>
        <w:rPr>
          <w:rFonts w:hint="eastAsia" w:ascii="宋体" w:hAnsi="宋体" w:eastAsia="宋体" w:cs="宋体"/>
          <w:color w:val="auto"/>
          <w:highlight w:val="none"/>
        </w:rPr>
        <w:t>工程质量保修书由发包人、承包人在工程竣工验收前共同签署，作为施工合同附件，其有效期限至保修期满。</w:t>
      </w:r>
    </w:p>
    <w:p w14:paraId="10E84CC1">
      <w:pPr>
        <w:spacing w:line="360" w:lineRule="auto"/>
        <w:ind w:firstLine="420"/>
        <w:rPr>
          <w:rFonts w:ascii="宋体" w:hAnsi="宋体" w:eastAsia="宋体" w:cs="宋体"/>
          <w:color w:val="auto"/>
          <w:highlight w:val="none"/>
        </w:rPr>
      </w:pPr>
    </w:p>
    <w:p w14:paraId="3AD553CB">
      <w:pPr>
        <w:spacing w:line="360" w:lineRule="auto"/>
        <w:rPr>
          <w:rFonts w:ascii="宋体" w:hAnsi="宋体" w:eastAsia="宋体" w:cs="宋体"/>
          <w:color w:val="auto"/>
          <w:highlight w:val="none"/>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rPr>
        <w:t xml:space="preserve">         </w:t>
      </w:r>
      <w:r>
        <w:rPr>
          <w:rFonts w:hint="eastAsia" w:ascii="宋体" w:hAnsi="宋体" w:eastAsia="宋体" w:cs="宋体"/>
          <w:color w:val="auto"/>
          <w:highlight w:val="none"/>
        </w:rPr>
        <w:t xml:space="preserve">             承包人（公章）：</w:t>
      </w:r>
      <w:r>
        <w:rPr>
          <w:rFonts w:hint="eastAsia" w:ascii="宋体" w:hAnsi="宋体" w:eastAsia="宋体" w:cs="宋体"/>
          <w:color w:val="auto"/>
          <w:highlight w:val="none"/>
          <w:u w:val="single"/>
        </w:rPr>
        <w:t>          </w:t>
      </w:r>
    </w:p>
    <w:p w14:paraId="24FC57C2">
      <w:pPr>
        <w:spacing w:line="360" w:lineRule="auto"/>
        <w:rPr>
          <w:rFonts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w:t>
      </w:r>
    </w:p>
    <w:p w14:paraId="7FBF6C1D">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法定代表人（签字）：</w:t>
      </w:r>
      <w:r>
        <w:rPr>
          <w:rFonts w:hint="eastAsia" w:ascii="宋体" w:hAnsi="宋体" w:eastAsia="宋体" w:cs="宋体"/>
          <w:color w:val="auto"/>
          <w:highlight w:val="none"/>
          <w:u w:val="single"/>
        </w:rPr>
        <w:t>     </w:t>
      </w:r>
    </w:p>
    <w:p w14:paraId="6DA38F0A">
      <w:pPr>
        <w:spacing w:line="360" w:lineRule="auto"/>
        <w:rPr>
          <w:rFonts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委托代理人（签字）：</w:t>
      </w:r>
      <w:r>
        <w:rPr>
          <w:rFonts w:hint="eastAsia" w:ascii="宋体" w:hAnsi="宋体" w:eastAsia="宋体" w:cs="宋体"/>
          <w:color w:val="auto"/>
          <w:highlight w:val="none"/>
          <w:u w:val="single"/>
        </w:rPr>
        <w:t>     </w:t>
      </w:r>
    </w:p>
    <w:p w14:paraId="36B3723D">
      <w:pPr>
        <w:spacing w:line="360" w:lineRule="auto"/>
        <w:rPr>
          <w:rFonts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      </w:t>
      </w:r>
    </w:p>
    <w:p w14:paraId="1D324E87">
      <w:pPr>
        <w:spacing w:line="360" w:lineRule="auto"/>
        <w:rPr>
          <w:rFonts w:ascii="宋体" w:hAnsi="宋体" w:eastAsia="宋体" w:cs="宋体"/>
          <w:color w:val="auto"/>
          <w:highlight w:val="none"/>
        </w:rPr>
      </w:pPr>
      <w:r>
        <w:rPr>
          <w:rFonts w:hint="eastAsia" w:ascii="宋体" w:hAnsi="宋体" w:eastAsia="宋体" w:cs="宋体"/>
          <w:color w:val="auto"/>
          <w:highlight w:val="none"/>
        </w:rPr>
        <w:t>传  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  真：</w:t>
      </w:r>
      <w:r>
        <w:rPr>
          <w:rFonts w:hint="eastAsia" w:ascii="宋体" w:hAnsi="宋体" w:eastAsia="宋体" w:cs="宋体"/>
          <w:color w:val="auto"/>
          <w:highlight w:val="none"/>
          <w:u w:val="single"/>
        </w:rPr>
        <w:t>    </w:t>
      </w:r>
    </w:p>
    <w:p w14:paraId="2DFB45A5">
      <w:pPr>
        <w:spacing w:line="360" w:lineRule="auto"/>
        <w:rPr>
          <w:rFonts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w:t>
      </w:r>
    </w:p>
    <w:p w14:paraId="1BAB920D">
      <w:pPr>
        <w:tabs>
          <w:tab w:val="left" w:pos="2880"/>
          <w:tab w:val="left" w:pos="3060"/>
          <w:tab w:val="left" w:pos="4500"/>
        </w:tabs>
        <w:spacing w:line="360" w:lineRule="auto"/>
        <w:rPr>
          <w:rFonts w:ascii="宋体" w:hAnsi="宋体" w:eastAsia="宋体" w:cs="宋体"/>
          <w:color w:val="auto"/>
          <w:highlight w:val="none"/>
        </w:rPr>
      </w:pPr>
      <w:r>
        <w:rPr>
          <w:rFonts w:hint="eastAsia" w:ascii="宋体" w:hAnsi="宋体" w:eastAsia="宋体" w:cs="宋体"/>
          <w:color w:val="auto"/>
          <w:highlight w:val="none"/>
        </w:rPr>
        <w:t>账  号：</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账  号：</w:t>
      </w:r>
      <w:r>
        <w:rPr>
          <w:rFonts w:hint="eastAsia" w:ascii="宋体" w:hAnsi="宋体" w:eastAsia="宋体" w:cs="宋体"/>
          <w:color w:val="auto"/>
          <w:highlight w:val="none"/>
          <w:u w:val="single"/>
        </w:rPr>
        <w:t>    </w:t>
      </w:r>
    </w:p>
    <w:p w14:paraId="200EBEA9">
      <w:pPr>
        <w:tabs>
          <w:tab w:val="left" w:pos="7200"/>
          <w:tab w:val="left" w:pos="7380"/>
          <w:tab w:val="left" w:pos="7560"/>
        </w:tabs>
        <w:spacing w:line="360" w:lineRule="auto"/>
        <w:rPr>
          <w:rFonts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w:t>
      </w:r>
    </w:p>
    <w:p w14:paraId="70B52D3D">
      <w:pPr>
        <w:spacing w:before="120" w:beforeLines="50" w:after="120" w:afterLines="50" w:line="440" w:lineRule="exact"/>
        <w:jc w:val="center"/>
        <w:rPr>
          <w:rFonts w:ascii="宋体" w:hAnsi="宋体" w:eastAsia="宋体" w:cs="宋体"/>
          <w:color w:val="auto"/>
          <w:sz w:val="32"/>
          <w:szCs w:val="32"/>
          <w:highlight w:val="none"/>
        </w:rPr>
      </w:pPr>
    </w:p>
    <w:p w14:paraId="719560D0">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3：</w:t>
      </w:r>
    </w:p>
    <w:p w14:paraId="0AAFFBE2">
      <w:pPr>
        <w:spacing w:before="120" w:beforeLines="50" w:after="120" w:afterLines="50" w:line="44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主要建设工程文件目录</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9687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C5ECB5F">
            <w:pPr>
              <w:pStyle w:val="19"/>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文件名称</w:t>
            </w:r>
          </w:p>
        </w:tc>
        <w:tc>
          <w:tcPr>
            <w:tcW w:w="1276" w:type="dxa"/>
            <w:tcBorders>
              <w:top w:val="single" w:color="auto" w:sz="12" w:space="0"/>
              <w:bottom w:val="double" w:color="auto" w:sz="6" w:space="0"/>
            </w:tcBorders>
            <w:vAlign w:val="center"/>
          </w:tcPr>
          <w:p w14:paraId="7BACACD0">
            <w:pPr>
              <w:pStyle w:val="19"/>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套数</w:t>
            </w:r>
          </w:p>
        </w:tc>
        <w:tc>
          <w:tcPr>
            <w:tcW w:w="1450" w:type="dxa"/>
            <w:tcBorders>
              <w:top w:val="single" w:color="auto" w:sz="12" w:space="0"/>
              <w:bottom w:val="double" w:color="auto" w:sz="6" w:space="0"/>
            </w:tcBorders>
            <w:vAlign w:val="center"/>
          </w:tcPr>
          <w:p w14:paraId="2A6E9556">
            <w:pPr>
              <w:pStyle w:val="19"/>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费用（元）</w:t>
            </w:r>
          </w:p>
        </w:tc>
        <w:tc>
          <w:tcPr>
            <w:tcW w:w="1243" w:type="dxa"/>
            <w:tcBorders>
              <w:top w:val="single" w:color="auto" w:sz="12" w:space="0"/>
              <w:bottom w:val="double" w:color="auto" w:sz="6" w:space="0"/>
            </w:tcBorders>
            <w:vAlign w:val="center"/>
          </w:tcPr>
          <w:p w14:paraId="6F63BBC3">
            <w:pPr>
              <w:pStyle w:val="19"/>
              <w:keepNext/>
              <w:spacing w:line="440" w:lineRule="exact"/>
              <w:ind w:left="63" w:right="63"/>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质量</w:t>
            </w:r>
          </w:p>
        </w:tc>
        <w:tc>
          <w:tcPr>
            <w:tcW w:w="1450" w:type="dxa"/>
            <w:tcBorders>
              <w:top w:val="single" w:color="auto" w:sz="12" w:space="0"/>
              <w:bottom w:val="double" w:color="auto" w:sz="6" w:space="0"/>
            </w:tcBorders>
          </w:tcPr>
          <w:p w14:paraId="60271888">
            <w:pPr>
              <w:spacing w:line="440" w:lineRule="exact"/>
              <w:jc w:val="center"/>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移交时间</w:t>
            </w:r>
          </w:p>
        </w:tc>
        <w:tc>
          <w:tcPr>
            <w:tcW w:w="1667" w:type="dxa"/>
            <w:tcBorders>
              <w:top w:val="single" w:color="auto" w:sz="12" w:space="0"/>
              <w:bottom w:val="double" w:color="auto" w:sz="6" w:space="0"/>
            </w:tcBorders>
          </w:tcPr>
          <w:p w14:paraId="56E4FA70">
            <w:pPr>
              <w:spacing w:line="440" w:lineRule="exact"/>
              <w:jc w:val="center"/>
              <w:rPr>
                <w:rFonts w:ascii="宋体" w:hAnsi="宋体" w:eastAsia="宋体" w:cs="宋体"/>
                <w:color w:val="auto"/>
                <w:sz w:val="28"/>
                <w:szCs w:val="30"/>
                <w:highlight w:val="none"/>
              </w:rPr>
            </w:pPr>
            <w:r>
              <w:rPr>
                <w:rFonts w:hint="eastAsia" w:ascii="宋体" w:hAnsi="宋体" w:eastAsia="宋体" w:cs="宋体"/>
                <w:color w:val="auto"/>
                <w:sz w:val="28"/>
                <w:szCs w:val="30"/>
                <w:highlight w:val="none"/>
              </w:rPr>
              <w:t>责任人</w:t>
            </w:r>
          </w:p>
        </w:tc>
      </w:tr>
      <w:tr w14:paraId="1604F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2895C1D8">
            <w:pPr>
              <w:pStyle w:val="19"/>
              <w:keepNext/>
              <w:spacing w:line="440" w:lineRule="exact"/>
              <w:ind w:left="63" w:right="63"/>
              <w:rPr>
                <w:rFonts w:ascii="宋体" w:hAnsi="宋体" w:eastAsia="宋体" w:cs="宋体"/>
                <w:color w:val="auto"/>
                <w:sz w:val="30"/>
                <w:szCs w:val="30"/>
                <w:highlight w:val="none"/>
              </w:rPr>
            </w:pPr>
          </w:p>
        </w:tc>
        <w:tc>
          <w:tcPr>
            <w:tcW w:w="1276" w:type="dxa"/>
            <w:tcBorders>
              <w:top w:val="double" w:color="auto" w:sz="6" w:space="0"/>
              <w:bottom w:val="single" w:color="auto" w:sz="6" w:space="0"/>
            </w:tcBorders>
            <w:vAlign w:val="center"/>
          </w:tcPr>
          <w:p w14:paraId="143A474D">
            <w:pPr>
              <w:pStyle w:val="19"/>
              <w:keepNext/>
              <w:spacing w:line="440" w:lineRule="exact"/>
              <w:ind w:left="63" w:right="63"/>
              <w:rPr>
                <w:rFonts w:ascii="宋体" w:hAnsi="宋体" w:eastAsia="宋体" w:cs="宋体"/>
                <w:color w:val="auto"/>
                <w:sz w:val="30"/>
                <w:szCs w:val="30"/>
                <w:highlight w:val="none"/>
              </w:rPr>
            </w:pPr>
          </w:p>
        </w:tc>
        <w:tc>
          <w:tcPr>
            <w:tcW w:w="1450" w:type="dxa"/>
            <w:tcBorders>
              <w:top w:val="double" w:color="auto" w:sz="6" w:space="0"/>
              <w:bottom w:val="single" w:color="auto" w:sz="6" w:space="0"/>
            </w:tcBorders>
            <w:vAlign w:val="center"/>
          </w:tcPr>
          <w:p w14:paraId="1ACE018F">
            <w:pPr>
              <w:pStyle w:val="19"/>
              <w:keepNext/>
              <w:spacing w:line="440" w:lineRule="exact"/>
              <w:ind w:left="63" w:right="63"/>
              <w:rPr>
                <w:rFonts w:ascii="宋体" w:hAnsi="宋体" w:eastAsia="宋体" w:cs="宋体"/>
                <w:color w:val="auto"/>
                <w:sz w:val="30"/>
                <w:szCs w:val="30"/>
                <w:highlight w:val="none"/>
              </w:rPr>
            </w:pPr>
          </w:p>
        </w:tc>
        <w:tc>
          <w:tcPr>
            <w:tcW w:w="1243" w:type="dxa"/>
            <w:tcBorders>
              <w:top w:val="double" w:color="auto" w:sz="6" w:space="0"/>
              <w:bottom w:val="single" w:color="auto" w:sz="6" w:space="0"/>
            </w:tcBorders>
            <w:vAlign w:val="center"/>
          </w:tcPr>
          <w:p w14:paraId="6C1E8158">
            <w:pPr>
              <w:pStyle w:val="19"/>
              <w:keepNext/>
              <w:spacing w:line="440" w:lineRule="exact"/>
              <w:ind w:left="63" w:right="63"/>
              <w:rPr>
                <w:rFonts w:ascii="宋体" w:hAnsi="宋体" w:eastAsia="宋体" w:cs="宋体"/>
                <w:color w:val="auto"/>
                <w:sz w:val="30"/>
                <w:szCs w:val="30"/>
                <w:highlight w:val="none"/>
              </w:rPr>
            </w:pPr>
          </w:p>
        </w:tc>
        <w:tc>
          <w:tcPr>
            <w:tcW w:w="1450" w:type="dxa"/>
            <w:tcBorders>
              <w:top w:val="double" w:color="auto" w:sz="6" w:space="0"/>
              <w:bottom w:val="single" w:color="auto" w:sz="6" w:space="0"/>
            </w:tcBorders>
            <w:vAlign w:val="center"/>
          </w:tcPr>
          <w:p w14:paraId="69550839">
            <w:pPr>
              <w:pStyle w:val="19"/>
              <w:keepNext/>
              <w:spacing w:line="440" w:lineRule="exact"/>
              <w:ind w:left="63" w:right="63"/>
              <w:rPr>
                <w:rFonts w:ascii="宋体" w:hAnsi="宋体" w:eastAsia="宋体" w:cs="宋体"/>
                <w:color w:val="auto"/>
                <w:sz w:val="30"/>
                <w:szCs w:val="30"/>
                <w:highlight w:val="none"/>
              </w:rPr>
            </w:pPr>
          </w:p>
        </w:tc>
        <w:tc>
          <w:tcPr>
            <w:tcW w:w="1667" w:type="dxa"/>
            <w:tcBorders>
              <w:top w:val="double" w:color="auto" w:sz="6" w:space="0"/>
              <w:bottom w:val="single" w:color="auto" w:sz="6" w:space="0"/>
            </w:tcBorders>
            <w:vAlign w:val="center"/>
          </w:tcPr>
          <w:p w14:paraId="7E296B43">
            <w:pPr>
              <w:pStyle w:val="19"/>
              <w:keepNext/>
              <w:spacing w:line="440" w:lineRule="exact"/>
              <w:ind w:left="63" w:right="63"/>
              <w:rPr>
                <w:rFonts w:ascii="宋体" w:hAnsi="宋体" w:eastAsia="宋体" w:cs="宋体"/>
                <w:color w:val="auto"/>
                <w:sz w:val="30"/>
                <w:szCs w:val="30"/>
                <w:highlight w:val="none"/>
              </w:rPr>
            </w:pPr>
          </w:p>
        </w:tc>
      </w:tr>
      <w:tr w14:paraId="68DD7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56FE99F7">
            <w:pPr>
              <w:pStyle w:val="19"/>
              <w:keepNext/>
              <w:spacing w:line="440" w:lineRule="exact"/>
              <w:ind w:left="63" w:right="63"/>
              <w:rPr>
                <w:rFonts w:ascii="宋体" w:hAnsi="宋体" w:eastAsia="宋体" w:cs="宋体"/>
                <w:color w:val="auto"/>
                <w:sz w:val="30"/>
                <w:szCs w:val="30"/>
                <w:highlight w:val="none"/>
              </w:rPr>
            </w:pPr>
          </w:p>
        </w:tc>
        <w:tc>
          <w:tcPr>
            <w:tcW w:w="1276" w:type="dxa"/>
            <w:tcBorders>
              <w:top w:val="nil"/>
            </w:tcBorders>
            <w:vAlign w:val="center"/>
          </w:tcPr>
          <w:p w14:paraId="00658D79">
            <w:pPr>
              <w:pStyle w:val="19"/>
              <w:keepNext/>
              <w:spacing w:line="440" w:lineRule="exact"/>
              <w:ind w:left="63" w:right="63"/>
              <w:rPr>
                <w:rFonts w:ascii="宋体" w:hAnsi="宋体" w:eastAsia="宋体" w:cs="宋体"/>
                <w:color w:val="auto"/>
                <w:sz w:val="30"/>
                <w:szCs w:val="30"/>
                <w:highlight w:val="none"/>
              </w:rPr>
            </w:pPr>
          </w:p>
        </w:tc>
        <w:tc>
          <w:tcPr>
            <w:tcW w:w="1450" w:type="dxa"/>
            <w:tcBorders>
              <w:top w:val="nil"/>
            </w:tcBorders>
            <w:vAlign w:val="center"/>
          </w:tcPr>
          <w:p w14:paraId="52F10E48">
            <w:pPr>
              <w:pStyle w:val="19"/>
              <w:keepNext/>
              <w:spacing w:line="440" w:lineRule="exact"/>
              <w:ind w:left="63" w:right="63"/>
              <w:rPr>
                <w:rFonts w:ascii="宋体" w:hAnsi="宋体" w:eastAsia="宋体" w:cs="宋体"/>
                <w:color w:val="auto"/>
                <w:sz w:val="30"/>
                <w:szCs w:val="30"/>
                <w:highlight w:val="none"/>
              </w:rPr>
            </w:pPr>
          </w:p>
        </w:tc>
        <w:tc>
          <w:tcPr>
            <w:tcW w:w="1243" w:type="dxa"/>
            <w:tcBorders>
              <w:top w:val="nil"/>
            </w:tcBorders>
            <w:vAlign w:val="center"/>
          </w:tcPr>
          <w:p w14:paraId="04BDCA43">
            <w:pPr>
              <w:pStyle w:val="19"/>
              <w:keepNext/>
              <w:spacing w:line="440" w:lineRule="exact"/>
              <w:ind w:left="63" w:right="63"/>
              <w:rPr>
                <w:rFonts w:ascii="宋体" w:hAnsi="宋体" w:eastAsia="宋体" w:cs="宋体"/>
                <w:color w:val="auto"/>
                <w:sz w:val="30"/>
                <w:szCs w:val="30"/>
                <w:highlight w:val="none"/>
              </w:rPr>
            </w:pPr>
          </w:p>
        </w:tc>
        <w:tc>
          <w:tcPr>
            <w:tcW w:w="1450" w:type="dxa"/>
            <w:tcBorders>
              <w:top w:val="nil"/>
            </w:tcBorders>
            <w:vAlign w:val="center"/>
          </w:tcPr>
          <w:p w14:paraId="00050FA3">
            <w:pPr>
              <w:pStyle w:val="19"/>
              <w:keepNext/>
              <w:spacing w:line="440" w:lineRule="exact"/>
              <w:ind w:left="63" w:right="63"/>
              <w:rPr>
                <w:rFonts w:ascii="宋体" w:hAnsi="宋体" w:eastAsia="宋体" w:cs="宋体"/>
                <w:color w:val="auto"/>
                <w:sz w:val="30"/>
                <w:szCs w:val="30"/>
                <w:highlight w:val="none"/>
              </w:rPr>
            </w:pPr>
          </w:p>
        </w:tc>
        <w:tc>
          <w:tcPr>
            <w:tcW w:w="1667" w:type="dxa"/>
            <w:tcBorders>
              <w:top w:val="nil"/>
            </w:tcBorders>
            <w:vAlign w:val="center"/>
          </w:tcPr>
          <w:p w14:paraId="5D358288">
            <w:pPr>
              <w:pStyle w:val="19"/>
              <w:keepNext/>
              <w:spacing w:line="440" w:lineRule="exact"/>
              <w:ind w:left="63" w:right="63"/>
              <w:rPr>
                <w:rFonts w:ascii="宋体" w:hAnsi="宋体" w:eastAsia="宋体" w:cs="宋体"/>
                <w:color w:val="auto"/>
                <w:sz w:val="30"/>
                <w:szCs w:val="30"/>
                <w:highlight w:val="none"/>
              </w:rPr>
            </w:pPr>
          </w:p>
        </w:tc>
      </w:tr>
      <w:tr w14:paraId="0C57F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40184C0">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194E6FB3">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711FF779">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7265C7CD">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45AF0493">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664F540A">
            <w:pPr>
              <w:pStyle w:val="19"/>
              <w:keepNext/>
              <w:spacing w:line="440" w:lineRule="exact"/>
              <w:ind w:left="63" w:right="63"/>
              <w:rPr>
                <w:rFonts w:ascii="宋体" w:hAnsi="宋体" w:eastAsia="宋体" w:cs="宋体"/>
                <w:color w:val="auto"/>
                <w:sz w:val="30"/>
                <w:szCs w:val="30"/>
                <w:highlight w:val="none"/>
              </w:rPr>
            </w:pPr>
          </w:p>
        </w:tc>
      </w:tr>
      <w:tr w14:paraId="549E3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6E8A24E">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45A75291">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3F176269">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7F2738E6">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1EBEB8D5">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15C57ECD">
            <w:pPr>
              <w:pStyle w:val="19"/>
              <w:keepNext/>
              <w:spacing w:line="440" w:lineRule="exact"/>
              <w:ind w:left="63" w:right="63"/>
              <w:rPr>
                <w:rFonts w:ascii="宋体" w:hAnsi="宋体" w:eastAsia="宋体" w:cs="宋体"/>
                <w:color w:val="auto"/>
                <w:sz w:val="30"/>
                <w:szCs w:val="30"/>
                <w:highlight w:val="none"/>
              </w:rPr>
            </w:pPr>
          </w:p>
        </w:tc>
      </w:tr>
      <w:tr w14:paraId="291D7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42B663C">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1FFDDB5F">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68D5A19A">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66A585D5">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770C2400">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27CE1C39">
            <w:pPr>
              <w:pStyle w:val="19"/>
              <w:keepNext/>
              <w:spacing w:line="440" w:lineRule="exact"/>
              <w:ind w:left="63" w:right="63"/>
              <w:rPr>
                <w:rFonts w:ascii="宋体" w:hAnsi="宋体" w:eastAsia="宋体" w:cs="宋体"/>
                <w:color w:val="auto"/>
                <w:sz w:val="30"/>
                <w:szCs w:val="30"/>
                <w:highlight w:val="none"/>
              </w:rPr>
            </w:pPr>
          </w:p>
        </w:tc>
      </w:tr>
      <w:tr w14:paraId="6EB8B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9CCCFBE">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714A9A17">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56065E0A">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4D527EDF">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70DA17A9">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79CAA8C0">
            <w:pPr>
              <w:pStyle w:val="19"/>
              <w:keepNext/>
              <w:spacing w:line="440" w:lineRule="exact"/>
              <w:ind w:left="63" w:right="63"/>
              <w:rPr>
                <w:rFonts w:ascii="宋体" w:hAnsi="宋体" w:eastAsia="宋体" w:cs="宋体"/>
                <w:color w:val="auto"/>
                <w:sz w:val="30"/>
                <w:szCs w:val="30"/>
                <w:highlight w:val="none"/>
              </w:rPr>
            </w:pPr>
          </w:p>
        </w:tc>
      </w:tr>
      <w:tr w14:paraId="5487C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94347A">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10AE069D">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7F4063C9">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64412368">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31F843B2">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1C49C142">
            <w:pPr>
              <w:pStyle w:val="19"/>
              <w:keepNext/>
              <w:spacing w:line="440" w:lineRule="exact"/>
              <w:ind w:left="63" w:right="63"/>
              <w:rPr>
                <w:rFonts w:ascii="宋体" w:hAnsi="宋体" w:eastAsia="宋体" w:cs="宋体"/>
                <w:color w:val="auto"/>
                <w:sz w:val="30"/>
                <w:szCs w:val="30"/>
                <w:highlight w:val="none"/>
              </w:rPr>
            </w:pPr>
          </w:p>
        </w:tc>
      </w:tr>
      <w:tr w14:paraId="52123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6E8C360">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5A9C3AAD">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3683E1FB">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7C811992">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7FBEE980">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5A10D041">
            <w:pPr>
              <w:pStyle w:val="19"/>
              <w:keepNext/>
              <w:spacing w:line="440" w:lineRule="exact"/>
              <w:ind w:left="63" w:right="63"/>
              <w:rPr>
                <w:rFonts w:ascii="宋体" w:hAnsi="宋体" w:eastAsia="宋体" w:cs="宋体"/>
                <w:color w:val="auto"/>
                <w:sz w:val="30"/>
                <w:szCs w:val="30"/>
                <w:highlight w:val="none"/>
              </w:rPr>
            </w:pPr>
          </w:p>
        </w:tc>
      </w:tr>
      <w:tr w14:paraId="53A32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FFE821B">
            <w:pPr>
              <w:rPr>
                <w:rFonts w:ascii="宋体" w:hAnsi="宋体" w:eastAsia="宋体" w:cs="宋体"/>
                <w:color w:val="auto"/>
                <w:sz w:val="30"/>
                <w:szCs w:val="30"/>
                <w:highlight w:val="none"/>
              </w:rPr>
            </w:pPr>
          </w:p>
        </w:tc>
        <w:tc>
          <w:tcPr>
            <w:tcW w:w="1276" w:type="dxa"/>
          </w:tcPr>
          <w:p w14:paraId="01D1FEAF">
            <w:pPr>
              <w:rPr>
                <w:rFonts w:ascii="宋体" w:hAnsi="宋体" w:eastAsia="宋体" w:cs="宋体"/>
                <w:color w:val="auto"/>
                <w:sz w:val="30"/>
                <w:szCs w:val="30"/>
                <w:highlight w:val="none"/>
              </w:rPr>
            </w:pPr>
          </w:p>
        </w:tc>
        <w:tc>
          <w:tcPr>
            <w:tcW w:w="1450" w:type="dxa"/>
          </w:tcPr>
          <w:p w14:paraId="70242DE1">
            <w:pPr>
              <w:rPr>
                <w:rFonts w:ascii="宋体" w:hAnsi="宋体" w:eastAsia="宋体" w:cs="宋体"/>
                <w:color w:val="auto"/>
                <w:sz w:val="30"/>
                <w:szCs w:val="30"/>
                <w:highlight w:val="none"/>
              </w:rPr>
            </w:pPr>
          </w:p>
        </w:tc>
        <w:tc>
          <w:tcPr>
            <w:tcW w:w="1243" w:type="dxa"/>
          </w:tcPr>
          <w:p w14:paraId="3700F452">
            <w:pPr>
              <w:rPr>
                <w:rFonts w:ascii="宋体" w:hAnsi="宋体" w:eastAsia="宋体" w:cs="宋体"/>
                <w:color w:val="auto"/>
                <w:sz w:val="30"/>
                <w:szCs w:val="30"/>
                <w:highlight w:val="none"/>
              </w:rPr>
            </w:pPr>
          </w:p>
        </w:tc>
        <w:tc>
          <w:tcPr>
            <w:tcW w:w="1450" w:type="dxa"/>
          </w:tcPr>
          <w:p w14:paraId="3AA9C7A1">
            <w:pPr>
              <w:rPr>
                <w:rFonts w:ascii="宋体" w:hAnsi="宋体" w:eastAsia="宋体" w:cs="宋体"/>
                <w:color w:val="auto"/>
                <w:sz w:val="30"/>
                <w:szCs w:val="30"/>
                <w:highlight w:val="none"/>
              </w:rPr>
            </w:pPr>
          </w:p>
        </w:tc>
        <w:tc>
          <w:tcPr>
            <w:tcW w:w="1667" w:type="dxa"/>
          </w:tcPr>
          <w:p w14:paraId="1E5C3D2A">
            <w:pPr>
              <w:rPr>
                <w:rFonts w:ascii="宋体" w:hAnsi="宋体" w:eastAsia="宋体" w:cs="宋体"/>
                <w:color w:val="auto"/>
                <w:sz w:val="30"/>
                <w:szCs w:val="30"/>
                <w:highlight w:val="none"/>
              </w:rPr>
            </w:pPr>
          </w:p>
        </w:tc>
      </w:tr>
      <w:tr w14:paraId="357DD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526E9BF">
            <w:pPr>
              <w:pStyle w:val="19"/>
              <w:keepNext/>
              <w:spacing w:line="440" w:lineRule="exact"/>
              <w:ind w:left="63" w:right="63"/>
              <w:rPr>
                <w:rFonts w:ascii="宋体" w:hAnsi="宋体" w:eastAsia="宋体" w:cs="宋体"/>
                <w:color w:val="auto"/>
                <w:sz w:val="30"/>
                <w:szCs w:val="30"/>
                <w:highlight w:val="none"/>
              </w:rPr>
            </w:pPr>
          </w:p>
        </w:tc>
        <w:tc>
          <w:tcPr>
            <w:tcW w:w="1276" w:type="dxa"/>
            <w:vAlign w:val="center"/>
          </w:tcPr>
          <w:p w14:paraId="30E21024">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6B92010E">
            <w:pPr>
              <w:pStyle w:val="19"/>
              <w:keepNext/>
              <w:spacing w:line="440" w:lineRule="exact"/>
              <w:ind w:left="63" w:right="63"/>
              <w:rPr>
                <w:rFonts w:ascii="宋体" w:hAnsi="宋体" w:eastAsia="宋体" w:cs="宋体"/>
                <w:color w:val="auto"/>
                <w:sz w:val="30"/>
                <w:szCs w:val="30"/>
                <w:highlight w:val="none"/>
              </w:rPr>
            </w:pPr>
          </w:p>
        </w:tc>
        <w:tc>
          <w:tcPr>
            <w:tcW w:w="1243" w:type="dxa"/>
            <w:vAlign w:val="center"/>
          </w:tcPr>
          <w:p w14:paraId="5B3F56F8">
            <w:pPr>
              <w:pStyle w:val="19"/>
              <w:keepNext/>
              <w:spacing w:line="440" w:lineRule="exact"/>
              <w:ind w:left="63" w:right="63"/>
              <w:rPr>
                <w:rFonts w:ascii="宋体" w:hAnsi="宋体" w:eastAsia="宋体" w:cs="宋体"/>
                <w:color w:val="auto"/>
                <w:sz w:val="30"/>
                <w:szCs w:val="30"/>
                <w:highlight w:val="none"/>
              </w:rPr>
            </w:pPr>
          </w:p>
        </w:tc>
        <w:tc>
          <w:tcPr>
            <w:tcW w:w="1450" w:type="dxa"/>
            <w:vAlign w:val="center"/>
          </w:tcPr>
          <w:p w14:paraId="27F83CB1">
            <w:pPr>
              <w:pStyle w:val="19"/>
              <w:keepNext/>
              <w:spacing w:line="440" w:lineRule="exact"/>
              <w:ind w:left="63" w:right="63"/>
              <w:rPr>
                <w:rFonts w:ascii="宋体" w:hAnsi="宋体" w:eastAsia="宋体" w:cs="宋体"/>
                <w:color w:val="auto"/>
                <w:sz w:val="30"/>
                <w:szCs w:val="30"/>
                <w:highlight w:val="none"/>
              </w:rPr>
            </w:pPr>
          </w:p>
        </w:tc>
        <w:tc>
          <w:tcPr>
            <w:tcW w:w="1667" w:type="dxa"/>
            <w:vAlign w:val="center"/>
          </w:tcPr>
          <w:p w14:paraId="793D088C">
            <w:pPr>
              <w:pStyle w:val="19"/>
              <w:keepNext/>
              <w:spacing w:line="440" w:lineRule="exact"/>
              <w:ind w:left="63" w:right="63"/>
              <w:rPr>
                <w:rFonts w:ascii="宋体" w:hAnsi="宋体" w:eastAsia="宋体" w:cs="宋体"/>
                <w:color w:val="auto"/>
                <w:sz w:val="30"/>
                <w:szCs w:val="30"/>
                <w:highlight w:val="none"/>
              </w:rPr>
            </w:pPr>
          </w:p>
        </w:tc>
      </w:tr>
      <w:tr w14:paraId="49489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6A84F26">
            <w:pPr>
              <w:rPr>
                <w:rFonts w:ascii="宋体" w:hAnsi="宋体" w:eastAsia="宋体" w:cs="宋体"/>
                <w:color w:val="auto"/>
                <w:sz w:val="30"/>
                <w:szCs w:val="30"/>
                <w:highlight w:val="none"/>
              </w:rPr>
            </w:pPr>
          </w:p>
        </w:tc>
        <w:tc>
          <w:tcPr>
            <w:tcW w:w="1276" w:type="dxa"/>
          </w:tcPr>
          <w:p w14:paraId="71F147DB">
            <w:pPr>
              <w:rPr>
                <w:rFonts w:ascii="宋体" w:hAnsi="宋体" w:eastAsia="宋体" w:cs="宋体"/>
                <w:color w:val="auto"/>
                <w:sz w:val="30"/>
                <w:szCs w:val="30"/>
                <w:highlight w:val="none"/>
              </w:rPr>
            </w:pPr>
          </w:p>
        </w:tc>
        <w:tc>
          <w:tcPr>
            <w:tcW w:w="1450" w:type="dxa"/>
          </w:tcPr>
          <w:p w14:paraId="505EA1B5">
            <w:pPr>
              <w:rPr>
                <w:rFonts w:ascii="宋体" w:hAnsi="宋体" w:eastAsia="宋体" w:cs="宋体"/>
                <w:color w:val="auto"/>
                <w:sz w:val="30"/>
                <w:szCs w:val="30"/>
                <w:highlight w:val="none"/>
              </w:rPr>
            </w:pPr>
          </w:p>
        </w:tc>
        <w:tc>
          <w:tcPr>
            <w:tcW w:w="1243" w:type="dxa"/>
          </w:tcPr>
          <w:p w14:paraId="596E6E0D">
            <w:pPr>
              <w:rPr>
                <w:rFonts w:ascii="宋体" w:hAnsi="宋体" w:eastAsia="宋体" w:cs="宋体"/>
                <w:color w:val="auto"/>
                <w:sz w:val="30"/>
                <w:szCs w:val="30"/>
                <w:highlight w:val="none"/>
              </w:rPr>
            </w:pPr>
          </w:p>
        </w:tc>
        <w:tc>
          <w:tcPr>
            <w:tcW w:w="1450" w:type="dxa"/>
          </w:tcPr>
          <w:p w14:paraId="7C80C5A1">
            <w:pPr>
              <w:rPr>
                <w:rFonts w:ascii="宋体" w:hAnsi="宋体" w:eastAsia="宋体" w:cs="宋体"/>
                <w:color w:val="auto"/>
                <w:sz w:val="30"/>
                <w:szCs w:val="30"/>
                <w:highlight w:val="none"/>
              </w:rPr>
            </w:pPr>
          </w:p>
        </w:tc>
        <w:tc>
          <w:tcPr>
            <w:tcW w:w="1667" w:type="dxa"/>
          </w:tcPr>
          <w:p w14:paraId="732ABAAE">
            <w:pPr>
              <w:rPr>
                <w:rFonts w:ascii="宋体" w:hAnsi="宋体" w:eastAsia="宋体" w:cs="宋体"/>
                <w:color w:val="auto"/>
                <w:sz w:val="30"/>
                <w:szCs w:val="30"/>
                <w:highlight w:val="none"/>
              </w:rPr>
            </w:pPr>
          </w:p>
        </w:tc>
      </w:tr>
      <w:tr w14:paraId="034D1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09D40AD">
            <w:pPr>
              <w:rPr>
                <w:rFonts w:ascii="宋体" w:hAnsi="宋体" w:eastAsia="宋体" w:cs="宋体"/>
                <w:color w:val="auto"/>
                <w:sz w:val="30"/>
                <w:szCs w:val="30"/>
                <w:highlight w:val="none"/>
              </w:rPr>
            </w:pPr>
          </w:p>
        </w:tc>
        <w:tc>
          <w:tcPr>
            <w:tcW w:w="1276" w:type="dxa"/>
          </w:tcPr>
          <w:p w14:paraId="2BC6DE27">
            <w:pPr>
              <w:rPr>
                <w:rFonts w:ascii="宋体" w:hAnsi="宋体" w:eastAsia="宋体" w:cs="宋体"/>
                <w:color w:val="auto"/>
                <w:sz w:val="30"/>
                <w:szCs w:val="30"/>
                <w:highlight w:val="none"/>
              </w:rPr>
            </w:pPr>
          </w:p>
        </w:tc>
        <w:tc>
          <w:tcPr>
            <w:tcW w:w="1450" w:type="dxa"/>
          </w:tcPr>
          <w:p w14:paraId="07454594">
            <w:pPr>
              <w:rPr>
                <w:rFonts w:ascii="宋体" w:hAnsi="宋体" w:eastAsia="宋体" w:cs="宋体"/>
                <w:color w:val="auto"/>
                <w:sz w:val="30"/>
                <w:szCs w:val="30"/>
                <w:highlight w:val="none"/>
              </w:rPr>
            </w:pPr>
          </w:p>
        </w:tc>
        <w:tc>
          <w:tcPr>
            <w:tcW w:w="1243" w:type="dxa"/>
          </w:tcPr>
          <w:p w14:paraId="078B01B8">
            <w:pPr>
              <w:rPr>
                <w:rFonts w:ascii="宋体" w:hAnsi="宋体" w:eastAsia="宋体" w:cs="宋体"/>
                <w:color w:val="auto"/>
                <w:sz w:val="30"/>
                <w:szCs w:val="30"/>
                <w:highlight w:val="none"/>
              </w:rPr>
            </w:pPr>
          </w:p>
        </w:tc>
        <w:tc>
          <w:tcPr>
            <w:tcW w:w="1450" w:type="dxa"/>
          </w:tcPr>
          <w:p w14:paraId="7ACD9B7C">
            <w:pPr>
              <w:rPr>
                <w:rFonts w:ascii="宋体" w:hAnsi="宋体" w:eastAsia="宋体" w:cs="宋体"/>
                <w:color w:val="auto"/>
                <w:sz w:val="30"/>
                <w:szCs w:val="30"/>
                <w:highlight w:val="none"/>
              </w:rPr>
            </w:pPr>
          </w:p>
        </w:tc>
        <w:tc>
          <w:tcPr>
            <w:tcW w:w="1667" w:type="dxa"/>
          </w:tcPr>
          <w:p w14:paraId="3CD2EFFA">
            <w:pPr>
              <w:rPr>
                <w:rFonts w:ascii="宋体" w:hAnsi="宋体" w:eastAsia="宋体" w:cs="宋体"/>
                <w:color w:val="auto"/>
                <w:sz w:val="30"/>
                <w:szCs w:val="30"/>
                <w:highlight w:val="none"/>
              </w:rPr>
            </w:pPr>
          </w:p>
        </w:tc>
      </w:tr>
      <w:tr w14:paraId="76B6E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FBA2EF3">
            <w:pPr>
              <w:rPr>
                <w:rFonts w:ascii="宋体" w:hAnsi="宋体" w:eastAsia="宋体" w:cs="宋体"/>
                <w:color w:val="auto"/>
                <w:sz w:val="30"/>
                <w:szCs w:val="30"/>
                <w:highlight w:val="none"/>
              </w:rPr>
            </w:pPr>
          </w:p>
        </w:tc>
        <w:tc>
          <w:tcPr>
            <w:tcW w:w="1276" w:type="dxa"/>
          </w:tcPr>
          <w:p w14:paraId="64A7ED87">
            <w:pPr>
              <w:rPr>
                <w:rFonts w:ascii="宋体" w:hAnsi="宋体" w:eastAsia="宋体" w:cs="宋体"/>
                <w:color w:val="auto"/>
                <w:sz w:val="30"/>
                <w:szCs w:val="30"/>
                <w:highlight w:val="none"/>
              </w:rPr>
            </w:pPr>
          </w:p>
        </w:tc>
        <w:tc>
          <w:tcPr>
            <w:tcW w:w="1450" w:type="dxa"/>
          </w:tcPr>
          <w:p w14:paraId="19504F4D">
            <w:pPr>
              <w:rPr>
                <w:rFonts w:ascii="宋体" w:hAnsi="宋体" w:eastAsia="宋体" w:cs="宋体"/>
                <w:color w:val="auto"/>
                <w:sz w:val="30"/>
                <w:szCs w:val="30"/>
                <w:highlight w:val="none"/>
              </w:rPr>
            </w:pPr>
          </w:p>
        </w:tc>
        <w:tc>
          <w:tcPr>
            <w:tcW w:w="1243" w:type="dxa"/>
          </w:tcPr>
          <w:p w14:paraId="38FF0F18">
            <w:pPr>
              <w:rPr>
                <w:rFonts w:ascii="宋体" w:hAnsi="宋体" w:eastAsia="宋体" w:cs="宋体"/>
                <w:color w:val="auto"/>
                <w:sz w:val="30"/>
                <w:szCs w:val="30"/>
                <w:highlight w:val="none"/>
              </w:rPr>
            </w:pPr>
          </w:p>
        </w:tc>
        <w:tc>
          <w:tcPr>
            <w:tcW w:w="1450" w:type="dxa"/>
          </w:tcPr>
          <w:p w14:paraId="2BF2E88E">
            <w:pPr>
              <w:rPr>
                <w:rFonts w:ascii="宋体" w:hAnsi="宋体" w:eastAsia="宋体" w:cs="宋体"/>
                <w:color w:val="auto"/>
                <w:sz w:val="30"/>
                <w:szCs w:val="30"/>
                <w:highlight w:val="none"/>
              </w:rPr>
            </w:pPr>
          </w:p>
        </w:tc>
        <w:tc>
          <w:tcPr>
            <w:tcW w:w="1667" w:type="dxa"/>
          </w:tcPr>
          <w:p w14:paraId="20D06B73">
            <w:pPr>
              <w:rPr>
                <w:rFonts w:ascii="宋体" w:hAnsi="宋体" w:eastAsia="宋体" w:cs="宋体"/>
                <w:color w:val="auto"/>
                <w:sz w:val="30"/>
                <w:szCs w:val="30"/>
                <w:highlight w:val="none"/>
              </w:rPr>
            </w:pPr>
          </w:p>
        </w:tc>
      </w:tr>
      <w:tr w14:paraId="55C24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20CF781">
            <w:pPr>
              <w:rPr>
                <w:rFonts w:ascii="宋体" w:hAnsi="宋体" w:eastAsia="宋体" w:cs="宋体"/>
                <w:color w:val="auto"/>
                <w:sz w:val="30"/>
                <w:szCs w:val="30"/>
                <w:highlight w:val="none"/>
              </w:rPr>
            </w:pPr>
          </w:p>
        </w:tc>
        <w:tc>
          <w:tcPr>
            <w:tcW w:w="1276" w:type="dxa"/>
          </w:tcPr>
          <w:p w14:paraId="267FE835">
            <w:pPr>
              <w:rPr>
                <w:rFonts w:ascii="宋体" w:hAnsi="宋体" w:eastAsia="宋体" w:cs="宋体"/>
                <w:color w:val="auto"/>
                <w:sz w:val="30"/>
                <w:szCs w:val="30"/>
                <w:highlight w:val="none"/>
              </w:rPr>
            </w:pPr>
          </w:p>
        </w:tc>
        <w:tc>
          <w:tcPr>
            <w:tcW w:w="1450" w:type="dxa"/>
          </w:tcPr>
          <w:p w14:paraId="13FBF2A7">
            <w:pPr>
              <w:rPr>
                <w:rFonts w:ascii="宋体" w:hAnsi="宋体" w:eastAsia="宋体" w:cs="宋体"/>
                <w:color w:val="auto"/>
                <w:sz w:val="30"/>
                <w:szCs w:val="30"/>
                <w:highlight w:val="none"/>
              </w:rPr>
            </w:pPr>
          </w:p>
        </w:tc>
        <w:tc>
          <w:tcPr>
            <w:tcW w:w="1243" w:type="dxa"/>
          </w:tcPr>
          <w:p w14:paraId="4398A964">
            <w:pPr>
              <w:rPr>
                <w:rFonts w:ascii="宋体" w:hAnsi="宋体" w:eastAsia="宋体" w:cs="宋体"/>
                <w:color w:val="auto"/>
                <w:sz w:val="30"/>
                <w:szCs w:val="30"/>
                <w:highlight w:val="none"/>
              </w:rPr>
            </w:pPr>
          </w:p>
        </w:tc>
        <w:tc>
          <w:tcPr>
            <w:tcW w:w="1450" w:type="dxa"/>
          </w:tcPr>
          <w:p w14:paraId="52A7280F">
            <w:pPr>
              <w:rPr>
                <w:rFonts w:ascii="宋体" w:hAnsi="宋体" w:eastAsia="宋体" w:cs="宋体"/>
                <w:color w:val="auto"/>
                <w:sz w:val="30"/>
                <w:szCs w:val="30"/>
                <w:highlight w:val="none"/>
              </w:rPr>
            </w:pPr>
          </w:p>
        </w:tc>
        <w:tc>
          <w:tcPr>
            <w:tcW w:w="1667" w:type="dxa"/>
          </w:tcPr>
          <w:p w14:paraId="71B8B345">
            <w:pPr>
              <w:rPr>
                <w:rFonts w:ascii="宋体" w:hAnsi="宋体" w:eastAsia="宋体" w:cs="宋体"/>
                <w:color w:val="auto"/>
                <w:sz w:val="30"/>
                <w:szCs w:val="30"/>
                <w:highlight w:val="none"/>
              </w:rPr>
            </w:pPr>
          </w:p>
        </w:tc>
      </w:tr>
      <w:tr w14:paraId="11399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91817E3">
            <w:pPr>
              <w:rPr>
                <w:rFonts w:ascii="宋体" w:hAnsi="宋体" w:eastAsia="宋体" w:cs="宋体"/>
                <w:color w:val="auto"/>
                <w:sz w:val="30"/>
                <w:szCs w:val="30"/>
                <w:highlight w:val="none"/>
              </w:rPr>
            </w:pPr>
          </w:p>
        </w:tc>
        <w:tc>
          <w:tcPr>
            <w:tcW w:w="1276" w:type="dxa"/>
          </w:tcPr>
          <w:p w14:paraId="4C592273">
            <w:pPr>
              <w:rPr>
                <w:rFonts w:ascii="宋体" w:hAnsi="宋体" w:eastAsia="宋体" w:cs="宋体"/>
                <w:color w:val="auto"/>
                <w:sz w:val="30"/>
                <w:szCs w:val="30"/>
                <w:highlight w:val="none"/>
              </w:rPr>
            </w:pPr>
          </w:p>
        </w:tc>
        <w:tc>
          <w:tcPr>
            <w:tcW w:w="1450" w:type="dxa"/>
          </w:tcPr>
          <w:p w14:paraId="128B7E75">
            <w:pPr>
              <w:rPr>
                <w:rFonts w:ascii="宋体" w:hAnsi="宋体" w:eastAsia="宋体" w:cs="宋体"/>
                <w:color w:val="auto"/>
                <w:sz w:val="30"/>
                <w:szCs w:val="30"/>
                <w:highlight w:val="none"/>
              </w:rPr>
            </w:pPr>
          </w:p>
        </w:tc>
        <w:tc>
          <w:tcPr>
            <w:tcW w:w="1243" w:type="dxa"/>
          </w:tcPr>
          <w:p w14:paraId="0C7EF878">
            <w:pPr>
              <w:rPr>
                <w:rFonts w:ascii="宋体" w:hAnsi="宋体" w:eastAsia="宋体" w:cs="宋体"/>
                <w:color w:val="auto"/>
                <w:sz w:val="30"/>
                <w:szCs w:val="30"/>
                <w:highlight w:val="none"/>
              </w:rPr>
            </w:pPr>
          </w:p>
        </w:tc>
        <w:tc>
          <w:tcPr>
            <w:tcW w:w="1450" w:type="dxa"/>
          </w:tcPr>
          <w:p w14:paraId="7E0EBC47">
            <w:pPr>
              <w:rPr>
                <w:rFonts w:ascii="宋体" w:hAnsi="宋体" w:eastAsia="宋体" w:cs="宋体"/>
                <w:color w:val="auto"/>
                <w:sz w:val="30"/>
                <w:szCs w:val="30"/>
                <w:highlight w:val="none"/>
              </w:rPr>
            </w:pPr>
          </w:p>
        </w:tc>
        <w:tc>
          <w:tcPr>
            <w:tcW w:w="1667" w:type="dxa"/>
          </w:tcPr>
          <w:p w14:paraId="1659E1D6">
            <w:pPr>
              <w:rPr>
                <w:rFonts w:ascii="宋体" w:hAnsi="宋体" w:eastAsia="宋体" w:cs="宋体"/>
                <w:color w:val="auto"/>
                <w:sz w:val="30"/>
                <w:szCs w:val="30"/>
                <w:highlight w:val="none"/>
              </w:rPr>
            </w:pPr>
          </w:p>
        </w:tc>
      </w:tr>
      <w:tr w14:paraId="494A8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8EBD17E">
            <w:pPr>
              <w:rPr>
                <w:rFonts w:ascii="宋体" w:hAnsi="宋体" w:eastAsia="宋体" w:cs="宋体"/>
                <w:color w:val="auto"/>
                <w:sz w:val="30"/>
                <w:szCs w:val="30"/>
                <w:highlight w:val="none"/>
              </w:rPr>
            </w:pPr>
          </w:p>
        </w:tc>
        <w:tc>
          <w:tcPr>
            <w:tcW w:w="1276" w:type="dxa"/>
          </w:tcPr>
          <w:p w14:paraId="39D0C10A">
            <w:pPr>
              <w:rPr>
                <w:rFonts w:ascii="宋体" w:hAnsi="宋体" w:eastAsia="宋体" w:cs="宋体"/>
                <w:color w:val="auto"/>
                <w:sz w:val="30"/>
                <w:szCs w:val="30"/>
                <w:highlight w:val="none"/>
              </w:rPr>
            </w:pPr>
          </w:p>
        </w:tc>
        <w:tc>
          <w:tcPr>
            <w:tcW w:w="1450" w:type="dxa"/>
          </w:tcPr>
          <w:p w14:paraId="188A768D">
            <w:pPr>
              <w:rPr>
                <w:rFonts w:ascii="宋体" w:hAnsi="宋体" w:eastAsia="宋体" w:cs="宋体"/>
                <w:color w:val="auto"/>
                <w:sz w:val="30"/>
                <w:szCs w:val="30"/>
                <w:highlight w:val="none"/>
              </w:rPr>
            </w:pPr>
          </w:p>
        </w:tc>
        <w:tc>
          <w:tcPr>
            <w:tcW w:w="1243" w:type="dxa"/>
          </w:tcPr>
          <w:p w14:paraId="12F2B181">
            <w:pPr>
              <w:rPr>
                <w:rFonts w:ascii="宋体" w:hAnsi="宋体" w:eastAsia="宋体" w:cs="宋体"/>
                <w:color w:val="auto"/>
                <w:sz w:val="30"/>
                <w:szCs w:val="30"/>
                <w:highlight w:val="none"/>
              </w:rPr>
            </w:pPr>
          </w:p>
        </w:tc>
        <w:tc>
          <w:tcPr>
            <w:tcW w:w="1450" w:type="dxa"/>
          </w:tcPr>
          <w:p w14:paraId="039050C6">
            <w:pPr>
              <w:rPr>
                <w:rFonts w:ascii="宋体" w:hAnsi="宋体" w:eastAsia="宋体" w:cs="宋体"/>
                <w:color w:val="auto"/>
                <w:sz w:val="30"/>
                <w:szCs w:val="30"/>
                <w:highlight w:val="none"/>
              </w:rPr>
            </w:pPr>
          </w:p>
        </w:tc>
        <w:tc>
          <w:tcPr>
            <w:tcW w:w="1667" w:type="dxa"/>
          </w:tcPr>
          <w:p w14:paraId="5277642A">
            <w:pPr>
              <w:rPr>
                <w:rFonts w:ascii="宋体" w:hAnsi="宋体" w:eastAsia="宋体" w:cs="宋体"/>
                <w:color w:val="auto"/>
                <w:sz w:val="30"/>
                <w:szCs w:val="30"/>
                <w:highlight w:val="none"/>
              </w:rPr>
            </w:pPr>
          </w:p>
        </w:tc>
      </w:tr>
      <w:tr w14:paraId="1F9A2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C30C1EE">
            <w:pPr>
              <w:rPr>
                <w:rFonts w:ascii="宋体" w:hAnsi="宋体" w:eastAsia="宋体" w:cs="宋体"/>
                <w:color w:val="auto"/>
                <w:sz w:val="30"/>
                <w:szCs w:val="30"/>
                <w:highlight w:val="none"/>
              </w:rPr>
            </w:pPr>
          </w:p>
        </w:tc>
        <w:tc>
          <w:tcPr>
            <w:tcW w:w="1276" w:type="dxa"/>
          </w:tcPr>
          <w:p w14:paraId="058CAA38">
            <w:pPr>
              <w:rPr>
                <w:rFonts w:ascii="宋体" w:hAnsi="宋体" w:eastAsia="宋体" w:cs="宋体"/>
                <w:color w:val="auto"/>
                <w:sz w:val="30"/>
                <w:szCs w:val="30"/>
                <w:highlight w:val="none"/>
              </w:rPr>
            </w:pPr>
          </w:p>
        </w:tc>
        <w:tc>
          <w:tcPr>
            <w:tcW w:w="1450" w:type="dxa"/>
          </w:tcPr>
          <w:p w14:paraId="006AE942">
            <w:pPr>
              <w:rPr>
                <w:rFonts w:ascii="宋体" w:hAnsi="宋体" w:eastAsia="宋体" w:cs="宋体"/>
                <w:color w:val="auto"/>
                <w:sz w:val="30"/>
                <w:szCs w:val="30"/>
                <w:highlight w:val="none"/>
              </w:rPr>
            </w:pPr>
          </w:p>
        </w:tc>
        <w:tc>
          <w:tcPr>
            <w:tcW w:w="1243" w:type="dxa"/>
          </w:tcPr>
          <w:p w14:paraId="20834452">
            <w:pPr>
              <w:rPr>
                <w:rFonts w:ascii="宋体" w:hAnsi="宋体" w:eastAsia="宋体" w:cs="宋体"/>
                <w:color w:val="auto"/>
                <w:sz w:val="30"/>
                <w:szCs w:val="30"/>
                <w:highlight w:val="none"/>
              </w:rPr>
            </w:pPr>
          </w:p>
        </w:tc>
        <w:tc>
          <w:tcPr>
            <w:tcW w:w="1450" w:type="dxa"/>
          </w:tcPr>
          <w:p w14:paraId="66E0D23B">
            <w:pPr>
              <w:rPr>
                <w:rFonts w:ascii="宋体" w:hAnsi="宋体" w:eastAsia="宋体" w:cs="宋体"/>
                <w:color w:val="auto"/>
                <w:sz w:val="30"/>
                <w:szCs w:val="30"/>
                <w:highlight w:val="none"/>
              </w:rPr>
            </w:pPr>
          </w:p>
        </w:tc>
        <w:tc>
          <w:tcPr>
            <w:tcW w:w="1667" w:type="dxa"/>
          </w:tcPr>
          <w:p w14:paraId="59EE21F9">
            <w:pPr>
              <w:rPr>
                <w:rFonts w:ascii="宋体" w:hAnsi="宋体" w:eastAsia="宋体" w:cs="宋体"/>
                <w:color w:val="auto"/>
                <w:sz w:val="30"/>
                <w:szCs w:val="30"/>
                <w:highlight w:val="none"/>
              </w:rPr>
            </w:pPr>
          </w:p>
        </w:tc>
      </w:tr>
      <w:tr w14:paraId="6D366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7AB96C">
            <w:pPr>
              <w:rPr>
                <w:rFonts w:ascii="宋体" w:hAnsi="宋体" w:eastAsia="宋体" w:cs="宋体"/>
                <w:color w:val="auto"/>
                <w:sz w:val="30"/>
                <w:szCs w:val="30"/>
                <w:highlight w:val="none"/>
              </w:rPr>
            </w:pPr>
          </w:p>
        </w:tc>
        <w:tc>
          <w:tcPr>
            <w:tcW w:w="1276" w:type="dxa"/>
          </w:tcPr>
          <w:p w14:paraId="17286FC1">
            <w:pPr>
              <w:rPr>
                <w:rFonts w:ascii="宋体" w:hAnsi="宋体" w:eastAsia="宋体" w:cs="宋体"/>
                <w:color w:val="auto"/>
                <w:sz w:val="30"/>
                <w:szCs w:val="30"/>
                <w:highlight w:val="none"/>
              </w:rPr>
            </w:pPr>
          </w:p>
        </w:tc>
        <w:tc>
          <w:tcPr>
            <w:tcW w:w="1450" w:type="dxa"/>
          </w:tcPr>
          <w:p w14:paraId="0553FAFC">
            <w:pPr>
              <w:rPr>
                <w:rFonts w:ascii="宋体" w:hAnsi="宋体" w:eastAsia="宋体" w:cs="宋体"/>
                <w:color w:val="auto"/>
                <w:sz w:val="30"/>
                <w:szCs w:val="30"/>
                <w:highlight w:val="none"/>
              </w:rPr>
            </w:pPr>
          </w:p>
        </w:tc>
        <w:tc>
          <w:tcPr>
            <w:tcW w:w="1243" w:type="dxa"/>
          </w:tcPr>
          <w:p w14:paraId="01D04E0C">
            <w:pPr>
              <w:rPr>
                <w:rFonts w:ascii="宋体" w:hAnsi="宋体" w:eastAsia="宋体" w:cs="宋体"/>
                <w:color w:val="auto"/>
                <w:sz w:val="30"/>
                <w:szCs w:val="30"/>
                <w:highlight w:val="none"/>
              </w:rPr>
            </w:pPr>
          </w:p>
        </w:tc>
        <w:tc>
          <w:tcPr>
            <w:tcW w:w="1450" w:type="dxa"/>
          </w:tcPr>
          <w:p w14:paraId="2F4ED430">
            <w:pPr>
              <w:rPr>
                <w:rFonts w:ascii="宋体" w:hAnsi="宋体" w:eastAsia="宋体" w:cs="宋体"/>
                <w:color w:val="auto"/>
                <w:sz w:val="30"/>
                <w:szCs w:val="30"/>
                <w:highlight w:val="none"/>
              </w:rPr>
            </w:pPr>
          </w:p>
        </w:tc>
        <w:tc>
          <w:tcPr>
            <w:tcW w:w="1667" w:type="dxa"/>
          </w:tcPr>
          <w:p w14:paraId="7E2F0742">
            <w:pPr>
              <w:rPr>
                <w:rFonts w:ascii="宋体" w:hAnsi="宋体" w:eastAsia="宋体" w:cs="宋体"/>
                <w:color w:val="auto"/>
                <w:sz w:val="30"/>
                <w:szCs w:val="30"/>
                <w:highlight w:val="none"/>
              </w:rPr>
            </w:pPr>
          </w:p>
        </w:tc>
      </w:tr>
      <w:tr w14:paraId="7ABE5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C0C2CC4">
            <w:pPr>
              <w:rPr>
                <w:rFonts w:ascii="宋体" w:hAnsi="宋体" w:eastAsia="宋体" w:cs="宋体"/>
                <w:color w:val="auto"/>
                <w:sz w:val="30"/>
                <w:szCs w:val="30"/>
                <w:highlight w:val="none"/>
              </w:rPr>
            </w:pPr>
          </w:p>
        </w:tc>
        <w:tc>
          <w:tcPr>
            <w:tcW w:w="1276" w:type="dxa"/>
          </w:tcPr>
          <w:p w14:paraId="5A1E368A">
            <w:pPr>
              <w:rPr>
                <w:rFonts w:ascii="宋体" w:hAnsi="宋体" w:eastAsia="宋体" w:cs="宋体"/>
                <w:color w:val="auto"/>
                <w:sz w:val="30"/>
                <w:szCs w:val="30"/>
                <w:highlight w:val="none"/>
              </w:rPr>
            </w:pPr>
          </w:p>
        </w:tc>
        <w:tc>
          <w:tcPr>
            <w:tcW w:w="1450" w:type="dxa"/>
          </w:tcPr>
          <w:p w14:paraId="541F3615">
            <w:pPr>
              <w:rPr>
                <w:rFonts w:ascii="宋体" w:hAnsi="宋体" w:eastAsia="宋体" w:cs="宋体"/>
                <w:color w:val="auto"/>
                <w:sz w:val="30"/>
                <w:szCs w:val="30"/>
                <w:highlight w:val="none"/>
              </w:rPr>
            </w:pPr>
          </w:p>
        </w:tc>
        <w:tc>
          <w:tcPr>
            <w:tcW w:w="1243" w:type="dxa"/>
          </w:tcPr>
          <w:p w14:paraId="4C6A9753">
            <w:pPr>
              <w:rPr>
                <w:rFonts w:ascii="宋体" w:hAnsi="宋体" w:eastAsia="宋体" w:cs="宋体"/>
                <w:color w:val="auto"/>
                <w:sz w:val="30"/>
                <w:szCs w:val="30"/>
                <w:highlight w:val="none"/>
              </w:rPr>
            </w:pPr>
          </w:p>
        </w:tc>
        <w:tc>
          <w:tcPr>
            <w:tcW w:w="1450" w:type="dxa"/>
          </w:tcPr>
          <w:p w14:paraId="303C20DF">
            <w:pPr>
              <w:rPr>
                <w:rFonts w:ascii="宋体" w:hAnsi="宋体" w:eastAsia="宋体" w:cs="宋体"/>
                <w:color w:val="auto"/>
                <w:sz w:val="30"/>
                <w:szCs w:val="30"/>
                <w:highlight w:val="none"/>
              </w:rPr>
            </w:pPr>
          </w:p>
        </w:tc>
        <w:tc>
          <w:tcPr>
            <w:tcW w:w="1667" w:type="dxa"/>
          </w:tcPr>
          <w:p w14:paraId="0DC5DD10">
            <w:pPr>
              <w:rPr>
                <w:rFonts w:ascii="宋体" w:hAnsi="宋体" w:eastAsia="宋体" w:cs="宋体"/>
                <w:color w:val="auto"/>
                <w:sz w:val="30"/>
                <w:szCs w:val="30"/>
                <w:highlight w:val="none"/>
              </w:rPr>
            </w:pPr>
          </w:p>
        </w:tc>
      </w:tr>
    </w:tbl>
    <w:p w14:paraId="74352968">
      <w:pPr>
        <w:spacing w:line="440" w:lineRule="exact"/>
        <w:rPr>
          <w:rFonts w:ascii="宋体" w:hAnsi="宋体" w:eastAsia="宋体" w:cs="宋体"/>
          <w:color w:val="auto"/>
          <w:sz w:val="30"/>
          <w:szCs w:val="30"/>
          <w:highlight w:val="none"/>
        </w:rPr>
      </w:pPr>
    </w:p>
    <w:p w14:paraId="36826ED9">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4：</w:t>
      </w:r>
    </w:p>
    <w:p w14:paraId="44E33C3F">
      <w:pPr>
        <w:spacing w:before="120" w:beforeLines="50" w:after="120" w:afterLines="50" w:line="44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承包人用于本工程施工的机械设备表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504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5C8B0651">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18" w:type="dxa"/>
            <w:vAlign w:val="center"/>
          </w:tcPr>
          <w:p w14:paraId="5C7E2B90">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机械或设备名称</w:t>
            </w:r>
          </w:p>
        </w:tc>
        <w:tc>
          <w:tcPr>
            <w:tcW w:w="850" w:type="dxa"/>
            <w:vAlign w:val="center"/>
          </w:tcPr>
          <w:p w14:paraId="6F5A20DB">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规格型号</w:t>
            </w:r>
          </w:p>
        </w:tc>
        <w:tc>
          <w:tcPr>
            <w:tcW w:w="1058" w:type="dxa"/>
            <w:vAlign w:val="center"/>
          </w:tcPr>
          <w:p w14:paraId="6FAB60D3">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数量</w:t>
            </w:r>
          </w:p>
        </w:tc>
        <w:tc>
          <w:tcPr>
            <w:tcW w:w="880" w:type="dxa"/>
            <w:vAlign w:val="center"/>
          </w:tcPr>
          <w:p w14:paraId="1CAE74D1">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产地</w:t>
            </w:r>
          </w:p>
        </w:tc>
        <w:tc>
          <w:tcPr>
            <w:tcW w:w="1020" w:type="dxa"/>
            <w:vAlign w:val="center"/>
          </w:tcPr>
          <w:p w14:paraId="6BC43AA2">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制造年份</w:t>
            </w:r>
          </w:p>
        </w:tc>
        <w:tc>
          <w:tcPr>
            <w:tcW w:w="1480" w:type="dxa"/>
            <w:vAlign w:val="center"/>
          </w:tcPr>
          <w:p w14:paraId="620A4858">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额定功率（kW）</w:t>
            </w:r>
          </w:p>
        </w:tc>
        <w:tc>
          <w:tcPr>
            <w:tcW w:w="1020" w:type="dxa"/>
            <w:vAlign w:val="center"/>
          </w:tcPr>
          <w:p w14:paraId="3F863C99">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生产能力</w:t>
            </w:r>
          </w:p>
        </w:tc>
        <w:tc>
          <w:tcPr>
            <w:tcW w:w="921" w:type="dxa"/>
            <w:vAlign w:val="center"/>
          </w:tcPr>
          <w:p w14:paraId="1BCF9140">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7733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74009D8">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3EC666D4">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5C63B82B">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789D2BB3">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40A26950">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31AF027F">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21FF9336">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64BF469F">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190530F5">
            <w:pPr>
              <w:pStyle w:val="19"/>
              <w:keepNext/>
              <w:spacing w:line="440" w:lineRule="exact"/>
              <w:ind w:left="63" w:right="63"/>
              <w:rPr>
                <w:rFonts w:ascii="宋体" w:hAnsi="宋体" w:eastAsia="宋体" w:cs="宋体"/>
                <w:color w:val="auto"/>
                <w:sz w:val="30"/>
                <w:szCs w:val="30"/>
                <w:highlight w:val="none"/>
              </w:rPr>
            </w:pPr>
          </w:p>
        </w:tc>
      </w:tr>
      <w:tr w14:paraId="432F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E81CDA1">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74BA5F8B">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2CF05155">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1A6CEAD8">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5F7A2673">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6C21FCA4">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6EE60ADF">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0A3C116A">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3D74C17C">
            <w:pPr>
              <w:pStyle w:val="19"/>
              <w:keepNext/>
              <w:spacing w:line="440" w:lineRule="exact"/>
              <w:ind w:left="63" w:right="63"/>
              <w:rPr>
                <w:rFonts w:ascii="宋体" w:hAnsi="宋体" w:eastAsia="宋体" w:cs="宋体"/>
                <w:color w:val="auto"/>
                <w:sz w:val="30"/>
                <w:szCs w:val="30"/>
                <w:highlight w:val="none"/>
              </w:rPr>
            </w:pPr>
          </w:p>
        </w:tc>
      </w:tr>
      <w:tr w14:paraId="7992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2F96AEC">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0587A678">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400A0F0D">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5CF04E2C">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09F3CFC5">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69766D9D">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7F5810F3">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708F3036">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40398439">
            <w:pPr>
              <w:pStyle w:val="19"/>
              <w:keepNext/>
              <w:spacing w:line="440" w:lineRule="exact"/>
              <w:ind w:left="63" w:right="63"/>
              <w:rPr>
                <w:rFonts w:ascii="宋体" w:hAnsi="宋体" w:eastAsia="宋体" w:cs="宋体"/>
                <w:color w:val="auto"/>
                <w:sz w:val="30"/>
                <w:szCs w:val="30"/>
                <w:highlight w:val="none"/>
              </w:rPr>
            </w:pPr>
          </w:p>
        </w:tc>
      </w:tr>
      <w:tr w14:paraId="49D8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EC33FDF">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23765303">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0D5B5D74">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051CE9EF">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4147318B">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6344726B">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53E6534E">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4616A869">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6E478C26">
            <w:pPr>
              <w:pStyle w:val="19"/>
              <w:keepNext/>
              <w:spacing w:line="440" w:lineRule="exact"/>
              <w:ind w:left="63" w:right="63"/>
              <w:rPr>
                <w:rFonts w:ascii="宋体" w:hAnsi="宋体" w:eastAsia="宋体" w:cs="宋体"/>
                <w:color w:val="auto"/>
                <w:sz w:val="30"/>
                <w:szCs w:val="30"/>
                <w:highlight w:val="none"/>
              </w:rPr>
            </w:pPr>
          </w:p>
        </w:tc>
      </w:tr>
      <w:tr w14:paraId="31E9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14031C2">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66C1A143">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2D54739D">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1BE41392">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17CF9119">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10FE2362">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00A01C08">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195FFF94">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12DC8BBD">
            <w:pPr>
              <w:pStyle w:val="19"/>
              <w:keepNext/>
              <w:spacing w:line="440" w:lineRule="exact"/>
              <w:ind w:left="63" w:right="63"/>
              <w:rPr>
                <w:rFonts w:ascii="宋体" w:hAnsi="宋体" w:eastAsia="宋体" w:cs="宋体"/>
                <w:color w:val="auto"/>
                <w:sz w:val="30"/>
                <w:szCs w:val="30"/>
                <w:highlight w:val="none"/>
              </w:rPr>
            </w:pPr>
          </w:p>
        </w:tc>
      </w:tr>
      <w:tr w14:paraId="5851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816C0C4">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4BEE134E">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07676F4E">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2625C041">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114D4AF1">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5D40C469">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18BBC737">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76D63F00">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143BE1C8">
            <w:pPr>
              <w:pStyle w:val="19"/>
              <w:keepNext/>
              <w:spacing w:line="440" w:lineRule="exact"/>
              <w:ind w:left="63" w:right="63"/>
              <w:rPr>
                <w:rFonts w:ascii="宋体" w:hAnsi="宋体" w:eastAsia="宋体" w:cs="宋体"/>
                <w:color w:val="auto"/>
                <w:sz w:val="30"/>
                <w:szCs w:val="30"/>
                <w:highlight w:val="none"/>
              </w:rPr>
            </w:pPr>
          </w:p>
        </w:tc>
      </w:tr>
      <w:tr w14:paraId="6D82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82978C7">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7A0B57C3">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2032BC24">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556884EC">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25C03564">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59CD0722">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299779F8">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332EF809">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2BEE3C0D">
            <w:pPr>
              <w:pStyle w:val="19"/>
              <w:keepNext/>
              <w:spacing w:line="440" w:lineRule="exact"/>
              <w:ind w:left="63" w:right="63"/>
              <w:rPr>
                <w:rFonts w:ascii="宋体" w:hAnsi="宋体" w:eastAsia="宋体" w:cs="宋体"/>
                <w:color w:val="auto"/>
                <w:sz w:val="30"/>
                <w:szCs w:val="30"/>
                <w:highlight w:val="none"/>
              </w:rPr>
            </w:pPr>
          </w:p>
        </w:tc>
      </w:tr>
      <w:tr w14:paraId="1177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FC0DD6">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7DAB9A63">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3B4ECB64">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58DD85E1">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4565FEAD">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74E808F0">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04ABD414">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4EF3C487">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78C750E5">
            <w:pPr>
              <w:pStyle w:val="19"/>
              <w:keepNext/>
              <w:spacing w:line="440" w:lineRule="exact"/>
              <w:ind w:left="63" w:right="63"/>
              <w:rPr>
                <w:rFonts w:ascii="宋体" w:hAnsi="宋体" w:eastAsia="宋体" w:cs="宋体"/>
                <w:color w:val="auto"/>
                <w:sz w:val="30"/>
                <w:szCs w:val="30"/>
                <w:highlight w:val="none"/>
              </w:rPr>
            </w:pPr>
          </w:p>
        </w:tc>
      </w:tr>
      <w:tr w14:paraId="72D3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D27E2B2">
            <w:pPr>
              <w:rPr>
                <w:rFonts w:ascii="宋体" w:hAnsi="宋体" w:eastAsia="宋体" w:cs="宋体"/>
                <w:color w:val="auto"/>
                <w:sz w:val="30"/>
                <w:szCs w:val="30"/>
                <w:highlight w:val="none"/>
              </w:rPr>
            </w:pPr>
          </w:p>
        </w:tc>
        <w:tc>
          <w:tcPr>
            <w:tcW w:w="1418" w:type="dxa"/>
          </w:tcPr>
          <w:p w14:paraId="6E309D94">
            <w:pPr>
              <w:rPr>
                <w:rFonts w:ascii="宋体" w:hAnsi="宋体" w:eastAsia="宋体" w:cs="宋体"/>
                <w:color w:val="auto"/>
                <w:sz w:val="30"/>
                <w:szCs w:val="30"/>
                <w:highlight w:val="none"/>
              </w:rPr>
            </w:pPr>
          </w:p>
        </w:tc>
        <w:tc>
          <w:tcPr>
            <w:tcW w:w="850" w:type="dxa"/>
          </w:tcPr>
          <w:p w14:paraId="5A1A2B94">
            <w:pPr>
              <w:rPr>
                <w:rFonts w:ascii="宋体" w:hAnsi="宋体" w:eastAsia="宋体" w:cs="宋体"/>
                <w:color w:val="auto"/>
                <w:sz w:val="30"/>
                <w:szCs w:val="30"/>
                <w:highlight w:val="none"/>
              </w:rPr>
            </w:pPr>
          </w:p>
        </w:tc>
        <w:tc>
          <w:tcPr>
            <w:tcW w:w="1058" w:type="dxa"/>
          </w:tcPr>
          <w:p w14:paraId="3906AD80">
            <w:pPr>
              <w:rPr>
                <w:rFonts w:ascii="宋体" w:hAnsi="宋体" w:eastAsia="宋体" w:cs="宋体"/>
                <w:color w:val="auto"/>
                <w:sz w:val="30"/>
                <w:szCs w:val="30"/>
                <w:highlight w:val="none"/>
              </w:rPr>
            </w:pPr>
          </w:p>
        </w:tc>
        <w:tc>
          <w:tcPr>
            <w:tcW w:w="880" w:type="dxa"/>
          </w:tcPr>
          <w:p w14:paraId="503ACE15">
            <w:pPr>
              <w:rPr>
                <w:rFonts w:ascii="宋体" w:hAnsi="宋体" w:eastAsia="宋体" w:cs="宋体"/>
                <w:color w:val="auto"/>
                <w:sz w:val="30"/>
                <w:szCs w:val="30"/>
                <w:highlight w:val="none"/>
              </w:rPr>
            </w:pPr>
          </w:p>
        </w:tc>
        <w:tc>
          <w:tcPr>
            <w:tcW w:w="1020" w:type="dxa"/>
          </w:tcPr>
          <w:p w14:paraId="7B00D983">
            <w:pPr>
              <w:rPr>
                <w:rFonts w:ascii="宋体" w:hAnsi="宋体" w:eastAsia="宋体" w:cs="宋体"/>
                <w:color w:val="auto"/>
                <w:sz w:val="30"/>
                <w:szCs w:val="30"/>
                <w:highlight w:val="none"/>
              </w:rPr>
            </w:pPr>
          </w:p>
        </w:tc>
        <w:tc>
          <w:tcPr>
            <w:tcW w:w="1480" w:type="dxa"/>
          </w:tcPr>
          <w:p w14:paraId="6AA56748">
            <w:pPr>
              <w:rPr>
                <w:rFonts w:ascii="宋体" w:hAnsi="宋体" w:eastAsia="宋体" w:cs="宋体"/>
                <w:color w:val="auto"/>
                <w:sz w:val="30"/>
                <w:szCs w:val="30"/>
                <w:highlight w:val="none"/>
              </w:rPr>
            </w:pPr>
          </w:p>
        </w:tc>
        <w:tc>
          <w:tcPr>
            <w:tcW w:w="1020" w:type="dxa"/>
          </w:tcPr>
          <w:p w14:paraId="66781630">
            <w:pPr>
              <w:rPr>
                <w:rFonts w:ascii="宋体" w:hAnsi="宋体" w:eastAsia="宋体" w:cs="宋体"/>
                <w:color w:val="auto"/>
                <w:sz w:val="30"/>
                <w:szCs w:val="30"/>
                <w:highlight w:val="none"/>
              </w:rPr>
            </w:pPr>
          </w:p>
        </w:tc>
        <w:tc>
          <w:tcPr>
            <w:tcW w:w="921" w:type="dxa"/>
          </w:tcPr>
          <w:p w14:paraId="27F811E5">
            <w:pPr>
              <w:rPr>
                <w:rFonts w:ascii="宋体" w:hAnsi="宋体" w:eastAsia="宋体" w:cs="宋体"/>
                <w:color w:val="auto"/>
                <w:sz w:val="30"/>
                <w:szCs w:val="30"/>
                <w:highlight w:val="none"/>
              </w:rPr>
            </w:pPr>
          </w:p>
        </w:tc>
      </w:tr>
      <w:tr w14:paraId="6BBC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F07D20C">
            <w:pPr>
              <w:pStyle w:val="19"/>
              <w:keepNext/>
              <w:spacing w:line="440" w:lineRule="exact"/>
              <w:ind w:left="63" w:right="63"/>
              <w:rPr>
                <w:rFonts w:ascii="宋体" w:hAnsi="宋体" w:eastAsia="宋体" w:cs="宋体"/>
                <w:color w:val="auto"/>
                <w:sz w:val="30"/>
                <w:szCs w:val="30"/>
                <w:highlight w:val="none"/>
              </w:rPr>
            </w:pPr>
          </w:p>
        </w:tc>
        <w:tc>
          <w:tcPr>
            <w:tcW w:w="1418" w:type="dxa"/>
            <w:vAlign w:val="center"/>
          </w:tcPr>
          <w:p w14:paraId="5A11E94E">
            <w:pPr>
              <w:pStyle w:val="19"/>
              <w:keepNext/>
              <w:spacing w:line="440" w:lineRule="exact"/>
              <w:ind w:left="63" w:right="63"/>
              <w:rPr>
                <w:rFonts w:ascii="宋体" w:hAnsi="宋体" w:eastAsia="宋体" w:cs="宋体"/>
                <w:color w:val="auto"/>
                <w:sz w:val="30"/>
                <w:szCs w:val="30"/>
                <w:highlight w:val="none"/>
              </w:rPr>
            </w:pPr>
          </w:p>
        </w:tc>
        <w:tc>
          <w:tcPr>
            <w:tcW w:w="850" w:type="dxa"/>
            <w:vAlign w:val="center"/>
          </w:tcPr>
          <w:p w14:paraId="7C303218">
            <w:pPr>
              <w:pStyle w:val="19"/>
              <w:keepNext/>
              <w:spacing w:line="440" w:lineRule="exact"/>
              <w:ind w:left="63" w:right="63"/>
              <w:rPr>
                <w:rFonts w:ascii="宋体" w:hAnsi="宋体" w:eastAsia="宋体" w:cs="宋体"/>
                <w:color w:val="auto"/>
                <w:sz w:val="30"/>
                <w:szCs w:val="30"/>
                <w:highlight w:val="none"/>
              </w:rPr>
            </w:pPr>
          </w:p>
        </w:tc>
        <w:tc>
          <w:tcPr>
            <w:tcW w:w="1058" w:type="dxa"/>
            <w:vAlign w:val="center"/>
          </w:tcPr>
          <w:p w14:paraId="5FFEBDF9">
            <w:pPr>
              <w:pStyle w:val="19"/>
              <w:keepNext/>
              <w:spacing w:line="440" w:lineRule="exact"/>
              <w:ind w:left="63" w:right="63"/>
              <w:rPr>
                <w:rFonts w:ascii="宋体" w:hAnsi="宋体" w:eastAsia="宋体" w:cs="宋体"/>
                <w:color w:val="auto"/>
                <w:sz w:val="30"/>
                <w:szCs w:val="30"/>
                <w:highlight w:val="none"/>
              </w:rPr>
            </w:pPr>
          </w:p>
        </w:tc>
        <w:tc>
          <w:tcPr>
            <w:tcW w:w="880" w:type="dxa"/>
            <w:vAlign w:val="center"/>
          </w:tcPr>
          <w:p w14:paraId="4ACAF204">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66B36741">
            <w:pPr>
              <w:pStyle w:val="19"/>
              <w:keepNext/>
              <w:spacing w:line="440" w:lineRule="exact"/>
              <w:ind w:left="63" w:right="63"/>
              <w:rPr>
                <w:rFonts w:ascii="宋体" w:hAnsi="宋体" w:eastAsia="宋体" w:cs="宋体"/>
                <w:color w:val="auto"/>
                <w:sz w:val="30"/>
                <w:szCs w:val="30"/>
                <w:highlight w:val="none"/>
              </w:rPr>
            </w:pPr>
          </w:p>
        </w:tc>
        <w:tc>
          <w:tcPr>
            <w:tcW w:w="1480" w:type="dxa"/>
            <w:vAlign w:val="center"/>
          </w:tcPr>
          <w:p w14:paraId="0B8D26B9">
            <w:pPr>
              <w:pStyle w:val="19"/>
              <w:keepNext/>
              <w:spacing w:line="440" w:lineRule="exact"/>
              <w:ind w:left="63" w:right="63"/>
              <w:rPr>
                <w:rFonts w:ascii="宋体" w:hAnsi="宋体" w:eastAsia="宋体" w:cs="宋体"/>
                <w:color w:val="auto"/>
                <w:sz w:val="30"/>
                <w:szCs w:val="30"/>
                <w:highlight w:val="none"/>
              </w:rPr>
            </w:pPr>
          </w:p>
        </w:tc>
        <w:tc>
          <w:tcPr>
            <w:tcW w:w="1020" w:type="dxa"/>
            <w:vAlign w:val="center"/>
          </w:tcPr>
          <w:p w14:paraId="41132F38">
            <w:pPr>
              <w:pStyle w:val="19"/>
              <w:keepNext/>
              <w:spacing w:line="440" w:lineRule="exact"/>
              <w:ind w:left="63" w:right="63"/>
              <w:rPr>
                <w:rFonts w:ascii="宋体" w:hAnsi="宋体" w:eastAsia="宋体" w:cs="宋体"/>
                <w:color w:val="auto"/>
                <w:sz w:val="30"/>
                <w:szCs w:val="30"/>
                <w:highlight w:val="none"/>
              </w:rPr>
            </w:pPr>
          </w:p>
        </w:tc>
        <w:tc>
          <w:tcPr>
            <w:tcW w:w="921" w:type="dxa"/>
            <w:vAlign w:val="center"/>
          </w:tcPr>
          <w:p w14:paraId="18075109">
            <w:pPr>
              <w:pStyle w:val="19"/>
              <w:keepNext/>
              <w:spacing w:line="440" w:lineRule="exact"/>
              <w:ind w:left="63" w:right="63"/>
              <w:rPr>
                <w:rFonts w:ascii="宋体" w:hAnsi="宋体" w:eastAsia="宋体" w:cs="宋体"/>
                <w:color w:val="auto"/>
                <w:sz w:val="30"/>
                <w:szCs w:val="30"/>
                <w:highlight w:val="none"/>
              </w:rPr>
            </w:pPr>
          </w:p>
        </w:tc>
      </w:tr>
      <w:tr w14:paraId="19CC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B0729FF">
            <w:pPr>
              <w:rPr>
                <w:rFonts w:ascii="宋体" w:hAnsi="宋体" w:eastAsia="宋体" w:cs="宋体"/>
                <w:color w:val="auto"/>
                <w:sz w:val="30"/>
                <w:szCs w:val="30"/>
                <w:highlight w:val="none"/>
              </w:rPr>
            </w:pPr>
          </w:p>
        </w:tc>
        <w:tc>
          <w:tcPr>
            <w:tcW w:w="1418" w:type="dxa"/>
          </w:tcPr>
          <w:p w14:paraId="1CE2E931">
            <w:pPr>
              <w:rPr>
                <w:rFonts w:ascii="宋体" w:hAnsi="宋体" w:eastAsia="宋体" w:cs="宋体"/>
                <w:color w:val="auto"/>
                <w:sz w:val="30"/>
                <w:szCs w:val="30"/>
                <w:highlight w:val="none"/>
              </w:rPr>
            </w:pPr>
          </w:p>
        </w:tc>
        <w:tc>
          <w:tcPr>
            <w:tcW w:w="850" w:type="dxa"/>
          </w:tcPr>
          <w:p w14:paraId="4818B034">
            <w:pPr>
              <w:rPr>
                <w:rFonts w:ascii="宋体" w:hAnsi="宋体" w:eastAsia="宋体" w:cs="宋体"/>
                <w:color w:val="auto"/>
                <w:sz w:val="30"/>
                <w:szCs w:val="30"/>
                <w:highlight w:val="none"/>
              </w:rPr>
            </w:pPr>
          </w:p>
        </w:tc>
        <w:tc>
          <w:tcPr>
            <w:tcW w:w="1058" w:type="dxa"/>
          </w:tcPr>
          <w:p w14:paraId="762C8597">
            <w:pPr>
              <w:rPr>
                <w:rFonts w:ascii="宋体" w:hAnsi="宋体" w:eastAsia="宋体" w:cs="宋体"/>
                <w:color w:val="auto"/>
                <w:sz w:val="30"/>
                <w:szCs w:val="30"/>
                <w:highlight w:val="none"/>
              </w:rPr>
            </w:pPr>
          </w:p>
        </w:tc>
        <w:tc>
          <w:tcPr>
            <w:tcW w:w="880" w:type="dxa"/>
          </w:tcPr>
          <w:p w14:paraId="250DF5BB">
            <w:pPr>
              <w:rPr>
                <w:rFonts w:ascii="宋体" w:hAnsi="宋体" w:eastAsia="宋体" w:cs="宋体"/>
                <w:color w:val="auto"/>
                <w:sz w:val="30"/>
                <w:szCs w:val="30"/>
                <w:highlight w:val="none"/>
              </w:rPr>
            </w:pPr>
          </w:p>
        </w:tc>
        <w:tc>
          <w:tcPr>
            <w:tcW w:w="1020" w:type="dxa"/>
          </w:tcPr>
          <w:p w14:paraId="2398D4C9">
            <w:pPr>
              <w:rPr>
                <w:rFonts w:ascii="宋体" w:hAnsi="宋体" w:eastAsia="宋体" w:cs="宋体"/>
                <w:color w:val="auto"/>
                <w:sz w:val="30"/>
                <w:szCs w:val="30"/>
                <w:highlight w:val="none"/>
              </w:rPr>
            </w:pPr>
          </w:p>
        </w:tc>
        <w:tc>
          <w:tcPr>
            <w:tcW w:w="1480" w:type="dxa"/>
          </w:tcPr>
          <w:p w14:paraId="3927F24B">
            <w:pPr>
              <w:rPr>
                <w:rFonts w:ascii="宋体" w:hAnsi="宋体" w:eastAsia="宋体" w:cs="宋体"/>
                <w:color w:val="auto"/>
                <w:sz w:val="30"/>
                <w:szCs w:val="30"/>
                <w:highlight w:val="none"/>
              </w:rPr>
            </w:pPr>
          </w:p>
        </w:tc>
        <w:tc>
          <w:tcPr>
            <w:tcW w:w="1020" w:type="dxa"/>
          </w:tcPr>
          <w:p w14:paraId="4C8707D4">
            <w:pPr>
              <w:rPr>
                <w:rFonts w:ascii="宋体" w:hAnsi="宋体" w:eastAsia="宋体" w:cs="宋体"/>
                <w:color w:val="auto"/>
                <w:sz w:val="30"/>
                <w:szCs w:val="30"/>
                <w:highlight w:val="none"/>
              </w:rPr>
            </w:pPr>
          </w:p>
        </w:tc>
        <w:tc>
          <w:tcPr>
            <w:tcW w:w="921" w:type="dxa"/>
          </w:tcPr>
          <w:p w14:paraId="73442F06">
            <w:pPr>
              <w:rPr>
                <w:rFonts w:ascii="宋体" w:hAnsi="宋体" w:eastAsia="宋体" w:cs="宋体"/>
                <w:color w:val="auto"/>
                <w:sz w:val="30"/>
                <w:szCs w:val="30"/>
                <w:highlight w:val="none"/>
              </w:rPr>
            </w:pPr>
          </w:p>
        </w:tc>
      </w:tr>
      <w:tr w14:paraId="77C1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39FA35A">
            <w:pPr>
              <w:rPr>
                <w:rFonts w:ascii="宋体" w:hAnsi="宋体" w:eastAsia="宋体" w:cs="宋体"/>
                <w:color w:val="auto"/>
                <w:sz w:val="30"/>
                <w:szCs w:val="30"/>
                <w:highlight w:val="none"/>
              </w:rPr>
            </w:pPr>
          </w:p>
        </w:tc>
        <w:tc>
          <w:tcPr>
            <w:tcW w:w="1418" w:type="dxa"/>
          </w:tcPr>
          <w:p w14:paraId="7E4AA2BC">
            <w:pPr>
              <w:rPr>
                <w:rFonts w:ascii="宋体" w:hAnsi="宋体" w:eastAsia="宋体" w:cs="宋体"/>
                <w:color w:val="auto"/>
                <w:sz w:val="30"/>
                <w:szCs w:val="30"/>
                <w:highlight w:val="none"/>
              </w:rPr>
            </w:pPr>
          </w:p>
        </w:tc>
        <w:tc>
          <w:tcPr>
            <w:tcW w:w="850" w:type="dxa"/>
          </w:tcPr>
          <w:p w14:paraId="10520DD8">
            <w:pPr>
              <w:rPr>
                <w:rFonts w:ascii="宋体" w:hAnsi="宋体" w:eastAsia="宋体" w:cs="宋体"/>
                <w:color w:val="auto"/>
                <w:sz w:val="30"/>
                <w:szCs w:val="30"/>
                <w:highlight w:val="none"/>
              </w:rPr>
            </w:pPr>
          </w:p>
        </w:tc>
        <w:tc>
          <w:tcPr>
            <w:tcW w:w="1058" w:type="dxa"/>
          </w:tcPr>
          <w:p w14:paraId="36E9E193">
            <w:pPr>
              <w:rPr>
                <w:rFonts w:ascii="宋体" w:hAnsi="宋体" w:eastAsia="宋体" w:cs="宋体"/>
                <w:color w:val="auto"/>
                <w:sz w:val="30"/>
                <w:szCs w:val="30"/>
                <w:highlight w:val="none"/>
              </w:rPr>
            </w:pPr>
          </w:p>
        </w:tc>
        <w:tc>
          <w:tcPr>
            <w:tcW w:w="880" w:type="dxa"/>
          </w:tcPr>
          <w:p w14:paraId="457F9088">
            <w:pPr>
              <w:rPr>
                <w:rFonts w:ascii="宋体" w:hAnsi="宋体" w:eastAsia="宋体" w:cs="宋体"/>
                <w:color w:val="auto"/>
                <w:sz w:val="30"/>
                <w:szCs w:val="30"/>
                <w:highlight w:val="none"/>
              </w:rPr>
            </w:pPr>
          </w:p>
        </w:tc>
        <w:tc>
          <w:tcPr>
            <w:tcW w:w="1020" w:type="dxa"/>
          </w:tcPr>
          <w:p w14:paraId="49D879DD">
            <w:pPr>
              <w:rPr>
                <w:rFonts w:ascii="宋体" w:hAnsi="宋体" w:eastAsia="宋体" w:cs="宋体"/>
                <w:color w:val="auto"/>
                <w:sz w:val="30"/>
                <w:szCs w:val="30"/>
                <w:highlight w:val="none"/>
              </w:rPr>
            </w:pPr>
          </w:p>
        </w:tc>
        <w:tc>
          <w:tcPr>
            <w:tcW w:w="1480" w:type="dxa"/>
          </w:tcPr>
          <w:p w14:paraId="10C7DF91">
            <w:pPr>
              <w:rPr>
                <w:rFonts w:ascii="宋体" w:hAnsi="宋体" w:eastAsia="宋体" w:cs="宋体"/>
                <w:color w:val="auto"/>
                <w:sz w:val="30"/>
                <w:szCs w:val="30"/>
                <w:highlight w:val="none"/>
              </w:rPr>
            </w:pPr>
          </w:p>
        </w:tc>
        <w:tc>
          <w:tcPr>
            <w:tcW w:w="1020" w:type="dxa"/>
          </w:tcPr>
          <w:p w14:paraId="5ED86DB4">
            <w:pPr>
              <w:rPr>
                <w:rFonts w:ascii="宋体" w:hAnsi="宋体" w:eastAsia="宋体" w:cs="宋体"/>
                <w:color w:val="auto"/>
                <w:sz w:val="30"/>
                <w:szCs w:val="30"/>
                <w:highlight w:val="none"/>
              </w:rPr>
            </w:pPr>
          </w:p>
        </w:tc>
        <w:tc>
          <w:tcPr>
            <w:tcW w:w="921" w:type="dxa"/>
          </w:tcPr>
          <w:p w14:paraId="2FF57CCA">
            <w:pPr>
              <w:rPr>
                <w:rFonts w:ascii="宋体" w:hAnsi="宋体" w:eastAsia="宋体" w:cs="宋体"/>
                <w:color w:val="auto"/>
                <w:sz w:val="30"/>
                <w:szCs w:val="30"/>
                <w:highlight w:val="none"/>
              </w:rPr>
            </w:pPr>
          </w:p>
        </w:tc>
      </w:tr>
      <w:tr w14:paraId="23E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83C8009">
            <w:pPr>
              <w:rPr>
                <w:rFonts w:ascii="宋体" w:hAnsi="宋体" w:eastAsia="宋体" w:cs="宋体"/>
                <w:color w:val="auto"/>
                <w:sz w:val="30"/>
                <w:szCs w:val="30"/>
                <w:highlight w:val="none"/>
              </w:rPr>
            </w:pPr>
          </w:p>
        </w:tc>
        <w:tc>
          <w:tcPr>
            <w:tcW w:w="1418" w:type="dxa"/>
          </w:tcPr>
          <w:p w14:paraId="5408ADB6">
            <w:pPr>
              <w:rPr>
                <w:rFonts w:ascii="宋体" w:hAnsi="宋体" w:eastAsia="宋体" w:cs="宋体"/>
                <w:color w:val="auto"/>
                <w:sz w:val="30"/>
                <w:szCs w:val="30"/>
                <w:highlight w:val="none"/>
              </w:rPr>
            </w:pPr>
          </w:p>
        </w:tc>
        <w:tc>
          <w:tcPr>
            <w:tcW w:w="850" w:type="dxa"/>
          </w:tcPr>
          <w:p w14:paraId="6BFD1427">
            <w:pPr>
              <w:rPr>
                <w:rFonts w:ascii="宋体" w:hAnsi="宋体" w:eastAsia="宋体" w:cs="宋体"/>
                <w:color w:val="auto"/>
                <w:sz w:val="30"/>
                <w:szCs w:val="30"/>
                <w:highlight w:val="none"/>
              </w:rPr>
            </w:pPr>
          </w:p>
        </w:tc>
        <w:tc>
          <w:tcPr>
            <w:tcW w:w="1058" w:type="dxa"/>
          </w:tcPr>
          <w:p w14:paraId="66FB11BA">
            <w:pPr>
              <w:rPr>
                <w:rFonts w:ascii="宋体" w:hAnsi="宋体" w:eastAsia="宋体" w:cs="宋体"/>
                <w:color w:val="auto"/>
                <w:sz w:val="30"/>
                <w:szCs w:val="30"/>
                <w:highlight w:val="none"/>
              </w:rPr>
            </w:pPr>
          </w:p>
        </w:tc>
        <w:tc>
          <w:tcPr>
            <w:tcW w:w="880" w:type="dxa"/>
          </w:tcPr>
          <w:p w14:paraId="48E40C9F">
            <w:pPr>
              <w:rPr>
                <w:rFonts w:ascii="宋体" w:hAnsi="宋体" w:eastAsia="宋体" w:cs="宋体"/>
                <w:color w:val="auto"/>
                <w:sz w:val="30"/>
                <w:szCs w:val="30"/>
                <w:highlight w:val="none"/>
              </w:rPr>
            </w:pPr>
          </w:p>
        </w:tc>
        <w:tc>
          <w:tcPr>
            <w:tcW w:w="1020" w:type="dxa"/>
          </w:tcPr>
          <w:p w14:paraId="6FC519DC">
            <w:pPr>
              <w:rPr>
                <w:rFonts w:ascii="宋体" w:hAnsi="宋体" w:eastAsia="宋体" w:cs="宋体"/>
                <w:color w:val="auto"/>
                <w:sz w:val="30"/>
                <w:szCs w:val="30"/>
                <w:highlight w:val="none"/>
              </w:rPr>
            </w:pPr>
          </w:p>
        </w:tc>
        <w:tc>
          <w:tcPr>
            <w:tcW w:w="1480" w:type="dxa"/>
          </w:tcPr>
          <w:p w14:paraId="777DEE8D">
            <w:pPr>
              <w:rPr>
                <w:rFonts w:ascii="宋体" w:hAnsi="宋体" w:eastAsia="宋体" w:cs="宋体"/>
                <w:color w:val="auto"/>
                <w:sz w:val="30"/>
                <w:szCs w:val="30"/>
                <w:highlight w:val="none"/>
              </w:rPr>
            </w:pPr>
          </w:p>
        </w:tc>
        <w:tc>
          <w:tcPr>
            <w:tcW w:w="1020" w:type="dxa"/>
          </w:tcPr>
          <w:p w14:paraId="35358B23">
            <w:pPr>
              <w:rPr>
                <w:rFonts w:ascii="宋体" w:hAnsi="宋体" w:eastAsia="宋体" w:cs="宋体"/>
                <w:color w:val="auto"/>
                <w:sz w:val="30"/>
                <w:szCs w:val="30"/>
                <w:highlight w:val="none"/>
              </w:rPr>
            </w:pPr>
          </w:p>
        </w:tc>
        <w:tc>
          <w:tcPr>
            <w:tcW w:w="921" w:type="dxa"/>
          </w:tcPr>
          <w:p w14:paraId="6227978D">
            <w:pPr>
              <w:rPr>
                <w:rFonts w:ascii="宋体" w:hAnsi="宋体" w:eastAsia="宋体" w:cs="宋体"/>
                <w:color w:val="auto"/>
                <w:sz w:val="30"/>
                <w:szCs w:val="30"/>
                <w:highlight w:val="none"/>
              </w:rPr>
            </w:pPr>
          </w:p>
        </w:tc>
      </w:tr>
      <w:tr w14:paraId="1ABC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AC0615D">
            <w:pPr>
              <w:rPr>
                <w:rFonts w:ascii="宋体" w:hAnsi="宋体" w:eastAsia="宋体" w:cs="宋体"/>
                <w:color w:val="auto"/>
                <w:sz w:val="30"/>
                <w:szCs w:val="30"/>
                <w:highlight w:val="none"/>
              </w:rPr>
            </w:pPr>
          </w:p>
        </w:tc>
        <w:tc>
          <w:tcPr>
            <w:tcW w:w="1418" w:type="dxa"/>
          </w:tcPr>
          <w:p w14:paraId="41642160">
            <w:pPr>
              <w:rPr>
                <w:rFonts w:ascii="宋体" w:hAnsi="宋体" w:eastAsia="宋体" w:cs="宋体"/>
                <w:color w:val="auto"/>
                <w:sz w:val="30"/>
                <w:szCs w:val="30"/>
                <w:highlight w:val="none"/>
              </w:rPr>
            </w:pPr>
          </w:p>
        </w:tc>
        <w:tc>
          <w:tcPr>
            <w:tcW w:w="850" w:type="dxa"/>
          </w:tcPr>
          <w:p w14:paraId="39612BA1">
            <w:pPr>
              <w:rPr>
                <w:rFonts w:ascii="宋体" w:hAnsi="宋体" w:eastAsia="宋体" w:cs="宋体"/>
                <w:color w:val="auto"/>
                <w:sz w:val="30"/>
                <w:szCs w:val="30"/>
                <w:highlight w:val="none"/>
              </w:rPr>
            </w:pPr>
          </w:p>
        </w:tc>
        <w:tc>
          <w:tcPr>
            <w:tcW w:w="1058" w:type="dxa"/>
          </w:tcPr>
          <w:p w14:paraId="5FD38B77">
            <w:pPr>
              <w:rPr>
                <w:rFonts w:ascii="宋体" w:hAnsi="宋体" w:eastAsia="宋体" w:cs="宋体"/>
                <w:color w:val="auto"/>
                <w:sz w:val="30"/>
                <w:szCs w:val="30"/>
                <w:highlight w:val="none"/>
              </w:rPr>
            </w:pPr>
          </w:p>
        </w:tc>
        <w:tc>
          <w:tcPr>
            <w:tcW w:w="880" w:type="dxa"/>
          </w:tcPr>
          <w:p w14:paraId="519A351D">
            <w:pPr>
              <w:rPr>
                <w:rFonts w:ascii="宋体" w:hAnsi="宋体" w:eastAsia="宋体" w:cs="宋体"/>
                <w:color w:val="auto"/>
                <w:sz w:val="30"/>
                <w:szCs w:val="30"/>
                <w:highlight w:val="none"/>
              </w:rPr>
            </w:pPr>
          </w:p>
        </w:tc>
        <w:tc>
          <w:tcPr>
            <w:tcW w:w="1020" w:type="dxa"/>
          </w:tcPr>
          <w:p w14:paraId="23F46E0E">
            <w:pPr>
              <w:rPr>
                <w:rFonts w:ascii="宋体" w:hAnsi="宋体" w:eastAsia="宋体" w:cs="宋体"/>
                <w:color w:val="auto"/>
                <w:sz w:val="30"/>
                <w:szCs w:val="30"/>
                <w:highlight w:val="none"/>
              </w:rPr>
            </w:pPr>
          </w:p>
        </w:tc>
        <w:tc>
          <w:tcPr>
            <w:tcW w:w="1480" w:type="dxa"/>
          </w:tcPr>
          <w:p w14:paraId="732EE4BA">
            <w:pPr>
              <w:rPr>
                <w:rFonts w:ascii="宋体" w:hAnsi="宋体" w:eastAsia="宋体" w:cs="宋体"/>
                <w:color w:val="auto"/>
                <w:sz w:val="30"/>
                <w:szCs w:val="30"/>
                <w:highlight w:val="none"/>
              </w:rPr>
            </w:pPr>
          </w:p>
        </w:tc>
        <w:tc>
          <w:tcPr>
            <w:tcW w:w="1020" w:type="dxa"/>
          </w:tcPr>
          <w:p w14:paraId="6909A502">
            <w:pPr>
              <w:rPr>
                <w:rFonts w:ascii="宋体" w:hAnsi="宋体" w:eastAsia="宋体" w:cs="宋体"/>
                <w:color w:val="auto"/>
                <w:sz w:val="30"/>
                <w:szCs w:val="30"/>
                <w:highlight w:val="none"/>
              </w:rPr>
            </w:pPr>
          </w:p>
        </w:tc>
        <w:tc>
          <w:tcPr>
            <w:tcW w:w="921" w:type="dxa"/>
          </w:tcPr>
          <w:p w14:paraId="320C3E3B">
            <w:pPr>
              <w:rPr>
                <w:rFonts w:ascii="宋体" w:hAnsi="宋体" w:eastAsia="宋体" w:cs="宋体"/>
                <w:color w:val="auto"/>
                <w:sz w:val="30"/>
                <w:szCs w:val="30"/>
                <w:highlight w:val="none"/>
              </w:rPr>
            </w:pPr>
          </w:p>
        </w:tc>
      </w:tr>
      <w:tr w14:paraId="2535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ED58A4E">
            <w:pPr>
              <w:rPr>
                <w:rFonts w:ascii="宋体" w:hAnsi="宋体" w:eastAsia="宋体" w:cs="宋体"/>
                <w:color w:val="auto"/>
                <w:sz w:val="30"/>
                <w:szCs w:val="30"/>
                <w:highlight w:val="none"/>
              </w:rPr>
            </w:pPr>
          </w:p>
        </w:tc>
        <w:tc>
          <w:tcPr>
            <w:tcW w:w="1418" w:type="dxa"/>
          </w:tcPr>
          <w:p w14:paraId="2127A210">
            <w:pPr>
              <w:rPr>
                <w:rFonts w:ascii="宋体" w:hAnsi="宋体" w:eastAsia="宋体" w:cs="宋体"/>
                <w:color w:val="auto"/>
                <w:sz w:val="30"/>
                <w:szCs w:val="30"/>
                <w:highlight w:val="none"/>
              </w:rPr>
            </w:pPr>
          </w:p>
        </w:tc>
        <w:tc>
          <w:tcPr>
            <w:tcW w:w="850" w:type="dxa"/>
          </w:tcPr>
          <w:p w14:paraId="0880FD7B">
            <w:pPr>
              <w:rPr>
                <w:rFonts w:ascii="宋体" w:hAnsi="宋体" w:eastAsia="宋体" w:cs="宋体"/>
                <w:color w:val="auto"/>
                <w:sz w:val="30"/>
                <w:szCs w:val="30"/>
                <w:highlight w:val="none"/>
              </w:rPr>
            </w:pPr>
          </w:p>
        </w:tc>
        <w:tc>
          <w:tcPr>
            <w:tcW w:w="1058" w:type="dxa"/>
          </w:tcPr>
          <w:p w14:paraId="57891DF7">
            <w:pPr>
              <w:rPr>
                <w:rFonts w:ascii="宋体" w:hAnsi="宋体" w:eastAsia="宋体" w:cs="宋体"/>
                <w:color w:val="auto"/>
                <w:sz w:val="30"/>
                <w:szCs w:val="30"/>
                <w:highlight w:val="none"/>
              </w:rPr>
            </w:pPr>
          </w:p>
        </w:tc>
        <w:tc>
          <w:tcPr>
            <w:tcW w:w="880" w:type="dxa"/>
          </w:tcPr>
          <w:p w14:paraId="424F751B">
            <w:pPr>
              <w:rPr>
                <w:rFonts w:ascii="宋体" w:hAnsi="宋体" w:eastAsia="宋体" w:cs="宋体"/>
                <w:color w:val="auto"/>
                <w:sz w:val="30"/>
                <w:szCs w:val="30"/>
                <w:highlight w:val="none"/>
              </w:rPr>
            </w:pPr>
          </w:p>
        </w:tc>
        <w:tc>
          <w:tcPr>
            <w:tcW w:w="1020" w:type="dxa"/>
          </w:tcPr>
          <w:p w14:paraId="7D4C679E">
            <w:pPr>
              <w:rPr>
                <w:rFonts w:ascii="宋体" w:hAnsi="宋体" w:eastAsia="宋体" w:cs="宋体"/>
                <w:color w:val="auto"/>
                <w:sz w:val="30"/>
                <w:szCs w:val="30"/>
                <w:highlight w:val="none"/>
              </w:rPr>
            </w:pPr>
          </w:p>
        </w:tc>
        <w:tc>
          <w:tcPr>
            <w:tcW w:w="1480" w:type="dxa"/>
          </w:tcPr>
          <w:p w14:paraId="77301E4B">
            <w:pPr>
              <w:rPr>
                <w:rFonts w:ascii="宋体" w:hAnsi="宋体" w:eastAsia="宋体" w:cs="宋体"/>
                <w:color w:val="auto"/>
                <w:sz w:val="30"/>
                <w:szCs w:val="30"/>
                <w:highlight w:val="none"/>
              </w:rPr>
            </w:pPr>
          </w:p>
        </w:tc>
        <w:tc>
          <w:tcPr>
            <w:tcW w:w="1020" w:type="dxa"/>
          </w:tcPr>
          <w:p w14:paraId="0C0713DE">
            <w:pPr>
              <w:rPr>
                <w:rFonts w:ascii="宋体" w:hAnsi="宋体" w:eastAsia="宋体" w:cs="宋体"/>
                <w:color w:val="auto"/>
                <w:sz w:val="30"/>
                <w:szCs w:val="30"/>
                <w:highlight w:val="none"/>
              </w:rPr>
            </w:pPr>
          </w:p>
        </w:tc>
        <w:tc>
          <w:tcPr>
            <w:tcW w:w="921" w:type="dxa"/>
          </w:tcPr>
          <w:p w14:paraId="0691DF6D">
            <w:pPr>
              <w:rPr>
                <w:rFonts w:ascii="宋体" w:hAnsi="宋体" w:eastAsia="宋体" w:cs="宋体"/>
                <w:color w:val="auto"/>
                <w:sz w:val="30"/>
                <w:szCs w:val="30"/>
                <w:highlight w:val="none"/>
              </w:rPr>
            </w:pPr>
          </w:p>
        </w:tc>
      </w:tr>
      <w:tr w14:paraId="1D38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2110491">
            <w:pPr>
              <w:rPr>
                <w:rFonts w:ascii="宋体" w:hAnsi="宋体" w:eastAsia="宋体" w:cs="宋体"/>
                <w:color w:val="auto"/>
                <w:sz w:val="30"/>
                <w:szCs w:val="30"/>
                <w:highlight w:val="none"/>
              </w:rPr>
            </w:pPr>
          </w:p>
        </w:tc>
        <w:tc>
          <w:tcPr>
            <w:tcW w:w="1418" w:type="dxa"/>
          </w:tcPr>
          <w:p w14:paraId="61E8D809">
            <w:pPr>
              <w:rPr>
                <w:rFonts w:ascii="宋体" w:hAnsi="宋体" w:eastAsia="宋体" w:cs="宋体"/>
                <w:color w:val="auto"/>
                <w:sz w:val="30"/>
                <w:szCs w:val="30"/>
                <w:highlight w:val="none"/>
              </w:rPr>
            </w:pPr>
          </w:p>
        </w:tc>
        <w:tc>
          <w:tcPr>
            <w:tcW w:w="850" w:type="dxa"/>
          </w:tcPr>
          <w:p w14:paraId="3CB4B54D">
            <w:pPr>
              <w:rPr>
                <w:rFonts w:ascii="宋体" w:hAnsi="宋体" w:eastAsia="宋体" w:cs="宋体"/>
                <w:color w:val="auto"/>
                <w:sz w:val="30"/>
                <w:szCs w:val="30"/>
                <w:highlight w:val="none"/>
              </w:rPr>
            </w:pPr>
          </w:p>
        </w:tc>
        <w:tc>
          <w:tcPr>
            <w:tcW w:w="1058" w:type="dxa"/>
          </w:tcPr>
          <w:p w14:paraId="7B9C2841">
            <w:pPr>
              <w:rPr>
                <w:rFonts w:ascii="宋体" w:hAnsi="宋体" w:eastAsia="宋体" w:cs="宋体"/>
                <w:color w:val="auto"/>
                <w:sz w:val="30"/>
                <w:szCs w:val="30"/>
                <w:highlight w:val="none"/>
              </w:rPr>
            </w:pPr>
          </w:p>
        </w:tc>
        <w:tc>
          <w:tcPr>
            <w:tcW w:w="880" w:type="dxa"/>
          </w:tcPr>
          <w:p w14:paraId="30C14B49">
            <w:pPr>
              <w:rPr>
                <w:rFonts w:ascii="宋体" w:hAnsi="宋体" w:eastAsia="宋体" w:cs="宋体"/>
                <w:color w:val="auto"/>
                <w:sz w:val="30"/>
                <w:szCs w:val="30"/>
                <w:highlight w:val="none"/>
              </w:rPr>
            </w:pPr>
          </w:p>
        </w:tc>
        <w:tc>
          <w:tcPr>
            <w:tcW w:w="1020" w:type="dxa"/>
          </w:tcPr>
          <w:p w14:paraId="02720B29">
            <w:pPr>
              <w:rPr>
                <w:rFonts w:ascii="宋体" w:hAnsi="宋体" w:eastAsia="宋体" w:cs="宋体"/>
                <w:color w:val="auto"/>
                <w:sz w:val="30"/>
                <w:szCs w:val="30"/>
                <w:highlight w:val="none"/>
              </w:rPr>
            </w:pPr>
          </w:p>
        </w:tc>
        <w:tc>
          <w:tcPr>
            <w:tcW w:w="1480" w:type="dxa"/>
          </w:tcPr>
          <w:p w14:paraId="6C22DCFD">
            <w:pPr>
              <w:rPr>
                <w:rFonts w:ascii="宋体" w:hAnsi="宋体" w:eastAsia="宋体" w:cs="宋体"/>
                <w:color w:val="auto"/>
                <w:sz w:val="30"/>
                <w:szCs w:val="30"/>
                <w:highlight w:val="none"/>
              </w:rPr>
            </w:pPr>
          </w:p>
        </w:tc>
        <w:tc>
          <w:tcPr>
            <w:tcW w:w="1020" w:type="dxa"/>
          </w:tcPr>
          <w:p w14:paraId="1084BF7D">
            <w:pPr>
              <w:rPr>
                <w:rFonts w:ascii="宋体" w:hAnsi="宋体" w:eastAsia="宋体" w:cs="宋体"/>
                <w:color w:val="auto"/>
                <w:sz w:val="30"/>
                <w:szCs w:val="30"/>
                <w:highlight w:val="none"/>
              </w:rPr>
            </w:pPr>
          </w:p>
        </w:tc>
        <w:tc>
          <w:tcPr>
            <w:tcW w:w="921" w:type="dxa"/>
          </w:tcPr>
          <w:p w14:paraId="4FB2E644">
            <w:pPr>
              <w:rPr>
                <w:rFonts w:ascii="宋体" w:hAnsi="宋体" w:eastAsia="宋体" w:cs="宋体"/>
                <w:color w:val="auto"/>
                <w:sz w:val="30"/>
                <w:szCs w:val="30"/>
                <w:highlight w:val="none"/>
              </w:rPr>
            </w:pPr>
          </w:p>
        </w:tc>
      </w:tr>
      <w:tr w14:paraId="2A09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05D715E">
            <w:pPr>
              <w:rPr>
                <w:rFonts w:ascii="宋体" w:hAnsi="宋体" w:eastAsia="宋体" w:cs="宋体"/>
                <w:color w:val="auto"/>
                <w:sz w:val="30"/>
                <w:szCs w:val="30"/>
                <w:highlight w:val="none"/>
              </w:rPr>
            </w:pPr>
          </w:p>
        </w:tc>
        <w:tc>
          <w:tcPr>
            <w:tcW w:w="1418" w:type="dxa"/>
          </w:tcPr>
          <w:p w14:paraId="3BD2E430">
            <w:pPr>
              <w:rPr>
                <w:rFonts w:ascii="宋体" w:hAnsi="宋体" w:eastAsia="宋体" w:cs="宋体"/>
                <w:color w:val="auto"/>
                <w:sz w:val="30"/>
                <w:szCs w:val="30"/>
                <w:highlight w:val="none"/>
              </w:rPr>
            </w:pPr>
          </w:p>
        </w:tc>
        <w:tc>
          <w:tcPr>
            <w:tcW w:w="850" w:type="dxa"/>
          </w:tcPr>
          <w:p w14:paraId="2488D264">
            <w:pPr>
              <w:rPr>
                <w:rFonts w:ascii="宋体" w:hAnsi="宋体" w:eastAsia="宋体" w:cs="宋体"/>
                <w:color w:val="auto"/>
                <w:sz w:val="30"/>
                <w:szCs w:val="30"/>
                <w:highlight w:val="none"/>
              </w:rPr>
            </w:pPr>
          </w:p>
        </w:tc>
        <w:tc>
          <w:tcPr>
            <w:tcW w:w="1058" w:type="dxa"/>
          </w:tcPr>
          <w:p w14:paraId="2FFC0EB6">
            <w:pPr>
              <w:rPr>
                <w:rFonts w:ascii="宋体" w:hAnsi="宋体" w:eastAsia="宋体" w:cs="宋体"/>
                <w:color w:val="auto"/>
                <w:sz w:val="30"/>
                <w:szCs w:val="30"/>
                <w:highlight w:val="none"/>
              </w:rPr>
            </w:pPr>
          </w:p>
        </w:tc>
        <w:tc>
          <w:tcPr>
            <w:tcW w:w="880" w:type="dxa"/>
          </w:tcPr>
          <w:p w14:paraId="73CD216C">
            <w:pPr>
              <w:rPr>
                <w:rFonts w:ascii="宋体" w:hAnsi="宋体" w:eastAsia="宋体" w:cs="宋体"/>
                <w:color w:val="auto"/>
                <w:sz w:val="30"/>
                <w:szCs w:val="30"/>
                <w:highlight w:val="none"/>
              </w:rPr>
            </w:pPr>
          </w:p>
        </w:tc>
        <w:tc>
          <w:tcPr>
            <w:tcW w:w="1020" w:type="dxa"/>
          </w:tcPr>
          <w:p w14:paraId="1F882D1D">
            <w:pPr>
              <w:rPr>
                <w:rFonts w:ascii="宋体" w:hAnsi="宋体" w:eastAsia="宋体" w:cs="宋体"/>
                <w:color w:val="auto"/>
                <w:sz w:val="30"/>
                <w:szCs w:val="30"/>
                <w:highlight w:val="none"/>
              </w:rPr>
            </w:pPr>
          </w:p>
        </w:tc>
        <w:tc>
          <w:tcPr>
            <w:tcW w:w="1480" w:type="dxa"/>
          </w:tcPr>
          <w:p w14:paraId="46377532">
            <w:pPr>
              <w:rPr>
                <w:rFonts w:ascii="宋体" w:hAnsi="宋体" w:eastAsia="宋体" w:cs="宋体"/>
                <w:color w:val="auto"/>
                <w:sz w:val="30"/>
                <w:szCs w:val="30"/>
                <w:highlight w:val="none"/>
              </w:rPr>
            </w:pPr>
          </w:p>
        </w:tc>
        <w:tc>
          <w:tcPr>
            <w:tcW w:w="1020" w:type="dxa"/>
          </w:tcPr>
          <w:p w14:paraId="5897D9D3">
            <w:pPr>
              <w:rPr>
                <w:rFonts w:ascii="宋体" w:hAnsi="宋体" w:eastAsia="宋体" w:cs="宋体"/>
                <w:color w:val="auto"/>
                <w:sz w:val="30"/>
                <w:szCs w:val="30"/>
                <w:highlight w:val="none"/>
              </w:rPr>
            </w:pPr>
          </w:p>
        </w:tc>
        <w:tc>
          <w:tcPr>
            <w:tcW w:w="921" w:type="dxa"/>
          </w:tcPr>
          <w:p w14:paraId="548C6B9D">
            <w:pPr>
              <w:rPr>
                <w:rFonts w:ascii="宋体" w:hAnsi="宋体" w:eastAsia="宋体" w:cs="宋体"/>
                <w:color w:val="auto"/>
                <w:sz w:val="30"/>
                <w:szCs w:val="30"/>
                <w:highlight w:val="none"/>
              </w:rPr>
            </w:pPr>
          </w:p>
        </w:tc>
      </w:tr>
      <w:tr w14:paraId="4634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EC7B2DA">
            <w:pPr>
              <w:rPr>
                <w:rFonts w:ascii="宋体" w:hAnsi="宋体" w:eastAsia="宋体" w:cs="宋体"/>
                <w:color w:val="auto"/>
                <w:sz w:val="30"/>
                <w:szCs w:val="30"/>
                <w:highlight w:val="none"/>
              </w:rPr>
            </w:pPr>
          </w:p>
        </w:tc>
        <w:tc>
          <w:tcPr>
            <w:tcW w:w="1418" w:type="dxa"/>
          </w:tcPr>
          <w:p w14:paraId="0E252094">
            <w:pPr>
              <w:rPr>
                <w:rFonts w:ascii="宋体" w:hAnsi="宋体" w:eastAsia="宋体" w:cs="宋体"/>
                <w:color w:val="auto"/>
                <w:sz w:val="30"/>
                <w:szCs w:val="30"/>
                <w:highlight w:val="none"/>
              </w:rPr>
            </w:pPr>
          </w:p>
        </w:tc>
        <w:tc>
          <w:tcPr>
            <w:tcW w:w="850" w:type="dxa"/>
          </w:tcPr>
          <w:p w14:paraId="415F76E7">
            <w:pPr>
              <w:rPr>
                <w:rFonts w:ascii="宋体" w:hAnsi="宋体" w:eastAsia="宋体" w:cs="宋体"/>
                <w:color w:val="auto"/>
                <w:sz w:val="30"/>
                <w:szCs w:val="30"/>
                <w:highlight w:val="none"/>
              </w:rPr>
            </w:pPr>
          </w:p>
        </w:tc>
        <w:tc>
          <w:tcPr>
            <w:tcW w:w="1058" w:type="dxa"/>
          </w:tcPr>
          <w:p w14:paraId="06614B0C">
            <w:pPr>
              <w:rPr>
                <w:rFonts w:ascii="宋体" w:hAnsi="宋体" w:eastAsia="宋体" w:cs="宋体"/>
                <w:color w:val="auto"/>
                <w:sz w:val="30"/>
                <w:szCs w:val="30"/>
                <w:highlight w:val="none"/>
              </w:rPr>
            </w:pPr>
          </w:p>
        </w:tc>
        <w:tc>
          <w:tcPr>
            <w:tcW w:w="880" w:type="dxa"/>
          </w:tcPr>
          <w:p w14:paraId="5D88B7A4">
            <w:pPr>
              <w:rPr>
                <w:rFonts w:ascii="宋体" w:hAnsi="宋体" w:eastAsia="宋体" w:cs="宋体"/>
                <w:color w:val="auto"/>
                <w:sz w:val="30"/>
                <w:szCs w:val="30"/>
                <w:highlight w:val="none"/>
              </w:rPr>
            </w:pPr>
          </w:p>
        </w:tc>
        <w:tc>
          <w:tcPr>
            <w:tcW w:w="1020" w:type="dxa"/>
          </w:tcPr>
          <w:p w14:paraId="60F9F5D4">
            <w:pPr>
              <w:rPr>
                <w:rFonts w:ascii="宋体" w:hAnsi="宋体" w:eastAsia="宋体" w:cs="宋体"/>
                <w:color w:val="auto"/>
                <w:sz w:val="30"/>
                <w:szCs w:val="30"/>
                <w:highlight w:val="none"/>
              </w:rPr>
            </w:pPr>
          </w:p>
        </w:tc>
        <w:tc>
          <w:tcPr>
            <w:tcW w:w="1480" w:type="dxa"/>
          </w:tcPr>
          <w:p w14:paraId="7058AB64">
            <w:pPr>
              <w:rPr>
                <w:rFonts w:ascii="宋体" w:hAnsi="宋体" w:eastAsia="宋体" w:cs="宋体"/>
                <w:color w:val="auto"/>
                <w:sz w:val="30"/>
                <w:szCs w:val="30"/>
                <w:highlight w:val="none"/>
              </w:rPr>
            </w:pPr>
          </w:p>
        </w:tc>
        <w:tc>
          <w:tcPr>
            <w:tcW w:w="1020" w:type="dxa"/>
          </w:tcPr>
          <w:p w14:paraId="14B41251">
            <w:pPr>
              <w:rPr>
                <w:rFonts w:ascii="宋体" w:hAnsi="宋体" w:eastAsia="宋体" w:cs="宋体"/>
                <w:color w:val="auto"/>
                <w:sz w:val="30"/>
                <w:szCs w:val="30"/>
                <w:highlight w:val="none"/>
              </w:rPr>
            </w:pPr>
          </w:p>
        </w:tc>
        <w:tc>
          <w:tcPr>
            <w:tcW w:w="921" w:type="dxa"/>
          </w:tcPr>
          <w:p w14:paraId="5B2F71FC">
            <w:pPr>
              <w:rPr>
                <w:rFonts w:ascii="宋体" w:hAnsi="宋体" w:eastAsia="宋体" w:cs="宋体"/>
                <w:color w:val="auto"/>
                <w:sz w:val="30"/>
                <w:szCs w:val="30"/>
                <w:highlight w:val="none"/>
              </w:rPr>
            </w:pPr>
          </w:p>
        </w:tc>
      </w:tr>
      <w:tr w14:paraId="5B69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EA17C50">
            <w:pPr>
              <w:rPr>
                <w:rFonts w:ascii="宋体" w:hAnsi="宋体" w:eastAsia="宋体" w:cs="宋体"/>
                <w:color w:val="auto"/>
                <w:sz w:val="30"/>
                <w:szCs w:val="30"/>
                <w:highlight w:val="none"/>
              </w:rPr>
            </w:pPr>
          </w:p>
        </w:tc>
        <w:tc>
          <w:tcPr>
            <w:tcW w:w="1418" w:type="dxa"/>
          </w:tcPr>
          <w:p w14:paraId="442B0658">
            <w:pPr>
              <w:rPr>
                <w:rFonts w:ascii="宋体" w:hAnsi="宋体" w:eastAsia="宋体" w:cs="宋体"/>
                <w:color w:val="auto"/>
                <w:sz w:val="30"/>
                <w:szCs w:val="30"/>
                <w:highlight w:val="none"/>
              </w:rPr>
            </w:pPr>
          </w:p>
        </w:tc>
        <w:tc>
          <w:tcPr>
            <w:tcW w:w="850" w:type="dxa"/>
          </w:tcPr>
          <w:p w14:paraId="419F2C6B">
            <w:pPr>
              <w:rPr>
                <w:rFonts w:ascii="宋体" w:hAnsi="宋体" w:eastAsia="宋体" w:cs="宋体"/>
                <w:color w:val="auto"/>
                <w:sz w:val="30"/>
                <w:szCs w:val="30"/>
                <w:highlight w:val="none"/>
              </w:rPr>
            </w:pPr>
          </w:p>
        </w:tc>
        <w:tc>
          <w:tcPr>
            <w:tcW w:w="1058" w:type="dxa"/>
          </w:tcPr>
          <w:p w14:paraId="1277E588">
            <w:pPr>
              <w:rPr>
                <w:rFonts w:ascii="宋体" w:hAnsi="宋体" w:eastAsia="宋体" w:cs="宋体"/>
                <w:color w:val="auto"/>
                <w:sz w:val="30"/>
                <w:szCs w:val="30"/>
                <w:highlight w:val="none"/>
              </w:rPr>
            </w:pPr>
          </w:p>
        </w:tc>
        <w:tc>
          <w:tcPr>
            <w:tcW w:w="880" w:type="dxa"/>
          </w:tcPr>
          <w:p w14:paraId="1CAD5206">
            <w:pPr>
              <w:rPr>
                <w:rFonts w:ascii="宋体" w:hAnsi="宋体" w:eastAsia="宋体" w:cs="宋体"/>
                <w:color w:val="auto"/>
                <w:sz w:val="30"/>
                <w:szCs w:val="30"/>
                <w:highlight w:val="none"/>
              </w:rPr>
            </w:pPr>
          </w:p>
        </w:tc>
        <w:tc>
          <w:tcPr>
            <w:tcW w:w="1020" w:type="dxa"/>
          </w:tcPr>
          <w:p w14:paraId="40306BD3">
            <w:pPr>
              <w:rPr>
                <w:rFonts w:ascii="宋体" w:hAnsi="宋体" w:eastAsia="宋体" w:cs="宋体"/>
                <w:color w:val="auto"/>
                <w:sz w:val="30"/>
                <w:szCs w:val="30"/>
                <w:highlight w:val="none"/>
              </w:rPr>
            </w:pPr>
          </w:p>
        </w:tc>
        <w:tc>
          <w:tcPr>
            <w:tcW w:w="1480" w:type="dxa"/>
          </w:tcPr>
          <w:p w14:paraId="1CA5479C">
            <w:pPr>
              <w:rPr>
                <w:rFonts w:ascii="宋体" w:hAnsi="宋体" w:eastAsia="宋体" w:cs="宋体"/>
                <w:color w:val="auto"/>
                <w:sz w:val="30"/>
                <w:szCs w:val="30"/>
                <w:highlight w:val="none"/>
              </w:rPr>
            </w:pPr>
          </w:p>
        </w:tc>
        <w:tc>
          <w:tcPr>
            <w:tcW w:w="1020" w:type="dxa"/>
          </w:tcPr>
          <w:p w14:paraId="0BB8E9DE">
            <w:pPr>
              <w:rPr>
                <w:rFonts w:ascii="宋体" w:hAnsi="宋体" w:eastAsia="宋体" w:cs="宋体"/>
                <w:color w:val="auto"/>
                <w:sz w:val="30"/>
                <w:szCs w:val="30"/>
                <w:highlight w:val="none"/>
              </w:rPr>
            </w:pPr>
          </w:p>
        </w:tc>
        <w:tc>
          <w:tcPr>
            <w:tcW w:w="921" w:type="dxa"/>
          </w:tcPr>
          <w:p w14:paraId="4FF093FB">
            <w:pPr>
              <w:rPr>
                <w:rFonts w:ascii="宋体" w:hAnsi="宋体" w:eastAsia="宋体" w:cs="宋体"/>
                <w:color w:val="auto"/>
                <w:sz w:val="30"/>
                <w:szCs w:val="30"/>
                <w:highlight w:val="none"/>
              </w:rPr>
            </w:pPr>
          </w:p>
        </w:tc>
      </w:tr>
    </w:tbl>
    <w:p w14:paraId="0B121457">
      <w:pPr>
        <w:spacing w:line="440" w:lineRule="exact"/>
        <w:rPr>
          <w:rFonts w:ascii="宋体" w:hAnsi="宋体" w:eastAsia="宋体" w:cs="宋体"/>
          <w:color w:val="auto"/>
          <w:sz w:val="30"/>
          <w:szCs w:val="30"/>
          <w:highlight w:val="none"/>
        </w:rPr>
        <w:sectPr>
          <w:pgSz w:w="11905" w:h="16838"/>
          <w:pgMar w:top="1417" w:right="1417" w:bottom="1417" w:left="1417" w:header="851" w:footer="850" w:gutter="0"/>
          <w:cols w:space="720" w:num="1"/>
          <w:docGrid w:linePitch="312" w:charSpace="0"/>
        </w:sectPr>
      </w:pPr>
    </w:p>
    <w:p w14:paraId="4FA3147D">
      <w:pPr>
        <w:pStyle w:val="5"/>
        <w:jc w:val="left"/>
        <w:rPr>
          <w:rFonts w:ascii="宋体" w:hAnsi="宋体" w:eastAsia="宋体" w:cs="宋体"/>
          <w:color w:val="auto"/>
          <w:sz w:val="30"/>
          <w:szCs w:val="30"/>
          <w:highlight w:val="none"/>
        </w:rPr>
      </w:pPr>
      <w:r>
        <w:rPr>
          <w:rFonts w:hint="eastAsia" w:ascii="宋体" w:hAnsi="宋体" w:eastAsia="宋体" w:cs="宋体"/>
          <w:color w:val="auto"/>
          <w:highlight w:val="none"/>
        </w:rPr>
        <w:t>附</w:t>
      </w:r>
      <w:bookmarkStart w:id="1008" w:name="_Toc296503228"/>
      <w:bookmarkStart w:id="1009" w:name="_Toc296347227"/>
      <w:bookmarkStart w:id="1010" w:name="_Toc267261699"/>
      <w:bookmarkStart w:id="1011" w:name="_Toc296944567"/>
      <w:bookmarkStart w:id="1012" w:name="_Toc296891056"/>
      <w:bookmarkStart w:id="1013" w:name="_Toc296346729"/>
      <w:bookmarkStart w:id="1014" w:name="_Toc296891268"/>
      <w:r>
        <w:rPr>
          <w:rFonts w:hint="eastAsia" w:ascii="宋体" w:hAnsi="宋体" w:eastAsia="宋体" w:cs="宋体"/>
          <w:color w:val="auto"/>
          <w:highlight w:val="none"/>
        </w:rPr>
        <w:t>件</w:t>
      </w:r>
      <w:r>
        <w:rPr>
          <w:rFonts w:hint="eastAsia" w:ascii="宋体" w:hAnsi="宋体" w:eastAsia="宋体" w:cs="宋体"/>
          <w:color w:val="auto"/>
          <w:sz w:val="30"/>
          <w:szCs w:val="30"/>
          <w:highlight w:val="none"/>
        </w:rPr>
        <w:t>5：</w:t>
      </w:r>
    </w:p>
    <w:bookmarkEnd w:id="1008"/>
    <w:bookmarkEnd w:id="1009"/>
    <w:bookmarkEnd w:id="1010"/>
    <w:bookmarkEnd w:id="1011"/>
    <w:bookmarkEnd w:id="1012"/>
    <w:bookmarkEnd w:id="1013"/>
    <w:bookmarkEnd w:id="1014"/>
    <w:p w14:paraId="3E55D2CE">
      <w:pPr>
        <w:spacing w:before="120" w:beforeLines="50" w:after="120" w:afterLines="50" w:line="44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承包人主要施工管理人员表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7993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85090A">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vAlign w:val="center"/>
          </w:tcPr>
          <w:p w14:paraId="73B8CD86">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vAlign w:val="center"/>
          </w:tcPr>
          <w:p w14:paraId="13B1887D">
            <w:pPr>
              <w:pStyle w:val="19"/>
              <w:keepNext/>
              <w:spacing w:line="440" w:lineRule="exact"/>
              <w:ind w:left="63"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1CCDF22A">
            <w:pPr>
              <w:pStyle w:val="19"/>
              <w:keepNext/>
              <w:spacing w:line="440" w:lineRule="exact"/>
              <w:ind w:left="63"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23CFE510">
            <w:pPr>
              <w:pStyle w:val="19"/>
              <w:keepNext/>
              <w:spacing w:line="440" w:lineRule="exact"/>
              <w:ind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计划进场时间</w:t>
            </w:r>
          </w:p>
        </w:tc>
      </w:tr>
      <w:tr w14:paraId="7868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7AECFD8">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14:paraId="3616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6BBB1A">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vAlign w:val="center"/>
          </w:tcPr>
          <w:p w14:paraId="43F5ACC9">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2F27AC7">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6B5D036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A5766F8">
            <w:pPr>
              <w:pStyle w:val="19"/>
              <w:keepNext/>
              <w:spacing w:line="440" w:lineRule="exact"/>
              <w:ind w:left="63" w:right="63"/>
              <w:rPr>
                <w:rFonts w:ascii="宋体" w:hAnsi="宋体" w:eastAsia="宋体" w:cs="宋体"/>
                <w:color w:val="auto"/>
                <w:sz w:val="30"/>
                <w:szCs w:val="30"/>
                <w:highlight w:val="none"/>
              </w:rPr>
            </w:pPr>
          </w:p>
        </w:tc>
      </w:tr>
      <w:tr w14:paraId="0B2C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A6CB076">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vAlign w:val="center"/>
          </w:tcPr>
          <w:p w14:paraId="06BA5A4A">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36267DEF">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7DBA046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446CCCF">
            <w:pPr>
              <w:pStyle w:val="19"/>
              <w:keepNext/>
              <w:spacing w:line="440" w:lineRule="exact"/>
              <w:ind w:left="63" w:right="63"/>
              <w:rPr>
                <w:rFonts w:ascii="宋体" w:hAnsi="宋体" w:eastAsia="宋体" w:cs="宋体"/>
                <w:color w:val="auto"/>
                <w:sz w:val="30"/>
                <w:szCs w:val="30"/>
                <w:highlight w:val="none"/>
              </w:rPr>
            </w:pPr>
          </w:p>
        </w:tc>
      </w:tr>
      <w:tr w14:paraId="78E4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680444C">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71C8F6FE">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5B850E1">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B03A313">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593F9D9">
            <w:pPr>
              <w:pStyle w:val="19"/>
              <w:keepNext/>
              <w:spacing w:line="440" w:lineRule="exact"/>
              <w:ind w:left="63" w:right="63"/>
              <w:rPr>
                <w:rFonts w:ascii="宋体" w:hAnsi="宋体" w:eastAsia="宋体" w:cs="宋体"/>
                <w:color w:val="auto"/>
                <w:sz w:val="30"/>
                <w:szCs w:val="30"/>
                <w:highlight w:val="none"/>
              </w:rPr>
            </w:pPr>
          </w:p>
        </w:tc>
      </w:tr>
      <w:tr w14:paraId="69CF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26D478D">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355E97E8">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8F67528">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71F929CA">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EC5154D">
            <w:pPr>
              <w:pStyle w:val="19"/>
              <w:keepNext/>
              <w:spacing w:line="440" w:lineRule="exact"/>
              <w:ind w:left="63" w:right="63"/>
              <w:rPr>
                <w:rFonts w:ascii="宋体" w:hAnsi="宋体" w:eastAsia="宋体" w:cs="宋体"/>
                <w:color w:val="auto"/>
                <w:sz w:val="30"/>
                <w:szCs w:val="30"/>
                <w:highlight w:val="none"/>
              </w:rPr>
            </w:pPr>
          </w:p>
        </w:tc>
      </w:tr>
      <w:tr w14:paraId="408E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CE321A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二、现场人员</w:t>
            </w:r>
          </w:p>
        </w:tc>
      </w:tr>
      <w:tr w14:paraId="6C34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8523A7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w:t>
            </w:r>
          </w:p>
        </w:tc>
        <w:tc>
          <w:tcPr>
            <w:tcW w:w="1418" w:type="dxa"/>
            <w:vAlign w:val="center"/>
          </w:tcPr>
          <w:p w14:paraId="45997804">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B9DFF4E">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6758229C">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B349B41">
            <w:pPr>
              <w:pStyle w:val="19"/>
              <w:keepNext/>
              <w:spacing w:line="440" w:lineRule="exact"/>
              <w:ind w:left="63" w:right="63"/>
              <w:rPr>
                <w:rFonts w:ascii="宋体" w:hAnsi="宋体" w:eastAsia="宋体" w:cs="宋体"/>
                <w:color w:val="auto"/>
                <w:sz w:val="30"/>
                <w:szCs w:val="30"/>
                <w:highlight w:val="none"/>
              </w:rPr>
            </w:pPr>
          </w:p>
        </w:tc>
      </w:tr>
      <w:tr w14:paraId="15B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54018E4">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项目副经理</w:t>
            </w:r>
          </w:p>
        </w:tc>
        <w:tc>
          <w:tcPr>
            <w:tcW w:w="1418" w:type="dxa"/>
            <w:vAlign w:val="center"/>
          </w:tcPr>
          <w:p w14:paraId="4707AC7C">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C70D9BB">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605D95C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146D726">
            <w:pPr>
              <w:pStyle w:val="19"/>
              <w:keepNext/>
              <w:spacing w:line="440" w:lineRule="exact"/>
              <w:ind w:left="63" w:right="63"/>
              <w:rPr>
                <w:rFonts w:ascii="宋体" w:hAnsi="宋体" w:eastAsia="宋体" w:cs="宋体"/>
                <w:color w:val="auto"/>
                <w:sz w:val="30"/>
                <w:szCs w:val="30"/>
                <w:highlight w:val="none"/>
              </w:rPr>
            </w:pPr>
          </w:p>
        </w:tc>
      </w:tr>
      <w:tr w14:paraId="4135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04BF86">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418" w:type="dxa"/>
            <w:vAlign w:val="center"/>
          </w:tcPr>
          <w:p w14:paraId="54344F15">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75CAC13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7E63BDC9">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374C1A1">
            <w:pPr>
              <w:pStyle w:val="19"/>
              <w:keepNext/>
              <w:spacing w:line="440" w:lineRule="exact"/>
              <w:ind w:left="63" w:right="63"/>
              <w:rPr>
                <w:rFonts w:ascii="宋体" w:hAnsi="宋体" w:eastAsia="宋体" w:cs="宋体"/>
                <w:color w:val="auto"/>
                <w:sz w:val="30"/>
                <w:szCs w:val="30"/>
                <w:highlight w:val="none"/>
              </w:rPr>
            </w:pPr>
          </w:p>
        </w:tc>
      </w:tr>
      <w:tr w14:paraId="2782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BAD501F">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造价管理</w:t>
            </w:r>
          </w:p>
        </w:tc>
        <w:tc>
          <w:tcPr>
            <w:tcW w:w="1418" w:type="dxa"/>
            <w:vAlign w:val="center"/>
          </w:tcPr>
          <w:p w14:paraId="32E784C3">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76DCFBF6">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16BB0561">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1FCA1B34">
            <w:pPr>
              <w:pStyle w:val="19"/>
              <w:keepNext/>
              <w:spacing w:line="440" w:lineRule="exact"/>
              <w:ind w:left="63" w:right="63"/>
              <w:rPr>
                <w:rFonts w:ascii="宋体" w:hAnsi="宋体" w:eastAsia="宋体" w:cs="宋体"/>
                <w:color w:val="auto"/>
                <w:sz w:val="30"/>
                <w:szCs w:val="30"/>
                <w:highlight w:val="none"/>
              </w:rPr>
            </w:pPr>
          </w:p>
        </w:tc>
      </w:tr>
      <w:tr w14:paraId="44B6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FA4E0E0">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质量管理</w:t>
            </w:r>
          </w:p>
        </w:tc>
        <w:tc>
          <w:tcPr>
            <w:tcW w:w="1418" w:type="dxa"/>
            <w:vAlign w:val="center"/>
          </w:tcPr>
          <w:p w14:paraId="0353DCAD">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3459085">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5EC61695">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05D41EB">
            <w:pPr>
              <w:pStyle w:val="19"/>
              <w:keepNext/>
              <w:spacing w:line="440" w:lineRule="exact"/>
              <w:ind w:left="63" w:right="63"/>
              <w:rPr>
                <w:rFonts w:ascii="宋体" w:hAnsi="宋体" w:eastAsia="宋体" w:cs="宋体"/>
                <w:color w:val="auto"/>
                <w:sz w:val="30"/>
                <w:szCs w:val="30"/>
                <w:highlight w:val="none"/>
              </w:rPr>
            </w:pPr>
          </w:p>
        </w:tc>
      </w:tr>
      <w:tr w14:paraId="25C3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5115CA2">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761B82B9">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872E52D">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ACEAD77">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5E177F6">
            <w:pPr>
              <w:pStyle w:val="19"/>
              <w:keepNext/>
              <w:spacing w:line="440" w:lineRule="exact"/>
              <w:ind w:left="63" w:right="63"/>
              <w:rPr>
                <w:rFonts w:ascii="宋体" w:hAnsi="宋体" w:eastAsia="宋体" w:cs="宋体"/>
                <w:color w:val="auto"/>
                <w:sz w:val="30"/>
                <w:szCs w:val="30"/>
                <w:highlight w:val="none"/>
              </w:rPr>
            </w:pPr>
          </w:p>
        </w:tc>
      </w:tr>
      <w:tr w14:paraId="3F43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7A8BE83">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4FA1985B">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55EC310">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1F6DF4C9">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85490CB">
            <w:pPr>
              <w:pStyle w:val="19"/>
              <w:keepNext/>
              <w:spacing w:line="440" w:lineRule="exact"/>
              <w:ind w:left="63" w:right="63"/>
              <w:rPr>
                <w:rFonts w:ascii="宋体" w:hAnsi="宋体" w:eastAsia="宋体" w:cs="宋体"/>
                <w:color w:val="auto"/>
                <w:sz w:val="30"/>
                <w:szCs w:val="30"/>
                <w:highlight w:val="none"/>
              </w:rPr>
            </w:pPr>
          </w:p>
        </w:tc>
      </w:tr>
      <w:tr w14:paraId="2A6D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ED8937">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材料管理</w:t>
            </w:r>
          </w:p>
        </w:tc>
        <w:tc>
          <w:tcPr>
            <w:tcW w:w="1418" w:type="dxa"/>
            <w:vAlign w:val="center"/>
          </w:tcPr>
          <w:p w14:paraId="30B5BB41">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6DD6FE6">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81AA8BE">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1C840DC">
            <w:pPr>
              <w:pStyle w:val="19"/>
              <w:keepNext/>
              <w:spacing w:line="440" w:lineRule="exact"/>
              <w:ind w:left="63" w:right="63"/>
              <w:rPr>
                <w:rFonts w:ascii="宋体" w:hAnsi="宋体" w:eastAsia="宋体" w:cs="宋体"/>
                <w:color w:val="auto"/>
                <w:sz w:val="30"/>
                <w:szCs w:val="30"/>
                <w:highlight w:val="none"/>
              </w:rPr>
            </w:pPr>
          </w:p>
        </w:tc>
      </w:tr>
      <w:tr w14:paraId="6110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AA8569">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计划管理</w:t>
            </w:r>
          </w:p>
        </w:tc>
        <w:tc>
          <w:tcPr>
            <w:tcW w:w="1418" w:type="dxa"/>
            <w:vAlign w:val="center"/>
          </w:tcPr>
          <w:p w14:paraId="5DCCD36D">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5D7E4F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1677FF46">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1488D99A">
            <w:pPr>
              <w:pStyle w:val="19"/>
              <w:keepNext/>
              <w:spacing w:line="440" w:lineRule="exact"/>
              <w:ind w:left="63" w:right="63"/>
              <w:rPr>
                <w:rFonts w:ascii="宋体" w:hAnsi="宋体" w:eastAsia="宋体" w:cs="宋体"/>
                <w:color w:val="auto"/>
                <w:sz w:val="30"/>
                <w:szCs w:val="30"/>
                <w:highlight w:val="none"/>
              </w:rPr>
            </w:pPr>
          </w:p>
        </w:tc>
      </w:tr>
      <w:tr w14:paraId="2735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8B4A5B8">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安全管理</w:t>
            </w:r>
          </w:p>
        </w:tc>
        <w:tc>
          <w:tcPr>
            <w:tcW w:w="1418" w:type="dxa"/>
            <w:vAlign w:val="center"/>
          </w:tcPr>
          <w:p w14:paraId="25466E8B">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A0B9726">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9B25FAD">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B0D45A4">
            <w:pPr>
              <w:pStyle w:val="19"/>
              <w:keepNext/>
              <w:spacing w:line="440" w:lineRule="exact"/>
              <w:ind w:left="63" w:right="63"/>
              <w:rPr>
                <w:rFonts w:ascii="宋体" w:hAnsi="宋体" w:eastAsia="宋体" w:cs="宋体"/>
                <w:color w:val="auto"/>
                <w:sz w:val="30"/>
                <w:szCs w:val="30"/>
                <w:highlight w:val="none"/>
              </w:rPr>
            </w:pPr>
          </w:p>
        </w:tc>
      </w:tr>
      <w:tr w14:paraId="1E76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vAlign w:val="center"/>
          </w:tcPr>
          <w:p w14:paraId="4A2001F7">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48F84117">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76E5D975">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6AD44FFE">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E0DB217">
            <w:pPr>
              <w:pStyle w:val="19"/>
              <w:keepNext/>
              <w:spacing w:line="440" w:lineRule="exact"/>
              <w:ind w:left="63" w:right="63"/>
              <w:rPr>
                <w:rFonts w:ascii="宋体" w:hAnsi="宋体" w:eastAsia="宋体" w:cs="宋体"/>
                <w:color w:val="auto"/>
                <w:sz w:val="30"/>
                <w:szCs w:val="30"/>
                <w:highlight w:val="none"/>
              </w:rPr>
            </w:pPr>
          </w:p>
        </w:tc>
      </w:tr>
      <w:tr w14:paraId="24A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22D02FA">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03D7F7B5">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F4687C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1FD40A3B">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2499359A">
            <w:pPr>
              <w:pStyle w:val="19"/>
              <w:keepNext/>
              <w:spacing w:line="440" w:lineRule="exact"/>
              <w:ind w:left="63" w:right="63"/>
              <w:rPr>
                <w:rFonts w:ascii="宋体" w:hAnsi="宋体" w:eastAsia="宋体" w:cs="宋体"/>
                <w:color w:val="auto"/>
                <w:sz w:val="30"/>
                <w:szCs w:val="30"/>
                <w:highlight w:val="none"/>
              </w:rPr>
            </w:pPr>
          </w:p>
        </w:tc>
      </w:tr>
      <w:tr w14:paraId="67F7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FFD022">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vAlign w:val="center"/>
          </w:tcPr>
          <w:p w14:paraId="26E07BAC">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CF54EB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9D9F5DC">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9B9CCEA">
            <w:pPr>
              <w:pStyle w:val="19"/>
              <w:keepNext/>
              <w:spacing w:line="440" w:lineRule="exact"/>
              <w:ind w:left="63" w:right="63"/>
              <w:rPr>
                <w:rFonts w:ascii="宋体" w:hAnsi="宋体" w:eastAsia="宋体" w:cs="宋体"/>
                <w:color w:val="auto"/>
                <w:sz w:val="30"/>
                <w:szCs w:val="30"/>
                <w:highlight w:val="none"/>
              </w:rPr>
            </w:pPr>
          </w:p>
        </w:tc>
      </w:tr>
      <w:tr w14:paraId="6BF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E5DBB83">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3CEF4198">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1B4361E">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98CE4D5">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D33813D">
            <w:pPr>
              <w:pStyle w:val="19"/>
              <w:keepNext/>
              <w:spacing w:line="440" w:lineRule="exact"/>
              <w:ind w:left="63" w:right="63"/>
              <w:rPr>
                <w:rFonts w:ascii="宋体" w:hAnsi="宋体" w:eastAsia="宋体" w:cs="宋体"/>
                <w:color w:val="auto"/>
                <w:sz w:val="30"/>
                <w:szCs w:val="30"/>
                <w:highlight w:val="none"/>
              </w:rPr>
            </w:pPr>
          </w:p>
        </w:tc>
      </w:tr>
      <w:tr w14:paraId="1349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9D4FB">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11AC78A1">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09C6AFE">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2BC15616">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3104C3B">
            <w:pPr>
              <w:pStyle w:val="19"/>
              <w:keepNext/>
              <w:spacing w:line="440" w:lineRule="exact"/>
              <w:ind w:left="63" w:right="63"/>
              <w:rPr>
                <w:rFonts w:ascii="宋体" w:hAnsi="宋体" w:eastAsia="宋体" w:cs="宋体"/>
                <w:color w:val="auto"/>
                <w:sz w:val="30"/>
                <w:szCs w:val="30"/>
                <w:highlight w:val="none"/>
              </w:rPr>
            </w:pPr>
          </w:p>
        </w:tc>
      </w:tr>
      <w:tr w14:paraId="4799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BADE48D">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5925E6E3">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E178170">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6CD598B">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EF0D149">
            <w:pPr>
              <w:pStyle w:val="19"/>
              <w:keepNext/>
              <w:spacing w:line="440" w:lineRule="exact"/>
              <w:ind w:left="63" w:right="63"/>
              <w:rPr>
                <w:rFonts w:ascii="宋体" w:hAnsi="宋体" w:eastAsia="宋体" w:cs="宋体"/>
                <w:color w:val="auto"/>
                <w:sz w:val="30"/>
                <w:szCs w:val="30"/>
                <w:highlight w:val="none"/>
              </w:rPr>
            </w:pPr>
          </w:p>
        </w:tc>
      </w:tr>
      <w:tr w14:paraId="07D5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vAlign w:val="center"/>
          </w:tcPr>
          <w:p w14:paraId="6BF45A6F">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183E34D6">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57DA76C">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608C9E1E">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D9AD478">
            <w:pPr>
              <w:pStyle w:val="19"/>
              <w:keepNext/>
              <w:spacing w:line="440" w:lineRule="exact"/>
              <w:ind w:left="63" w:right="63"/>
              <w:rPr>
                <w:rFonts w:ascii="宋体" w:hAnsi="宋体" w:eastAsia="宋体" w:cs="宋体"/>
                <w:color w:val="auto"/>
                <w:sz w:val="30"/>
                <w:szCs w:val="30"/>
                <w:highlight w:val="none"/>
              </w:rPr>
            </w:pPr>
          </w:p>
        </w:tc>
      </w:tr>
      <w:tr w14:paraId="63C0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EECCC90">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4D707818">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6EBC0B01">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EFF20D8">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C9BE57E">
            <w:pPr>
              <w:pStyle w:val="19"/>
              <w:keepNext/>
              <w:spacing w:line="440" w:lineRule="exact"/>
              <w:ind w:left="63" w:right="63"/>
              <w:rPr>
                <w:rFonts w:ascii="宋体" w:hAnsi="宋体" w:eastAsia="宋体" w:cs="宋体"/>
                <w:color w:val="auto"/>
                <w:sz w:val="30"/>
                <w:szCs w:val="30"/>
                <w:highlight w:val="none"/>
              </w:rPr>
            </w:pPr>
          </w:p>
        </w:tc>
      </w:tr>
    </w:tbl>
    <w:p w14:paraId="593D82A8">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附</w:t>
      </w:r>
      <w:bookmarkStart w:id="1015" w:name="_Toc296347228"/>
      <w:bookmarkStart w:id="1016" w:name="_Toc296346730"/>
      <w:bookmarkStart w:id="1017" w:name="_Toc296891057"/>
      <w:bookmarkStart w:id="1018" w:name="_Toc296944568"/>
      <w:bookmarkStart w:id="1019" w:name="_Toc296503229"/>
      <w:bookmarkStart w:id="1020" w:name="_Toc296891269"/>
      <w:r>
        <w:rPr>
          <w:rFonts w:hint="eastAsia" w:ascii="宋体" w:hAnsi="宋体" w:eastAsia="宋体" w:cs="宋体"/>
          <w:color w:val="auto"/>
          <w:highlight w:val="none"/>
        </w:rPr>
        <w:t>件</w:t>
      </w:r>
      <w:r>
        <w:rPr>
          <w:rFonts w:hint="eastAsia" w:ascii="宋体" w:hAnsi="宋体" w:eastAsia="宋体" w:cs="宋体"/>
          <w:color w:val="auto"/>
          <w:sz w:val="30"/>
          <w:szCs w:val="30"/>
          <w:highlight w:val="none"/>
        </w:rPr>
        <w:t>6：</w:t>
      </w:r>
    </w:p>
    <w:bookmarkEnd w:id="1015"/>
    <w:bookmarkEnd w:id="1016"/>
    <w:bookmarkEnd w:id="1017"/>
    <w:bookmarkEnd w:id="1018"/>
    <w:bookmarkEnd w:id="1019"/>
    <w:bookmarkEnd w:id="1020"/>
    <w:p w14:paraId="27CA50D5">
      <w:pPr>
        <w:spacing w:before="120" w:beforeLines="50" w:after="120" w:afterLines="50" w:line="44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分包人主要施工管理人员表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367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8BC124">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vAlign w:val="center"/>
          </w:tcPr>
          <w:p w14:paraId="677D39AC">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vAlign w:val="center"/>
          </w:tcPr>
          <w:p w14:paraId="4A1A7325">
            <w:pPr>
              <w:pStyle w:val="19"/>
              <w:keepNext/>
              <w:spacing w:line="440" w:lineRule="exact"/>
              <w:ind w:left="63"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职务</w:t>
            </w:r>
          </w:p>
        </w:tc>
        <w:tc>
          <w:tcPr>
            <w:tcW w:w="1134" w:type="dxa"/>
            <w:vAlign w:val="center"/>
          </w:tcPr>
          <w:p w14:paraId="73C02F5A">
            <w:pPr>
              <w:pStyle w:val="19"/>
              <w:keepNext/>
              <w:spacing w:line="440" w:lineRule="exact"/>
              <w:ind w:left="63"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职称</w:t>
            </w:r>
          </w:p>
        </w:tc>
        <w:tc>
          <w:tcPr>
            <w:tcW w:w="4252" w:type="dxa"/>
            <w:vAlign w:val="center"/>
          </w:tcPr>
          <w:p w14:paraId="2EE57287">
            <w:pPr>
              <w:pStyle w:val="19"/>
              <w:keepNext/>
              <w:spacing w:line="440" w:lineRule="exact"/>
              <w:ind w:left="63" w:right="63"/>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主要资历、经验及承担过的项目</w:t>
            </w:r>
          </w:p>
        </w:tc>
      </w:tr>
      <w:tr w14:paraId="5D12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21A1131">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14:paraId="62D3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66DB08">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vAlign w:val="center"/>
          </w:tcPr>
          <w:p w14:paraId="3BED78FB">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046FC11">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5E40EB92">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B9A203E">
            <w:pPr>
              <w:pStyle w:val="19"/>
              <w:keepNext/>
              <w:spacing w:line="440" w:lineRule="exact"/>
              <w:ind w:left="63" w:right="63"/>
              <w:rPr>
                <w:rFonts w:ascii="宋体" w:hAnsi="宋体" w:eastAsia="宋体" w:cs="宋体"/>
                <w:color w:val="auto"/>
                <w:sz w:val="30"/>
                <w:szCs w:val="30"/>
                <w:highlight w:val="none"/>
              </w:rPr>
            </w:pPr>
          </w:p>
        </w:tc>
      </w:tr>
      <w:tr w14:paraId="4049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82E2450">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vAlign w:val="center"/>
          </w:tcPr>
          <w:p w14:paraId="1D34061A">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6FDAE2CB">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B3B6D4C">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71DCD7A5">
            <w:pPr>
              <w:pStyle w:val="19"/>
              <w:keepNext/>
              <w:spacing w:line="440" w:lineRule="exact"/>
              <w:ind w:left="63" w:right="63"/>
              <w:rPr>
                <w:rFonts w:ascii="宋体" w:hAnsi="宋体" w:eastAsia="宋体" w:cs="宋体"/>
                <w:color w:val="auto"/>
                <w:sz w:val="30"/>
                <w:szCs w:val="30"/>
                <w:highlight w:val="none"/>
              </w:rPr>
            </w:pPr>
          </w:p>
        </w:tc>
      </w:tr>
      <w:tr w14:paraId="2BC9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BF7291">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709B06D4">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0661F146">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7671C073">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4F0FA8F">
            <w:pPr>
              <w:pStyle w:val="19"/>
              <w:keepNext/>
              <w:spacing w:line="440" w:lineRule="exact"/>
              <w:ind w:left="63" w:right="63"/>
              <w:rPr>
                <w:rFonts w:ascii="宋体" w:hAnsi="宋体" w:eastAsia="宋体" w:cs="宋体"/>
                <w:color w:val="auto"/>
                <w:sz w:val="30"/>
                <w:szCs w:val="30"/>
                <w:highlight w:val="none"/>
              </w:rPr>
            </w:pPr>
          </w:p>
        </w:tc>
      </w:tr>
      <w:tr w14:paraId="3DC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1DD806">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68F54BA6">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564079B">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9849928">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EF450D3">
            <w:pPr>
              <w:pStyle w:val="19"/>
              <w:keepNext/>
              <w:spacing w:line="440" w:lineRule="exact"/>
              <w:ind w:left="63" w:right="63"/>
              <w:rPr>
                <w:rFonts w:ascii="宋体" w:hAnsi="宋体" w:eastAsia="宋体" w:cs="宋体"/>
                <w:color w:val="auto"/>
                <w:sz w:val="30"/>
                <w:szCs w:val="30"/>
                <w:highlight w:val="none"/>
              </w:rPr>
            </w:pPr>
          </w:p>
        </w:tc>
      </w:tr>
      <w:tr w14:paraId="371F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E92F720">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二、现场人员</w:t>
            </w:r>
          </w:p>
        </w:tc>
      </w:tr>
      <w:tr w14:paraId="0F9D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3E24AAB">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项目经理</w:t>
            </w:r>
          </w:p>
        </w:tc>
        <w:tc>
          <w:tcPr>
            <w:tcW w:w="1418" w:type="dxa"/>
            <w:vAlign w:val="center"/>
          </w:tcPr>
          <w:p w14:paraId="5B576699">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307EBAD">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21E91B8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6D0B434">
            <w:pPr>
              <w:pStyle w:val="19"/>
              <w:keepNext/>
              <w:spacing w:line="440" w:lineRule="exact"/>
              <w:ind w:left="63" w:right="63"/>
              <w:rPr>
                <w:rFonts w:ascii="宋体" w:hAnsi="宋体" w:eastAsia="宋体" w:cs="宋体"/>
                <w:color w:val="auto"/>
                <w:sz w:val="30"/>
                <w:szCs w:val="30"/>
                <w:highlight w:val="none"/>
              </w:rPr>
            </w:pPr>
          </w:p>
        </w:tc>
      </w:tr>
      <w:tr w14:paraId="724D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B1DC76">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项目副经理</w:t>
            </w:r>
          </w:p>
        </w:tc>
        <w:tc>
          <w:tcPr>
            <w:tcW w:w="1418" w:type="dxa"/>
            <w:vAlign w:val="center"/>
          </w:tcPr>
          <w:p w14:paraId="26637934">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512D8DA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5BA0A16D">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C5DB74D">
            <w:pPr>
              <w:pStyle w:val="19"/>
              <w:keepNext/>
              <w:spacing w:line="440" w:lineRule="exact"/>
              <w:ind w:left="63" w:right="63"/>
              <w:rPr>
                <w:rFonts w:ascii="宋体" w:hAnsi="宋体" w:eastAsia="宋体" w:cs="宋体"/>
                <w:color w:val="auto"/>
                <w:sz w:val="30"/>
                <w:szCs w:val="30"/>
                <w:highlight w:val="none"/>
              </w:rPr>
            </w:pPr>
          </w:p>
        </w:tc>
      </w:tr>
      <w:tr w14:paraId="4B85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219AF5">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418" w:type="dxa"/>
            <w:vAlign w:val="center"/>
          </w:tcPr>
          <w:p w14:paraId="71428756">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04EE262">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D4F921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40A315BA">
            <w:pPr>
              <w:pStyle w:val="19"/>
              <w:keepNext/>
              <w:spacing w:line="440" w:lineRule="exact"/>
              <w:ind w:left="63" w:right="63"/>
              <w:rPr>
                <w:rFonts w:ascii="宋体" w:hAnsi="宋体" w:eastAsia="宋体" w:cs="宋体"/>
                <w:color w:val="auto"/>
                <w:sz w:val="30"/>
                <w:szCs w:val="30"/>
                <w:highlight w:val="none"/>
              </w:rPr>
            </w:pPr>
          </w:p>
        </w:tc>
      </w:tr>
      <w:tr w14:paraId="6C20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56605C4">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造价管理</w:t>
            </w:r>
          </w:p>
        </w:tc>
        <w:tc>
          <w:tcPr>
            <w:tcW w:w="1418" w:type="dxa"/>
            <w:vAlign w:val="center"/>
          </w:tcPr>
          <w:p w14:paraId="45F80758">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573E9E53">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184CAA73">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033BE84">
            <w:pPr>
              <w:pStyle w:val="19"/>
              <w:keepNext/>
              <w:spacing w:line="440" w:lineRule="exact"/>
              <w:ind w:left="63" w:right="63"/>
              <w:rPr>
                <w:rFonts w:ascii="宋体" w:hAnsi="宋体" w:eastAsia="宋体" w:cs="宋体"/>
                <w:color w:val="auto"/>
                <w:sz w:val="30"/>
                <w:szCs w:val="30"/>
                <w:highlight w:val="none"/>
              </w:rPr>
            </w:pPr>
          </w:p>
        </w:tc>
      </w:tr>
      <w:tr w14:paraId="5E79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75EC8F">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质量管理</w:t>
            </w:r>
          </w:p>
        </w:tc>
        <w:tc>
          <w:tcPr>
            <w:tcW w:w="1418" w:type="dxa"/>
            <w:vAlign w:val="center"/>
          </w:tcPr>
          <w:p w14:paraId="3600EDE9">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5CB3D3D1">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79D1E066">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039AA357">
            <w:pPr>
              <w:pStyle w:val="19"/>
              <w:keepNext/>
              <w:spacing w:line="440" w:lineRule="exact"/>
              <w:ind w:left="63" w:right="63"/>
              <w:rPr>
                <w:rFonts w:ascii="宋体" w:hAnsi="宋体" w:eastAsia="宋体" w:cs="宋体"/>
                <w:color w:val="auto"/>
                <w:sz w:val="30"/>
                <w:szCs w:val="30"/>
                <w:highlight w:val="none"/>
              </w:rPr>
            </w:pPr>
          </w:p>
        </w:tc>
      </w:tr>
      <w:tr w14:paraId="6905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3BC7E54">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材料管理</w:t>
            </w:r>
          </w:p>
        </w:tc>
        <w:tc>
          <w:tcPr>
            <w:tcW w:w="1418" w:type="dxa"/>
            <w:vAlign w:val="center"/>
          </w:tcPr>
          <w:p w14:paraId="514759DF">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394F956E">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D24797F">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B55E37D">
            <w:pPr>
              <w:pStyle w:val="19"/>
              <w:keepNext/>
              <w:spacing w:line="440" w:lineRule="exact"/>
              <w:ind w:left="63" w:right="63"/>
              <w:rPr>
                <w:rFonts w:ascii="宋体" w:hAnsi="宋体" w:eastAsia="宋体" w:cs="宋体"/>
                <w:color w:val="auto"/>
                <w:sz w:val="30"/>
                <w:szCs w:val="30"/>
                <w:highlight w:val="none"/>
              </w:rPr>
            </w:pPr>
          </w:p>
        </w:tc>
      </w:tr>
      <w:tr w14:paraId="71FC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265FCE8">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计划管理</w:t>
            </w:r>
          </w:p>
        </w:tc>
        <w:tc>
          <w:tcPr>
            <w:tcW w:w="1418" w:type="dxa"/>
            <w:vAlign w:val="center"/>
          </w:tcPr>
          <w:p w14:paraId="1DA41059">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3A13E56D">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28554ED5">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BBDF8C0">
            <w:pPr>
              <w:pStyle w:val="19"/>
              <w:keepNext/>
              <w:spacing w:line="440" w:lineRule="exact"/>
              <w:ind w:left="63" w:right="63"/>
              <w:rPr>
                <w:rFonts w:ascii="宋体" w:hAnsi="宋体" w:eastAsia="宋体" w:cs="宋体"/>
                <w:color w:val="auto"/>
                <w:sz w:val="30"/>
                <w:szCs w:val="30"/>
                <w:highlight w:val="none"/>
              </w:rPr>
            </w:pPr>
          </w:p>
        </w:tc>
      </w:tr>
      <w:tr w14:paraId="2631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71FE4B">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安全管理</w:t>
            </w:r>
          </w:p>
        </w:tc>
        <w:tc>
          <w:tcPr>
            <w:tcW w:w="1418" w:type="dxa"/>
            <w:vAlign w:val="center"/>
          </w:tcPr>
          <w:p w14:paraId="1835263E">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4A08C555">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D87192E">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2DDE89B">
            <w:pPr>
              <w:pStyle w:val="19"/>
              <w:keepNext/>
              <w:spacing w:line="440" w:lineRule="exact"/>
              <w:ind w:left="63" w:right="63"/>
              <w:rPr>
                <w:rFonts w:ascii="宋体" w:hAnsi="宋体" w:eastAsia="宋体" w:cs="宋体"/>
                <w:color w:val="auto"/>
                <w:sz w:val="30"/>
                <w:szCs w:val="30"/>
                <w:highlight w:val="none"/>
              </w:rPr>
            </w:pPr>
          </w:p>
        </w:tc>
      </w:tr>
      <w:tr w14:paraId="5A1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DABFADB">
            <w:pPr>
              <w:pStyle w:val="19"/>
              <w:keepNext/>
              <w:spacing w:line="440" w:lineRule="exact"/>
              <w:ind w:left="63" w:right="63"/>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vAlign w:val="center"/>
          </w:tcPr>
          <w:p w14:paraId="59C38E55">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3E382680">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B29CB41">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D672C6B">
            <w:pPr>
              <w:pStyle w:val="19"/>
              <w:keepNext/>
              <w:spacing w:line="440" w:lineRule="exact"/>
              <w:ind w:left="63" w:right="63"/>
              <w:rPr>
                <w:rFonts w:ascii="宋体" w:hAnsi="宋体" w:eastAsia="宋体" w:cs="宋体"/>
                <w:color w:val="auto"/>
                <w:sz w:val="30"/>
                <w:szCs w:val="30"/>
                <w:highlight w:val="none"/>
              </w:rPr>
            </w:pPr>
          </w:p>
        </w:tc>
      </w:tr>
      <w:tr w14:paraId="37BE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309054B">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5C1CCA1D">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57829965">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8438FE2">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2F3A2EC">
            <w:pPr>
              <w:pStyle w:val="19"/>
              <w:keepNext/>
              <w:spacing w:line="440" w:lineRule="exact"/>
              <w:ind w:left="63" w:right="63"/>
              <w:rPr>
                <w:rFonts w:ascii="宋体" w:hAnsi="宋体" w:eastAsia="宋体" w:cs="宋体"/>
                <w:color w:val="auto"/>
                <w:sz w:val="30"/>
                <w:szCs w:val="30"/>
                <w:highlight w:val="none"/>
              </w:rPr>
            </w:pPr>
          </w:p>
        </w:tc>
      </w:tr>
      <w:tr w14:paraId="5BA0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3BA6ECC">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7239549C">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C6FCFF9">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088A3B22">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3A0B3941">
            <w:pPr>
              <w:pStyle w:val="19"/>
              <w:keepNext/>
              <w:spacing w:line="440" w:lineRule="exact"/>
              <w:ind w:left="63" w:right="63"/>
              <w:rPr>
                <w:rFonts w:ascii="宋体" w:hAnsi="宋体" w:eastAsia="宋体" w:cs="宋体"/>
                <w:color w:val="auto"/>
                <w:sz w:val="30"/>
                <w:szCs w:val="30"/>
                <w:highlight w:val="none"/>
              </w:rPr>
            </w:pPr>
          </w:p>
        </w:tc>
      </w:tr>
      <w:tr w14:paraId="49BA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F7991A0">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65D46D7B">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178F707">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38A99E3C">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5E2843B4">
            <w:pPr>
              <w:pStyle w:val="19"/>
              <w:keepNext/>
              <w:spacing w:line="440" w:lineRule="exact"/>
              <w:ind w:left="63" w:right="63"/>
              <w:rPr>
                <w:rFonts w:ascii="宋体" w:hAnsi="宋体" w:eastAsia="宋体" w:cs="宋体"/>
                <w:color w:val="auto"/>
                <w:sz w:val="30"/>
                <w:szCs w:val="30"/>
                <w:highlight w:val="none"/>
              </w:rPr>
            </w:pPr>
          </w:p>
        </w:tc>
      </w:tr>
      <w:tr w14:paraId="2AB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8D2CA00">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199C2836">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16BF5AAA">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605E454">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6B1549AC">
            <w:pPr>
              <w:pStyle w:val="19"/>
              <w:keepNext/>
              <w:spacing w:line="440" w:lineRule="exact"/>
              <w:ind w:left="63" w:right="63"/>
              <w:rPr>
                <w:rFonts w:ascii="宋体" w:hAnsi="宋体" w:eastAsia="宋体" w:cs="宋体"/>
                <w:color w:val="auto"/>
                <w:sz w:val="30"/>
                <w:szCs w:val="30"/>
                <w:highlight w:val="none"/>
              </w:rPr>
            </w:pPr>
          </w:p>
        </w:tc>
      </w:tr>
      <w:tr w14:paraId="0D06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96AC5A2">
            <w:pPr>
              <w:pStyle w:val="19"/>
              <w:keepNext/>
              <w:spacing w:line="440" w:lineRule="exact"/>
              <w:ind w:left="63" w:right="63"/>
              <w:rPr>
                <w:rFonts w:ascii="宋体" w:hAnsi="宋体" w:eastAsia="宋体" w:cs="宋体"/>
                <w:color w:val="auto"/>
                <w:sz w:val="28"/>
                <w:szCs w:val="28"/>
                <w:highlight w:val="none"/>
              </w:rPr>
            </w:pPr>
          </w:p>
        </w:tc>
        <w:tc>
          <w:tcPr>
            <w:tcW w:w="1418" w:type="dxa"/>
            <w:vAlign w:val="center"/>
          </w:tcPr>
          <w:p w14:paraId="102CC7A6">
            <w:pPr>
              <w:pStyle w:val="19"/>
              <w:keepNext/>
              <w:spacing w:line="440" w:lineRule="exact"/>
              <w:ind w:left="63" w:right="63"/>
              <w:rPr>
                <w:rFonts w:ascii="宋体" w:hAnsi="宋体" w:eastAsia="宋体" w:cs="宋体"/>
                <w:color w:val="auto"/>
                <w:sz w:val="28"/>
                <w:szCs w:val="28"/>
                <w:highlight w:val="none"/>
              </w:rPr>
            </w:pPr>
          </w:p>
        </w:tc>
        <w:tc>
          <w:tcPr>
            <w:tcW w:w="1134" w:type="dxa"/>
            <w:vAlign w:val="center"/>
          </w:tcPr>
          <w:p w14:paraId="20F3DF15">
            <w:pPr>
              <w:pStyle w:val="19"/>
              <w:keepNext/>
              <w:spacing w:line="440" w:lineRule="exact"/>
              <w:ind w:left="63" w:right="63"/>
              <w:rPr>
                <w:rFonts w:ascii="宋体" w:hAnsi="宋体" w:eastAsia="宋体" w:cs="宋体"/>
                <w:color w:val="auto"/>
                <w:sz w:val="30"/>
                <w:szCs w:val="30"/>
                <w:highlight w:val="none"/>
              </w:rPr>
            </w:pPr>
          </w:p>
        </w:tc>
        <w:tc>
          <w:tcPr>
            <w:tcW w:w="1134" w:type="dxa"/>
            <w:vAlign w:val="center"/>
          </w:tcPr>
          <w:p w14:paraId="46C1EFD0">
            <w:pPr>
              <w:pStyle w:val="19"/>
              <w:keepNext/>
              <w:spacing w:line="440" w:lineRule="exact"/>
              <w:ind w:left="63" w:right="63"/>
              <w:rPr>
                <w:rFonts w:ascii="宋体" w:hAnsi="宋体" w:eastAsia="宋体" w:cs="宋体"/>
                <w:color w:val="auto"/>
                <w:sz w:val="30"/>
                <w:szCs w:val="30"/>
                <w:highlight w:val="none"/>
              </w:rPr>
            </w:pPr>
          </w:p>
        </w:tc>
        <w:tc>
          <w:tcPr>
            <w:tcW w:w="4252" w:type="dxa"/>
            <w:vAlign w:val="center"/>
          </w:tcPr>
          <w:p w14:paraId="1919C778">
            <w:pPr>
              <w:pStyle w:val="19"/>
              <w:keepNext/>
              <w:spacing w:line="440" w:lineRule="exact"/>
              <w:ind w:left="63" w:right="63"/>
              <w:rPr>
                <w:rFonts w:ascii="宋体" w:hAnsi="宋体" w:eastAsia="宋体" w:cs="宋体"/>
                <w:color w:val="auto"/>
                <w:sz w:val="30"/>
                <w:szCs w:val="30"/>
                <w:highlight w:val="none"/>
              </w:rPr>
            </w:pPr>
          </w:p>
        </w:tc>
      </w:tr>
    </w:tbl>
    <w:p w14:paraId="3D930575">
      <w:pPr>
        <w:pStyle w:val="5"/>
        <w:jc w:val="left"/>
        <w:rPr>
          <w:rFonts w:ascii="宋体" w:hAnsi="宋体" w:eastAsia="宋体" w:cs="宋体"/>
          <w:color w:val="auto"/>
          <w:sz w:val="32"/>
          <w:szCs w:val="32"/>
          <w:highlight w:val="none"/>
        </w:rPr>
      </w:pPr>
      <w:r>
        <w:rPr>
          <w:rFonts w:hint="eastAsia" w:ascii="宋体" w:hAnsi="宋体" w:eastAsia="宋体" w:cs="宋体"/>
          <w:color w:val="auto"/>
          <w:sz w:val="30"/>
          <w:szCs w:val="30"/>
          <w:highlight w:val="none"/>
        </w:rPr>
        <w:br w:type="page"/>
      </w:r>
      <w:bookmarkStart w:id="1021" w:name="_Toc267261701"/>
      <w:r>
        <w:rPr>
          <w:rFonts w:hint="eastAsia" w:ascii="宋体" w:hAnsi="宋体" w:eastAsia="宋体" w:cs="宋体"/>
          <w:color w:val="auto"/>
          <w:highlight w:val="none"/>
        </w:rPr>
        <w:t>附件</w:t>
      </w:r>
      <w:r>
        <w:rPr>
          <w:rFonts w:hint="eastAsia" w:ascii="宋体" w:hAnsi="宋体" w:eastAsia="宋体" w:cs="宋体"/>
          <w:color w:val="auto"/>
          <w:sz w:val="32"/>
          <w:szCs w:val="32"/>
          <w:highlight w:val="none"/>
        </w:rPr>
        <w:t>7</w:t>
      </w:r>
    </w:p>
    <w:p w14:paraId="4C451FC9">
      <w:pPr>
        <w:spacing w:line="360" w:lineRule="auto"/>
        <w:jc w:val="left"/>
        <w:rPr>
          <w:rFonts w:ascii="宋体" w:hAnsi="宋体" w:eastAsia="宋体" w:cs="宋体"/>
          <w:b/>
          <w:bCs/>
          <w:color w:val="auto"/>
          <w:sz w:val="32"/>
          <w:szCs w:val="32"/>
          <w:highlight w:val="none"/>
        </w:rPr>
      </w:pPr>
    </w:p>
    <w:p w14:paraId="12E14A66">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67EFDF81">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785E3765">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51800E3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申请人：</w:t>
      </w:r>
    </w:p>
    <w:p w14:paraId="38AEE70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28E2634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受益人：</w:t>
      </w:r>
    </w:p>
    <w:p w14:paraId="1007127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7A5CA5F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开立人：</w:t>
      </w:r>
    </w:p>
    <w:p w14:paraId="4F56DD4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5274A93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8C7F7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（受益人名称）： </w:t>
      </w:r>
    </w:p>
    <w:p w14:paraId="0901F17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（以下简称“受益人”）与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（以下简称“申请人”）于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2A9811E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一、本保函担保范围：承包人未按照基础合同的约定履行义务，应当向贵方承担的违约责任和赔偿因此造成的损失、利息、律师费、诉讼费用等实现债权的费用。</w:t>
      </w:r>
    </w:p>
    <w:p w14:paraId="26F4B2C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二、本保函担保金额最高不超过人民币（大写）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7C261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三、本保函有效期自开立之日起至基础合同约定的缺陷责任期后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9CCE124">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日内无条件支付，前述书面付款通知即为付款要求之单据，且应满足以下要求：</w:t>
      </w:r>
    </w:p>
    <w:p w14:paraId="43E61E2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6E1FDCF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576BDF6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6066EC0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6778BDE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E1B059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受益人发出的书面付款通知应由其为鉴明受益人的法定代表人（负责人）或授权代理人签字并加盖公章。</w:t>
      </w:r>
    </w:p>
    <w:p w14:paraId="0DB2393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0948BD4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46923AA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2E063F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68ECE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九、本保函自我方法定代表人或授权代表签字并加盖公章之日起生效。 </w:t>
      </w:r>
    </w:p>
    <w:p w14:paraId="455432E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4A31A67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6DCC790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584AD74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4A32B12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15C36C5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051FA4B7">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 xml:space="preserve">开立时间：      年      月    </w:t>
      </w:r>
    </w:p>
    <w:p w14:paraId="29FEBDEC">
      <w:pPr>
        <w:spacing w:line="360" w:lineRule="auto"/>
        <w:jc w:val="left"/>
        <w:rPr>
          <w:rFonts w:ascii="宋体" w:hAnsi="宋体" w:eastAsia="宋体" w:cs="宋体"/>
          <w:color w:val="auto"/>
          <w:sz w:val="30"/>
          <w:szCs w:val="30"/>
          <w:highlight w:val="none"/>
        </w:rPr>
      </w:pPr>
    </w:p>
    <w:p w14:paraId="2CC8DE7A">
      <w:pPr>
        <w:pStyle w:val="5"/>
        <w:jc w:val="left"/>
        <w:rPr>
          <w:rFonts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w:t>
      </w:r>
      <w:bookmarkStart w:id="1022" w:name="_Toc296503231"/>
      <w:bookmarkStart w:id="1023" w:name="_Toc296347230"/>
      <w:bookmarkStart w:id="1024" w:name="_Toc296944570"/>
      <w:bookmarkStart w:id="1025" w:name="_Toc296891059"/>
      <w:bookmarkStart w:id="1026" w:name="_Toc296346732"/>
      <w:bookmarkStart w:id="1027" w:name="_Toc296891271"/>
      <w:r>
        <w:rPr>
          <w:rFonts w:hint="eastAsia" w:ascii="宋体" w:hAnsi="宋体" w:eastAsia="宋体" w:cs="宋体"/>
          <w:color w:val="auto"/>
          <w:highlight w:val="none"/>
        </w:rPr>
        <w:t>件</w:t>
      </w:r>
      <w:r>
        <w:rPr>
          <w:rFonts w:hint="eastAsia" w:ascii="宋体" w:hAnsi="宋体" w:eastAsia="宋体" w:cs="宋体"/>
          <w:color w:val="auto"/>
          <w:sz w:val="30"/>
          <w:szCs w:val="30"/>
          <w:highlight w:val="none"/>
        </w:rPr>
        <w:t>7：</w:t>
      </w:r>
    </w:p>
    <w:p w14:paraId="310BBCB2">
      <w:pPr>
        <w:spacing w:line="360" w:lineRule="auto"/>
        <w:rPr>
          <w:rFonts w:ascii="宋体" w:hAnsi="宋体" w:eastAsia="宋体" w:cs="宋体"/>
          <w:b/>
          <w:bCs/>
          <w:color w:val="auto"/>
          <w:sz w:val="32"/>
          <w:szCs w:val="32"/>
          <w:highlight w:val="none"/>
        </w:rPr>
      </w:pPr>
    </w:p>
    <w:p w14:paraId="2A52D25B">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履约保函示范文本</w:t>
      </w:r>
    </w:p>
    <w:p w14:paraId="465CB0CB">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6CF73D60">
      <w:pPr>
        <w:spacing w:line="360" w:lineRule="auto"/>
        <w:jc w:val="center"/>
        <w:rPr>
          <w:rFonts w:ascii="宋体" w:hAnsi="宋体" w:eastAsia="宋体" w:cs="宋体"/>
          <w:b/>
          <w:bCs/>
          <w:color w:val="auto"/>
          <w:sz w:val="32"/>
          <w:szCs w:val="32"/>
          <w:highlight w:val="none"/>
        </w:rPr>
      </w:pPr>
    </w:p>
    <w:p w14:paraId="63FA7FB6">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1C02626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承包人：</w:t>
      </w:r>
    </w:p>
    <w:p w14:paraId="2286CC5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285ABA5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担保权人/发包人： </w:t>
      </w:r>
    </w:p>
    <w:p w14:paraId="3BAA878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181EE2B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保证人：</w:t>
      </w:r>
    </w:p>
    <w:p w14:paraId="73EBA28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31C6E30B">
      <w:pPr>
        <w:spacing w:line="360" w:lineRule="auto"/>
        <w:rPr>
          <w:rFonts w:ascii="宋体" w:hAnsi="宋体" w:eastAsia="宋体" w:cs="宋体"/>
          <w:color w:val="auto"/>
          <w:sz w:val="24"/>
          <w:highlight w:val="none"/>
        </w:rPr>
      </w:pPr>
    </w:p>
    <w:p w14:paraId="3600FA4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（发包人名称）： </w:t>
      </w:r>
    </w:p>
    <w:p w14:paraId="5E8E7B7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（以下简称“发包人”）与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（以下简称“承包人”）于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1B235FDF">
      <w:pPr>
        <w:spacing w:line="360" w:lineRule="auto"/>
        <w:rPr>
          <w:rFonts w:ascii="宋体" w:hAnsi="宋体" w:eastAsia="宋体" w:cs="宋体"/>
          <w:b/>
          <w:bCs/>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一、保证担保的范围及保证担保金额</w:t>
      </w:r>
    </w:p>
    <w:p w14:paraId="3721A71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1.保证担保范围：承包人未按照主合同的约定履行义务，应当向贵方承担的违约责任和赔偿因此造成的损失、利息、律师费、诉讼费用等实现债权的费用。</w:t>
      </w:r>
    </w:p>
    <w:p w14:paraId="2114A06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59A6D2">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二、保证担保的方式及保证期间 </w:t>
      </w:r>
    </w:p>
    <w:p w14:paraId="1D618A4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4201896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2.保证期间：自出具之日起至主合同约定的缺陷责任期后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5001DBB6">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7256A90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我方按照贵方的要求以下列方式之一承担保证担保责任： </w:t>
      </w:r>
    </w:p>
    <w:p w14:paraId="019FA8E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1.向承包人资金、设备或者技术援助，使其能继续履行合同义务；</w:t>
      </w:r>
    </w:p>
    <w:p w14:paraId="651F1EF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2.直接接管该项工程或者委托经贵方同意的其他承包商，继续履行合同义务；</w:t>
      </w:r>
    </w:p>
    <w:p w14:paraId="75F32E3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3.在保证担保金额最高限额内，按照合同约定，向贵方承担违约责任和赔偿因此造成的损失，以及利息和律师费、诉讼费用等实现债权的费用。</w:t>
      </w:r>
    </w:p>
    <w:p w14:paraId="0D41B6ED">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四、代偿的安排 </w:t>
      </w:r>
    </w:p>
    <w:p w14:paraId="2D1350C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590EC2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2.贵方以工程质量不符合主合同约定标准为由，向我方提出违约索赔的，还需同时提供符合相应条件要求的工程质量检测部门出具的质量说明材料。</w:t>
      </w:r>
    </w:p>
    <w:p w14:paraId="2642CB4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3.我方收到贵方的书面索赔通知及相应证明材料后，在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6B7DB27E">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五、保证担保责任的解除 </w:t>
      </w:r>
    </w:p>
    <w:p w14:paraId="5035791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2E73682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1C6FA99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02C9BE4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0957B05">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六、免责条款 </w:t>
      </w:r>
    </w:p>
    <w:p w14:paraId="519D1E6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1.因贵方原因致使承包人未按照主合同约定履行义务的，我方不承担保证担保责任。 </w:t>
      </w:r>
    </w:p>
    <w:p w14:paraId="13A406A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2.依照法律规定或贵方与发包人的另行约定，免除承包人部分或全部义务的，我方亦免除其相应的保证担保责任。 </w:t>
      </w:r>
    </w:p>
    <w:p w14:paraId="169FCEB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3.因不可抗力造成承包人未按照主合同约定履行义务的，我方不承担保证担保责任。</w:t>
      </w:r>
    </w:p>
    <w:p w14:paraId="0BCB30F5">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0D21E9F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691A779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76A85D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0C9C71FB">
      <w:pPr>
        <w:spacing w:line="360" w:lineRule="auto"/>
        <w:ind w:firstLine="480" w:firstLineChars="200"/>
        <w:rPr>
          <w:rFonts w:ascii="宋体" w:hAnsi="宋体" w:eastAsia="宋体" w:cs="宋体"/>
          <w:color w:val="auto"/>
          <w:sz w:val="24"/>
          <w:highlight w:val="none"/>
        </w:rPr>
      </w:pPr>
    </w:p>
    <w:p w14:paraId="68CD4F7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276FA68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0153AE3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024FE19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4D8DC3E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52A26CA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3C2EC5B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6964CEA8">
      <w:pPr>
        <w:rPr>
          <w:rFonts w:ascii="宋体" w:hAnsi="宋体" w:eastAsia="宋体" w:cs="宋体"/>
          <w:color w:val="auto"/>
          <w:highlight w:val="none"/>
        </w:rPr>
      </w:pPr>
    </w:p>
    <w:p w14:paraId="5B58EB8E">
      <w:pPr>
        <w:rPr>
          <w:rFonts w:ascii="宋体" w:hAnsi="宋体" w:eastAsia="宋体" w:cs="宋体"/>
          <w:color w:val="auto"/>
          <w:highlight w:val="none"/>
        </w:rPr>
      </w:pPr>
    </w:p>
    <w:bookmarkEnd w:id="1021"/>
    <w:bookmarkEnd w:id="1022"/>
    <w:bookmarkEnd w:id="1023"/>
    <w:bookmarkEnd w:id="1024"/>
    <w:bookmarkEnd w:id="1025"/>
    <w:bookmarkEnd w:id="1026"/>
    <w:bookmarkEnd w:id="1027"/>
    <w:p w14:paraId="7D518F55">
      <w:pPr>
        <w:pStyle w:val="5"/>
        <w:jc w:val="left"/>
        <w:rPr>
          <w:rFonts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8：</w:t>
      </w:r>
    </w:p>
    <w:p w14:paraId="3CF4AD89">
      <w:pPr>
        <w:spacing w:line="360" w:lineRule="auto"/>
        <w:jc w:val="left"/>
        <w:rPr>
          <w:rFonts w:ascii="宋体" w:hAnsi="宋体" w:eastAsia="宋体" w:cs="宋体"/>
          <w:b/>
          <w:bCs/>
          <w:color w:val="auto"/>
          <w:sz w:val="32"/>
          <w:szCs w:val="32"/>
          <w:highlight w:val="none"/>
        </w:rPr>
      </w:pPr>
    </w:p>
    <w:p w14:paraId="11B22BC7">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7B461DF2">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4BF7D702">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7E003892">
      <w:pPr>
        <w:spacing w:line="360" w:lineRule="auto"/>
        <w:rPr>
          <w:rFonts w:ascii="宋体" w:hAnsi="宋体" w:eastAsia="宋体" w:cs="宋体"/>
          <w:color w:val="auto"/>
          <w:sz w:val="24"/>
          <w:highlight w:val="none"/>
        </w:rPr>
      </w:pPr>
    </w:p>
    <w:p w14:paraId="698738D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申请人：</w:t>
      </w:r>
    </w:p>
    <w:p w14:paraId="039D71F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4A2AF2D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受益人：</w:t>
      </w:r>
    </w:p>
    <w:p w14:paraId="6CB30C9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2BF667E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开立人：</w:t>
      </w:r>
    </w:p>
    <w:p w14:paraId="26FBDB9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2724C45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88D212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（受益人名称）： </w:t>
      </w:r>
    </w:p>
    <w:p w14:paraId="693EF14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（以下简称“受益人”）与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（以下简称“申请人”）于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2EBAE52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一、本保函担保范围：申请人未按照合同约定正确和合理地为合同目的使用预付款，应当向贵方承担的违约责任和赔偿因此造成的损失、利息、律师费、诉讼费用等实现债权的费用。</w:t>
      </w:r>
    </w:p>
    <w:p w14:paraId="52F67B2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二、本保函担保金额最高不超过人民币（大写）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E0AEB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三、本保函有效期自开立之日起至发包人全额扣回预付款后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A9C5B6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日内无条件支付，前述书面付款通知即为付款要求之单据，且应满足以下要求：</w:t>
      </w:r>
    </w:p>
    <w:p w14:paraId="6B6A867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70B517C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6E5D64F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0FF80CF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3A16051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9CF423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受益人发出的书面付款通知应由其为鉴明受益人的法定代表人（负责人）或授权代理人签字并加盖公章。</w:t>
      </w:r>
    </w:p>
    <w:p w14:paraId="1F2CFF0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1C411D9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0919067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019F08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E2E2B9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九、本保函自我方法定代表人或授权代表签字并加盖公章之日起生效。 </w:t>
      </w:r>
    </w:p>
    <w:p w14:paraId="6C4AF594">
      <w:pPr>
        <w:spacing w:line="360" w:lineRule="auto"/>
        <w:ind w:firstLine="480" w:firstLineChars="200"/>
        <w:rPr>
          <w:rFonts w:ascii="宋体" w:hAnsi="宋体" w:eastAsia="宋体" w:cs="宋体"/>
          <w:color w:val="auto"/>
          <w:sz w:val="24"/>
          <w:highlight w:val="none"/>
        </w:rPr>
      </w:pPr>
    </w:p>
    <w:p w14:paraId="12BC11AD">
      <w:pPr>
        <w:spacing w:line="360" w:lineRule="auto"/>
        <w:ind w:firstLine="480" w:firstLineChars="200"/>
        <w:rPr>
          <w:rFonts w:ascii="宋体" w:hAnsi="宋体" w:eastAsia="宋体" w:cs="宋体"/>
          <w:color w:val="auto"/>
          <w:sz w:val="24"/>
          <w:highlight w:val="none"/>
        </w:rPr>
      </w:pPr>
    </w:p>
    <w:p w14:paraId="53FEC45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6FBECA5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0565672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1E337DF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3874400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5ECA0BF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0839C306">
      <w:pPr>
        <w:rPr>
          <w:rFonts w:ascii="宋体" w:hAnsi="宋体" w:eastAsia="宋体" w:cs="宋体"/>
          <w:color w:val="auto"/>
          <w:highlight w:val="none"/>
        </w:rPr>
      </w:pPr>
      <w:r>
        <w:rPr>
          <w:rFonts w:hint="eastAsia" w:ascii="宋体" w:hAnsi="宋体" w:eastAsia="宋体" w:cs="宋体"/>
          <w:color w:val="auto"/>
          <w:sz w:val="24"/>
          <w:highlight w:val="none"/>
        </w:rPr>
        <w:t xml:space="preserve">    开立时间：      年      月        日</w:t>
      </w:r>
    </w:p>
    <w:p w14:paraId="2AFB6AD0">
      <w:pPr>
        <w:spacing w:line="360" w:lineRule="auto"/>
        <w:jc w:val="center"/>
        <w:rPr>
          <w:rFonts w:ascii="宋体" w:hAnsi="宋体" w:eastAsia="宋体" w:cs="宋体"/>
          <w:b/>
          <w:bCs/>
          <w:color w:val="auto"/>
          <w:sz w:val="32"/>
          <w:szCs w:val="32"/>
          <w:highlight w:val="none"/>
        </w:rPr>
      </w:pPr>
    </w:p>
    <w:p w14:paraId="0A3D78CB">
      <w:pPr>
        <w:pStyle w:val="5"/>
        <w:jc w:val="left"/>
        <w:rPr>
          <w:rFonts w:ascii="宋体" w:hAnsi="宋体" w:eastAsia="宋体" w:cs="宋体"/>
          <w:b/>
          <w:bCs/>
          <w:color w:val="auto"/>
          <w:sz w:val="32"/>
          <w:szCs w:val="32"/>
          <w:highlight w:val="none"/>
        </w:rPr>
      </w:pPr>
      <w:r>
        <w:rPr>
          <w:rFonts w:hint="eastAsia" w:ascii="宋体" w:hAnsi="宋体" w:eastAsia="宋体" w:cs="宋体"/>
          <w:color w:val="auto"/>
          <w:highlight w:val="none"/>
        </w:rPr>
        <w:t>附件</w:t>
      </w:r>
      <w:r>
        <w:rPr>
          <w:rFonts w:hint="eastAsia" w:ascii="宋体" w:hAnsi="宋体" w:eastAsia="宋体" w:cs="宋体"/>
          <w:color w:val="auto"/>
          <w:sz w:val="32"/>
          <w:szCs w:val="32"/>
          <w:highlight w:val="none"/>
        </w:rPr>
        <w:t>8</w:t>
      </w:r>
    </w:p>
    <w:p w14:paraId="734FC54E">
      <w:pPr>
        <w:spacing w:line="360" w:lineRule="auto"/>
        <w:jc w:val="left"/>
        <w:rPr>
          <w:rFonts w:ascii="宋体" w:hAnsi="宋体" w:eastAsia="宋体" w:cs="宋体"/>
          <w:b/>
          <w:bCs/>
          <w:color w:val="auto"/>
          <w:sz w:val="32"/>
          <w:szCs w:val="32"/>
          <w:highlight w:val="none"/>
        </w:rPr>
      </w:pPr>
    </w:p>
    <w:p w14:paraId="56513F11">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预付款保函示范文本</w:t>
      </w:r>
    </w:p>
    <w:p w14:paraId="05ED413A">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79EBFD92">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6D6BD062">
      <w:pPr>
        <w:spacing w:line="360" w:lineRule="auto"/>
        <w:rPr>
          <w:rFonts w:ascii="宋体" w:hAnsi="宋体" w:eastAsia="宋体" w:cs="宋体"/>
          <w:color w:val="auto"/>
          <w:sz w:val="24"/>
          <w:highlight w:val="none"/>
        </w:rPr>
      </w:pPr>
    </w:p>
    <w:p w14:paraId="5C2633A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担保权人/发包人：</w:t>
      </w:r>
    </w:p>
    <w:p w14:paraId="4098E889">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451D993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 </w:t>
      </w:r>
    </w:p>
    <w:p w14:paraId="1B8B13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417E4E4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保证人：</w:t>
      </w:r>
    </w:p>
    <w:p w14:paraId="258ECF3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72B14D3F">
      <w:pPr>
        <w:spacing w:line="360" w:lineRule="auto"/>
        <w:rPr>
          <w:rFonts w:ascii="宋体" w:hAnsi="宋体" w:eastAsia="宋体" w:cs="宋体"/>
          <w:color w:val="auto"/>
          <w:sz w:val="24"/>
          <w:highlight w:val="none"/>
        </w:rPr>
      </w:pPr>
    </w:p>
    <w:p w14:paraId="16ED4DE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（发包人名称）： </w:t>
      </w:r>
    </w:p>
    <w:p w14:paraId="28D2F6B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（以下简称“发包人”）与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（以下简称“承包人”）于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40502CEA">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一、保证担保的范围及保证担保金额</w:t>
      </w:r>
    </w:p>
    <w:p w14:paraId="5ED7E3B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1.保证担保范围：申请人未按照合同约定正确和合理地为合同目的使用预付款，应当向贵方承担的违约责任和赔偿因此造成的损失、利息、律师费、诉讼费用等实现债权的费用。</w:t>
      </w:r>
    </w:p>
    <w:p w14:paraId="1B4729F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20A2D9">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二、保证担保的方式及保证期间 </w:t>
      </w:r>
    </w:p>
    <w:p w14:paraId="43141D5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75B5BF5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2.保证期间：自出具之日起至发包人全额扣回预付款后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587B0DD4">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03CE5CF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发生应承担保证责任情形的，我方在保证金额内向贵方支付，并赔偿因此给贵方造成的损失，以及利息和律师费、诉讼费用等实现债权的费用。</w:t>
      </w:r>
    </w:p>
    <w:p w14:paraId="1ED0B570">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四、代偿的安排 </w:t>
      </w:r>
    </w:p>
    <w:p w14:paraId="47CD576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2B9E58A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2.我方收到贵方的书面索赔通知及相应证明材料后，在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74BC5A94">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五、保证担保责任的解除 </w:t>
      </w:r>
    </w:p>
    <w:p w14:paraId="78EBE46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0CA5974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47A9A5F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52508B0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6F39D3B">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六、免责条款 </w:t>
      </w:r>
    </w:p>
    <w:p w14:paraId="7AE3D80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1.因贵方原因致使发生应承担保证责任情形的，我方不承担保证担保责任。 </w:t>
      </w:r>
    </w:p>
    <w:p w14:paraId="11E30DC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2.依照法律规定或贵方与承包人的另行约定，免除承包人部分或全部义务的，我方亦免除其相应的保证担保责任。 </w:t>
      </w:r>
    </w:p>
    <w:p w14:paraId="4E93B28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3.因不可抗力造成发生应承担保证责任情形的，我方不承担保证担保责任。</w:t>
      </w:r>
    </w:p>
    <w:p w14:paraId="1333CF57">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45A5F33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0A70E1D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795EDC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3DCF7C87">
      <w:pPr>
        <w:spacing w:line="360" w:lineRule="auto"/>
        <w:ind w:firstLine="480" w:firstLineChars="200"/>
        <w:rPr>
          <w:rFonts w:ascii="宋体" w:hAnsi="宋体" w:eastAsia="宋体" w:cs="宋体"/>
          <w:color w:val="auto"/>
          <w:sz w:val="24"/>
          <w:highlight w:val="none"/>
        </w:rPr>
      </w:pPr>
    </w:p>
    <w:p w14:paraId="5BE9185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18579E8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746910C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7DB5B8E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3F832D4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266D52B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4B0B005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0019A703">
      <w:pPr>
        <w:rPr>
          <w:rFonts w:ascii="宋体" w:hAnsi="宋体" w:eastAsia="宋体" w:cs="宋体"/>
          <w:color w:val="auto"/>
          <w:highlight w:val="none"/>
        </w:rPr>
      </w:pPr>
    </w:p>
    <w:p w14:paraId="7328CC8B">
      <w:pPr>
        <w:spacing w:line="360" w:lineRule="auto"/>
        <w:jc w:val="center"/>
        <w:rPr>
          <w:rFonts w:ascii="宋体" w:hAnsi="宋体" w:eastAsia="宋体" w:cs="宋体"/>
          <w:b/>
          <w:bCs/>
          <w:color w:val="auto"/>
          <w:sz w:val="32"/>
          <w:szCs w:val="32"/>
          <w:highlight w:val="none"/>
        </w:rPr>
      </w:pPr>
    </w:p>
    <w:p w14:paraId="7F3BE203">
      <w:pPr>
        <w:pStyle w:val="5"/>
        <w:jc w:val="left"/>
        <w:rPr>
          <w:rFonts w:ascii="宋体" w:hAnsi="宋体" w:eastAsia="宋体" w:cs="宋体"/>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9：</w:t>
      </w:r>
    </w:p>
    <w:p w14:paraId="375A7BC3">
      <w:pPr>
        <w:spacing w:line="360" w:lineRule="auto"/>
        <w:jc w:val="left"/>
        <w:rPr>
          <w:rFonts w:ascii="宋体" w:hAnsi="宋体" w:eastAsia="宋体" w:cs="宋体"/>
          <w:b/>
          <w:bCs/>
          <w:color w:val="auto"/>
          <w:sz w:val="32"/>
          <w:szCs w:val="32"/>
          <w:highlight w:val="none"/>
        </w:rPr>
      </w:pPr>
    </w:p>
    <w:p w14:paraId="254AA642">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3BD8F137">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（独立保函）</w:t>
      </w:r>
    </w:p>
    <w:p w14:paraId="0CAAB083">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0B4249C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申请人：</w:t>
      </w:r>
    </w:p>
    <w:p w14:paraId="091586B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19DD635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受益人：</w:t>
      </w:r>
    </w:p>
    <w:p w14:paraId="5D3899B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5F6D88D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开立人：</w:t>
      </w:r>
    </w:p>
    <w:p w14:paraId="0826D8D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5559E0A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40BA4F4">
      <w:pPr>
        <w:spacing w:line="360" w:lineRule="auto"/>
        <w:rPr>
          <w:rFonts w:ascii="宋体" w:hAnsi="宋体" w:eastAsia="宋体" w:cs="宋体"/>
          <w:color w:val="auto"/>
          <w:sz w:val="24"/>
          <w:highlight w:val="none"/>
        </w:rPr>
      </w:pPr>
      <w:bookmarkStart w:id="1028" w:name="_Hlk40355074"/>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（受益人名称）： </w:t>
      </w:r>
    </w:p>
    <w:bookmarkEnd w:id="1028"/>
    <w:p w14:paraId="7DC4196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（以下简称“受益人”）与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（以下简称“申请人”）于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670E781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一、本保函担保范围：申请人未履行基础合同约定的工程款支付义务，应当向贵方承担的违约责任和赔偿因此造成的损失、利息、律师费、诉讼费用等实现债权的费用。</w:t>
      </w:r>
    </w:p>
    <w:p w14:paraId="312169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二、本保函担保金额最高不超过人民币（大写）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9C6787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三、本保函有效期自开立之日起至基础合同约定的除工程质量保修金以外的全部工程结算款项支付之日后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E079DE1">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四、我方承诺，在收到受益人发来的书面付款通知后的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日内无条件支付，前述书面付款通知即为付款要求之单据，且应满足以下要求：</w:t>
      </w:r>
    </w:p>
    <w:p w14:paraId="0540B33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（1）付款通知到达的日期在本保函的有效期内；</w:t>
      </w:r>
    </w:p>
    <w:p w14:paraId="1E28A6E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（2）载明要求支付的金额；</w:t>
      </w:r>
    </w:p>
    <w:p w14:paraId="1897451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（3）载明申请人违反合同义务的条款和内容；</w:t>
      </w:r>
    </w:p>
    <w:p w14:paraId="7E42F33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（4）声明不存在合同文件约定或我国法律规定免除申请人或开立人支付责任的情形；</w:t>
      </w:r>
    </w:p>
    <w:p w14:paraId="6978D5E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（5）付款通知应在本保函有效期内到达的地址是：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B3BC3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受益人发出的书面付款通知应由其为鉴明受益人的法定代表人（负责人）或授权代理人签字并加盖公章。</w:t>
      </w:r>
    </w:p>
    <w:p w14:paraId="1949538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五、本保函项下的权利不得转让，不得设定担保。贵方未经我方书面同意转 让本保函或其项下任何权利，对我方不发生法律效力。 </w:t>
      </w:r>
    </w:p>
    <w:p w14:paraId="2D15C34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六、与本保函有关的基础合同不成立、不生效、无效、被撤销、被解除，不影响本保函的独立有效。 </w:t>
      </w:r>
    </w:p>
    <w:p w14:paraId="36F02EF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374777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八、本保函适用的法律为中华人民共和国法律，争议裁判管辖地为中华人民共和国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BA908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九、本保函自我方法定代表人</w:t>
      </w:r>
      <w:bookmarkStart w:id="1029" w:name="_Hlk58487855"/>
      <w:r>
        <w:rPr>
          <w:rFonts w:hint="eastAsia" w:ascii="宋体" w:hAnsi="宋体" w:eastAsia="宋体" w:cs="宋体"/>
          <w:color w:val="auto"/>
          <w:sz w:val="24"/>
          <w:highlight w:val="none"/>
        </w:rPr>
        <w:t>或授权代表</w:t>
      </w:r>
      <w:bookmarkEnd w:id="1029"/>
      <w:r>
        <w:rPr>
          <w:rFonts w:hint="eastAsia" w:ascii="宋体" w:hAnsi="宋体" w:eastAsia="宋体" w:cs="宋体"/>
          <w:color w:val="auto"/>
          <w:sz w:val="24"/>
          <w:highlight w:val="none"/>
        </w:rPr>
        <w:t xml:space="preserve">签字并加盖公章之日起生效。 </w:t>
      </w:r>
    </w:p>
    <w:p w14:paraId="4F48A81F">
      <w:pPr>
        <w:spacing w:line="360" w:lineRule="auto"/>
        <w:ind w:firstLine="480" w:firstLineChars="200"/>
        <w:rPr>
          <w:rFonts w:ascii="宋体" w:hAnsi="宋体" w:eastAsia="宋体" w:cs="宋体"/>
          <w:color w:val="auto"/>
          <w:sz w:val="24"/>
          <w:highlight w:val="none"/>
        </w:rPr>
      </w:pPr>
    </w:p>
    <w:p w14:paraId="316695DD">
      <w:pPr>
        <w:spacing w:line="360" w:lineRule="auto"/>
        <w:ind w:firstLine="480" w:firstLineChars="200"/>
        <w:rPr>
          <w:rFonts w:ascii="宋体" w:hAnsi="宋体" w:eastAsia="宋体" w:cs="宋体"/>
          <w:color w:val="auto"/>
          <w:sz w:val="24"/>
          <w:highlight w:val="none"/>
        </w:rPr>
      </w:pPr>
    </w:p>
    <w:p w14:paraId="479008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开 立 人：                              （公章） </w:t>
      </w:r>
    </w:p>
    <w:p w14:paraId="7BA84EB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02E1E70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2F69CCB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08DE7C8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5A5BB91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0BD922E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开立时间：      年      月        日</w:t>
      </w:r>
    </w:p>
    <w:p w14:paraId="241C55C1">
      <w:pPr>
        <w:spacing w:line="360" w:lineRule="auto"/>
        <w:ind w:firstLine="480" w:firstLineChars="200"/>
        <w:rPr>
          <w:rFonts w:ascii="宋体" w:hAnsi="宋体" w:eastAsia="宋体" w:cs="宋体"/>
          <w:color w:val="auto"/>
          <w:sz w:val="24"/>
          <w:highlight w:val="none"/>
        </w:rPr>
      </w:pPr>
    </w:p>
    <w:p w14:paraId="6E12872E">
      <w:pPr>
        <w:pStyle w:val="5"/>
        <w:jc w:val="left"/>
        <w:rPr>
          <w:rFonts w:ascii="宋体" w:hAnsi="宋体" w:eastAsia="宋体" w:cs="宋体"/>
          <w:b/>
          <w:bCs/>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2"/>
          <w:szCs w:val="32"/>
          <w:highlight w:val="none"/>
        </w:rPr>
        <w:t>9：</w:t>
      </w:r>
    </w:p>
    <w:p w14:paraId="57D8E725">
      <w:pPr>
        <w:spacing w:line="360" w:lineRule="auto"/>
        <w:jc w:val="left"/>
        <w:rPr>
          <w:rFonts w:ascii="宋体" w:hAnsi="宋体" w:eastAsia="宋体" w:cs="宋体"/>
          <w:b/>
          <w:bCs/>
          <w:color w:val="auto"/>
          <w:sz w:val="32"/>
          <w:szCs w:val="32"/>
          <w:highlight w:val="none"/>
        </w:rPr>
      </w:pPr>
    </w:p>
    <w:p w14:paraId="372864F6">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支付保函示范文本</w:t>
      </w:r>
    </w:p>
    <w:p w14:paraId="23B60823">
      <w:pPr>
        <w:spacing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（非独立保函）</w:t>
      </w:r>
    </w:p>
    <w:p w14:paraId="1962E73B">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024D84F9">
      <w:pPr>
        <w:wordWrap w:val="0"/>
        <w:spacing w:line="360" w:lineRule="auto"/>
        <w:jc w:val="right"/>
        <w:rPr>
          <w:rFonts w:ascii="宋体" w:hAnsi="宋体" w:eastAsia="宋体" w:cs="宋体"/>
          <w:color w:val="auto"/>
          <w:highlight w:val="none"/>
        </w:rPr>
      </w:pPr>
      <w:r>
        <w:rPr>
          <w:rFonts w:hint="eastAsia" w:ascii="宋体" w:hAnsi="宋体" w:eastAsia="宋体" w:cs="宋体"/>
          <w:color w:val="auto"/>
          <w:highlight w:val="none"/>
        </w:rPr>
        <w:t xml:space="preserve">     </w:t>
      </w:r>
    </w:p>
    <w:p w14:paraId="72F3035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发包人：</w:t>
      </w:r>
    </w:p>
    <w:p w14:paraId="6FD349D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17C4A0F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担保权人/承包人： </w:t>
      </w:r>
    </w:p>
    <w:p w14:paraId="6D60C25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340C081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保证人：</w:t>
      </w:r>
    </w:p>
    <w:p w14:paraId="4C9FA36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234BF3EB">
      <w:pPr>
        <w:spacing w:line="360" w:lineRule="auto"/>
        <w:rPr>
          <w:rFonts w:ascii="宋体" w:hAnsi="宋体" w:eastAsia="宋体" w:cs="宋体"/>
          <w:color w:val="auto"/>
          <w:sz w:val="24"/>
          <w:highlight w:val="none"/>
        </w:rPr>
      </w:pPr>
    </w:p>
    <w:p w14:paraId="33D947E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（承包人名称）： </w:t>
      </w:r>
    </w:p>
    <w:p w14:paraId="31A73D7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（以下简称“发包人”）与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（以下简称“承包人”）于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工程（以下简称“本工程”）施工和有关事项协商一致共同签订</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77EE811B">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一、保证担保的范围及保证担保金额</w:t>
      </w:r>
    </w:p>
    <w:p w14:paraId="13DBD87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1.保证担保范围：申请人未履行主合同约定的工程款支付义务，应当向贵方承担的违约责任和赔偿因此造成的损失、利息、律师费、诉讼费用等实现债权的费用。</w:t>
      </w:r>
    </w:p>
    <w:p w14:paraId="740BA67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2.保证担保金额最高不超过人民币（大写）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FF0D21">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二、保证担保的方式及保证期间 </w:t>
      </w:r>
    </w:p>
    <w:p w14:paraId="3CA7B7C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1.保证担保方式：连带责任保证。</w:t>
      </w:r>
    </w:p>
    <w:p w14:paraId="094232D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2.保证期间：自出具之日起至主合同约定的除工程质量保修金以外的工程款支付之日后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日止，最迟不超过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4BA480D9">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三、承担保证担保责任的形式</w:t>
      </w:r>
    </w:p>
    <w:p w14:paraId="00EFE78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发包人未按合同约定向贵方支付主合同项下工程款的，由我方在保证金额内代为支付，并赔偿因此给贵方造成的损失，以及利息和律师费、诉讼费用等实现债权的费用。</w:t>
      </w:r>
    </w:p>
    <w:p w14:paraId="0E916EE6">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四、代偿的安排 </w:t>
      </w:r>
    </w:p>
    <w:p w14:paraId="7C582D0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1.贵方要求我方承担保证责任的，应向我方发出书面索赔通知及发包人未支付主合同约定工程款的证明材料。索赔通知应写明要求索赔的金额，支付款项应到达的账号。</w:t>
      </w:r>
    </w:p>
    <w:p w14:paraId="5DC3F86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421CCED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3.我方收到贵方的书面索赔通知及相应证明材料后，在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66382F59">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五、保证担保责任的解除 </w:t>
      </w:r>
    </w:p>
    <w:p w14:paraId="147D6557">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1.保证期间届满贵方未向我方书面主张保证责任的，自保证期间届满次日起，我方解除保证责任。 </w:t>
      </w:r>
    </w:p>
    <w:p w14:paraId="29A585A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2.我方按照本保证担保向贵方履行了保证担保责任后，自我方向贵方支付的金额达到最高保证担保金额之日起，保证担保责任解除。 </w:t>
      </w:r>
    </w:p>
    <w:p w14:paraId="4E06649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3.按照法律法规的规定应解除我方保证担保责任的其它情形的，我方在本保证担保项下的保证担保责任亦解除。 </w:t>
      </w:r>
    </w:p>
    <w:p w14:paraId="664CC7E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A9E79E2">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 xml:space="preserve">六、免责条款 </w:t>
      </w:r>
    </w:p>
    <w:p w14:paraId="1CB6A21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1.因贵方原因致使发包人未履行主合同项下工程款付款义务的，我方不承担保证担保责任。 </w:t>
      </w:r>
    </w:p>
    <w:p w14:paraId="25749DF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2.依照法律规定或贵方与发包人的另行约定，免除发包人部分或全部义务的，我方亦免除其相应的保证担保责任。 </w:t>
      </w:r>
    </w:p>
    <w:p w14:paraId="05DD48F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3.因不可抗力造成发包人未履行主合同项下工程款付款义务的，我方不承担保证担保责任。</w:t>
      </w:r>
    </w:p>
    <w:p w14:paraId="154476E9">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七、其他</w:t>
      </w:r>
    </w:p>
    <w:p w14:paraId="7E9279F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1.本保证担保项下的权利不得转让，不得设定担保。贵方未经我方书面同意转让本保证担保或其项下任何权利，对我方不发生法律效力。 </w:t>
      </w:r>
    </w:p>
    <w:p w14:paraId="545D26A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2.本保证担保适用的法律为中华人民共和国法律，争议裁判管辖地为中华人民共和国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4A1E57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3.本保证担保自我方法定代表人或授权代表签字并加盖公章之日起生效。 </w:t>
      </w:r>
    </w:p>
    <w:p w14:paraId="21ECAA33">
      <w:pPr>
        <w:spacing w:line="360" w:lineRule="auto"/>
        <w:ind w:firstLine="480" w:firstLineChars="200"/>
        <w:rPr>
          <w:rFonts w:ascii="宋体" w:hAnsi="宋体" w:eastAsia="宋体" w:cs="宋体"/>
          <w:color w:val="auto"/>
          <w:sz w:val="24"/>
          <w:highlight w:val="none"/>
        </w:rPr>
      </w:pPr>
    </w:p>
    <w:p w14:paraId="0F4A213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保 证 人：                              （公章） </w:t>
      </w:r>
    </w:p>
    <w:p w14:paraId="29E85D9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               （签字） </w:t>
      </w:r>
    </w:p>
    <w:p w14:paraId="525C6A2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地    址：                                       </w:t>
      </w:r>
    </w:p>
    <w:p w14:paraId="3E61991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邮政编码：                 </w:t>
      </w:r>
    </w:p>
    <w:p w14:paraId="413AB3F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电    话：                 </w:t>
      </w:r>
    </w:p>
    <w:p w14:paraId="0415DAF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传    真：                 </w:t>
      </w:r>
    </w:p>
    <w:p w14:paraId="557D712C">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时    间：      年      月        日</w:t>
      </w:r>
    </w:p>
    <w:p w14:paraId="486B771B">
      <w:pPr>
        <w:rPr>
          <w:rFonts w:ascii="宋体" w:hAnsi="宋体" w:eastAsia="宋体" w:cs="宋体"/>
          <w:color w:val="auto"/>
          <w:highlight w:val="none"/>
        </w:rPr>
      </w:pPr>
    </w:p>
    <w:p w14:paraId="5DC523A5">
      <w:pPr>
        <w:spacing w:line="360" w:lineRule="auto"/>
        <w:ind w:firstLine="480" w:firstLineChars="200"/>
        <w:rPr>
          <w:rFonts w:ascii="宋体" w:hAnsi="宋体" w:eastAsia="宋体" w:cs="宋体"/>
          <w:color w:val="auto"/>
          <w:sz w:val="24"/>
          <w:highlight w:val="none"/>
        </w:rPr>
      </w:pPr>
    </w:p>
    <w:p w14:paraId="6EF54CCD">
      <w:pPr>
        <w:spacing w:line="360" w:lineRule="auto"/>
        <w:ind w:firstLine="420" w:firstLineChars="200"/>
        <w:rPr>
          <w:rFonts w:ascii="宋体" w:hAnsi="宋体" w:eastAsia="宋体" w:cs="宋体"/>
          <w:color w:val="auto"/>
          <w:highlight w:val="none"/>
        </w:rPr>
      </w:pPr>
    </w:p>
    <w:p w14:paraId="539048D6">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1471707">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10：</w:t>
      </w:r>
    </w:p>
    <w:p w14:paraId="7F4B46D9">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预付款支付申请（核准）表</w:t>
      </w:r>
    </w:p>
    <w:p w14:paraId="05E9F4D6">
      <w:pPr>
        <w:rPr>
          <w:rFonts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5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4BF1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7B626EE9">
            <w:pPr>
              <w:spacing w:line="480" w:lineRule="exact"/>
              <w:ind w:left="525" w:leftChars="149" w:hanging="212" w:hangingChars="101"/>
              <w:rPr>
                <w:rFonts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0A45D131">
            <w:pPr>
              <w:spacing w:line="400" w:lineRule="exact"/>
              <w:ind w:left="-4" w:leftChars="-2" w:firstLine="315" w:firstLineChars="150"/>
              <w:rPr>
                <w:rFonts w:ascii="宋体" w:hAnsi="宋体" w:eastAsia="宋体" w:cs="宋体"/>
                <w:color w:val="auto"/>
                <w:highlight w:val="none"/>
              </w:rPr>
            </w:pPr>
            <w:r>
              <w:rPr>
                <w:rFonts w:hint="eastAsia" w:ascii="宋体" w:hAnsi="宋体" w:eastAsia="宋体" w:cs="宋体"/>
                <w:color w:val="auto"/>
                <w:highlight w:val="none"/>
              </w:rPr>
              <w:t>我方根据施工合同的约定，现申请支付工程预付款额为(大写)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p>
          <w:p w14:paraId="3376F1AF">
            <w:pPr>
              <w:spacing w:line="400" w:lineRule="exact"/>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54"/>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2138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752298D8">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340" w:type="dxa"/>
                  <w:vAlign w:val="center"/>
                </w:tcPr>
                <w:p w14:paraId="4B4E813E">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名      称</w:t>
                  </w:r>
                </w:p>
              </w:tc>
              <w:tc>
                <w:tcPr>
                  <w:tcW w:w="1764" w:type="dxa"/>
                  <w:vAlign w:val="center"/>
                </w:tcPr>
                <w:p w14:paraId="1DC0FB39">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申请金额（元）</w:t>
                  </w:r>
                </w:p>
              </w:tc>
              <w:tc>
                <w:tcPr>
                  <w:tcW w:w="2240" w:type="dxa"/>
                  <w:vAlign w:val="center"/>
                </w:tcPr>
                <w:p w14:paraId="0F726911">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复核金额（元）</w:t>
                  </w:r>
                </w:p>
              </w:tc>
              <w:tc>
                <w:tcPr>
                  <w:tcW w:w="1080" w:type="dxa"/>
                  <w:vAlign w:val="center"/>
                </w:tcPr>
                <w:p w14:paraId="33355CDC">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09C9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50DDA5F">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340" w:type="dxa"/>
                </w:tcPr>
                <w:p w14:paraId="7F7F15C5">
                  <w:pPr>
                    <w:spacing w:line="280" w:lineRule="exact"/>
                    <w:rPr>
                      <w:rFonts w:ascii="宋体" w:hAnsi="宋体" w:eastAsia="宋体" w:cs="宋体"/>
                      <w:color w:val="auto"/>
                      <w:highlight w:val="none"/>
                    </w:rPr>
                  </w:pPr>
                  <w:r>
                    <w:rPr>
                      <w:rFonts w:hint="eastAsia" w:ascii="宋体" w:hAnsi="宋体" w:eastAsia="宋体" w:cs="宋体"/>
                      <w:color w:val="auto"/>
                      <w:highlight w:val="none"/>
                    </w:rPr>
                    <w:t>已签约合同价款金额</w:t>
                  </w:r>
                </w:p>
              </w:tc>
              <w:tc>
                <w:tcPr>
                  <w:tcW w:w="1764" w:type="dxa"/>
                </w:tcPr>
                <w:p w14:paraId="49732DA9">
                  <w:pPr>
                    <w:spacing w:line="280" w:lineRule="exact"/>
                    <w:rPr>
                      <w:rFonts w:ascii="宋体" w:hAnsi="宋体" w:eastAsia="宋体" w:cs="宋体"/>
                      <w:color w:val="auto"/>
                      <w:highlight w:val="none"/>
                    </w:rPr>
                  </w:pPr>
                </w:p>
              </w:tc>
              <w:tc>
                <w:tcPr>
                  <w:tcW w:w="2240" w:type="dxa"/>
                </w:tcPr>
                <w:p w14:paraId="62AB996A">
                  <w:pPr>
                    <w:spacing w:line="280" w:lineRule="exact"/>
                    <w:rPr>
                      <w:rFonts w:ascii="宋体" w:hAnsi="宋体" w:eastAsia="宋体" w:cs="宋体"/>
                      <w:color w:val="auto"/>
                      <w:highlight w:val="none"/>
                    </w:rPr>
                  </w:pPr>
                </w:p>
              </w:tc>
              <w:tc>
                <w:tcPr>
                  <w:tcW w:w="1080" w:type="dxa"/>
                </w:tcPr>
                <w:p w14:paraId="6C295C5C">
                  <w:pPr>
                    <w:spacing w:line="280" w:lineRule="exact"/>
                    <w:rPr>
                      <w:rFonts w:ascii="宋体" w:hAnsi="宋体" w:eastAsia="宋体" w:cs="宋体"/>
                      <w:color w:val="auto"/>
                      <w:highlight w:val="none"/>
                    </w:rPr>
                  </w:pPr>
                </w:p>
              </w:tc>
            </w:tr>
            <w:tr w14:paraId="495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429EEC2">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340" w:type="dxa"/>
                </w:tcPr>
                <w:p w14:paraId="57B94804">
                  <w:pPr>
                    <w:spacing w:line="280" w:lineRule="exact"/>
                    <w:rPr>
                      <w:rFonts w:ascii="宋体" w:hAnsi="宋体" w:eastAsia="宋体" w:cs="宋体"/>
                      <w:color w:val="auto"/>
                      <w:highlight w:val="none"/>
                    </w:rPr>
                  </w:pPr>
                  <w:r>
                    <w:rPr>
                      <w:rFonts w:hint="eastAsia" w:ascii="宋体" w:hAnsi="宋体" w:eastAsia="宋体" w:cs="宋体"/>
                      <w:color w:val="auto"/>
                      <w:highlight w:val="none"/>
                    </w:rPr>
                    <w:t>其中：安全文明施工费</w:t>
                  </w:r>
                </w:p>
              </w:tc>
              <w:tc>
                <w:tcPr>
                  <w:tcW w:w="1764" w:type="dxa"/>
                </w:tcPr>
                <w:p w14:paraId="7A0C9C7D">
                  <w:pPr>
                    <w:spacing w:line="280" w:lineRule="exact"/>
                    <w:rPr>
                      <w:rFonts w:ascii="宋体" w:hAnsi="宋体" w:eastAsia="宋体" w:cs="宋体"/>
                      <w:color w:val="auto"/>
                      <w:highlight w:val="none"/>
                    </w:rPr>
                  </w:pPr>
                </w:p>
              </w:tc>
              <w:tc>
                <w:tcPr>
                  <w:tcW w:w="2240" w:type="dxa"/>
                </w:tcPr>
                <w:p w14:paraId="50DC5BD9">
                  <w:pPr>
                    <w:spacing w:line="280" w:lineRule="exact"/>
                    <w:rPr>
                      <w:rFonts w:ascii="宋体" w:hAnsi="宋体" w:eastAsia="宋体" w:cs="宋体"/>
                      <w:color w:val="auto"/>
                      <w:highlight w:val="none"/>
                    </w:rPr>
                  </w:pPr>
                </w:p>
              </w:tc>
              <w:tc>
                <w:tcPr>
                  <w:tcW w:w="1080" w:type="dxa"/>
                </w:tcPr>
                <w:p w14:paraId="30BC782A">
                  <w:pPr>
                    <w:spacing w:line="280" w:lineRule="exact"/>
                    <w:rPr>
                      <w:rFonts w:ascii="宋体" w:hAnsi="宋体" w:eastAsia="宋体" w:cs="宋体"/>
                      <w:color w:val="auto"/>
                      <w:highlight w:val="none"/>
                    </w:rPr>
                  </w:pPr>
                </w:p>
              </w:tc>
            </w:tr>
            <w:tr w14:paraId="6DCF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4948D9D">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340" w:type="dxa"/>
                </w:tcPr>
                <w:p w14:paraId="42099C59">
                  <w:pPr>
                    <w:spacing w:line="280" w:lineRule="exact"/>
                    <w:rPr>
                      <w:rFonts w:ascii="宋体" w:hAnsi="宋体" w:eastAsia="宋体" w:cs="宋体"/>
                      <w:color w:val="auto"/>
                      <w:highlight w:val="none"/>
                    </w:rPr>
                  </w:pPr>
                  <w:r>
                    <w:rPr>
                      <w:rFonts w:hint="eastAsia" w:ascii="宋体" w:hAnsi="宋体" w:eastAsia="宋体" w:cs="宋体"/>
                      <w:color w:val="auto"/>
                      <w:highlight w:val="none"/>
                    </w:rPr>
                    <w:t>应支付的预付款</w:t>
                  </w:r>
                </w:p>
              </w:tc>
              <w:tc>
                <w:tcPr>
                  <w:tcW w:w="1764" w:type="dxa"/>
                </w:tcPr>
                <w:p w14:paraId="05BFD3C8">
                  <w:pPr>
                    <w:spacing w:line="280" w:lineRule="exact"/>
                    <w:rPr>
                      <w:rFonts w:ascii="宋体" w:hAnsi="宋体" w:eastAsia="宋体" w:cs="宋体"/>
                      <w:color w:val="auto"/>
                      <w:highlight w:val="none"/>
                    </w:rPr>
                  </w:pPr>
                </w:p>
              </w:tc>
              <w:tc>
                <w:tcPr>
                  <w:tcW w:w="2240" w:type="dxa"/>
                </w:tcPr>
                <w:p w14:paraId="2B2C6424">
                  <w:pPr>
                    <w:spacing w:line="280" w:lineRule="exact"/>
                    <w:rPr>
                      <w:rFonts w:ascii="宋体" w:hAnsi="宋体" w:eastAsia="宋体" w:cs="宋体"/>
                      <w:color w:val="auto"/>
                      <w:highlight w:val="none"/>
                    </w:rPr>
                  </w:pPr>
                </w:p>
              </w:tc>
              <w:tc>
                <w:tcPr>
                  <w:tcW w:w="1080" w:type="dxa"/>
                </w:tcPr>
                <w:p w14:paraId="610A93AA">
                  <w:pPr>
                    <w:spacing w:line="280" w:lineRule="exact"/>
                    <w:rPr>
                      <w:rFonts w:ascii="宋体" w:hAnsi="宋体" w:eastAsia="宋体" w:cs="宋体"/>
                      <w:color w:val="auto"/>
                      <w:highlight w:val="none"/>
                    </w:rPr>
                  </w:pPr>
                </w:p>
              </w:tc>
            </w:tr>
            <w:tr w14:paraId="20E2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8AE894A">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340" w:type="dxa"/>
                </w:tcPr>
                <w:p w14:paraId="3AD5D44B">
                  <w:pPr>
                    <w:spacing w:line="280" w:lineRule="exact"/>
                    <w:rPr>
                      <w:rFonts w:ascii="宋体" w:hAnsi="宋体" w:eastAsia="宋体" w:cs="宋体"/>
                      <w:color w:val="auto"/>
                      <w:highlight w:val="none"/>
                    </w:rPr>
                  </w:pPr>
                  <w:r>
                    <w:rPr>
                      <w:rFonts w:hint="eastAsia" w:ascii="宋体" w:hAnsi="宋体" w:eastAsia="宋体" w:cs="宋体"/>
                      <w:color w:val="auto"/>
                      <w:highlight w:val="none"/>
                    </w:rPr>
                    <w:t>应支付的安全文明施工费预付款</w:t>
                  </w:r>
                </w:p>
              </w:tc>
              <w:tc>
                <w:tcPr>
                  <w:tcW w:w="1764" w:type="dxa"/>
                </w:tcPr>
                <w:p w14:paraId="383E171D">
                  <w:pPr>
                    <w:spacing w:line="280" w:lineRule="exact"/>
                    <w:rPr>
                      <w:rFonts w:ascii="宋体" w:hAnsi="宋体" w:eastAsia="宋体" w:cs="宋体"/>
                      <w:color w:val="auto"/>
                      <w:highlight w:val="none"/>
                    </w:rPr>
                  </w:pPr>
                </w:p>
              </w:tc>
              <w:tc>
                <w:tcPr>
                  <w:tcW w:w="2240" w:type="dxa"/>
                </w:tcPr>
                <w:p w14:paraId="41099385">
                  <w:pPr>
                    <w:spacing w:line="280" w:lineRule="exact"/>
                    <w:rPr>
                      <w:rFonts w:ascii="宋体" w:hAnsi="宋体" w:eastAsia="宋体" w:cs="宋体"/>
                      <w:color w:val="auto"/>
                      <w:highlight w:val="none"/>
                    </w:rPr>
                  </w:pPr>
                </w:p>
              </w:tc>
              <w:tc>
                <w:tcPr>
                  <w:tcW w:w="1080" w:type="dxa"/>
                </w:tcPr>
                <w:p w14:paraId="276D22F2">
                  <w:pPr>
                    <w:spacing w:line="280" w:lineRule="exact"/>
                    <w:rPr>
                      <w:rFonts w:ascii="宋体" w:hAnsi="宋体" w:eastAsia="宋体" w:cs="宋体"/>
                      <w:color w:val="auto"/>
                      <w:highlight w:val="none"/>
                    </w:rPr>
                  </w:pPr>
                </w:p>
              </w:tc>
            </w:tr>
            <w:tr w14:paraId="7877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661AF1B">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3340" w:type="dxa"/>
                </w:tcPr>
                <w:p w14:paraId="0C875655">
                  <w:pPr>
                    <w:spacing w:line="280" w:lineRule="exact"/>
                    <w:rPr>
                      <w:rFonts w:ascii="宋体" w:hAnsi="宋体" w:eastAsia="宋体" w:cs="宋体"/>
                      <w:color w:val="auto"/>
                      <w:highlight w:val="none"/>
                    </w:rPr>
                  </w:pPr>
                  <w:r>
                    <w:rPr>
                      <w:rFonts w:hint="eastAsia" w:ascii="宋体" w:hAnsi="宋体" w:eastAsia="宋体" w:cs="宋体"/>
                      <w:color w:val="auto"/>
                      <w:highlight w:val="none"/>
                    </w:rPr>
                    <w:t>合计应支付的预付款</w:t>
                  </w:r>
                </w:p>
              </w:tc>
              <w:tc>
                <w:tcPr>
                  <w:tcW w:w="1764" w:type="dxa"/>
                </w:tcPr>
                <w:p w14:paraId="3F07C535">
                  <w:pPr>
                    <w:spacing w:line="280" w:lineRule="exact"/>
                    <w:rPr>
                      <w:rFonts w:ascii="宋体" w:hAnsi="宋体" w:eastAsia="宋体" w:cs="宋体"/>
                      <w:color w:val="auto"/>
                      <w:highlight w:val="none"/>
                    </w:rPr>
                  </w:pPr>
                </w:p>
              </w:tc>
              <w:tc>
                <w:tcPr>
                  <w:tcW w:w="2240" w:type="dxa"/>
                </w:tcPr>
                <w:p w14:paraId="2825634A">
                  <w:pPr>
                    <w:spacing w:line="280" w:lineRule="exact"/>
                    <w:rPr>
                      <w:rFonts w:ascii="宋体" w:hAnsi="宋体" w:eastAsia="宋体" w:cs="宋体"/>
                      <w:color w:val="auto"/>
                      <w:highlight w:val="none"/>
                    </w:rPr>
                  </w:pPr>
                </w:p>
              </w:tc>
              <w:tc>
                <w:tcPr>
                  <w:tcW w:w="1080" w:type="dxa"/>
                </w:tcPr>
                <w:p w14:paraId="3D5EC9FA">
                  <w:pPr>
                    <w:spacing w:line="280" w:lineRule="exact"/>
                    <w:rPr>
                      <w:rFonts w:ascii="宋体" w:hAnsi="宋体" w:eastAsia="宋体" w:cs="宋体"/>
                      <w:color w:val="auto"/>
                      <w:highlight w:val="none"/>
                    </w:rPr>
                  </w:pPr>
                </w:p>
              </w:tc>
            </w:tr>
            <w:tr w14:paraId="426C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340DB8A">
                  <w:pPr>
                    <w:spacing w:line="280" w:lineRule="exact"/>
                    <w:jc w:val="center"/>
                    <w:rPr>
                      <w:rFonts w:ascii="宋体" w:hAnsi="宋体" w:eastAsia="宋体" w:cs="宋体"/>
                      <w:color w:val="auto"/>
                      <w:highlight w:val="none"/>
                    </w:rPr>
                  </w:pPr>
                </w:p>
              </w:tc>
              <w:tc>
                <w:tcPr>
                  <w:tcW w:w="3340" w:type="dxa"/>
                </w:tcPr>
                <w:p w14:paraId="3A32E9B7">
                  <w:pPr>
                    <w:spacing w:line="280" w:lineRule="exact"/>
                    <w:rPr>
                      <w:rFonts w:ascii="宋体" w:hAnsi="宋体" w:eastAsia="宋体" w:cs="宋体"/>
                      <w:color w:val="auto"/>
                      <w:highlight w:val="none"/>
                    </w:rPr>
                  </w:pPr>
                </w:p>
              </w:tc>
              <w:tc>
                <w:tcPr>
                  <w:tcW w:w="1764" w:type="dxa"/>
                </w:tcPr>
                <w:p w14:paraId="4E3CEE3E">
                  <w:pPr>
                    <w:spacing w:line="280" w:lineRule="exact"/>
                    <w:rPr>
                      <w:rFonts w:ascii="宋体" w:hAnsi="宋体" w:eastAsia="宋体" w:cs="宋体"/>
                      <w:color w:val="auto"/>
                      <w:highlight w:val="none"/>
                    </w:rPr>
                  </w:pPr>
                </w:p>
              </w:tc>
              <w:tc>
                <w:tcPr>
                  <w:tcW w:w="2240" w:type="dxa"/>
                </w:tcPr>
                <w:p w14:paraId="128C956C">
                  <w:pPr>
                    <w:spacing w:line="280" w:lineRule="exact"/>
                    <w:rPr>
                      <w:rFonts w:ascii="宋体" w:hAnsi="宋体" w:eastAsia="宋体" w:cs="宋体"/>
                      <w:color w:val="auto"/>
                      <w:highlight w:val="none"/>
                    </w:rPr>
                  </w:pPr>
                </w:p>
              </w:tc>
              <w:tc>
                <w:tcPr>
                  <w:tcW w:w="1080" w:type="dxa"/>
                </w:tcPr>
                <w:p w14:paraId="364CFBFE">
                  <w:pPr>
                    <w:spacing w:line="280" w:lineRule="exact"/>
                    <w:rPr>
                      <w:rFonts w:ascii="宋体" w:hAnsi="宋体" w:eastAsia="宋体" w:cs="宋体"/>
                      <w:color w:val="auto"/>
                      <w:highlight w:val="none"/>
                    </w:rPr>
                  </w:pPr>
                </w:p>
              </w:tc>
            </w:tr>
          </w:tbl>
          <w:p w14:paraId="487F3A09">
            <w:pPr>
              <w:wordWrap w:val="0"/>
              <w:spacing w:line="400" w:lineRule="exact"/>
              <w:ind w:right="420"/>
              <w:rPr>
                <w:rFonts w:ascii="宋体" w:hAnsi="宋体" w:eastAsia="宋体" w:cs="宋体"/>
                <w:color w:val="auto"/>
                <w:highlight w:val="none"/>
              </w:rPr>
            </w:pPr>
          </w:p>
          <w:p w14:paraId="53E23945">
            <w:pPr>
              <w:wordWrap w:val="0"/>
              <w:spacing w:line="400" w:lineRule="exact"/>
              <w:ind w:right="420"/>
              <w:rPr>
                <w:rFonts w:ascii="宋体" w:hAnsi="宋体" w:eastAsia="宋体" w:cs="宋体"/>
                <w:color w:val="auto"/>
                <w:highlight w:val="none"/>
              </w:rPr>
            </w:pPr>
            <w:r>
              <w:rPr>
                <w:rFonts w:hint="eastAsia" w:ascii="宋体" w:hAnsi="宋体" w:eastAsia="宋体" w:cs="宋体"/>
                <w:color w:val="auto"/>
                <w:highlight w:val="none"/>
              </w:rPr>
              <w:t xml:space="preserve">                                            承包人（章）             </w:t>
            </w:r>
          </w:p>
          <w:p w14:paraId="28BBE947">
            <w:pPr>
              <w:spacing w:line="400" w:lineRule="exact"/>
              <w:ind w:right="420" w:firstLine="435"/>
              <w:rPr>
                <w:rFonts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5777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7C90F51B">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60181241">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□与合同约定不相符，修改意见见附件。</w:t>
            </w:r>
          </w:p>
          <w:p w14:paraId="168134C9">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□与合同约定相符，具体金额由造价工程师复核。</w:t>
            </w:r>
          </w:p>
          <w:p w14:paraId="75D2CF72">
            <w:pPr>
              <w:spacing w:line="360" w:lineRule="exact"/>
              <w:ind w:firstLine="435"/>
              <w:jc w:val="right"/>
              <w:rPr>
                <w:rFonts w:ascii="宋体" w:hAnsi="宋体" w:eastAsia="宋体" w:cs="宋体"/>
                <w:color w:val="auto"/>
                <w:highlight w:val="none"/>
              </w:rPr>
            </w:pPr>
          </w:p>
          <w:p w14:paraId="336D2CBF">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7E5A5740">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552" w:type="dxa"/>
          </w:tcPr>
          <w:p w14:paraId="6AD23778">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1DA6F54D">
            <w:pPr>
              <w:spacing w:line="360" w:lineRule="exact"/>
              <w:ind w:firstLine="435"/>
              <w:rPr>
                <w:rFonts w:ascii="宋体" w:hAnsi="宋体" w:eastAsia="宋体" w:cs="宋体"/>
                <w:color w:val="auto"/>
                <w:highlight w:val="none"/>
              </w:rPr>
            </w:pPr>
            <w:r>
              <w:rPr>
                <w:rFonts w:hint="eastAsia" w:ascii="宋体" w:hAnsi="宋体" w:eastAsia="宋体" w:cs="宋体"/>
                <w:color w:val="auto"/>
                <w:highlight w:val="none"/>
              </w:rPr>
              <w:t>你方提出的支付申请经复核，应支付预付款金额为(大写)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p>
          <w:p w14:paraId="291D4472">
            <w:pPr>
              <w:spacing w:line="360" w:lineRule="exact"/>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w:t>
            </w:r>
          </w:p>
          <w:p w14:paraId="62D7891A">
            <w:pPr>
              <w:spacing w:line="360" w:lineRule="exact"/>
              <w:rPr>
                <w:rFonts w:ascii="宋体" w:hAnsi="宋体" w:eastAsia="宋体" w:cs="宋体"/>
                <w:color w:val="auto"/>
                <w:highlight w:val="none"/>
                <w:u w:val="single"/>
              </w:rPr>
            </w:pPr>
          </w:p>
          <w:p w14:paraId="01B3936D">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612B5C11">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63F7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C6A38FD">
            <w:pPr>
              <w:spacing w:line="400" w:lineRule="exact"/>
              <w:rPr>
                <w:rFonts w:ascii="宋体" w:hAnsi="宋体" w:eastAsia="宋体" w:cs="宋体"/>
                <w:color w:val="auto"/>
                <w:highlight w:val="none"/>
              </w:rPr>
            </w:pPr>
            <w:r>
              <w:rPr>
                <w:rFonts w:hint="eastAsia" w:ascii="宋体" w:hAnsi="宋体" w:eastAsia="宋体" w:cs="宋体"/>
                <w:color w:val="auto"/>
                <w:highlight w:val="none"/>
              </w:rPr>
              <w:t>审核意见：</w:t>
            </w:r>
          </w:p>
          <w:p w14:paraId="02191622">
            <w:pPr>
              <w:spacing w:line="400" w:lineRule="exact"/>
              <w:ind w:firstLine="435"/>
              <w:rPr>
                <w:rFonts w:ascii="宋体" w:hAnsi="宋体" w:eastAsia="宋体" w:cs="宋体"/>
                <w:color w:val="auto"/>
                <w:highlight w:val="none"/>
              </w:rPr>
            </w:pPr>
            <w:r>
              <w:rPr>
                <w:rFonts w:hint="eastAsia" w:ascii="宋体" w:hAnsi="宋体" w:eastAsia="宋体" w:cs="宋体"/>
                <w:color w:val="auto"/>
                <w:highlight w:val="none"/>
              </w:rPr>
              <w:t>□不同意。</w:t>
            </w:r>
          </w:p>
          <w:p w14:paraId="1772D020">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2AA710D4">
            <w:pPr>
              <w:wordWrap w:val="0"/>
              <w:spacing w:line="400" w:lineRule="exact"/>
              <w:ind w:firstLine="420" w:firstLineChars="200"/>
              <w:jc w:val="right"/>
              <w:rPr>
                <w:rFonts w:ascii="宋体" w:hAnsi="宋体" w:eastAsia="宋体" w:cs="宋体"/>
                <w:color w:val="auto"/>
                <w:highlight w:val="none"/>
              </w:rPr>
            </w:pPr>
            <w:r>
              <w:rPr>
                <w:rFonts w:hint="eastAsia" w:ascii="宋体" w:hAnsi="宋体" w:eastAsia="宋体" w:cs="宋体"/>
                <w:color w:val="auto"/>
                <w:highlight w:val="none"/>
              </w:rPr>
              <w:t xml:space="preserve">发包人（章）           </w:t>
            </w:r>
          </w:p>
          <w:p w14:paraId="663D5E25">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5B519612">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1702A0AA">
      <w:pPr>
        <w:spacing w:before="120" w:beforeLines="50"/>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5ADA5134">
      <w:pPr>
        <w:spacing w:before="120" w:beforeLines="50"/>
        <w:ind w:left="720" w:hanging="720" w:hangingChars="400"/>
        <w:rPr>
          <w:rFonts w:ascii="宋体" w:hAnsi="宋体" w:eastAsia="宋体" w:cs="宋体"/>
          <w:color w:val="auto"/>
          <w:sz w:val="30"/>
          <w:szCs w:val="30"/>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046A219E">
      <w:pPr>
        <w:spacing w:before="120" w:beforeLines="50"/>
        <w:ind w:left="1200" w:hanging="1200" w:hangingChars="400"/>
        <w:rPr>
          <w:rFonts w:ascii="宋体" w:hAnsi="宋体" w:eastAsia="宋体" w:cs="宋体"/>
          <w:color w:val="auto"/>
          <w:sz w:val="30"/>
          <w:szCs w:val="30"/>
          <w:highlight w:val="none"/>
        </w:rPr>
      </w:pPr>
    </w:p>
    <w:p w14:paraId="7698692F">
      <w:pPr>
        <w:pStyle w:val="5"/>
        <w:jc w:val="left"/>
        <w:rPr>
          <w:rFonts w:ascii="宋体" w:hAnsi="宋体" w:eastAsia="宋体" w:cs="宋体"/>
          <w:color w:val="auto"/>
          <w:sz w:val="30"/>
          <w:szCs w:val="30"/>
          <w:highlight w:val="none"/>
        </w:rPr>
      </w:pP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11：</w:t>
      </w:r>
    </w:p>
    <w:p w14:paraId="50083885">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进度款支付申请（核准）表</w:t>
      </w:r>
    </w:p>
    <w:p w14:paraId="666D1750">
      <w:pPr>
        <w:rPr>
          <w:rFonts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5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3BF3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02243F78">
            <w:pPr>
              <w:spacing w:line="480" w:lineRule="exact"/>
              <w:ind w:left="525" w:leftChars="149" w:hanging="212" w:hangingChars="101"/>
              <w:rPr>
                <w:rFonts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43A3852F">
            <w:pPr>
              <w:spacing w:line="400" w:lineRule="exact"/>
              <w:ind w:left="-4" w:leftChars="-2" w:firstLine="315" w:firstLineChars="150"/>
              <w:rPr>
                <w:rFonts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工作，根据施工合同的约定，现申请支付本期的合同款额为(大写)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211E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73392474">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340" w:type="dxa"/>
                  <w:vAlign w:val="center"/>
                </w:tcPr>
                <w:p w14:paraId="723878D0">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名      称</w:t>
                  </w:r>
                </w:p>
              </w:tc>
              <w:tc>
                <w:tcPr>
                  <w:tcW w:w="1340" w:type="dxa"/>
                  <w:vAlign w:val="center"/>
                </w:tcPr>
                <w:p w14:paraId="7B7FBB5F">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实际金额（元）</w:t>
                  </w:r>
                </w:p>
              </w:tc>
              <w:tc>
                <w:tcPr>
                  <w:tcW w:w="1440" w:type="dxa"/>
                  <w:vAlign w:val="center"/>
                </w:tcPr>
                <w:p w14:paraId="6E44166F">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申请金额（元）</w:t>
                  </w:r>
                </w:p>
              </w:tc>
              <w:tc>
                <w:tcPr>
                  <w:tcW w:w="1260" w:type="dxa"/>
                  <w:vAlign w:val="center"/>
                </w:tcPr>
                <w:p w14:paraId="451D81F5">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复核金额（元）</w:t>
                  </w:r>
                </w:p>
              </w:tc>
              <w:tc>
                <w:tcPr>
                  <w:tcW w:w="931" w:type="dxa"/>
                  <w:vAlign w:val="center"/>
                </w:tcPr>
                <w:p w14:paraId="180F618F">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5101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5166D67">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340" w:type="dxa"/>
                </w:tcPr>
                <w:p w14:paraId="686FBF90">
                  <w:pPr>
                    <w:spacing w:line="280" w:lineRule="exact"/>
                    <w:rPr>
                      <w:rFonts w:ascii="宋体" w:hAnsi="宋体" w:eastAsia="宋体" w:cs="宋体"/>
                      <w:color w:val="auto"/>
                      <w:highlight w:val="none"/>
                    </w:rPr>
                  </w:pPr>
                  <w:r>
                    <w:rPr>
                      <w:rFonts w:hint="eastAsia" w:ascii="宋体" w:hAnsi="宋体" w:eastAsia="宋体" w:cs="宋体"/>
                      <w:color w:val="auto"/>
                      <w:highlight w:val="none"/>
                    </w:rPr>
                    <w:t>累计已完成的工程价款</w:t>
                  </w:r>
                </w:p>
              </w:tc>
              <w:tc>
                <w:tcPr>
                  <w:tcW w:w="1340" w:type="dxa"/>
                </w:tcPr>
                <w:p w14:paraId="2214EB87">
                  <w:pPr>
                    <w:spacing w:line="280" w:lineRule="exact"/>
                    <w:rPr>
                      <w:rFonts w:ascii="宋体" w:hAnsi="宋体" w:eastAsia="宋体" w:cs="宋体"/>
                      <w:color w:val="auto"/>
                      <w:highlight w:val="none"/>
                    </w:rPr>
                  </w:pPr>
                </w:p>
              </w:tc>
              <w:tc>
                <w:tcPr>
                  <w:tcW w:w="1440" w:type="dxa"/>
                </w:tcPr>
                <w:p w14:paraId="179C6952">
                  <w:pPr>
                    <w:spacing w:line="280" w:lineRule="exact"/>
                    <w:rPr>
                      <w:rFonts w:ascii="宋体" w:hAnsi="宋体" w:eastAsia="宋体" w:cs="宋体"/>
                      <w:color w:val="auto"/>
                      <w:highlight w:val="none"/>
                    </w:rPr>
                  </w:pPr>
                </w:p>
              </w:tc>
              <w:tc>
                <w:tcPr>
                  <w:tcW w:w="1260" w:type="dxa"/>
                </w:tcPr>
                <w:p w14:paraId="66812902">
                  <w:pPr>
                    <w:spacing w:line="280" w:lineRule="exact"/>
                    <w:rPr>
                      <w:rFonts w:ascii="宋体" w:hAnsi="宋体" w:eastAsia="宋体" w:cs="宋体"/>
                      <w:color w:val="auto"/>
                      <w:highlight w:val="none"/>
                    </w:rPr>
                  </w:pPr>
                </w:p>
              </w:tc>
              <w:tc>
                <w:tcPr>
                  <w:tcW w:w="931" w:type="dxa"/>
                </w:tcPr>
                <w:p w14:paraId="040F10BD">
                  <w:pPr>
                    <w:spacing w:line="280" w:lineRule="exact"/>
                    <w:rPr>
                      <w:rFonts w:ascii="宋体" w:hAnsi="宋体" w:eastAsia="宋体" w:cs="宋体"/>
                      <w:color w:val="auto"/>
                      <w:highlight w:val="none"/>
                    </w:rPr>
                  </w:pPr>
                </w:p>
              </w:tc>
            </w:tr>
            <w:tr w14:paraId="52B6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58392D">
                  <w:pPr>
                    <w:spacing w:line="280" w:lineRule="exact"/>
                    <w:jc w:val="center"/>
                    <w:rPr>
                      <w:rFonts w:ascii="宋体" w:hAnsi="宋体" w:eastAsia="宋体" w:cs="宋体"/>
                      <w:color w:val="auto"/>
                      <w:highlight w:val="none"/>
                    </w:rPr>
                  </w:pPr>
                </w:p>
              </w:tc>
              <w:tc>
                <w:tcPr>
                  <w:tcW w:w="3340" w:type="dxa"/>
                </w:tcPr>
                <w:p w14:paraId="63965B6C">
                  <w:pPr>
                    <w:spacing w:line="280" w:lineRule="exact"/>
                    <w:rPr>
                      <w:rFonts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tcPr>
                <w:p w14:paraId="1A3E238A">
                  <w:pPr>
                    <w:spacing w:line="280" w:lineRule="exact"/>
                    <w:rPr>
                      <w:rFonts w:ascii="宋体" w:hAnsi="宋体" w:eastAsia="宋体" w:cs="宋体"/>
                      <w:color w:val="auto"/>
                      <w:highlight w:val="none"/>
                    </w:rPr>
                  </w:pPr>
                </w:p>
              </w:tc>
              <w:tc>
                <w:tcPr>
                  <w:tcW w:w="1440" w:type="dxa"/>
                </w:tcPr>
                <w:p w14:paraId="5CE62EC9">
                  <w:pPr>
                    <w:spacing w:line="280" w:lineRule="exact"/>
                    <w:rPr>
                      <w:rFonts w:ascii="宋体" w:hAnsi="宋体" w:eastAsia="宋体" w:cs="宋体"/>
                      <w:color w:val="auto"/>
                      <w:highlight w:val="none"/>
                    </w:rPr>
                  </w:pPr>
                </w:p>
              </w:tc>
              <w:tc>
                <w:tcPr>
                  <w:tcW w:w="1260" w:type="dxa"/>
                </w:tcPr>
                <w:p w14:paraId="059DC411">
                  <w:pPr>
                    <w:spacing w:line="280" w:lineRule="exact"/>
                    <w:rPr>
                      <w:rFonts w:ascii="宋体" w:hAnsi="宋体" w:eastAsia="宋体" w:cs="宋体"/>
                      <w:color w:val="auto"/>
                      <w:highlight w:val="none"/>
                    </w:rPr>
                  </w:pPr>
                </w:p>
              </w:tc>
              <w:tc>
                <w:tcPr>
                  <w:tcW w:w="931" w:type="dxa"/>
                </w:tcPr>
                <w:p w14:paraId="10777AFF">
                  <w:pPr>
                    <w:spacing w:line="280" w:lineRule="exact"/>
                    <w:rPr>
                      <w:rFonts w:ascii="宋体" w:hAnsi="宋体" w:eastAsia="宋体" w:cs="宋体"/>
                      <w:color w:val="auto"/>
                      <w:highlight w:val="none"/>
                    </w:rPr>
                  </w:pPr>
                </w:p>
              </w:tc>
            </w:tr>
            <w:tr w14:paraId="545E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78E2F48">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340" w:type="dxa"/>
                </w:tcPr>
                <w:p w14:paraId="64B8A9BB">
                  <w:pPr>
                    <w:spacing w:line="280" w:lineRule="exact"/>
                    <w:rPr>
                      <w:rFonts w:ascii="宋体" w:hAnsi="宋体" w:eastAsia="宋体" w:cs="宋体"/>
                      <w:color w:val="auto"/>
                      <w:highlight w:val="none"/>
                    </w:rPr>
                  </w:pPr>
                  <w:r>
                    <w:rPr>
                      <w:rFonts w:hint="eastAsia" w:ascii="宋体" w:hAnsi="宋体" w:eastAsia="宋体" w:cs="宋体"/>
                      <w:color w:val="auto"/>
                      <w:highlight w:val="none"/>
                    </w:rPr>
                    <w:t>累计已实际支付的工程价款</w:t>
                  </w:r>
                </w:p>
              </w:tc>
              <w:tc>
                <w:tcPr>
                  <w:tcW w:w="1340" w:type="dxa"/>
                </w:tcPr>
                <w:p w14:paraId="1B545D34">
                  <w:pPr>
                    <w:spacing w:line="280" w:lineRule="exact"/>
                    <w:rPr>
                      <w:rFonts w:ascii="宋体" w:hAnsi="宋体" w:eastAsia="宋体" w:cs="宋体"/>
                      <w:color w:val="auto"/>
                      <w:highlight w:val="none"/>
                    </w:rPr>
                  </w:pPr>
                </w:p>
              </w:tc>
              <w:tc>
                <w:tcPr>
                  <w:tcW w:w="1440" w:type="dxa"/>
                </w:tcPr>
                <w:p w14:paraId="0E884772">
                  <w:pPr>
                    <w:spacing w:line="280" w:lineRule="exact"/>
                    <w:rPr>
                      <w:rFonts w:ascii="宋体" w:hAnsi="宋体" w:eastAsia="宋体" w:cs="宋体"/>
                      <w:color w:val="auto"/>
                      <w:highlight w:val="none"/>
                    </w:rPr>
                  </w:pPr>
                </w:p>
              </w:tc>
              <w:tc>
                <w:tcPr>
                  <w:tcW w:w="1260" w:type="dxa"/>
                </w:tcPr>
                <w:p w14:paraId="1D2992B2">
                  <w:pPr>
                    <w:spacing w:line="280" w:lineRule="exact"/>
                    <w:rPr>
                      <w:rFonts w:ascii="宋体" w:hAnsi="宋体" w:eastAsia="宋体" w:cs="宋体"/>
                      <w:color w:val="auto"/>
                      <w:highlight w:val="none"/>
                    </w:rPr>
                  </w:pPr>
                </w:p>
              </w:tc>
              <w:tc>
                <w:tcPr>
                  <w:tcW w:w="931" w:type="dxa"/>
                </w:tcPr>
                <w:p w14:paraId="5EED6591">
                  <w:pPr>
                    <w:spacing w:line="280" w:lineRule="exact"/>
                    <w:rPr>
                      <w:rFonts w:ascii="宋体" w:hAnsi="宋体" w:eastAsia="宋体" w:cs="宋体"/>
                      <w:color w:val="auto"/>
                      <w:highlight w:val="none"/>
                    </w:rPr>
                  </w:pPr>
                </w:p>
              </w:tc>
            </w:tr>
            <w:tr w14:paraId="674A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3AE3BCF">
                  <w:pPr>
                    <w:spacing w:line="280" w:lineRule="exact"/>
                    <w:jc w:val="center"/>
                    <w:rPr>
                      <w:rFonts w:ascii="宋体" w:hAnsi="宋体" w:eastAsia="宋体" w:cs="宋体"/>
                      <w:color w:val="auto"/>
                      <w:highlight w:val="none"/>
                    </w:rPr>
                  </w:pPr>
                </w:p>
              </w:tc>
              <w:tc>
                <w:tcPr>
                  <w:tcW w:w="3340" w:type="dxa"/>
                </w:tcPr>
                <w:p w14:paraId="0E3951F0">
                  <w:pPr>
                    <w:spacing w:line="280" w:lineRule="exact"/>
                    <w:rPr>
                      <w:rFonts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tcPr>
                <w:p w14:paraId="48092094">
                  <w:pPr>
                    <w:spacing w:line="280" w:lineRule="exact"/>
                    <w:rPr>
                      <w:rFonts w:ascii="宋体" w:hAnsi="宋体" w:eastAsia="宋体" w:cs="宋体"/>
                      <w:color w:val="auto"/>
                      <w:highlight w:val="none"/>
                    </w:rPr>
                  </w:pPr>
                </w:p>
              </w:tc>
              <w:tc>
                <w:tcPr>
                  <w:tcW w:w="1440" w:type="dxa"/>
                </w:tcPr>
                <w:p w14:paraId="2133B70B">
                  <w:pPr>
                    <w:spacing w:line="280" w:lineRule="exact"/>
                    <w:rPr>
                      <w:rFonts w:ascii="宋体" w:hAnsi="宋体" w:eastAsia="宋体" w:cs="宋体"/>
                      <w:color w:val="auto"/>
                      <w:highlight w:val="none"/>
                    </w:rPr>
                  </w:pPr>
                </w:p>
              </w:tc>
              <w:tc>
                <w:tcPr>
                  <w:tcW w:w="1260" w:type="dxa"/>
                </w:tcPr>
                <w:p w14:paraId="5801DC57">
                  <w:pPr>
                    <w:spacing w:line="280" w:lineRule="exact"/>
                    <w:rPr>
                      <w:rFonts w:ascii="宋体" w:hAnsi="宋体" w:eastAsia="宋体" w:cs="宋体"/>
                      <w:color w:val="auto"/>
                      <w:highlight w:val="none"/>
                    </w:rPr>
                  </w:pPr>
                </w:p>
              </w:tc>
              <w:tc>
                <w:tcPr>
                  <w:tcW w:w="931" w:type="dxa"/>
                </w:tcPr>
                <w:p w14:paraId="5A6ECA0C">
                  <w:pPr>
                    <w:spacing w:line="280" w:lineRule="exact"/>
                    <w:rPr>
                      <w:rFonts w:ascii="宋体" w:hAnsi="宋体" w:eastAsia="宋体" w:cs="宋体"/>
                      <w:color w:val="auto"/>
                      <w:highlight w:val="none"/>
                    </w:rPr>
                  </w:pPr>
                </w:p>
              </w:tc>
            </w:tr>
            <w:tr w14:paraId="5F44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3CCF42">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340" w:type="dxa"/>
                </w:tcPr>
                <w:p w14:paraId="11E7CA3B">
                  <w:pPr>
                    <w:spacing w:line="280" w:lineRule="exact"/>
                    <w:rPr>
                      <w:rFonts w:ascii="宋体" w:hAnsi="宋体" w:eastAsia="宋体" w:cs="宋体"/>
                      <w:color w:val="auto"/>
                      <w:highlight w:val="none"/>
                    </w:rPr>
                  </w:pPr>
                  <w:r>
                    <w:rPr>
                      <w:rFonts w:hint="eastAsia" w:ascii="宋体" w:hAnsi="宋体" w:eastAsia="宋体" w:cs="宋体"/>
                      <w:color w:val="auto"/>
                      <w:highlight w:val="none"/>
                    </w:rPr>
                    <w:t>本周期已完成的工程价款</w:t>
                  </w:r>
                </w:p>
              </w:tc>
              <w:tc>
                <w:tcPr>
                  <w:tcW w:w="1340" w:type="dxa"/>
                </w:tcPr>
                <w:p w14:paraId="0445F634">
                  <w:pPr>
                    <w:spacing w:line="280" w:lineRule="exact"/>
                    <w:rPr>
                      <w:rFonts w:ascii="宋体" w:hAnsi="宋体" w:eastAsia="宋体" w:cs="宋体"/>
                      <w:color w:val="auto"/>
                      <w:highlight w:val="none"/>
                    </w:rPr>
                  </w:pPr>
                </w:p>
              </w:tc>
              <w:tc>
                <w:tcPr>
                  <w:tcW w:w="1440" w:type="dxa"/>
                </w:tcPr>
                <w:p w14:paraId="0B02E849">
                  <w:pPr>
                    <w:spacing w:line="280" w:lineRule="exact"/>
                    <w:rPr>
                      <w:rFonts w:ascii="宋体" w:hAnsi="宋体" w:eastAsia="宋体" w:cs="宋体"/>
                      <w:color w:val="auto"/>
                      <w:highlight w:val="none"/>
                    </w:rPr>
                  </w:pPr>
                </w:p>
              </w:tc>
              <w:tc>
                <w:tcPr>
                  <w:tcW w:w="1260" w:type="dxa"/>
                </w:tcPr>
                <w:p w14:paraId="0995DF43">
                  <w:pPr>
                    <w:spacing w:line="280" w:lineRule="exact"/>
                    <w:rPr>
                      <w:rFonts w:ascii="宋体" w:hAnsi="宋体" w:eastAsia="宋体" w:cs="宋体"/>
                      <w:color w:val="auto"/>
                      <w:highlight w:val="none"/>
                    </w:rPr>
                  </w:pPr>
                </w:p>
              </w:tc>
              <w:tc>
                <w:tcPr>
                  <w:tcW w:w="931" w:type="dxa"/>
                </w:tcPr>
                <w:p w14:paraId="55A2BD4B">
                  <w:pPr>
                    <w:spacing w:line="280" w:lineRule="exact"/>
                    <w:rPr>
                      <w:rFonts w:ascii="宋体" w:hAnsi="宋体" w:eastAsia="宋体" w:cs="宋体"/>
                      <w:color w:val="auto"/>
                      <w:highlight w:val="none"/>
                    </w:rPr>
                  </w:pPr>
                </w:p>
              </w:tc>
            </w:tr>
            <w:tr w14:paraId="0154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F9CD1C">
                  <w:pPr>
                    <w:spacing w:line="280" w:lineRule="exact"/>
                    <w:jc w:val="center"/>
                    <w:rPr>
                      <w:rFonts w:ascii="宋体" w:hAnsi="宋体" w:eastAsia="宋体" w:cs="宋体"/>
                      <w:color w:val="auto"/>
                      <w:highlight w:val="none"/>
                    </w:rPr>
                  </w:pPr>
                </w:p>
              </w:tc>
              <w:tc>
                <w:tcPr>
                  <w:tcW w:w="3340" w:type="dxa"/>
                </w:tcPr>
                <w:p w14:paraId="463E8E27">
                  <w:pPr>
                    <w:spacing w:line="280" w:lineRule="exact"/>
                    <w:rPr>
                      <w:rFonts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tcPr>
                <w:p w14:paraId="68E0460F">
                  <w:pPr>
                    <w:spacing w:line="280" w:lineRule="exact"/>
                    <w:rPr>
                      <w:rFonts w:ascii="宋体" w:hAnsi="宋体" w:eastAsia="宋体" w:cs="宋体"/>
                      <w:color w:val="auto"/>
                      <w:highlight w:val="none"/>
                    </w:rPr>
                  </w:pPr>
                </w:p>
              </w:tc>
              <w:tc>
                <w:tcPr>
                  <w:tcW w:w="1440" w:type="dxa"/>
                </w:tcPr>
                <w:p w14:paraId="7EEC89C2">
                  <w:pPr>
                    <w:spacing w:line="280" w:lineRule="exact"/>
                    <w:rPr>
                      <w:rFonts w:ascii="宋体" w:hAnsi="宋体" w:eastAsia="宋体" w:cs="宋体"/>
                      <w:color w:val="auto"/>
                      <w:highlight w:val="none"/>
                    </w:rPr>
                  </w:pPr>
                </w:p>
              </w:tc>
              <w:tc>
                <w:tcPr>
                  <w:tcW w:w="1260" w:type="dxa"/>
                </w:tcPr>
                <w:p w14:paraId="536DCF49">
                  <w:pPr>
                    <w:spacing w:line="280" w:lineRule="exact"/>
                    <w:rPr>
                      <w:rFonts w:ascii="宋体" w:hAnsi="宋体" w:eastAsia="宋体" w:cs="宋体"/>
                      <w:color w:val="auto"/>
                      <w:highlight w:val="none"/>
                    </w:rPr>
                  </w:pPr>
                </w:p>
              </w:tc>
              <w:tc>
                <w:tcPr>
                  <w:tcW w:w="931" w:type="dxa"/>
                </w:tcPr>
                <w:p w14:paraId="36B60E71">
                  <w:pPr>
                    <w:spacing w:line="280" w:lineRule="exact"/>
                    <w:rPr>
                      <w:rFonts w:ascii="宋体" w:hAnsi="宋体" w:eastAsia="宋体" w:cs="宋体"/>
                      <w:color w:val="auto"/>
                      <w:highlight w:val="none"/>
                    </w:rPr>
                  </w:pPr>
                </w:p>
              </w:tc>
            </w:tr>
            <w:tr w14:paraId="124B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11FB52E">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340" w:type="dxa"/>
                </w:tcPr>
                <w:p w14:paraId="28767CA1">
                  <w:pPr>
                    <w:spacing w:line="280" w:lineRule="exact"/>
                    <w:rPr>
                      <w:rFonts w:ascii="宋体" w:hAnsi="宋体" w:eastAsia="宋体" w:cs="宋体"/>
                      <w:color w:val="auto"/>
                      <w:highlight w:val="none"/>
                    </w:rPr>
                  </w:pPr>
                  <w:r>
                    <w:rPr>
                      <w:rFonts w:hint="eastAsia" w:ascii="宋体" w:hAnsi="宋体" w:eastAsia="宋体" w:cs="宋体"/>
                      <w:color w:val="auto"/>
                      <w:highlight w:val="none"/>
                    </w:rPr>
                    <w:t>本周期应扣减的金额</w:t>
                  </w:r>
                </w:p>
              </w:tc>
              <w:tc>
                <w:tcPr>
                  <w:tcW w:w="1340" w:type="dxa"/>
                </w:tcPr>
                <w:p w14:paraId="64980670">
                  <w:pPr>
                    <w:spacing w:line="280" w:lineRule="exact"/>
                    <w:rPr>
                      <w:rFonts w:ascii="宋体" w:hAnsi="宋体" w:eastAsia="宋体" w:cs="宋体"/>
                      <w:color w:val="auto"/>
                      <w:highlight w:val="none"/>
                    </w:rPr>
                  </w:pPr>
                </w:p>
              </w:tc>
              <w:tc>
                <w:tcPr>
                  <w:tcW w:w="1440" w:type="dxa"/>
                </w:tcPr>
                <w:p w14:paraId="373BE5FF">
                  <w:pPr>
                    <w:spacing w:line="280" w:lineRule="exact"/>
                    <w:rPr>
                      <w:rFonts w:ascii="宋体" w:hAnsi="宋体" w:eastAsia="宋体" w:cs="宋体"/>
                      <w:color w:val="auto"/>
                      <w:highlight w:val="none"/>
                    </w:rPr>
                  </w:pPr>
                </w:p>
              </w:tc>
              <w:tc>
                <w:tcPr>
                  <w:tcW w:w="1260" w:type="dxa"/>
                </w:tcPr>
                <w:p w14:paraId="0FF327A1">
                  <w:pPr>
                    <w:spacing w:line="280" w:lineRule="exact"/>
                    <w:rPr>
                      <w:rFonts w:ascii="宋体" w:hAnsi="宋体" w:eastAsia="宋体" w:cs="宋体"/>
                      <w:color w:val="auto"/>
                      <w:highlight w:val="none"/>
                    </w:rPr>
                  </w:pPr>
                </w:p>
              </w:tc>
              <w:tc>
                <w:tcPr>
                  <w:tcW w:w="931" w:type="dxa"/>
                </w:tcPr>
                <w:p w14:paraId="7E44039B">
                  <w:pPr>
                    <w:spacing w:line="280" w:lineRule="exact"/>
                    <w:rPr>
                      <w:rFonts w:ascii="宋体" w:hAnsi="宋体" w:eastAsia="宋体" w:cs="宋体"/>
                      <w:color w:val="auto"/>
                      <w:highlight w:val="none"/>
                    </w:rPr>
                  </w:pPr>
                </w:p>
              </w:tc>
            </w:tr>
            <w:tr w14:paraId="39D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ECABD07">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4.1</w:t>
                  </w:r>
                </w:p>
              </w:tc>
              <w:tc>
                <w:tcPr>
                  <w:tcW w:w="3340" w:type="dxa"/>
                </w:tcPr>
                <w:p w14:paraId="72C29AFE">
                  <w:pPr>
                    <w:spacing w:line="280" w:lineRule="exact"/>
                    <w:rPr>
                      <w:rFonts w:ascii="宋体" w:hAnsi="宋体" w:eastAsia="宋体" w:cs="宋体"/>
                      <w:color w:val="auto"/>
                      <w:highlight w:val="none"/>
                    </w:rPr>
                  </w:pPr>
                  <w:r>
                    <w:rPr>
                      <w:rFonts w:hint="eastAsia" w:ascii="宋体" w:hAnsi="宋体" w:eastAsia="宋体" w:cs="宋体"/>
                      <w:color w:val="auto"/>
                      <w:highlight w:val="none"/>
                    </w:rPr>
                    <w:t>本周期实际应抵扣的预付款</w:t>
                  </w:r>
                </w:p>
              </w:tc>
              <w:tc>
                <w:tcPr>
                  <w:tcW w:w="1340" w:type="dxa"/>
                </w:tcPr>
                <w:p w14:paraId="2EC10061">
                  <w:pPr>
                    <w:spacing w:line="280" w:lineRule="exact"/>
                    <w:rPr>
                      <w:rFonts w:ascii="宋体" w:hAnsi="宋体" w:eastAsia="宋体" w:cs="宋体"/>
                      <w:color w:val="auto"/>
                      <w:highlight w:val="none"/>
                    </w:rPr>
                  </w:pPr>
                </w:p>
              </w:tc>
              <w:tc>
                <w:tcPr>
                  <w:tcW w:w="1440" w:type="dxa"/>
                </w:tcPr>
                <w:p w14:paraId="3D3857B0">
                  <w:pPr>
                    <w:spacing w:line="280" w:lineRule="exact"/>
                    <w:rPr>
                      <w:rFonts w:ascii="宋体" w:hAnsi="宋体" w:eastAsia="宋体" w:cs="宋体"/>
                      <w:color w:val="auto"/>
                      <w:highlight w:val="none"/>
                    </w:rPr>
                  </w:pPr>
                </w:p>
              </w:tc>
              <w:tc>
                <w:tcPr>
                  <w:tcW w:w="1260" w:type="dxa"/>
                </w:tcPr>
                <w:p w14:paraId="3588DB99">
                  <w:pPr>
                    <w:spacing w:line="280" w:lineRule="exact"/>
                    <w:rPr>
                      <w:rFonts w:ascii="宋体" w:hAnsi="宋体" w:eastAsia="宋体" w:cs="宋体"/>
                      <w:color w:val="auto"/>
                      <w:highlight w:val="none"/>
                    </w:rPr>
                  </w:pPr>
                </w:p>
              </w:tc>
              <w:tc>
                <w:tcPr>
                  <w:tcW w:w="931" w:type="dxa"/>
                </w:tcPr>
                <w:p w14:paraId="5E5D3C32">
                  <w:pPr>
                    <w:spacing w:line="280" w:lineRule="exact"/>
                    <w:rPr>
                      <w:rFonts w:ascii="宋体" w:hAnsi="宋体" w:eastAsia="宋体" w:cs="宋体"/>
                      <w:color w:val="auto"/>
                      <w:highlight w:val="none"/>
                    </w:rPr>
                  </w:pPr>
                </w:p>
              </w:tc>
            </w:tr>
            <w:tr w14:paraId="5835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83A5DF1">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4.2</w:t>
                  </w:r>
                </w:p>
              </w:tc>
              <w:tc>
                <w:tcPr>
                  <w:tcW w:w="3340" w:type="dxa"/>
                </w:tcPr>
                <w:p w14:paraId="6232A4BD">
                  <w:pPr>
                    <w:spacing w:line="280" w:lineRule="exact"/>
                    <w:rPr>
                      <w:rFonts w:ascii="宋体" w:hAnsi="宋体" w:eastAsia="宋体" w:cs="宋体"/>
                      <w:color w:val="auto"/>
                      <w:highlight w:val="none"/>
                    </w:rPr>
                  </w:pPr>
                  <w:r>
                    <w:rPr>
                      <w:rFonts w:hint="eastAsia" w:ascii="宋体" w:hAnsi="宋体" w:eastAsia="宋体" w:cs="宋体"/>
                      <w:color w:val="auto"/>
                      <w:highlight w:val="none"/>
                    </w:rPr>
                    <w:t>本周期应扣减的金额</w:t>
                  </w:r>
                </w:p>
              </w:tc>
              <w:tc>
                <w:tcPr>
                  <w:tcW w:w="1340" w:type="dxa"/>
                </w:tcPr>
                <w:p w14:paraId="4BE6DDB9">
                  <w:pPr>
                    <w:spacing w:line="280" w:lineRule="exact"/>
                    <w:rPr>
                      <w:rFonts w:ascii="宋体" w:hAnsi="宋体" w:eastAsia="宋体" w:cs="宋体"/>
                      <w:color w:val="auto"/>
                      <w:highlight w:val="none"/>
                    </w:rPr>
                  </w:pPr>
                </w:p>
              </w:tc>
              <w:tc>
                <w:tcPr>
                  <w:tcW w:w="1440" w:type="dxa"/>
                </w:tcPr>
                <w:p w14:paraId="72D4CDBB">
                  <w:pPr>
                    <w:spacing w:line="280" w:lineRule="exact"/>
                    <w:rPr>
                      <w:rFonts w:ascii="宋体" w:hAnsi="宋体" w:eastAsia="宋体" w:cs="宋体"/>
                      <w:color w:val="auto"/>
                      <w:highlight w:val="none"/>
                    </w:rPr>
                  </w:pPr>
                </w:p>
              </w:tc>
              <w:tc>
                <w:tcPr>
                  <w:tcW w:w="1260" w:type="dxa"/>
                </w:tcPr>
                <w:p w14:paraId="68E582BB">
                  <w:pPr>
                    <w:spacing w:line="280" w:lineRule="exact"/>
                    <w:rPr>
                      <w:rFonts w:ascii="宋体" w:hAnsi="宋体" w:eastAsia="宋体" w:cs="宋体"/>
                      <w:color w:val="auto"/>
                      <w:highlight w:val="none"/>
                    </w:rPr>
                  </w:pPr>
                </w:p>
              </w:tc>
              <w:tc>
                <w:tcPr>
                  <w:tcW w:w="931" w:type="dxa"/>
                </w:tcPr>
                <w:p w14:paraId="47D52D41">
                  <w:pPr>
                    <w:spacing w:line="280" w:lineRule="exact"/>
                    <w:rPr>
                      <w:rFonts w:ascii="宋体" w:hAnsi="宋体" w:eastAsia="宋体" w:cs="宋体"/>
                      <w:color w:val="auto"/>
                      <w:highlight w:val="none"/>
                    </w:rPr>
                  </w:pPr>
                </w:p>
              </w:tc>
            </w:tr>
            <w:tr w14:paraId="16FE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86A82E9">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3340" w:type="dxa"/>
                </w:tcPr>
                <w:p w14:paraId="192CE130">
                  <w:pPr>
                    <w:spacing w:line="280" w:lineRule="exact"/>
                    <w:rPr>
                      <w:rFonts w:ascii="宋体" w:hAnsi="宋体" w:eastAsia="宋体" w:cs="宋体"/>
                      <w:color w:val="auto"/>
                      <w:highlight w:val="none"/>
                    </w:rPr>
                  </w:pPr>
                  <w:r>
                    <w:rPr>
                      <w:rFonts w:hint="eastAsia" w:ascii="宋体" w:hAnsi="宋体" w:eastAsia="宋体" w:cs="宋体"/>
                      <w:color w:val="auto"/>
                      <w:highlight w:val="none"/>
                    </w:rPr>
                    <w:t>本周期应支付的合同价款</w:t>
                  </w:r>
                </w:p>
              </w:tc>
              <w:tc>
                <w:tcPr>
                  <w:tcW w:w="1340" w:type="dxa"/>
                </w:tcPr>
                <w:p w14:paraId="69C7BF48">
                  <w:pPr>
                    <w:spacing w:line="280" w:lineRule="exact"/>
                    <w:rPr>
                      <w:rFonts w:ascii="宋体" w:hAnsi="宋体" w:eastAsia="宋体" w:cs="宋体"/>
                      <w:color w:val="auto"/>
                      <w:highlight w:val="none"/>
                    </w:rPr>
                  </w:pPr>
                </w:p>
              </w:tc>
              <w:tc>
                <w:tcPr>
                  <w:tcW w:w="1440" w:type="dxa"/>
                </w:tcPr>
                <w:p w14:paraId="2F022CFC">
                  <w:pPr>
                    <w:spacing w:line="280" w:lineRule="exact"/>
                    <w:rPr>
                      <w:rFonts w:ascii="宋体" w:hAnsi="宋体" w:eastAsia="宋体" w:cs="宋体"/>
                      <w:color w:val="auto"/>
                      <w:highlight w:val="none"/>
                    </w:rPr>
                  </w:pPr>
                </w:p>
              </w:tc>
              <w:tc>
                <w:tcPr>
                  <w:tcW w:w="1260" w:type="dxa"/>
                </w:tcPr>
                <w:p w14:paraId="018494BF">
                  <w:pPr>
                    <w:spacing w:line="280" w:lineRule="exact"/>
                    <w:rPr>
                      <w:rFonts w:ascii="宋体" w:hAnsi="宋体" w:eastAsia="宋体" w:cs="宋体"/>
                      <w:color w:val="auto"/>
                      <w:highlight w:val="none"/>
                    </w:rPr>
                  </w:pPr>
                </w:p>
              </w:tc>
              <w:tc>
                <w:tcPr>
                  <w:tcW w:w="931" w:type="dxa"/>
                </w:tcPr>
                <w:p w14:paraId="564B04A7">
                  <w:pPr>
                    <w:spacing w:line="280" w:lineRule="exact"/>
                    <w:rPr>
                      <w:rFonts w:ascii="宋体" w:hAnsi="宋体" w:eastAsia="宋体" w:cs="宋体"/>
                      <w:color w:val="auto"/>
                      <w:highlight w:val="none"/>
                    </w:rPr>
                  </w:pPr>
                </w:p>
              </w:tc>
            </w:tr>
            <w:tr w14:paraId="339C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9B7316D">
                  <w:pPr>
                    <w:spacing w:line="280" w:lineRule="exact"/>
                    <w:jc w:val="center"/>
                    <w:rPr>
                      <w:rFonts w:ascii="宋体" w:hAnsi="宋体" w:eastAsia="宋体" w:cs="宋体"/>
                      <w:color w:val="auto"/>
                      <w:highlight w:val="none"/>
                    </w:rPr>
                  </w:pPr>
                </w:p>
              </w:tc>
              <w:tc>
                <w:tcPr>
                  <w:tcW w:w="3340" w:type="dxa"/>
                </w:tcPr>
                <w:p w14:paraId="43F000DC">
                  <w:pPr>
                    <w:spacing w:line="280" w:lineRule="exact"/>
                    <w:rPr>
                      <w:rFonts w:ascii="宋体" w:hAnsi="宋体" w:eastAsia="宋体" w:cs="宋体"/>
                      <w:color w:val="auto"/>
                      <w:highlight w:val="none"/>
                    </w:rPr>
                  </w:pPr>
                  <w:r>
                    <w:rPr>
                      <w:rFonts w:hint="eastAsia" w:ascii="宋体" w:hAnsi="宋体" w:eastAsia="宋体" w:cs="宋体"/>
                      <w:color w:val="auto"/>
                      <w:highlight w:val="none"/>
                    </w:rPr>
                    <w:t>其中：人工费</w:t>
                  </w:r>
                </w:p>
              </w:tc>
              <w:tc>
                <w:tcPr>
                  <w:tcW w:w="1340" w:type="dxa"/>
                </w:tcPr>
                <w:p w14:paraId="695DBEBA">
                  <w:pPr>
                    <w:spacing w:line="280" w:lineRule="exact"/>
                    <w:rPr>
                      <w:rFonts w:ascii="宋体" w:hAnsi="宋体" w:eastAsia="宋体" w:cs="宋体"/>
                      <w:color w:val="auto"/>
                      <w:highlight w:val="none"/>
                    </w:rPr>
                  </w:pPr>
                </w:p>
              </w:tc>
              <w:tc>
                <w:tcPr>
                  <w:tcW w:w="1440" w:type="dxa"/>
                </w:tcPr>
                <w:p w14:paraId="4C6AD85C">
                  <w:pPr>
                    <w:spacing w:line="280" w:lineRule="exact"/>
                    <w:rPr>
                      <w:rFonts w:ascii="宋体" w:hAnsi="宋体" w:eastAsia="宋体" w:cs="宋体"/>
                      <w:color w:val="auto"/>
                      <w:highlight w:val="none"/>
                    </w:rPr>
                  </w:pPr>
                </w:p>
              </w:tc>
              <w:tc>
                <w:tcPr>
                  <w:tcW w:w="1260" w:type="dxa"/>
                </w:tcPr>
                <w:p w14:paraId="39FB25C0">
                  <w:pPr>
                    <w:spacing w:line="280" w:lineRule="exact"/>
                    <w:rPr>
                      <w:rFonts w:ascii="宋体" w:hAnsi="宋体" w:eastAsia="宋体" w:cs="宋体"/>
                      <w:color w:val="auto"/>
                      <w:highlight w:val="none"/>
                    </w:rPr>
                  </w:pPr>
                </w:p>
              </w:tc>
              <w:tc>
                <w:tcPr>
                  <w:tcW w:w="931" w:type="dxa"/>
                </w:tcPr>
                <w:p w14:paraId="72E418E7">
                  <w:pPr>
                    <w:spacing w:line="280" w:lineRule="exact"/>
                    <w:rPr>
                      <w:rFonts w:ascii="宋体" w:hAnsi="宋体" w:eastAsia="宋体" w:cs="宋体"/>
                      <w:color w:val="auto"/>
                      <w:highlight w:val="none"/>
                    </w:rPr>
                  </w:pPr>
                </w:p>
              </w:tc>
            </w:tr>
          </w:tbl>
          <w:p w14:paraId="0F55F860">
            <w:pPr>
              <w:wordWrap w:val="0"/>
              <w:spacing w:line="400" w:lineRule="exact"/>
              <w:ind w:right="420"/>
              <w:rPr>
                <w:rFonts w:ascii="宋体" w:hAnsi="宋体" w:eastAsia="宋体" w:cs="宋体"/>
                <w:color w:val="auto"/>
                <w:highlight w:val="none"/>
              </w:rPr>
            </w:pPr>
            <w:r>
              <w:rPr>
                <w:rFonts w:hint="eastAsia" w:ascii="宋体" w:hAnsi="宋体" w:eastAsia="宋体" w:cs="宋体"/>
                <w:color w:val="auto"/>
                <w:highlight w:val="none"/>
              </w:rPr>
              <w:t>附：上述3、4详见附件清单。</w:t>
            </w:r>
          </w:p>
          <w:p w14:paraId="70262CED">
            <w:pPr>
              <w:wordWrap w:val="0"/>
              <w:spacing w:line="400" w:lineRule="exact"/>
              <w:ind w:right="420"/>
              <w:rPr>
                <w:rFonts w:ascii="宋体" w:hAnsi="宋体" w:eastAsia="宋体" w:cs="宋体"/>
                <w:color w:val="auto"/>
                <w:highlight w:val="none"/>
              </w:rPr>
            </w:pPr>
            <w:r>
              <w:rPr>
                <w:rFonts w:hint="eastAsia" w:ascii="宋体" w:hAnsi="宋体" w:eastAsia="宋体" w:cs="宋体"/>
                <w:color w:val="auto"/>
                <w:highlight w:val="none"/>
              </w:rPr>
              <w:t xml:space="preserve">                                            承包人（章）             </w:t>
            </w:r>
          </w:p>
          <w:p w14:paraId="039666D4">
            <w:pPr>
              <w:spacing w:line="400" w:lineRule="exact"/>
              <w:ind w:right="420" w:firstLine="435"/>
              <w:rPr>
                <w:rFonts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79F9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08A95F61">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64BCCA0D">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39A04F4E">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560F4378">
            <w:pPr>
              <w:spacing w:line="360" w:lineRule="exact"/>
              <w:ind w:firstLine="435"/>
              <w:jc w:val="right"/>
              <w:rPr>
                <w:rFonts w:ascii="宋体" w:hAnsi="宋体" w:eastAsia="宋体" w:cs="宋体"/>
                <w:color w:val="auto"/>
                <w:highlight w:val="none"/>
              </w:rPr>
            </w:pPr>
          </w:p>
          <w:p w14:paraId="229C2E29">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5CA38D05">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552" w:type="dxa"/>
          </w:tcPr>
          <w:p w14:paraId="0965E684">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2549066F">
            <w:pPr>
              <w:spacing w:line="360" w:lineRule="exact"/>
              <w:ind w:firstLine="435"/>
              <w:rPr>
                <w:rFonts w:ascii="宋体" w:hAnsi="宋体" w:eastAsia="宋体" w:cs="宋体"/>
                <w:color w:val="auto"/>
                <w:highlight w:val="none"/>
              </w:rPr>
            </w:pPr>
            <w:r>
              <w:rPr>
                <w:rFonts w:hint="eastAsia" w:ascii="宋体" w:hAnsi="宋体" w:eastAsia="宋体" w:cs="宋体"/>
                <w:color w:val="auto"/>
                <w:highlight w:val="none"/>
              </w:rPr>
              <w:t>你方提出的支付申请经复核，本周期已完成工程价款为(大写)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p>
          <w:p w14:paraId="7D8897CD">
            <w:pPr>
              <w:spacing w:line="360" w:lineRule="exact"/>
              <w:rPr>
                <w:rFonts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元，本期间应支付金额为（大写）</w:t>
            </w:r>
          </w:p>
          <w:p w14:paraId="7C349E9C">
            <w:pPr>
              <w:spacing w:line="360" w:lineRule="exact"/>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9B5D2B7">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1F617CB1">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76A1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6C1907E7">
            <w:pPr>
              <w:spacing w:line="400" w:lineRule="exact"/>
              <w:rPr>
                <w:rFonts w:ascii="宋体" w:hAnsi="宋体" w:eastAsia="宋体" w:cs="宋体"/>
                <w:color w:val="auto"/>
                <w:highlight w:val="none"/>
              </w:rPr>
            </w:pPr>
            <w:r>
              <w:rPr>
                <w:rFonts w:hint="eastAsia" w:ascii="宋体" w:hAnsi="宋体" w:eastAsia="宋体" w:cs="宋体"/>
                <w:color w:val="auto"/>
                <w:highlight w:val="none"/>
              </w:rPr>
              <w:t>审核意见：</w:t>
            </w:r>
          </w:p>
          <w:p w14:paraId="17510828">
            <w:pPr>
              <w:spacing w:line="400" w:lineRule="exact"/>
              <w:ind w:firstLine="435"/>
              <w:rPr>
                <w:rFonts w:ascii="宋体" w:hAnsi="宋体" w:eastAsia="宋体" w:cs="宋体"/>
                <w:color w:val="auto"/>
                <w:highlight w:val="none"/>
              </w:rPr>
            </w:pPr>
            <w:r>
              <w:rPr>
                <w:rFonts w:hint="eastAsia" w:ascii="宋体" w:hAnsi="宋体" w:eastAsia="宋体" w:cs="宋体"/>
                <w:color w:val="auto"/>
                <w:highlight w:val="none"/>
              </w:rPr>
              <w:t>□不同意。</w:t>
            </w:r>
          </w:p>
          <w:p w14:paraId="1AB294EA">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50079931">
            <w:pPr>
              <w:wordWrap w:val="0"/>
              <w:spacing w:line="400" w:lineRule="exact"/>
              <w:ind w:firstLine="420" w:firstLineChars="200"/>
              <w:jc w:val="right"/>
              <w:rPr>
                <w:rFonts w:ascii="宋体" w:hAnsi="宋体" w:eastAsia="宋体" w:cs="宋体"/>
                <w:color w:val="auto"/>
                <w:highlight w:val="none"/>
              </w:rPr>
            </w:pPr>
            <w:r>
              <w:rPr>
                <w:rFonts w:hint="eastAsia" w:ascii="宋体" w:hAnsi="宋体" w:eastAsia="宋体" w:cs="宋体"/>
                <w:color w:val="auto"/>
                <w:highlight w:val="none"/>
              </w:rPr>
              <w:t xml:space="preserve">发包人（章）           </w:t>
            </w:r>
          </w:p>
          <w:p w14:paraId="4E8CD1E1">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0B5C7FDB">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32003B38">
      <w:pPr>
        <w:spacing w:before="120" w:beforeLines="50"/>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4DECA816">
      <w:pPr>
        <w:spacing w:before="120" w:beforeLines="50"/>
        <w:ind w:left="720" w:hanging="720" w:hangingChars="4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0AF93E8B">
      <w:pPr>
        <w:spacing w:before="120" w:beforeLines="50"/>
        <w:ind w:left="840" w:hanging="840" w:hangingChars="400"/>
        <w:rPr>
          <w:rFonts w:ascii="宋体" w:hAnsi="宋体" w:eastAsia="宋体" w:cs="宋体"/>
          <w:color w:val="auto"/>
          <w:highlight w:val="none"/>
        </w:rPr>
      </w:pPr>
    </w:p>
    <w:p w14:paraId="16E11937">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附件12</w:t>
      </w:r>
    </w:p>
    <w:p w14:paraId="549107BB">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竣工结算款支付申请（核准）表</w:t>
      </w:r>
    </w:p>
    <w:p w14:paraId="5AE265FA">
      <w:pPr>
        <w:rPr>
          <w:rFonts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5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43AB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3A6F07E1">
            <w:pPr>
              <w:spacing w:line="480" w:lineRule="exact"/>
              <w:ind w:left="525" w:leftChars="149" w:hanging="212" w:hangingChars="101"/>
              <w:rPr>
                <w:rFonts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508E1755">
            <w:pPr>
              <w:spacing w:line="400" w:lineRule="exact"/>
              <w:ind w:left="-4" w:leftChars="-2" w:firstLine="315" w:firstLineChars="150"/>
              <w:rPr>
                <w:rFonts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期间已完成了合同约定的工作，根据施工合同的约定，现申请支付竣工结算的工程款额为(大写)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256F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7621F47D">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420" w:type="dxa"/>
                  <w:vAlign w:val="center"/>
                </w:tcPr>
                <w:p w14:paraId="0FAD4CBC">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名      称</w:t>
                  </w:r>
                </w:p>
              </w:tc>
              <w:tc>
                <w:tcPr>
                  <w:tcW w:w="1620" w:type="dxa"/>
                  <w:vAlign w:val="center"/>
                </w:tcPr>
                <w:p w14:paraId="06657C60">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申请金额（元）</w:t>
                  </w:r>
                </w:p>
              </w:tc>
              <w:tc>
                <w:tcPr>
                  <w:tcW w:w="1620" w:type="dxa"/>
                  <w:vAlign w:val="center"/>
                </w:tcPr>
                <w:p w14:paraId="7E612B90">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复核金额（元）</w:t>
                  </w:r>
                </w:p>
              </w:tc>
              <w:tc>
                <w:tcPr>
                  <w:tcW w:w="1651" w:type="dxa"/>
                  <w:vAlign w:val="center"/>
                </w:tcPr>
                <w:p w14:paraId="70D13875">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2D84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EC4A03E">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420" w:type="dxa"/>
                </w:tcPr>
                <w:p w14:paraId="68445452">
                  <w:pPr>
                    <w:spacing w:line="280" w:lineRule="exact"/>
                    <w:rPr>
                      <w:rFonts w:ascii="宋体" w:hAnsi="宋体" w:eastAsia="宋体" w:cs="宋体"/>
                      <w:color w:val="auto"/>
                      <w:highlight w:val="none"/>
                    </w:rPr>
                  </w:pPr>
                  <w:r>
                    <w:rPr>
                      <w:rFonts w:hint="eastAsia" w:ascii="宋体" w:hAnsi="宋体" w:eastAsia="宋体" w:cs="宋体"/>
                      <w:color w:val="auto"/>
                      <w:highlight w:val="none"/>
                    </w:rPr>
                    <w:t>竣工结算合同价款总额</w:t>
                  </w:r>
                </w:p>
              </w:tc>
              <w:tc>
                <w:tcPr>
                  <w:tcW w:w="1620" w:type="dxa"/>
                </w:tcPr>
                <w:p w14:paraId="2063B9EA">
                  <w:pPr>
                    <w:spacing w:line="280" w:lineRule="exact"/>
                    <w:rPr>
                      <w:rFonts w:ascii="宋体" w:hAnsi="宋体" w:eastAsia="宋体" w:cs="宋体"/>
                      <w:color w:val="auto"/>
                      <w:highlight w:val="none"/>
                    </w:rPr>
                  </w:pPr>
                </w:p>
              </w:tc>
              <w:tc>
                <w:tcPr>
                  <w:tcW w:w="1620" w:type="dxa"/>
                </w:tcPr>
                <w:p w14:paraId="2CDFFD9B">
                  <w:pPr>
                    <w:spacing w:line="280" w:lineRule="exact"/>
                    <w:rPr>
                      <w:rFonts w:ascii="宋体" w:hAnsi="宋体" w:eastAsia="宋体" w:cs="宋体"/>
                      <w:color w:val="auto"/>
                      <w:highlight w:val="none"/>
                    </w:rPr>
                  </w:pPr>
                </w:p>
              </w:tc>
              <w:tc>
                <w:tcPr>
                  <w:tcW w:w="1651" w:type="dxa"/>
                </w:tcPr>
                <w:p w14:paraId="2810F49C">
                  <w:pPr>
                    <w:spacing w:line="280" w:lineRule="exact"/>
                    <w:rPr>
                      <w:rFonts w:ascii="宋体" w:hAnsi="宋体" w:eastAsia="宋体" w:cs="宋体"/>
                      <w:color w:val="auto"/>
                      <w:highlight w:val="none"/>
                    </w:rPr>
                  </w:pPr>
                </w:p>
              </w:tc>
            </w:tr>
            <w:tr w14:paraId="1D78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80F362C">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420" w:type="dxa"/>
                </w:tcPr>
                <w:p w14:paraId="5A9E263A">
                  <w:pPr>
                    <w:spacing w:line="280" w:lineRule="exact"/>
                    <w:rPr>
                      <w:rFonts w:ascii="宋体" w:hAnsi="宋体" w:eastAsia="宋体" w:cs="宋体"/>
                      <w:color w:val="auto"/>
                      <w:highlight w:val="none"/>
                    </w:rPr>
                  </w:pPr>
                  <w:r>
                    <w:rPr>
                      <w:rFonts w:hint="eastAsia" w:ascii="宋体" w:hAnsi="宋体" w:eastAsia="宋体" w:cs="宋体"/>
                      <w:color w:val="auto"/>
                      <w:highlight w:val="none"/>
                    </w:rPr>
                    <w:t>累计已实际支付的合同价款</w:t>
                  </w:r>
                </w:p>
              </w:tc>
              <w:tc>
                <w:tcPr>
                  <w:tcW w:w="1620" w:type="dxa"/>
                </w:tcPr>
                <w:p w14:paraId="002D5CA9">
                  <w:pPr>
                    <w:spacing w:line="280" w:lineRule="exact"/>
                    <w:rPr>
                      <w:rFonts w:ascii="宋体" w:hAnsi="宋体" w:eastAsia="宋体" w:cs="宋体"/>
                      <w:color w:val="auto"/>
                      <w:highlight w:val="none"/>
                    </w:rPr>
                  </w:pPr>
                </w:p>
              </w:tc>
              <w:tc>
                <w:tcPr>
                  <w:tcW w:w="1620" w:type="dxa"/>
                </w:tcPr>
                <w:p w14:paraId="67486DD9">
                  <w:pPr>
                    <w:spacing w:line="280" w:lineRule="exact"/>
                    <w:rPr>
                      <w:rFonts w:ascii="宋体" w:hAnsi="宋体" w:eastAsia="宋体" w:cs="宋体"/>
                      <w:color w:val="auto"/>
                      <w:highlight w:val="none"/>
                    </w:rPr>
                  </w:pPr>
                </w:p>
              </w:tc>
              <w:tc>
                <w:tcPr>
                  <w:tcW w:w="1651" w:type="dxa"/>
                </w:tcPr>
                <w:p w14:paraId="60AB0F59">
                  <w:pPr>
                    <w:spacing w:line="280" w:lineRule="exact"/>
                    <w:rPr>
                      <w:rFonts w:ascii="宋体" w:hAnsi="宋体" w:eastAsia="宋体" w:cs="宋体"/>
                      <w:color w:val="auto"/>
                      <w:highlight w:val="none"/>
                    </w:rPr>
                  </w:pPr>
                </w:p>
              </w:tc>
            </w:tr>
            <w:tr w14:paraId="634E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B519B8A">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420" w:type="dxa"/>
                </w:tcPr>
                <w:p w14:paraId="44C8DD0B">
                  <w:pPr>
                    <w:spacing w:line="280" w:lineRule="exact"/>
                    <w:rPr>
                      <w:rFonts w:ascii="宋体" w:hAnsi="宋体" w:eastAsia="宋体" w:cs="宋体"/>
                      <w:color w:val="auto"/>
                      <w:highlight w:val="none"/>
                    </w:rPr>
                  </w:pPr>
                  <w:r>
                    <w:rPr>
                      <w:rFonts w:hint="eastAsia" w:ascii="宋体" w:hAnsi="宋体" w:eastAsia="宋体" w:cs="宋体"/>
                      <w:color w:val="auto"/>
                      <w:highlight w:val="none"/>
                    </w:rPr>
                    <w:t>应预留的质量保证金</w:t>
                  </w:r>
                </w:p>
              </w:tc>
              <w:tc>
                <w:tcPr>
                  <w:tcW w:w="1620" w:type="dxa"/>
                </w:tcPr>
                <w:p w14:paraId="68D4B5A7">
                  <w:pPr>
                    <w:spacing w:line="280" w:lineRule="exact"/>
                    <w:rPr>
                      <w:rFonts w:ascii="宋体" w:hAnsi="宋体" w:eastAsia="宋体" w:cs="宋体"/>
                      <w:color w:val="auto"/>
                      <w:highlight w:val="none"/>
                    </w:rPr>
                  </w:pPr>
                </w:p>
              </w:tc>
              <w:tc>
                <w:tcPr>
                  <w:tcW w:w="1620" w:type="dxa"/>
                </w:tcPr>
                <w:p w14:paraId="4349AC86">
                  <w:pPr>
                    <w:spacing w:line="280" w:lineRule="exact"/>
                    <w:rPr>
                      <w:rFonts w:ascii="宋体" w:hAnsi="宋体" w:eastAsia="宋体" w:cs="宋体"/>
                      <w:color w:val="auto"/>
                      <w:highlight w:val="none"/>
                    </w:rPr>
                  </w:pPr>
                </w:p>
              </w:tc>
              <w:tc>
                <w:tcPr>
                  <w:tcW w:w="1651" w:type="dxa"/>
                </w:tcPr>
                <w:p w14:paraId="7C6C56E2">
                  <w:pPr>
                    <w:spacing w:line="280" w:lineRule="exact"/>
                    <w:rPr>
                      <w:rFonts w:ascii="宋体" w:hAnsi="宋体" w:eastAsia="宋体" w:cs="宋体"/>
                      <w:color w:val="auto"/>
                      <w:highlight w:val="none"/>
                    </w:rPr>
                  </w:pPr>
                </w:p>
              </w:tc>
            </w:tr>
            <w:tr w14:paraId="412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7C300F2">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420" w:type="dxa"/>
                </w:tcPr>
                <w:p w14:paraId="1F082313">
                  <w:pPr>
                    <w:spacing w:line="280" w:lineRule="exact"/>
                    <w:rPr>
                      <w:rFonts w:ascii="宋体" w:hAnsi="宋体" w:eastAsia="宋体" w:cs="宋体"/>
                      <w:color w:val="auto"/>
                      <w:highlight w:val="none"/>
                    </w:rPr>
                  </w:pPr>
                  <w:r>
                    <w:rPr>
                      <w:rFonts w:hint="eastAsia" w:ascii="宋体" w:hAnsi="宋体" w:eastAsia="宋体" w:cs="宋体"/>
                      <w:color w:val="auto"/>
                      <w:highlight w:val="none"/>
                    </w:rPr>
                    <w:t>应支付的竣工结算款金额</w:t>
                  </w:r>
                </w:p>
              </w:tc>
              <w:tc>
                <w:tcPr>
                  <w:tcW w:w="1620" w:type="dxa"/>
                </w:tcPr>
                <w:p w14:paraId="16365D9B">
                  <w:pPr>
                    <w:spacing w:line="280" w:lineRule="exact"/>
                    <w:rPr>
                      <w:rFonts w:ascii="宋体" w:hAnsi="宋体" w:eastAsia="宋体" w:cs="宋体"/>
                      <w:color w:val="auto"/>
                      <w:highlight w:val="none"/>
                    </w:rPr>
                  </w:pPr>
                </w:p>
              </w:tc>
              <w:tc>
                <w:tcPr>
                  <w:tcW w:w="1620" w:type="dxa"/>
                </w:tcPr>
                <w:p w14:paraId="3EB1C4A5">
                  <w:pPr>
                    <w:spacing w:line="280" w:lineRule="exact"/>
                    <w:rPr>
                      <w:rFonts w:ascii="宋体" w:hAnsi="宋体" w:eastAsia="宋体" w:cs="宋体"/>
                      <w:color w:val="auto"/>
                      <w:highlight w:val="none"/>
                    </w:rPr>
                  </w:pPr>
                </w:p>
              </w:tc>
              <w:tc>
                <w:tcPr>
                  <w:tcW w:w="1651" w:type="dxa"/>
                </w:tcPr>
                <w:p w14:paraId="44D1D6C4">
                  <w:pPr>
                    <w:spacing w:line="280" w:lineRule="exact"/>
                    <w:rPr>
                      <w:rFonts w:ascii="宋体" w:hAnsi="宋体" w:eastAsia="宋体" w:cs="宋体"/>
                      <w:color w:val="auto"/>
                      <w:highlight w:val="none"/>
                    </w:rPr>
                  </w:pPr>
                </w:p>
              </w:tc>
            </w:tr>
            <w:tr w14:paraId="4C0B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C43CB09">
                  <w:pPr>
                    <w:spacing w:line="280" w:lineRule="exact"/>
                    <w:jc w:val="center"/>
                    <w:rPr>
                      <w:rFonts w:ascii="宋体" w:hAnsi="宋体" w:eastAsia="宋体" w:cs="宋体"/>
                      <w:color w:val="auto"/>
                      <w:highlight w:val="none"/>
                    </w:rPr>
                  </w:pPr>
                </w:p>
              </w:tc>
              <w:tc>
                <w:tcPr>
                  <w:tcW w:w="3420" w:type="dxa"/>
                </w:tcPr>
                <w:p w14:paraId="2FD10B10">
                  <w:pPr>
                    <w:spacing w:line="280" w:lineRule="exact"/>
                    <w:rPr>
                      <w:rFonts w:ascii="宋体" w:hAnsi="宋体" w:eastAsia="宋体" w:cs="宋体"/>
                      <w:color w:val="auto"/>
                      <w:highlight w:val="none"/>
                    </w:rPr>
                  </w:pPr>
                </w:p>
              </w:tc>
              <w:tc>
                <w:tcPr>
                  <w:tcW w:w="1620" w:type="dxa"/>
                </w:tcPr>
                <w:p w14:paraId="01A222C8">
                  <w:pPr>
                    <w:spacing w:line="280" w:lineRule="exact"/>
                    <w:rPr>
                      <w:rFonts w:ascii="宋体" w:hAnsi="宋体" w:eastAsia="宋体" w:cs="宋体"/>
                      <w:color w:val="auto"/>
                      <w:highlight w:val="none"/>
                    </w:rPr>
                  </w:pPr>
                </w:p>
              </w:tc>
              <w:tc>
                <w:tcPr>
                  <w:tcW w:w="1620" w:type="dxa"/>
                </w:tcPr>
                <w:p w14:paraId="441D0E73">
                  <w:pPr>
                    <w:spacing w:line="280" w:lineRule="exact"/>
                    <w:rPr>
                      <w:rFonts w:ascii="宋体" w:hAnsi="宋体" w:eastAsia="宋体" w:cs="宋体"/>
                      <w:color w:val="auto"/>
                      <w:highlight w:val="none"/>
                    </w:rPr>
                  </w:pPr>
                </w:p>
              </w:tc>
              <w:tc>
                <w:tcPr>
                  <w:tcW w:w="1651" w:type="dxa"/>
                </w:tcPr>
                <w:p w14:paraId="29C029AC">
                  <w:pPr>
                    <w:spacing w:line="280" w:lineRule="exact"/>
                    <w:rPr>
                      <w:rFonts w:ascii="宋体" w:hAnsi="宋体" w:eastAsia="宋体" w:cs="宋体"/>
                      <w:color w:val="auto"/>
                      <w:highlight w:val="none"/>
                    </w:rPr>
                  </w:pPr>
                </w:p>
              </w:tc>
            </w:tr>
            <w:tr w14:paraId="2445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5D7CFB">
                  <w:pPr>
                    <w:spacing w:line="280" w:lineRule="exact"/>
                    <w:jc w:val="center"/>
                    <w:rPr>
                      <w:rFonts w:ascii="宋体" w:hAnsi="宋体" w:eastAsia="宋体" w:cs="宋体"/>
                      <w:color w:val="auto"/>
                      <w:highlight w:val="none"/>
                    </w:rPr>
                  </w:pPr>
                </w:p>
              </w:tc>
              <w:tc>
                <w:tcPr>
                  <w:tcW w:w="3420" w:type="dxa"/>
                </w:tcPr>
                <w:p w14:paraId="3690A9B0">
                  <w:pPr>
                    <w:spacing w:line="280" w:lineRule="exact"/>
                    <w:rPr>
                      <w:rFonts w:ascii="宋体" w:hAnsi="宋体" w:eastAsia="宋体" w:cs="宋体"/>
                      <w:color w:val="auto"/>
                      <w:highlight w:val="none"/>
                    </w:rPr>
                  </w:pPr>
                </w:p>
              </w:tc>
              <w:tc>
                <w:tcPr>
                  <w:tcW w:w="1620" w:type="dxa"/>
                </w:tcPr>
                <w:p w14:paraId="66CA8C31">
                  <w:pPr>
                    <w:spacing w:line="280" w:lineRule="exact"/>
                    <w:rPr>
                      <w:rFonts w:ascii="宋体" w:hAnsi="宋体" w:eastAsia="宋体" w:cs="宋体"/>
                      <w:color w:val="auto"/>
                      <w:highlight w:val="none"/>
                    </w:rPr>
                  </w:pPr>
                </w:p>
              </w:tc>
              <w:tc>
                <w:tcPr>
                  <w:tcW w:w="1620" w:type="dxa"/>
                </w:tcPr>
                <w:p w14:paraId="03712A0B">
                  <w:pPr>
                    <w:spacing w:line="280" w:lineRule="exact"/>
                    <w:rPr>
                      <w:rFonts w:ascii="宋体" w:hAnsi="宋体" w:eastAsia="宋体" w:cs="宋体"/>
                      <w:color w:val="auto"/>
                      <w:highlight w:val="none"/>
                    </w:rPr>
                  </w:pPr>
                </w:p>
              </w:tc>
              <w:tc>
                <w:tcPr>
                  <w:tcW w:w="1651" w:type="dxa"/>
                </w:tcPr>
                <w:p w14:paraId="27668D3D">
                  <w:pPr>
                    <w:spacing w:line="280" w:lineRule="exact"/>
                    <w:rPr>
                      <w:rFonts w:ascii="宋体" w:hAnsi="宋体" w:eastAsia="宋体" w:cs="宋体"/>
                      <w:color w:val="auto"/>
                      <w:highlight w:val="none"/>
                    </w:rPr>
                  </w:pPr>
                </w:p>
              </w:tc>
            </w:tr>
            <w:tr w14:paraId="2732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315CA8">
                  <w:pPr>
                    <w:spacing w:line="280" w:lineRule="exact"/>
                    <w:jc w:val="center"/>
                    <w:rPr>
                      <w:rFonts w:ascii="宋体" w:hAnsi="宋体" w:eastAsia="宋体" w:cs="宋体"/>
                      <w:color w:val="auto"/>
                      <w:highlight w:val="none"/>
                    </w:rPr>
                  </w:pPr>
                </w:p>
              </w:tc>
              <w:tc>
                <w:tcPr>
                  <w:tcW w:w="3420" w:type="dxa"/>
                </w:tcPr>
                <w:p w14:paraId="22BC4671">
                  <w:pPr>
                    <w:spacing w:line="280" w:lineRule="exact"/>
                    <w:rPr>
                      <w:rFonts w:ascii="宋体" w:hAnsi="宋体" w:eastAsia="宋体" w:cs="宋体"/>
                      <w:color w:val="auto"/>
                      <w:highlight w:val="none"/>
                    </w:rPr>
                  </w:pPr>
                </w:p>
              </w:tc>
              <w:tc>
                <w:tcPr>
                  <w:tcW w:w="1620" w:type="dxa"/>
                </w:tcPr>
                <w:p w14:paraId="2BE71360">
                  <w:pPr>
                    <w:spacing w:line="280" w:lineRule="exact"/>
                    <w:rPr>
                      <w:rFonts w:ascii="宋体" w:hAnsi="宋体" w:eastAsia="宋体" w:cs="宋体"/>
                      <w:color w:val="auto"/>
                      <w:highlight w:val="none"/>
                    </w:rPr>
                  </w:pPr>
                </w:p>
              </w:tc>
              <w:tc>
                <w:tcPr>
                  <w:tcW w:w="1620" w:type="dxa"/>
                </w:tcPr>
                <w:p w14:paraId="5ADF17CD">
                  <w:pPr>
                    <w:spacing w:line="280" w:lineRule="exact"/>
                    <w:rPr>
                      <w:rFonts w:ascii="宋体" w:hAnsi="宋体" w:eastAsia="宋体" w:cs="宋体"/>
                      <w:color w:val="auto"/>
                      <w:highlight w:val="none"/>
                    </w:rPr>
                  </w:pPr>
                </w:p>
              </w:tc>
              <w:tc>
                <w:tcPr>
                  <w:tcW w:w="1651" w:type="dxa"/>
                </w:tcPr>
                <w:p w14:paraId="3BA0E9B7">
                  <w:pPr>
                    <w:spacing w:line="280" w:lineRule="exact"/>
                    <w:rPr>
                      <w:rFonts w:ascii="宋体" w:hAnsi="宋体" w:eastAsia="宋体" w:cs="宋体"/>
                      <w:color w:val="auto"/>
                      <w:highlight w:val="none"/>
                    </w:rPr>
                  </w:pPr>
                </w:p>
              </w:tc>
            </w:tr>
            <w:tr w14:paraId="3AB5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7DF15EF">
                  <w:pPr>
                    <w:spacing w:line="280" w:lineRule="exact"/>
                    <w:jc w:val="center"/>
                    <w:rPr>
                      <w:rFonts w:ascii="宋体" w:hAnsi="宋体" w:eastAsia="宋体" w:cs="宋体"/>
                      <w:color w:val="auto"/>
                      <w:highlight w:val="none"/>
                    </w:rPr>
                  </w:pPr>
                </w:p>
              </w:tc>
              <w:tc>
                <w:tcPr>
                  <w:tcW w:w="3420" w:type="dxa"/>
                </w:tcPr>
                <w:p w14:paraId="7459546D">
                  <w:pPr>
                    <w:spacing w:line="280" w:lineRule="exact"/>
                    <w:rPr>
                      <w:rFonts w:ascii="宋体" w:hAnsi="宋体" w:eastAsia="宋体" w:cs="宋体"/>
                      <w:color w:val="auto"/>
                      <w:highlight w:val="none"/>
                    </w:rPr>
                  </w:pPr>
                </w:p>
              </w:tc>
              <w:tc>
                <w:tcPr>
                  <w:tcW w:w="1620" w:type="dxa"/>
                </w:tcPr>
                <w:p w14:paraId="2208DB4D">
                  <w:pPr>
                    <w:spacing w:line="280" w:lineRule="exact"/>
                    <w:rPr>
                      <w:rFonts w:ascii="宋体" w:hAnsi="宋体" w:eastAsia="宋体" w:cs="宋体"/>
                      <w:color w:val="auto"/>
                      <w:highlight w:val="none"/>
                    </w:rPr>
                  </w:pPr>
                </w:p>
              </w:tc>
              <w:tc>
                <w:tcPr>
                  <w:tcW w:w="1620" w:type="dxa"/>
                </w:tcPr>
                <w:p w14:paraId="48D1DCA2">
                  <w:pPr>
                    <w:spacing w:line="280" w:lineRule="exact"/>
                    <w:rPr>
                      <w:rFonts w:ascii="宋体" w:hAnsi="宋体" w:eastAsia="宋体" w:cs="宋体"/>
                      <w:color w:val="auto"/>
                      <w:highlight w:val="none"/>
                    </w:rPr>
                  </w:pPr>
                </w:p>
              </w:tc>
              <w:tc>
                <w:tcPr>
                  <w:tcW w:w="1651" w:type="dxa"/>
                </w:tcPr>
                <w:p w14:paraId="360A0D84">
                  <w:pPr>
                    <w:spacing w:line="280" w:lineRule="exact"/>
                    <w:rPr>
                      <w:rFonts w:ascii="宋体" w:hAnsi="宋体" w:eastAsia="宋体" w:cs="宋体"/>
                      <w:color w:val="auto"/>
                      <w:highlight w:val="none"/>
                    </w:rPr>
                  </w:pPr>
                </w:p>
              </w:tc>
            </w:tr>
            <w:tr w14:paraId="4DDA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92CBDA4">
                  <w:pPr>
                    <w:spacing w:line="280" w:lineRule="exact"/>
                    <w:jc w:val="center"/>
                    <w:rPr>
                      <w:rFonts w:ascii="宋体" w:hAnsi="宋体" w:eastAsia="宋体" w:cs="宋体"/>
                      <w:color w:val="auto"/>
                      <w:highlight w:val="none"/>
                    </w:rPr>
                  </w:pPr>
                </w:p>
              </w:tc>
              <w:tc>
                <w:tcPr>
                  <w:tcW w:w="3420" w:type="dxa"/>
                </w:tcPr>
                <w:p w14:paraId="2474354A">
                  <w:pPr>
                    <w:spacing w:line="280" w:lineRule="exact"/>
                    <w:rPr>
                      <w:rFonts w:ascii="宋体" w:hAnsi="宋体" w:eastAsia="宋体" w:cs="宋体"/>
                      <w:color w:val="auto"/>
                      <w:highlight w:val="none"/>
                    </w:rPr>
                  </w:pPr>
                </w:p>
              </w:tc>
              <w:tc>
                <w:tcPr>
                  <w:tcW w:w="1620" w:type="dxa"/>
                </w:tcPr>
                <w:p w14:paraId="192D2343">
                  <w:pPr>
                    <w:spacing w:line="280" w:lineRule="exact"/>
                    <w:rPr>
                      <w:rFonts w:ascii="宋体" w:hAnsi="宋体" w:eastAsia="宋体" w:cs="宋体"/>
                      <w:color w:val="auto"/>
                      <w:highlight w:val="none"/>
                    </w:rPr>
                  </w:pPr>
                </w:p>
              </w:tc>
              <w:tc>
                <w:tcPr>
                  <w:tcW w:w="1620" w:type="dxa"/>
                </w:tcPr>
                <w:p w14:paraId="73AE90D6">
                  <w:pPr>
                    <w:spacing w:line="280" w:lineRule="exact"/>
                    <w:rPr>
                      <w:rFonts w:ascii="宋体" w:hAnsi="宋体" w:eastAsia="宋体" w:cs="宋体"/>
                      <w:color w:val="auto"/>
                      <w:highlight w:val="none"/>
                    </w:rPr>
                  </w:pPr>
                </w:p>
              </w:tc>
              <w:tc>
                <w:tcPr>
                  <w:tcW w:w="1651" w:type="dxa"/>
                </w:tcPr>
                <w:p w14:paraId="0AF7573C">
                  <w:pPr>
                    <w:spacing w:line="280" w:lineRule="exact"/>
                    <w:rPr>
                      <w:rFonts w:ascii="宋体" w:hAnsi="宋体" w:eastAsia="宋体" w:cs="宋体"/>
                      <w:color w:val="auto"/>
                      <w:highlight w:val="none"/>
                    </w:rPr>
                  </w:pPr>
                </w:p>
              </w:tc>
            </w:tr>
          </w:tbl>
          <w:p w14:paraId="4998F784">
            <w:pPr>
              <w:spacing w:line="400" w:lineRule="exact"/>
              <w:ind w:right="420" w:firstLine="435"/>
              <w:jc w:val="center"/>
              <w:rPr>
                <w:rFonts w:ascii="宋体" w:hAnsi="宋体" w:eastAsia="宋体" w:cs="宋体"/>
                <w:color w:val="auto"/>
                <w:highlight w:val="none"/>
              </w:rPr>
            </w:pPr>
          </w:p>
          <w:p w14:paraId="0C5C6856">
            <w:pPr>
              <w:spacing w:line="400" w:lineRule="exact"/>
              <w:ind w:right="420"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承包人（章）             </w:t>
            </w:r>
          </w:p>
          <w:p w14:paraId="501B5580">
            <w:pPr>
              <w:spacing w:line="400" w:lineRule="exact"/>
              <w:ind w:right="420" w:firstLine="435"/>
              <w:rPr>
                <w:rFonts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0B72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37B2E2CB">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64B34C40">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4D813088">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702F9FDB">
            <w:pPr>
              <w:spacing w:line="360" w:lineRule="exact"/>
              <w:ind w:firstLine="435"/>
              <w:jc w:val="right"/>
              <w:rPr>
                <w:rFonts w:ascii="宋体" w:hAnsi="宋体" w:eastAsia="宋体" w:cs="宋体"/>
                <w:color w:val="auto"/>
                <w:highlight w:val="none"/>
              </w:rPr>
            </w:pPr>
          </w:p>
          <w:p w14:paraId="6E147537">
            <w:pPr>
              <w:spacing w:line="360" w:lineRule="exact"/>
              <w:ind w:firstLine="435"/>
              <w:jc w:val="right"/>
              <w:rPr>
                <w:rFonts w:ascii="宋体" w:hAnsi="宋体" w:eastAsia="宋体" w:cs="宋体"/>
                <w:color w:val="auto"/>
                <w:highlight w:val="none"/>
              </w:rPr>
            </w:pPr>
          </w:p>
          <w:p w14:paraId="21E1A51C">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w:t>
            </w:r>
          </w:p>
          <w:p w14:paraId="6887ECD3">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419549B2">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620" w:type="dxa"/>
          </w:tcPr>
          <w:p w14:paraId="173912D9">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0394D8DD">
            <w:pPr>
              <w:spacing w:line="360" w:lineRule="exact"/>
              <w:ind w:firstLine="435"/>
              <w:rPr>
                <w:rFonts w:ascii="宋体" w:hAnsi="宋体" w:eastAsia="宋体" w:cs="宋体"/>
                <w:color w:val="auto"/>
                <w:highlight w:val="none"/>
                <w:u w:val="single"/>
              </w:rPr>
            </w:pPr>
            <w:r>
              <w:rPr>
                <w:rFonts w:hint="eastAsia" w:ascii="宋体" w:hAnsi="宋体" w:eastAsia="宋体" w:cs="宋体"/>
                <w:color w:val="auto"/>
                <w:highlight w:val="none"/>
              </w:rPr>
              <w:t>你方提出的竣工结算支付申请经复核，竣工结算款总额为(大写)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元，扣除前期支付以及质量保证金后应支付金额为（大写）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00505B73">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w:t>
            </w:r>
          </w:p>
          <w:p w14:paraId="25D0F0FE">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5BBA0C2D">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5378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2FDC6E27">
            <w:pPr>
              <w:spacing w:line="400" w:lineRule="exact"/>
              <w:rPr>
                <w:rFonts w:ascii="宋体" w:hAnsi="宋体" w:eastAsia="宋体" w:cs="宋体"/>
                <w:color w:val="auto"/>
                <w:highlight w:val="none"/>
              </w:rPr>
            </w:pPr>
            <w:r>
              <w:rPr>
                <w:rFonts w:hint="eastAsia" w:ascii="宋体" w:hAnsi="宋体" w:eastAsia="宋体" w:cs="宋体"/>
                <w:color w:val="auto"/>
                <w:highlight w:val="none"/>
              </w:rPr>
              <w:t>审核意见：</w:t>
            </w:r>
          </w:p>
          <w:p w14:paraId="367A8B76">
            <w:pPr>
              <w:spacing w:line="400" w:lineRule="exact"/>
              <w:ind w:firstLine="435"/>
              <w:rPr>
                <w:rFonts w:ascii="宋体" w:hAnsi="宋体" w:eastAsia="宋体" w:cs="宋体"/>
                <w:color w:val="auto"/>
                <w:highlight w:val="none"/>
              </w:rPr>
            </w:pPr>
            <w:r>
              <w:rPr>
                <w:rFonts w:hint="eastAsia" w:ascii="宋体" w:hAnsi="宋体" w:eastAsia="宋体" w:cs="宋体"/>
                <w:color w:val="auto"/>
                <w:highlight w:val="none"/>
              </w:rPr>
              <w:t>□不同意。</w:t>
            </w:r>
          </w:p>
          <w:p w14:paraId="1644F7AD">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6EDE5819">
            <w:pPr>
              <w:wordWrap w:val="0"/>
              <w:spacing w:line="400" w:lineRule="exact"/>
              <w:ind w:firstLine="420" w:firstLineChars="200"/>
              <w:jc w:val="right"/>
              <w:rPr>
                <w:rFonts w:ascii="宋体" w:hAnsi="宋体" w:eastAsia="宋体" w:cs="宋体"/>
                <w:color w:val="auto"/>
                <w:highlight w:val="none"/>
              </w:rPr>
            </w:pPr>
            <w:r>
              <w:rPr>
                <w:rFonts w:hint="eastAsia" w:ascii="宋体" w:hAnsi="宋体" w:eastAsia="宋体" w:cs="宋体"/>
                <w:color w:val="auto"/>
                <w:highlight w:val="none"/>
              </w:rPr>
              <w:t xml:space="preserve">发包人（章）           </w:t>
            </w:r>
          </w:p>
          <w:p w14:paraId="62E6B662">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47EFBED1">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47BD7F7C">
      <w:pPr>
        <w:spacing w:before="120" w:beforeLines="50"/>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注：1.在选择栏中的“□”内作标识“√”。 </w:t>
      </w:r>
    </w:p>
    <w:p w14:paraId="4BD08812">
      <w:pPr>
        <w:spacing w:before="120" w:beforeLines="50"/>
        <w:ind w:left="720" w:hanging="720" w:hangingChars="4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1A00F415">
      <w:pPr>
        <w:ind w:right="36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31A07F6E">
      <w:pPr>
        <w:pStyle w:val="5"/>
        <w:jc w:val="left"/>
        <w:rPr>
          <w:rFonts w:ascii="宋体" w:hAnsi="宋体" w:eastAsia="宋体" w:cs="宋体"/>
          <w:b/>
          <w:color w:val="auto"/>
          <w:sz w:val="30"/>
          <w:szCs w:val="30"/>
          <w:highlight w:val="none"/>
        </w:rPr>
      </w:pPr>
      <w:r>
        <w:rPr>
          <w:rFonts w:hint="eastAsia" w:ascii="宋体" w:hAnsi="宋体" w:eastAsia="宋体" w:cs="宋体"/>
          <w:color w:val="auto"/>
          <w:highlight w:val="none"/>
        </w:rPr>
        <w:t>附件</w:t>
      </w:r>
      <w:r>
        <w:rPr>
          <w:rFonts w:hint="eastAsia" w:ascii="宋体" w:hAnsi="宋体" w:eastAsia="宋体" w:cs="宋体"/>
          <w:color w:val="auto"/>
          <w:sz w:val="30"/>
          <w:szCs w:val="30"/>
          <w:highlight w:val="none"/>
        </w:rPr>
        <w:t>13：</w:t>
      </w:r>
    </w:p>
    <w:p w14:paraId="75456278">
      <w:pPr>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最终结算款支付申请（核准）表</w:t>
      </w:r>
    </w:p>
    <w:p w14:paraId="01DF88B0">
      <w:pPr>
        <w:rPr>
          <w:rFonts w:ascii="宋体" w:hAnsi="宋体" w:eastAsia="宋体" w:cs="宋体"/>
          <w:color w:val="auto"/>
          <w:sz w:val="24"/>
          <w:highlight w:val="none"/>
        </w:rPr>
      </w:pPr>
      <w:r>
        <w:rPr>
          <w:rFonts w:hint="eastAsia" w:ascii="宋体" w:hAnsi="宋体" w:eastAsia="宋体" w:cs="宋体"/>
          <w:color w:val="auto"/>
          <w:sz w:val="24"/>
          <w:highlight w:val="none"/>
        </w:rPr>
        <w:t>工程名称：                                             编号：</w:t>
      </w:r>
    </w:p>
    <w:tbl>
      <w:tblPr>
        <w:tblStyle w:val="5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26D8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4" w:hRule="atLeast"/>
          <w:jc w:val="center"/>
        </w:trPr>
        <w:tc>
          <w:tcPr>
            <w:tcW w:w="9240" w:type="dxa"/>
            <w:gridSpan w:val="2"/>
          </w:tcPr>
          <w:p w14:paraId="778B7B69">
            <w:pPr>
              <w:spacing w:line="480" w:lineRule="exact"/>
              <w:ind w:left="525" w:leftChars="149" w:hanging="212" w:hangingChars="101"/>
              <w:rPr>
                <w:rFonts w:ascii="宋体" w:hAnsi="宋体" w:eastAsia="宋体" w:cs="宋体"/>
                <w:color w:val="auto"/>
                <w:highlight w:val="none"/>
                <w:u w:val="singl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（发包人全称）</w:t>
            </w:r>
          </w:p>
          <w:p w14:paraId="3D0A632F">
            <w:pPr>
              <w:spacing w:line="400" w:lineRule="exact"/>
              <w:ind w:left="-4" w:leftChars="-2" w:firstLine="315" w:firstLineChars="150"/>
              <w:rPr>
                <w:rFonts w:ascii="宋体" w:hAnsi="宋体" w:eastAsia="宋体" w:cs="宋体"/>
                <w:color w:val="auto"/>
                <w:highlight w:val="none"/>
              </w:rPr>
            </w:pPr>
            <w:r>
              <w:rPr>
                <w:rFonts w:hint="eastAsia" w:ascii="宋体" w:hAnsi="宋体" w:eastAsia="宋体" w:cs="宋体"/>
                <w:color w:val="auto"/>
                <w:highlight w:val="none"/>
              </w:rPr>
              <w:t>我方于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期间已完成了缺陷修复工作，根据施工合同的约定，现申请支付最终结清合同款额为(大写)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D7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28BCC2D">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3420" w:type="dxa"/>
                  <w:vAlign w:val="center"/>
                </w:tcPr>
                <w:p w14:paraId="5824CCD6">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名      称</w:t>
                  </w:r>
                </w:p>
              </w:tc>
              <w:tc>
                <w:tcPr>
                  <w:tcW w:w="1620" w:type="dxa"/>
                  <w:vAlign w:val="center"/>
                </w:tcPr>
                <w:p w14:paraId="16D31C90">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申请金额（元）</w:t>
                  </w:r>
                </w:p>
              </w:tc>
              <w:tc>
                <w:tcPr>
                  <w:tcW w:w="1620" w:type="dxa"/>
                  <w:vAlign w:val="center"/>
                </w:tcPr>
                <w:p w14:paraId="3BFB8C97">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复核金额（元）</w:t>
                  </w:r>
                </w:p>
              </w:tc>
              <w:tc>
                <w:tcPr>
                  <w:tcW w:w="1651" w:type="dxa"/>
                  <w:vAlign w:val="center"/>
                </w:tcPr>
                <w:p w14:paraId="3C4D5340">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0ED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FB601AA">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3420" w:type="dxa"/>
                </w:tcPr>
                <w:p w14:paraId="246A93D4">
                  <w:pPr>
                    <w:spacing w:line="280" w:lineRule="exact"/>
                    <w:rPr>
                      <w:rFonts w:ascii="宋体" w:hAnsi="宋体" w:eastAsia="宋体" w:cs="宋体"/>
                      <w:color w:val="auto"/>
                      <w:highlight w:val="none"/>
                    </w:rPr>
                  </w:pPr>
                  <w:r>
                    <w:rPr>
                      <w:rFonts w:hint="eastAsia" w:ascii="宋体" w:hAnsi="宋体" w:eastAsia="宋体" w:cs="宋体"/>
                      <w:color w:val="auto"/>
                      <w:highlight w:val="none"/>
                    </w:rPr>
                    <w:t>已预留的质量保证金</w:t>
                  </w:r>
                </w:p>
              </w:tc>
              <w:tc>
                <w:tcPr>
                  <w:tcW w:w="1620" w:type="dxa"/>
                </w:tcPr>
                <w:p w14:paraId="27B5E0EB">
                  <w:pPr>
                    <w:spacing w:line="280" w:lineRule="exact"/>
                    <w:rPr>
                      <w:rFonts w:ascii="宋体" w:hAnsi="宋体" w:eastAsia="宋体" w:cs="宋体"/>
                      <w:color w:val="auto"/>
                      <w:highlight w:val="none"/>
                    </w:rPr>
                  </w:pPr>
                </w:p>
              </w:tc>
              <w:tc>
                <w:tcPr>
                  <w:tcW w:w="1620" w:type="dxa"/>
                </w:tcPr>
                <w:p w14:paraId="078253FE">
                  <w:pPr>
                    <w:spacing w:line="280" w:lineRule="exact"/>
                    <w:rPr>
                      <w:rFonts w:ascii="宋体" w:hAnsi="宋体" w:eastAsia="宋体" w:cs="宋体"/>
                      <w:color w:val="auto"/>
                      <w:highlight w:val="none"/>
                    </w:rPr>
                  </w:pPr>
                </w:p>
              </w:tc>
              <w:tc>
                <w:tcPr>
                  <w:tcW w:w="1651" w:type="dxa"/>
                </w:tcPr>
                <w:p w14:paraId="2DDCE8BA">
                  <w:pPr>
                    <w:spacing w:line="280" w:lineRule="exact"/>
                    <w:rPr>
                      <w:rFonts w:ascii="宋体" w:hAnsi="宋体" w:eastAsia="宋体" w:cs="宋体"/>
                      <w:color w:val="auto"/>
                      <w:highlight w:val="none"/>
                    </w:rPr>
                  </w:pPr>
                </w:p>
              </w:tc>
            </w:tr>
            <w:tr w14:paraId="7EDC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56B7294">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3420" w:type="dxa"/>
                </w:tcPr>
                <w:p w14:paraId="76175BDF">
                  <w:pPr>
                    <w:spacing w:line="280" w:lineRule="exact"/>
                    <w:rPr>
                      <w:rFonts w:ascii="宋体" w:hAnsi="宋体" w:eastAsia="宋体" w:cs="宋体"/>
                      <w:color w:val="auto"/>
                      <w:highlight w:val="none"/>
                    </w:rPr>
                  </w:pPr>
                  <w:r>
                    <w:rPr>
                      <w:rFonts w:hint="eastAsia" w:ascii="宋体" w:hAnsi="宋体" w:eastAsia="宋体" w:cs="宋体"/>
                      <w:color w:val="auto"/>
                      <w:highlight w:val="none"/>
                    </w:rPr>
                    <w:t>应增加因发包人原因造成缺陷的修复金额</w:t>
                  </w:r>
                </w:p>
              </w:tc>
              <w:tc>
                <w:tcPr>
                  <w:tcW w:w="1620" w:type="dxa"/>
                </w:tcPr>
                <w:p w14:paraId="792C7E7B">
                  <w:pPr>
                    <w:spacing w:line="280" w:lineRule="exact"/>
                    <w:rPr>
                      <w:rFonts w:ascii="宋体" w:hAnsi="宋体" w:eastAsia="宋体" w:cs="宋体"/>
                      <w:color w:val="auto"/>
                      <w:highlight w:val="none"/>
                    </w:rPr>
                  </w:pPr>
                </w:p>
              </w:tc>
              <w:tc>
                <w:tcPr>
                  <w:tcW w:w="1620" w:type="dxa"/>
                </w:tcPr>
                <w:p w14:paraId="3AFD3A48">
                  <w:pPr>
                    <w:spacing w:line="280" w:lineRule="exact"/>
                    <w:rPr>
                      <w:rFonts w:ascii="宋体" w:hAnsi="宋体" w:eastAsia="宋体" w:cs="宋体"/>
                      <w:color w:val="auto"/>
                      <w:highlight w:val="none"/>
                    </w:rPr>
                  </w:pPr>
                </w:p>
              </w:tc>
              <w:tc>
                <w:tcPr>
                  <w:tcW w:w="1651" w:type="dxa"/>
                </w:tcPr>
                <w:p w14:paraId="1FB1B0E7">
                  <w:pPr>
                    <w:spacing w:line="280" w:lineRule="exact"/>
                    <w:rPr>
                      <w:rFonts w:ascii="宋体" w:hAnsi="宋体" w:eastAsia="宋体" w:cs="宋体"/>
                      <w:color w:val="auto"/>
                      <w:highlight w:val="none"/>
                    </w:rPr>
                  </w:pPr>
                </w:p>
              </w:tc>
            </w:tr>
            <w:tr w14:paraId="37A4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469486">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3420" w:type="dxa"/>
                </w:tcPr>
                <w:p w14:paraId="5FBCB3DE">
                  <w:pPr>
                    <w:spacing w:line="280" w:lineRule="exact"/>
                    <w:rPr>
                      <w:rFonts w:ascii="宋体" w:hAnsi="宋体" w:eastAsia="宋体" w:cs="宋体"/>
                      <w:color w:val="auto"/>
                      <w:highlight w:val="none"/>
                    </w:rPr>
                  </w:pPr>
                  <w:r>
                    <w:rPr>
                      <w:rFonts w:hint="eastAsia" w:ascii="宋体" w:hAnsi="宋体" w:eastAsia="宋体" w:cs="宋体"/>
                      <w:color w:val="auto"/>
                      <w:highlight w:val="none"/>
                    </w:rPr>
                    <w:t>应扣减承包人不修复缺陷、发包人组织修复的金额</w:t>
                  </w:r>
                </w:p>
              </w:tc>
              <w:tc>
                <w:tcPr>
                  <w:tcW w:w="1620" w:type="dxa"/>
                </w:tcPr>
                <w:p w14:paraId="654D27A9">
                  <w:pPr>
                    <w:spacing w:line="280" w:lineRule="exact"/>
                    <w:rPr>
                      <w:rFonts w:ascii="宋体" w:hAnsi="宋体" w:eastAsia="宋体" w:cs="宋体"/>
                      <w:color w:val="auto"/>
                      <w:highlight w:val="none"/>
                    </w:rPr>
                  </w:pPr>
                </w:p>
              </w:tc>
              <w:tc>
                <w:tcPr>
                  <w:tcW w:w="1620" w:type="dxa"/>
                </w:tcPr>
                <w:p w14:paraId="5BF75A55">
                  <w:pPr>
                    <w:spacing w:line="280" w:lineRule="exact"/>
                    <w:rPr>
                      <w:rFonts w:ascii="宋体" w:hAnsi="宋体" w:eastAsia="宋体" w:cs="宋体"/>
                      <w:color w:val="auto"/>
                      <w:highlight w:val="none"/>
                    </w:rPr>
                  </w:pPr>
                </w:p>
              </w:tc>
              <w:tc>
                <w:tcPr>
                  <w:tcW w:w="1651" w:type="dxa"/>
                </w:tcPr>
                <w:p w14:paraId="3B5143D9">
                  <w:pPr>
                    <w:spacing w:line="280" w:lineRule="exact"/>
                    <w:rPr>
                      <w:rFonts w:ascii="宋体" w:hAnsi="宋体" w:eastAsia="宋体" w:cs="宋体"/>
                      <w:color w:val="auto"/>
                      <w:highlight w:val="none"/>
                    </w:rPr>
                  </w:pPr>
                </w:p>
              </w:tc>
            </w:tr>
            <w:tr w14:paraId="1211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4BD9A73">
                  <w:pPr>
                    <w:spacing w:line="280" w:lineRule="exact"/>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3420" w:type="dxa"/>
                </w:tcPr>
                <w:p w14:paraId="38DB0A04">
                  <w:pPr>
                    <w:spacing w:line="280" w:lineRule="exact"/>
                    <w:rPr>
                      <w:rFonts w:ascii="宋体" w:hAnsi="宋体" w:eastAsia="宋体" w:cs="宋体"/>
                      <w:color w:val="auto"/>
                      <w:highlight w:val="none"/>
                    </w:rPr>
                  </w:pPr>
                  <w:r>
                    <w:rPr>
                      <w:rFonts w:hint="eastAsia" w:ascii="宋体" w:hAnsi="宋体" w:eastAsia="宋体" w:cs="宋体"/>
                      <w:color w:val="auto"/>
                      <w:highlight w:val="none"/>
                    </w:rPr>
                    <w:t>最终应支付的合同价款</w:t>
                  </w:r>
                </w:p>
              </w:tc>
              <w:tc>
                <w:tcPr>
                  <w:tcW w:w="1620" w:type="dxa"/>
                </w:tcPr>
                <w:p w14:paraId="461C05EF">
                  <w:pPr>
                    <w:spacing w:line="280" w:lineRule="exact"/>
                    <w:rPr>
                      <w:rFonts w:ascii="宋体" w:hAnsi="宋体" w:eastAsia="宋体" w:cs="宋体"/>
                      <w:color w:val="auto"/>
                      <w:highlight w:val="none"/>
                    </w:rPr>
                  </w:pPr>
                </w:p>
              </w:tc>
              <w:tc>
                <w:tcPr>
                  <w:tcW w:w="1620" w:type="dxa"/>
                </w:tcPr>
                <w:p w14:paraId="3C1C6A6E">
                  <w:pPr>
                    <w:spacing w:line="280" w:lineRule="exact"/>
                    <w:rPr>
                      <w:rFonts w:ascii="宋体" w:hAnsi="宋体" w:eastAsia="宋体" w:cs="宋体"/>
                      <w:color w:val="auto"/>
                      <w:highlight w:val="none"/>
                    </w:rPr>
                  </w:pPr>
                </w:p>
              </w:tc>
              <w:tc>
                <w:tcPr>
                  <w:tcW w:w="1651" w:type="dxa"/>
                </w:tcPr>
                <w:p w14:paraId="292BD82D">
                  <w:pPr>
                    <w:spacing w:line="280" w:lineRule="exact"/>
                    <w:rPr>
                      <w:rFonts w:ascii="宋体" w:hAnsi="宋体" w:eastAsia="宋体" w:cs="宋体"/>
                      <w:color w:val="auto"/>
                      <w:highlight w:val="none"/>
                    </w:rPr>
                  </w:pPr>
                </w:p>
              </w:tc>
            </w:tr>
            <w:tr w14:paraId="74EF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1E66749">
                  <w:pPr>
                    <w:spacing w:line="280" w:lineRule="exact"/>
                    <w:jc w:val="center"/>
                    <w:rPr>
                      <w:rFonts w:ascii="宋体" w:hAnsi="宋体" w:eastAsia="宋体" w:cs="宋体"/>
                      <w:color w:val="auto"/>
                      <w:highlight w:val="none"/>
                    </w:rPr>
                  </w:pPr>
                </w:p>
              </w:tc>
              <w:tc>
                <w:tcPr>
                  <w:tcW w:w="3420" w:type="dxa"/>
                </w:tcPr>
                <w:p w14:paraId="6F152B9E">
                  <w:pPr>
                    <w:spacing w:line="280" w:lineRule="exact"/>
                    <w:rPr>
                      <w:rFonts w:ascii="宋体" w:hAnsi="宋体" w:eastAsia="宋体" w:cs="宋体"/>
                      <w:color w:val="auto"/>
                      <w:highlight w:val="none"/>
                    </w:rPr>
                  </w:pPr>
                </w:p>
              </w:tc>
              <w:tc>
                <w:tcPr>
                  <w:tcW w:w="1620" w:type="dxa"/>
                </w:tcPr>
                <w:p w14:paraId="1A372CE9">
                  <w:pPr>
                    <w:spacing w:line="280" w:lineRule="exact"/>
                    <w:rPr>
                      <w:rFonts w:ascii="宋体" w:hAnsi="宋体" w:eastAsia="宋体" w:cs="宋体"/>
                      <w:color w:val="auto"/>
                      <w:highlight w:val="none"/>
                    </w:rPr>
                  </w:pPr>
                </w:p>
              </w:tc>
              <w:tc>
                <w:tcPr>
                  <w:tcW w:w="1620" w:type="dxa"/>
                </w:tcPr>
                <w:p w14:paraId="51C29852">
                  <w:pPr>
                    <w:spacing w:line="280" w:lineRule="exact"/>
                    <w:rPr>
                      <w:rFonts w:ascii="宋体" w:hAnsi="宋体" w:eastAsia="宋体" w:cs="宋体"/>
                      <w:color w:val="auto"/>
                      <w:highlight w:val="none"/>
                    </w:rPr>
                  </w:pPr>
                </w:p>
              </w:tc>
              <w:tc>
                <w:tcPr>
                  <w:tcW w:w="1651" w:type="dxa"/>
                </w:tcPr>
                <w:p w14:paraId="315A6C0A">
                  <w:pPr>
                    <w:spacing w:line="280" w:lineRule="exact"/>
                    <w:rPr>
                      <w:rFonts w:ascii="宋体" w:hAnsi="宋体" w:eastAsia="宋体" w:cs="宋体"/>
                      <w:color w:val="auto"/>
                      <w:highlight w:val="none"/>
                    </w:rPr>
                  </w:pPr>
                </w:p>
              </w:tc>
            </w:tr>
            <w:tr w14:paraId="1889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3C7F157">
                  <w:pPr>
                    <w:spacing w:line="280" w:lineRule="exact"/>
                    <w:jc w:val="center"/>
                    <w:rPr>
                      <w:rFonts w:ascii="宋体" w:hAnsi="宋体" w:eastAsia="宋体" w:cs="宋体"/>
                      <w:color w:val="auto"/>
                      <w:highlight w:val="none"/>
                    </w:rPr>
                  </w:pPr>
                </w:p>
              </w:tc>
              <w:tc>
                <w:tcPr>
                  <w:tcW w:w="3420" w:type="dxa"/>
                </w:tcPr>
                <w:p w14:paraId="48826A26">
                  <w:pPr>
                    <w:spacing w:line="280" w:lineRule="exact"/>
                    <w:rPr>
                      <w:rFonts w:ascii="宋体" w:hAnsi="宋体" w:eastAsia="宋体" w:cs="宋体"/>
                      <w:color w:val="auto"/>
                      <w:highlight w:val="none"/>
                    </w:rPr>
                  </w:pPr>
                </w:p>
              </w:tc>
              <w:tc>
                <w:tcPr>
                  <w:tcW w:w="1620" w:type="dxa"/>
                </w:tcPr>
                <w:p w14:paraId="4E2F21F3">
                  <w:pPr>
                    <w:spacing w:line="280" w:lineRule="exact"/>
                    <w:rPr>
                      <w:rFonts w:ascii="宋体" w:hAnsi="宋体" w:eastAsia="宋体" w:cs="宋体"/>
                      <w:color w:val="auto"/>
                      <w:highlight w:val="none"/>
                    </w:rPr>
                  </w:pPr>
                </w:p>
              </w:tc>
              <w:tc>
                <w:tcPr>
                  <w:tcW w:w="1620" w:type="dxa"/>
                </w:tcPr>
                <w:p w14:paraId="01364192">
                  <w:pPr>
                    <w:spacing w:line="280" w:lineRule="exact"/>
                    <w:rPr>
                      <w:rFonts w:ascii="宋体" w:hAnsi="宋体" w:eastAsia="宋体" w:cs="宋体"/>
                      <w:color w:val="auto"/>
                      <w:highlight w:val="none"/>
                    </w:rPr>
                  </w:pPr>
                </w:p>
              </w:tc>
              <w:tc>
                <w:tcPr>
                  <w:tcW w:w="1651" w:type="dxa"/>
                </w:tcPr>
                <w:p w14:paraId="197E2CCC">
                  <w:pPr>
                    <w:spacing w:line="280" w:lineRule="exact"/>
                    <w:rPr>
                      <w:rFonts w:ascii="宋体" w:hAnsi="宋体" w:eastAsia="宋体" w:cs="宋体"/>
                      <w:color w:val="auto"/>
                      <w:highlight w:val="none"/>
                    </w:rPr>
                  </w:pPr>
                </w:p>
              </w:tc>
            </w:tr>
            <w:tr w14:paraId="7AA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69FDDE7">
                  <w:pPr>
                    <w:spacing w:line="280" w:lineRule="exact"/>
                    <w:jc w:val="center"/>
                    <w:rPr>
                      <w:rFonts w:ascii="宋体" w:hAnsi="宋体" w:eastAsia="宋体" w:cs="宋体"/>
                      <w:color w:val="auto"/>
                      <w:highlight w:val="none"/>
                    </w:rPr>
                  </w:pPr>
                </w:p>
              </w:tc>
              <w:tc>
                <w:tcPr>
                  <w:tcW w:w="3420" w:type="dxa"/>
                </w:tcPr>
                <w:p w14:paraId="1E10D28E">
                  <w:pPr>
                    <w:spacing w:line="280" w:lineRule="exact"/>
                    <w:rPr>
                      <w:rFonts w:ascii="宋体" w:hAnsi="宋体" w:eastAsia="宋体" w:cs="宋体"/>
                      <w:color w:val="auto"/>
                      <w:highlight w:val="none"/>
                    </w:rPr>
                  </w:pPr>
                </w:p>
              </w:tc>
              <w:tc>
                <w:tcPr>
                  <w:tcW w:w="1620" w:type="dxa"/>
                </w:tcPr>
                <w:p w14:paraId="066A557A">
                  <w:pPr>
                    <w:spacing w:line="280" w:lineRule="exact"/>
                    <w:rPr>
                      <w:rFonts w:ascii="宋体" w:hAnsi="宋体" w:eastAsia="宋体" w:cs="宋体"/>
                      <w:color w:val="auto"/>
                      <w:highlight w:val="none"/>
                    </w:rPr>
                  </w:pPr>
                </w:p>
              </w:tc>
              <w:tc>
                <w:tcPr>
                  <w:tcW w:w="1620" w:type="dxa"/>
                </w:tcPr>
                <w:p w14:paraId="385DCC2A">
                  <w:pPr>
                    <w:spacing w:line="280" w:lineRule="exact"/>
                    <w:rPr>
                      <w:rFonts w:ascii="宋体" w:hAnsi="宋体" w:eastAsia="宋体" w:cs="宋体"/>
                      <w:color w:val="auto"/>
                      <w:highlight w:val="none"/>
                    </w:rPr>
                  </w:pPr>
                </w:p>
              </w:tc>
              <w:tc>
                <w:tcPr>
                  <w:tcW w:w="1651" w:type="dxa"/>
                </w:tcPr>
                <w:p w14:paraId="016E2C7F">
                  <w:pPr>
                    <w:spacing w:line="280" w:lineRule="exact"/>
                    <w:rPr>
                      <w:rFonts w:ascii="宋体" w:hAnsi="宋体" w:eastAsia="宋体" w:cs="宋体"/>
                      <w:color w:val="auto"/>
                      <w:highlight w:val="none"/>
                    </w:rPr>
                  </w:pPr>
                </w:p>
              </w:tc>
            </w:tr>
            <w:tr w14:paraId="69C9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4785E92">
                  <w:pPr>
                    <w:spacing w:line="280" w:lineRule="exact"/>
                    <w:jc w:val="center"/>
                    <w:rPr>
                      <w:rFonts w:ascii="宋体" w:hAnsi="宋体" w:eastAsia="宋体" w:cs="宋体"/>
                      <w:color w:val="auto"/>
                      <w:highlight w:val="none"/>
                    </w:rPr>
                  </w:pPr>
                </w:p>
              </w:tc>
              <w:tc>
                <w:tcPr>
                  <w:tcW w:w="3420" w:type="dxa"/>
                </w:tcPr>
                <w:p w14:paraId="48D0ECDE">
                  <w:pPr>
                    <w:spacing w:line="280" w:lineRule="exact"/>
                    <w:rPr>
                      <w:rFonts w:ascii="宋体" w:hAnsi="宋体" w:eastAsia="宋体" w:cs="宋体"/>
                      <w:color w:val="auto"/>
                      <w:highlight w:val="none"/>
                    </w:rPr>
                  </w:pPr>
                </w:p>
              </w:tc>
              <w:tc>
                <w:tcPr>
                  <w:tcW w:w="1620" w:type="dxa"/>
                </w:tcPr>
                <w:p w14:paraId="121BD4CC">
                  <w:pPr>
                    <w:spacing w:line="280" w:lineRule="exact"/>
                    <w:rPr>
                      <w:rFonts w:ascii="宋体" w:hAnsi="宋体" w:eastAsia="宋体" w:cs="宋体"/>
                      <w:color w:val="auto"/>
                      <w:highlight w:val="none"/>
                    </w:rPr>
                  </w:pPr>
                </w:p>
              </w:tc>
              <w:tc>
                <w:tcPr>
                  <w:tcW w:w="1620" w:type="dxa"/>
                </w:tcPr>
                <w:p w14:paraId="50BF48E9">
                  <w:pPr>
                    <w:spacing w:line="280" w:lineRule="exact"/>
                    <w:rPr>
                      <w:rFonts w:ascii="宋体" w:hAnsi="宋体" w:eastAsia="宋体" w:cs="宋体"/>
                      <w:color w:val="auto"/>
                      <w:highlight w:val="none"/>
                    </w:rPr>
                  </w:pPr>
                </w:p>
              </w:tc>
              <w:tc>
                <w:tcPr>
                  <w:tcW w:w="1651" w:type="dxa"/>
                </w:tcPr>
                <w:p w14:paraId="555CF254">
                  <w:pPr>
                    <w:spacing w:line="280" w:lineRule="exact"/>
                    <w:rPr>
                      <w:rFonts w:ascii="宋体" w:hAnsi="宋体" w:eastAsia="宋体" w:cs="宋体"/>
                      <w:color w:val="auto"/>
                      <w:highlight w:val="none"/>
                    </w:rPr>
                  </w:pPr>
                </w:p>
              </w:tc>
            </w:tr>
          </w:tbl>
          <w:p w14:paraId="6C5A09B4">
            <w:pPr>
              <w:spacing w:line="400" w:lineRule="exact"/>
              <w:ind w:right="420"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承包人（章）             </w:t>
            </w:r>
          </w:p>
          <w:p w14:paraId="553329D6">
            <w:pPr>
              <w:spacing w:line="400" w:lineRule="exact"/>
              <w:ind w:right="420" w:firstLine="435"/>
              <w:rPr>
                <w:rFonts w:ascii="宋体" w:hAnsi="宋体" w:eastAsia="宋体" w:cs="宋体"/>
                <w:color w:val="auto"/>
                <w:highlight w:val="none"/>
              </w:rPr>
            </w:pPr>
            <w:r>
              <w:rPr>
                <w:rFonts w:hint="eastAsia" w:ascii="宋体" w:hAnsi="宋体" w:eastAsia="宋体" w:cs="宋体"/>
                <w:color w:val="auto"/>
                <w:highlight w:val="none"/>
              </w:rPr>
              <w:t>造价人员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承包人代表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r w14:paraId="7199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6984163E">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0B564030">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□与实际施工情况不相符，修改意见见附件。</w:t>
            </w:r>
          </w:p>
          <w:p w14:paraId="06E927FD">
            <w:pPr>
              <w:spacing w:line="360" w:lineRule="exact"/>
              <w:ind w:firstLine="312"/>
              <w:rPr>
                <w:rFonts w:ascii="宋体" w:hAnsi="宋体" w:eastAsia="宋体" w:cs="宋体"/>
                <w:color w:val="auto"/>
                <w:highlight w:val="none"/>
              </w:rPr>
            </w:pPr>
            <w:r>
              <w:rPr>
                <w:rFonts w:hint="eastAsia" w:ascii="宋体" w:hAnsi="宋体" w:eastAsia="宋体" w:cs="宋体"/>
                <w:color w:val="auto"/>
                <w:highlight w:val="none"/>
              </w:rPr>
              <w:t>□与实际施工情况相符，具体金额由造价工程师复核。</w:t>
            </w:r>
          </w:p>
          <w:p w14:paraId="39AFD161">
            <w:pPr>
              <w:spacing w:line="360" w:lineRule="exact"/>
              <w:ind w:firstLine="435"/>
              <w:jc w:val="right"/>
              <w:rPr>
                <w:rFonts w:ascii="宋体" w:hAnsi="宋体" w:eastAsia="宋体" w:cs="宋体"/>
                <w:color w:val="auto"/>
                <w:highlight w:val="none"/>
              </w:rPr>
            </w:pPr>
          </w:p>
          <w:p w14:paraId="2900401F">
            <w:pPr>
              <w:spacing w:line="360" w:lineRule="exact"/>
              <w:ind w:firstLine="435"/>
              <w:jc w:val="right"/>
              <w:rPr>
                <w:rFonts w:ascii="宋体" w:hAnsi="宋体" w:eastAsia="宋体" w:cs="宋体"/>
                <w:color w:val="auto"/>
                <w:highlight w:val="none"/>
              </w:rPr>
            </w:pPr>
          </w:p>
          <w:p w14:paraId="09A89C7D">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w:t>
            </w:r>
          </w:p>
          <w:p w14:paraId="248815DE">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监理工程师</w:t>
            </w:r>
            <w:r>
              <w:rPr>
                <w:rFonts w:hint="eastAsia" w:ascii="宋体" w:hAnsi="宋体" w:eastAsia="宋体" w:cs="宋体"/>
                <w:color w:val="auto"/>
                <w:highlight w:val="none"/>
                <w:u w:val="single"/>
              </w:rPr>
              <w:t xml:space="preserve">           </w:t>
            </w:r>
          </w:p>
          <w:p w14:paraId="13BBB0CE">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c>
          <w:tcPr>
            <w:tcW w:w="4620" w:type="dxa"/>
          </w:tcPr>
          <w:p w14:paraId="227A896F">
            <w:pPr>
              <w:spacing w:line="360" w:lineRule="exact"/>
              <w:rPr>
                <w:rFonts w:ascii="宋体" w:hAnsi="宋体" w:eastAsia="宋体" w:cs="宋体"/>
                <w:color w:val="auto"/>
                <w:highlight w:val="none"/>
              </w:rPr>
            </w:pPr>
            <w:r>
              <w:rPr>
                <w:rFonts w:hint="eastAsia" w:ascii="宋体" w:hAnsi="宋体" w:eastAsia="宋体" w:cs="宋体"/>
                <w:color w:val="auto"/>
                <w:highlight w:val="none"/>
              </w:rPr>
              <w:t>复核意见：</w:t>
            </w:r>
          </w:p>
          <w:p w14:paraId="51F71C73">
            <w:pPr>
              <w:spacing w:line="360" w:lineRule="exact"/>
              <w:ind w:firstLine="435"/>
              <w:rPr>
                <w:rFonts w:ascii="宋体" w:hAnsi="宋体" w:eastAsia="宋体" w:cs="宋体"/>
                <w:color w:val="auto"/>
                <w:highlight w:val="none"/>
                <w:u w:val="single"/>
              </w:rPr>
            </w:pPr>
            <w:r>
              <w:rPr>
                <w:rFonts w:hint="eastAsia" w:ascii="宋体" w:hAnsi="宋体" w:eastAsia="宋体" w:cs="宋体"/>
                <w:color w:val="auto"/>
                <w:highlight w:val="none"/>
              </w:rPr>
              <w:t>你方提出的支付申请经复核，最终应支付金额为（大写）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元，（小写）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100B394D">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 xml:space="preserve">    </w:t>
            </w:r>
          </w:p>
          <w:p w14:paraId="19A20A6E">
            <w:pPr>
              <w:spacing w:line="360" w:lineRule="exact"/>
              <w:ind w:firstLine="435"/>
              <w:jc w:val="center"/>
              <w:rPr>
                <w:rFonts w:ascii="宋体" w:hAnsi="宋体" w:eastAsia="宋体" w:cs="宋体"/>
                <w:color w:val="auto"/>
                <w:highlight w:val="none"/>
              </w:rPr>
            </w:pPr>
          </w:p>
          <w:p w14:paraId="7876CE10">
            <w:pPr>
              <w:spacing w:line="360" w:lineRule="exact"/>
              <w:ind w:firstLine="435"/>
              <w:jc w:val="center"/>
              <w:rPr>
                <w:rFonts w:ascii="宋体" w:hAnsi="宋体" w:eastAsia="宋体" w:cs="宋体"/>
                <w:color w:val="auto"/>
                <w:highlight w:val="none"/>
              </w:rPr>
            </w:pPr>
          </w:p>
          <w:p w14:paraId="00CC2D2F">
            <w:pPr>
              <w:spacing w:line="360" w:lineRule="exact"/>
              <w:ind w:firstLine="435"/>
              <w:jc w:val="center"/>
              <w:rPr>
                <w:rFonts w:ascii="宋体" w:hAnsi="宋体" w:eastAsia="宋体" w:cs="宋体"/>
                <w:color w:val="auto"/>
                <w:highlight w:val="none"/>
              </w:rPr>
            </w:pPr>
          </w:p>
          <w:p w14:paraId="33EE10CF">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造价工程师</w:t>
            </w:r>
            <w:r>
              <w:rPr>
                <w:rFonts w:hint="eastAsia" w:ascii="宋体" w:hAnsi="宋体" w:eastAsia="宋体" w:cs="宋体"/>
                <w:color w:val="auto"/>
                <w:highlight w:val="none"/>
                <w:u w:val="single"/>
              </w:rPr>
              <w:t xml:space="preserve">           </w:t>
            </w:r>
          </w:p>
          <w:p w14:paraId="4F079989">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r w14:paraId="6E21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A55E34B">
            <w:pPr>
              <w:spacing w:line="400" w:lineRule="exact"/>
              <w:rPr>
                <w:rFonts w:ascii="宋体" w:hAnsi="宋体" w:eastAsia="宋体" w:cs="宋体"/>
                <w:color w:val="auto"/>
                <w:highlight w:val="none"/>
              </w:rPr>
            </w:pPr>
            <w:r>
              <w:rPr>
                <w:rFonts w:hint="eastAsia" w:ascii="宋体" w:hAnsi="宋体" w:eastAsia="宋体" w:cs="宋体"/>
                <w:color w:val="auto"/>
                <w:highlight w:val="none"/>
              </w:rPr>
              <w:t>审核意见：</w:t>
            </w:r>
          </w:p>
          <w:p w14:paraId="0BFD7AE8">
            <w:pPr>
              <w:spacing w:line="400" w:lineRule="exact"/>
              <w:ind w:firstLine="435"/>
              <w:rPr>
                <w:rFonts w:ascii="宋体" w:hAnsi="宋体" w:eastAsia="宋体" w:cs="宋体"/>
                <w:color w:val="auto"/>
                <w:highlight w:val="none"/>
              </w:rPr>
            </w:pPr>
            <w:r>
              <w:rPr>
                <w:rFonts w:hint="eastAsia" w:ascii="宋体" w:hAnsi="宋体" w:eastAsia="宋体" w:cs="宋体"/>
                <w:color w:val="auto"/>
                <w:highlight w:val="none"/>
              </w:rPr>
              <w:t>□不同意。</w:t>
            </w:r>
          </w:p>
          <w:p w14:paraId="1660D4C6">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□同意，支付时间为本表签发后的15天内。</w:t>
            </w:r>
          </w:p>
          <w:p w14:paraId="1BCF7624">
            <w:pPr>
              <w:wordWrap w:val="0"/>
              <w:spacing w:line="400" w:lineRule="exact"/>
              <w:ind w:firstLine="420" w:firstLineChars="200"/>
              <w:jc w:val="right"/>
              <w:rPr>
                <w:rFonts w:ascii="宋体" w:hAnsi="宋体" w:eastAsia="宋体" w:cs="宋体"/>
                <w:color w:val="auto"/>
                <w:highlight w:val="none"/>
              </w:rPr>
            </w:pPr>
            <w:r>
              <w:rPr>
                <w:rFonts w:hint="eastAsia" w:ascii="宋体" w:hAnsi="宋体" w:eastAsia="宋体" w:cs="宋体"/>
                <w:color w:val="auto"/>
                <w:highlight w:val="none"/>
              </w:rPr>
              <w:t xml:space="preserve">发包人（章）           </w:t>
            </w:r>
          </w:p>
          <w:p w14:paraId="00F3FE20">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发包人代表</w:t>
            </w:r>
            <w:r>
              <w:rPr>
                <w:rFonts w:hint="eastAsia" w:ascii="宋体" w:hAnsi="宋体" w:eastAsia="宋体" w:cs="宋体"/>
                <w:color w:val="auto"/>
                <w:highlight w:val="none"/>
                <w:u w:val="single"/>
              </w:rPr>
              <w:t xml:space="preserve">             </w:t>
            </w:r>
          </w:p>
          <w:p w14:paraId="2B68CA33">
            <w:pPr>
              <w:wordWrap w:val="0"/>
              <w:spacing w:line="400" w:lineRule="exact"/>
              <w:ind w:firstLine="420" w:firstLineChars="200"/>
              <w:jc w:val="right"/>
              <w:rPr>
                <w:rFonts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tc>
      </w:tr>
    </w:tbl>
    <w:p w14:paraId="1FB5AC5B">
      <w:pPr>
        <w:spacing w:before="120" w:beforeLines="50"/>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注：1.在选择栏中的“□”内作标识“√”。 如监理人已退场，监理工程师栏可空缺。</w:t>
      </w:r>
    </w:p>
    <w:p w14:paraId="17A1EF29">
      <w:pPr>
        <w:spacing w:before="120" w:beforeLines="50"/>
        <w:ind w:left="720" w:hanging="720" w:hangingChars="4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2.本表一式四份，由承包人填报，发包人、监理人、造价咨询人、承包人各存一份。</w:t>
      </w:r>
    </w:p>
    <w:p w14:paraId="3A60B20A">
      <w:pPr>
        <w:spacing w:line="360" w:lineRule="auto"/>
        <w:ind w:firstLine="420" w:firstLineChars="200"/>
        <w:jc w:val="left"/>
        <w:rPr>
          <w:rFonts w:ascii="宋体" w:hAnsi="宋体" w:eastAsia="宋体" w:cs="宋体"/>
          <w:color w:val="auto"/>
          <w:highlight w:val="none"/>
          <w:u w:val="single"/>
        </w:rPr>
      </w:pPr>
    </w:p>
    <w:p w14:paraId="2A9B01AD">
      <w:pPr>
        <w:spacing w:before="120" w:beforeLines="50"/>
        <w:ind w:left="1200" w:hanging="1200" w:hangingChars="400"/>
        <w:rPr>
          <w:rFonts w:ascii="宋体" w:hAnsi="宋体" w:eastAsia="宋体" w:cs="宋体"/>
          <w:color w:val="auto"/>
          <w:sz w:val="30"/>
          <w:szCs w:val="30"/>
          <w:highlight w:val="none"/>
        </w:rPr>
      </w:pPr>
    </w:p>
    <w:p w14:paraId="179C0DBC">
      <w:pPr>
        <w:pStyle w:val="5"/>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附件14：</w:t>
      </w:r>
    </w:p>
    <w:p w14:paraId="58C7AE80">
      <w:pPr>
        <w:spacing w:line="360" w:lineRule="auto"/>
        <w:ind w:firstLine="720" w:firstLineChars="200"/>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总价合同进度款支付分解表</w:t>
      </w:r>
    </w:p>
    <w:p w14:paraId="7F7E5018">
      <w:pPr>
        <w:spacing w:line="360" w:lineRule="auto"/>
        <w:rPr>
          <w:rFonts w:ascii="宋体" w:hAnsi="宋体" w:eastAsia="宋体" w:cs="宋体"/>
          <w:color w:val="auto"/>
          <w:kern w:val="0"/>
          <w:highlight w:val="none"/>
        </w:rPr>
      </w:pPr>
      <w:r>
        <w:rPr>
          <w:rFonts w:hint="eastAsia" w:ascii="宋体" w:hAnsi="宋体" w:eastAsia="宋体" w:cs="宋体"/>
          <w:color w:val="auto"/>
          <w:kern w:val="0"/>
          <w:highlight w:val="none"/>
        </w:rPr>
        <w:t>工程名称：</w:t>
      </w:r>
    </w:p>
    <w:tbl>
      <w:tblPr>
        <w:tblStyle w:val="54"/>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
        <w:gridCol w:w="1417"/>
        <w:gridCol w:w="3119"/>
        <w:gridCol w:w="675"/>
        <w:gridCol w:w="2268"/>
        <w:gridCol w:w="1276"/>
      </w:tblGrid>
      <w:tr w14:paraId="1B23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tcPr>
          <w:p w14:paraId="2BD3A2A1">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进度款期次</w:t>
            </w:r>
          </w:p>
        </w:tc>
        <w:tc>
          <w:tcPr>
            <w:tcW w:w="3794" w:type="dxa"/>
            <w:gridSpan w:val="2"/>
          </w:tcPr>
          <w:p w14:paraId="7112C258">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形象进度</w:t>
            </w:r>
          </w:p>
        </w:tc>
        <w:tc>
          <w:tcPr>
            <w:tcW w:w="2268" w:type="dxa"/>
          </w:tcPr>
          <w:p w14:paraId="77B68B39">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进度款付款金额（元）</w:t>
            </w:r>
          </w:p>
        </w:tc>
        <w:tc>
          <w:tcPr>
            <w:tcW w:w="1276" w:type="dxa"/>
          </w:tcPr>
          <w:p w14:paraId="31080138">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备注</w:t>
            </w:r>
          </w:p>
        </w:tc>
      </w:tr>
      <w:tr w14:paraId="52B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tcPr>
          <w:p w14:paraId="3E673E5F">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第一期</w:t>
            </w:r>
          </w:p>
        </w:tc>
        <w:tc>
          <w:tcPr>
            <w:tcW w:w="3794" w:type="dxa"/>
            <w:gridSpan w:val="2"/>
          </w:tcPr>
          <w:p w14:paraId="19D08786">
            <w:pPr>
              <w:spacing w:line="360" w:lineRule="auto"/>
              <w:jc w:val="center"/>
              <w:rPr>
                <w:rFonts w:ascii="宋体" w:hAnsi="宋体" w:eastAsia="宋体" w:cs="宋体"/>
                <w:color w:val="auto"/>
                <w:kern w:val="0"/>
                <w:highlight w:val="none"/>
              </w:rPr>
            </w:pPr>
          </w:p>
        </w:tc>
        <w:tc>
          <w:tcPr>
            <w:tcW w:w="2268" w:type="dxa"/>
          </w:tcPr>
          <w:p w14:paraId="6FEBDE51">
            <w:pPr>
              <w:spacing w:line="360" w:lineRule="auto"/>
              <w:jc w:val="center"/>
              <w:rPr>
                <w:rFonts w:ascii="宋体" w:hAnsi="宋体" w:eastAsia="宋体" w:cs="宋体"/>
                <w:color w:val="auto"/>
                <w:kern w:val="0"/>
                <w:highlight w:val="none"/>
              </w:rPr>
            </w:pPr>
          </w:p>
        </w:tc>
        <w:tc>
          <w:tcPr>
            <w:tcW w:w="1276" w:type="dxa"/>
          </w:tcPr>
          <w:p w14:paraId="46BCC3EF">
            <w:pPr>
              <w:spacing w:line="360" w:lineRule="auto"/>
              <w:jc w:val="center"/>
              <w:rPr>
                <w:rFonts w:ascii="宋体" w:hAnsi="宋体" w:eastAsia="宋体" w:cs="宋体"/>
                <w:color w:val="auto"/>
                <w:kern w:val="0"/>
                <w:highlight w:val="none"/>
              </w:rPr>
            </w:pPr>
          </w:p>
        </w:tc>
      </w:tr>
      <w:tr w14:paraId="42F7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tcPr>
          <w:p w14:paraId="18252978">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第二期</w:t>
            </w:r>
          </w:p>
        </w:tc>
        <w:tc>
          <w:tcPr>
            <w:tcW w:w="3794" w:type="dxa"/>
            <w:gridSpan w:val="2"/>
          </w:tcPr>
          <w:p w14:paraId="64B48E39">
            <w:pPr>
              <w:spacing w:line="360" w:lineRule="auto"/>
              <w:jc w:val="center"/>
              <w:rPr>
                <w:rFonts w:ascii="宋体" w:hAnsi="宋体" w:eastAsia="宋体" w:cs="宋体"/>
                <w:color w:val="auto"/>
                <w:kern w:val="0"/>
                <w:highlight w:val="none"/>
              </w:rPr>
            </w:pPr>
          </w:p>
        </w:tc>
        <w:tc>
          <w:tcPr>
            <w:tcW w:w="2268" w:type="dxa"/>
          </w:tcPr>
          <w:p w14:paraId="7DC1124B">
            <w:pPr>
              <w:spacing w:line="360" w:lineRule="auto"/>
              <w:jc w:val="center"/>
              <w:rPr>
                <w:rFonts w:ascii="宋体" w:hAnsi="宋体" w:eastAsia="宋体" w:cs="宋体"/>
                <w:color w:val="auto"/>
                <w:kern w:val="0"/>
                <w:highlight w:val="none"/>
              </w:rPr>
            </w:pPr>
          </w:p>
        </w:tc>
        <w:tc>
          <w:tcPr>
            <w:tcW w:w="1276" w:type="dxa"/>
          </w:tcPr>
          <w:p w14:paraId="72E7D588">
            <w:pPr>
              <w:spacing w:line="360" w:lineRule="auto"/>
              <w:jc w:val="center"/>
              <w:rPr>
                <w:rFonts w:ascii="宋体" w:hAnsi="宋体" w:eastAsia="宋体" w:cs="宋体"/>
                <w:color w:val="auto"/>
                <w:kern w:val="0"/>
                <w:highlight w:val="none"/>
              </w:rPr>
            </w:pPr>
          </w:p>
        </w:tc>
      </w:tr>
      <w:tr w14:paraId="2B86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tcPr>
          <w:p w14:paraId="3595B08F">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第三期</w:t>
            </w:r>
          </w:p>
        </w:tc>
        <w:tc>
          <w:tcPr>
            <w:tcW w:w="3794" w:type="dxa"/>
            <w:gridSpan w:val="2"/>
          </w:tcPr>
          <w:p w14:paraId="4AA328BA">
            <w:pPr>
              <w:spacing w:line="360" w:lineRule="auto"/>
              <w:jc w:val="center"/>
              <w:rPr>
                <w:rFonts w:ascii="宋体" w:hAnsi="宋体" w:eastAsia="宋体" w:cs="宋体"/>
                <w:color w:val="auto"/>
                <w:kern w:val="0"/>
                <w:highlight w:val="none"/>
              </w:rPr>
            </w:pPr>
          </w:p>
        </w:tc>
        <w:tc>
          <w:tcPr>
            <w:tcW w:w="2268" w:type="dxa"/>
          </w:tcPr>
          <w:p w14:paraId="705E4C0C">
            <w:pPr>
              <w:spacing w:line="360" w:lineRule="auto"/>
              <w:jc w:val="center"/>
              <w:rPr>
                <w:rFonts w:ascii="宋体" w:hAnsi="宋体" w:eastAsia="宋体" w:cs="宋体"/>
                <w:color w:val="auto"/>
                <w:kern w:val="0"/>
                <w:highlight w:val="none"/>
              </w:rPr>
            </w:pPr>
          </w:p>
        </w:tc>
        <w:tc>
          <w:tcPr>
            <w:tcW w:w="1276" w:type="dxa"/>
          </w:tcPr>
          <w:p w14:paraId="6C985873">
            <w:pPr>
              <w:spacing w:line="360" w:lineRule="auto"/>
              <w:jc w:val="center"/>
              <w:rPr>
                <w:rFonts w:ascii="宋体" w:hAnsi="宋体" w:eastAsia="宋体" w:cs="宋体"/>
                <w:color w:val="auto"/>
                <w:kern w:val="0"/>
                <w:highlight w:val="none"/>
              </w:rPr>
            </w:pPr>
          </w:p>
        </w:tc>
      </w:tr>
      <w:tr w14:paraId="56AD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1417" w:type="dxa"/>
          </w:tcPr>
          <w:p w14:paraId="54FE0785">
            <w:pPr>
              <w:spacing w:line="360" w:lineRule="auto"/>
              <w:jc w:val="center"/>
              <w:rPr>
                <w:rFonts w:ascii="宋体" w:hAnsi="宋体" w:eastAsia="宋体" w:cs="宋体"/>
                <w:color w:val="auto"/>
                <w:kern w:val="0"/>
                <w:highlight w:val="none"/>
              </w:rPr>
            </w:pPr>
            <w:r>
              <w:rPr>
                <w:rFonts w:hint="eastAsia" w:ascii="宋体" w:hAnsi="宋体" w:eastAsia="宋体" w:cs="宋体"/>
                <w:color w:val="auto"/>
                <w:kern w:val="0"/>
                <w:highlight w:val="none"/>
              </w:rPr>
              <w:t>……</w:t>
            </w:r>
          </w:p>
        </w:tc>
        <w:tc>
          <w:tcPr>
            <w:tcW w:w="3794" w:type="dxa"/>
            <w:gridSpan w:val="2"/>
          </w:tcPr>
          <w:p w14:paraId="30734AB1">
            <w:pPr>
              <w:spacing w:line="360" w:lineRule="auto"/>
              <w:jc w:val="center"/>
              <w:rPr>
                <w:rFonts w:ascii="宋体" w:hAnsi="宋体" w:eastAsia="宋体" w:cs="宋体"/>
                <w:color w:val="auto"/>
                <w:kern w:val="0"/>
                <w:highlight w:val="none"/>
              </w:rPr>
            </w:pPr>
          </w:p>
        </w:tc>
        <w:tc>
          <w:tcPr>
            <w:tcW w:w="2268" w:type="dxa"/>
          </w:tcPr>
          <w:p w14:paraId="520525D1">
            <w:pPr>
              <w:spacing w:line="360" w:lineRule="auto"/>
              <w:jc w:val="center"/>
              <w:rPr>
                <w:rFonts w:ascii="宋体" w:hAnsi="宋体" w:eastAsia="宋体" w:cs="宋体"/>
                <w:color w:val="auto"/>
                <w:kern w:val="0"/>
                <w:highlight w:val="none"/>
              </w:rPr>
            </w:pPr>
          </w:p>
        </w:tc>
        <w:tc>
          <w:tcPr>
            <w:tcW w:w="1276" w:type="dxa"/>
          </w:tcPr>
          <w:p w14:paraId="2A88A1A3">
            <w:pPr>
              <w:spacing w:line="360" w:lineRule="auto"/>
              <w:jc w:val="center"/>
              <w:rPr>
                <w:rFonts w:ascii="宋体" w:hAnsi="宋体" w:eastAsia="宋体" w:cs="宋体"/>
                <w:color w:val="auto"/>
                <w:kern w:val="0"/>
                <w:highlight w:val="none"/>
              </w:rPr>
            </w:pPr>
          </w:p>
        </w:tc>
      </w:tr>
      <w:tr w14:paraId="15C4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70" w:type="dxa"/>
            <w:gridSpan w:val="3"/>
          </w:tcPr>
          <w:p w14:paraId="60F139A8">
            <w:pPr>
              <w:spacing w:line="360" w:lineRule="exact"/>
              <w:ind w:firstLine="435"/>
              <w:jc w:val="right"/>
              <w:rPr>
                <w:rFonts w:ascii="宋体" w:hAnsi="宋体" w:eastAsia="宋体" w:cs="宋体"/>
                <w:color w:val="auto"/>
                <w:highlight w:val="none"/>
              </w:rPr>
            </w:pPr>
          </w:p>
          <w:p w14:paraId="213DC89C">
            <w:pPr>
              <w:spacing w:line="360" w:lineRule="exact"/>
              <w:ind w:firstLine="435"/>
              <w:jc w:val="center"/>
              <w:rPr>
                <w:rFonts w:ascii="宋体" w:hAnsi="宋体" w:eastAsia="宋体" w:cs="宋体"/>
                <w:color w:val="auto"/>
                <w:highlight w:val="none"/>
              </w:rPr>
            </w:pPr>
          </w:p>
          <w:p w14:paraId="5A45D5B2">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发包人代表签字：</w:t>
            </w:r>
          </w:p>
          <w:p w14:paraId="44240360">
            <w:pPr>
              <w:spacing w:line="360" w:lineRule="exact"/>
              <w:ind w:firstLine="435"/>
              <w:jc w:val="center"/>
              <w:rPr>
                <w:rFonts w:ascii="宋体" w:hAnsi="宋体" w:eastAsia="宋体" w:cs="宋体"/>
                <w:color w:val="auto"/>
                <w:highlight w:val="none"/>
              </w:rPr>
            </w:pPr>
          </w:p>
          <w:p w14:paraId="34A2616D">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发包人（盖公章）</w:t>
            </w:r>
          </w:p>
          <w:p w14:paraId="54806D7C">
            <w:pPr>
              <w:spacing w:line="360" w:lineRule="exact"/>
              <w:ind w:firstLine="435"/>
              <w:jc w:val="center"/>
              <w:rPr>
                <w:rFonts w:ascii="宋体" w:hAnsi="宋体" w:eastAsia="宋体" w:cs="宋体"/>
                <w:color w:val="auto"/>
                <w:highlight w:val="none"/>
              </w:rPr>
            </w:pPr>
          </w:p>
          <w:p w14:paraId="5DF5148C">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        </w:t>
            </w:r>
            <w:r>
              <w:rPr>
                <w:rFonts w:hint="eastAsia" w:ascii="宋体" w:hAnsi="宋体" w:eastAsia="宋体" w:cs="宋体"/>
                <w:color w:val="auto"/>
                <w:highlight w:val="none"/>
                <w:u w:val="single"/>
              </w:rPr>
              <w:t xml:space="preserve">   </w:t>
            </w:r>
          </w:p>
        </w:tc>
        <w:tc>
          <w:tcPr>
            <w:tcW w:w="4219" w:type="dxa"/>
            <w:gridSpan w:val="3"/>
          </w:tcPr>
          <w:p w14:paraId="1E222B48">
            <w:pPr>
              <w:spacing w:line="360" w:lineRule="exact"/>
              <w:ind w:firstLine="435"/>
              <w:jc w:val="center"/>
              <w:rPr>
                <w:rFonts w:ascii="宋体" w:hAnsi="宋体" w:eastAsia="宋体" w:cs="宋体"/>
                <w:color w:val="auto"/>
                <w:highlight w:val="none"/>
              </w:rPr>
            </w:pPr>
          </w:p>
          <w:p w14:paraId="1FE33CA1">
            <w:pPr>
              <w:spacing w:line="360" w:lineRule="exact"/>
              <w:ind w:firstLine="435"/>
              <w:jc w:val="center"/>
              <w:rPr>
                <w:rFonts w:ascii="宋体" w:hAnsi="宋体" w:eastAsia="宋体" w:cs="宋体"/>
                <w:color w:val="auto"/>
                <w:highlight w:val="none"/>
                <w:u w:val="single"/>
              </w:rPr>
            </w:pPr>
          </w:p>
          <w:p w14:paraId="6B99AD4D">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承包人代表签字：</w:t>
            </w:r>
          </w:p>
          <w:p w14:paraId="019A4163">
            <w:pPr>
              <w:spacing w:line="360" w:lineRule="exact"/>
              <w:ind w:firstLine="435"/>
              <w:jc w:val="center"/>
              <w:rPr>
                <w:rFonts w:ascii="宋体" w:hAnsi="宋体" w:eastAsia="宋体" w:cs="宋体"/>
                <w:color w:val="auto"/>
                <w:highlight w:val="none"/>
              </w:rPr>
            </w:pPr>
          </w:p>
          <w:p w14:paraId="15CB2159">
            <w:pPr>
              <w:spacing w:line="360" w:lineRule="exact"/>
              <w:ind w:firstLine="435"/>
              <w:jc w:val="center"/>
              <w:rPr>
                <w:rFonts w:ascii="宋体" w:hAnsi="宋体" w:eastAsia="宋体" w:cs="宋体"/>
                <w:color w:val="auto"/>
                <w:highlight w:val="none"/>
              </w:rPr>
            </w:pPr>
            <w:r>
              <w:rPr>
                <w:rFonts w:hint="eastAsia" w:ascii="宋体" w:hAnsi="宋体" w:eastAsia="宋体" w:cs="宋体"/>
                <w:color w:val="auto"/>
                <w:highlight w:val="none"/>
              </w:rPr>
              <w:t>承包人（盖公章）</w:t>
            </w:r>
          </w:p>
          <w:p w14:paraId="2CCB1785">
            <w:pPr>
              <w:spacing w:line="360" w:lineRule="exact"/>
              <w:ind w:firstLine="435"/>
              <w:jc w:val="center"/>
              <w:rPr>
                <w:rFonts w:ascii="宋体" w:hAnsi="宋体" w:eastAsia="宋体" w:cs="宋体"/>
                <w:color w:val="auto"/>
                <w:highlight w:val="none"/>
              </w:rPr>
            </w:pPr>
          </w:p>
          <w:p w14:paraId="06521389">
            <w:pPr>
              <w:spacing w:line="360" w:lineRule="exact"/>
              <w:ind w:firstLine="435"/>
              <w:jc w:val="center"/>
              <w:rPr>
                <w:rFonts w:ascii="宋体" w:hAnsi="宋体" w:eastAsia="宋体" w:cs="宋体"/>
                <w:color w:val="auto"/>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tc>
      </w:tr>
    </w:tbl>
    <w:p w14:paraId="22C57114">
      <w:pPr>
        <w:spacing w:line="360" w:lineRule="auto"/>
        <w:rPr>
          <w:rFonts w:ascii="宋体" w:hAnsi="宋体" w:eastAsia="宋体" w:cs="宋体"/>
          <w:color w:val="auto"/>
          <w:highlight w:val="none"/>
        </w:rPr>
      </w:pPr>
    </w:p>
    <w:p w14:paraId="0B8FD91C">
      <w:pPr>
        <w:spacing w:line="360" w:lineRule="auto"/>
        <w:rPr>
          <w:rFonts w:ascii="宋体" w:hAnsi="宋体" w:eastAsia="宋体" w:cs="宋体"/>
          <w:color w:val="auto"/>
          <w:highlight w:val="none"/>
        </w:rPr>
      </w:pPr>
    </w:p>
    <w:p w14:paraId="2888B1EC">
      <w:pPr>
        <w:spacing w:line="360" w:lineRule="auto"/>
        <w:rPr>
          <w:rFonts w:ascii="宋体" w:hAnsi="宋体" w:eastAsia="宋体" w:cs="宋体"/>
          <w:color w:val="auto"/>
          <w:highlight w:val="none"/>
        </w:rPr>
      </w:pPr>
    </w:p>
    <w:p w14:paraId="1F1E630C">
      <w:pPr>
        <w:spacing w:line="360" w:lineRule="auto"/>
        <w:rPr>
          <w:rFonts w:ascii="宋体" w:hAnsi="宋体" w:eastAsia="宋体" w:cs="宋体"/>
          <w:color w:val="auto"/>
          <w:highlight w:val="none"/>
        </w:rPr>
      </w:pPr>
    </w:p>
    <w:p w14:paraId="6BCA76F2">
      <w:pPr>
        <w:spacing w:line="360" w:lineRule="auto"/>
        <w:rPr>
          <w:rFonts w:ascii="宋体" w:hAnsi="宋体" w:eastAsia="宋体" w:cs="宋体"/>
          <w:color w:val="auto"/>
          <w:highlight w:val="none"/>
        </w:rPr>
      </w:pPr>
    </w:p>
    <w:p w14:paraId="51421138">
      <w:pPr>
        <w:spacing w:line="360" w:lineRule="auto"/>
        <w:rPr>
          <w:rFonts w:ascii="宋体" w:hAnsi="宋体" w:eastAsia="宋体" w:cs="宋体"/>
          <w:color w:val="auto"/>
          <w:highlight w:val="none"/>
        </w:rPr>
      </w:pPr>
    </w:p>
    <w:p w14:paraId="6E9B77C5">
      <w:pPr>
        <w:spacing w:line="360" w:lineRule="auto"/>
        <w:rPr>
          <w:rFonts w:ascii="宋体" w:hAnsi="宋体" w:eastAsia="宋体" w:cs="宋体"/>
          <w:color w:val="auto"/>
          <w:highlight w:val="none"/>
        </w:rPr>
      </w:pPr>
    </w:p>
    <w:p w14:paraId="5D4EA605">
      <w:pPr>
        <w:spacing w:line="360" w:lineRule="auto"/>
        <w:rPr>
          <w:rFonts w:ascii="宋体" w:hAnsi="宋体" w:eastAsia="宋体" w:cs="宋体"/>
          <w:color w:val="auto"/>
          <w:highlight w:val="none"/>
        </w:rPr>
      </w:pPr>
    </w:p>
    <w:p w14:paraId="2D43E58F">
      <w:pPr>
        <w:spacing w:line="360" w:lineRule="auto"/>
        <w:rPr>
          <w:rFonts w:ascii="宋体" w:hAnsi="宋体" w:eastAsia="宋体" w:cs="宋体"/>
          <w:color w:val="auto"/>
          <w:highlight w:val="none"/>
        </w:rPr>
      </w:pPr>
    </w:p>
    <w:p w14:paraId="20CA6D54">
      <w:pPr>
        <w:pStyle w:val="27"/>
        <w:snapToGrid w:val="0"/>
        <w:spacing w:before="120" w:after="120" w:line="320" w:lineRule="exact"/>
        <w:jc w:val="center"/>
        <w:outlineLvl w:val="0"/>
        <w:rPr>
          <w:rFonts w:hAnsi="宋体" w:eastAsia="宋体" w:cs="宋体"/>
          <w:color w:val="auto"/>
          <w:sz w:val="32"/>
          <w:szCs w:val="32"/>
          <w:highlight w:val="none"/>
        </w:rPr>
      </w:pPr>
      <w:bookmarkStart w:id="1030" w:name="_Toc114485416"/>
      <w:r>
        <w:rPr>
          <w:rFonts w:hint="eastAsia" w:hAnsi="宋体" w:eastAsia="宋体" w:cs="宋体"/>
          <w:color w:val="auto"/>
          <w:sz w:val="32"/>
          <w:szCs w:val="32"/>
          <w:highlight w:val="none"/>
        </w:rPr>
        <w:t>第六章  响应文件格式</w:t>
      </w:r>
      <w:bookmarkEnd w:id="1030"/>
    </w:p>
    <w:p w14:paraId="10D0E2D8">
      <w:pPr>
        <w:rPr>
          <w:rFonts w:ascii="宋体" w:hAnsi="宋体" w:eastAsia="宋体" w:cs="宋体"/>
          <w:color w:val="auto"/>
          <w:sz w:val="28"/>
          <w:szCs w:val="28"/>
          <w:highlight w:val="none"/>
        </w:rPr>
      </w:pPr>
      <w:bookmarkStart w:id="1031" w:name="_Toc254970697"/>
      <w:bookmarkStart w:id="1032" w:name="_Toc254970556"/>
    </w:p>
    <w:p w14:paraId="389B3C34">
      <w:pPr>
        <w:rPr>
          <w:rFonts w:ascii="宋体" w:hAnsi="宋体" w:eastAsia="宋体" w:cs="宋体"/>
          <w:color w:val="auto"/>
          <w:sz w:val="28"/>
          <w:szCs w:val="28"/>
          <w:highlight w:val="none"/>
        </w:rPr>
      </w:pPr>
    </w:p>
    <w:bookmarkEnd w:id="1031"/>
    <w:bookmarkEnd w:id="1032"/>
    <w:p w14:paraId="36617886">
      <w:pPr>
        <w:snapToGrid w:val="0"/>
        <w:spacing w:before="120" w:beforeLines="50" w:after="50" w:line="440" w:lineRule="exact"/>
        <w:rPr>
          <w:rFonts w:ascii="宋体" w:hAnsi="宋体" w:eastAsia="宋体" w:cs="宋体"/>
          <w:bCs/>
          <w:color w:val="auto"/>
          <w:sz w:val="24"/>
          <w:highlight w:val="none"/>
        </w:rPr>
      </w:pPr>
      <w:r>
        <w:rPr>
          <w:rFonts w:hint="eastAsia" w:ascii="宋体" w:hAnsi="宋体" w:eastAsia="宋体" w:cs="宋体"/>
          <w:color w:val="auto"/>
          <w:sz w:val="28"/>
          <w:szCs w:val="28"/>
          <w:highlight w:val="none"/>
        </w:rPr>
        <w:t>注：有签字、盖章要求的应按要求签字（签章）、盖章（签章）。</w:t>
      </w:r>
      <w:r>
        <w:rPr>
          <w:rFonts w:hint="eastAsia" w:ascii="宋体" w:hAnsi="宋体" w:eastAsia="宋体" w:cs="宋体"/>
          <w:bCs/>
          <w:color w:val="auto"/>
          <w:sz w:val="24"/>
          <w:highlight w:val="none"/>
        </w:rPr>
        <w:t xml:space="preserve"> </w:t>
      </w:r>
    </w:p>
    <w:p w14:paraId="54597A28">
      <w:pPr>
        <w:spacing w:line="500" w:lineRule="exact"/>
        <w:rPr>
          <w:rFonts w:ascii="宋体" w:hAnsi="宋体" w:eastAsia="宋体" w:cs="宋体"/>
          <w:b/>
          <w:color w:val="auto"/>
          <w:sz w:val="24"/>
          <w:highlight w:val="none"/>
        </w:rPr>
      </w:pPr>
      <w:r>
        <w:rPr>
          <w:rFonts w:hint="eastAsia" w:ascii="宋体" w:hAnsi="宋体" w:eastAsia="宋体" w:cs="宋体"/>
          <w:color w:val="auto"/>
          <w:sz w:val="28"/>
          <w:szCs w:val="28"/>
          <w:highlight w:val="none"/>
        </w:rPr>
        <w:br w:type="page"/>
      </w:r>
    </w:p>
    <w:p w14:paraId="07B02355">
      <w:pPr>
        <w:snapToGrid w:val="0"/>
        <w:spacing w:before="120" w:beforeLines="50" w:after="50" w:line="440" w:lineRule="exact"/>
        <w:jc w:val="left"/>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1.响应文件封面格式： </w:t>
      </w:r>
    </w:p>
    <w:p w14:paraId="0B481C58">
      <w:pPr>
        <w:snapToGrid w:val="0"/>
        <w:spacing w:before="120" w:beforeLines="50" w:after="50" w:line="360" w:lineRule="exact"/>
        <w:rPr>
          <w:rFonts w:ascii="宋体" w:hAnsi="宋体" w:eastAsia="宋体" w:cs="宋体"/>
          <w:color w:val="auto"/>
          <w:sz w:val="24"/>
          <w:highlight w:val="none"/>
        </w:rPr>
      </w:pPr>
    </w:p>
    <w:p w14:paraId="687412BD">
      <w:pPr>
        <w:snapToGrid w:val="0"/>
        <w:spacing w:before="120" w:beforeLines="50" w:after="50" w:line="360" w:lineRule="exact"/>
        <w:jc w:val="center"/>
        <w:rPr>
          <w:rFonts w:ascii="宋体" w:hAnsi="宋体" w:eastAsia="宋体" w:cs="宋体"/>
          <w:bCs/>
          <w:color w:val="auto"/>
          <w:sz w:val="24"/>
          <w:highlight w:val="none"/>
        </w:rPr>
      </w:pPr>
    </w:p>
    <w:p w14:paraId="47FFD465">
      <w:pPr>
        <w:snapToGrid w:val="0"/>
        <w:spacing w:before="120" w:beforeLines="50" w:after="50" w:line="360" w:lineRule="exact"/>
        <w:jc w:val="center"/>
        <w:rPr>
          <w:rFonts w:ascii="宋体" w:hAnsi="宋体" w:eastAsia="宋体" w:cs="宋体"/>
          <w:b/>
          <w:bCs/>
          <w:color w:val="auto"/>
          <w:sz w:val="44"/>
          <w:szCs w:val="44"/>
          <w:highlight w:val="none"/>
        </w:rPr>
      </w:pPr>
    </w:p>
    <w:p w14:paraId="3C840A92">
      <w:pPr>
        <w:snapToGrid w:val="0"/>
        <w:spacing w:before="120" w:beforeLines="50" w:after="50" w:line="360" w:lineRule="exact"/>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电子响应文件</w:t>
      </w:r>
    </w:p>
    <w:p w14:paraId="309661C0">
      <w:pPr>
        <w:snapToGrid w:val="0"/>
        <w:spacing w:before="120" w:beforeLines="50" w:after="50" w:line="360" w:lineRule="exact"/>
        <w:rPr>
          <w:rFonts w:ascii="宋体" w:hAnsi="宋体" w:eastAsia="宋体" w:cs="宋体"/>
          <w:bCs/>
          <w:color w:val="auto"/>
          <w:sz w:val="24"/>
          <w:highlight w:val="none"/>
        </w:rPr>
      </w:pPr>
    </w:p>
    <w:p w14:paraId="1430CD02">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F35796E">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3180312D">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分标号： （若无留空或写“/”）</w:t>
      </w:r>
    </w:p>
    <w:p w14:paraId="1DEB5860">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响应文件名称：资格证明文件、商务技术文件、报价文件</w:t>
      </w:r>
    </w:p>
    <w:p w14:paraId="68AA2A39">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供应商名称：</w:t>
      </w:r>
    </w:p>
    <w:p w14:paraId="6322B442">
      <w:pPr>
        <w:snapToGrid w:val="0"/>
        <w:spacing w:before="120" w:beforeLines="50" w:after="50" w:line="360" w:lineRule="exact"/>
        <w:ind w:firstLine="720" w:firstLineChars="300"/>
        <w:rPr>
          <w:rFonts w:ascii="宋体" w:hAnsi="宋体" w:eastAsia="宋体" w:cs="宋体"/>
          <w:bCs/>
          <w:color w:val="auto"/>
          <w:sz w:val="24"/>
          <w:highlight w:val="none"/>
        </w:rPr>
      </w:pPr>
      <w:r>
        <w:rPr>
          <w:rFonts w:hint="eastAsia" w:ascii="宋体" w:hAnsi="宋体" w:eastAsia="宋体" w:cs="宋体"/>
          <w:bCs/>
          <w:color w:val="auto"/>
          <w:sz w:val="24"/>
          <w:highlight w:val="none"/>
        </w:rPr>
        <w:t>供应商地址：</w:t>
      </w:r>
    </w:p>
    <w:p w14:paraId="456A22DD">
      <w:pPr>
        <w:pStyle w:val="7"/>
        <w:snapToGrid w:val="0"/>
        <w:spacing w:before="50" w:after="50" w:line="360" w:lineRule="exact"/>
        <w:ind w:firstLine="960" w:firstLineChars="400"/>
        <w:rPr>
          <w:rFonts w:ascii="宋体" w:hAnsi="宋体" w:eastAsia="宋体" w:cs="宋体"/>
          <w:bCs/>
          <w:color w:val="auto"/>
          <w:sz w:val="24"/>
          <w:szCs w:val="24"/>
          <w:highlight w:val="none"/>
        </w:rPr>
      </w:pPr>
    </w:p>
    <w:p w14:paraId="13C85ECA">
      <w:pPr>
        <w:snapToGrid w:val="0"/>
        <w:spacing w:before="120" w:beforeLines="50" w:after="50" w:line="3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8E93172">
      <w:pPr>
        <w:snapToGrid w:val="0"/>
        <w:spacing w:before="120" w:beforeLines="50" w:after="50" w:line="440" w:lineRule="exact"/>
        <w:jc w:val="center"/>
        <w:rPr>
          <w:rFonts w:ascii="宋体" w:hAnsi="宋体" w:eastAsia="宋体" w:cs="宋体"/>
          <w:b/>
          <w:bCs/>
          <w:color w:val="auto"/>
          <w:sz w:val="24"/>
          <w:highlight w:val="none"/>
        </w:rPr>
      </w:pPr>
      <w:bookmarkStart w:id="1033" w:name="_Toc254970557"/>
      <w:bookmarkStart w:id="1034" w:name="_Toc254970698"/>
      <w:r>
        <w:rPr>
          <w:rFonts w:hint="eastAsia" w:ascii="宋体" w:hAnsi="宋体" w:eastAsia="宋体" w:cs="宋体"/>
          <w:color w:val="auto"/>
          <w:sz w:val="24"/>
          <w:highlight w:val="none"/>
        </w:rPr>
        <w:br w:type="page"/>
      </w:r>
      <w:bookmarkEnd w:id="1033"/>
      <w:bookmarkEnd w:id="1034"/>
    </w:p>
    <w:p w14:paraId="751A8F85">
      <w:pPr>
        <w:snapToGrid w:val="0"/>
        <w:spacing w:before="120" w:beforeLines="50" w:after="50" w:line="440" w:lineRule="exact"/>
        <w:jc w:val="center"/>
        <w:rPr>
          <w:rFonts w:ascii="宋体" w:hAnsi="宋体" w:eastAsia="宋体" w:cs="宋体"/>
          <w:color w:val="auto"/>
          <w:sz w:val="24"/>
          <w:highlight w:val="none"/>
        </w:rPr>
      </w:pPr>
    </w:p>
    <w:p w14:paraId="1700C87F">
      <w:pPr>
        <w:snapToGrid w:val="0"/>
        <w:spacing w:before="50" w:after="50" w:line="440" w:lineRule="exact"/>
        <w:ind w:firstLine="138" w:firstLineChars="49"/>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14186843">
      <w:pPr>
        <w:snapToGrid w:val="0"/>
        <w:spacing w:before="50" w:after="50" w:line="440" w:lineRule="exact"/>
        <w:ind w:firstLine="118" w:firstLineChars="49"/>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（需有页码）</w:t>
      </w:r>
    </w:p>
    <w:p w14:paraId="076487B1">
      <w:pPr>
        <w:snapToGrid w:val="0"/>
        <w:spacing w:before="50" w:after="50" w:line="440" w:lineRule="exact"/>
        <w:ind w:firstLine="118" w:firstLineChars="49"/>
        <w:jc w:val="center"/>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6B6515E">
      <w:pPr>
        <w:snapToGrid w:val="0"/>
        <w:spacing w:before="120" w:beforeLines="50" w:after="50" w:line="440" w:lineRule="exact"/>
        <w:jc w:val="center"/>
        <w:outlineLvl w:val="1"/>
        <w:rPr>
          <w:rFonts w:ascii="宋体" w:hAnsi="宋体" w:eastAsia="宋体" w:cs="宋体"/>
          <w:bCs/>
          <w:color w:val="auto"/>
          <w:sz w:val="24"/>
          <w:highlight w:val="none"/>
        </w:rPr>
      </w:pPr>
      <w:r>
        <w:rPr>
          <w:rFonts w:hint="eastAsia" w:ascii="宋体" w:hAnsi="宋体" w:eastAsia="宋体" w:cs="宋体"/>
          <w:bCs/>
          <w:color w:val="auto"/>
          <w:sz w:val="24"/>
          <w:highlight w:val="none"/>
        </w:rPr>
        <w:t>第一部分 资格证明文件</w:t>
      </w:r>
    </w:p>
    <w:p w14:paraId="0B5C423E">
      <w:pPr>
        <w:snapToGrid w:val="0"/>
        <w:spacing w:before="50" w:after="50" w:line="440" w:lineRule="exact"/>
        <w:ind w:firstLine="157" w:firstLineChars="49"/>
        <w:jc w:val="center"/>
        <w:rPr>
          <w:rStyle w:val="66"/>
          <w:rFonts w:ascii="宋体" w:hAnsi="宋体" w:eastAsia="宋体" w:cs="宋体"/>
          <w:color w:val="auto"/>
          <w:highlight w:val="none"/>
        </w:rPr>
      </w:pPr>
    </w:p>
    <w:p w14:paraId="6D65F5C0">
      <w:pPr>
        <w:snapToGrid w:val="0"/>
        <w:spacing w:before="50" w:after="120" w:afterLines="50" w:line="40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1．响应声明书格式：</w:t>
      </w:r>
    </w:p>
    <w:p w14:paraId="7B91AD8C">
      <w:pPr>
        <w:snapToGrid w:val="0"/>
        <w:spacing w:before="120" w:beforeLines="50" w:after="50"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响应声明书</w:t>
      </w:r>
    </w:p>
    <w:p w14:paraId="1EBBDC28">
      <w:pPr>
        <w:snapToGrid w:val="0"/>
        <w:spacing w:before="120" w:beforeLines="50" w:after="50" w:line="360" w:lineRule="exact"/>
        <w:jc w:val="center"/>
        <w:rPr>
          <w:rFonts w:ascii="宋体" w:hAnsi="宋体" w:eastAsia="宋体" w:cs="宋体"/>
          <w:color w:val="auto"/>
          <w:szCs w:val="21"/>
          <w:highlight w:val="none"/>
        </w:rPr>
      </w:pPr>
    </w:p>
    <w:p w14:paraId="27F9AD98">
      <w:pPr>
        <w:snapToGrid w:val="0"/>
        <w:spacing w:before="120" w:beforeLines="50" w:after="50"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p>
    <w:p w14:paraId="30856980">
      <w:pPr>
        <w:snapToGrid w:val="0"/>
        <w:spacing w:before="120" w:beforeLines="50" w:after="50" w:line="360" w:lineRule="exact"/>
        <w:ind w:firstLine="630" w:firstLineChars="300"/>
        <w:rPr>
          <w:rFonts w:ascii="宋体" w:hAnsi="宋体" w:eastAsia="宋体" w:cs="宋体"/>
          <w:color w:val="auto"/>
          <w:szCs w:val="21"/>
          <w:highlight w:val="none"/>
        </w:rPr>
      </w:pP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系中华人民共和国合法企业，</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 xml:space="preserve"> （经营地址）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2D1FB5">
      <w:pPr>
        <w:snapToGrid w:val="0"/>
        <w:spacing w:before="120" w:beforeLines="50" w:after="50" w:line="360" w:lineRule="exact"/>
        <w:ind w:firstLine="645"/>
        <w:rPr>
          <w:rFonts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i/>
          <w:iCs/>
          <w:color w:val="auto"/>
          <w:szCs w:val="21"/>
          <w:highlight w:val="none"/>
          <w:u w:val="single"/>
        </w:rPr>
        <w:t xml:space="preserve">（姓名） </w:t>
      </w:r>
      <w:r>
        <w:rPr>
          <w:rFonts w:hint="eastAsia" w:ascii="宋体" w:hAnsi="宋体" w:eastAsia="宋体" w:cs="宋体"/>
          <w:color w:val="auto"/>
          <w:szCs w:val="21"/>
          <w:highlight w:val="none"/>
        </w:rPr>
        <w:t>系</w:t>
      </w: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的法定代表人，我方愿意参加贵方组织的</w:t>
      </w:r>
      <w:r>
        <w:rPr>
          <w:rFonts w:hint="eastAsia" w:ascii="宋体" w:hAnsi="宋体" w:eastAsia="宋体" w:cs="宋体"/>
          <w:i/>
          <w:iCs/>
          <w:color w:val="auto"/>
          <w:szCs w:val="21"/>
          <w:highlight w:val="none"/>
          <w:u w:val="single"/>
        </w:rPr>
        <w:t xml:space="preserve">（项目名称） </w:t>
      </w:r>
      <w:r>
        <w:rPr>
          <w:rFonts w:hint="eastAsia" w:ascii="宋体" w:hAnsi="宋体" w:eastAsia="宋体" w:cs="宋体"/>
          <w:color w:val="auto"/>
          <w:szCs w:val="21"/>
          <w:highlight w:val="none"/>
        </w:rPr>
        <w:t>项目的谈判，为便于贵方公正、择优地确定成交供应商及其响应内容，我方就本次谈判有关事项郑重声明如下：</w:t>
      </w:r>
    </w:p>
    <w:p w14:paraId="23260BD1">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05A01916">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（2）我方不是采购人的附属机构；也不是为本项目提供整体设计、规范编制或者项目管理、监理、检测等服务的供应商或其附属机构。</w:t>
      </w:r>
    </w:p>
    <w:p w14:paraId="69EF1165">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我方承诺在参加本政府采购项目活动前，没有被纳入政府部门或银行认定的失信名单，我方具有良好的商业信誉。</w:t>
      </w:r>
    </w:p>
    <w:p w14:paraId="137B3692">
      <w:pPr>
        <w:spacing w:line="3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中华人民共和国政府采购法》有关提供虚假材料的规定给予的处罚。</w:t>
      </w:r>
    </w:p>
    <w:p w14:paraId="78E94192">
      <w:pPr>
        <w:snapToGrid w:val="0"/>
        <w:spacing w:before="120" w:beforeLines="50" w:line="36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我方</w:t>
      </w:r>
      <w:r>
        <w:rPr>
          <w:rFonts w:hint="eastAsia" w:ascii="宋体" w:hAnsi="宋体" w:eastAsia="宋体" w:cs="宋体"/>
          <w:color w:val="auto"/>
          <w:szCs w:val="21"/>
          <w:highlight w:val="none"/>
        </w:rPr>
        <w:t>承诺</w:t>
      </w:r>
      <w:r>
        <w:rPr>
          <w:rFonts w:hint="eastAsia" w:ascii="宋体" w:hAnsi="宋体" w:eastAsia="宋体" w:cs="宋体"/>
          <w:color w:val="auto"/>
          <w:szCs w:val="21"/>
          <w:highlight w:val="none"/>
          <w:lang w:val="zh-CN"/>
        </w:rPr>
        <w:t>具有履行本项目合同所必需的设备和专业技术能力。</w:t>
      </w:r>
    </w:p>
    <w:p w14:paraId="278589A2">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（6）我方承诺未被列入失信被执行人、</w:t>
      </w:r>
      <w:r>
        <w:rPr>
          <w:rFonts w:hint="eastAsia" w:ascii="宋体" w:hAnsi="宋体" w:eastAsia="宋体" w:cs="宋体"/>
          <w:color w:val="auto"/>
          <w:kern w:val="0"/>
          <w:szCs w:val="21"/>
          <w:highlight w:val="none"/>
        </w:rPr>
        <w:t>重大税收违法失信主体</w:t>
      </w:r>
      <w:r>
        <w:rPr>
          <w:rFonts w:hint="eastAsia" w:ascii="宋体" w:hAnsi="宋体" w:eastAsia="宋体" w:cs="宋体"/>
          <w:color w:val="auto"/>
          <w:szCs w:val="21"/>
          <w:highlight w:val="none"/>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48FDCE9D">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（7）我方承诺成交后按规定缴纳代理服务费。如未按时缴纳，贵方可不退还我方提交的谈判保证金，并从中扣除代理服务费。</w:t>
      </w:r>
    </w:p>
    <w:p w14:paraId="4BEC30CE">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我方对以上声明负全部法律责任。如有虚假或隐瞒，我方愿意承担一切后果，并不再寻求任何旨在减轻或免除法律责任的辩解。</w:t>
      </w:r>
    </w:p>
    <w:p w14:paraId="3F192B86">
      <w:pPr>
        <w:snapToGrid w:val="0"/>
        <w:spacing w:before="120" w:beforeLines="50" w:line="360" w:lineRule="exact"/>
        <w:ind w:firstLine="420" w:firstLineChars="200"/>
        <w:rPr>
          <w:rFonts w:ascii="宋体" w:hAnsi="宋体" w:eastAsia="宋体" w:cs="宋体"/>
          <w:color w:val="auto"/>
          <w:szCs w:val="21"/>
          <w:highlight w:val="none"/>
        </w:rPr>
      </w:pPr>
    </w:p>
    <w:p w14:paraId="43A7819B">
      <w:pPr>
        <w:snapToGrid w:val="0"/>
        <w:spacing w:before="120" w:beforeLines="50" w:after="50" w:line="360" w:lineRule="exact"/>
        <w:ind w:firstLine="3570" w:firstLineChars="17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C23ED8E">
      <w:pPr>
        <w:snapToGrid w:val="0"/>
        <w:spacing w:before="120" w:beforeLines="50" w:after="50" w:line="36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95D16A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2．法人或者其他组织的营业执照等证明文件。即供应商是企业则提供营业执照（副本）扫描件；供应商是事业单位，则提供事业单位法人证书（副本）扫描件；供应商是非企业专业服务机构的，则提供执业许可证等证明文件扫描件；如供应商不是以上所列的法人、组织的，则提供国家规定的相关证明材料。</w:t>
      </w:r>
      <w:bookmarkStart w:id="1035" w:name="_Hlk89190828"/>
      <w:r>
        <w:rPr>
          <w:rFonts w:hint="eastAsia" w:ascii="宋体" w:hAnsi="宋体" w:eastAsia="宋体" w:cs="宋体"/>
          <w:color w:val="auto"/>
          <w:szCs w:val="21"/>
          <w:highlight w:val="none"/>
        </w:rPr>
        <w:t>（加盖供应商电子签章）</w:t>
      </w:r>
      <w:bookmarkEnd w:id="1035"/>
    </w:p>
    <w:p w14:paraId="633C16F5">
      <w:pPr>
        <w:snapToGrid w:val="0"/>
        <w:spacing w:before="120" w:beforeLines="50" w:after="50" w:line="440" w:lineRule="exact"/>
        <w:rPr>
          <w:rFonts w:ascii="宋体" w:hAnsi="宋体" w:eastAsia="宋体" w:cs="宋体"/>
          <w:color w:val="auto"/>
          <w:szCs w:val="21"/>
          <w:highlight w:val="none"/>
        </w:rPr>
      </w:pPr>
    </w:p>
    <w:p w14:paraId="1349979D">
      <w:pPr>
        <w:snapToGrid w:val="0"/>
        <w:spacing w:before="120" w:beforeLines="50" w:after="5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3．财务状况报告（表）扫描件或银行出具的资信证明扫描件。</w:t>
      </w:r>
      <w:r>
        <w:rPr>
          <w:rFonts w:hint="eastAsia" w:ascii="宋体" w:hAnsi="宋体" w:eastAsia="宋体" w:cs="宋体"/>
          <w:color w:val="auto"/>
          <w:highlight w:val="none"/>
        </w:rPr>
        <w:t>对于从取得营业执照时间起到截标时间为止不足1年的供应商，只需提交</w:t>
      </w:r>
      <w:r>
        <w:rPr>
          <w:rFonts w:hint="eastAsia" w:ascii="宋体" w:hAnsi="宋体" w:eastAsia="宋体" w:cs="宋体"/>
          <w:color w:val="auto"/>
          <w:szCs w:val="21"/>
          <w:highlight w:val="none"/>
        </w:rPr>
        <w:t>截标时间前一个月的财务状况报告（表）扫描件。（按“评审方法及标准” “资格审查表”规定提供）。（加盖供应商电子签章）</w:t>
      </w:r>
    </w:p>
    <w:p w14:paraId="094A1703">
      <w:pPr>
        <w:snapToGrid w:val="0"/>
        <w:spacing w:before="120" w:beforeLines="50" w:after="50" w:line="440" w:lineRule="exact"/>
        <w:rPr>
          <w:rFonts w:ascii="宋体" w:hAnsi="宋体" w:eastAsia="宋体" w:cs="宋体"/>
          <w:color w:val="auto"/>
          <w:szCs w:val="21"/>
          <w:highlight w:val="none"/>
        </w:rPr>
      </w:pPr>
    </w:p>
    <w:p w14:paraId="7A6191AC">
      <w:pPr>
        <w:snapToGrid w:val="0"/>
        <w:spacing w:before="50" w:after="120" w:afterLines="50" w:line="4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hint="eastAsia" w:ascii="宋体" w:hAnsi="宋体" w:eastAsia="宋体" w:cs="宋体"/>
          <w:color w:val="auto"/>
          <w:szCs w:val="21"/>
          <w:highlight w:val="none"/>
        </w:rPr>
        <w:t>（按“评审方法及标准” “资格审查表”规定提供，其中社会保险缴纳证明在对应人员资料处提供）（加盖供应商电子签章）</w:t>
      </w:r>
    </w:p>
    <w:p w14:paraId="0C1E6D8C">
      <w:pPr>
        <w:snapToGrid w:val="0"/>
        <w:spacing w:before="50" w:after="120" w:afterLines="50" w:line="440" w:lineRule="exact"/>
        <w:jc w:val="left"/>
        <w:rPr>
          <w:rFonts w:ascii="宋体" w:hAnsi="宋体" w:eastAsia="宋体" w:cs="宋体"/>
          <w:color w:val="auto"/>
          <w:highlight w:val="none"/>
        </w:rPr>
      </w:pPr>
    </w:p>
    <w:p w14:paraId="065D434B">
      <w:pPr>
        <w:snapToGrid w:val="0"/>
        <w:spacing w:before="50" w:after="120" w:afterLines="50" w:line="440" w:lineRule="exact"/>
        <w:jc w:val="left"/>
        <w:rPr>
          <w:rFonts w:ascii="宋体" w:hAnsi="宋体" w:eastAsia="宋体" w:cs="宋体"/>
          <w:color w:val="auto"/>
          <w:highlight w:val="none"/>
        </w:rPr>
      </w:pPr>
      <w:r>
        <w:rPr>
          <w:rFonts w:hint="eastAsia" w:ascii="宋体" w:hAnsi="宋体" w:eastAsia="宋体" w:cs="宋体"/>
          <w:color w:val="auto"/>
          <w:highlight w:val="none"/>
        </w:rPr>
        <w:t>5．具备法律、行政法规规定的其他要求的证明材料（按“评审方法及标准” “</w:t>
      </w:r>
      <w:r>
        <w:rPr>
          <w:rFonts w:hint="eastAsia" w:ascii="宋体" w:hAnsi="宋体" w:eastAsia="宋体" w:cs="宋体"/>
          <w:color w:val="auto"/>
          <w:szCs w:val="21"/>
          <w:highlight w:val="none"/>
        </w:rPr>
        <w:t>资格审查表</w:t>
      </w:r>
      <w:r>
        <w:rPr>
          <w:rFonts w:hint="eastAsia" w:ascii="宋体" w:hAnsi="宋体" w:eastAsia="宋体" w:cs="宋体"/>
          <w:color w:val="auto"/>
          <w:highlight w:val="none"/>
        </w:rPr>
        <w:t>”规定提供）。</w:t>
      </w:r>
      <w:r>
        <w:rPr>
          <w:rFonts w:hint="eastAsia" w:ascii="宋体" w:hAnsi="宋体" w:eastAsia="宋体" w:cs="宋体"/>
          <w:b/>
          <w:color w:val="auto"/>
          <w:highlight w:val="none"/>
        </w:rPr>
        <w:t>（如采购文件有要求时提供）</w:t>
      </w:r>
    </w:p>
    <w:p w14:paraId="42EB46E6">
      <w:pPr>
        <w:snapToGrid w:val="0"/>
        <w:spacing w:before="50" w:after="120" w:afterLines="50" w:line="440" w:lineRule="exact"/>
        <w:jc w:val="left"/>
        <w:rPr>
          <w:rFonts w:ascii="宋体" w:hAnsi="宋体" w:eastAsia="宋体" w:cs="宋体"/>
          <w:color w:val="auto"/>
          <w:highlight w:val="none"/>
        </w:rPr>
      </w:pPr>
      <w:r>
        <w:rPr>
          <w:rFonts w:hint="eastAsia" w:ascii="宋体" w:hAnsi="宋体" w:eastAsia="宋体" w:cs="宋体"/>
          <w:color w:val="auto"/>
          <w:highlight w:val="none"/>
        </w:rPr>
        <w:t>5.1供应商基本情况表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01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70BB74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341" w:type="dxa"/>
            <w:gridSpan w:val="8"/>
            <w:vAlign w:val="center"/>
          </w:tcPr>
          <w:p w14:paraId="7783E554">
            <w:pPr>
              <w:jc w:val="center"/>
              <w:rPr>
                <w:rFonts w:ascii="宋体" w:hAnsi="宋体" w:eastAsia="宋体" w:cs="宋体"/>
                <w:color w:val="auto"/>
                <w:szCs w:val="21"/>
                <w:highlight w:val="none"/>
              </w:rPr>
            </w:pPr>
          </w:p>
        </w:tc>
      </w:tr>
      <w:tr w14:paraId="597A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EFC0AC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389" w:type="dxa"/>
            <w:gridSpan w:val="4"/>
            <w:vAlign w:val="center"/>
          </w:tcPr>
          <w:p w14:paraId="3635372D">
            <w:pPr>
              <w:jc w:val="center"/>
              <w:rPr>
                <w:rFonts w:ascii="宋体" w:hAnsi="宋体" w:eastAsia="宋体" w:cs="宋体"/>
                <w:color w:val="auto"/>
                <w:szCs w:val="21"/>
                <w:highlight w:val="none"/>
              </w:rPr>
            </w:pPr>
          </w:p>
        </w:tc>
        <w:tc>
          <w:tcPr>
            <w:tcW w:w="1246" w:type="dxa"/>
            <w:vAlign w:val="center"/>
          </w:tcPr>
          <w:p w14:paraId="3292818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706" w:type="dxa"/>
            <w:gridSpan w:val="3"/>
            <w:vAlign w:val="center"/>
          </w:tcPr>
          <w:p w14:paraId="397F08A2">
            <w:pPr>
              <w:jc w:val="center"/>
              <w:rPr>
                <w:rFonts w:ascii="宋体" w:hAnsi="宋体" w:eastAsia="宋体" w:cs="宋体"/>
                <w:color w:val="auto"/>
                <w:szCs w:val="21"/>
                <w:highlight w:val="none"/>
              </w:rPr>
            </w:pPr>
          </w:p>
        </w:tc>
      </w:tr>
      <w:tr w14:paraId="6E75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5C3DABA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97" w:type="dxa"/>
            <w:vAlign w:val="center"/>
          </w:tcPr>
          <w:p w14:paraId="44F03DC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492" w:type="dxa"/>
            <w:gridSpan w:val="3"/>
            <w:vAlign w:val="center"/>
          </w:tcPr>
          <w:p w14:paraId="4F7FCA86">
            <w:pPr>
              <w:jc w:val="center"/>
              <w:rPr>
                <w:rFonts w:ascii="宋体" w:hAnsi="宋体" w:eastAsia="宋体" w:cs="宋体"/>
                <w:color w:val="auto"/>
                <w:szCs w:val="21"/>
                <w:highlight w:val="none"/>
              </w:rPr>
            </w:pPr>
          </w:p>
        </w:tc>
        <w:tc>
          <w:tcPr>
            <w:tcW w:w="1246" w:type="dxa"/>
            <w:vAlign w:val="center"/>
          </w:tcPr>
          <w:p w14:paraId="7489437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  话</w:t>
            </w:r>
          </w:p>
        </w:tc>
        <w:tc>
          <w:tcPr>
            <w:tcW w:w="2706" w:type="dxa"/>
            <w:gridSpan w:val="3"/>
            <w:vAlign w:val="center"/>
          </w:tcPr>
          <w:p w14:paraId="50EEA67E">
            <w:pPr>
              <w:jc w:val="center"/>
              <w:rPr>
                <w:rFonts w:ascii="宋体" w:hAnsi="宋体" w:eastAsia="宋体" w:cs="宋体"/>
                <w:color w:val="auto"/>
                <w:szCs w:val="21"/>
                <w:highlight w:val="none"/>
              </w:rPr>
            </w:pPr>
          </w:p>
        </w:tc>
      </w:tr>
      <w:tr w14:paraId="2BB1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3F8432EB">
            <w:pPr>
              <w:jc w:val="center"/>
              <w:rPr>
                <w:rFonts w:ascii="宋体" w:hAnsi="宋体" w:eastAsia="宋体" w:cs="宋体"/>
                <w:color w:val="auto"/>
                <w:szCs w:val="21"/>
                <w:highlight w:val="none"/>
              </w:rPr>
            </w:pPr>
          </w:p>
        </w:tc>
        <w:tc>
          <w:tcPr>
            <w:tcW w:w="897" w:type="dxa"/>
            <w:vAlign w:val="center"/>
          </w:tcPr>
          <w:p w14:paraId="4DA22C3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传  真</w:t>
            </w:r>
          </w:p>
        </w:tc>
        <w:tc>
          <w:tcPr>
            <w:tcW w:w="2492" w:type="dxa"/>
            <w:gridSpan w:val="3"/>
            <w:vAlign w:val="center"/>
          </w:tcPr>
          <w:p w14:paraId="61877227">
            <w:pPr>
              <w:jc w:val="center"/>
              <w:rPr>
                <w:rFonts w:ascii="宋体" w:hAnsi="宋体" w:eastAsia="宋体" w:cs="宋体"/>
                <w:color w:val="auto"/>
                <w:szCs w:val="21"/>
                <w:highlight w:val="none"/>
              </w:rPr>
            </w:pPr>
          </w:p>
        </w:tc>
        <w:tc>
          <w:tcPr>
            <w:tcW w:w="1246" w:type="dxa"/>
            <w:vAlign w:val="center"/>
          </w:tcPr>
          <w:p w14:paraId="24332E2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网  址</w:t>
            </w:r>
          </w:p>
        </w:tc>
        <w:tc>
          <w:tcPr>
            <w:tcW w:w="2706" w:type="dxa"/>
            <w:gridSpan w:val="3"/>
            <w:vAlign w:val="center"/>
          </w:tcPr>
          <w:p w14:paraId="5A7DEB1A">
            <w:pPr>
              <w:jc w:val="center"/>
              <w:rPr>
                <w:rFonts w:ascii="宋体" w:hAnsi="宋体" w:eastAsia="宋体" w:cs="宋体"/>
                <w:color w:val="auto"/>
                <w:szCs w:val="21"/>
                <w:highlight w:val="none"/>
              </w:rPr>
            </w:pPr>
          </w:p>
        </w:tc>
      </w:tr>
      <w:tr w14:paraId="654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4D828B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7341" w:type="dxa"/>
            <w:gridSpan w:val="8"/>
            <w:vAlign w:val="center"/>
          </w:tcPr>
          <w:p w14:paraId="339E91A1">
            <w:pPr>
              <w:jc w:val="center"/>
              <w:rPr>
                <w:rFonts w:ascii="宋体" w:hAnsi="宋体" w:eastAsia="宋体" w:cs="宋体"/>
                <w:color w:val="auto"/>
                <w:szCs w:val="21"/>
                <w:highlight w:val="none"/>
              </w:rPr>
            </w:pPr>
          </w:p>
        </w:tc>
      </w:tr>
      <w:tr w14:paraId="14BA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A3A09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97" w:type="dxa"/>
            <w:vAlign w:val="center"/>
          </w:tcPr>
          <w:p w14:paraId="5F978EF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14:paraId="54544CC1">
            <w:pPr>
              <w:jc w:val="center"/>
              <w:rPr>
                <w:rFonts w:ascii="宋体" w:hAnsi="宋体" w:eastAsia="宋体" w:cs="宋体"/>
                <w:color w:val="auto"/>
                <w:szCs w:val="21"/>
                <w:highlight w:val="none"/>
              </w:rPr>
            </w:pPr>
          </w:p>
        </w:tc>
        <w:tc>
          <w:tcPr>
            <w:tcW w:w="1160" w:type="dxa"/>
            <w:vAlign w:val="center"/>
          </w:tcPr>
          <w:p w14:paraId="41117CB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20" w:type="dxa"/>
            <w:gridSpan w:val="3"/>
            <w:vAlign w:val="center"/>
          </w:tcPr>
          <w:p w14:paraId="56E9D124">
            <w:pPr>
              <w:jc w:val="center"/>
              <w:rPr>
                <w:rFonts w:ascii="宋体" w:hAnsi="宋体" w:eastAsia="宋体" w:cs="宋体"/>
                <w:color w:val="auto"/>
                <w:szCs w:val="21"/>
                <w:highlight w:val="none"/>
              </w:rPr>
            </w:pPr>
          </w:p>
        </w:tc>
        <w:tc>
          <w:tcPr>
            <w:tcW w:w="720" w:type="dxa"/>
            <w:vAlign w:val="center"/>
          </w:tcPr>
          <w:p w14:paraId="6309446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923" w:type="dxa"/>
            <w:vAlign w:val="center"/>
          </w:tcPr>
          <w:p w14:paraId="75929DC0">
            <w:pPr>
              <w:jc w:val="center"/>
              <w:rPr>
                <w:rFonts w:ascii="宋体" w:hAnsi="宋体" w:eastAsia="宋体" w:cs="宋体"/>
                <w:color w:val="auto"/>
                <w:szCs w:val="21"/>
                <w:highlight w:val="none"/>
              </w:rPr>
            </w:pPr>
          </w:p>
        </w:tc>
      </w:tr>
      <w:tr w14:paraId="5335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CD6217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97" w:type="dxa"/>
            <w:vAlign w:val="center"/>
          </w:tcPr>
          <w:p w14:paraId="1DCFD03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021" w:type="dxa"/>
            <w:vAlign w:val="center"/>
          </w:tcPr>
          <w:p w14:paraId="4873A7F8">
            <w:pPr>
              <w:jc w:val="center"/>
              <w:rPr>
                <w:rFonts w:ascii="宋体" w:hAnsi="宋体" w:eastAsia="宋体" w:cs="宋体"/>
                <w:color w:val="auto"/>
                <w:szCs w:val="21"/>
                <w:highlight w:val="none"/>
              </w:rPr>
            </w:pPr>
          </w:p>
        </w:tc>
        <w:tc>
          <w:tcPr>
            <w:tcW w:w="1160" w:type="dxa"/>
            <w:vAlign w:val="center"/>
          </w:tcPr>
          <w:p w14:paraId="17FFB4B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620" w:type="dxa"/>
            <w:gridSpan w:val="3"/>
            <w:vAlign w:val="center"/>
          </w:tcPr>
          <w:p w14:paraId="47C42E8A">
            <w:pPr>
              <w:jc w:val="center"/>
              <w:rPr>
                <w:rFonts w:ascii="宋体" w:hAnsi="宋体" w:eastAsia="宋体" w:cs="宋体"/>
                <w:color w:val="auto"/>
                <w:szCs w:val="21"/>
                <w:highlight w:val="none"/>
              </w:rPr>
            </w:pPr>
          </w:p>
        </w:tc>
        <w:tc>
          <w:tcPr>
            <w:tcW w:w="720" w:type="dxa"/>
            <w:vAlign w:val="center"/>
          </w:tcPr>
          <w:p w14:paraId="4C3A331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923" w:type="dxa"/>
            <w:vAlign w:val="center"/>
          </w:tcPr>
          <w:p w14:paraId="6FC77DE1">
            <w:pPr>
              <w:jc w:val="center"/>
              <w:rPr>
                <w:rFonts w:ascii="宋体" w:hAnsi="宋体" w:eastAsia="宋体" w:cs="宋体"/>
                <w:color w:val="auto"/>
                <w:szCs w:val="21"/>
                <w:highlight w:val="none"/>
              </w:rPr>
            </w:pPr>
          </w:p>
        </w:tc>
      </w:tr>
      <w:tr w14:paraId="5779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5BC8C1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918" w:type="dxa"/>
            <w:gridSpan w:val="2"/>
            <w:vAlign w:val="center"/>
          </w:tcPr>
          <w:p w14:paraId="1D56197B">
            <w:pPr>
              <w:jc w:val="center"/>
              <w:rPr>
                <w:rFonts w:ascii="宋体" w:hAnsi="宋体" w:eastAsia="宋体" w:cs="宋体"/>
                <w:color w:val="auto"/>
                <w:szCs w:val="21"/>
                <w:highlight w:val="none"/>
              </w:rPr>
            </w:pPr>
          </w:p>
        </w:tc>
        <w:tc>
          <w:tcPr>
            <w:tcW w:w="5423" w:type="dxa"/>
            <w:gridSpan w:val="6"/>
            <w:vAlign w:val="center"/>
          </w:tcPr>
          <w:p w14:paraId="0B1C4B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22A8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D7627F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资质等级</w:t>
            </w:r>
          </w:p>
        </w:tc>
        <w:tc>
          <w:tcPr>
            <w:tcW w:w="1918" w:type="dxa"/>
            <w:gridSpan w:val="2"/>
            <w:vAlign w:val="center"/>
          </w:tcPr>
          <w:p w14:paraId="68E8AD56">
            <w:pPr>
              <w:jc w:val="center"/>
              <w:rPr>
                <w:rFonts w:ascii="宋体" w:hAnsi="宋体" w:eastAsia="宋体" w:cs="宋体"/>
                <w:color w:val="auto"/>
                <w:szCs w:val="21"/>
                <w:highlight w:val="none"/>
              </w:rPr>
            </w:pPr>
          </w:p>
        </w:tc>
        <w:tc>
          <w:tcPr>
            <w:tcW w:w="1160" w:type="dxa"/>
            <w:vMerge w:val="restart"/>
            <w:vAlign w:val="center"/>
          </w:tcPr>
          <w:p w14:paraId="414E9E7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620" w:type="dxa"/>
            <w:gridSpan w:val="3"/>
            <w:vAlign w:val="center"/>
          </w:tcPr>
          <w:p w14:paraId="002266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643" w:type="dxa"/>
            <w:gridSpan w:val="2"/>
            <w:vAlign w:val="center"/>
          </w:tcPr>
          <w:p w14:paraId="42CF381E">
            <w:pPr>
              <w:jc w:val="center"/>
              <w:rPr>
                <w:rFonts w:ascii="宋体" w:hAnsi="宋体" w:eastAsia="宋体" w:cs="宋体"/>
                <w:color w:val="auto"/>
                <w:szCs w:val="21"/>
                <w:highlight w:val="none"/>
              </w:rPr>
            </w:pPr>
          </w:p>
        </w:tc>
      </w:tr>
      <w:tr w14:paraId="671C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B5D908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安全生产许可证号</w:t>
            </w:r>
          </w:p>
        </w:tc>
        <w:tc>
          <w:tcPr>
            <w:tcW w:w="1918" w:type="dxa"/>
            <w:gridSpan w:val="2"/>
            <w:vAlign w:val="center"/>
          </w:tcPr>
          <w:p w14:paraId="0F7F7F24">
            <w:pPr>
              <w:jc w:val="center"/>
              <w:rPr>
                <w:rFonts w:ascii="宋体" w:hAnsi="宋体" w:eastAsia="宋体" w:cs="宋体"/>
                <w:color w:val="auto"/>
                <w:szCs w:val="21"/>
                <w:highlight w:val="none"/>
              </w:rPr>
            </w:pPr>
          </w:p>
        </w:tc>
        <w:tc>
          <w:tcPr>
            <w:tcW w:w="1160" w:type="dxa"/>
            <w:vMerge w:val="continue"/>
            <w:vAlign w:val="center"/>
          </w:tcPr>
          <w:p w14:paraId="293D3C9B">
            <w:pPr>
              <w:jc w:val="center"/>
              <w:rPr>
                <w:rFonts w:ascii="宋体" w:hAnsi="宋体" w:eastAsia="宋体" w:cs="宋体"/>
                <w:color w:val="auto"/>
                <w:szCs w:val="21"/>
                <w:highlight w:val="none"/>
              </w:rPr>
            </w:pPr>
          </w:p>
        </w:tc>
        <w:tc>
          <w:tcPr>
            <w:tcW w:w="1620" w:type="dxa"/>
            <w:gridSpan w:val="3"/>
            <w:vAlign w:val="center"/>
          </w:tcPr>
          <w:p w14:paraId="2D4AC67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2643" w:type="dxa"/>
            <w:gridSpan w:val="2"/>
            <w:vAlign w:val="center"/>
          </w:tcPr>
          <w:p w14:paraId="28ABEFD6">
            <w:pPr>
              <w:jc w:val="center"/>
              <w:rPr>
                <w:rFonts w:ascii="宋体" w:hAnsi="宋体" w:eastAsia="宋体" w:cs="宋体"/>
                <w:color w:val="auto"/>
                <w:szCs w:val="21"/>
                <w:highlight w:val="none"/>
              </w:rPr>
            </w:pPr>
          </w:p>
        </w:tc>
      </w:tr>
      <w:tr w14:paraId="7BB7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3D3D6C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918" w:type="dxa"/>
            <w:gridSpan w:val="2"/>
            <w:vAlign w:val="center"/>
          </w:tcPr>
          <w:p w14:paraId="00E40829">
            <w:pPr>
              <w:jc w:val="center"/>
              <w:rPr>
                <w:rFonts w:ascii="宋体" w:hAnsi="宋体" w:eastAsia="宋体" w:cs="宋体"/>
                <w:color w:val="auto"/>
                <w:szCs w:val="21"/>
                <w:highlight w:val="none"/>
              </w:rPr>
            </w:pPr>
          </w:p>
        </w:tc>
        <w:tc>
          <w:tcPr>
            <w:tcW w:w="1160" w:type="dxa"/>
            <w:vMerge w:val="continue"/>
            <w:vAlign w:val="center"/>
          </w:tcPr>
          <w:p w14:paraId="4719BB46">
            <w:pPr>
              <w:jc w:val="center"/>
              <w:rPr>
                <w:rFonts w:ascii="宋体" w:hAnsi="宋体" w:eastAsia="宋体" w:cs="宋体"/>
                <w:color w:val="auto"/>
                <w:szCs w:val="21"/>
                <w:highlight w:val="none"/>
              </w:rPr>
            </w:pPr>
          </w:p>
        </w:tc>
        <w:tc>
          <w:tcPr>
            <w:tcW w:w="1620" w:type="dxa"/>
            <w:gridSpan w:val="3"/>
            <w:vAlign w:val="center"/>
          </w:tcPr>
          <w:p w14:paraId="413256F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2643" w:type="dxa"/>
            <w:gridSpan w:val="2"/>
            <w:vAlign w:val="center"/>
          </w:tcPr>
          <w:p w14:paraId="433FA55D">
            <w:pPr>
              <w:jc w:val="center"/>
              <w:rPr>
                <w:rFonts w:ascii="宋体" w:hAnsi="宋体" w:eastAsia="宋体" w:cs="宋体"/>
                <w:color w:val="auto"/>
                <w:szCs w:val="21"/>
                <w:highlight w:val="none"/>
              </w:rPr>
            </w:pPr>
          </w:p>
        </w:tc>
      </w:tr>
      <w:tr w14:paraId="383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17CA96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18" w:type="dxa"/>
            <w:gridSpan w:val="2"/>
            <w:vAlign w:val="center"/>
          </w:tcPr>
          <w:p w14:paraId="367CFA57">
            <w:pPr>
              <w:jc w:val="center"/>
              <w:rPr>
                <w:rFonts w:ascii="宋体" w:hAnsi="宋体" w:eastAsia="宋体" w:cs="宋体"/>
                <w:color w:val="auto"/>
                <w:szCs w:val="21"/>
                <w:highlight w:val="none"/>
              </w:rPr>
            </w:pPr>
          </w:p>
        </w:tc>
        <w:tc>
          <w:tcPr>
            <w:tcW w:w="1160" w:type="dxa"/>
            <w:vMerge w:val="continue"/>
            <w:vAlign w:val="center"/>
          </w:tcPr>
          <w:p w14:paraId="739CAE79">
            <w:pPr>
              <w:jc w:val="center"/>
              <w:rPr>
                <w:rFonts w:ascii="宋体" w:hAnsi="宋体" w:eastAsia="宋体" w:cs="宋体"/>
                <w:color w:val="auto"/>
                <w:szCs w:val="21"/>
                <w:highlight w:val="none"/>
              </w:rPr>
            </w:pPr>
          </w:p>
        </w:tc>
        <w:tc>
          <w:tcPr>
            <w:tcW w:w="1620" w:type="dxa"/>
            <w:gridSpan w:val="3"/>
            <w:vAlign w:val="center"/>
          </w:tcPr>
          <w:p w14:paraId="5CDE541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2643" w:type="dxa"/>
            <w:gridSpan w:val="2"/>
            <w:vAlign w:val="center"/>
          </w:tcPr>
          <w:p w14:paraId="584DB5A0">
            <w:pPr>
              <w:jc w:val="center"/>
              <w:rPr>
                <w:rFonts w:ascii="宋体" w:hAnsi="宋体" w:eastAsia="宋体" w:cs="宋体"/>
                <w:color w:val="auto"/>
                <w:szCs w:val="21"/>
                <w:highlight w:val="none"/>
              </w:rPr>
            </w:pPr>
          </w:p>
        </w:tc>
      </w:tr>
      <w:tr w14:paraId="2341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D5D7B5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918" w:type="dxa"/>
            <w:gridSpan w:val="2"/>
            <w:vAlign w:val="center"/>
          </w:tcPr>
          <w:p w14:paraId="7651A972">
            <w:pPr>
              <w:jc w:val="center"/>
              <w:rPr>
                <w:rFonts w:ascii="宋体" w:hAnsi="宋体" w:eastAsia="宋体" w:cs="宋体"/>
                <w:color w:val="auto"/>
                <w:szCs w:val="21"/>
                <w:highlight w:val="none"/>
              </w:rPr>
            </w:pPr>
          </w:p>
        </w:tc>
        <w:tc>
          <w:tcPr>
            <w:tcW w:w="1160" w:type="dxa"/>
            <w:vMerge w:val="continue"/>
            <w:vAlign w:val="center"/>
          </w:tcPr>
          <w:p w14:paraId="35DE6962">
            <w:pPr>
              <w:jc w:val="center"/>
              <w:rPr>
                <w:rFonts w:ascii="宋体" w:hAnsi="宋体" w:eastAsia="宋体" w:cs="宋体"/>
                <w:color w:val="auto"/>
                <w:szCs w:val="21"/>
                <w:highlight w:val="none"/>
              </w:rPr>
            </w:pPr>
          </w:p>
        </w:tc>
        <w:tc>
          <w:tcPr>
            <w:tcW w:w="1620" w:type="dxa"/>
            <w:gridSpan w:val="3"/>
            <w:vAlign w:val="center"/>
          </w:tcPr>
          <w:p w14:paraId="307DAEE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  工</w:t>
            </w:r>
          </w:p>
        </w:tc>
        <w:tc>
          <w:tcPr>
            <w:tcW w:w="2643" w:type="dxa"/>
            <w:gridSpan w:val="2"/>
            <w:vAlign w:val="center"/>
          </w:tcPr>
          <w:p w14:paraId="60AB35F2">
            <w:pPr>
              <w:jc w:val="center"/>
              <w:rPr>
                <w:rFonts w:ascii="宋体" w:hAnsi="宋体" w:eastAsia="宋体" w:cs="宋体"/>
                <w:color w:val="auto"/>
                <w:szCs w:val="21"/>
                <w:highlight w:val="none"/>
              </w:rPr>
            </w:pPr>
          </w:p>
        </w:tc>
      </w:tr>
      <w:tr w14:paraId="0205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vAlign w:val="center"/>
          </w:tcPr>
          <w:p w14:paraId="1FD6CD0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341" w:type="dxa"/>
            <w:gridSpan w:val="8"/>
            <w:vAlign w:val="center"/>
          </w:tcPr>
          <w:p w14:paraId="0E843C2B">
            <w:pPr>
              <w:jc w:val="center"/>
              <w:rPr>
                <w:rFonts w:ascii="宋体" w:hAnsi="宋体" w:eastAsia="宋体" w:cs="宋体"/>
                <w:color w:val="auto"/>
                <w:szCs w:val="21"/>
                <w:highlight w:val="none"/>
              </w:rPr>
            </w:pPr>
          </w:p>
        </w:tc>
      </w:tr>
      <w:tr w14:paraId="5EBB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506623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341" w:type="dxa"/>
            <w:gridSpan w:val="8"/>
            <w:vAlign w:val="center"/>
          </w:tcPr>
          <w:p w14:paraId="30F26938">
            <w:pPr>
              <w:jc w:val="center"/>
              <w:rPr>
                <w:rFonts w:ascii="宋体" w:hAnsi="宋体" w:eastAsia="宋体" w:cs="宋体"/>
                <w:color w:val="auto"/>
                <w:szCs w:val="21"/>
                <w:highlight w:val="none"/>
              </w:rPr>
            </w:pPr>
          </w:p>
        </w:tc>
      </w:tr>
    </w:tbl>
    <w:p w14:paraId="5243DD00">
      <w:pPr>
        <w:snapToGrid w:val="0"/>
        <w:spacing w:before="50" w:after="120" w:afterLines="50" w:line="440" w:lineRule="exact"/>
        <w:jc w:val="left"/>
        <w:rPr>
          <w:rFonts w:ascii="宋体" w:hAnsi="宋体" w:eastAsia="宋体" w:cs="宋体"/>
          <w:bCs/>
          <w:color w:val="auto"/>
          <w:szCs w:val="21"/>
          <w:highlight w:val="none"/>
        </w:rPr>
      </w:pPr>
      <w:r>
        <w:rPr>
          <w:rFonts w:hint="eastAsia" w:ascii="宋体" w:hAnsi="宋体" w:eastAsia="宋体" w:cs="宋体"/>
          <w:color w:val="auto"/>
          <w:szCs w:val="21"/>
          <w:highlight w:val="none"/>
        </w:rPr>
        <w:t>【备注：附有效的安全生产许可证副本扫描件加盖供应商电子签章】</w:t>
      </w:r>
      <w:r>
        <w:rPr>
          <w:rFonts w:hint="eastAsia" w:ascii="宋体" w:hAnsi="宋体" w:eastAsia="宋体" w:cs="宋体"/>
          <w:color w:val="auto"/>
          <w:szCs w:val="21"/>
          <w:highlight w:val="none"/>
        </w:rPr>
        <w:br w:type="page"/>
      </w:r>
      <w:bookmarkStart w:id="1036" w:name="_Hlk132792497"/>
      <w:r>
        <w:rPr>
          <w:rFonts w:hint="eastAsia" w:ascii="宋体" w:hAnsi="宋体" w:eastAsia="宋体" w:cs="宋体"/>
          <w:bCs/>
          <w:color w:val="auto"/>
          <w:szCs w:val="21"/>
          <w:highlight w:val="none"/>
        </w:rPr>
        <w:t>6．落实政府采购政策需满足的资格要求（按“评审方法及标准” “资格审查表”规定提供）。（</w:t>
      </w:r>
      <w:r>
        <w:rPr>
          <w:rFonts w:hint="eastAsia" w:ascii="宋体" w:hAnsi="宋体" w:eastAsia="宋体" w:cs="宋体"/>
          <w:b/>
          <w:color w:val="auto"/>
          <w:szCs w:val="21"/>
          <w:highlight w:val="none"/>
        </w:rPr>
        <w:t>如采购文件有要求时提供</w:t>
      </w:r>
      <w:r>
        <w:rPr>
          <w:rFonts w:hint="eastAsia" w:ascii="宋体" w:hAnsi="宋体" w:eastAsia="宋体" w:cs="宋体"/>
          <w:bCs/>
          <w:color w:val="auto"/>
          <w:szCs w:val="21"/>
          <w:highlight w:val="none"/>
        </w:rPr>
        <w:t>）</w:t>
      </w:r>
      <w:bookmarkEnd w:id="1036"/>
    </w:p>
    <w:p w14:paraId="10822CA8">
      <w:pPr>
        <w:snapToGrid w:val="0"/>
        <w:spacing w:before="50" w:after="120" w:afterLines="50" w:line="440" w:lineRule="exact"/>
        <w:jc w:val="left"/>
        <w:rPr>
          <w:rFonts w:ascii="宋体" w:hAnsi="宋体" w:eastAsia="宋体" w:cs="宋体"/>
          <w:bCs/>
          <w:color w:val="auto"/>
          <w:szCs w:val="21"/>
          <w:highlight w:val="none"/>
        </w:rPr>
      </w:pPr>
    </w:p>
    <w:p w14:paraId="6CF7F2D5">
      <w:pPr>
        <w:snapToGrid w:val="0"/>
        <w:spacing w:before="50" w:after="120" w:afterLines="50" w:line="440" w:lineRule="exact"/>
        <w:jc w:val="left"/>
        <w:rPr>
          <w:rFonts w:ascii="宋体" w:hAnsi="宋体" w:eastAsia="宋体" w:cs="宋体"/>
          <w:bCs/>
          <w:color w:val="auto"/>
          <w:szCs w:val="21"/>
          <w:highlight w:val="none"/>
        </w:rPr>
      </w:pPr>
    </w:p>
    <w:p w14:paraId="7F2BD25B">
      <w:pPr>
        <w:snapToGrid w:val="0"/>
        <w:spacing w:before="50" w:after="120" w:afterLines="50" w:line="440" w:lineRule="exact"/>
        <w:jc w:val="left"/>
        <w:rPr>
          <w:rFonts w:ascii="宋体" w:hAnsi="宋体" w:eastAsia="宋体" w:cs="宋体"/>
          <w:b/>
          <w:color w:val="auto"/>
          <w:highlight w:val="none"/>
        </w:rPr>
      </w:pPr>
      <w:r>
        <w:rPr>
          <w:rFonts w:hint="eastAsia" w:ascii="宋体" w:hAnsi="宋体" w:eastAsia="宋体" w:cs="宋体"/>
          <w:color w:val="auto"/>
          <w:highlight w:val="none"/>
        </w:rPr>
        <w:t>7．满足供应商特定资格条件的其他证明材料加盖</w:t>
      </w:r>
      <w:r>
        <w:rPr>
          <w:rFonts w:hint="eastAsia" w:ascii="宋体" w:hAnsi="宋体" w:eastAsia="宋体" w:cs="宋体"/>
          <w:color w:val="auto"/>
          <w:szCs w:val="21"/>
          <w:highlight w:val="none"/>
        </w:rPr>
        <w:t>供应商电子签章</w:t>
      </w:r>
      <w:r>
        <w:rPr>
          <w:rFonts w:hint="eastAsia" w:ascii="宋体" w:hAnsi="宋体" w:eastAsia="宋体" w:cs="宋体"/>
          <w:color w:val="auto"/>
          <w:highlight w:val="none"/>
        </w:rPr>
        <w:t>（按“评审方法及标准” “</w:t>
      </w:r>
      <w:r>
        <w:rPr>
          <w:rFonts w:hint="eastAsia" w:ascii="宋体" w:hAnsi="宋体" w:eastAsia="宋体" w:cs="宋体"/>
          <w:color w:val="auto"/>
          <w:szCs w:val="21"/>
          <w:highlight w:val="none"/>
        </w:rPr>
        <w:t>资格审查表</w:t>
      </w:r>
      <w:r>
        <w:rPr>
          <w:rFonts w:hint="eastAsia" w:ascii="宋体" w:hAnsi="宋体" w:eastAsia="宋体" w:cs="宋体"/>
          <w:color w:val="auto"/>
          <w:highlight w:val="none"/>
        </w:rPr>
        <w:t>”规定提供）。</w:t>
      </w:r>
      <w:r>
        <w:rPr>
          <w:rFonts w:hint="eastAsia" w:ascii="宋体" w:hAnsi="宋体" w:eastAsia="宋体" w:cs="宋体"/>
          <w:b/>
          <w:color w:val="auto"/>
          <w:highlight w:val="none"/>
        </w:rPr>
        <w:t>（如采购文件有要求时提供）</w:t>
      </w:r>
    </w:p>
    <w:p w14:paraId="4F31EC5C">
      <w:pPr>
        <w:pStyle w:val="198"/>
        <w:jc w:val="left"/>
        <w:rPr>
          <w:rFonts w:ascii="宋体" w:hAnsi="宋体" w:eastAsia="宋体" w:cs="宋体"/>
          <w:color w:val="auto"/>
          <w:highlight w:val="none"/>
        </w:rPr>
      </w:pPr>
    </w:p>
    <w:p w14:paraId="494576A3">
      <w:pPr>
        <w:pStyle w:val="198"/>
        <w:jc w:val="left"/>
        <w:rPr>
          <w:rFonts w:ascii="宋体" w:hAnsi="宋体" w:eastAsia="宋体" w:cs="宋体"/>
          <w:color w:val="auto"/>
          <w:highlight w:val="none"/>
        </w:rPr>
      </w:pPr>
    </w:p>
    <w:p w14:paraId="08E536AA">
      <w:pPr>
        <w:pStyle w:val="198"/>
        <w:jc w:val="left"/>
        <w:rPr>
          <w:rFonts w:ascii="宋体" w:hAnsi="宋体" w:eastAsia="宋体" w:cs="宋体"/>
          <w:color w:val="auto"/>
          <w:highlight w:val="none"/>
        </w:rPr>
      </w:pPr>
    </w:p>
    <w:p w14:paraId="5C6EDD5D">
      <w:pPr>
        <w:pStyle w:val="198"/>
        <w:jc w:val="left"/>
        <w:rPr>
          <w:rFonts w:ascii="宋体" w:hAnsi="宋体" w:eastAsia="宋体" w:cs="宋体"/>
          <w:color w:val="auto"/>
          <w:highlight w:val="none"/>
        </w:rPr>
      </w:pPr>
      <w:r>
        <w:rPr>
          <w:rFonts w:hint="eastAsia" w:ascii="宋体" w:hAnsi="宋体" w:eastAsia="宋体" w:cs="宋体"/>
          <w:color w:val="auto"/>
          <w:highlight w:val="none"/>
        </w:rPr>
        <w:t>7.1有效的企业资质证书副本</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加盖</w:t>
      </w:r>
      <w:r>
        <w:rPr>
          <w:rFonts w:hint="eastAsia" w:ascii="宋体" w:hAnsi="宋体" w:eastAsia="宋体" w:cs="宋体"/>
          <w:color w:val="auto"/>
          <w:szCs w:val="21"/>
          <w:highlight w:val="none"/>
        </w:rPr>
        <w:t>供应商</w:t>
      </w:r>
      <w:bookmarkStart w:id="1037" w:name="_Hlk89190867"/>
      <w:r>
        <w:rPr>
          <w:rFonts w:hint="eastAsia" w:ascii="宋体" w:hAnsi="宋体" w:eastAsia="宋体" w:cs="宋体"/>
          <w:color w:val="auto"/>
          <w:szCs w:val="21"/>
          <w:highlight w:val="none"/>
        </w:rPr>
        <w:t>电子签章</w:t>
      </w:r>
      <w:bookmarkEnd w:id="1037"/>
    </w:p>
    <w:p w14:paraId="242F2F2D">
      <w:pPr>
        <w:pStyle w:val="198"/>
        <w:jc w:val="left"/>
        <w:rPr>
          <w:rFonts w:ascii="宋体" w:hAnsi="宋体" w:eastAsia="宋体" w:cs="宋体"/>
          <w:color w:val="auto"/>
          <w:highlight w:val="none"/>
        </w:rPr>
      </w:pPr>
    </w:p>
    <w:p w14:paraId="41318486">
      <w:pPr>
        <w:pStyle w:val="198"/>
        <w:jc w:val="left"/>
        <w:rPr>
          <w:rFonts w:ascii="宋体" w:hAnsi="宋体" w:eastAsia="宋体" w:cs="宋体"/>
          <w:color w:val="auto"/>
          <w:highlight w:val="none"/>
        </w:rPr>
      </w:pPr>
    </w:p>
    <w:p w14:paraId="23B5E4D8">
      <w:pPr>
        <w:pStyle w:val="27"/>
        <w:tabs>
          <w:tab w:val="left" w:pos="2127"/>
        </w:tabs>
        <w:spacing w:line="340" w:lineRule="exact"/>
        <w:rPr>
          <w:rFonts w:hAnsi="宋体" w:eastAsia="宋体" w:cs="宋体"/>
          <w:color w:val="auto"/>
          <w:highlight w:val="none"/>
        </w:rPr>
      </w:pPr>
    </w:p>
    <w:p w14:paraId="1418F5FB">
      <w:pPr>
        <w:pStyle w:val="27"/>
        <w:tabs>
          <w:tab w:val="left" w:pos="2127"/>
        </w:tabs>
        <w:spacing w:line="340" w:lineRule="exact"/>
        <w:rPr>
          <w:rFonts w:hAnsi="宋体" w:eastAsia="宋体" w:cs="宋体"/>
          <w:color w:val="auto"/>
          <w:highlight w:val="none"/>
        </w:rPr>
      </w:pPr>
    </w:p>
    <w:p w14:paraId="1CA16AEA">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t>7.</w:t>
      </w:r>
      <w:bookmarkStart w:id="1038" w:name="_Toc251052200"/>
      <w:bookmarkStart w:id="1039" w:name="_Toc389065364"/>
      <w:bookmarkStart w:id="1040" w:name="_Toc172364026"/>
      <w:bookmarkStart w:id="1041" w:name="_Toc173579006"/>
      <w:bookmarkStart w:id="1042" w:name="_Toc153274948"/>
      <w:r>
        <w:rPr>
          <w:rFonts w:hint="eastAsia" w:hAnsi="宋体" w:eastAsia="宋体" w:cs="宋体"/>
          <w:color w:val="auto"/>
          <w:highlight w:val="none"/>
        </w:rPr>
        <w:t>2项目经理简历表</w:t>
      </w:r>
      <w:bookmarkEnd w:id="1038"/>
      <w:bookmarkEnd w:id="1039"/>
      <w:bookmarkEnd w:id="1040"/>
      <w:bookmarkEnd w:id="1041"/>
      <w:bookmarkEnd w:id="1042"/>
    </w:p>
    <w:tbl>
      <w:tblPr>
        <w:tblStyle w:val="5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1A50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778F467B">
            <w:pPr>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vAlign w:val="center"/>
          </w:tcPr>
          <w:p w14:paraId="4E8FD4B8">
            <w:pPr>
              <w:jc w:val="center"/>
              <w:rPr>
                <w:rFonts w:ascii="宋体" w:hAnsi="宋体" w:eastAsia="宋体" w:cs="宋体"/>
                <w:color w:val="auto"/>
                <w:highlight w:val="none"/>
              </w:rPr>
            </w:pPr>
          </w:p>
        </w:tc>
        <w:tc>
          <w:tcPr>
            <w:tcW w:w="1893" w:type="dxa"/>
            <w:gridSpan w:val="2"/>
            <w:vAlign w:val="center"/>
          </w:tcPr>
          <w:p w14:paraId="7EE07061">
            <w:pPr>
              <w:jc w:val="center"/>
              <w:rPr>
                <w:rFonts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vAlign w:val="center"/>
          </w:tcPr>
          <w:p w14:paraId="03443BC4">
            <w:pPr>
              <w:jc w:val="center"/>
              <w:rPr>
                <w:rFonts w:ascii="宋体" w:hAnsi="宋体" w:eastAsia="宋体" w:cs="宋体"/>
                <w:color w:val="auto"/>
                <w:highlight w:val="none"/>
              </w:rPr>
            </w:pPr>
          </w:p>
        </w:tc>
        <w:tc>
          <w:tcPr>
            <w:tcW w:w="1108" w:type="dxa"/>
            <w:gridSpan w:val="2"/>
            <w:vAlign w:val="center"/>
          </w:tcPr>
          <w:p w14:paraId="6BB591DC">
            <w:pPr>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1276" w:type="dxa"/>
            <w:vAlign w:val="center"/>
          </w:tcPr>
          <w:p w14:paraId="2FA9A5F4">
            <w:pPr>
              <w:jc w:val="center"/>
              <w:rPr>
                <w:rFonts w:ascii="宋体" w:hAnsi="宋体" w:eastAsia="宋体" w:cs="宋体"/>
                <w:color w:val="auto"/>
                <w:highlight w:val="none"/>
              </w:rPr>
            </w:pPr>
          </w:p>
        </w:tc>
      </w:tr>
      <w:tr w14:paraId="2E08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44BB7F7">
            <w:pPr>
              <w:jc w:val="center"/>
              <w:rPr>
                <w:rFonts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vAlign w:val="center"/>
          </w:tcPr>
          <w:p w14:paraId="37DD4DC8">
            <w:pPr>
              <w:jc w:val="center"/>
              <w:rPr>
                <w:rFonts w:ascii="宋体" w:hAnsi="宋体" w:eastAsia="宋体" w:cs="宋体"/>
                <w:color w:val="auto"/>
                <w:highlight w:val="none"/>
              </w:rPr>
            </w:pPr>
          </w:p>
        </w:tc>
        <w:tc>
          <w:tcPr>
            <w:tcW w:w="1893" w:type="dxa"/>
            <w:gridSpan w:val="2"/>
            <w:vAlign w:val="center"/>
          </w:tcPr>
          <w:p w14:paraId="3FFDBD56">
            <w:pPr>
              <w:jc w:val="center"/>
              <w:rPr>
                <w:rFonts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vAlign w:val="center"/>
          </w:tcPr>
          <w:p w14:paraId="04555141">
            <w:pPr>
              <w:jc w:val="center"/>
              <w:rPr>
                <w:rFonts w:ascii="宋体" w:hAnsi="宋体" w:eastAsia="宋体" w:cs="宋体"/>
                <w:color w:val="auto"/>
                <w:highlight w:val="none"/>
              </w:rPr>
            </w:pPr>
          </w:p>
        </w:tc>
        <w:tc>
          <w:tcPr>
            <w:tcW w:w="1108" w:type="dxa"/>
            <w:gridSpan w:val="2"/>
            <w:vAlign w:val="center"/>
          </w:tcPr>
          <w:p w14:paraId="581AE941">
            <w:pPr>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1276" w:type="dxa"/>
            <w:vAlign w:val="center"/>
          </w:tcPr>
          <w:p w14:paraId="1B7336C3">
            <w:pPr>
              <w:jc w:val="center"/>
              <w:rPr>
                <w:rFonts w:ascii="宋体" w:hAnsi="宋体" w:eastAsia="宋体" w:cs="宋体"/>
                <w:color w:val="auto"/>
                <w:highlight w:val="none"/>
              </w:rPr>
            </w:pPr>
          </w:p>
        </w:tc>
      </w:tr>
      <w:tr w14:paraId="494D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18953844">
            <w:pPr>
              <w:jc w:val="center"/>
              <w:rPr>
                <w:rFonts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vAlign w:val="center"/>
          </w:tcPr>
          <w:p w14:paraId="2F9C3A75">
            <w:pPr>
              <w:jc w:val="center"/>
              <w:rPr>
                <w:rFonts w:ascii="宋体" w:hAnsi="宋体" w:eastAsia="宋体" w:cs="宋体"/>
                <w:color w:val="auto"/>
                <w:highlight w:val="none"/>
              </w:rPr>
            </w:pPr>
          </w:p>
        </w:tc>
        <w:tc>
          <w:tcPr>
            <w:tcW w:w="2693" w:type="dxa"/>
            <w:gridSpan w:val="4"/>
            <w:vAlign w:val="center"/>
          </w:tcPr>
          <w:p w14:paraId="177B655C">
            <w:pPr>
              <w:jc w:val="center"/>
              <w:rPr>
                <w:rFonts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vAlign w:val="center"/>
          </w:tcPr>
          <w:p w14:paraId="73EC3F81">
            <w:pPr>
              <w:jc w:val="center"/>
              <w:rPr>
                <w:rFonts w:ascii="宋体" w:hAnsi="宋体" w:eastAsia="宋体" w:cs="宋体"/>
                <w:color w:val="auto"/>
                <w:highlight w:val="none"/>
              </w:rPr>
            </w:pPr>
          </w:p>
        </w:tc>
      </w:tr>
      <w:tr w14:paraId="0E49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F6498D8">
            <w:pPr>
              <w:jc w:val="center"/>
              <w:rPr>
                <w:rFonts w:ascii="宋体" w:hAnsi="宋体" w:eastAsia="宋体" w:cs="宋体"/>
                <w:color w:val="auto"/>
                <w:highlight w:val="none"/>
              </w:rPr>
            </w:pPr>
            <w:r>
              <w:rPr>
                <w:rFonts w:hint="eastAsia" w:ascii="宋体" w:hAnsi="宋体" w:eastAsia="宋体" w:cs="宋体"/>
                <w:color w:val="auto"/>
                <w:highlight w:val="none"/>
              </w:rPr>
              <w:t>建造师注册编号</w:t>
            </w:r>
          </w:p>
        </w:tc>
        <w:tc>
          <w:tcPr>
            <w:tcW w:w="5862" w:type="dxa"/>
            <w:gridSpan w:val="7"/>
            <w:vAlign w:val="center"/>
          </w:tcPr>
          <w:p w14:paraId="4148509D">
            <w:pPr>
              <w:jc w:val="center"/>
              <w:rPr>
                <w:rFonts w:ascii="宋体" w:hAnsi="宋体" w:eastAsia="宋体" w:cs="宋体"/>
                <w:color w:val="auto"/>
                <w:highlight w:val="none"/>
              </w:rPr>
            </w:pPr>
          </w:p>
        </w:tc>
      </w:tr>
      <w:tr w14:paraId="3743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32371627">
            <w:pPr>
              <w:jc w:val="center"/>
              <w:rPr>
                <w:rFonts w:ascii="宋体" w:hAnsi="宋体" w:eastAsia="宋体" w:cs="宋体"/>
                <w:color w:val="auto"/>
                <w:highlight w:val="none"/>
              </w:rPr>
            </w:pPr>
            <w:r>
              <w:rPr>
                <w:rFonts w:hint="eastAsia" w:ascii="宋体" w:hAnsi="宋体" w:eastAsia="宋体" w:cs="宋体"/>
                <w:color w:val="auto"/>
                <w:highlight w:val="none"/>
              </w:rPr>
              <w:t>注册专业、等级</w:t>
            </w:r>
          </w:p>
        </w:tc>
        <w:tc>
          <w:tcPr>
            <w:tcW w:w="5862" w:type="dxa"/>
            <w:gridSpan w:val="7"/>
            <w:vAlign w:val="center"/>
          </w:tcPr>
          <w:p w14:paraId="06599F60">
            <w:pPr>
              <w:jc w:val="center"/>
              <w:rPr>
                <w:rFonts w:ascii="宋体" w:hAnsi="宋体" w:eastAsia="宋体" w:cs="宋体"/>
                <w:color w:val="auto"/>
                <w:highlight w:val="none"/>
              </w:rPr>
            </w:pPr>
          </w:p>
        </w:tc>
      </w:tr>
      <w:tr w14:paraId="54E7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39F64B8">
            <w:pPr>
              <w:jc w:val="center"/>
              <w:rPr>
                <w:rFonts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7BB9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7230A6A">
            <w:pPr>
              <w:jc w:val="center"/>
              <w:rPr>
                <w:rFonts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vAlign w:val="center"/>
          </w:tcPr>
          <w:p w14:paraId="765359A0">
            <w:pPr>
              <w:jc w:val="center"/>
              <w:rPr>
                <w:rFonts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vAlign w:val="center"/>
          </w:tcPr>
          <w:p w14:paraId="76A23626">
            <w:pPr>
              <w:jc w:val="center"/>
              <w:rPr>
                <w:rFonts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480446B7">
            <w:pPr>
              <w:jc w:val="center"/>
              <w:rPr>
                <w:rFonts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vAlign w:val="center"/>
          </w:tcPr>
          <w:p w14:paraId="6719BE82">
            <w:pPr>
              <w:jc w:val="center"/>
              <w:rPr>
                <w:rFonts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61AE6DDF">
            <w:pPr>
              <w:jc w:val="center"/>
              <w:rPr>
                <w:rFonts w:ascii="宋体" w:hAnsi="宋体" w:eastAsia="宋体" w:cs="宋体"/>
                <w:color w:val="auto"/>
                <w:highlight w:val="none"/>
              </w:rPr>
            </w:pPr>
            <w:r>
              <w:rPr>
                <w:rFonts w:hint="eastAsia" w:ascii="宋体" w:hAnsi="宋体" w:eastAsia="宋体" w:cs="宋体"/>
                <w:color w:val="auto"/>
                <w:highlight w:val="none"/>
              </w:rPr>
              <w:t>工程质量</w:t>
            </w:r>
          </w:p>
        </w:tc>
      </w:tr>
      <w:tr w14:paraId="1486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26AE6CC8">
            <w:pPr>
              <w:jc w:val="center"/>
              <w:rPr>
                <w:rFonts w:ascii="宋体" w:hAnsi="宋体" w:eastAsia="宋体" w:cs="宋体"/>
                <w:color w:val="auto"/>
                <w:highlight w:val="none"/>
              </w:rPr>
            </w:pPr>
          </w:p>
        </w:tc>
        <w:tc>
          <w:tcPr>
            <w:tcW w:w="1548" w:type="dxa"/>
            <w:vAlign w:val="center"/>
          </w:tcPr>
          <w:p w14:paraId="0C8FEDD4">
            <w:pPr>
              <w:jc w:val="center"/>
              <w:rPr>
                <w:rFonts w:ascii="宋体" w:hAnsi="宋体" w:eastAsia="宋体" w:cs="宋体"/>
                <w:color w:val="auto"/>
                <w:highlight w:val="none"/>
              </w:rPr>
            </w:pPr>
          </w:p>
        </w:tc>
        <w:tc>
          <w:tcPr>
            <w:tcW w:w="1547" w:type="dxa"/>
            <w:gridSpan w:val="2"/>
            <w:vAlign w:val="center"/>
          </w:tcPr>
          <w:p w14:paraId="08A3A833">
            <w:pPr>
              <w:jc w:val="center"/>
              <w:rPr>
                <w:rFonts w:ascii="宋体" w:hAnsi="宋体" w:eastAsia="宋体" w:cs="宋体"/>
                <w:color w:val="auto"/>
                <w:highlight w:val="none"/>
              </w:rPr>
            </w:pPr>
          </w:p>
        </w:tc>
        <w:tc>
          <w:tcPr>
            <w:tcW w:w="1548" w:type="dxa"/>
            <w:gridSpan w:val="2"/>
            <w:vAlign w:val="center"/>
          </w:tcPr>
          <w:p w14:paraId="09785943">
            <w:pPr>
              <w:jc w:val="center"/>
              <w:rPr>
                <w:rFonts w:ascii="宋体" w:hAnsi="宋体" w:eastAsia="宋体" w:cs="宋体"/>
                <w:color w:val="auto"/>
                <w:highlight w:val="none"/>
              </w:rPr>
            </w:pPr>
          </w:p>
        </w:tc>
        <w:tc>
          <w:tcPr>
            <w:tcW w:w="1547" w:type="dxa"/>
            <w:gridSpan w:val="2"/>
            <w:vAlign w:val="center"/>
          </w:tcPr>
          <w:p w14:paraId="690523AC">
            <w:pPr>
              <w:jc w:val="center"/>
              <w:rPr>
                <w:rFonts w:ascii="宋体" w:hAnsi="宋体" w:eastAsia="宋体" w:cs="宋体"/>
                <w:color w:val="auto"/>
                <w:highlight w:val="none"/>
              </w:rPr>
            </w:pPr>
          </w:p>
        </w:tc>
        <w:tc>
          <w:tcPr>
            <w:tcW w:w="1548" w:type="dxa"/>
            <w:gridSpan w:val="2"/>
            <w:vAlign w:val="center"/>
          </w:tcPr>
          <w:p w14:paraId="05367081">
            <w:pPr>
              <w:jc w:val="center"/>
              <w:rPr>
                <w:rFonts w:ascii="宋体" w:hAnsi="宋体" w:eastAsia="宋体" w:cs="宋体"/>
                <w:color w:val="auto"/>
                <w:highlight w:val="none"/>
              </w:rPr>
            </w:pPr>
          </w:p>
        </w:tc>
      </w:tr>
      <w:tr w14:paraId="71AE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E4F5F4F">
            <w:pPr>
              <w:jc w:val="center"/>
              <w:rPr>
                <w:rFonts w:ascii="宋体" w:hAnsi="宋体" w:eastAsia="宋体" w:cs="宋体"/>
                <w:color w:val="auto"/>
                <w:highlight w:val="none"/>
              </w:rPr>
            </w:pPr>
          </w:p>
        </w:tc>
        <w:tc>
          <w:tcPr>
            <w:tcW w:w="1548" w:type="dxa"/>
            <w:vAlign w:val="center"/>
          </w:tcPr>
          <w:p w14:paraId="16080C5B">
            <w:pPr>
              <w:jc w:val="center"/>
              <w:rPr>
                <w:rFonts w:ascii="宋体" w:hAnsi="宋体" w:eastAsia="宋体" w:cs="宋体"/>
                <w:color w:val="auto"/>
                <w:highlight w:val="none"/>
              </w:rPr>
            </w:pPr>
          </w:p>
        </w:tc>
        <w:tc>
          <w:tcPr>
            <w:tcW w:w="1547" w:type="dxa"/>
            <w:gridSpan w:val="2"/>
            <w:vAlign w:val="center"/>
          </w:tcPr>
          <w:p w14:paraId="4DCEAA71">
            <w:pPr>
              <w:jc w:val="center"/>
              <w:rPr>
                <w:rFonts w:ascii="宋体" w:hAnsi="宋体" w:eastAsia="宋体" w:cs="宋体"/>
                <w:color w:val="auto"/>
                <w:highlight w:val="none"/>
              </w:rPr>
            </w:pPr>
          </w:p>
        </w:tc>
        <w:tc>
          <w:tcPr>
            <w:tcW w:w="1548" w:type="dxa"/>
            <w:gridSpan w:val="2"/>
            <w:vAlign w:val="center"/>
          </w:tcPr>
          <w:p w14:paraId="0C6D9169">
            <w:pPr>
              <w:jc w:val="center"/>
              <w:rPr>
                <w:rFonts w:ascii="宋体" w:hAnsi="宋体" w:eastAsia="宋体" w:cs="宋体"/>
                <w:color w:val="auto"/>
                <w:highlight w:val="none"/>
              </w:rPr>
            </w:pPr>
          </w:p>
        </w:tc>
        <w:tc>
          <w:tcPr>
            <w:tcW w:w="1547" w:type="dxa"/>
            <w:gridSpan w:val="2"/>
            <w:vAlign w:val="center"/>
          </w:tcPr>
          <w:p w14:paraId="6270333F">
            <w:pPr>
              <w:jc w:val="center"/>
              <w:rPr>
                <w:rFonts w:ascii="宋体" w:hAnsi="宋体" w:eastAsia="宋体" w:cs="宋体"/>
                <w:color w:val="auto"/>
                <w:highlight w:val="none"/>
              </w:rPr>
            </w:pPr>
          </w:p>
        </w:tc>
        <w:tc>
          <w:tcPr>
            <w:tcW w:w="1548" w:type="dxa"/>
            <w:gridSpan w:val="2"/>
            <w:vAlign w:val="center"/>
          </w:tcPr>
          <w:p w14:paraId="056AEA62">
            <w:pPr>
              <w:jc w:val="center"/>
              <w:rPr>
                <w:rFonts w:ascii="宋体" w:hAnsi="宋体" w:eastAsia="宋体" w:cs="宋体"/>
                <w:color w:val="auto"/>
                <w:highlight w:val="none"/>
              </w:rPr>
            </w:pPr>
          </w:p>
        </w:tc>
      </w:tr>
      <w:tr w14:paraId="4707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7CD9FF1">
            <w:pPr>
              <w:jc w:val="center"/>
              <w:rPr>
                <w:rFonts w:ascii="宋体" w:hAnsi="宋体" w:eastAsia="宋体" w:cs="宋体"/>
                <w:color w:val="auto"/>
                <w:highlight w:val="none"/>
              </w:rPr>
            </w:pPr>
          </w:p>
        </w:tc>
        <w:tc>
          <w:tcPr>
            <w:tcW w:w="1548" w:type="dxa"/>
            <w:vAlign w:val="center"/>
          </w:tcPr>
          <w:p w14:paraId="367DB718">
            <w:pPr>
              <w:jc w:val="center"/>
              <w:rPr>
                <w:rFonts w:ascii="宋体" w:hAnsi="宋体" w:eastAsia="宋体" w:cs="宋体"/>
                <w:color w:val="auto"/>
                <w:highlight w:val="none"/>
              </w:rPr>
            </w:pPr>
          </w:p>
        </w:tc>
        <w:tc>
          <w:tcPr>
            <w:tcW w:w="1547" w:type="dxa"/>
            <w:gridSpan w:val="2"/>
            <w:vAlign w:val="center"/>
          </w:tcPr>
          <w:p w14:paraId="0FE5E5B2">
            <w:pPr>
              <w:jc w:val="center"/>
              <w:rPr>
                <w:rFonts w:ascii="宋体" w:hAnsi="宋体" w:eastAsia="宋体" w:cs="宋体"/>
                <w:color w:val="auto"/>
                <w:highlight w:val="none"/>
              </w:rPr>
            </w:pPr>
          </w:p>
        </w:tc>
        <w:tc>
          <w:tcPr>
            <w:tcW w:w="1548" w:type="dxa"/>
            <w:gridSpan w:val="2"/>
            <w:vAlign w:val="center"/>
          </w:tcPr>
          <w:p w14:paraId="01A98634">
            <w:pPr>
              <w:jc w:val="center"/>
              <w:rPr>
                <w:rFonts w:ascii="宋体" w:hAnsi="宋体" w:eastAsia="宋体" w:cs="宋体"/>
                <w:color w:val="auto"/>
                <w:highlight w:val="none"/>
              </w:rPr>
            </w:pPr>
          </w:p>
        </w:tc>
        <w:tc>
          <w:tcPr>
            <w:tcW w:w="1547" w:type="dxa"/>
            <w:gridSpan w:val="2"/>
            <w:vAlign w:val="center"/>
          </w:tcPr>
          <w:p w14:paraId="5F8E36A1">
            <w:pPr>
              <w:jc w:val="center"/>
              <w:rPr>
                <w:rFonts w:ascii="宋体" w:hAnsi="宋体" w:eastAsia="宋体" w:cs="宋体"/>
                <w:color w:val="auto"/>
                <w:highlight w:val="none"/>
              </w:rPr>
            </w:pPr>
          </w:p>
        </w:tc>
        <w:tc>
          <w:tcPr>
            <w:tcW w:w="1548" w:type="dxa"/>
            <w:gridSpan w:val="2"/>
            <w:vAlign w:val="center"/>
          </w:tcPr>
          <w:p w14:paraId="6DD2B21A">
            <w:pPr>
              <w:jc w:val="center"/>
              <w:rPr>
                <w:rFonts w:ascii="宋体" w:hAnsi="宋体" w:eastAsia="宋体" w:cs="宋体"/>
                <w:color w:val="auto"/>
                <w:highlight w:val="none"/>
              </w:rPr>
            </w:pPr>
          </w:p>
        </w:tc>
      </w:tr>
    </w:tbl>
    <w:p w14:paraId="05A64182">
      <w:pPr>
        <w:pStyle w:val="198"/>
        <w:rPr>
          <w:rFonts w:ascii="宋体" w:hAnsi="宋体" w:eastAsia="宋体" w:cs="宋体"/>
          <w:color w:val="auto"/>
          <w:highlight w:val="none"/>
        </w:rPr>
      </w:pPr>
      <w:r>
        <w:rPr>
          <w:rFonts w:hint="eastAsia" w:ascii="宋体" w:hAnsi="宋体" w:eastAsia="宋体" w:cs="宋体"/>
          <w:color w:val="auto"/>
          <w:highlight w:val="none"/>
        </w:rPr>
        <w:t>备注：附项目经理注册建造师注册证书、安全生产考核合格证书（B证）、响应文件递交截止时间前6个月内任意1个月在现任职单位依法缴纳社会保险的凭证和已完工程中标（成交）通知书、工程合同协议书、工程竣工验收证明材料，以及供应商认为需要增加的其他证明材料</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，以上</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须加盖</w:t>
      </w:r>
      <w:r>
        <w:rPr>
          <w:rFonts w:hint="eastAsia" w:ascii="宋体" w:hAnsi="宋体" w:eastAsia="宋体" w:cs="宋体"/>
          <w:color w:val="auto"/>
          <w:szCs w:val="21"/>
          <w:highlight w:val="none"/>
        </w:rPr>
        <w:t>供应商电子签章</w:t>
      </w:r>
      <w:r>
        <w:rPr>
          <w:rFonts w:hint="eastAsia" w:ascii="宋体" w:hAnsi="宋体" w:eastAsia="宋体" w:cs="宋体"/>
          <w:color w:val="auto"/>
          <w:highlight w:val="none"/>
        </w:rPr>
        <w:t>。</w:t>
      </w:r>
      <w:bookmarkStart w:id="1043" w:name="_Toc389065365"/>
      <w:bookmarkStart w:id="1044" w:name="_Toc173579007"/>
      <w:bookmarkStart w:id="1045" w:name="_Toc153274949"/>
      <w:bookmarkStart w:id="1046" w:name="_Toc172364027"/>
      <w:bookmarkStart w:id="1047" w:name="_Toc251052219"/>
    </w:p>
    <w:p w14:paraId="562BC422">
      <w:pPr>
        <w:pStyle w:val="198"/>
        <w:rPr>
          <w:rFonts w:ascii="宋体" w:hAnsi="宋体" w:eastAsia="宋体" w:cs="宋体"/>
          <w:color w:val="auto"/>
          <w:highlight w:val="none"/>
        </w:rPr>
      </w:pPr>
    </w:p>
    <w:p w14:paraId="6810371F">
      <w:pPr>
        <w:pStyle w:val="198"/>
        <w:rPr>
          <w:rFonts w:ascii="宋体" w:hAnsi="宋体" w:eastAsia="宋体" w:cs="宋体"/>
          <w:color w:val="auto"/>
          <w:highlight w:val="none"/>
        </w:rPr>
      </w:pPr>
    </w:p>
    <w:p w14:paraId="511F9A3F">
      <w:pPr>
        <w:pStyle w:val="198"/>
        <w:rPr>
          <w:rFonts w:ascii="宋体" w:hAnsi="宋体" w:eastAsia="宋体" w:cs="宋体"/>
          <w:color w:val="auto"/>
          <w:highlight w:val="none"/>
        </w:rPr>
      </w:pPr>
    </w:p>
    <w:p w14:paraId="446D31A3">
      <w:pPr>
        <w:pStyle w:val="198"/>
        <w:rPr>
          <w:rFonts w:ascii="宋体" w:hAnsi="宋体" w:eastAsia="宋体" w:cs="宋体"/>
          <w:color w:val="auto"/>
          <w:highlight w:val="none"/>
        </w:rPr>
      </w:pPr>
    </w:p>
    <w:p w14:paraId="2C161062">
      <w:pPr>
        <w:pStyle w:val="198"/>
        <w:rPr>
          <w:rFonts w:ascii="宋体" w:hAnsi="宋体" w:eastAsia="宋体" w:cs="宋体"/>
          <w:color w:val="auto"/>
          <w:highlight w:val="none"/>
        </w:rPr>
      </w:pPr>
    </w:p>
    <w:p w14:paraId="657F5518">
      <w:pPr>
        <w:pStyle w:val="198"/>
        <w:rPr>
          <w:rFonts w:ascii="宋体" w:hAnsi="宋体" w:eastAsia="宋体" w:cs="宋体"/>
          <w:color w:val="auto"/>
          <w:highlight w:val="none"/>
        </w:rPr>
      </w:pPr>
    </w:p>
    <w:p w14:paraId="60F05D39">
      <w:pPr>
        <w:pStyle w:val="198"/>
        <w:rPr>
          <w:rFonts w:ascii="宋体" w:hAnsi="宋体" w:eastAsia="宋体" w:cs="宋体"/>
          <w:color w:val="auto"/>
          <w:highlight w:val="none"/>
        </w:rPr>
      </w:pPr>
      <w:r>
        <w:rPr>
          <w:rFonts w:hint="eastAsia" w:ascii="宋体" w:hAnsi="宋体" w:eastAsia="宋体" w:cs="宋体"/>
          <w:color w:val="auto"/>
          <w:highlight w:val="none"/>
        </w:rPr>
        <w:t>7.3项目技术负责人简历表</w:t>
      </w:r>
      <w:bookmarkEnd w:id="1043"/>
      <w:bookmarkEnd w:id="1044"/>
      <w:bookmarkEnd w:id="1045"/>
      <w:bookmarkEnd w:id="1046"/>
      <w:bookmarkEnd w:id="1047"/>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CD0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03535F1">
            <w:pPr>
              <w:jc w:val="center"/>
              <w:rPr>
                <w:rFonts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vAlign w:val="center"/>
          </w:tcPr>
          <w:p w14:paraId="1463170D">
            <w:pPr>
              <w:jc w:val="center"/>
              <w:rPr>
                <w:rFonts w:ascii="宋体" w:hAnsi="宋体" w:eastAsia="宋体" w:cs="宋体"/>
                <w:color w:val="auto"/>
                <w:highlight w:val="none"/>
              </w:rPr>
            </w:pPr>
          </w:p>
        </w:tc>
        <w:tc>
          <w:tcPr>
            <w:tcW w:w="1893" w:type="dxa"/>
            <w:gridSpan w:val="2"/>
            <w:vAlign w:val="center"/>
          </w:tcPr>
          <w:p w14:paraId="3877FF8D">
            <w:pPr>
              <w:jc w:val="center"/>
              <w:rPr>
                <w:rFonts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vAlign w:val="center"/>
          </w:tcPr>
          <w:p w14:paraId="6E93A469">
            <w:pPr>
              <w:jc w:val="center"/>
              <w:rPr>
                <w:rFonts w:ascii="宋体" w:hAnsi="宋体" w:eastAsia="宋体" w:cs="宋体"/>
                <w:color w:val="auto"/>
                <w:highlight w:val="none"/>
              </w:rPr>
            </w:pPr>
          </w:p>
        </w:tc>
        <w:tc>
          <w:tcPr>
            <w:tcW w:w="1108" w:type="dxa"/>
            <w:gridSpan w:val="2"/>
            <w:vAlign w:val="center"/>
          </w:tcPr>
          <w:p w14:paraId="31173A8B">
            <w:pPr>
              <w:jc w:val="center"/>
              <w:rPr>
                <w:rFonts w:ascii="宋体" w:hAnsi="宋体" w:eastAsia="宋体" w:cs="宋体"/>
                <w:color w:val="auto"/>
                <w:highlight w:val="none"/>
              </w:rPr>
            </w:pPr>
            <w:r>
              <w:rPr>
                <w:rFonts w:hint="eastAsia" w:ascii="宋体" w:hAnsi="宋体" w:eastAsia="宋体" w:cs="宋体"/>
                <w:color w:val="auto"/>
                <w:highlight w:val="none"/>
              </w:rPr>
              <w:t>年龄</w:t>
            </w:r>
          </w:p>
        </w:tc>
        <w:tc>
          <w:tcPr>
            <w:tcW w:w="1276" w:type="dxa"/>
            <w:vAlign w:val="center"/>
          </w:tcPr>
          <w:p w14:paraId="632DBDA3">
            <w:pPr>
              <w:jc w:val="center"/>
              <w:rPr>
                <w:rFonts w:ascii="宋体" w:hAnsi="宋体" w:eastAsia="宋体" w:cs="宋体"/>
                <w:color w:val="auto"/>
                <w:highlight w:val="none"/>
              </w:rPr>
            </w:pPr>
          </w:p>
        </w:tc>
      </w:tr>
      <w:tr w14:paraId="0B55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8032A56">
            <w:pPr>
              <w:jc w:val="center"/>
              <w:rPr>
                <w:rFonts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vAlign w:val="center"/>
          </w:tcPr>
          <w:p w14:paraId="1C7BE60F">
            <w:pPr>
              <w:jc w:val="center"/>
              <w:rPr>
                <w:rFonts w:ascii="宋体" w:hAnsi="宋体" w:eastAsia="宋体" w:cs="宋体"/>
                <w:color w:val="auto"/>
                <w:highlight w:val="none"/>
              </w:rPr>
            </w:pPr>
          </w:p>
        </w:tc>
        <w:tc>
          <w:tcPr>
            <w:tcW w:w="1893" w:type="dxa"/>
            <w:gridSpan w:val="2"/>
            <w:vAlign w:val="center"/>
          </w:tcPr>
          <w:p w14:paraId="5835857F">
            <w:pPr>
              <w:jc w:val="center"/>
              <w:rPr>
                <w:rFonts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vAlign w:val="center"/>
          </w:tcPr>
          <w:p w14:paraId="184F2DE2">
            <w:pPr>
              <w:jc w:val="center"/>
              <w:rPr>
                <w:rFonts w:ascii="宋体" w:hAnsi="宋体" w:eastAsia="宋体" w:cs="宋体"/>
                <w:color w:val="auto"/>
                <w:highlight w:val="none"/>
              </w:rPr>
            </w:pPr>
          </w:p>
        </w:tc>
        <w:tc>
          <w:tcPr>
            <w:tcW w:w="1108" w:type="dxa"/>
            <w:gridSpan w:val="2"/>
            <w:vAlign w:val="center"/>
          </w:tcPr>
          <w:p w14:paraId="309FFB4A">
            <w:pPr>
              <w:jc w:val="center"/>
              <w:rPr>
                <w:rFonts w:ascii="宋体" w:hAnsi="宋体" w:eastAsia="宋体" w:cs="宋体"/>
                <w:color w:val="auto"/>
                <w:highlight w:val="none"/>
              </w:rPr>
            </w:pPr>
            <w:r>
              <w:rPr>
                <w:rFonts w:hint="eastAsia" w:ascii="宋体" w:hAnsi="宋体" w:eastAsia="宋体" w:cs="宋体"/>
                <w:color w:val="auto"/>
                <w:highlight w:val="none"/>
              </w:rPr>
              <w:t>学历</w:t>
            </w:r>
          </w:p>
        </w:tc>
        <w:tc>
          <w:tcPr>
            <w:tcW w:w="1276" w:type="dxa"/>
            <w:vAlign w:val="center"/>
          </w:tcPr>
          <w:p w14:paraId="0478049A">
            <w:pPr>
              <w:jc w:val="center"/>
              <w:rPr>
                <w:rFonts w:ascii="宋体" w:hAnsi="宋体" w:eastAsia="宋体" w:cs="宋体"/>
                <w:color w:val="auto"/>
                <w:highlight w:val="none"/>
              </w:rPr>
            </w:pPr>
          </w:p>
        </w:tc>
      </w:tr>
      <w:tr w14:paraId="111C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0064DB5">
            <w:pPr>
              <w:jc w:val="center"/>
              <w:rPr>
                <w:rFonts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vAlign w:val="center"/>
          </w:tcPr>
          <w:p w14:paraId="6CDFF8CF">
            <w:pPr>
              <w:jc w:val="center"/>
              <w:rPr>
                <w:rFonts w:ascii="宋体" w:hAnsi="宋体" w:eastAsia="宋体" w:cs="宋体"/>
                <w:color w:val="auto"/>
                <w:highlight w:val="none"/>
              </w:rPr>
            </w:pPr>
          </w:p>
        </w:tc>
        <w:tc>
          <w:tcPr>
            <w:tcW w:w="2693" w:type="dxa"/>
            <w:gridSpan w:val="4"/>
            <w:vAlign w:val="center"/>
          </w:tcPr>
          <w:p w14:paraId="67591828">
            <w:pPr>
              <w:jc w:val="center"/>
              <w:rPr>
                <w:rFonts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vAlign w:val="center"/>
          </w:tcPr>
          <w:p w14:paraId="60009337">
            <w:pPr>
              <w:jc w:val="center"/>
              <w:rPr>
                <w:rFonts w:ascii="宋体" w:hAnsi="宋体" w:eastAsia="宋体" w:cs="宋体"/>
                <w:color w:val="auto"/>
                <w:highlight w:val="none"/>
              </w:rPr>
            </w:pPr>
          </w:p>
        </w:tc>
      </w:tr>
      <w:tr w14:paraId="169B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1130C250">
            <w:pPr>
              <w:jc w:val="center"/>
              <w:rPr>
                <w:rFonts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157F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A205D47">
            <w:pPr>
              <w:jc w:val="center"/>
              <w:rPr>
                <w:rFonts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vAlign w:val="center"/>
          </w:tcPr>
          <w:p w14:paraId="26A74F67">
            <w:pPr>
              <w:jc w:val="center"/>
              <w:rPr>
                <w:rFonts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vAlign w:val="center"/>
          </w:tcPr>
          <w:p w14:paraId="7B9DD764">
            <w:pPr>
              <w:jc w:val="center"/>
              <w:rPr>
                <w:rFonts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715D0146">
            <w:pPr>
              <w:jc w:val="center"/>
              <w:rPr>
                <w:rFonts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vAlign w:val="center"/>
          </w:tcPr>
          <w:p w14:paraId="1806D4A4">
            <w:pPr>
              <w:jc w:val="center"/>
              <w:rPr>
                <w:rFonts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591854F1">
            <w:pPr>
              <w:jc w:val="center"/>
              <w:rPr>
                <w:rFonts w:ascii="宋体" w:hAnsi="宋体" w:eastAsia="宋体" w:cs="宋体"/>
                <w:color w:val="auto"/>
                <w:highlight w:val="none"/>
              </w:rPr>
            </w:pPr>
            <w:r>
              <w:rPr>
                <w:rFonts w:hint="eastAsia" w:ascii="宋体" w:hAnsi="宋体" w:eastAsia="宋体" w:cs="宋体"/>
                <w:color w:val="auto"/>
                <w:highlight w:val="none"/>
              </w:rPr>
              <w:t>工程质量</w:t>
            </w:r>
          </w:p>
        </w:tc>
      </w:tr>
      <w:tr w14:paraId="4F6A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B116A6F">
            <w:pPr>
              <w:jc w:val="center"/>
              <w:rPr>
                <w:rFonts w:ascii="宋体" w:hAnsi="宋体" w:eastAsia="宋体" w:cs="宋体"/>
                <w:color w:val="auto"/>
                <w:highlight w:val="none"/>
              </w:rPr>
            </w:pPr>
          </w:p>
        </w:tc>
        <w:tc>
          <w:tcPr>
            <w:tcW w:w="1548" w:type="dxa"/>
            <w:vAlign w:val="center"/>
          </w:tcPr>
          <w:p w14:paraId="462CFDA4">
            <w:pPr>
              <w:jc w:val="center"/>
              <w:rPr>
                <w:rFonts w:ascii="宋体" w:hAnsi="宋体" w:eastAsia="宋体" w:cs="宋体"/>
                <w:color w:val="auto"/>
                <w:highlight w:val="none"/>
              </w:rPr>
            </w:pPr>
          </w:p>
        </w:tc>
        <w:tc>
          <w:tcPr>
            <w:tcW w:w="1547" w:type="dxa"/>
            <w:gridSpan w:val="2"/>
            <w:vAlign w:val="center"/>
          </w:tcPr>
          <w:p w14:paraId="470B43D6">
            <w:pPr>
              <w:jc w:val="center"/>
              <w:rPr>
                <w:rFonts w:ascii="宋体" w:hAnsi="宋体" w:eastAsia="宋体" w:cs="宋体"/>
                <w:color w:val="auto"/>
                <w:highlight w:val="none"/>
              </w:rPr>
            </w:pPr>
          </w:p>
        </w:tc>
        <w:tc>
          <w:tcPr>
            <w:tcW w:w="1548" w:type="dxa"/>
            <w:gridSpan w:val="2"/>
            <w:vAlign w:val="center"/>
          </w:tcPr>
          <w:p w14:paraId="1636389E">
            <w:pPr>
              <w:jc w:val="center"/>
              <w:rPr>
                <w:rFonts w:ascii="宋体" w:hAnsi="宋体" w:eastAsia="宋体" w:cs="宋体"/>
                <w:color w:val="auto"/>
                <w:highlight w:val="none"/>
              </w:rPr>
            </w:pPr>
          </w:p>
        </w:tc>
        <w:tc>
          <w:tcPr>
            <w:tcW w:w="1547" w:type="dxa"/>
            <w:gridSpan w:val="2"/>
            <w:vAlign w:val="center"/>
          </w:tcPr>
          <w:p w14:paraId="3926D100">
            <w:pPr>
              <w:jc w:val="center"/>
              <w:rPr>
                <w:rFonts w:ascii="宋体" w:hAnsi="宋体" w:eastAsia="宋体" w:cs="宋体"/>
                <w:color w:val="auto"/>
                <w:highlight w:val="none"/>
              </w:rPr>
            </w:pPr>
          </w:p>
        </w:tc>
        <w:tc>
          <w:tcPr>
            <w:tcW w:w="1548" w:type="dxa"/>
            <w:gridSpan w:val="2"/>
            <w:vAlign w:val="center"/>
          </w:tcPr>
          <w:p w14:paraId="212CD168">
            <w:pPr>
              <w:jc w:val="center"/>
              <w:rPr>
                <w:rFonts w:ascii="宋体" w:hAnsi="宋体" w:eastAsia="宋体" w:cs="宋体"/>
                <w:color w:val="auto"/>
                <w:highlight w:val="none"/>
              </w:rPr>
            </w:pPr>
          </w:p>
        </w:tc>
      </w:tr>
      <w:tr w14:paraId="27E2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AFAB944">
            <w:pPr>
              <w:jc w:val="center"/>
              <w:rPr>
                <w:rFonts w:ascii="宋体" w:hAnsi="宋体" w:eastAsia="宋体" w:cs="宋体"/>
                <w:color w:val="auto"/>
                <w:highlight w:val="none"/>
              </w:rPr>
            </w:pPr>
          </w:p>
        </w:tc>
        <w:tc>
          <w:tcPr>
            <w:tcW w:w="1548" w:type="dxa"/>
            <w:vAlign w:val="center"/>
          </w:tcPr>
          <w:p w14:paraId="3FA24264">
            <w:pPr>
              <w:jc w:val="center"/>
              <w:rPr>
                <w:rFonts w:ascii="宋体" w:hAnsi="宋体" w:eastAsia="宋体" w:cs="宋体"/>
                <w:color w:val="auto"/>
                <w:highlight w:val="none"/>
              </w:rPr>
            </w:pPr>
          </w:p>
        </w:tc>
        <w:tc>
          <w:tcPr>
            <w:tcW w:w="1547" w:type="dxa"/>
            <w:gridSpan w:val="2"/>
            <w:vAlign w:val="center"/>
          </w:tcPr>
          <w:p w14:paraId="4ED9C441">
            <w:pPr>
              <w:jc w:val="center"/>
              <w:rPr>
                <w:rFonts w:ascii="宋体" w:hAnsi="宋体" w:eastAsia="宋体" w:cs="宋体"/>
                <w:color w:val="auto"/>
                <w:highlight w:val="none"/>
              </w:rPr>
            </w:pPr>
          </w:p>
        </w:tc>
        <w:tc>
          <w:tcPr>
            <w:tcW w:w="1548" w:type="dxa"/>
            <w:gridSpan w:val="2"/>
            <w:vAlign w:val="center"/>
          </w:tcPr>
          <w:p w14:paraId="134AC7DC">
            <w:pPr>
              <w:jc w:val="center"/>
              <w:rPr>
                <w:rFonts w:ascii="宋体" w:hAnsi="宋体" w:eastAsia="宋体" w:cs="宋体"/>
                <w:color w:val="auto"/>
                <w:highlight w:val="none"/>
              </w:rPr>
            </w:pPr>
          </w:p>
        </w:tc>
        <w:tc>
          <w:tcPr>
            <w:tcW w:w="1547" w:type="dxa"/>
            <w:gridSpan w:val="2"/>
            <w:vAlign w:val="center"/>
          </w:tcPr>
          <w:p w14:paraId="36E1F905">
            <w:pPr>
              <w:jc w:val="center"/>
              <w:rPr>
                <w:rFonts w:ascii="宋体" w:hAnsi="宋体" w:eastAsia="宋体" w:cs="宋体"/>
                <w:color w:val="auto"/>
                <w:highlight w:val="none"/>
              </w:rPr>
            </w:pPr>
          </w:p>
        </w:tc>
        <w:tc>
          <w:tcPr>
            <w:tcW w:w="1548" w:type="dxa"/>
            <w:gridSpan w:val="2"/>
            <w:vAlign w:val="center"/>
          </w:tcPr>
          <w:p w14:paraId="161B1434">
            <w:pPr>
              <w:jc w:val="center"/>
              <w:rPr>
                <w:rFonts w:ascii="宋体" w:hAnsi="宋体" w:eastAsia="宋体" w:cs="宋体"/>
                <w:color w:val="auto"/>
                <w:highlight w:val="none"/>
              </w:rPr>
            </w:pPr>
          </w:p>
        </w:tc>
      </w:tr>
      <w:tr w14:paraId="24AF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97B2B0">
            <w:pPr>
              <w:jc w:val="center"/>
              <w:rPr>
                <w:rFonts w:ascii="宋体" w:hAnsi="宋体" w:eastAsia="宋体" w:cs="宋体"/>
                <w:color w:val="auto"/>
                <w:highlight w:val="none"/>
              </w:rPr>
            </w:pPr>
          </w:p>
        </w:tc>
        <w:tc>
          <w:tcPr>
            <w:tcW w:w="1548" w:type="dxa"/>
            <w:vAlign w:val="center"/>
          </w:tcPr>
          <w:p w14:paraId="50AEF3E3">
            <w:pPr>
              <w:jc w:val="center"/>
              <w:rPr>
                <w:rFonts w:ascii="宋体" w:hAnsi="宋体" w:eastAsia="宋体" w:cs="宋体"/>
                <w:color w:val="auto"/>
                <w:highlight w:val="none"/>
              </w:rPr>
            </w:pPr>
          </w:p>
        </w:tc>
        <w:tc>
          <w:tcPr>
            <w:tcW w:w="1547" w:type="dxa"/>
            <w:gridSpan w:val="2"/>
            <w:vAlign w:val="center"/>
          </w:tcPr>
          <w:p w14:paraId="62CF1F28">
            <w:pPr>
              <w:jc w:val="center"/>
              <w:rPr>
                <w:rFonts w:ascii="宋体" w:hAnsi="宋体" w:eastAsia="宋体" w:cs="宋体"/>
                <w:color w:val="auto"/>
                <w:highlight w:val="none"/>
              </w:rPr>
            </w:pPr>
          </w:p>
        </w:tc>
        <w:tc>
          <w:tcPr>
            <w:tcW w:w="1548" w:type="dxa"/>
            <w:gridSpan w:val="2"/>
            <w:vAlign w:val="center"/>
          </w:tcPr>
          <w:p w14:paraId="3EEB3D9D">
            <w:pPr>
              <w:jc w:val="center"/>
              <w:rPr>
                <w:rFonts w:ascii="宋体" w:hAnsi="宋体" w:eastAsia="宋体" w:cs="宋体"/>
                <w:color w:val="auto"/>
                <w:highlight w:val="none"/>
              </w:rPr>
            </w:pPr>
          </w:p>
        </w:tc>
        <w:tc>
          <w:tcPr>
            <w:tcW w:w="1547" w:type="dxa"/>
            <w:gridSpan w:val="2"/>
            <w:vAlign w:val="center"/>
          </w:tcPr>
          <w:p w14:paraId="61A78214">
            <w:pPr>
              <w:jc w:val="center"/>
              <w:rPr>
                <w:rFonts w:ascii="宋体" w:hAnsi="宋体" w:eastAsia="宋体" w:cs="宋体"/>
                <w:color w:val="auto"/>
                <w:highlight w:val="none"/>
              </w:rPr>
            </w:pPr>
          </w:p>
        </w:tc>
        <w:tc>
          <w:tcPr>
            <w:tcW w:w="1548" w:type="dxa"/>
            <w:gridSpan w:val="2"/>
            <w:vAlign w:val="center"/>
          </w:tcPr>
          <w:p w14:paraId="7236357E">
            <w:pPr>
              <w:jc w:val="center"/>
              <w:rPr>
                <w:rFonts w:ascii="宋体" w:hAnsi="宋体" w:eastAsia="宋体" w:cs="宋体"/>
                <w:color w:val="auto"/>
                <w:highlight w:val="none"/>
              </w:rPr>
            </w:pPr>
          </w:p>
        </w:tc>
      </w:tr>
      <w:tr w14:paraId="753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EC957F6">
            <w:pPr>
              <w:jc w:val="center"/>
              <w:rPr>
                <w:rFonts w:ascii="宋体" w:hAnsi="宋体" w:eastAsia="宋体" w:cs="宋体"/>
                <w:color w:val="auto"/>
                <w:highlight w:val="none"/>
              </w:rPr>
            </w:pPr>
          </w:p>
        </w:tc>
        <w:tc>
          <w:tcPr>
            <w:tcW w:w="1548" w:type="dxa"/>
            <w:vAlign w:val="center"/>
          </w:tcPr>
          <w:p w14:paraId="3D406012">
            <w:pPr>
              <w:jc w:val="center"/>
              <w:rPr>
                <w:rFonts w:ascii="宋体" w:hAnsi="宋体" w:eastAsia="宋体" w:cs="宋体"/>
                <w:color w:val="auto"/>
                <w:highlight w:val="none"/>
              </w:rPr>
            </w:pPr>
          </w:p>
        </w:tc>
        <w:tc>
          <w:tcPr>
            <w:tcW w:w="1547" w:type="dxa"/>
            <w:gridSpan w:val="2"/>
            <w:vAlign w:val="center"/>
          </w:tcPr>
          <w:p w14:paraId="69B25500">
            <w:pPr>
              <w:jc w:val="center"/>
              <w:rPr>
                <w:rFonts w:ascii="宋体" w:hAnsi="宋体" w:eastAsia="宋体" w:cs="宋体"/>
                <w:color w:val="auto"/>
                <w:highlight w:val="none"/>
              </w:rPr>
            </w:pPr>
          </w:p>
        </w:tc>
        <w:tc>
          <w:tcPr>
            <w:tcW w:w="1548" w:type="dxa"/>
            <w:gridSpan w:val="2"/>
            <w:vAlign w:val="center"/>
          </w:tcPr>
          <w:p w14:paraId="7973BF42">
            <w:pPr>
              <w:jc w:val="center"/>
              <w:rPr>
                <w:rFonts w:ascii="宋体" w:hAnsi="宋体" w:eastAsia="宋体" w:cs="宋体"/>
                <w:color w:val="auto"/>
                <w:highlight w:val="none"/>
              </w:rPr>
            </w:pPr>
          </w:p>
        </w:tc>
        <w:tc>
          <w:tcPr>
            <w:tcW w:w="1547" w:type="dxa"/>
            <w:gridSpan w:val="2"/>
            <w:vAlign w:val="center"/>
          </w:tcPr>
          <w:p w14:paraId="687D3425">
            <w:pPr>
              <w:jc w:val="center"/>
              <w:rPr>
                <w:rFonts w:ascii="宋体" w:hAnsi="宋体" w:eastAsia="宋体" w:cs="宋体"/>
                <w:color w:val="auto"/>
                <w:highlight w:val="none"/>
              </w:rPr>
            </w:pPr>
          </w:p>
        </w:tc>
        <w:tc>
          <w:tcPr>
            <w:tcW w:w="1548" w:type="dxa"/>
            <w:gridSpan w:val="2"/>
            <w:vAlign w:val="center"/>
          </w:tcPr>
          <w:p w14:paraId="2646624F">
            <w:pPr>
              <w:jc w:val="center"/>
              <w:rPr>
                <w:rFonts w:ascii="宋体" w:hAnsi="宋体" w:eastAsia="宋体" w:cs="宋体"/>
                <w:color w:val="auto"/>
                <w:highlight w:val="none"/>
              </w:rPr>
            </w:pPr>
          </w:p>
        </w:tc>
      </w:tr>
    </w:tbl>
    <w:p w14:paraId="3BB465E3">
      <w:pPr>
        <w:pStyle w:val="198"/>
        <w:rPr>
          <w:rFonts w:ascii="宋体" w:hAnsi="宋体" w:eastAsia="宋体" w:cs="宋体"/>
          <w:color w:val="auto"/>
          <w:highlight w:val="none"/>
        </w:rPr>
      </w:pPr>
      <w:r>
        <w:rPr>
          <w:rFonts w:hint="eastAsia" w:ascii="宋体" w:hAnsi="宋体" w:eastAsia="宋体" w:cs="宋体"/>
          <w:color w:val="auto"/>
          <w:highlight w:val="none"/>
        </w:rPr>
        <w:t>备注：附技术负责人的职称证、资格证、响应文件递交截止时间前6个月内任意1个月在现任职单位依法缴纳社会保险的凭证和已完工程中标（成交）通知书、工程合同协议书、工程竣工验收证明材料，以及供应商认为需要增加的其他证明材料</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，以上</w:t>
      </w:r>
      <w:r>
        <w:rPr>
          <w:rFonts w:hint="eastAsia" w:ascii="宋体" w:hAnsi="宋体" w:eastAsia="宋体" w:cs="宋体"/>
          <w:color w:val="auto"/>
          <w:szCs w:val="21"/>
          <w:highlight w:val="none"/>
        </w:rPr>
        <w:t>扫描件</w:t>
      </w:r>
      <w:r>
        <w:rPr>
          <w:rFonts w:hint="eastAsia" w:ascii="宋体" w:hAnsi="宋体" w:eastAsia="宋体" w:cs="宋体"/>
          <w:color w:val="auto"/>
          <w:highlight w:val="none"/>
        </w:rPr>
        <w:t>均须加盖</w:t>
      </w:r>
      <w:r>
        <w:rPr>
          <w:rFonts w:hint="eastAsia" w:ascii="宋体" w:hAnsi="宋体" w:eastAsia="宋体" w:cs="宋体"/>
          <w:color w:val="auto"/>
          <w:szCs w:val="21"/>
          <w:highlight w:val="none"/>
        </w:rPr>
        <w:t>供应商电子签章</w:t>
      </w:r>
      <w:r>
        <w:rPr>
          <w:rFonts w:hint="eastAsia" w:ascii="宋体" w:hAnsi="宋体" w:eastAsia="宋体" w:cs="宋体"/>
          <w:color w:val="auto"/>
          <w:highlight w:val="none"/>
        </w:rPr>
        <w:t>。</w:t>
      </w:r>
    </w:p>
    <w:p w14:paraId="12B58DCF">
      <w:pPr>
        <w:pStyle w:val="198"/>
        <w:rPr>
          <w:rFonts w:ascii="宋体" w:hAnsi="宋体" w:eastAsia="宋体" w:cs="宋体"/>
          <w:color w:val="auto"/>
          <w:highlight w:val="none"/>
        </w:rPr>
      </w:pPr>
    </w:p>
    <w:p w14:paraId="5A0DF798">
      <w:pPr>
        <w:pStyle w:val="198"/>
        <w:rPr>
          <w:rFonts w:ascii="宋体" w:hAnsi="宋体" w:eastAsia="宋体" w:cs="宋体"/>
          <w:color w:val="auto"/>
          <w:highlight w:val="none"/>
        </w:rPr>
      </w:pPr>
    </w:p>
    <w:p w14:paraId="64E0614D">
      <w:pPr>
        <w:pStyle w:val="198"/>
        <w:jc w:val="left"/>
        <w:rPr>
          <w:rFonts w:ascii="宋体" w:hAnsi="宋体" w:eastAsia="宋体" w:cs="宋体"/>
          <w:color w:val="auto"/>
          <w:highlight w:val="none"/>
        </w:rPr>
      </w:pPr>
      <w:r>
        <w:rPr>
          <w:rFonts w:hint="eastAsia" w:ascii="宋体" w:hAnsi="宋体" w:eastAsia="宋体" w:cs="宋体"/>
          <w:color w:val="auto"/>
          <w:highlight w:val="none"/>
        </w:rPr>
        <w:t>7.4项目管理机构其他人员配备情况表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FFF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F01B412">
            <w:pPr>
              <w:ind w:left="223" w:hanging="222" w:hangingChars="106"/>
              <w:jc w:val="center"/>
              <w:rPr>
                <w:rFonts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vAlign w:val="center"/>
          </w:tcPr>
          <w:p w14:paraId="4F65DBFF">
            <w:pPr>
              <w:ind w:left="223" w:hanging="222" w:hangingChars="106"/>
              <w:jc w:val="center"/>
              <w:rPr>
                <w:rFonts w:ascii="宋体" w:hAnsi="宋体" w:eastAsia="宋体" w:cs="宋体"/>
                <w:color w:val="auto"/>
                <w:highlight w:val="none"/>
              </w:rPr>
            </w:pPr>
            <w:bookmarkStart w:id="1048" w:name="_Toc251052187"/>
            <w:r>
              <w:rPr>
                <w:rFonts w:hint="eastAsia" w:ascii="宋体" w:hAnsi="宋体" w:eastAsia="宋体" w:cs="宋体"/>
                <w:color w:val="auto"/>
                <w:highlight w:val="none"/>
              </w:rPr>
              <w:t>姓名</w:t>
            </w:r>
            <w:bookmarkEnd w:id="1048"/>
          </w:p>
        </w:tc>
        <w:tc>
          <w:tcPr>
            <w:tcW w:w="816" w:type="dxa"/>
            <w:vMerge w:val="restart"/>
            <w:vAlign w:val="center"/>
          </w:tcPr>
          <w:p w14:paraId="11B5AE17">
            <w:pPr>
              <w:ind w:left="223" w:hanging="222" w:hangingChars="106"/>
              <w:jc w:val="center"/>
              <w:rPr>
                <w:rFonts w:ascii="宋体" w:hAnsi="宋体" w:eastAsia="宋体" w:cs="宋体"/>
                <w:color w:val="auto"/>
                <w:highlight w:val="none"/>
              </w:rPr>
            </w:pPr>
            <w:bookmarkStart w:id="1049" w:name="_Toc251052188"/>
            <w:r>
              <w:rPr>
                <w:rFonts w:hint="eastAsia" w:ascii="宋体" w:hAnsi="宋体" w:eastAsia="宋体" w:cs="宋体"/>
                <w:color w:val="auto"/>
                <w:highlight w:val="none"/>
              </w:rPr>
              <w:t>职称</w:t>
            </w:r>
            <w:bookmarkEnd w:id="1049"/>
          </w:p>
        </w:tc>
        <w:tc>
          <w:tcPr>
            <w:tcW w:w="4592" w:type="dxa"/>
            <w:gridSpan w:val="4"/>
            <w:vAlign w:val="center"/>
          </w:tcPr>
          <w:p w14:paraId="01E463C7">
            <w:pPr>
              <w:ind w:left="223" w:hanging="222" w:hangingChars="106"/>
              <w:jc w:val="center"/>
              <w:rPr>
                <w:rFonts w:ascii="宋体" w:hAnsi="宋体" w:eastAsia="宋体" w:cs="宋体"/>
                <w:color w:val="auto"/>
                <w:highlight w:val="none"/>
              </w:rPr>
            </w:pPr>
            <w:bookmarkStart w:id="1050" w:name="_Toc251052189"/>
            <w:r>
              <w:rPr>
                <w:rFonts w:hint="eastAsia" w:ascii="宋体" w:hAnsi="宋体" w:eastAsia="宋体" w:cs="宋体"/>
                <w:color w:val="auto"/>
                <w:highlight w:val="none"/>
              </w:rPr>
              <w:t>执业或职业资格证明</w:t>
            </w:r>
            <w:bookmarkEnd w:id="1050"/>
          </w:p>
        </w:tc>
        <w:tc>
          <w:tcPr>
            <w:tcW w:w="2126" w:type="dxa"/>
            <w:gridSpan w:val="2"/>
            <w:vAlign w:val="center"/>
          </w:tcPr>
          <w:p w14:paraId="31D47E58">
            <w:pPr>
              <w:ind w:left="223" w:hanging="222" w:hangingChars="106"/>
              <w:jc w:val="center"/>
              <w:rPr>
                <w:rFonts w:ascii="宋体" w:hAnsi="宋体" w:eastAsia="宋体" w:cs="宋体"/>
                <w:color w:val="auto"/>
                <w:highlight w:val="none"/>
              </w:rPr>
            </w:pPr>
            <w:bookmarkStart w:id="1051" w:name="_Toc251052190"/>
            <w:r>
              <w:rPr>
                <w:rFonts w:hint="eastAsia" w:ascii="宋体" w:hAnsi="宋体" w:eastAsia="宋体" w:cs="宋体"/>
                <w:color w:val="auto"/>
                <w:highlight w:val="none"/>
              </w:rPr>
              <w:t>承担完工</w:t>
            </w:r>
            <w:bookmarkEnd w:id="1051"/>
            <w:bookmarkStart w:id="1052" w:name="_Toc251052191"/>
            <w:r>
              <w:rPr>
                <w:rFonts w:hint="eastAsia" w:ascii="宋体" w:hAnsi="宋体" w:eastAsia="宋体" w:cs="宋体"/>
                <w:color w:val="auto"/>
                <w:highlight w:val="none"/>
              </w:rPr>
              <w:t>工程情况</w:t>
            </w:r>
            <w:bookmarkEnd w:id="1052"/>
          </w:p>
        </w:tc>
      </w:tr>
      <w:tr w14:paraId="3C27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5189BB41">
            <w:pPr>
              <w:ind w:left="223" w:hanging="222" w:hangingChars="106"/>
              <w:jc w:val="center"/>
              <w:rPr>
                <w:rFonts w:ascii="宋体" w:hAnsi="宋体" w:eastAsia="宋体" w:cs="宋体"/>
                <w:color w:val="auto"/>
                <w:highlight w:val="none"/>
              </w:rPr>
            </w:pPr>
          </w:p>
        </w:tc>
        <w:tc>
          <w:tcPr>
            <w:tcW w:w="829" w:type="dxa"/>
            <w:vMerge w:val="continue"/>
            <w:vAlign w:val="center"/>
          </w:tcPr>
          <w:p w14:paraId="2BE1A001">
            <w:pPr>
              <w:ind w:left="223" w:hanging="222" w:hangingChars="106"/>
              <w:jc w:val="center"/>
              <w:rPr>
                <w:rFonts w:ascii="宋体" w:hAnsi="宋体" w:eastAsia="宋体" w:cs="宋体"/>
                <w:color w:val="auto"/>
                <w:highlight w:val="none"/>
              </w:rPr>
            </w:pPr>
          </w:p>
        </w:tc>
        <w:tc>
          <w:tcPr>
            <w:tcW w:w="816" w:type="dxa"/>
            <w:vMerge w:val="continue"/>
            <w:vAlign w:val="center"/>
          </w:tcPr>
          <w:p w14:paraId="09C415B7">
            <w:pPr>
              <w:ind w:left="223" w:hanging="222" w:hangingChars="106"/>
              <w:jc w:val="center"/>
              <w:rPr>
                <w:rFonts w:ascii="宋体" w:hAnsi="宋体" w:eastAsia="宋体" w:cs="宋体"/>
                <w:color w:val="auto"/>
                <w:highlight w:val="none"/>
              </w:rPr>
            </w:pPr>
          </w:p>
        </w:tc>
        <w:tc>
          <w:tcPr>
            <w:tcW w:w="1148" w:type="dxa"/>
            <w:vAlign w:val="center"/>
          </w:tcPr>
          <w:p w14:paraId="4281CEAB">
            <w:pPr>
              <w:ind w:left="223" w:hanging="222" w:hangingChars="106"/>
              <w:jc w:val="center"/>
              <w:rPr>
                <w:rFonts w:ascii="宋体" w:hAnsi="宋体" w:eastAsia="宋体" w:cs="宋体"/>
                <w:color w:val="auto"/>
                <w:highlight w:val="none"/>
              </w:rPr>
            </w:pPr>
            <w:bookmarkStart w:id="1053" w:name="_Toc251052192"/>
            <w:r>
              <w:rPr>
                <w:rFonts w:hint="eastAsia" w:ascii="宋体" w:hAnsi="宋体" w:eastAsia="宋体" w:cs="宋体"/>
                <w:color w:val="auto"/>
                <w:highlight w:val="none"/>
              </w:rPr>
              <w:t>证书名称</w:t>
            </w:r>
            <w:bookmarkEnd w:id="1053"/>
          </w:p>
        </w:tc>
        <w:tc>
          <w:tcPr>
            <w:tcW w:w="1148" w:type="dxa"/>
            <w:vAlign w:val="center"/>
          </w:tcPr>
          <w:p w14:paraId="08E25103">
            <w:pPr>
              <w:ind w:left="223" w:hanging="222" w:hangingChars="106"/>
              <w:jc w:val="center"/>
              <w:rPr>
                <w:rFonts w:ascii="宋体" w:hAnsi="宋体" w:eastAsia="宋体" w:cs="宋体"/>
                <w:color w:val="auto"/>
                <w:highlight w:val="none"/>
              </w:rPr>
            </w:pPr>
            <w:bookmarkStart w:id="1054" w:name="_Toc251052193"/>
            <w:r>
              <w:rPr>
                <w:rFonts w:hint="eastAsia" w:ascii="宋体" w:hAnsi="宋体" w:eastAsia="宋体" w:cs="宋体"/>
                <w:color w:val="auto"/>
                <w:highlight w:val="none"/>
              </w:rPr>
              <w:t>级别</w:t>
            </w:r>
            <w:bookmarkEnd w:id="1054"/>
          </w:p>
        </w:tc>
        <w:tc>
          <w:tcPr>
            <w:tcW w:w="1148" w:type="dxa"/>
            <w:vAlign w:val="center"/>
          </w:tcPr>
          <w:p w14:paraId="6D4AA03A">
            <w:pPr>
              <w:ind w:left="223" w:hanging="222" w:hangingChars="106"/>
              <w:jc w:val="center"/>
              <w:rPr>
                <w:rFonts w:ascii="宋体" w:hAnsi="宋体" w:eastAsia="宋体" w:cs="宋体"/>
                <w:color w:val="auto"/>
                <w:highlight w:val="none"/>
              </w:rPr>
            </w:pPr>
            <w:bookmarkStart w:id="1055" w:name="_Toc251052194"/>
            <w:r>
              <w:rPr>
                <w:rFonts w:hint="eastAsia" w:ascii="宋体" w:hAnsi="宋体" w:eastAsia="宋体" w:cs="宋体"/>
                <w:color w:val="auto"/>
                <w:highlight w:val="none"/>
              </w:rPr>
              <w:t>证号</w:t>
            </w:r>
            <w:bookmarkEnd w:id="1055"/>
          </w:p>
        </w:tc>
        <w:tc>
          <w:tcPr>
            <w:tcW w:w="1148" w:type="dxa"/>
            <w:vAlign w:val="center"/>
          </w:tcPr>
          <w:p w14:paraId="62F1BD7D">
            <w:pPr>
              <w:ind w:left="223" w:hanging="222" w:hangingChars="106"/>
              <w:jc w:val="center"/>
              <w:rPr>
                <w:rFonts w:ascii="宋体" w:hAnsi="宋体" w:eastAsia="宋体" w:cs="宋体"/>
                <w:color w:val="auto"/>
                <w:highlight w:val="none"/>
              </w:rPr>
            </w:pPr>
            <w:bookmarkStart w:id="1056" w:name="_Toc251052195"/>
            <w:r>
              <w:rPr>
                <w:rFonts w:hint="eastAsia" w:ascii="宋体" w:hAnsi="宋体" w:eastAsia="宋体" w:cs="宋体"/>
                <w:color w:val="auto"/>
                <w:highlight w:val="none"/>
              </w:rPr>
              <w:t>专业</w:t>
            </w:r>
            <w:bookmarkEnd w:id="1056"/>
          </w:p>
        </w:tc>
        <w:tc>
          <w:tcPr>
            <w:tcW w:w="850" w:type="dxa"/>
            <w:vAlign w:val="center"/>
          </w:tcPr>
          <w:p w14:paraId="6EFF5E51">
            <w:pPr>
              <w:ind w:left="223" w:hanging="222" w:hangingChars="106"/>
              <w:jc w:val="center"/>
              <w:rPr>
                <w:rFonts w:ascii="宋体" w:hAnsi="宋体" w:eastAsia="宋体" w:cs="宋体"/>
                <w:color w:val="auto"/>
                <w:highlight w:val="none"/>
              </w:rPr>
            </w:pPr>
            <w:bookmarkStart w:id="1057" w:name="_Toc251052197"/>
            <w:r>
              <w:rPr>
                <w:rFonts w:hint="eastAsia" w:ascii="宋体" w:hAnsi="宋体" w:eastAsia="宋体" w:cs="宋体"/>
                <w:color w:val="auto"/>
                <w:highlight w:val="none"/>
              </w:rPr>
              <w:t>项目数</w:t>
            </w:r>
            <w:bookmarkEnd w:id="1057"/>
          </w:p>
        </w:tc>
        <w:tc>
          <w:tcPr>
            <w:tcW w:w="1276" w:type="dxa"/>
            <w:vAlign w:val="center"/>
          </w:tcPr>
          <w:p w14:paraId="55D23792">
            <w:pPr>
              <w:ind w:left="223" w:hanging="222" w:hangingChars="106"/>
              <w:jc w:val="center"/>
              <w:rPr>
                <w:rFonts w:ascii="宋体" w:hAnsi="宋体" w:eastAsia="宋体" w:cs="宋体"/>
                <w:color w:val="auto"/>
                <w:highlight w:val="none"/>
              </w:rPr>
            </w:pPr>
            <w:bookmarkStart w:id="1058" w:name="_Toc251052198"/>
            <w:r>
              <w:rPr>
                <w:rFonts w:hint="eastAsia" w:ascii="宋体" w:hAnsi="宋体" w:eastAsia="宋体" w:cs="宋体"/>
                <w:color w:val="auto"/>
                <w:highlight w:val="none"/>
              </w:rPr>
              <w:t>主要项目</w:t>
            </w:r>
          </w:p>
          <w:p w14:paraId="7CAAB679">
            <w:pPr>
              <w:ind w:left="223" w:hanging="222" w:hangingChars="106"/>
              <w:jc w:val="center"/>
              <w:rPr>
                <w:rFonts w:ascii="宋体" w:hAnsi="宋体" w:eastAsia="宋体" w:cs="宋体"/>
                <w:color w:val="auto"/>
                <w:highlight w:val="none"/>
              </w:rPr>
            </w:pPr>
            <w:r>
              <w:rPr>
                <w:rFonts w:hint="eastAsia" w:ascii="宋体" w:hAnsi="宋体" w:eastAsia="宋体" w:cs="宋体"/>
                <w:color w:val="auto"/>
                <w:highlight w:val="none"/>
              </w:rPr>
              <w:t>名称</w:t>
            </w:r>
            <w:bookmarkEnd w:id="1058"/>
          </w:p>
        </w:tc>
      </w:tr>
      <w:tr w14:paraId="4F5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36C6CF">
            <w:pPr>
              <w:ind w:left="223" w:hanging="222" w:hangingChars="106"/>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施工员</w:t>
            </w:r>
          </w:p>
        </w:tc>
        <w:tc>
          <w:tcPr>
            <w:tcW w:w="829" w:type="dxa"/>
            <w:vAlign w:val="center"/>
          </w:tcPr>
          <w:p w14:paraId="3275D25C">
            <w:pPr>
              <w:ind w:left="223" w:hanging="222" w:hangingChars="106"/>
              <w:jc w:val="center"/>
              <w:rPr>
                <w:rFonts w:ascii="宋体" w:hAnsi="宋体" w:eastAsia="宋体" w:cs="宋体"/>
                <w:color w:val="auto"/>
                <w:highlight w:val="none"/>
              </w:rPr>
            </w:pPr>
          </w:p>
        </w:tc>
        <w:tc>
          <w:tcPr>
            <w:tcW w:w="816" w:type="dxa"/>
            <w:vAlign w:val="center"/>
          </w:tcPr>
          <w:p w14:paraId="6D13E11F">
            <w:pPr>
              <w:ind w:left="223" w:hanging="222" w:hangingChars="106"/>
              <w:jc w:val="center"/>
              <w:rPr>
                <w:rFonts w:ascii="宋体" w:hAnsi="宋体" w:eastAsia="宋体" w:cs="宋体"/>
                <w:color w:val="auto"/>
                <w:highlight w:val="none"/>
              </w:rPr>
            </w:pPr>
          </w:p>
        </w:tc>
        <w:tc>
          <w:tcPr>
            <w:tcW w:w="1148" w:type="dxa"/>
            <w:vAlign w:val="center"/>
          </w:tcPr>
          <w:p w14:paraId="2EB049F7">
            <w:pPr>
              <w:ind w:left="223" w:hanging="222" w:hangingChars="106"/>
              <w:jc w:val="center"/>
              <w:rPr>
                <w:rFonts w:ascii="宋体" w:hAnsi="宋体" w:eastAsia="宋体" w:cs="宋体"/>
                <w:color w:val="auto"/>
                <w:highlight w:val="none"/>
              </w:rPr>
            </w:pPr>
          </w:p>
        </w:tc>
        <w:tc>
          <w:tcPr>
            <w:tcW w:w="1148" w:type="dxa"/>
            <w:vAlign w:val="center"/>
          </w:tcPr>
          <w:p w14:paraId="3C124B31">
            <w:pPr>
              <w:ind w:left="223" w:hanging="222" w:hangingChars="106"/>
              <w:jc w:val="center"/>
              <w:rPr>
                <w:rFonts w:ascii="宋体" w:hAnsi="宋体" w:eastAsia="宋体" w:cs="宋体"/>
                <w:color w:val="auto"/>
                <w:highlight w:val="none"/>
              </w:rPr>
            </w:pPr>
          </w:p>
        </w:tc>
        <w:tc>
          <w:tcPr>
            <w:tcW w:w="1148" w:type="dxa"/>
            <w:vAlign w:val="center"/>
          </w:tcPr>
          <w:p w14:paraId="24DB7510">
            <w:pPr>
              <w:ind w:left="223" w:hanging="222" w:hangingChars="106"/>
              <w:jc w:val="center"/>
              <w:rPr>
                <w:rFonts w:ascii="宋体" w:hAnsi="宋体" w:eastAsia="宋体" w:cs="宋体"/>
                <w:color w:val="auto"/>
                <w:highlight w:val="none"/>
              </w:rPr>
            </w:pPr>
          </w:p>
        </w:tc>
        <w:tc>
          <w:tcPr>
            <w:tcW w:w="1148" w:type="dxa"/>
            <w:vAlign w:val="center"/>
          </w:tcPr>
          <w:p w14:paraId="1226AD9F">
            <w:pPr>
              <w:ind w:left="223" w:hanging="222" w:hangingChars="106"/>
              <w:jc w:val="center"/>
              <w:rPr>
                <w:rFonts w:ascii="宋体" w:hAnsi="宋体" w:eastAsia="宋体" w:cs="宋体"/>
                <w:color w:val="auto"/>
                <w:highlight w:val="none"/>
              </w:rPr>
            </w:pPr>
          </w:p>
        </w:tc>
        <w:tc>
          <w:tcPr>
            <w:tcW w:w="850" w:type="dxa"/>
            <w:vAlign w:val="center"/>
          </w:tcPr>
          <w:p w14:paraId="70DF7930">
            <w:pPr>
              <w:ind w:left="223" w:hanging="222" w:hangingChars="106"/>
              <w:jc w:val="center"/>
              <w:rPr>
                <w:rFonts w:ascii="宋体" w:hAnsi="宋体" w:eastAsia="宋体" w:cs="宋体"/>
                <w:color w:val="auto"/>
                <w:highlight w:val="none"/>
              </w:rPr>
            </w:pPr>
          </w:p>
        </w:tc>
        <w:tc>
          <w:tcPr>
            <w:tcW w:w="1276" w:type="dxa"/>
            <w:vAlign w:val="center"/>
          </w:tcPr>
          <w:p w14:paraId="48390AC4">
            <w:pPr>
              <w:ind w:left="223" w:hanging="222" w:hangingChars="106"/>
              <w:jc w:val="center"/>
              <w:rPr>
                <w:rFonts w:ascii="宋体" w:hAnsi="宋体" w:eastAsia="宋体" w:cs="宋体"/>
                <w:color w:val="auto"/>
                <w:highlight w:val="none"/>
              </w:rPr>
            </w:pPr>
          </w:p>
        </w:tc>
      </w:tr>
      <w:tr w14:paraId="557C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993" w:type="dxa"/>
            <w:vAlign w:val="center"/>
          </w:tcPr>
          <w:p w14:paraId="0647F830">
            <w:pPr>
              <w:ind w:left="223" w:hanging="222" w:hangingChars="106"/>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质量员</w:t>
            </w:r>
          </w:p>
        </w:tc>
        <w:tc>
          <w:tcPr>
            <w:tcW w:w="829" w:type="dxa"/>
            <w:vAlign w:val="center"/>
          </w:tcPr>
          <w:p w14:paraId="1208FB45">
            <w:pPr>
              <w:ind w:left="223" w:hanging="222" w:hangingChars="106"/>
              <w:jc w:val="center"/>
              <w:rPr>
                <w:rFonts w:ascii="宋体" w:hAnsi="宋体" w:eastAsia="宋体" w:cs="宋体"/>
                <w:color w:val="auto"/>
                <w:highlight w:val="none"/>
              </w:rPr>
            </w:pPr>
          </w:p>
        </w:tc>
        <w:tc>
          <w:tcPr>
            <w:tcW w:w="816" w:type="dxa"/>
            <w:vAlign w:val="center"/>
          </w:tcPr>
          <w:p w14:paraId="7D9C3185">
            <w:pPr>
              <w:ind w:left="223" w:hanging="222" w:hangingChars="106"/>
              <w:jc w:val="center"/>
              <w:rPr>
                <w:rFonts w:ascii="宋体" w:hAnsi="宋体" w:eastAsia="宋体" w:cs="宋体"/>
                <w:color w:val="auto"/>
                <w:highlight w:val="none"/>
              </w:rPr>
            </w:pPr>
          </w:p>
        </w:tc>
        <w:tc>
          <w:tcPr>
            <w:tcW w:w="1148" w:type="dxa"/>
            <w:vAlign w:val="center"/>
          </w:tcPr>
          <w:p w14:paraId="6C24C901">
            <w:pPr>
              <w:ind w:left="223" w:hanging="222" w:hangingChars="106"/>
              <w:jc w:val="center"/>
              <w:rPr>
                <w:rFonts w:ascii="宋体" w:hAnsi="宋体" w:eastAsia="宋体" w:cs="宋体"/>
                <w:color w:val="auto"/>
                <w:highlight w:val="none"/>
              </w:rPr>
            </w:pPr>
          </w:p>
        </w:tc>
        <w:tc>
          <w:tcPr>
            <w:tcW w:w="1148" w:type="dxa"/>
            <w:vAlign w:val="center"/>
          </w:tcPr>
          <w:p w14:paraId="5A4017C9">
            <w:pPr>
              <w:ind w:left="223" w:hanging="222" w:hangingChars="106"/>
              <w:jc w:val="center"/>
              <w:rPr>
                <w:rFonts w:ascii="宋体" w:hAnsi="宋体" w:eastAsia="宋体" w:cs="宋体"/>
                <w:color w:val="auto"/>
                <w:highlight w:val="none"/>
              </w:rPr>
            </w:pPr>
          </w:p>
        </w:tc>
        <w:tc>
          <w:tcPr>
            <w:tcW w:w="1148" w:type="dxa"/>
            <w:vAlign w:val="center"/>
          </w:tcPr>
          <w:p w14:paraId="67DD4D90">
            <w:pPr>
              <w:ind w:left="223" w:hanging="222" w:hangingChars="106"/>
              <w:jc w:val="center"/>
              <w:rPr>
                <w:rFonts w:ascii="宋体" w:hAnsi="宋体" w:eastAsia="宋体" w:cs="宋体"/>
                <w:color w:val="auto"/>
                <w:highlight w:val="none"/>
              </w:rPr>
            </w:pPr>
          </w:p>
        </w:tc>
        <w:tc>
          <w:tcPr>
            <w:tcW w:w="1148" w:type="dxa"/>
            <w:vAlign w:val="center"/>
          </w:tcPr>
          <w:p w14:paraId="2FF57B75">
            <w:pPr>
              <w:ind w:left="223" w:hanging="222" w:hangingChars="106"/>
              <w:jc w:val="center"/>
              <w:rPr>
                <w:rFonts w:ascii="宋体" w:hAnsi="宋体" w:eastAsia="宋体" w:cs="宋体"/>
                <w:color w:val="auto"/>
                <w:highlight w:val="none"/>
              </w:rPr>
            </w:pPr>
          </w:p>
        </w:tc>
        <w:tc>
          <w:tcPr>
            <w:tcW w:w="850" w:type="dxa"/>
            <w:vAlign w:val="center"/>
          </w:tcPr>
          <w:p w14:paraId="778E11CA">
            <w:pPr>
              <w:ind w:left="223" w:hanging="222" w:hangingChars="106"/>
              <w:jc w:val="center"/>
              <w:rPr>
                <w:rFonts w:ascii="宋体" w:hAnsi="宋体" w:eastAsia="宋体" w:cs="宋体"/>
                <w:color w:val="auto"/>
                <w:highlight w:val="none"/>
              </w:rPr>
            </w:pPr>
          </w:p>
        </w:tc>
        <w:tc>
          <w:tcPr>
            <w:tcW w:w="1276" w:type="dxa"/>
            <w:vAlign w:val="center"/>
          </w:tcPr>
          <w:p w14:paraId="204D6DDE">
            <w:pPr>
              <w:ind w:left="223" w:hanging="222" w:hangingChars="106"/>
              <w:jc w:val="center"/>
              <w:rPr>
                <w:rFonts w:ascii="宋体" w:hAnsi="宋体" w:eastAsia="宋体" w:cs="宋体"/>
                <w:color w:val="auto"/>
                <w:highlight w:val="none"/>
              </w:rPr>
            </w:pPr>
          </w:p>
        </w:tc>
      </w:tr>
      <w:tr w14:paraId="28C9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28D2338A">
            <w:pPr>
              <w:ind w:left="223" w:hanging="222" w:hangingChars="106"/>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安全员</w:t>
            </w:r>
          </w:p>
        </w:tc>
        <w:tc>
          <w:tcPr>
            <w:tcW w:w="829" w:type="dxa"/>
            <w:vAlign w:val="center"/>
          </w:tcPr>
          <w:p w14:paraId="230FEBC2">
            <w:pPr>
              <w:ind w:left="223" w:hanging="222" w:hangingChars="106"/>
              <w:jc w:val="center"/>
              <w:rPr>
                <w:rFonts w:ascii="宋体" w:hAnsi="宋体" w:eastAsia="宋体" w:cs="宋体"/>
                <w:color w:val="auto"/>
                <w:highlight w:val="none"/>
              </w:rPr>
            </w:pPr>
          </w:p>
        </w:tc>
        <w:tc>
          <w:tcPr>
            <w:tcW w:w="816" w:type="dxa"/>
            <w:vAlign w:val="center"/>
          </w:tcPr>
          <w:p w14:paraId="34D434EA">
            <w:pPr>
              <w:ind w:left="223" w:hanging="222" w:hangingChars="106"/>
              <w:jc w:val="center"/>
              <w:rPr>
                <w:rFonts w:ascii="宋体" w:hAnsi="宋体" w:eastAsia="宋体" w:cs="宋体"/>
                <w:color w:val="auto"/>
                <w:highlight w:val="none"/>
              </w:rPr>
            </w:pPr>
          </w:p>
        </w:tc>
        <w:tc>
          <w:tcPr>
            <w:tcW w:w="1148" w:type="dxa"/>
            <w:vAlign w:val="center"/>
          </w:tcPr>
          <w:p w14:paraId="4BFEBAC4">
            <w:pPr>
              <w:ind w:left="223" w:hanging="222" w:hangingChars="106"/>
              <w:jc w:val="center"/>
              <w:rPr>
                <w:rFonts w:ascii="宋体" w:hAnsi="宋体" w:eastAsia="宋体" w:cs="宋体"/>
                <w:color w:val="auto"/>
                <w:highlight w:val="none"/>
              </w:rPr>
            </w:pPr>
          </w:p>
        </w:tc>
        <w:tc>
          <w:tcPr>
            <w:tcW w:w="1148" w:type="dxa"/>
            <w:vAlign w:val="center"/>
          </w:tcPr>
          <w:p w14:paraId="064FCF2B">
            <w:pPr>
              <w:ind w:left="223" w:hanging="222" w:hangingChars="106"/>
              <w:jc w:val="center"/>
              <w:rPr>
                <w:rFonts w:ascii="宋体" w:hAnsi="宋体" w:eastAsia="宋体" w:cs="宋体"/>
                <w:color w:val="auto"/>
                <w:highlight w:val="none"/>
              </w:rPr>
            </w:pPr>
          </w:p>
        </w:tc>
        <w:tc>
          <w:tcPr>
            <w:tcW w:w="1148" w:type="dxa"/>
            <w:vAlign w:val="center"/>
          </w:tcPr>
          <w:p w14:paraId="3ECB4F8E">
            <w:pPr>
              <w:ind w:left="223" w:hanging="222" w:hangingChars="106"/>
              <w:jc w:val="center"/>
              <w:rPr>
                <w:rFonts w:ascii="宋体" w:hAnsi="宋体" w:eastAsia="宋体" w:cs="宋体"/>
                <w:color w:val="auto"/>
                <w:highlight w:val="none"/>
              </w:rPr>
            </w:pPr>
          </w:p>
        </w:tc>
        <w:tc>
          <w:tcPr>
            <w:tcW w:w="1148" w:type="dxa"/>
            <w:vAlign w:val="center"/>
          </w:tcPr>
          <w:p w14:paraId="18B7D780">
            <w:pPr>
              <w:ind w:left="223" w:hanging="222" w:hangingChars="106"/>
              <w:jc w:val="center"/>
              <w:rPr>
                <w:rFonts w:ascii="宋体" w:hAnsi="宋体" w:eastAsia="宋体" w:cs="宋体"/>
                <w:color w:val="auto"/>
                <w:highlight w:val="none"/>
              </w:rPr>
            </w:pPr>
          </w:p>
        </w:tc>
        <w:tc>
          <w:tcPr>
            <w:tcW w:w="850" w:type="dxa"/>
            <w:vAlign w:val="center"/>
          </w:tcPr>
          <w:p w14:paraId="5FD305F7">
            <w:pPr>
              <w:ind w:left="223" w:hanging="222" w:hangingChars="106"/>
              <w:jc w:val="center"/>
              <w:rPr>
                <w:rFonts w:ascii="宋体" w:hAnsi="宋体" w:eastAsia="宋体" w:cs="宋体"/>
                <w:color w:val="auto"/>
                <w:highlight w:val="none"/>
              </w:rPr>
            </w:pPr>
          </w:p>
        </w:tc>
        <w:tc>
          <w:tcPr>
            <w:tcW w:w="1276" w:type="dxa"/>
            <w:vAlign w:val="center"/>
          </w:tcPr>
          <w:p w14:paraId="3D98C4F9">
            <w:pPr>
              <w:ind w:left="223" w:hanging="222" w:hangingChars="106"/>
              <w:jc w:val="center"/>
              <w:rPr>
                <w:rFonts w:ascii="宋体" w:hAnsi="宋体" w:eastAsia="宋体" w:cs="宋体"/>
                <w:color w:val="auto"/>
                <w:highlight w:val="none"/>
              </w:rPr>
            </w:pPr>
          </w:p>
        </w:tc>
      </w:tr>
      <w:tr w14:paraId="34E4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0C314D0">
            <w:pPr>
              <w:ind w:left="223" w:hanging="222" w:hangingChars="106"/>
              <w:jc w:val="center"/>
              <w:rPr>
                <w:rFonts w:ascii="宋体" w:hAnsi="宋体" w:eastAsia="宋体" w:cs="宋体"/>
                <w:color w:val="auto"/>
                <w:szCs w:val="21"/>
                <w:highlight w:val="none"/>
              </w:rPr>
            </w:pPr>
          </w:p>
        </w:tc>
        <w:tc>
          <w:tcPr>
            <w:tcW w:w="829" w:type="dxa"/>
            <w:vAlign w:val="center"/>
          </w:tcPr>
          <w:p w14:paraId="67026114">
            <w:pPr>
              <w:ind w:left="223" w:hanging="222" w:hangingChars="106"/>
              <w:jc w:val="center"/>
              <w:rPr>
                <w:rFonts w:ascii="宋体" w:hAnsi="宋体" w:eastAsia="宋体" w:cs="宋体"/>
                <w:color w:val="auto"/>
                <w:highlight w:val="none"/>
              </w:rPr>
            </w:pPr>
          </w:p>
        </w:tc>
        <w:tc>
          <w:tcPr>
            <w:tcW w:w="816" w:type="dxa"/>
            <w:vAlign w:val="center"/>
          </w:tcPr>
          <w:p w14:paraId="61531D39">
            <w:pPr>
              <w:ind w:left="223" w:hanging="222" w:hangingChars="106"/>
              <w:jc w:val="center"/>
              <w:rPr>
                <w:rFonts w:ascii="宋体" w:hAnsi="宋体" w:eastAsia="宋体" w:cs="宋体"/>
                <w:color w:val="auto"/>
                <w:highlight w:val="none"/>
              </w:rPr>
            </w:pPr>
          </w:p>
        </w:tc>
        <w:tc>
          <w:tcPr>
            <w:tcW w:w="1148" w:type="dxa"/>
            <w:vAlign w:val="center"/>
          </w:tcPr>
          <w:p w14:paraId="4C94EF32">
            <w:pPr>
              <w:ind w:left="223" w:hanging="222" w:hangingChars="106"/>
              <w:jc w:val="center"/>
              <w:rPr>
                <w:rFonts w:ascii="宋体" w:hAnsi="宋体" w:eastAsia="宋体" w:cs="宋体"/>
                <w:color w:val="auto"/>
                <w:highlight w:val="none"/>
              </w:rPr>
            </w:pPr>
          </w:p>
        </w:tc>
        <w:tc>
          <w:tcPr>
            <w:tcW w:w="1148" w:type="dxa"/>
            <w:vAlign w:val="center"/>
          </w:tcPr>
          <w:p w14:paraId="08A922B1">
            <w:pPr>
              <w:ind w:left="223" w:hanging="222" w:hangingChars="106"/>
              <w:jc w:val="center"/>
              <w:rPr>
                <w:rFonts w:ascii="宋体" w:hAnsi="宋体" w:eastAsia="宋体" w:cs="宋体"/>
                <w:color w:val="auto"/>
                <w:highlight w:val="none"/>
              </w:rPr>
            </w:pPr>
          </w:p>
        </w:tc>
        <w:tc>
          <w:tcPr>
            <w:tcW w:w="1148" w:type="dxa"/>
            <w:vAlign w:val="center"/>
          </w:tcPr>
          <w:p w14:paraId="5BA48564">
            <w:pPr>
              <w:ind w:left="223" w:hanging="222" w:hangingChars="106"/>
              <w:jc w:val="center"/>
              <w:rPr>
                <w:rFonts w:ascii="宋体" w:hAnsi="宋体" w:eastAsia="宋体" w:cs="宋体"/>
                <w:color w:val="auto"/>
                <w:highlight w:val="none"/>
              </w:rPr>
            </w:pPr>
          </w:p>
        </w:tc>
        <w:tc>
          <w:tcPr>
            <w:tcW w:w="1148" w:type="dxa"/>
            <w:vAlign w:val="center"/>
          </w:tcPr>
          <w:p w14:paraId="519E23CB">
            <w:pPr>
              <w:ind w:left="223" w:hanging="222" w:hangingChars="106"/>
              <w:jc w:val="center"/>
              <w:rPr>
                <w:rFonts w:ascii="宋体" w:hAnsi="宋体" w:eastAsia="宋体" w:cs="宋体"/>
                <w:color w:val="auto"/>
                <w:highlight w:val="none"/>
              </w:rPr>
            </w:pPr>
          </w:p>
        </w:tc>
        <w:tc>
          <w:tcPr>
            <w:tcW w:w="850" w:type="dxa"/>
            <w:vAlign w:val="center"/>
          </w:tcPr>
          <w:p w14:paraId="3AD0141D">
            <w:pPr>
              <w:ind w:left="223" w:hanging="222" w:hangingChars="106"/>
              <w:jc w:val="center"/>
              <w:rPr>
                <w:rFonts w:ascii="宋体" w:hAnsi="宋体" w:eastAsia="宋体" w:cs="宋体"/>
                <w:color w:val="auto"/>
                <w:highlight w:val="none"/>
              </w:rPr>
            </w:pPr>
          </w:p>
        </w:tc>
        <w:tc>
          <w:tcPr>
            <w:tcW w:w="1276" w:type="dxa"/>
            <w:vAlign w:val="center"/>
          </w:tcPr>
          <w:p w14:paraId="5BA06F8E">
            <w:pPr>
              <w:ind w:left="223" w:hanging="222" w:hangingChars="106"/>
              <w:jc w:val="center"/>
              <w:rPr>
                <w:rFonts w:ascii="宋体" w:hAnsi="宋体" w:eastAsia="宋体" w:cs="宋体"/>
                <w:color w:val="auto"/>
                <w:highlight w:val="none"/>
              </w:rPr>
            </w:pPr>
          </w:p>
        </w:tc>
      </w:tr>
      <w:tr w14:paraId="2B0C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3CCEBA33">
            <w:pPr>
              <w:ind w:left="223" w:hanging="222" w:hangingChars="106"/>
              <w:jc w:val="center"/>
              <w:rPr>
                <w:rFonts w:ascii="宋体" w:hAnsi="宋体" w:eastAsia="宋体" w:cs="宋体"/>
                <w:color w:val="auto"/>
                <w:szCs w:val="21"/>
                <w:highlight w:val="none"/>
              </w:rPr>
            </w:pPr>
          </w:p>
        </w:tc>
        <w:tc>
          <w:tcPr>
            <w:tcW w:w="829" w:type="dxa"/>
            <w:vAlign w:val="center"/>
          </w:tcPr>
          <w:p w14:paraId="61CA0906">
            <w:pPr>
              <w:ind w:left="223" w:hanging="222" w:hangingChars="106"/>
              <w:jc w:val="center"/>
              <w:rPr>
                <w:rFonts w:ascii="宋体" w:hAnsi="宋体" w:eastAsia="宋体" w:cs="宋体"/>
                <w:color w:val="auto"/>
                <w:highlight w:val="none"/>
              </w:rPr>
            </w:pPr>
          </w:p>
        </w:tc>
        <w:tc>
          <w:tcPr>
            <w:tcW w:w="816" w:type="dxa"/>
            <w:vAlign w:val="center"/>
          </w:tcPr>
          <w:p w14:paraId="1EC9047F">
            <w:pPr>
              <w:ind w:left="223" w:hanging="222" w:hangingChars="106"/>
              <w:jc w:val="center"/>
              <w:rPr>
                <w:rFonts w:ascii="宋体" w:hAnsi="宋体" w:eastAsia="宋体" w:cs="宋体"/>
                <w:color w:val="auto"/>
                <w:highlight w:val="none"/>
              </w:rPr>
            </w:pPr>
          </w:p>
        </w:tc>
        <w:tc>
          <w:tcPr>
            <w:tcW w:w="1148" w:type="dxa"/>
            <w:vAlign w:val="center"/>
          </w:tcPr>
          <w:p w14:paraId="20BE4365">
            <w:pPr>
              <w:ind w:left="223" w:hanging="222" w:hangingChars="106"/>
              <w:jc w:val="center"/>
              <w:rPr>
                <w:rFonts w:ascii="宋体" w:hAnsi="宋体" w:eastAsia="宋体" w:cs="宋体"/>
                <w:color w:val="auto"/>
                <w:highlight w:val="none"/>
              </w:rPr>
            </w:pPr>
          </w:p>
        </w:tc>
        <w:tc>
          <w:tcPr>
            <w:tcW w:w="1148" w:type="dxa"/>
            <w:vAlign w:val="center"/>
          </w:tcPr>
          <w:p w14:paraId="3E2C4991">
            <w:pPr>
              <w:ind w:left="223" w:hanging="222" w:hangingChars="106"/>
              <w:jc w:val="center"/>
              <w:rPr>
                <w:rFonts w:ascii="宋体" w:hAnsi="宋体" w:eastAsia="宋体" w:cs="宋体"/>
                <w:color w:val="auto"/>
                <w:highlight w:val="none"/>
              </w:rPr>
            </w:pPr>
          </w:p>
        </w:tc>
        <w:tc>
          <w:tcPr>
            <w:tcW w:w="1148" w:type="dxa"/>
            <w:vAlign w:val="center"/>
          </w:tcPr>
          <w:p w14:paraId="440F0B47">
            <w:pPr>
              <w:ind w:left="223" w:hanging="222" w:hangingChars="106"/>
              <w:jc w:val="center"/>
              <w:rPr>
                <w:rFonts w:ascii="宋体" w:hAnsi="宋体" w:eastAsia="宋体" w:cs="宋体"/>
                <w:color w:val="auto"/>
                <w:highlight w:val="none"/>
              </w:rPr>
            </w:pPr>
          </w:p>
        </w:tc>
        <w:tc>
          <w:tcPr>
            <w:tcW w:w="1148" w:type="dxa"/>
            <w:vAlign w:val="center"/>
          </w:tcPr>
          <w:p w14:paraId="10308733">
            <w:pPr>
              <w:ind w:left="223" w:hanging="222" w:hangingChars="106"/>
              <w:jc w:val="center"/>
              <w:rPr>
                <w:rFonts w:ascii="宋体" w:hAnsi="宋体" w:eastAsia="宋体" w:cs="宋体"/>
                <w:color w:val="auto"/>
                <w:highlight w:val="none"/>
              </w:rPr>
            </w:pPr>
          </w:p>
        </w:tc>
        <w:tc>
          <w:tcPr>
            <w:tcW w:w="850" w:type="dxa"/>
            <w:vAlign w:val="center"/>
          </w:tcPr>
          <w:p w14:paraId="30BF724A">
            <w:pPr>
              <w:ind w:left="223" w:hanging="222" w:hangingChars="106"/>
              <w:jc w:val="center"/>
              <w:rPr>
                <w:rFonts w:ascii="宋体" w:hAnsi="宋体" w:eastAsia="宋体" w:cs="宋体"/>
                <w:color w:val="auto"/>
                <w:highlight w:val="none"/>
              </w:rPr>
            </w:pPr>
          </w:p>
        </w:tc>
        <w:tc>
          <w:tcPr>
            <w:tcW w:w="1276" w:type="dxa"/>
            <w:vAlign w:val="center"/>
          </w:tcPr>
          <w:p w14:paraId="3B9054A7">
            <w:pPr>
              <w:ind w:left="223" w:hanging="222" w:hangingChars="106"/>
              <w:jc w:val="center"/>
              <w:rPr>
                <w:rFonts w:ascii="宋体" w:hAnsi="宋体" w:eastAsia="宋体" w:cs="宋体"/>
                <w:color w:val="auto"/>
                <w:highlight w:val="none"/>
              </w:rPr>
            </w:pPr>
          </w:p>
        </w:tc>
      </w:tr>
      <w:tr w14:paraId="34F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5E5DBFD">
            <w:pPr>
              <w:ind w:left="223" w:hanging="222" w:hangingChars="106"/>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材料员</w:t>
            </w:r>
          </w:p>
        </w:tc>
        <w:tc>
          <w:tcPr>
            <w:tcW w:w="829" w:type="dxa"/>
            <w:vAlign w:val="center"/>
          </w:tcPr>
          <w:p w14:paraId="2E3528CA">
            <w:pPr>
              <w:ind w:left="223" w:hanging="222" w:hangingChars="106"/>
              <w:jc w:val="center"/>
              <w:rPr>
                <w:rFonts w:ascii="宋体" w:hAnsi="宋体" w:eastAsia="宋体" w:cs="宋体"/>
                <w:color w:val="auto"/>
                <w:highlight w:val="none"/>
              </w:rPr>
            </w:pPr>
          </w:p>
        </w:tc>
        <w:tc>
          <w:tcPr>
            <w:tcW w:w="816" w:type="dxa"/>
            <w:vAlign w:val="center"/>
          </w:tcPr>
          <w:p w14:paraId="486AA9D8">
            <w:pPr>
              <w:ind w:left="223" w:hanging="222" w:hangingChars="106"/>
              <w:jc w:val="center"/>
              <w:rPr>
                <w:rFonts w:ascii="宋体" w:hAnsi="宋体" w:eastAsia="宋体" w:cs="宋体"/>
                <w:color w:val="auto"/>
                <w:highlight w:val="none"/>
              </w:rPr>
            </w:pPr>
          </w:p>
        </w:tc>
        <w:tc>
          <w:tcPr>
            <w:tcW w:w="1148" w:type="dxa"/>
            <w:vAlign w:val="center"/>
          </w:tcPr>
          <w:p w14:paraId="3F02A2DA">
            <w:pPr>
              <w:ind w:left="223" w:hanging="222" w:hangingChars="106"/>
              <w:jc w:val="center"/>
              <w:rPr>
                <w:rFonts w:ascii="宋体" w:hAnsi="宋体" w:eastAsia="宋体" w:cs="宋体"/>
                <w:color w:val="auto"/>
                <w:highlight w:val="none"/>
              </w:rPr>
            </w:pPr>
          </w:p>
        </w:tc>
        <w:tc>
          <w:tcPr>
            <w:tcW w:w="1148" w:type="dxa"/>
            <w:vAlign w:val="center"/>
          </w:tcPr>
          <w:p w14:paraId="632E67CD">
            <w:pPr>
              <w:ind w:left="223" w:hanging="222" w:hangingChars="106"/>
              <w:jc w:val="center"/>
              <w:rPr>
                <w:rFonts w:ascii="宋体" w:hAnsi="宋体" w:eastAsia="宋体" w:cs="宋体"/>
                <w:color w:val="auto"/>
                <w:highlight w:val="none"/>
              </w:rPr>
            </w:pPr>
          </w:p>
        </w:tc>
        <w:tc>
          <w:tcPr>
            <w:tcW w:w="1148" w:type="dxa"/>
            <w:vAlign w:val="center"/>
          </w:tcPr>
          <w:p w14:paraId="0650FED0">
            <w:pPr>
              <w:ind w:left="223" w:hanging="222" w:hangingChars="106"/>
              <w:jc w:val="center"/>
              <w:rPr>
                <w:rFonts w:ascii="宋体" w:hAnsi="宋体" w:eastAsia="宋体" w:cs="宋体"/>
                <w:color w:val="auto"/>
                <w:highlight w:val="none"/>
              </w:rPr>
            </w:pPr>
          </w:p>
        </w:tc>
        <w:tc>
          <w:tcPr>
            <w:tcW w:w="1148" w:type="dxa"/>
            <w:vAlign w:val="center"/>
          </w:tcPr>
          <w:p w14:paraId="6C4C3525">
            <w:pPr>
              <w:ind w:left="223" w:hanging="222" w:hangingChars="106"/>
              <w:jc w:val="center"/>
              <w:rPr>
                <w:rFonts w:ascii="宋体" w:hAnsi="宋体" w:eastAsia="宋体" w:cs="宋体"/>
                <w:color w:val="auto"/>
                <w:highlight w:val="none"/>
              </w:rPr>
            </w:pPr>
          </w:p>
        </w:tc>
        <w:tc>
          <w:tcPr>
            <w:tcW w:w="850" w:type="dxa"/>
            <w:vAlign w:val="center"/>
          </w:tcPr>
          <w:p w14:paraId="429FC680">
            <w:pPr>
              <w:ind w:left="223" w:hanging="222" w:hangingChars="106"/>
              <w:jc w:val="center"/>
              <w:rPr>
                <w:rFonts w:ascii="宋体" w:hAnsi="宋体" w:eastAsia="宋体" w:cs="宋体"/>
                <w:color w:val="auto"/>
                <w:highlight w:val="none"/>
              </w:rPr>
            </w:pPr>
          </w:p>
        </w:tc>
        <w:tc>
          <w:tcPr>
            <w:tcW w:w="1276" w:type="dxa"/>
            <w:vAlign w:val="center"/>
          </w:tcPr>
          <w:p w14:paraId="068EF24C">
            <w:pPr>
              <w:ind w:left="223" w:hanging="222" w:hangingChars="106"/>
              <w:jc w:val="center"/>
              <w:rPr>
                <w:rFonts w:ascii="宋体" w:hAnsi="宋体" w:eastAsia="宋体" w:cs="宋体"/>
                <w:color w:val="auto"/>
                <w:highlight w:val="none"/>
              </w:rPr>
            </w:pPr>
          </w:p>
        </w:tc>
      </w:tr>
      <w:tr w14:paraId="7AC8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300DC16">
            <w:pPr>
              <w:ind w:left="223" w:hanging="222" w:hangingChars="106"/>
              <w:jc w:val="center"/>
              <w:rPr>
                <w:rFonts w:ascii="宋体" w:hAnsi="宋体" w:eastAsia="宋体" w:cs="宋体"/>
                <w:color w:val="auto"/>
                <w:szCs w:val="21"/>
                <w:highlight w:val="none"/>
              </w:rPr>
            </w:pPr>
          </w:p>
        </w:tc>
        <w:tc>
          <w:tcPr>
            <w:tcW w:w="829" w:type="dxa"/>
            <w:vAlign w:val="center"/>
          </w:tcPr>
          <w:p w14:paraId="1308185A">
            <w:pPr>
              <w:ind w:left="223" w:hanging="222" w:hangingChars="106"/>
              <w:jc w:val="center"/>
              <w:rPr>
                <w:rFonts w:ascii="宋体" w:hAnsi="宋体" w:eastAsia="宋体" w:cs="宋体"/>
                <w:color w:val="auto"/>
                <w:highlight w:val="none"/>
              </w:rPr>
            </w:pPr>
          </w:p>
        </w:tc>
        <w:tc>
          <w:tcPr>
            <w:tcW w:w="816" w:type="dxa"/>
            <w:vAlign w:val="center"/>
          </w:tcPr>
          <w:p w14:paraId="389AFECD">
            <w:pPr>
              <w:ind w:left="223" w:hanging="222" w:hangingChars="106"/>
              <w:jc w:val="center"/>
              <w:rPr>
                <w:rFonts w:ascii="宋体" w:hAnsi="宋体" w:eastAsia="宋体" w:cs="宋体"/>
                <w:color w:val="auto"/>
                <w:highlight w:val="none"/>
              </w:rPr>
            </w:pPr>
          </w:p>
        </w:tc>
        <w:tc>
          <w:tcPr>
            <w:tcW w:w="1148" w:type="dxa"/>
            <w:vAlign w:val="center"/>
          </w:tcPr>
          <w:p w14:paraId="2D2DCA9A">
            <w:pPr>
              <w:ind w:left="223" w:hanging="222" w:hangingChars="106"/>
              <w:jc w:val="center"/>
              <w:rPr>
                <w:rFonts w:ascii="宋体" w:hAnsi="宋体" w:eastAsia="宋体" w:cs="宋体"/>
                <w:color w:val="auto"/>
                <w:highlight w:val="none"/>
              </w:rPr>
            </w:pPr>
          </w:p>
        </w:tc>
        <w:tc>
          <w:tcPr>
            <w:tcW w:w="1148" w:type="dxa"/>
            <w:vAlign w:val="center"/>
          </w:tcPr>
          <w:p w14:paraId="50C23E66">
            <w:pPr>
              <w:ind w:left="223" w:hanging="222" w:hangingChars="106"/>
              <w:jc w:val="center"/>
              <w:rPr>
                <w:rFonts w:ascii="宋体" w:hAnsi="宋体" w:eastAsia="宋体" w:cs="宋体"/>
                <w:color w:val="auto"/>
                <w:highlight w:val="none"/>
              </w:rPr>
            </w:pPr>
          </w:p>
        </w:tc>
        <w:tc>
          <w:tcPr>
            <w:tcW w:w="1148" w:type="dxa"/>
            <w:vAlign w:val="center"/>
          </w:tcPr>
          <w:p w14:paraId="46E0C1B2">
            <w:pPr>
              <w:ind w:left="223" w:hanging="222" w:hangingChars="106"/>
              <w:jc w:val="center"/>
              <w:rPr>
                <w:rFonts w:ascii="宋体" w:hAnsi="宋体" w:eastAsia="宋体" w:cs="宋体"/>
                <w:color w:val="auto"/>
                <w:highlight w:val="none"/>
              </w:rPr>
            </w:pPr>
          </w:p>
        </w:tc>
        <w:tc>
          <w:tcPr>
            <w:tcW w:w="1148" w:type="dxa"/>
            <w:vAlign w:val="center"/>
          </w:tcPr>
          <w:p w14:paraId="3773A00F">
            <w:pPr>
              <w:ind w:left="223" w:hanging="222" w:hangingChars="106"/>
              <w:jc w:val="center"/>
              <w:rPr>
                <w:rFonts w:ascii="宋体" w:hAnsi="宋体" w:eastAsia="宋体" w:cs="宋体"/>
                <w:color w:val="auto"/>
                <w:highlight w:val="none"/>
              </w:rPr>
            </w:pPr>
          </w:p>
        </w:tc>
        <w:tc>
          <w:tcPr>
            <w:tcW w:w="850" w:type="dxa"/>
            <w:vAlign w:val="center"/>
          </w:tcPr>
          <w:p w14:paraId="69D0237B">
            <w:pPr>
              <w:ind w:left="223" w:hanging="222" w:hangingChars="106"/>
              <w:jc w:val="center"/>
              <w:rPr>
                <w:rFonts w:ascii="宋体" w:hAnsi="宋体" w:eastAsia="宋体" w:cs="宋体"/>
                <w:color w:val="auto"/>
                <w:highlight w:val="none"/>
              </w:rPr>
            </w:pPr>
          </w:p>
        </w:tc>
        <w:tc>
          <w:tcPr>
            <w:tcW w:w="1276" w:type="dxa"/>
            <w:vAlign w:val="center"/>
          </w:tcPr>
          <w:p w14:paraId="70EE2330">
            <w:pPr>
              <w:ind w:left="223" w:hanging="222" w:hangingChars="106"/>
              <w:jc w:val="center"/>
              <w:rPr>
                <w:rFonts w:ascii="宋体" w:hAnsi="宋体" w:eastAsia="宋体" w:cs="宋体"/>
                <w:color w:val="auto"/>
                <w:highlight w:val="none"/>
              </w:rPr>
            </w:pPr>
          </w:p>
        </w:tc>
      </w:tr>
      <w:tr w14:paraId="3A85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43EFF32">
            <w:pPr>
              <w:ind w:left="223" w:hanging="222" w:hangingChars="106"/>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829" w:type="dxa"/>
            <w:vAlign w:val="center"/>
          </w:tcPr>
          <w:p w14:paraId="7FD0C98C">
            <w:pPr>
              <w:ind w:left="223" w:hanging="222" w:hangingChars="106"/>
              <w:jc w:val="center"/>
              <w:rPr>
                <w:rFonts w:ascii="宋体" w:hAnsi="宋体" w:eastAsia="宋体" w:cs="宋体"/>
                <w:color w:val="auto"/>
                <w:highlight w:val="none"/>
              </w:rPr>
            </w:pPr>
          </w:p>
        </w:tc>
        <w:tc>
          <w:tcPr>
            <w:tcW w:w="816" w:type="dxa"/>
            <w:vAlign w:val="center"/>
          </w:tcPr>
          <w:p w14:paraId="07D0FC65">
            <w:pPr>
              <w:ind w:left="223" w:hanging="222" w:hangingChars="106"/>
              <w:jc w:val="center"/>
              <w:rPr>
                <w:rFonts w:ascii="宋体" w:hAnsi="宋体" w:eastAsia="宋体" w:cs="宋体"/>
                <w:color w:val="auto"/>
                <w:highlight w:val="none"/>
              </w:rPr>
            </w:pPr>
          </w:p>
        </w:tc>
        <w:tc>
          <w:tcPr>
            <w:tcW w:w="1148" w:type="dxa"/>
            <w:vAlign w:val="center"/>
          </w:tcPr>
          <w:p w14:paraId="776F5DF8">
            <w:pPr>
              <w:ind w:left="223" w:hanging="222" w:hangingChars="106"/>
              <w:jc w:val="center"/>
              <w:rPr>
                <w:rFonts w:ascii="宋体" w:hAnsi="宋体" w:eastAsia="宋体" w:cs="宋体"/>
                <w:color w:val="auto"/>
                <w:highlight w:val="none"/>
              </w:rPr>
            </w:pPr>
          </w:p>
        </w:tc>
        <w:tc>
          <w:tcPr>
            <w:tcW w:w="1148" w:type="dxa"/>
            <w:vAlign w:val="center"/>
          </w:tcPr>
          <w:p w14:paraId="0674E48A">
            <w:pPr>
              <w:ind w:left="223" w:hanging="222" w:hangingChars="106"/>
              <w:jc w:val="center"/>
              <w:rPr>
                <w:rFonts w:ascii="宋体" w:hAnsi="宋体" w:eastAsia="宋体" w:cs="宋体"/>
                <w:color w:val="auto"/>
                <w:highlight w:val="none"/>
              </w:rPr>
            </w:pPr>
          </w:p>
        </w:tc>
        <w:tc>
          <w:tcPr>
            <w:tcW w:w="1148" w:type="dxa"/>
            <w:vAlign w:val="center"/>
          </w:tcPr>
          <w:p w14:paraId="4D7035E8">
            <w:pPr>
              <w:ind w:left="223" w:hanging="222" w:hangingChars="106"/>
              <w:jc w:val="center"/>
              <w:rPr>
                <w:rFonts w:ascii="宋体" w:hAnsi="宋体" w:eastAsia="宋体" w:cs="宋体"/>
                <w:color w:val="auto"/>
                <w:highlight w:val="none"/>
              </w:rPr>
            </w:pPr>
          </w:p>
        </w:tc>
        <w:tc>
          <w:tcPr>
            <w:tcW w:w="1148" w:type="dxa"/>
            <w:vAlign w:val="center"/>
          </w:tcPr>
          <w:p w14:paraId="64D0F2D3">
            <w:pPr>
              <w:ind w:left="223" w:hanging="222" w:hangingChars="106"/>
              <w:jc w:val="center"/>
              <w:rPr>
                <w:rFonts w:ascii="宋体" w:hAnsi="宋体" w:eastAsia="宋体" w:cs="宋体"/>
                <w:color w:val="auto"/>
                <w:highlight w:val="none"/>
              </w:rPr>
            </w:pPr>
          </w:p>
        </w:tc>
        <w:tc>
          <w:tcPr>
            <w:tcW w:w="850" w:type="dxa"/>
            <w:vAlign w:val="center"/>
          </w:tcPr>
          <w:p w14:paraId="3F0077EC">
            <w:pPr>
              <w:ind w:left="223" w:hanging="222" w:hangingChars="106"/>
              <w:jc w:val="center"/>
              <w:rPr>
                <w:rFonts w:ascii="宋体" w:hAnsi="宋体" w:eastAsia="宋体" w:cs="宋体"/>
                <w:color w:val="auto"/>
                <w:highlight w:val="none"/>
              </w:rPr>
            </w:pPr>
          </w:p>
        </w:tc>
        <w:tc>
          <w:tcPr>
            <w:tcW w:w="1276" w:type="dxa"/>
            <w:vAlign w:val="center"/>
          </w:tcPr>
          <w:p w14:paraId="10056876">
            <w:pPr>
              <w:ind w:left="223" w:hanging="222" w:hangingChars="106"/>
              <w:jc w:val="center"/>
              <w:rPr>
                <w:rFonts w:ascii="宋体" w:hAnsi="宋体" w:eastAsia="宋体" w:cs="宋体"/>
                <w:color w:val="auto"/>
                <w:highlight w:val="none"/>
              </w:rPr>
            </w:pPr>
          </w:p>
        </w:tc>
      </w:tr>
      <w:tr w14:paraId="7DB6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233D320E">
            <w:pPr>
              <w:spacing w:line="360" w:lineRule="auto"/>
              <w:rPr>
                <w:rFonts w:ascii="宋体" w:hAnsi="宋体" w:eastAsia="宋体" w:cs="宋体"/>
                <w:color w:val="auto"/>
                <w:szCs w:val="21"/>
                <w:highlight w:val="none"/>
              </w:rPr>
            </w:pPr>
            <w:bookmarkStart w:id="1059" w:name="_Toc251052199"/>
            <w:r>
              <w:rPr>
                <w:rFonts w:hint="eastAsia" w:ascii="宋体" w:hAnsi="宋体" w:eastAsia="宋体" w:cs="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w:t>
            </w:r>
            <w:bookmarkEnd w:id="1059"/>
          </w:p>
        </w:tc>
      </w:tr>
    </w:tbl>
    <w:p w14:paraId="4AEE6AE5">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t>【备注：附安全员证件、响应文件递交截止时间前6个月内任意1个月在现任职单位依法缴纳社会保险的凭证等相关证明材料的扫描件，以及供应商认为需要增加的其他证明材料扫描件，以上扫描件须加盖供应商电子签章。】</w:t>
      </w:r>
    </w:p>
    <w:p w14:paraId="3787B2BA">
      <w:pPr>
        <w:pStyle w:val="198"/>
        <w:rPr>
          <w:rFonts w:ascii="宋体" w:hAnsi="宋体" w:eastAsia="宋体" w:cs="宋体"/>
          <w:color w:val="auto"/>
          <w:highlight w:val="none"/>
        </w:rPr>
      </w:pPr>
    </w:p>
    <w:p w14:paraId="6BE053BF">
      <w:pPr>
        <w:snapToGrid w:val="0"/>
        <w:spacing w:before="50" w:after="120" w:afterLines="50" w:line="440" w:lineRule="exact"/>
        <w:jc w:val="left"/>
        <w:rPr>
          <w:rFonts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7.5满足本项目特定资格条件其他要求的证明材料。</w:t>
      </w:r>
    </w:p>
    <w:p w14:paraId="17F9BFD9">
      <w:pPr>
        <w:snapToGrid w:val="0"/>
        <w:spacing w:before="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7.5.1供应商直接控股股东信息表</w:t>
      </w:r>
    </w:p>
    <w:tbl>
      <w:tblPr>
        <w:tblStyle w:val="5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782591BC">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41AC3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799A2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1B4C3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46C9F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BF04B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C10ADD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54D9A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2E94FD">
            <w:pPr>
              <w:spacing w:line="360" w:lineRule="auto"/>
              <w:jc w:val="center"/>
              <w:rPr>
                <w:rFonts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168606">
            <w:pPr>
              <w:spacing w:line="360" w:lineRule="auto"/>
              <w:jc w:val="center"/>
              <w:rPr>
                <w:rFonts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208565">
            <w:pPr>
              <w:spacing w:line="360" w:lineRule="auto"/>
              <w:jc w:val="center"/>
              <w:rPr>
                <w:rFonts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AA5F24">
            <w:pPr>
              <w:spacing w:line="360" w:lineRule="auto"/>
              <w:jc w:val="center"/>
              <w:rPr>
                <w:rFonts w:ascii="宋体" w:hAnsi="宋体" w:eastAsia="宋体" w:cs="宋体"/>
                <w:color w:val="auto"/>
                <w:szCs w:val="21"/>
                <w:highlight w:val="none"/>
              </w:rPr>
            </w:pPr>
          </w:p>
        </w:tc>
      </w:tr>
      <w:tr w14:paraId="4062BE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E9C8B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C572B1">
            <w:pPr>
              <w:spacing w:line="360" w:lineRule="auto"/>
              <w:jc w:val="center"/>
              <w:rPr>
                <w:rFonts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CDA6DA">
            <w:pPr>
              <w:spacing w:line="360" w:lineRule="auto"/>
              <w:jc w:val="center"/>
              <w:rPr>
                <w:rFonts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86B5AA">
            <w:pPr>
              <w:spacing w:line="360" w:lineRule="auto"/>
              <w:jc w:val="center"/>
              <w:rPr>
                <w:rFonts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F404A4">
            <w:pPr>
              <w:spacing w:line="360" w:lineRule="auto"/>
              <w:jc w:val="center"/>
              <w:rPr>
                <w:rFonts w:ascii="宋体" w:hAnsi="宋体" w:eastAsia="宋体" w:cs="宋体"/>
                <w:color w:val="auto"/>
                <w:szCs w:val="21"/>
                <w:highlight w:val="none"/>
              </w:rPr>
            </w:pPr>
          </w:p>
        </w:tc>
      </w:tr>
      <w:tr w14:paraId="0DC6345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3E934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A56F67">
            <w:pPr>
              <w:spacing w:line="360" w:lineRule="auto"/>
              <w:jc w:val="center"/>
              <w:rPr>
                <w:rFonts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AF7D03">
            <w:pPr>
              <w:spacing w:line="360" w:lineRule="auto"/>
              <w:jc w:val="center"/>
              <w:rPr>
                <w:rFonts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5BB793">
            <w:pPr>
              <w:spacing w:line="360" w:lineRule="auto"/>
              <w:jc w:val="center"/>
              <w:rPr>
                <w:rFonts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F9E7A49">
            <w:pPr>
              <w:spacing w:line="360" w:lineRule="auto"/>
              <w:jc w:val="center"/>
              <w:rPr>
                <w:rFonts w:ascii="宋体" w:hAnsi="宋体" w:eastAsia="宋体" w:cs="宋体"/>
                <w:color w:val="auto"/>
                <w:szCs w:val="21"/>
                <w:highlight w:val="none"/>
              </w:rPr>
            </w:pPr>
          </w:p>
        </w:tc>
      </w:tr>
      <w:tr w14:paraId="60F2BEA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D29DB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F91A1F">
            <w:pPr>
              <w:spacing w:line="360" w:lineRule="auto"/>
              <w:jc w:val="center"/>
              <w:rPr>
                <w:rFonts w:ascii="宋体" w:hAnsi="宋体" w:eastAsia="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6BEA49">
            <w:pPr>
              <w:spacing w:line="360" w:lineRule="auto"/>
              <w:jc w:val="center"/>
              <w:rPr>
                <w:rFonts w:ascii="宋体" w:hAnsi="宋体" w:eastAsia="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07AFE3">
            <w:pPr>
              <w:spacing w:line="360" w:lineRule="auto"/>
              <w:jc w:val="center"/>
              <w:rPr>
                <w:rFonts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F3683D">
            <w:pPr>
              <w:spacing w:line="360" w:lineRule="auto"/>
              <w:jc w:val="center"/>
              <w:rPr>
                <w:rFonts w:ascii="宋体" w:hAnsi="宋体" w:eastAsia="宋体" w:cs="宋体"/>
                <w:color w:val="auto"/>
                <w:szCs w:val="21"/>
                <w:highlight w:val="none"/>
              </w:rPr>
            </w:pPr>
          </w:p>
        </w:tc>
      </w:tr>
    </w:tbl>
    <w:p w14:paraId="5B890C58">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33AB7997">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46465BA">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2A9F828A">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445FA62C">
      <w:pPr>
        <w:snapToGrid w:val="0"/>
        <w:spacing w:line="360" w:lineRule="auto"/>
        <w:jc w:val="left"/>
        <w:rPr>
          <w:rFonts w:ascii="宋体" w:hAnsi="宋体" w:eastAsia="宋体" w:cs="宋体"/>
          <w:color w:val="auto"/>
          <w:szCs w:val="21"/>
          <w:highlight w:val="none"/>
        </w:rPr>
      </w:pPr>
    </w:p>
    <w:p w14:paraId="2476CF1C">
      <w:pPr>
        <w:snapToGrid w:val="0"/>
        <w:spacing w:line="360" w:lineRule="auto"/>
        <w:jc w:val="left"/>
        <w:rPr>
          <w:rFonts w:ascii="宋体" w:hAnsi="宋体" w:eastAsia="宋体" w:cs="宋体"/>
          <w:color w:val="auto"/>
          <w:szCs w:val="21"/>
          <w:highlight w:val="none"/>
        </w:rPr>
      </w:pPr>
    </w:p>
    <w:p w14:paraId="7CF438F0">
      <w:pPr>
        <w:snapToGrid w:val="0"/>
        <w:spacing w:line="360" w:lineRule="auto"/>
        <w:jc w:val="left"/>
        <w:rPr>
          <w:rFonts w:ascii="宋体" w:hAnsi="宋体" w:eastAsia="宋体" w:cs="宋体"/>
          <w:color w:val="auto"/>
          <w:szCs w:val="21"/>
          <w:highlight w:val="none"/>
        </w:rPr>
      </w:pPr>
    </w:p>
    <w:p w14:paraId="4039523D">
      <w:pPr>
        <w:snapToGrid w:val="0"/>
        <w:spacing w:line="360" w:lineRule="auto"/>
        <w:jc w:val="left"/>
        <w:rPr>
          <w:rFonts w:ascii="宋体" w:hAnsi="宋体" w:eastAsia="宋体" w:cs="宋体"/>
          <w:color w:val="auto"/>
          <w:szCs w:val="21"/>
          <w:highlight w:val="none"/>
        </w:rPr>
      </w:pPr>
    </w:p>
    <w:p w14:paraId="7214BC28">
      <w:pPr>
        <w:snapToGrid w:val="0"/>
        <w:spacing w:line="360" w:lineRule="auto"/>
        <w:jc w:val="left"/>
        <w:rPr>
          <w:rFonts w:ascii="宋体" w:hAnsi="宋体" w:eastAsia="宋体" w:cs="宋体"/>
          <w:color w:val="auto"/>
          <w:szCs w:val="21"/>
          <w:highlight w:val="none"/>
        </w:rPr>
      </w:pPr>
    </w:p>
    <w:p w14:paraId="20834E1C">
      <w:pPr>
        <w:snapToGrid w:val="0"/>
        <w:spacing w:line="360" w:lineRule="auto"/>
        <w:ind w:firstLine="4410" w:firstLineChars="2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68583A26">
      <w:pPr>
        <w:snapToGrid w:val="0"/>
        <w:spacing w:line="360" w:lineRule="auto"/>
        <w:ind w:firstLine="4515" w:firstLineChars="2150"/>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BBBA391">
      <w:pPr>
        <w:snapToGrid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7EAA66">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7.5.2供应商直接管理关系信息表</w:t>
      </w:r>
    </w:p>
    <w:tbl>
      <w:tblPr>
        <w:tblStyle w:val="5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A2337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BD1C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8BF7D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FDB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89983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0E1858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9CB41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B4E298">
            <w:pPr>
              <w:spacing w:line="360" w:lineRule="auto"/>
              <w:jc w:val="center"/>
              <w:rPr>
                <w:rFonts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65A2C8">
            <w:pPr>
              <w:spacing w:line="360" w:lineRule="auto"/>
              <w:jc w:val="center"/>
              <w:rPr>
                <w:rFonts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22AA05">
            <w:pPr>
              <w:spacing w:line="360" w:lineRule="auto"/>
              <w:jc w:val="center"/>
              <w:rPr>
                <w:rFonts w:ascii="宋体" w:hAnsi="宋体" w:eastAsia="宋体" w:cs="宋体"/>
                <w:color w:val="auto"/>
                <w:szCs w:val="21"/>
                <w:highlight w:val="none"/>
              </w:rPr>
            </w:pPr>
          </w:p>
        </w:tc>
      </w:tr>
      <w:tr w14:paraId="7957472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CCE59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8F847A">
            <w:pPr>
              <w:spacing w:line="360" w:lineRule="auto"/>
              <w:jc w:val="center"/>
              <w:rPr>
                <w:rFonts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A1AE2">
            <w:pPr>
              <w:spacing w:line="360" w:lineRule="auto"/>
              <w:jc w:val="center"/>
              <w:rPr>
                <w:rFonts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460C6B">
            <w:pPr>
              <w:spacing w:line="360" w:lineRule="auto"/>
              <w:jc w:val="center"/>
              <w:rPr>
                <w:rFonts w:ascii="宋体" w:hAnsi="宋体" w:eastAsia="宋体" w:cs="宋体"/>
                <w:color w:val="auto"/>
                <w:szCs w:val="21"/>
                <w:highlight w:val="none"/>
              </w:rPr>
            </w:pPr>
          </w:p>
        </w:tc>
      </w:tr>
      <w:tr w14:paraId="1352842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26F2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7FE57F">
            <w:pPr>
              <w:spacing w:line="360" w:lineRule="auto"/>
              <w:jc w:val="center"/>
              <w:rPr>
                <w:rFonts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93EBF1">
            <w:pPr>
              <w:spacing w:line="360" w:lineRule="auto"/>
              <w:jc w:val="center"/>
              <w:rPr>
                <w:rFonts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CF35DE">
            <w:pPr>
              <w:spacing w:line="360" w:lineRule="auto"/>
              <w:jc w:val="center"/>
              <w:rPr>
                <w:rFonts w:ascii="宋体" w:hAnsi="宋体" w:eastAsia="宋体" w:cs="宋体"/>
                <w:color w:val="auto"/>
                <w:szCs w:val="21"/>
                <w:highlight w:val="none"/>
              </w:rPr>
            </w:pPr>
          </w:p>
        </w:tc>
      </w:tr>
      <w:tr w14:paraId="2E09F4F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3B0D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C4138E">
            <w:pPr>
              <w:spacing w:line="360" w:lineRule="auto"/>
              <w:jc w:val="center"/>
              <w:rPr>
                <w:rFonts w:ascii="宋体" w:hAnsi="宋体" w:eastAsia="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2EF431">
            <w:pPr>
              <w:spacing w:line="360" w:lineRule="auto"/>
              <w:jc w:val="center"/>
              <w:rPr>
                <w:rFonts w:ascii="宋体" w:hAnsi="宋体" w:eastAsia="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5AF231">
            <w:pPr>
              <w:spacing w:line="360" w:lineRule="auto"/>
              <w:jc w:val="center"/>
              <w:rPr>
                <w:rFonts w:ascii="宋体" w:hAnsi="宋体" w:eastAsia="宋体" w:cs="宋体"/>
                <w:color w:val="auto"/>
                <w:szCs w:val="21"/>
                <w:highlight w:val="none"/>
              </w:rPr>
            </w:pPr>
          </w:p>
        </w:tc>
      </w:tr>
    </w:tbl>
    <w:p w14:paraId="4F07F6FB">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7F9AE50E">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74523D2C">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1201C131">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685D202F">
      <w:pPr>
        <w:snapToGrid w:val="0"/>
        <w:spacing w:line="360" w:lineRule="auto"/>
        <w:jc w:val="left"/>
        <w:rPr>
          <w:rFonts w:ascii="宋体" w:hAnsi="宋体" w:eastAsia="宋体" w:cs="宋体"/>
          <w:color w:val="auto"/>
          <w:szCs w:val="21"/>
          <w:highlight w:val="none"/>
        </w:rPr>
      </w:pPr>
    </w:p>
    <w:p w14:paraId="57A88B6E">
      <w:pPr>
        <w:snapToGrid w:val="0"/>
        <w:spacing w:line="360" w:lineRule="auto"/>
        <w:jc w:val="left"/>
        <w:rPr>
          <w:rFonts w:ascii="宋体" w:hAnsi="宋体" w:eastAsia="宋体" w:cs="宋体"/>
          <w:color w:val="auto"/>
          <w:szCs w:val="21"/>
          <w:highlight w:val="none"/>
        </w:rPr>
      </w:pPr>
    </w:p>
    <w:p w14:paraId="77F9EB6D">
      <w:pPr>
        <w:snapToGrid w:val="0"/>
        <w:spacing w:line="360" w:lineRule="auto"/>
        <w:jc w:val="left"/>
        <w:rPr>
          <w:rFonts w:ascii="宋体" w:hAnsi="宋体" w:eastAsia="宋体" w:cs="宋体"/>
          <w:color w:val="auto"/>
          <w:szCs w:val="21"/>
          <w:highlight w:val="none"/>
        </w:rPr>
      </w:pPr>
    </w:p>
    <w:p w14:paraId="49C9A716">
      <w:pPr>
        <w:snapToGrid w:val="0"/>
        <w:spacing w:line="360" w:lineRule="auto"/>
        <w:jc w:val="left"/>
        <w:rPr>
          <w:rFonts w:ascii="宋体" w:hAnsi="宋体" w:eastAsia="宋体" w:cs="宋体"/>
          <w:color w:val="auto"/>
          <w:szCs w:val="21"/>
          <w:highlight w:val="none"/>
        </w:rPr>
      </w:pPr>
    </w:p>
    <w:p w14:paraId="581BE5CF">
      <w:pPr>
        <w:snapToGrid w:val="0"/>
        <w:spacing w:line="360" w:lineRule="auto"/>
        <w:jc w:val="left"/>
        <w:rPr>
          <w:rFonts w:ascii="宋体" w:hAnsi="宋体" w:eastAsia="宋体" w:cs="宋体"/>
          <w:color w:val="auto"/>
          <w:szCs w:val="21"/>
          <w:highlight w:val="none"/>
        </w:rPr>
      </w:pPr>
    </w:p>
    <w:p w14:paraId="414C28D7">
      <w:pPr>
        <w:snapToGrid w:val="0"/>
        <w:spacing w:line="360" w:lineRule="auto"/>
        <w:jc w:val="left"/>
        <w:rPr>
          <w:rFonts w:ascii="宋体" w:hAnsi="宋体" w:eastAsia="宋体" w:cs="宋体"/>
          <w:color w:val="auto"/>
          <w:szCs w:val="21"/>
          <w:highlight w:val="none"/>
        </w:rPr>
      </w:pPr>
    </w:p>
    <w:p w14:paraId="21C79680">
      <w:pPr>
        <w:snapToGrid w:val="0"/>
        <w:spacing w:line="360" w:lineRule="auto"/>
        <w:jc w:val="left"/>
        <w:rPr>
          <w:rFonts w:ascii="宋体" w:hAnsi="宋体" w:eastAsia="宋体" w:cs="宋体"/>
          <w:color w:val="auto"/>
          <w:szCs w:val="21"/>
          <w:highlight w:val="none"/>
        </w:rPr>
      </w:pPr>
    </w:p>
    <w:p w14:paraId="00E5708A">
      <w:pPr>
        <w:snapToGrid w:val="0"/>
        <w:spacing w:line="360" w:lineRule="auto"/>
        <w:jc w:val="left"/>
        <w:rPr>
          <w:rFonts w:ascii="宋体" w:hAnsi="宋体" w:eastAsia="宋体" w:cs="宋体"/>
          <w:color w:val="auto"/>
          <w:szCs w:val="21"/>
          <w:highlight w:val="none"/>
        </w:rPr>
      </w:pPr>
    </w:p>
    <w:p w14:paraId="7D1B0EE8">
      <w:pPr>
        <w:snapToGrid w:val="0"/>
        <w:spacing w:line="360" w:lineRule="auto"/>
        <w:ind w:firstLine="4410" w:firstLineChars="2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217E401">
      <w:pPr>
        <w:snapToGrid w:val="0"/>
        <w:spacing w:line="360" w:lineRule="auto"/>
        <w:ind w:firstLine="4515" w:firstLineChars="2150"/>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992B3D6">
      <w:pPr>
        <w:pStyle w:val="27"/>
        <w:tabs>
          <w:tab w:val="left" w:pos="2127"/>
        </w:tabs>
        <w:spacing w:line="340" w:lineRule="exact"/>
        <w:rPr>
          <w:rFonts w:hAnsi="宋体" w:eastAsia="宋体" w:cs="宋体"/>
          <w:color w:val="auto"/>
          <w:highlight w:val="none"/>
        </w:rPr>
      </w:pPr>
    </w:p>
    <w:p w14:paraId="4C09D86E">
      <w:pPr>
        <w:snapToGrid w:val="0"/>
        <w:spacing w:before="50" w:after="120" w:afterLines="50" w:line="440" w:lineRule="exact"/>
        <w:jc w:val="left"/>
        <w:rPr>
          <w:rFonts w:ascii="宋体" w:hAnsi="宋体" w:eastAsia="宋体" w:cs="宋体"/>
          <w:color w:val="auto"/>
          <w:szCs w:val="21"/>
          <w:highlight w:val="none"/>
        </w:rPr>
      </w:pPr>
    </w:p>
    <w:p w14:paraId="30C0DCF0">
      <w:pPr>
        <w:snapToGrid w:val="0"/>
        <w:spacing w:before="50" w:after="120" w:afterLines="50" w:line="440" w:lineRule="exact"/>
        <w:jc w:val="left"/>
        <w:rPr>
          <w:rFonts w:ascii="宋体" w:hAnsi="宋体" w:eastAsia="宋体" w:cs="宋体"/>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8．建设工程项目管理承诺书</w:t>
      </w:r>
    </w:p>
    <w:p w14:paraId="71E8A905">
      <w:pPr>
        <w:pStyle w:val="198"/>
        <w:jc w:val="center"/>
        <w:rPr>
          <w:rFonts w:ascii="宋体" w:hAnsi="宋体" w:eastAsia="宋体" w:cs="宋体"/>
          <w:color w:val="auto"/>
          <w:szCs w:val="21"/>
          <w:highlight w:val="none"/>
        </w:rPr>
      </w:pPr>
      <w:r>
        <w:rPr>
          <w:rFonts w:hint="eastAsia" w:ascii="宋体" w:hAnsi="宋体" w:eastAsia="宋体" w:cs="宋体"/>
          <w:color w:val="auto"/>
          <w:szCs w:val="21"/>
          <w:highlight w:val="none"/>
        </w:rPr>
        <w:t>建设工程项目管理承诺书</w:t>
      </w:r>
    </w:p>
    <w:p w14:paraId="05A909C0">
      <w:pPr>
        <w:spacing w:line="360" w:lineRule="auto"/>
        <w:jc w:val="center"/>
        <w:rPr>
          <w:rFonts w:ascii="宋体" w:hAnsi="宋体" w:eastAsia="宋体" w:cs="宋体"/>
          <w:b/>
          <w:bCs/>
          <w:color w:val="auto"/>
          <w:sz w:val="24"/>
          <w:highlight w:val="none"/>
        </w:rPr>
      </w:pPr>
    </w:p>
    <w:p w14:paraId="40E7B1A3">
      <w:pPr>
        <w:spacing w:line="360" w:lineRule="auto"/>
        <w:jc w:val="center"/>
        <w:rPr>
          <w:rFonts w:ascii="宋体" w:hAnsi="宋体" w:eastAsia="宋体" w:cs="宋体"/>
          <w:b/>
          <w:bCs/>
          <w:color w:val="auto"/>
          <w:sz w:val="24"/>
          <w:highlight w:val="none"/>
        </w:rPr>
      </w:pPr>
    </w:p>
    <w:p w14:paraId="13969E79">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t>致</w:t>
      </w:r>
      <w:r>
        <w:rPr>
          <w:rFonts w:hint="eastAsia" w:hAnsi="宋体" w:eastAsia="宋体" w:cs="宋体"/>
          <w:i/>
          <w:iCs/>
          <w:color w:val="auto"/>
          <w:highlight w:val="none"/>
          <w:u w:val="single"/>
        </w:rPr>
        <w:t>（采购人名称）</w:t>
      </w:r>
      <w:r>
        <w:rPr>
          <w:rFonts w:hint="eastAsia" w:hAnsi="宋体" w:eastAsia="宋体" w:cs="宋体"/>
          <w:color w:val="auto"/>
          <w:highlight w:val="none"/>
        </w:rPr>
        <w:t>：</w:t>
      </w:r>
    </w:p>
    <w:p w14:paraId="144A3CC9">
      <w:pPr>
        <w:snapToGrid w:val="0"/>
        <w:spacing w:before="120" w:beforeLines="50"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作为参与</w:t>
      </w:r>
      <w:r>
        <w:rPr>
          <w:rFonts w:hint="eastAsia" w:ascii="宋体" w:hAnsi="宋体" w:eastAsia="宋体" w:cs="宋体"/>
          <w:color w:val="auto"/>
          <w:szCs w:val="21"/>
          <w:highlight w:val="none"/>
          <w:u w:val="single"/>
        </w:rPr>
        <w:t></w:t>
      </w:r>
      <w:r>
        <w:rPr>
          <w:rFonts w:hint="eastAsia" w:ascii="宋体" w:hAnsi="宋体" w:eastAsia="宋体" w:cs="宋体"/>
          <w:i/>
          <w:iCs/>
          <w:color w:val="auto"/>
          <w:szCs w:val="21"/>
          <w:highlight w:val="none"/>
          <w:u w:val="single"/>
        </w:rPr>
        <w:t>（工程名称）</w:t>
      </w:r>
      <w:r>
        <w:rPr>
          <w:rFonts w:hint="eastAsia" w:ascii="宋体" w:hAnsi="宋体" w:eastAsia="宋体" w:cs="宋体"/>
          <w:color w:val="auto"/>
          <w:szCs w:val="21"/>
          <w:highlight w:val="none"/>
        </w:rPr>
        <w:t>项目的供应商，根据国家、自治区相关文件规定，我方在此承诺：</w:t>
      </w:r>
    </w:p>
    <w:p w14:paraId="7F0AA0AA">
      <w:pPr>
        <w:spacing w:line="520" w:lineRule="exact"/>
        <w:ind w:left="-2" w:leftChars="-1" w:firstLine="449" w:firstLineChars="214"/>
        <w:jc w:val="left"/>
        <w:rPr>
          <w:rFonts w:ascii="宋体" w:hAnsi="宋体" w:eastAsia="宋体" w:cs="宋体"/>
          <w:color w:val="auto"/>
          <w:szCs w:val="21"/>
          <w:highlight w:val="none"/>
        </w:rPr>
      </w:pPr>
      <w:bookmarkStart w:id="1060" w:name="_Hlk107250457"/>
      <w:r>
        <w:rPr>
          <w:rFonts w:hint="eastAsia" w:ascii="宋体" w:hAnsi="宋体" w:eastAsia="宋体" w:cs="宋体"/>
          <w:color w:val="auto"/>
          <w:szCs w:val="21"/>
          <w:highlight w:val="none"/>
        </w:rPr>
        <w:t>1、一旦成交，</w:t>
      </w:r>
      <w:r>
        <w:rPr>
          <w:rFonts w:hint="eastAsia" w:ascii="宋体" w:hAnsi="宋体" w:eastAsia="宋体" w:cs="宋体"/>
          <w:color w:val="auto"/>
          <w:highlight w:val="none"/>
        </w:rPr>
        <w:t>我方保证按照政府相关部门的规定，在</w:t>
      </w:r>
      <w:r>
        <w:rPr>
          <w:rFonts w:hint="eastAsia" w:ascii="宋体" w:hAnsi="宋体" w:eastAsia="宋体" w:cs="宋体"/>
          <w:color w:val="auto"/>
          <w:szCs w:val="21"/>
          <w:highlight w:val="none"/>
        </w:rPr>
        <w:t>成交</w:t>
      </w:r>
      <w:r>
        <w:rPr>
          <w:rFonts w:hint="eastAsia" w:ascii="宋体" w:hAnsi="宋体" w:eastAsia="宋体" w:cs="宋体"/>
          <w:color w:val="auto"/>
          <w:highlight w:val="none"/>
        </w:rPr>
        <w:t>后7个工作日内，按照《保障农民工工资支付条例》规定及广西壮族自治区有关规定开设农民工工资专用账户，并按</w:t>
      </w:r>
      <w:r>
        <w:rPr>
          <w:rFonts w:hint="eastAsia" w:ascii="宋体" w:hAnsi="宋体" w:eastAsia="宋体" w:cs="宋体"/>
          <w:color w:val="auto"/>
          <w:highlight w:val="none"/>
          <w:u w:val="single"/>
        </w:rPr>
        <w:t>要求</w:t>
      </w:r>
      <w:r>
        <w:rPr>
          <w:rFonts w:hint="eastAsia" w:ascii="宋体" w:hAnsi="宋体" w:eastAsia="宋体" w:cs="宋体"/>
          <w:color w:val="auto"/>
          <w:highlight w:val="none"/>
        </w:rPr>
        <w:t>比例将农民工工资保证金存入账户，专项用于支付本工程提供劳动的农民工被拖欠的工资。按照与农民工依法约定的工资支付周期和具体支付日期支付工资，保证每月至少向农民工足额支付一次工资。</w:t>
      </w:r>
    </w:p>
    <w:p w14:paraId="55C29C0F">
      <w:pPr>
        <w:spacing w:line="520" w:lineRule="exact"/>
        <w:ind w:left="-2" w:leftChars="-1" w:firstLine="449" w:firstLineChars="214"/>
        <w:jc w:val="left"/>
        <w:rPr>
          <w:rFonts w:ascii="宋体" w:hAnsi="宋体" w:eastAsia="宋体" w:cs="宋体"/>
          <w:color w:val="auto"/>
          <w:szCs w:val="21"/>
          <w:highlight w:val="none"/>
        </w:rPr>
      </w:pPr>
      <w:r>
        <w:rPr>
          <w:rFonts w:hint="eastAsia" w:ascii="宋体" w:hAnsi="宋体" w:eastAsia="宋体" w:cs="宋体"/>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5E9C07F">
      <w:pPr>
        <w:spacing w:line="520" w:lineRule="exact"/>
        <w:ind w:left="-2" w:leftChars="-1" w:firstLine="449" w:firstLineChars="214"/>
        <w:jc w:val="left"/>
        <w:rPr>
          <w:rFonts w:ascii="宋体" w:hAnsi="宋体" w:eastAsia="宋体" w:cs="宋体"/>
          <w:color w:val="auto"/>
          <w:szCs w:val="21"/>
          <w:highlight w:val="none"/>
        </w:rPr>
      </w:pPr>
      <w:r>
        <w:rPr>
          <w:rFonts w:hint="eastAsia" w:ascii="宋体" w:hAnsi="宋体" w:eastAsia="宋体" w:cs="宋体"/>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38A81D6">
      <w:pPr>
        <w:spacing w:line="520" w:lineRule="exact"/>
        <w:ind w:left="-2" w:leftChars="-1" w:firstLine="449" w:firstLineChars="214"/>
        <w:jc w:val="left"/>
        <w:rPr>
          <w:rFonts w:ascii="宋体" w:hAnsi="宋体" w:eastAsia="宋体" w:cs="宋体"/>
          <w:color w:val="auto"/>
          <w:szCs w:val="21"/>
          <w:highlight w:val="none"/>
        </w:rPr>
      </w:pPr>
      <w:r>
        <w:rPr>
          <w:rFonts w:hint="eastAsia" w:ascii="宋体" w:hAnsi="宋体" w:eastAsia="宋体" w:cs="宋体"/>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3A39CF9">
      <w:pPr>
        <w:spacing w:line="520" w:lineRule="exact"/>
        <w:ind w:left="-2" w:leftChars="-1" w:firstLine="449" w:firstLineChars="214"/>
        <w:jc w:val="left"/>
        <w:rPr>
          <w:rFonts w:ascii="宋体" w:hAnsi="宋体" w:eastAsia="宋体" w:cs="宋体"/>
          <w:color w:val="auto"/>
          <w:highlight w:val="none"/>
        </w:rPr>
      </w:pPr>
      <w:r>
        <w:rPr>
          <w:rFonts w:hint="eastAsia" w:ascii="宋体" w:hAnsi="宋体" w:eastAsia="宋体" w:cs="宋体"/>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bookmarkEnd w:id="1060"/>
    <w:p w14:paraId="76C9D911">
      <w:pPr>
        <w:spacing w:line="360" w:lineRule="auto"/>
        <w:jc w:val="left"/>
        <w:rPr>
          <w:rFonts w:ascii="宋体" w:hAnsi="宋体" w:eastAsia="宋体" w:cs="宋体"/>
          <w:color w:val="auto"/>
          <w:highlight w:val="none"/>
        </w:rPr>
      </w:pPr>
    </w:p>
    <w:p w14:paraId="38994E7F">
      <w:pPr>
        <w:spacing w:line="360" w:lineRule="auto"/>
        <w:jc w:val="left"/>
        <w:rPr>
          <w:rFonts w:ascii="宋体" w:hAnsi="宋体" w:eastAsia="宋体" w:cs="宋体"/>
          <w:color w:val="auto"/>
          <w:highlight w:val="none"/>
        </w:rPr>
      </w:pPr>
    </w:p>
    <w:p w14:paraId="6C653893">
      <w:pPr>
        <w:snapToGrid w:val="0"/>
        <w:spacing w:before="120" w:beforeLines="50" w:after="50" w:line="360" w:lineRule="exact"/>
        <w:ind w:firstLine="4410" w:firstLineChars="2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2384276">
      <w:pPr>
        <w:spacing w:line="360" w:lineRule="auto"/>
        <w:ind w:firstLine="1260" w:firstLineChars="600"/>
        <w:jc w:val="left"/>
        <w:rPr>
          <w:rFonts w:ascii="宋体" w:hAnsi="宋体" w:eastAsia="宋体" w:cs="宋体"/>
          <w:color w:val="auto"/>
          <w:highlight w:val="none"/>
        </w:rPr>
      </w:pPr>
    </w:p>
    <w:p w14:paraId="435A6170">
      <w:pPr>
        <w:spacing w:line="360" w:lineRule="auto"/>
        <w:ind w:firstLine="4515" w:firstLineChars="2150"/>
        <w:jc w:val="left"/>
        <w:rPr>
          <w:rFonts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D58E4D8">
      <w:pPr>
        <w:spacing w:line="360" w:lineRule="auto"/>
        <w:ind w:firstLine="525" w:firstLineChars="250"/>
        <w:jc w:val="center"/>
        <w:rPr>
          <w:rFonts w:ascii="宋体" w:hAnsi="宋体" w:eastAsia="宋体" w:cs="宋体"/>
          <w:b/>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广西壮族自治区建筑工程安全文明施工措施项目清单内容</w:t>
      </w:r>
    </w:p>
    <w:p w14:paraId="56503D89">
      <w:pPr>
        <w:pStyle w:val="256"/>
        <w:spacing w:line="360" w:lineRule="auto"/>
        <w:jc w:val="center"/>
        <w:rPr>
          <w:rFonts w:ascii="宋体" w:hAnsi="宋体" w:eastAsia="宋体" w:cs="宋体"/>
          <w:color w:val="auto"/>
          <w:highlight w:val="none"/>
        </w:rPr>
      </w:pPr>
      <w:r>
        <w:rPr>
          <w:rFonts w:hint="eastAsia" w:ascii="宋体" w:hAnsi="宋体" w:eastAsia="宋体" w:cs="宋体"/>
          <w:color w:val="auto"/>
          <w:sz w:val="24"/>
          <w:highlight w:val="none"/>
        </w:rPr>
        <w:t>（桂建质【2015】16号文附件一）</w:t>
      </w:r>
    </w:p>
    <w:p w14:paraId="5F558F67">
      <w:pPr>
        <w:pStyle w:val="257"/>
        <w:spacing w:line="0" w:lineRule="atLeas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w:t>
      </w:r>
    </w:p>
    <w:p w14:paraId="706B4C10">
      <w:pPr>
        <w:pStyle w:val="257"/>
        <w:spacing w:line="0" w:lineRule="atLeast"/>
        <w:jc w:val="center"/>
        <w:rPr>
          <w:rFonts w:ascii="宋体" w:hAnsi="宋体" w:eastAsia="宋体" w:cs="宋体"/>
          <w:b/>
          <w:bCs/>
          <w:color w:val="auto"/>
          <w:w w:val="90"/>
          <w:sz w:val="24"/>
          <w:highlight w:val="none"/>
        </w:rPr>
      </w:pPr>
      <w:r>
        <w:rPr>
          <w:rFonts w:hint="eastAsia" w:ascii="宋体" w:hAnsi="宋体" w:eastAsia="宋体" w:cs="宋体"/>
          <w:b/>
          <w:bCs/>
          <w:color w:val="auto"/>
          <w:w w:val="90"/>
          <w:sz w:val="24"/>
          <w:highlight w:val="none"/>
        </w:rPr>
        <w:t>建设工程安全文明施工措施项目清单内容</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B36F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5F52065C">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vAlign w:val="center"/>
          </w:tcPr>
          <w:p w14:paraId="68CADDB2">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vAlign w:val="center"/>
          </w:tcPr>
          <w:p w14:paraId="49A7F38B">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6F811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1754AB92">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文明</w:t>
            </w:r>
          </w:p>
          <w:p w14:paraId="2646C2A7">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w:t>
            </w:r>
          </w:p>
          <w:p w14:paraId="03A64681">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与</w:t>
            </w:r>
          </w:p>
          <w:p w14:paraId="1CEB816E">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环境</w:t>
            </w:r>
          </w:p>
          <w:p w14:paraId="11D12624">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vAlign w:val="center"/>
          </w:tcPr>
          <w:p w14:paraId="1FB0EA01">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610DE14F">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6645" w:type="dxa"/>
            <w:vAlign w:val="center"/>
          </w:tcPr>
          <w:p w14:paraId="6C896F56">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6970D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62A5DC0">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625B73FA">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6645" w:type="dxa"/>
            <w:vAlign w:val="center"/>
          </w:tcPr>
          <w:p w14:paraId="697D26DE">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014905D1">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149A5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9E95311">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7724720A">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6645" w:type="dxa"/>
            <w:vAlign w:val="center"/>
          </w:tcPr>
          <w:p w14:paraId="4C37D2AF">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6C226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7F10136C">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26C601E8">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6645" w:type="dxa"/>
            <w:vAlign w:val="center"/>
          </w:tcPr>
          <w:p w14:paraId="1543FBDF">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00558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E7BBE1E">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6C397D4E">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6645" w:type="dxa"/>
            <w:vAlign w:val="center"/>
          </w:tcPr>
          <w:p w14:paraId="748915A4">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4A101B9B">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66FFD9DB">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0AB0A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CAFA944">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29FD8234">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6645" w:type="dxa"/>
            <w:vAlign w:val="center"/>
          </w:tcPr>
          <w:p w14:paraId="7D78C759">
            <w:pPr>
              <w:pStyle w:val="257"/>
              <w:numPr>
                <w:ilvl w:val="0"/>
                <w:numId w:val="5"/>
              </w:numPr>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1D84A5F5">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水泥和其它易飞扬细颗粒建筑材料应封闭存放或采取覆盖等措施。</w:t>
            </w:r>
          </w:p>
          <w:p w14:paraId="04DF6EF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57C7E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3705BB05">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71E491B8">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6645" w:type="dxa"/>
            <w:vAlign w:val="center"/>
          </w:tcPr>
          <w:p w14:paraId="68B7370D">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36AA3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BF3EF4A">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482FAD65">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6645" w:type="dxa"/>
            <w:vAlign w:val="center"/>
          </w:tcPr>
          <w:p w14:paraId="681BC86A">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0CE48AB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20820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B77D3C6">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7F04212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6645" w:type="dxa"/>
            <w:vAlign w:val="center"/>
          </w:tcPr>
          <w:p w14:paraId="5C78C748">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7BC3C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376953E4">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vAlign w:val="center"/>
          </w:tcPr>
          <w:p w14:paraId="5EC4223A">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2561E117">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6645" w:type="dxa"/>
            <w:vAlign w:val="center"/>
          </w:tcPr>
          <w:p w14:paraId="3704F6EA">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54813464">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7DC34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FEF081B">
            <w:pPr>
              <w:pStyle w:val="257"/>
              <w:spacing w:line="300" w:lineRule="exact"/>
              <w:jc w:val="center"/>
              <w:rPr>
                <w:rFonts w:ascii="宋体" w:hAnsi="宋体" w:eastAsia="宋体" w:cs="宋体"/>
                <w:color w:val="auto"/>
                <w:szCs w:val="21"/>
                <w:highlight w:val="none"/>
              </w:rPr>
            </w:pPr>
          </w:p>
        </w:tc>
        <w:tc>
          <w:tcPr>
            <w:tcW w:w="525" w:type="dxa"/>
            <w:vMerge w:val="restart"/>
            <w:vAlign w:val="center"/>
          </w:tcPr>
          <w:p w14:paraId="3016A87C">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704A6B1F">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vAlign w:val="center"/>
          </w:tcPr>
          <w:p w14:paraId="71FC6870">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6645" w:type="dxa"/>
            <w:vAlign w:val="center"/>
          </w:tcPr>
          <w:p w14:paraId="7B3F8B58">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4FD19625">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3679E7ED">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12FD5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819CDA0">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20F258A8">
            <w:pPr>
              <w:pStyle w:val="257"/>
              <w:spacing w:line="300" w:lineRule="exact"/>
              <w:jc w:val="center"/>
              <w:rPr>
                <w:rFonts w:ascii="宋体" w:hAnsi="宋体" w:eastAsia="宋体" w:cs="宋体"/>
                <w:color w:val="auto"/>
                <w:szCs w:val="21"/>
                <w:highlight w:val="none"/>
              </w:rPr>
            </w:pPr>
          </w:p>
        </w:tc>
        <w:tc>
          <w:tcPr>
            <w:tcW w:w="1545" w:type="dxa"/>
            <w:vAlign w:val="center"/>
          </w:tcPr>
          <w:p w14:paraId="0C3FDD3B">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0916DCC1">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6645" w:type="dxa"/>
            <w:vAlign w:val="center"/>
          </w:tcPr>
          <w:p w14:paraId="4D1F940E">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4F7FC2EA">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73655F13">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24CA3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1B9E16C0">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1ADB7C19">
            <w:pPr>
              <w:pStyle w:val="257"/>
              <w:spacing w:line="300" w:lineRule="exact"/>
              <w:jc w:val="center"/>
              <w:rPr>
                <w:rFonts w:ascii="宋体" w:hAnsi="宋体" w:eastAsia="宋体" w:cs="宋体"/>
                <w:color w:val="auto"/>
                <w:szCs w:val="21"/>
                <w:highlight w:val="none"/>
              </w:rPr>
            </w:pPr>
          </w:p>
        </w:tc>
        <w:tc>
          <w:tcPr>
            <w:tcW w:w="1545" w:type="dxa"/>
            <w:vAlign w:val="center"/>
          </w:tcPr>
          <w:p w14:paraId="71349555">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6645" w:type="dxa"/>
            <w:vAlign w:val="center"/>
          </w:tcPr>
          <w:p w14:paraId="0951DE4F">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267CF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7D9569C6">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6807BE66">
            <w:pPr>
              <w:pStyle w:val="257"/>
              <w:spacing w:line="300" w:lineRule="exact"/>
              <w:jc w:val="center"/>
              <w:rPr>
                <w:rFonts w:ascii="宋体" w:hAnsi="宋体" w:eastAsia="宋体" w:cs="宋体"/>
                <w:color w:val="auto"/>
                <w:szCs w:val="21"/>
                <w:highlight w:val="none"/>
              </w:rPr>
            </w:pPr>
          </w:p>
        </w:tc>
        <w:tc>
          <w:tcPr>
            <w:tcW w:w="1545" w:type="dxa"/>
            <w:vAlign w:val="center"/>
          </w:tcPr>
          <w:p w14:paraId="0C20376F">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6645" w:type="dxa"/>
            <w:vAlign w:val="center"/>
          </w:tcPr>
          <w:p w14:paraId="4AFB51C6">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7CE3B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vAlign w:val="center"/>
          </w:tcPr>
          <w:p w14:paraId="2354B769">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vAlign w:val="center"/>
          </w:tcPr>
          <w:p w14:paraId="040D0A3E">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645" w:type="dxa"/>
            <w:vAlign w:val="center"/>
          </w:tcPr>
          <w:p w14:paraId="034EB0DD">
            <w:pPr>
              <w:pStyle w:val="257"/>
              <w:spacing w:line="30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258E0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46933E46">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vAlign w:val="center"/>
          </w:tcPr>
          <w:p w14:paraId="19C8F04E">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vAlign w:val="center"/>
          </w:tcPr>
          <w:p w14:paraId="4CB790E4">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6645" w:type="dxa"/>
            <w:vAlign w:val="center"/>
          </w:tcPr>
          <w:p w14:paraId="393E494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143C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50D66C1">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7E2BDC1E">
            <w:pPr>
              <w:pStyle w:val="257"/>
              <w:spacing w:line="300" w:lineRule="exact"/>
              <w:jc w:val="center"/>
              <w:rPr>
                <w:rFonts w:ascii="宋体" w:hAnsi="宋体" w:eastAsia="宋体" w:cs="宋体"/>
                <w:color w:val="auto"/>
                <w:szCs w:val="21"/>
                <w:highlight w:val="none"/>
              </w:rPr>
            </w:pPr>
          </w:p>
        </w:tc>
        <w:tc>
          <w:tcPr>
            <w:tcW w:w="1545" w:type="dxa"/>
            <w:vAlign w:val="center"/>
          </w:tcPr>
          <w:p w14:paraId="73A85B3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6645" w:type="dxa"/>
            <w:vAlign w:val="center"/>
          </w:tcPr>
          <w:p w14:paraId="1CC0319D">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214DC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DA881E2">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248B94CB">
            <w:pPr>
              <w:pStyle w:val="257"/>
              <w:spacing w:line="300" w:lineRule="exact"/>
              <w:jc w:val="center"/>
              <w:rPr>
                <w:rFonts w:ascii="宋体" w:hAnsi="宋体" w:eastAsia="宋体" w:cs="宋体"/>
                <w:color w:val="auto"/>
                <w:szCs w:val="21"/>
                <w:highlight w:val="none"/>
              </w:rPr>
            </w:pPr>
          </w:p>
        </w:tc>
        <w:tc>
          <w:tcPr>
            <w:tcW w:w="1545" w:type="dxa"/>
            <w:vAlign w:val="center"/>
          </w:tcPr>
          <w:p w14:paraId="19D7F37C">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6645" w:type="dxa"/>
            <w:vAlign w:val="center"/>
          </w:tcPr>
          <w:p w14:paraId="0CA49752">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758DF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40942FB7">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0FF74E4F">
            <w:pPr>
              <w:pStyle w:val="257"/>
              <w:spacing w:line="300" w:lineRule="exact"/>
              <w:jc w:val="center"/>
              <w:rPr>
                <w:rFonts w:ascii="宋体" w:hAnsi="宋体" w:eastAsia="宋体" w:cs="宋体"/>
                <w:color w:val="auto"/>
                <w:szCs w:val="21"/>
                <w:highlight w:val="none"/>
              </w:rPr>
            </w:pPr>
          </w:p>
        </w:tc>
        <w:tc>
          <w:tcPr>
            <w:tcW w:w="1545" w:type="dxa"/>
            <w:vAlign w:val="center"/>
          </w:tcPr>
          <w:p w14:paraId="1D83E379">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6645" w:type="dxa"/>
            <w:vAlign w:val="center"/>
          </w:tcPr>
          <w:p w14:paraId="67BA6A54">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2A212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3188D66">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3FF572AC">
            <w:pPr>
              <w:pStyle w:val="257"/>
              <w:spacing w:line="300" w:lineRule="exact"/>
              <w:jc w:val="center"/>
              <w:rPr>
                <w:rFonts w:ascii="宋体" w:hAnsi="宋体" w:eastAsia="宋体" w:cs="宋体"/>
                <w:color w:val="auto"/>
                <w:szCs w:val="21"/>
                <w:highlight w:val="none"/>
              </w:rPr>
            </w:pPr>
          </w:p>
        </w:tc>
        <w:tc>
          <w:tcPr>
            <w:tcW w:w="1545" w:type="dxa"/>
            <w:vAlign w:val="center"/>
          </w:tcPr>
          <w:p w14:paraId="463D0A8C">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6645" w:type="dxa"/>
            <w:vAlign w:val="center"/>
          </w:tcPr>
          <w:p w14:paraId="2ECA8370">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48D0A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5BD37D4">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5713A791">
            <w:pPr>
              <w:pStyle w:val="257"/>
              <w:spacing w:line="300" w:lineRule="exact"/>
              <w:jc w:val="center"/>
              <w:rPr>
                <w:rFonts w:ascii="宋体" w:hAnsi="宋体" w:eastAsia="宋体" w:cs="宋体"/>
                <w:color w:val="auto"/>
                <w:szCs w:val="21"/>
                <w:highlight w:val="none"/>
              </w:rPr>
            </w:pPr>
          </w:p>
        </w:tc>
        <w:tc>
          <w:tcPr>
            <w:tcW w:w="1545" w:type="dxa"/>
            <w:vAlign w:val="center"/>
          </w:tcPr>
          <w:p w14:paraId="28104091">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6645" w:type="dxa"/>
            <w:vAlign w:val="center"/>
          </w:tcPr>
          <w:p w14:paraId="1289BAD1">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设置防护隔离棚或其它设施。</w:t>
            </w:r>
          </w:p>
        </w:tc>
      </w:tr>
      <w:tr w14:paraId="27BA9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815FC05">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4E720CA1">
            <w:pPr>
              <w:pStyle w:val="257"/>
              <w:spacing w:line="300" w:lineRule="exact"/>
              <w:jc w:val="center"/>
              <w:rPr>
                <w:rFonts w:ascii="宋体" w:hAnsi="宋体" w:eastAsia="宋体" w:cs="宋体"/>
                <w:color w:val="auto"/>
                <w:szCs w:val="21"/>
                <w:highlight w:val="none"/>
              </w:rPr>
            </w:pPr>
          </w:p>
        </w:tc>
        <w:tc>
          <w:tcPr>
            <w:tcW w:w="1545" w:type="dxa"/>
            <w:vAlign w:val="center"/>
          </w:tcPr>
          <w:p w14:paraId="085B5AE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6645" w:type="dxa"/>
            <w:vAlign w:val="center"/>
          </w:tcPr>
          <w:p w14:paraId="33BAFE4D">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有悬挂安全带的悬索或其它设施，有操作平台，有上下的梯子或其它形式的通道。</w:t>
            </w:r>
          </w:p>
        </w:tc>
      </w:tr>
      <w:tr w14:paraId="39CE6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BD2A79C">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1B74E6CA">
            <w:pPr>
              <w:pStyle w:val="257"/>
              <w:spacing w:line="300" w:lineRule="exact"/>
              <w:jc w:val="center"/>
              <w:rPr>
                <w:rFonts w:ascii="宋体" w:hAnsi="宋体" w:eastAsia="宋体" w:cs="宋体"/>
                <w:color w:val="auto"/>
                <w:szCs w:val="21"/>
                <w:highlight w:val="none"/>
              </w:rPr>
            </w:pPr>
          </w:p>
        </w:tc>
        <w:tc>
          <w:tcPr>
            <w:tcW w:w="1545" w:type="dxa"/>
            <w:vAlign w:val="center"/>
          </w:tcPr>
          <w:p w14:paraId="6EC68210">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6645" w:type="dxa"/>
            <w:vAlign w:val="center"/>
          </w:tcPr>
          <w:p w14:paraId="50787FDF">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73269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DAF70A9">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0E81E87A">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6645" w:type="dxa"/>
            <w:vAlign w:val="center"/>
          </w:tcPr>
          <w:p w14:paraId="28C04512">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59A4D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2AB86C30">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25" w:type="dxa"/>
            <w:vMerge w:val="restart"/>
            <w:vAlign w:val="center"/>
          </w:tcPr>
          <w:p w14:paraId="001B4230">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vAlign w:val="center"/>
          </w:tcPr>
          <w:p w14:paraId="30C6C943">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6645" w:type="dxa"/>
            <w:vAlign w:val="center"/>
          </w:tcPr>
          <w:p w14:paraId="5523CE0E">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7983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415C2BE">
            <w:pPr>
              <w:pStyle w:val="257"/>
              <w:spacing w:line="300" w:lineRule="exact"/>
              <w:jc w:val="center"/>
              <w:rPr>
                <w:rFonts w:ascii="宋体" w:hAnsi="宋体" w:eastAsia="宋体" w:cs="宋体"/>
                <w:color w:val="auto"/>
                <w:szCs w:val="21"/>
                <w:highlight w:val="none"/>
              </w:rPr>
            </w:pPr>
          </w:p>
        </w:tc>
        <w:tc>
          <w:tcPr>
            <w:tcW w:w="525" w:type="dxa"/>
            <w:vMerge w:val="continue"/>
            <w:vAlign w:val="center"/>
          </w:tcPr>
          <w:p w14:paraId="71DCBB1A">
            <w:pPr>
              <w:pStyle w:val="257"/>
              <w:spacing w:line="300" w:lineRule="exact"/>
              <w:jc w:val="center"/>
              <w:rPr>
                <w:rFonts w:ascii="宋体" w:hAnsi="宋体" w:eastAsia="宋体" w:cs="宋体"/>
                <w:color w:val="auto"/>
                <w:szCs w:val="21"/>
                <w:highlight w:val="none"/>
              </w:rPr>
            </w:pPr>
          </w:p>
        </w:tc>
        <w:tc>
          <w:tcPr>
            <w:tcW w:w="1545" w:type="dxa"/>
            <w:vAlign w:val="center"/>
          </w:tcPr>
          <w:p w14:paraId="3C02CA9C">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6645" w:type="dxa"/>
            <w:vAlign w:val="center"/>
          </w:tcPr>
          <w:p w14:paraId="52238761">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380D83BB">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1C37E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50E48FB">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50128CBD">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6645" w:type="dxa"/>
            <w:vAlign w:val="center"/>
          </w:tcPr>
          <w:p w14:paraId="72AE1A67">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387C9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27FC9552">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1FF9266F">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6645" w:type="dxa"/>
            <w:vAlign w:val="center"/>
          </w:tcPr>
          <w:p w14:paraId="34443A48">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04E80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F3A1908">
            <w:pPr>
              <w:pStyle w:val="257"/>
              <w:spacing w:line="300" w:lineRule="exact"/>
              <w:jc w:val="center"/>
              <w:rPr>
                <w:rFonts w:ascii="宋体" w:hAnsi="宋体" w:eastAsia="宋体" w:cs="宋体"/>
                <w:color w:val="auto"/>
                <w:szCs w:val="21"/>
                <w:highlight w:val="none"/>
              </w:rPr>
            </w:pPr>
          </w:p>
        </w:tc>
        <w:tc>
          <w:tcPr>
            <w:tcW w:w="2070" w:type="dxa"/>
            <w:gridSpan w:val="2"/>
            <w:vAlign w:val="center"/>
          </w:tcPr>
          <w:p w14:paraId="12DF1370">
            <w:pPr>
              <w:pStyle w:val="257"/>
              <w:spacing w:line="3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6645" w:type="dxa"/>
            <w:vAlign w:val="center"/>
          </w:tcPr>
          <w:p w14:paraId="12F966C3">
            <w:pPr>
              <w:pStyle w:val="257"/>
              <w:spacing w:line="3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其它特殊情况下的防护费用，如：城市主干道、人流密集、河边等处施工及文物、古建筑、古树保护等。</w:t>
            </w:r>
          </w:p>
        </w:tc>
      </w:tr>
    </w:tbl>
    <w:p w14:paraId="5563459A">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t>注：本表所列建设工程安全文明施工费，是依据现行法律法规及标准、规范确定的。如法律法规和标准、规范修订，本表所列项目应按照修订后的法律法规和标准规范进行调整。</w:t>
      </w:r>
    </w:p>
    <w:p w14:paraId="5C720527">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9.本工程拟投入列入节能产品政府采购品目清单及环境标志产品政府采购品目清单的产品。（如有）</w:t>
      </w:r>
    </w:p>
    <w:p w14:paraId="1D3C8BB3">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9.1建筑材料和设备节能环保要求承诺书</w:t>
      </w:r>
    </w:p>
    <w:p w14:paraId="36C82666">
      <w:pPr>
        <w:spacing w:line="520" w:lineRule="exact"/>
        <w:ind w:left="-10" w:firstLine="455" w:firstLineChars="217"/>
        <w:jc w:val="left"/>
        <w:rPr>
          <w:rFonts w:ascii="宋体" w:hAnsi="宋体" w:eastAsia="宋体" w:cs="宋体"/>
          <w:color w:val="auto"/>
          <w:highlight w:val="none"/>
        </w:rPr>
      </w:pPr>
      <w:r>
        <w:rPr>
          <w:rFonts w:hint="eastAsia" w:ascii="宋体" w:hAnsi="宋体" w:eastAsia="宋体" w:cs="宋体"/>
          <w:color w:val="auto"/>
          <w:highlight w:val="none"/>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3775DEC3">
      <w:pPr>
        <w:spacing w:line="520" w:lineRule="exact"/>
        <w:ind w:left="-10" w:firstLine="455" w:firstLineChars="217"/>
        <w:jc w:val="left"/>
        <w:rPr>
          <w:rFonts w:ascii="宋体" w:hAnsi="宋体" w:eastAsia="宋体" w:cs="宋体"/>
          <w:color w:val="auto"/>
          <w:highlight w:val="none"/>
        </w:rPr>
      </w:pPr>
    </w:p>
    <w:p w14:paraId="3FEFB229">
      <w:pPr>
        <w:tabs>
          <w:tab w:val="left" w:pos="4860"/>
        </w:tabs>
        <w:spacing w:line="360" w:lineRule="auto"/>
        <w:ind w:right="1560" w:firstLine="444" w:firstLineChars="200"/>
        <w:contextualSpacing/>
        <w:jc w:val="right"/>
        <w:rPr>
          <w:rFonts w:ascii="宋体" w:hAnsi="宋体" w:eastAsia="宋体" w:cs="宋体"/>
          <w:color w:val="auto"/>
          <w:spacing w:val="6"/>
          <w:highlight w:val="none"/>
        </w:rPr>
      </w:pPr>
      <w:r>
        <w:rPr>
          <w:rFonts w:hint="eastAsia" w:ascii="宋体" w:hAnsi="宋体" w:eastAsia="宋体" w:cs="宋体"/>
          <w:color w:val="auto"/>
          <w:spacing w:val="6"/>
          <w:highlight w:val="none"/>
        </w:rPr>
        <w:t xml:space="preserve">                        单位名称（盖法人单位电子印章）：</w:t>
      </w:r>
    </w:p>
    <w:p w14:paraId="6992A822">
      <w:pPr>
        <w:wordWrap w:val="0"/>
        <w:ind w:firstLine="444" w:firstLineChars="200"/>
        <w:jc w:val="right"/>
        <w:rPr>
          <w:rFonts w:ascii="宋体" w:hAnsi="宋体" w:eastAsia="宋体" w:cs="宋体"/>
          <w:color w:val="auto"/>
          <w:spacing w:val="6"/>
          <w:highlight w:val="none"/>
        </w:rPr>
      </w:pPr>
      <w:r>
        <w:rPr>
          <w:rFonts w:hint="eastAsia" w:ascii="宋体" w:hAnsi="宋体" w:eastAsia="宋体" w:cs="宋体"/>
          <w:color w:val="auto"/>
          <w:spacing w:val="6"/>
          <w:highlight w:val="none"/>
        </w:rPr>
        <w:t xml:space="preserve">                                     日  期：             </w:t>
      </w:r>
    </w:p>
    <w:p w14:paraId="3A490701">
      <w:pPr>
        <w:snapToGrid w:val="0"/>
        <w:spacing w:before="50" w:after="120" w:afterLines="50"/>
        <w:jc w:val="left"/>
        <w:rPr>
          <w:rFonts w:ascii="宋体" w:hAnsi="宋体" w:eastAsia="宋体" w:cs="宋体"/>
          <w:color w:val="auto"/>
          <w:szCs w:val="21"/>
          <w:highlight w:val="none"/>
        </w:rPr>
      </w:pPr>
    </w:p>
    <w:p w14:paraId="1E9E855C">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10.2响应产品中如有列入节能产品政府采购品目清单及环境标志产品政府采购品目清单的货物，应按下表提供清单。</w:t>
      </w:r>
    </w:p>
    <w:p w14:paraId="426EE5A6">
      <w:pPr>
        <w:spacing w:line="360" w:lineRule="auto"/>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节能产品及环境标志产品清单</w:t>
      </w:r>
    </w:p>
    <w:tbl>
      <w:tblPr>
        <w:tblStyle w:val="54"/>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36DE3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336CF93B">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76A223CC">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4544415F">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68CA184">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C1D3426">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47665E8F">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3D467C1A">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5413B75A">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453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9C10745">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D40E616">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3DC7DC4B">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375AFE4A">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8DA3CF1">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60BE26">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56B6E0E">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569D60B">
            <w:pPr>
              <w:widowControl/>
              <w:spacing w:before="100" w:beforeAutospacing="1" w:after="100" w:afterAutospacing="1" w:line="376" w:lineRule="atLeast"/>
              <w:jc w:val="center"/>
              <w:rPr>
                <w:rFonts w:ascii="宋体" w:hAnsi="宋体" w:eastAsia="宋体" w:cs="宋体"/>
                <w:color w:val="auto"/>
                <w:kern w:val="0"/>
                <w:szCs w:val="21"/>
                <w:highlight w:val="none"/>
              </w:rPr>
            </w:pPr>
          </w:p>
        </w:tc>
      </w:tr>
      <w:tr w14:paraId="7E592D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63762B82">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76FFD22">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2E4ED233">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0E2C7FE">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371F3078">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93333A">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421046D">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1B38099">
            <w:pPr>
              <w:widowControl/>
              <w:spacing w:before="100" w:beforeAutospacing="1" w:after="100" w:afterAutospacing="1" w:line="376" w:lineRule="atLeast"/>
              <w:jc w:val="center"/>
              <w:rPr>
                <w:rFonts w:ascii="宋体" w:hAnsi="宋体" w:eastAsia="宋体" w:cs="宋体"/>
                <w:color w:val="auto"/>
                <w:kern w:val="0"/>
                <w:szCs w:val="21"/>
                <w:highlight w:val="none"/>
              </w:rPr>
            </w:pPr>
          </w:p>
        </w:tc>
      </w:tr>
      <w:tr w14:paraId="3204F5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E3338A7">
            <w:pPr>
              <w:widowControl/>
              <w:spacing w:before="100" w:beforeAutospacing="1" w:after="100" w:afterAutospacing="1" w:line="376" w:lineRule="atLeas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E113E80">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897" w:type="dxa"/>
            <w:tcBorders>
              <w:top w:val="nil"/>
              <w:left w:val="single" w:color="auto" w:sz="4" w:space="0"/>
              <w:bottom w:val="single" w:color="auto" w:sz="8" w:space="0"/>
              <w:right w:val="single" w:color="auto" w:sz="8" w:space="0"/>
            </w:tcBorders>
            <w:vAlign w:val="center"/>
          </w:tcPr>
          <w:p w14:paraId="06979A8E">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0110FC34">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09" w:type="dxa"/>
            <w:tcBorders>
              <w:top w:val="nil"/>
              <w:left w:val="single" w:color="auto" w:sz="4" w:space="0"/>
              <w:bottom w:val="single" w:color="auto" w:sz="8" w:space="0"/>
              <w:right w:val="single" w:color="auto" w:sz="8" w:space="0"/>
            </w:tcBorders>
            <w:vAlign w:val="center"/>
          </w:tcPr>
          <w:p w14:paraId="03A7F65D">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A30C5A">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31DB15E">
            <w:pPr>
              <w:widowControl/>
              <w:spacing w:before="100" w:beforeAutospacing="1" w:after="100" w:afterAutospacing="1" w:line="376" w:lineRule="atLeast"/>
              <w:jc w:val="center"/>
              <w:rPr>
                <w:rFonts w:ascii="宋体" w:hAnsi="宋体" w:eastAsia="宋体" w:cs="宋体"/>
                <w:color w:val="auto"/>
                <w:kern w:val="0"/>
                <w:szCs w:val="21"/>
                <w:highlight w:val="none"/>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352A477A">
            <w:pPr>
              <w:widowControl/>
              <w:spacing w:before="100" w:beforeAutospacing="1" w:after="100" w:afterAutospacing="1" w:line="376" w:lineRule="atLeast"/>
              <w:jc w:val="center"/>
              <w:rPr>
                <w:rFonts w:ascii="宋体" w:hAnsi="宋体" w:eastAsia="宋体" w:cs="宋体"/>
                <w:color w:val="auto"/>
                <w:kern w:val="0"/>
                <w:szCs w:val="21"/>
                <w:highlight w:val="none"/>
              </w:rPr>
            </w:pPr>
          </w:p>
        </w:tc>
      </w:tr>
    </w:tbl>
    <w:p w14:paraId="034A2137">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注：类别填写节能或环境标志，品目填写编号及产品名称如A02010104台式计算机。</w:t>
      </w:r>
    </w:p>
    <w:p w14:paraId="4DE8F0EE">
      <w:pPr>
        <w:snapToGrid w:val="0"/>
        <w:spacing w:before="50" w:after="120" w:afterLines="50"/>
        <w:jc w:val="left"/>
        <w:rPr>
          <w:rFonts w:ascii="宋体" w:hAnsi="宋体" w:eastAsia="宋体" w:cs="宋体"/>
          <w:color w:val="auto"/>
          <w:szCs w:val="21"/>
          <w:highlight w:val="none"/>
        </w:rPr>
      </w:pPr>
    </w:p>
    <w:p w14:paraId="7C6FABE8">
      <w:pPr>
        <w:snapToGrid w:val="0"/>
        <w:spacing w:before="50" w:after="120" w:afterLines="50"/>
        <w:jc w:val="left"/>
        <w:rPr>
          <w:rFonts w:ascii="宋体" w:hAnsi="宋体" w:eastAsia="宋体" w:cs="宋体"/>
          <w:color w:val="auto"/>
          <w:szCs w:val="21"/>
          <w:highlight w:val="none"/>
        </w:rPr>
      </w:pPr>
    </w:p>
    <w:p w14:paraId="6322E521">
      <w:pPr>
        <w:snapToGrid w:val="0"/>
        <w:spacing w:before="50" w:after="120" w:afterLines="50" w:line="440" w:lineRule="exact"/>
        <w:jc w:val="left"/>
        <w:rPr>
          <w:rFonts w:ascii="宋体" w:hAnsi="宋体" w:eastAsia="宋体" w:cs="宋体"/>
          <w:b/>
          <w:color w:val="auto"/>
          <w:highlight w:val="none"/>
        </w:rPr>
      </w:pPr>
      <w:r>
        <w:rPr>
          <w:rFonts w:hint="eastAsia" w:ascii="宋体" w:hAnsi="宋体" w:eastAsia="宋体" w:cs="宋体"/>
          <w:color w:val="auto"/>
          <w:highlight w:val="none"/>
        </w:rPr>
        <w:t>10．</w:t>
      </w:r>
      <w:r>
        <w:rPr>
          <w:rFonts w:hint="eastAsia" w:ascii="宋体" w:hAnsi="宋体" w:eastAsia="宋体" w:cs="宋体"/>
          <w:color w:val="auto"/>
          <w:szCs w:val="21"/>
          <w:highlight w:val="none"/>
        </w:rPr>
        <w:t>谈判保证金缴纳证明。</w:t>
      </w:r>
      <w:r>
        <w:rPr>
          <w:rFonts w:hint="eastAsia" w:ascii="宋体" w:hAnsi="宋体" w:eastAsia="宋体" w:cs="宋体"/>
          <w:b/>
          <w:color w:val="auto"/>
          <w:highlight w:val="none"/>
        </w:rPr>
        <w:t>（如采购文件有要求时提供）</w:t>
      </w:r>
    </w:p>
    <w:p w14:paraId="4CBD1AF3">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（1）以转账、电汇形式缴纳的，提供转账、电汇凭证扫描件或复印件（网银可提供截图）加盖供应商电子签章；</w:t>
      </w:r>
    </w:p>
    <w:p w14:paraId="0DBFAEB4">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（2）</w:t>
      </w:r>
      <w:bookmarkStart w:id="1061" w:name="_Hlk176360876"/>
      <w:r>
        <w:rPr>
          <w:rFonts w:hint="eastAsia" w:ascii="宋体" w:hAnsi="宋体" w:eastAsia="宋体" w:cs="宋体"/>
          <w:color w:val="auto"/>
          <w:highlight w:val="none"/>
        </w:rPr>
        <w:t>以支票、汇票、本票或金融机构、担保机构出具的保函等非现金形式缴纳的，提供原件扫描件或复印件并加盖供应商电子签章。</w:t>
      </w:r>
      <w:bookmarkEnd w:id="1061"/>
      <w:r>
        <w:rPr>
          <w:rFonts w:hint="eastAsia" w:ascii="宋体" w:hAnsi="宋体" w:eastAsia="宋体" w:cs="宋体"/>
          <w:color w:val="auto"/>
          <w:highlight w:val="none"/>
        </w:rPr>
        <w:t>响应保函参考如下格式开具：</w:t>
      </w:r>
    </w:p>
    <w:p w14:paraId="0D9DDB60">
      <w:pPr>
        <w:spacing w:line="360" w:lineRule="auto"/>
        <w:jc w:val="center"/>
        <w:rPr>
          <w:rFonts w:ascii="宋体" w:hAnsi="宋体" w:eastAsia="宋体" w:cs="宋体"/>
          <w:b/>
          <w:bCs/>
          <w:color w:val="auto"/>
          <w:sz w:val="28"/>
          <w:szCs w:val="36"/>
          <w:highlight w:val="none"/>
        </w:rPr>
      </w:pPr>
    </w:p>
    <w:p w14:paraId="7BF5BD40">
      <w:pPr>
        <w:spacing w:line="360" w:lineRule="auto"/>
        <w:jc w:val="center"/>
        <w:rPr>
          <w:rFonts w:ascii="宋体" w:hAnsi="宋体" w:eastAsia="宋体" w:cs="宋体"/>
          <w:b/>
          <w:bCs/>
          <w:color w:val="auto"/>
          <w:sz w:val="28"/>
          <w:szCs w:val="36"/>
          <w:highlight w:val="none"/>
        </w:rPr>
      </w:pPr>
    </w:p>
    <w:p w14:paraId="1D6A361D">
      <w:pPr>
        <w:spacing w:line="360" w:lineRule="auto"/>
        <w:jc w:val="center"/>
        <w:rPr>
          <w:rFonts w:ascii="宋体" w:hAnsi="宋体" w:eastAsia="宋体" w:cs="宋体"/>
          <w:b/>
          <w:bCs/>
          <w:color w:val="auto"/>
          <w:sz w:val="28"/>
          <w:szCs w:val="36"/>
          <w:highlight w:val="none"/>
        </w:rPr>
      </w:pPr>
    </w:p>
    <w:p w14:paraId="0EAAC5BD">
      <w:pPr>
        <w:spacing w:line="360" w:lineRule="auto"/>
        <w:jc w:val="center"/>
        <w:rPr>
          <w:rFonts w:ascii="宋体" w:hAnsi="宋体" w:eastAsia="宋体" w:cs="宋体"/>
          <w:b/>
          <w:bCs/>
          <w:color w:val="auto"/>
          <w:sz w:val="28"/>
          <w:szCs w:val="36"/>
          <w:highlight w:val="none"/>
        </w:rPr>
      </w:pPr>
    </w:p>
    <w:p w14:paraId="487096E9">
      <w:pPr>
        <w:spacing w:line="360" w:lineRule="auto"/>
        <w:jc w:val="center"/>
        <w:rPr>
          <w:rFonts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响应保函格式</w:t>
      </w:r>
    </w:p>
    <w:p w14:paraId="225A4BC7">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 xml:space="preserve">编号：           </w:t>
      </w:r>
    </w:p>
    <w:p w14:paraId="7D19D0AE">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申请人：</w:t>
      </w:r>
    </w:p>
    <w:p w14:paraId="626796AC">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地址：</w:t>
      </w:r>
    </w:p>
    <w:p w14:paraId="3B0C413E">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 xml:space="preserve">受益人：广西机电设备招标有限公司 </w:t>
      </w:r>
    </w:p>
    <w:p w14:paraId="602FAB8F">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地址：</w:t>
      </w:r>
    </w:p>
    <w:p w14:paraId="1FD56418">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开立人：</w:t>
      </w:r>
    </w:p>
    <w:p w14:paraId="586DA9B6">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highlight w:val="none"/>
        </w:rPr>
        <w:t>地址：</w:t>
      </w:r>
    </w:p>
    <w:p w14:paraId="02147F6A">
      <w:pPr>
        <w:snapToGrid w:val="0"/>
        <w:spacing w:before="50" w:after="120" w:afterLines="50" w:line="440" w:lineRule="exact"/>
        <w:jc w:val="left"/>
        <w:rPr>
          <w:rFonts w:ascii="宋体" w:hAnsi="宋体" w:eastAsia="宋体" w:cs="宋体"/>
          <w:color w:val="auto"/>
          <w:highlight w:val="none"/>
        </w:rPr>
      </w:pPr>
    </w:p>
    <w:p w14:paraId="6768C63E">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致：广西机电设备招标有限公司</w:t>
      </w:r>
    </w:p>
    <w:p w14:paraId="398A3655">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我方（即“开立人”）已获得通知，本保函申请人（即“供应商”）已响应贵方于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日就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（以下简称“本项目”）发出的采购文件，并已向采购代理机构（即“受益人”）提交了投标文件。</w:t>
      </w:r>
    </w:p>
    <w:p w14:paraId="06532463">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EA7A4B6">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二、我方在供应商发生以下情形时承担保证担保责任： </w:t>
      </w:r>
    </w:p>
    <w:p w14:paraId="40669D2E">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（1）投标人在开标后和投标有效期满之前撤销投标文件的； </w:t>
      </w:r>
    </w:p>
    <w:p w14:paraId="3BA8B6FE">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（2）投标人在收到中标通知书后，不能或拒绝按采购文件规定的时间内与采购人签订合同； </w:t>
      </w:r>
    </w:p>
    <w:p w14:paraId="5280FA7A">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（3）投标人在与采购人签订合同后，未在规定的时间内提交符合采购文件要求的履约担保；</w:t>
      </w:r>
    </w:p>
    <w:p w14:paraId="3915E9BF">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（4）投标人在中标通知书发出之日起5个工作日内，未缴纳本项目代理服务费的；</w:t>
      </w:r>
    </w:p>
    <w:p w14:paraId="18B50C8C">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（5）投标人违反采购文件规定的其他情形。</w:t>
      </w:r>
    </w:p>
    <w:p w14:paraId="74AF0743">
      <w:pPr>
        <w:snapToGrid w:val="0"/>
        <w:spacing w:before="50" w:after="120" w:afterLines="50" w:line="276" w:lineRule="auto"/>
        <w:ind w:firstLine="210" w:firstLineChars="100"/>
        <w:jc w:val="left"/>
        <w:rPr>
          <w:rFonts w:ascii="宋体" w:hAnsi="宋体" w:eastAsia="宋体" w:cs="宋体"/>
          <w:color w:val="auto"/>
          <w:highlight w:val="none"/>
        </w:rPr>
      </w:pPr>
      <w:r>
        <w:rPr>
          <w:rFonts w:hint="eastAsia" w:ascii="宋体" w:hAnsi="宋体" w:eastAsia="宋体" w:cs="宋体"/>
          <w:color w:val="auto"/>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highlight w:val="none"/>
          <w:u w:val="single"/>
        </w:rPr>
        <w:t xml:space="preserve">  28  </w:t>
      </w:r>
      <w:r>
        <w:rPr>
          <w:rFonts w:hint="eastAsia" w:ascii="宋体" w:hAnsi="宋体" w:eastAsia="宋体" w:cs="宋体"/>
          <w:color w:val="auto"/>
          <w:highlight w:val="none"/>
        </w:rPr>
        <w:t>日。投标有效期延长的，本保函有效期相应顺延。</w:t>
      </w:r>
    </w:p>
    <w:p w14:paraId="79B67C37">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四、我方承诺，在收到受益人发来的书面付款通知后的</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日内无条件支付，前述书面付款通知即为付款要求之单据，且应满足以下要求：</w:t>
      </w:r>
    </w:p>
    <w:p w14:paraId="68C832F4">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（1）付款通知到达的日期在本保函的有效期内；</w:t>
      </w:r>
    </w:p>
    <w:p w14:paraId="6357A6E9">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（2）载明要求支付的金额；</w:t>
      </w:r>
    </w:p>
    <w:p w14:paraId="34AB248B">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（3）载明申请人违反采购文件规定的义务内容和具体条款；</w:t>
      </w:r>
    </w:p>
    <w:p w14:paraId="24A5B18E">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（4）声明不存在采购文件规定或我国法律规定免除申请人或我方支付责任的情形；</w:t>
      </w:r>
    </w:p>
    <w:p w14:paraId="03994BE3">
      <w:pPr>
        <w:snapToGrid w:val="0"/>
        <w:spacing w:before="50" w:after="120" w:afterLines="50" w:line="276" w:lineRule="auto"/>
        <w:ind w:left="420" w:leftChars="200"/>
        <w:jc w:val="left"/>
        <w:rPr>
          <w:rFonts w:ascii="宋体" w:hAnsi="宋体" w:eastAsia="宋体" w:cs="宋体"/>
          <w:color w:val="auto"/>
          <w:highlight w:val="none"/>
        </w:rPr>
      </w:pPr>
      <w:r>
        <w:rPr>
          <w:rFonts w:hint="eastAsia" w:ascii="宋体" w:hAnsi="宋体" w:eastAsia="宋体" w:cs="宋体"/>
          <w:color w:val="auto"/>
          <w:highlight w:val="none"/>
        </w:rPr>
        <w:t>（5）书面付款通知应在本保函有效期内到达的地址是：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B00F8E4">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        受益人发出的书面付款通知应由其为鉴明受益人法定代表人（负责人）或授权代理人签字并加盖公章。</w:t>
      </w:r>
    </w:p>
    <w:p w14:paraId="5F5909DC">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五、本保函项下的权利不得转让，不得设定担保。贵方未经我方书面同意转让本保函或其项下任何权利，对我方不发生法律效力。 </w:t>
      </w:r>
    </w:p>
    <w:p w14:paraId="75DC1E40">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六、本保函项下的基础交易不成立、不生效、无效、被撤销、被解除，不影响本保函的独立有效。 </w:t>
      </w:r>
    </w:p>
    <w:p w14:paraId="18817B95">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A6EC032">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八、本保函适用的法律为中华人民共和国法律，争议裁判管辖地为中华人民共和国。 </w:t>
      </w:r>
    </w:p>
    <w:p w14:paraId="45D0196D">
      <w:pPr>
        <w:snapToGrid w:val="0"/>
        <w:spacing w:before="50" w:after="120" w:afterLines="50" w:line="276"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九、本保函自我方法定代表人或授权代表签字并加盖公章之日起生效。 </w:t>
      </w:r>
    </w:p>
    <w:p w14:paraId="5B6C4D94">
      <w:pPr>
        <w:snapToGrid w:val="0"/>
        <w:spacing w:before="50" w:after="120" w:afterLines="50" w:line="276" w:lineRule="auto"/>
        <w:jc w:val="left"/>
        <w:rPr>
          <w:rFonts w:ascii="宋体" w:hAnsi="宋体" w:eastAsia="宋体" w:cs="宋体"/>
          <w:color w:val="auto"/>
          <w:highlight w:val="none"/>
        </w:rPr>
      </w:pPr>
    </w:p>
    <w:p w14:paraId="64E8FE94">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开 立 人：                                                  （公章） </w:t>
      </w:r>
    </w:p>
    <w:p w14:paraId="597B6F79">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法定代表人（或授权代表） ：               （签字） </w:t>
      </w:r>
    </w:p>
    <w:p w14:paraId="6F704A86">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地    址：                                       </w:t>
      </w:r>
    </w:p>
    <w:p w14:paraId="41E7E127">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邮政编码：                 </w:t>
      </w:r>
    </w:p>
    <w:p w14:paraId="77B5735A">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电    话：                 </w:t>
      </w:r>
    </w:p>
    <w:p w14:paraId="071729E7">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 xml:space="preserve">传    真：                 </w:t>
      </w:r>
    </w:p>
    <w:p w14:paraId="1EAF2D1B">
      <w:pPr>
        <w:snapToGrid w:val="0"/>
        <w:spacing w:before="50" w:after="120" w:afterLines="50" w:line="276" w:lineRule="auto"/>
        <w:jc w:val="left"/>
        <w:rPr>
          <w:rFonts w:ascii="宋体" w:hAnsi="宋体" w:eastAsia="宋体" w:cs="宋体"/>
          <w:color w:val="auto"/>
          <w:highlight w:val="none"/>
        </w:rPr>
      </w:pPr>
      <w:r>
        <w:rPr>
          <w:rFonts w:hint="eastAsia" w:ascii="宋体" w:hAnsi="宋体" w:eastAsia="宋体" w:cs="宋体"/>
          <w:color w:val="auto"/>
          <w:highlight w:val="none"/>
        </w:rPr>
        <w:t>开立时间：      年       月        日</w:t>
      </w:r>
    </w:p>
    <w:p w14:paraId="41622266">
      <w:pPr>
        <w:snapToGrid w:val="0"/>
        <w:spacing w:before="50" w:after="120" w:afterLines="50"/>
        <w:jc w:val="left"/>
        <w:rPr>
          <w:rFonts w:ascii="宋体" w:hAnsi="宋体" w:eastAsia="宋体" w:cs="宋体"/>
          <w:color w:val="auto"/>
          <w:szCs w:val="21"/>
          <w:highlight w:val="none"/>
        </w:rPr>
      </w:pPr>
    </w:p>
    <w:p w14:paraId="6CCE88BB">
      <w:pPr>
        <w:snapToGrid w:val="0"/>
        <w:spacing w:before="50" w:after="120" w:afterLines="50" w:line="400" w:lineRule="exact"/>
        <w:jc w:val="left"/>
        <w:rPr>
          <w:rFonts w:ascii="宋体" w:hAnsi="宋体" w:eastAsia="宋体" w:cs="宋体"/>
          <w:color w:val="auto"/>
          <w:szCs w:val="21"/>
          <w:highlight w:val="none"/>
        </w:rPr>
      </w:pPr>
    </w:p>
    <w:p w14:paraId="4A605A6E">
      <w:pPr>
        <w:snapToGrid w:val="0"/>
        <w:spacing w:before="50" w:after="120" w:afterLines="50" w:line="400" w:lineRule="exact"/>
        <w:jc w:val="left"/>
        <w:rPr>
          <w:rFonts w:ascii="宋体" w:hAnsi="宋体" w:eastAsia="宋体" w:cs="宋体"/>
          <w:color w:val="auto"/>
          <w:szCs w:val="21"/>
          <w:highlight w:val="none"/>
        </w:rPr>
      </w:pPr>
    </w:p>
    <w:p w14:paraId="6D7A0866">
      <w:pPr>
        <w:snapToGrid w:val="0"/>
        <w:spacing w:before="50" w:after="120" w:afterLines="50" w:line="400" w:lineRule="exact"/>
        <w:jc w:val="left"/>
        <w:rPr>
          <w:rFonts w:ascii="宋体" w:hAnsi="宋体" w:eastAsia="宋体" w:cs="宋体"/>
          <w:bCs/>
          <w:color w:val="auto"/>
          <w:sz w:val="24"/>
          <w:highlight w:val="none"/>
        </w:rPr>
      </w:pPr>
      <w:r>
        <w:rPr>
          <w:rFonts w:hint="eastAsia" w:ascii="宋体" w:hAnsi="宋体" w:eastAsia="宋体" w:cs="宋体"/>
          <w:color w:val="auto"/>
          <w:szCs w:val="21"/>
          <w:highlight w:val="none"/>
        </w:rPr>
        <w:t>11．供应商认为应当要提交的其他资格证明材料。</w:t>
      </w:r>
      <w:r>
        <w:rPr>
          <w:rFonts w:hint="eastAsia" w:ascii="宋体" w:hAnsi="宋体" w:eastAsia="宋体" w:cs="宋体"/>
          <w:bCs/>
          <w:color w:val="auto"/>
          <w:sz w:val="24"/>
          <w:highlight w:val="none"/>
        </w:rPr>
        <w:t xml:space="preserve"> </w:t>
      </w:r>
    </w:p>
    <w:p w14:paraId="7DA1141B">
      <w:pPr>
        <w:snapToGrid w:val="0"/>
        <w:spacing w:before="50" w:after="120" w:afterLines="50"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78D551C">
      <w:pPr>
        <w:numPr>
          <w:ilvl w:val="0"/>
          <w:numId w:val="6"/>
        </w:numPr>
        <w:snapToGrid w:val="0"/>
        <w:spacing w:before="120" w:beforeLines="50" w:after="50" w:line="440" w:lineRule="exact"/>
        <w:jc w:val="center"/>
        <w:outlineLvl w:val="1"/>
        <w:rPr>
          <w:rFonts w:ascii="宋体" w:hAnsi="宋体" w:eastAsia="宋体" w:cs="宋体"/>
          <w:bCs/>
          <w:color w:val="auto"/>
          <w:sz w:val="24"/>
          <w:highlight w:val="none"/>
        </w:rPr>
      </w:pPr>
      <w:r>
        <w:rPr>
          <w:rFonts w:hint="eastAsia" w:ascii="宋体" w:hAnsi="宋体" w:eastAsia="宋体" w:cs="宋体"/>
          <w:bCs/>
          <w:color w:val="auto"/>
          <w:sz w:val="24"/>
          <w:highlight w:val="none"/>
        </w:rPr>
        <w:t>商务技术文件</w:t>
      </w:r>
    </w:p>
    <w:p w14:paraId="7406CC0A">
      <w:pPr>
        <w:snapToGrid w:val="0"/>
        <w:spacing w:before="120" w:beforeLines="50" w:after="50" w:line="360" w:lineRule="exact"/>
        <w:rPr>
          <w:rFonts w:ascii="宋体" w:hAnsi="宋体" w:eastAsia="宋体" w:cs="宋体"/>
          <w:b/>
          <w:color w:val="auto"/>
          <w:szCs w:val="21"/>
          <w:highlight w:val="none"/>
        </w:rPr>
      </w:pPr>
      <w:bookmarkStart w:id="1062" w:name="_Toc455309222"/>
      <w:bookmarkStart w:id="1063" w:name="_Toc462223472"/>
      <w:bookmarkStart w:id="1064" w:name="_Toc462320613"/>
      <w:r>
        <w:rPr>
          <w:rFonts w:hint="eastAsia" w:ascii="宋体" w:hAnsi="宋体" w:eastAsia="宋体" w:cs="宋体"/>
          <w:b/>
          <w:color w:val="auto"/>
          <w:szCs w:val="21"/>
          <w:highlight w:val="none"/>
        </w:rPr>
        <w:t>1．法定代表人身份证明（无授权代表时提供）：</w:t>
      </w:r>
    </w:p>
    <w:p w14:paraId="43CE96AA">
      <w:pPr>
        <w:pStyle w:val="198"/>
        <w:jc w:val="left"/>
        <w:rPr>
          <w:rFonts w:ascii="宋体" w:hAnsi="宋体" w:eastAsia="宋体" w:cs="宋体"/>
          <w:color w:val="auto"/>
          <w:highlight w:val="none"/>
        </w:rPr>
      </w:pPr>
    </w:p>
    <w:p w14:paraId="6776DB7C">
      <w:pPr>
        <w:snapToGrid w:val="0"/>
        <w:spacing w:before="120" w:beforeLines="50" w:after="50" w:line="4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法定代表人身份证明</w:t>
      </w:r>
      <w:bookmarkEnd w:id="1062"/>
      <w:bookmarkEnd w:id="1063"/>
      <w:bookmarkEnd w:id="1064"/>
    </w:p>
    <w:p w14:paraId="55CF1B2F">
      <w:pPr>
        <w:spacing w:line="360" w:lineRule="auto"/>
        <w:rPr>
          <w:rFonts w:ascii="宋体" w:hAnsi="宋体" w:eastAsia="宋体" w:cs="宋体"/>
          <w:color w:val="auto"/>
          <w:highlight w:val="none"/>
        </w:rPr>
      </w:pPr>
    </w:p>
    <w:p w14:paraId="0552AC93">
      <w:pPr>
        <w:spacing w:line="360" w:lineRule="auto"/>
        <w:rPr>
          <w:rFonts w:ascii="宋体" w:hAnsi="宋体" w:eastAsia="宋体" w:cs="宋体"/>
          <w:color w:val="auto"/>
          <w:highlight w:val="none"/>
        </w:rPr>
      </w:pPr>
    </w:p>
    <w:p w14:paraId="4FB3365A">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29390851">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C00DB4E">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17E9E494">
      <w:pPr>
        <w:spacing w:line="5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年        月        日</w:t>
      </w:r>
    </w:p>
    <w:p w14:paraId="02F2BFCF">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35B52AF6">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23DF325">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1DA57968">
      <w:pPr>
        <w:spacing w:line="5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 供应商名称）</w:t>
      </w:r>
      <w:r>
        <w:rPr>
          <w:rFonts w:hint="eastAsia" w:ascii="宋体" w:hAnsi="宋体" w:eastAsia="宋体" w:cs="宋体"/>
          <w:color w:val="auto"/>
          <w:szCs w:val="21"/>
          <w:highlight w:val="none"/>
        </w:rPr>
        <w:t>的法定代表人。</w:t>
      </w:r>
    </w:p>
    <w:p w14:paraId="702F4FA4">
      <w:pPr>
        <w:spacing w:line="540" w:lineRule="exact"/>
        <w:rPr>
          <w:rFonts w:ascii="宋体" w:hAnsi="宋体" w:eastAsia="宋体" w:cs="宋体"/>
          <w:color w:val="auto"/>
          <w:szCs w:val="21"/>
          <w:highlight w:val="none"/>
        </w:rPr>
      </w:pPr>
    </w:p>
    <w:p w14:paraId="620F34A5">
      <w:pPr>
        <w:spacing w:line="5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C6397B2">
      <w:pPr>
        <w:spacing w:line="360" w:lineRule="auto"/>
        <w:ind w:firstLine="420" w:firstLineChars="200"/>
        <w:rPr>
          <w:rFonts w:ascii="宋体" w:hAnsi="宋体" w:eastAsia="宋体" w:cs="宋体"/>
          <w:color w:val="auto"/>
          <w:szCs w:val="21"/>
          <w:highlight w:val="none"/>
        </w:rPr>
      </w:pPr>
    </w:p>
    <w:p w14:paraId="13BF8E3D">
      <w:pPr>
        <w:spacing w:line="360" w:lineRule="auto"/>
        <w:ind w:firstLine="4830" w:firstLineChars="23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36C0765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 </w:t>
      </w:r>
    </w:p>
    <w:p w14:paraId="108848E3">
      <w:pPr>
        <w:spacing w:line="360" w:lineRule="auto"/>
        <w:ind w:firstLine="420" w:firstLineChars="200"/>
        <w:rPr>
          <w:rFonts w:ascii="宋体" w:hAnsi="宋体" w:eastAsia="宋体" w:cs="宋体"/>
          <w:color w:val="auto"/>
          <w:szCs w:val="21"/>
          <w:highlight w:val="none"/>
        </w:rPr>
      </w:pPr>
    </w:p>
    <w:p w14:paraId="5760F42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附件：法定代表人身份证扫描件</w:t>
      </w:r>
    </w:p>
    <w:p w14:paraId="3D840F4E">
      <w:pPr>
        <w:spacing w:line="360" w:lineRule="auto"/>
        <w:rPr>
          <w:rFonts w:ascii="宋体" w:hAnsi="宋体" w:eastAsia="宋体" w:cs="宋体"/>
          <w:color w:val="auto"/>
          <w:szCs w:val="21"/>
          <w:highlight w:val="none"/>
        </w:rPr>
      </w:pPr>
    </w:p>
    <w:p w14:paraId="0E4BFC94">
      <w:pPr>
        <w:snapToGrid w:val="0"/>
        <w:spacing w:before="120" w:beforeLines="50" w:after="50" w:line="36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1．授权委托书（有授权代表时提供）：</w:t>
      </w:r>
    </w:p>
    <w:p w14:paraId="14257A0F">
      <w:pPr>
        <w:snapToGrid w:val="0"/>
        <w:spacing w:before="120" w:beforeLines="50" w:after="50" w:line="360" w:lineRule="exact"/>
        <w:rPr>
          <w:rFonts w:ascii="宋体" w:hAnsi="宋体" w:eastAsia="宋体" w:cs="宋体"/>
          <w:b/>
          <w:color w:val="auto"/>
          <w:szCs w:val="21"/>
          <w:highlight w:val="none"/>
        </w:rPr>
      </w:pPr>
    </w:p>
    <w:p w14:paraId="7CC83F14">
      <w:pPr>
        <w:snapToGrid w:val="0"/>
        <w:spacing w:before="120" w:beforeLines="50" w:after="50" w:line="44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2928D3DC">
      <w:pPr>
        <w:snapToGrid w:val="0"/>
        <w:spacing w:before="120" w:beforeLines="50" w:after="50" w:line="440" w:lineRule="exact"/>
        <w:rPr>
          <w:rFonts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p>
    <w:p w14:paraId="1E54607D">
      <w:pPr>
        <w:snapToGrid w:val="0"/>
        <w:spacing w:before="120" w:beforeLines="50" w:after="50"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i/>
          <w:iCs/>
          <w:color w:val="auto"/>
          <w:szCs w:val="21"/>
          <w:highlight w:val="none"/>
          <w:u w:val="single"/>
        </w:rPr>
        <w:t>（姓名）</w:t>
      </w:r>
      <w:r>
        <w:rPr>
          <w:rFonts w:hint="eastAsia" w:ascii="宋体" w:hAnsi="宋体" w:eastAsia="宋体" w:cs="宋体"/>
          <w:color w:val="auto"/>
          <w:szCs w:val="21"/>
          <w:highlight w:val="none"/>
        </w:rPr>
        <w:t>系</w:t>
      </w:r>
      <w:r>
        <w:rPr>
          <w:rFonts w:hint="eastAsia" w:ascii="宋体" w:hAnsi="宋体" w:eastAsia="宋体" w:cs="宋体"/>
          <w:i/>
          <w:iCs/>
          <w:color w:val="auto"/>
          <w:szCs w:val="21"/>
          <w:highlight w:val="none"/>
          <w:u w:val="single"/>
        </w:rPr>
        <w:t>（供应商名称）</w:t>
      </w:r>
      <w:r>
        <w:rPr>
          <w:rFonts w:hint="eastAsia" w:ascii="宋体" w:hAnsi="宋体" w:eastAsia="宋体" w:cs="宋体"/>
          <w:color w:val="auto"/>
          <w:szCs w:val="21"/>
          <w:highlight w:val="none"/>
        </w:rPr>
        <w:t>的法定代表人，现授权委托本单位在职职工</w:t>
      </w:r>
      <w:r>
        <w:rPr>
          <w:rFonts w:hint="eastAsia" w:ascii="宋体" w:hAnsi="宋体" w:eastAsia="宋体" w:cs="宋体"/>
          <w:i/>
          <w:color w:val="auto"/>
          <w:szCs w:val="21"/>
          <w:highlight w:val="none"/>
          <w:u w:val="single"/>
        </w:rPr>
        <w:t>（姓名）</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项目的谈判活动，并代表我方全权办理针对上述项目的谈判、截标、评审、签约等具体事务和签署相关文件。</w:t>
      </w:r>
    </w:p>
    <w:p w14:paraId="26064C6A">
      <w:pPr>
        <w:snapToGrid w:val="0"/>
        <w:spacing w:before="120" w:beforeLines="50" w:after="5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5AAE5067">
      <w:pPr>
        <w:snapToGrid w:val="0"/>
        <w:spacing w:before="120" w:beforeLines="50" w:after="50" w:line="44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在撤销授权的书面通知以前，本授权书一直有效。被授权人在授权书有效期内签署的所有文件不因授权的撤销而失效。</w:t>
      </w:r>
    </w:p>
    <w:p w14:paraId="6C4F6DB6">
      <w:pPr>
        <w:snapToGrid w:val="0"/>
        <w:spacing w:before="120" w:beforeLines="50" w:after="50" w:line="440" w:lineRule="exact"/>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3E30C758">
      <w:pPr>
        <w:snapToGrid w:val="0"/>
        <w:spacing w:before="120" w:beforeLines="50" w:after="50" w:line="4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被授权人签名或签章：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法定代表人签名或签章：</w:t>
      </w:r>
      <w:r>
        <w:rPr>
          <w:rFonts w:hint="eastAsia" w:ascii="宋体" w:hAnsi="宋体" w:eastAsia="宋体" w:cs="宋体"/>
          <w:color w:val="auto"/>
          <w:szCs w:val="21"/>
          <w:highlight w:val="none"/>
          <w:u w:val="single"/>
        </w:rPr>
        <w:t xml:space="preserve">          </w:t>
      </w:r>
    </w:p>
    <w:p w14:paraId="705C47EB">
      <w:pPr>
        <w:snapToGrid w:val="0"/>
        <w:spacing w:before="120" w:beforeLines="50" w:after="5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F3FF11E">
      <w:pPr>
        <w:snapToGrid w:val="0"/>
        <w:spacing w:before="120" w:beforeLines="50" w:after="5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授权人身份证号码：</w:t>
      </w:r>
      <w:r>
        <w:rPr>
          <w:rFonts w:hint="eastAsia" w:ascii="宋体" w:hAnsi="宋体" w:eastAsia="宋体" w:cs="宋体"/>
          <w:color w:val="auto"/>
          <w:szCs w:val="21"/>
          <w:highlight w:val="none"/>
          <w:u w:val="single"/>
        </w:rPr>
        <w:t xml:space="preserve">                 </w:t>
      </w:r>
    </w:p>
    <w:p w14:paraId="7311D15B">
      <w:pPr>
        <w:snapToGrid w:val="0"/>
        <w:spacing w:before="120" w:beforeLines="50" w:after="50" w:line="44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被授权人</w:t>
      </w:r>
      <w:bookmarkStart w:id="1065" w:name="_Hlk132793041"/>
      <w:r>
        <w:rPr>
          <w:rFonts w:hint="eastAsia" w:ascii="宋体" w:hAnsi="宋体" w:eastAsia="宋体" w:cs="宋体"/>
          <w:color w:val="auto"/>
          <w:szCs w:val="21"/>
          <w:highlight w:val="none"/>
        </w:rPr>
        <w:t>手机号码及邮箱：</w:t>
      </w:r>
      <w:bookmarkEnd w:id="1065"/>
      <w:r>
        <w:rPr>
          <w:rFonts w:hint="eastAsia" w:ascii="宋体" w:hAnsi="宋体" w:eastAsia="宋体" w:cs="宋体"/>
          <w:color w:val="auto"/>
          <w:szCs w:val="21"/>
          <w:highlight w:val="none"/>
          <w:u w:val="single"/>
        </w:rPr>
        <w:t xml:space="preserve">         </w:t>
      </w:r>
    </w:p>
    <w:p w14:paraId="0D997883">
      <w:pPr>
        <w:snapToGrid w:val="0"/>
        <w:spacing w:before="120" w:beforeLines="50" w:after="50"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B0F528">
      <w:pPr>
        <w:snapToGrid w:val="0"/>
        <w:spacing w:before="120" w:beforeLines="50" w:after="50" w:line="440" w:lineRule="exact"/>
        <w:ind w:firstLine="5670" w:firstLineChars="27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46B9E8E1">
      <w:pPr>
        <w:snapToGrid w:val="0"/>
        <w:spacing w:before="120" w:beforeLines="50" w:after="50"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6527E86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附件：法定代表人身份证扫描件及授权代表身份证扫描件</w:t>
      </w:r>
    </w:p>
    <w:p w14:paraId="470BFAD5">
      <w:pPr>
        <w:snapToGrid w:val="0"/>
        <w:spacing w:before="120" w:beforeLines="50" w:after="50" w:line="440" w:lineRule="exact"/>
        <w:outlineLvl w:val="1"/>
        <w:rPr>
          <w:rFonts w:ascii="宋体" w:hAnsi="宋体" w:eastAsia="宋体" w:cs="宋体"/>
          <w:color w:val="auto"/>
          <w:szCs w:val="21"/>
          <w:highlight w:val="none"/>
        </w:rPr>
      </w:pPr>
      <w:r>
        <w:rPr>
          <w:rFonts w:hint="eastAsia" w:ascii="宋体" w:hAnsi="宋体" w:eastAsia="宋体" w:cs="宋体"/>
          <w:bCs/>
          <w:color w:val="auto"/>
          <w:sz w:val="24"/>
          <w:highlight w:val="none"/>
        </w:rPr>
        <w:br w:type="page"/>
      </w:r>
      <w:r>
        <w:rPr>
          <w:rFonts w:hint="eastAsia" w:ascii="宋体" w:hAnsi="宋体" w:eastAsia="宋体" w:cs="宋体"/>
          <w:color w:val="auto"/>
          <w:szCs w:val="21"/>
          <w:highlight w:val="none"/>
        </w:rPr>
        <w:t>2.供应商可根据采购文件、图纸及对现场的勘察情况，编制施工组织设计，可参考以下提纲，也可自行编制</w:t>
      </w:r>
    </w:p>
    <w:p w14:paraId="31A28C6E">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施工组织设计编制大纲：</w:t>
      </w:r>
    </w:p>
    <w:p w14:paraId="43F223A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（1）概述</w:t>
      </w:r>
    </w:p>
    <w:p w14:paraId="3B4E0F9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（2）主要施工方法；</w:t>
      </w:r>
    </w:p>
    <w:p w14:paraId="3CB8D27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（3）拟投入的主要物资计划</w:t>
      </w:r>
    </w:p>
    <w:p w14:paraId="19702649">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kern w:val="0"/>
          <w:highlight w:val="none"/>
        </w:rPr>
        <w:t>拟投入的主要施工机械、设备计划</w:t>
      </w:r>
    </w:p>
    <w:p w14:paraId="7E797151">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（5）劳动力安排计划；</w:t>
      </w:r>
    </w:p>
    <w:p w14:paraId="13FD367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（6）确保工程质量的技术组织措施；</w:t>
      </w:r>
    </w:p>
    <w:p w14:paraId="741F982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（7）确保安全生产的技术组织措施；</w:t>
      </w:r>
    </w:p>
    <w:p w14:paraId="7B1CBBA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（8）确保工期的技术组织措施；</w:t>
      </w:r>
    </w:p>
    <w:p w14:paraId="1856D074">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（9）确保文明施工的技术组织措施；</w:t>
      </w:r>
    </w:p>
    <w:p w14:paraId="5587B83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（10）工程施工的重点和难点及保证措施；</w:t>
      </w:r>
    </w:p>
    <w:p w14:paraId="52B24FF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（11）施工总平面布置图；</w:t>
      </w:r>
    </w:p>
    <w:p w14:paraId="1DB3D0D1">
      <w:pPr>
        <w:snapToGrid w:val="0"/>
        <w:spacing w:before="50" w:after="120" w:afterLines="50"/>
        <w:ind w:firstLine="420" w:firstLineChars="200"/>
        <w:jc w:val="left"/>
        <w:rPr>
          <w:rFonts w:ascii="宋体" w:hAnsi="宋体" w:eastAsia="宋体" w:cs="宋体"/>
          <w:color w:val="auto"/>
          <w:szCs w:val="21"/>
          <w:highlight w:val="none"/>
        </w:rPr>
      </w:pPr>
      <w:r>
        <w:rPr>
          <w:rFonts w:hint="eastAsia" w:ascii="宋体" w:hAnsi="宋体" w:eastAsia="宋体" w:cs="宋体"/>
          <w:color w:val="auto"/>
          <w:highlight w:val="none"/>
        </w:rPr>
        <w:t>（12）其他（如有）</w:t>
      </w:r>
    </w:p>
    <w:p w14:paraId="165E99FA">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2.1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645BA33">
      <w:pPr>
        <w:snapToGrid w:val="0"/>
        <w:spacing w:before="50" w:after="120" w:afterLines="50"/>
        <w:jc w:val="left"/>
        <w:rPr>
          <w:rFonts w:ascii="宋体" w:hAnsi="宋体" w:eastAsia="宋体" w:cs="宋体"/>
          <w:color w:val="auto"/>
          <w:szCs w:val="21"/>
          <w:highlight w:val="none"/>
        </w:rPr>
      </w:pPr>
    </w:p>
    <w:p w14:paraId="7C052112">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2.2施工组织设计除采用文字表述外可附下列图表，图表及格式要求附后。</w:t>
      </w:r>
    </w:p>
    <w:p w14:paraId="6BD2BAFA">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附表一  拟投入本工程的主要施工设备表</w:t>
      </w:r>
    </w:p>
    <w:p w14:paraId="0E5C0A60">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附表二  拟配备本工程的试验和检测仪器设备表</w:t>
      </w:r>
    </w:p>
    <w:p w14:paraId="7C06BA98">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附表三  劳动力计划表</w:t>
      </w:r>
    </w:p>
    <w:p w14:paraId="2931627D">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附表四  计划开工、竣工日期和施工进度网络图</w:t>
      </w:r>
    </w:p>
    <w:p w14:paraId="669C2641">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  施工总平面图</w:t>
      </w:r>
    </w:p>
    <w:p w14:paraId="0F748B72">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附表六  临时用地表</w:t>
      </w:r>
    </w:p>
    <w:p w14:paraId="05164340">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附表七  拟分包计划表</w:t>
      </w:r>
    </w:p>
    <w:p w14:paraId="421E8F85">
      <w:pPr>
        <w:spacing w:line="460" w:lineRule="exact"/>
        <w:ind w:firstLine="420" w:firstLineChars="200"/>
        <w:rPr>
          <w:rFonts w:ascii="宋体" w:hAnsi="宋体" w:eastAsia="宋体" w:cs="宋体"/>
          <w:color w:val="auto"/>
          <w:szCs w:val="21"/>
          <w:highlight w:val="none"/>
        </w:rPr>
      </w:pPr>
    </w:p>
    <w:p w14:paraId="2974ADAC">
      <w:pPr>
        <w:rPr>
          <w:rFonts w:ascii="宋体" w:hAnsi="宋体" w:eastAsia="宋体" w:cs="宋体"/>
          <w:color w:val="auto"/>
          <w:szCs w:val="21"/>
          <w:highlight w:val="none"/>
        </w:rPr>
      </w:pPr>
      <w:r>
        <w:rPr>
          <w:rFonts w:hint="eastAsia" w:ascii="宋体" w:hAnsi="宋体" w:eastAsia="宋体" w:cs="宋体"/>
          <w:color w:val="auto"/>
          <w:highlight w:val="none"/>
        </w:rPr>
        <w:t>附表一：拟投入本</w:t>
      </w:r>
      <w:r>
        <w:rPr>
          <w:rFonts w:hint="eastAsia" w:ascii="宋体" w:hAnsi="宋体" w:eastAsia="宋体" w:cs="宋体"/>
          <w:color w:val="auto"/>
          <w:szCs w:val="21"/>
          <w:highlight w:val="none"/>
        </w:rPr>
        <w:t>工程</w:t>
      </w:r>
      <w:r>
        <w:rPr>
          <w:rFonts w:hint="eastAsia" w:ascii="宋体" w:hAnsi="宋体" w:eastAsia="宋体" w:cs="宋体"/>
          <w:color w:val="auto"/>
          <w:highlight w:val="none"/>
        </w:rPr>
        <w:t>的主要施工设备表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DE0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7C37567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6" w:type="dxa"/>
            <w:vAlign w:val="center"/>
          </w:tcPr>
          <w:p w14:paraId="71FD92F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51" w:type="dxa"/>
            <w:vAlign w:val="center"/>
          </w:tcPr>
          <w:p w14:paraId="27FBBEF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型号</w:t>
            </w:r>
          </w:p>
          <w:p w14:paraId="7FD9A3E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708" w:type="dxa"/>
            <w:vAlign w:val="center"/>
          </w:tcPr>
          <w:p w14:paraId="5B70D7A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09" w:type="dxa"/>
            <w:vAlign w:val="center"/>
          </w:tcPr>
          <w:p w14:paraId="130D6D7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国别</w:t>
            </w:r>
          </w:p>
          <w:p w14:paraId="052C711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51" w:type="dxa"/>
            <w:vAlign w:val="center"/>
          </w:tcPr>
          <w:p w14:paraId="14FBBF4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w:t>
            </w:r>
          </w:p>
          <w:p w14:paraId="18E4B4B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134" w:type="dxa"/>
            <w:vAlign w:val="center"/>
          </w:tcPr>
          <w:p w14:paraId="18F4DE3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04FDBDC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（kW）</w:t>
            </w:r>
          </w:p>
        </w:tc>
        <w:tc>
          <w:tcPr>
            <w:tcW w:w="992" w:type="dxa"/>
            <w:vAlign w:val="center"/>
          </w:tcPr>
          <w:p w14:paraId="156513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生产</w:t>
            </w:r>
          </w:p>
          <w:p w14:paraId="619A36D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1134" w:type="dxa"/>
            <w:vAlign w:val="center"/>
          </w:tcPr>
          <w:p w14:paraId="7437B07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用于施</w:t>
            </w:r>
          </w:p>
          <w:p w14:paraId="177AEDC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工部位</w:t>
            </w:r>
          </w:p>
        </w:tc>
        <w:tc>
          <w:tcPr>
            <w:tcW w:w="992" w:type="dxa"/>
            <w:vAlign w:val="center"/>
          </w:tcPr>
          <w:p w14:paraId="6200A5A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BC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CD1B47E">
            <w:pPr>
              <w:spacing w:line="360" w:lineRule="auto"/>
              <w:rPr>
                <w:rFonts w:ascii="宋体" w:hAnsi="宋体" w:eastAsia="宋体" w:cs="宋体"/>
                <w:color w:val="auto"/>
                <w:szCs w:val="21"/>
                <w:highlight w:val="none"/>
              </w:rPr>
            </w:pPr>
          </w:p>
        </w:tc>
        <w:tc>
          <w:tcPr>
            <w:tcW w:w="1226" w:type="dxa"/>
          </w:tcPr>
          <w:p w14:paraId="0406101B">
            <w:pPr>
              <w:spacing w:line="360" w:lineRule="auto"/>
              <w:ind w:firstLine="420" w:firstLineChars="200"/>
              <w:rPr>
                <w:rFonts w:ascii="宋体" w:hAnsi="宋体" w:eastAsia="宋体" w:cs="宋体"/>
                <w:color w:val="auto"/>
                <w:szCs w:val="21"/>
                <w:highlight w:val="none"/>
              </w:rPr>
            </w:pPr>
          </w:p>
        </w:tc>
        <w:tc>
          <w:tcPr>
            <w:tcW w:w="851" w:type="dxa"/>
          </w:tcPr>
          <w:p w14:paraId="77A49679">
            <w:pPr>
              <w:spacing w:line="360" w:lineRule="auto"/>
              <w:rPr>
                <w:rFonts w:ascii="宋体" w:hAnsi="宋体" w:eastAsia="宋体" w:cs="宋体"/>
                <w:color w:val="auto"/>
                <w:szCs w:val="21"/>
                <w:highlight w:val="none"/>
              </w:rPr>
            </w:pPr>
          </w:p>
        </w:tc>
        <w:tc>
          <w:tcPr>
            <w:tcW w:w="708" w:type="dxa"/>
          </w:tcPr>
          <w:p w14:paraId="002DA8C8">
            <w:pPr>
              <w:spacing w:line="360" w:lineRule="auto"/>
              <w:rPr>
                <w:rFonts w:ascii="宋体" w:hAnsi="宋体" w:eastAsia="宋体" w:cs="宋体"/>
                <w:color w:val="auto"/>
                <w:szCs w:val="21"/>
                <w:highlight w:val="none"/>
              </w:rPr>
            </w:pPr>
          </w:p>
        </w:tc>
        <w:tc>
          <w:tcPr>
            <w:tcW w:w="709" w:type="dxa"/>
          </w:tcPr>
          <w:p w14:paraId="72B0A7D7">
            <w:pPr>
              <w:spacing w:line="360" w:lineRule="auto"/>
              <w:rPr>
                <w:rFonts w:ascii="宋体" w:hAnsi="宋体" w:eastAsia="宋体" w:cs="宋体"/>
                <w:color w:val="auto"/>
                <w:szCs w:val="21"/>
                <w:highlight w:val="none"/>
              </w:rPr>
            </w:pPr>
          </w:p>
        </w:tc>
        <w:tc>
          <w:tcPr>
            <w:tcW w:w="851" w:type="dxa"/>
          </w:tcPr>
          <w:p w14:paraId="7E23E33B">
            <w:pPr>
              <w:spacing w:line="360" w:lineRule="auto"/>
              <w:rPr>
                <w:rFonts w:ascii="宋体" w:hAnsi="宋体" w:eastAsia="宋体" w:cs="宋体"/>
                <w:color w:val="auto"/>
                <w:szCs w:val="21"/>
                <w:highlight w:val="none"/>
              </w:rPr>
            </w:pPr>
          </w:p>
        </w:tc>
        <w:tc>
          <w:tcPr>
            <w:tcW w:w="1134" w:type="dxa"/>
          </w:tcPr>
          <w:p w14:paraId="41D14DE3">
            <w:pPr>
              <w:spacing w:line="360" w:lineRule="auto"/>
              <w:rPr>
                <w:rFonts w:ascii="宋体" w:hAnsi="宋体" w:eastAsia="宋体" w:cs="宋体"/>
                <w:color w:val="auto"/>
                <w:szCs w:val="21"/>
                <w:highlight w:val="none"/>
              </w:rPr>
            </w:pPr>
          </w:p>
        </w:tc>
        <w:tc>
          <w:tcPr>
            <w:tcW w:w="992" w:type="dxa"/>
          </w:tcPr>
          <w:p w14:paraId="15A5D642">
            <w:pPr>
              <w:spacing w:line="360" w:lineRule="auto"/>
              <w:rPr>
                <w:rFonts w:ascii="宋体" w:hAnsi="宋体" w:eastAsia="宋体" w:cs="宋体"/>
                <w:color w:val="auto"/>
                <w:szCs w:val="21"/>
                <w:highlight w:val="none"/>
              </w:rPr>
            </w:pPr>
          </w:p>
        </w:tc>
        <w:tc>
          <w:tcPr>
            <w:tcW w:w="1134" w:type="dxa"/>
          </w:tcPr>
          <w:p w14:paraId="16195ED2">
            <w:pPr>
              <w:spacing w:line="360" w:lineRule="auto"/>
              <w:rPr>
                <w:rFonts w:ascii="宋体" w:hAnsi="宋体" w:eastAsia="宋体" w:cs="宋体"/>
                <w:color w:val="auto"/>
                <w:szCs w:val="21"/>
                <w:highlight w:val="none"/>
              </w:rPr>
            </w:pPr>
          </w:p>
        </w:tc>
        <w:tc>
          <w:tcPr>
            <w:tcW w:w="992" w:type="dxa"/>
          </w:tcPr>
          <w:p w14:paraId="665764A5">
            <w:pPr>
              <w:spacing w:line="360" w:lineRule="auto"/>
              <w:rPr>
                <w:rFonts w:ascii="宋体" w:hAnsi="宋体" w:eastAsia="宋体" w:cs="宋体"/>
                <w:color w:val="auto"/>
                <w:szCs w:val="21"/>
                <w:highlight w:val="none"/>
              </w:rPr>
            </w:pPr>
          </w:p>
        </w:tc>
      </w:tr>
      <w:tr w14:paraId="2BF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A4DB037">
            <w:pPr>
              <w:spacing w:line="360" w:lineRule="auto"/>
              <w:rPr>
                <w:rFonts w:ascii="宋体" w:hAnsi="宋体" w:eastAsia="宋体" w:cs="宋体"/>
                <w:color w:val="auto"/>
                <w:szCs w:val="21"/>
                <w:highlight w:val="none"/>
              </w:rPr>
            </w:pPr>
          </w:p>
        </w:tc>
        <w:tc>
          <w:tcPr>
            <w:tcW w:w="1226" w:type="dxa"/>
          </w:tcPr>
          <w:p w14:paraId="616DE786">
            <w:pPr>
              <w:spacing w:line="360" w:lineRule="auto"/>
              <w:rPr>
                <w:rFonts w:ascii="宋体" w:hAnsi="宋体" w:eastAsia="宋体" w:cs="宋体"/>
                <w:color w:val="auto"/>
                <w:szCs w:val="21"/>
                <w:highlight w:val="none"/>
              </w:rPr>
            </w:pPr>
          </w:p>
        </w:tc>
        <w:tc>
          <w:tcPr>
            <w:tcW w:w="851" w:type="dxa"/>
          </w:tcPr>
          <w:p w14:paraId="5057ECB3">
            <w:pPr>
              <w:spacing w:line="360" w:lineRule="auto"/>
              <w:rPr>
                <w:rFonts w:ascii="宋体" w:hAnsi="宋体" w:eastAsia="宋体" w:cs="宋体"/>
                <w:color w:val="auto"/>
                <w:szCs w:val="21"/>
                <w:highlight w:val="none"/>
              </w:rPr>
            </w:pPr>
          </w:p>
        </w:tc>
        <w:tc>
          <w:tcPr>
            <w:tcW w:w="708" w:type="dxa"/>
          </w:tcPr>
          <w:p w14:paraId="582073E1">
            <w:pPr>
              <w:spacing w:line="360" w:lineRule="auto"/>
              <w:rPr>
                <w:rFonts w:ascii="宋体" w:hAnsi="宋体" w:eastAsia="宋体" w:cs="宋体"/>
                <w:color w:val="auto"/>
                <w:szCs w:val="21"/>
                <w:highlight w:val="none"/>
              </w:rPr>
            </w:pPr>
          </w:p>
        </w:tc>
        <w:tc>
          <w:tcPr>
            <w:tcW w:w="709" w:type="dxa"/>
          </w:tcPr>
          <w:p w14:paraId="700A6B4F">
            <w:pPr>
              <w:spacing w:line="360" w:lineRule="auto"/>
              <w:rPr>
                <w:rFonts w:ascii="宋体" w:hAnsi="宋体" w:eastAsia="宋体" w:cs="宋体"/>
                <w:color w:val="auto"/>
                <w:szCs w:val="21"/>
                <w:highlight w:val="none"/>
              </w:rPr>
            </w:pPr>
          </w:p>
        </w:tc>
        <w:tc>
          <w:tcPr>
            <w:tcW w:w="851" w:type="dxa"/>
          </w:tcPr>
          <w:p w14:paraId="5AC3971B">
            <w:pPr>
              <w:spacing w:line="360" w:lineRule="auto"/>
              <w:rPr>
                <w:rFonts w:ascii="宋体" w:hAnsi="宋体" w:eastAsia="宋体" w:cs="宋体"/>
                <w:color w:val="auto"/>
                <w:szCs w:val="21"/>
                <w:highlight w:val="none"/>
              </w:rPr>
            </w:pPr>
          </w:p>
        </w:tc>
        <w:tc>
          <w:tcPr>
            <w:tcW w:w="1134" w:type="dxa"/>
          </w:tcPr>
          <w:p w14:paraId="1C88C5BF">
            <w:pPr>
              <w:spacing w:line="360" w:lineRule="auto"/>
              <w:rPr>
                <w:rFonts w:ascii="宋体" w:hAnsi="宋体" w:eastAsia="宋体" w:cs="宋体"/>
                <w:color w:val="auto"/>
                <w:szCs w:val="21"/>
                <w:highlight w:val="none"/>
              </w:rPr>
            </w:pPr>
          </w:p>
        </w:tc>
        <w:tc>
          <w:tcPr>
            <w:tcW w:w="992" w:type="dxa"/>
          </w:tcPr>
          <w:p w14:paraId="4616E92F">
            <w:pPr>
              <w:spacing w:line="360" w:lineRule="auto"/>
              <w:rPr>
                <w:rFonts w:ascii="宋体" w:hAnsi="宋体" w:eastAsia="宋体" w:cs="宋体"/>
                <w:color w:val="auto"/>
                <w:szCs w:val="21"/>
                <w:highlight w:val="none"/>
              </w:rPr>
            </w:pPr>
          </w:p>
        </w:tc>
        <w:tc>
          <w:tcPr>
            <w:tcW w:w="1134" w:type="dxa"/>
          </w:tcPr>
          <w:p w14:paraId="77FC7DC6">
            <w:pPr>
              <w:spacing w:line="360" w:lineRule="auto"/>
              <w:rPr>
                <w:rFonts w:ascii="宋体" w:hAnsi="宋体" w:eastAsia="宋体" w:cs="宋体"/>
                <w:color w:val="auto"/>
                <w:szCs w:val="21"/>
                <w:highlight w:val="none"/>
              </w:rPr>
            </w:pPr>
          </w:p>
        </w:tc>
        <w:tc>
          <w:tcPr>
            <w:tcW w:w="992" w:type="dxa"/>
          </w:tcPr>
          <w:p w14:paraId="2C71FCA2">
            <w:pPr>
              <w:spacing w:line="360" w:lineRule="auto"/>
              <w:rPr>
                <w:rFonts w:ascii="宋体" w:hAnsi="宋体" w:eastAsia="宋体" w:cs="宋体"/>
                <w:color w:val="auto"/>
                <w:szCs w:val="21"/>
                <w:highlight w:val="none"/>
              </w:rPr>
            </w:pPr>
          </w:p>
        </w:tc>
      </w:tr>
      <w:tr w14:paraId="1452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76DFC53">
            <w:pPr>
              <w:spacing w:line="360" w:lineRule="auto"/>
              <w:rPr>
                <w:rFonts w:ascii="宋体" w:hAnsi="宋体" w:eastAsia="宋体" w:cs="宋体"/>
                <w:color w:val="auto"/>
                <w:szCs w:val="21"/>
                <w:highlight w:val="none"/>
              </w:rPr>
            </w:pPr>
          </w:p>
        </w:tc>
        <w:tc>
          <w:tcPr>
            <w:tcW w:w="1226" w:type="dxa"/>
          </w:tcPr>
          <w:p w14:paraId="2175C2F6">
            <w:pPr>
              <w:spacing w:line="360" w:lineRule="auto"/>
              <w:rPr>
                <w:rFonts w:ascii="宋体" w:hAnsi="宋体" w:eastAsia="宋体" w:cs="宋体"/>
                <w:color w:val="auto"/>
                <w:szCs w:val="21"/>
                <w:highlight w:val="none"/>
              </w:rPr>
            </w:pPr>
          </w:p>
        </w:tc>
        <w:tc>
          <w:tcPr>
            <w:tcW w:w="851" w:type="dxa"/>
          </w:tcPr>
          <w:p w14:paraId="3DC523CB">
            <w:pPr>
              <w:spacing w:line="360" w:lineRule="auto"/>
              <w:rPr>
                <w:rFonts w:ascii="宋体" w:hAnsi="宋体" w:eastAsia="宋体" w:cs="宋体"/>
                <w:color w:val="auto"/>
                <w:szCs w:val="21"/>
                <w:highlight w:val="none"/>
              </w:rPr>
            </w:pPr>
          </w:p>
        </w:tc>
        <w:tc>
          <w:tcPr>
            <w:tcW w:w="708" w:type="dxa"/>
          </w:tcPr>
          <w:p w14:paraId="4EFB0713">
            <w:pPr>
              <w:spacing w:line="360" w:lineRule="auto"/>
              <w:rPr>
                <w:rFonts w:ascii="宋体" w:hAnsi="宋体" w:eastAsia="宋体" w:cs="宋体"/>
                <w:color w:val="auto"/>
                <w:szCs w:val="21"/>
                <w:highlight w:val="none"/>
              </w:rPr>
            </w:pPr>
          </w:p>
        </w:tc>
        <w:tc>
          <w:tcPr>
            <w:tcW w:w="709" w:type="dxa"/>
          </w:tcPr>
          <w:p w14:paraId="0F4B4610">
            <w:pPr>
              <w:spacing w:line="360" w:lineRule="auto"/>
              <w:rPr>
                <w:rFonts w:ascii="宋体" w:hAnsi="宋体" w:eastAsia="宋体" w:cs="宋体"/>
                <w:color w:val="auto"/>
                <w:szCs w:val="21"/>
                <w:highlight w:val="none"/>
              </w:rPr>
            </w:pPr>
          </w:p>
        </w:tc>
        <w:tc>
          <w:tcPr>
            <w:tcW w:w="851" w:type="dxa"/>
          </w:tcPr>
          <w:p w14:paraId="55CB8557">
            <w:pPr>
              <w:spacing w:line="360" w:lineRule="auto"/>
              <w:rPr>
                <w:rFonts w:ascii="宋体" w:hAnsi="宋体" w:eastAsia="宋体" w:cs="宋体"/>
                <w:color w:val="auto"/>
                <w:szCs w:val="21"/>
                <w:highlight w:val="none"/>
              </w:rPr>
            </w:pPr>
          </w:p>
        </w:tc>
        <w:tc>
          <w:tcPr>
            <w:tcW w:w="1134" w:type="dxa"/>
          </w:tcPr>
          <w:p w14:paraId="7BC736EA">
            <w:pPr>
              <w:spacing w:line="360" w:lineRule="auto"/>
              <w:rPr>
                <w:rFonts w:ascii="宋体" w:hAnsi="宋体" w:eastAsia="宋体" w:cs="宋体"/>
                <w:color w:val="auto"/>
                <w:szCs w:val="21"/>
                <w:highlight w:val="none"/>
              </w:rPr>
            </w:pPr>
          </w:p>
        </w:tc>
        <w:tc>
          <w:tcPr>
            <w:tcW w:w="992" w:type="dxa"/>
          </w:tcPr>
          <w:p w14:paraId="2492A6D2">
            <w:pPr>
              <w:spacing w:line="360" w:lineRule="auto"/>
              <w:rPr>
                <w:rFonts w:ascii="宋体" w:hAnsi="宋体" w:eastAsia="宋体" w:cs="宋体"/>
                <w:color w:val="auto"/>
                <w:szCs w:val="21"/>
                <w:highlight w:val="none"/>
              </w:rPr>
            </w:pPr>
          </w:p>
        </w:tc>
        <w:tc>
          <w:tcPr>
            <w:tcW w:w="1134" w:type="dxa"/>
          </w:tcPr>
          <w:p w14:paraId="29168ADA">
            <w:pPr>
              <w:spacing w:line="360" w:lineRule="auto"/>
              <w:rPr>
                <w:rFonts w:ascii="宋体" w:hAnsi="宋体" w:eastAsia="宋体" w:cs="宋体"/>
                <w:color w:val="auto"/>
                <w:szCs w:val="21"/>
                <w:highlight w:val="none"/>
              </w:rPr>
            </w:pPr>
          </w:p>
        </w:tc>
        <w:tc>
          <w:tcPr>
            <w:tcW w:w="992" w:type="dxa"/>
          </w:tcPr>
          <w:p w14:paraId="60D98863">
            <w:pPr>
              <w:spacing w:line="360" w:lineRule="auto"/>
              <w:rPr>
                <w:rFonts w:ascii="宋体" w:hAnsi="宋体" w:eastAsia="宋体" w:cs="宋体"/>
                <w:color w:val="auto"/>
                <w:szCs w:val="21"/>
                <w:highlight w:val="none"/>
              </w:rPr>
            </w:pPr>
          </w:p>
        </w:tc>
      </w:tr>
      <w:tr w14:paraId="1F41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F422AA9">
            <w:pPr>
              <w:spacing w:line="360" w:lineRule="auto"/>
              <w:rPr>
                <w:rFonts w:ascii="宋体" w:hAnsi="宋体" w:eastAsia="宋体" w:cs="宋体"/>
                <w:color w:val="auto"/>
                <w:szCs w:val="21"/>
                <w:highlight w:val="none"/>
              </w:rPr>
            </w:pPr>
          </w:p>
        </w:tc>
        <w:tc>
          <w:tcPr>
            <w:tcW w:w="1226" w:type="dxa"/>
          </w:tcPr>
          <w:p w14:paraId="186B63D9">
            <w:pPr>
              <w:spacing w:line="360" w:lineRule="auto"/>
              <w:rPr>
                <w:rFonts w:ascii="宋体" w:hAnsi="宋体" w:eastAsia="宋体" w:cs="宋体"/>
                <w:color w:val="auto"/>
                <w:szCs w:val="21"/>
                <w:highlight w:val="none"/>
              </w:rPr>
            </w:pPr>
          </w:p>
        </w:tc>
        <w:tc>
          <w:tcPr>
            <w:tcW w:w="851" w:type="dxa"/>
          </w:tcPr>
          <w:p w14:paraId="6AE23620">
            <w:pPr>
              <w:spacing w:line="360" w:lineRule="auto"/>
              <w:rPr>
                <w:rFonts w:ascii="宋体" w:hAnsi="宋体" w:eastAsia="宋体" w:cs="宋体"/>
                <w:color w:val="auto"/>
                <w:szCs w:val="21"/>
                <w:highlight w:val="none"/>
              </w:rPr>
            </w:pPr>
          </w:p>
        </w:tc>
        <w:tc>
          <w:tcPr>
            <w:tcW w:w="708" w:type="dxa"/>
          </w:tcPr>
          <w:p w14:paraId="03434F9B">
            <w:pPr>
              <w:spacing w:line="360" w:lineRule="auto"/>
              <w:rPr>
                <w:rFonts w:ascii="宋体" w:hAnsi="宋体" w:eastAsia="宋体" w:cs="宋体"/>
                <w:color w:val="auto"/>
                <w:szCs w:val="21"/>
                <w:highlight w:val="none"/>
              </w:rPr>
            </w:pPr>
          </w:p>
        </w:tc>
        <w:tc>
          <w:tcPr>
            <w:tcW w:w="709" w:type="dxa"/>
          </w:tcPr>
          <w:p w14:paraId="4851A907">
            <w:pPr>
              <w:spacing w:line="360" w:lineRule="auto"/>
              <w:rPr>
                <w:rFonts w:ascii="宋体" w:hAnsi="宋体" w:eastAsia="宋体" w:cs="宋体"/>
                <w:color w:val="auto"/>
                <w:szCs w:val="21"/>
                <w:highlight w:val="none"/>
              </w:rPr>
            </w:pPr>
          </w:p>
        </w:tc>
        <w:tc>
          <w:tcPr>
            <w:tcW w:w="851" w:type="dxa"/>
          </w:tcPr>
          <w:p w14:paraId="7FCE4277">
            <w:pPr>
              <w:spacing w:line="360" w:lineRule="auto"/>
              <w:rPr>
                <w:rFonts w:ascii="宋体" w:hAnsi="宋体" w:eastAsia="宋体" w:cs="宋体"/>
                <w:color w:val="auto"/>
                <w:szCs w:val="21"/>
                <w:highlight w:val="none"/>
              </w:rPr>
            </w:pPr>
          </w:p>
        </w:tc>
        <w:tc>
          <w:tcPr>
            <w:tcW w:w="1134" w:type="dxa"/>
          </w:tcPr>
          <w:p w14:paraId="26D8C6AB">
            <w:pPr>
              <w:spacing w:line="360" w:lineRule="auto"/>
              <w:rPr>
                <w:rFonts w:ascii="宋体" w:hAnsi="宋体" w:eastAsia="宋体" w:cs="宋体"/>
                <w:color w:val="auto"/>
                <w:szCs w:val="21"/>
                <w:highlight w:val="none"/>
              </w:rPr>
            </w:pPr>
          </w:p>
        </w:tc>
        <w:tc>
          <w:tcPr>
            <w:tcW w:w="992" w:type="dxa"/>
          </w:tcPr>
          <w:p w14:paraId="654A5646">
            <w:pPr>
              <w:spacing w:line="360" w:lineRule="auto"/>
              <w:rPr>
                <w:rFonts w:ascii="宋体" w:hAnsi="宋体" w:eastAsia="宋体" w:cs="宋体"/>
                <w:color w:val="auto"/>
                <w:szCs w:val="21"/>
                <w:highlight w:val="none"/>
              </w:rPr>
            </w:pPr>
          </w:p>
        </w:tc>
        <w:tc>
          <w:tcPr>
            <w:tcW w:w="1134" w:type="dxa"/>
          </w:tcPr>
          <w:p w14:paraId="6FDCB88F">
            <w:pPr>
              <w:spacing w:line="360" w:lineRule="auto"/>
              <w:rPr>
                <w:rFonts w:ascii="宋体" w:hAnsi="宋体" w:eastAsia="宋体" w:cs="宋体"/>
                <w:color w:val="auto"/>
                <w:szCs w:val="21"/>
                <w:highlight w:val="none"/>
              </w:rPr>
            </w:pPr>
          </w:p>
        </w:tc>
        <w:tc>
          <w:tcPr>
            <w:tcW w:w="992" w:type="dxa"/>
          </w:tcPr>
          <w:p w14:paraId="01A12CD4">
            <w:pPr>
              <w:spacing w:line="360" w:lineRule="auto"/>
              <w:rPr>
                <w:rFonts w:ascii="宋体" w:hAnsi="宋体" w:eastAsia="宋体" w:cs="宋体"/>
                <w:color w:val="auto"/>
                <w:szCs w:val="21"/>
                <w:highlight w:val="none"/>
              </w:rPr>
            </w:pPr>
          </w:p>
        </w:tc>
      </w:tr>
      <w:tr w14:paraId="273D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F637D53">
            <w:pPr>
              <w:spacing w:line="360" w:lineRule="auto"/>
              <w:rPr>
                <w:rFonts w:ascii="宋体" w:hAnsi="宋体" w:eastAsia="宋体" w:cs="宋体"/>
                <w:color w:val="auto"/>
                <w:szCs w:val="21"/>
                <w:highlight w:val="none"/>
              </w:rPr>
            </w:pPr>
          </w:p>
        </w:tc>
        <w:tc>
          <w:tcPr>
            <w:tcW w:w="1226" w:type="dxa"/>
          </w:tcPr>
          <w:p w14:paraId="16CBA339">
            <w:pPr>
              <w:spacing w:line="360" w:lineRule="auto"/>
              <w:rPr>
                <w:rFonts w:ascii="宋体" w:hAnsi="宋体" w:eastAsia="宋体" w:cs="宋体"/>
                <w:color w:val="auto"/>
                <w:szCs w:val="21"/>
                <w:highlight w:val="none"/>
              </w:rPr>
            </w:pPr>
          </w:p>
        </w:tc>
        <w:tc>
          <w:tcPr>
            <w:tcW w:w="851" w:type="dxa"/>
          </w:tcPr>
          <w:p w14:paraId="1D41772C">
            <w:pPr>
              <w:spacing w:line="360" w:lineRule="auto"/>
              <w:rPr>
                <w:rFonts w:ascii="宋体" w:hAnsi="宋体" w:eastAsia="宋体" w:cs="宋体"/>
                <w:color w:val="auto"/>
                <w:szCs w:val="21"/>
                <w:highlight w:val="none"/>
              </w:rPr>
            </w:pPr>
          </w:p>
        </w:tc>
        <w:tc>
          <w:tcPr>
            <w:tcW w:w="708" w:type="dxa"/>
          </w:tcPr>
          <w:p w14:paraId="73858A51">
            <w:pPr>
              <w:spacing w:line="360" w:lineRule="auto"/>
              <w:rPr>
                <w:rFonts w:ascii="宋体" w:hAnsi="宋体" w:eastAsia="宋体" w:cs="宋体"/>
                <w:color w:val="auto"/>
                <w:szCs w:val="21"/>
                <w:highlight w:val="none"/>
              </w:rPr>
            </w:pPr>
          </w:p>
        </w:tc>
        <w:tc>
          <w:tcPr>
            <w:tcW w:w="709" w:type="dxa"/>
          </w:tcPr>
          <w:p w14:paraId="651837E0">
            <w:pPr>
              <w:spacing w:line="360" w:lineRule="auto"/>
              <w:rPr>
                <w:rFonts w:ascii="宋体" w:hAnsi="宋体" w:eastAsia="宋体" w:cs="宋体"/>
                <w:color w:val="auto"/>
                <w:szCs w:val="21"/>
                <w:highlight w:val="none"/>
              </w:rPr>
            </w:pPr>
          </w:p>
        </w:tc>
        <w:tc>
          <w:tcPr>
            <w:tcW w:w="851" w:type="dxa"/>
          </w:tcPr>
          <w:p w14:paraId="6D248AED">
            <w:pPr>
              <w:spacing w:line="360" w:lineRule="auto"/>
              <w:rPr>
                <w:rFonts w:ascii="宋体" w:hAnsi="宋体" w:eastAsia="宋体" w:cs="宋体"/>
                <w:color w:val="auto"/>
                <w:szCs w:val="21"/>
                <w:highlight w:val="none"/>
              </w:rPr>
            </w:pPr>
          </w:p>
        </w:tc>
        <w:tc>
          <w:tcPr>
            <w:tcW w:w="1134" w:type="dxa"/>
          </w:tcPr>
          <w:p w14:paraId="2DF29E49">
            <w:pPr>
              <w:spacing w:line="360" w:lineRule="auto"/>
              <w:rPr>
                <w:rFonts w:ascii="宋体" w:hAnsi="宋体" w:eastAsia="宋体" w:cs="宋体"/>
                <w:color w:val="auto"/>
                <w:szCs w:val="21"/>
                <w:highlight w:val="none"/>
              </w:rPr>
            </w:pPr>
          </w:p>
        </w:tc>
        <w:tc>
          <w:tcPr>
            <w:tcW w:w="992" w:type="dxa"/>
          </w:tcPr>
          <w:p w14:paraId="4FAF177B">
            <w:pPr>
              <w:spacing w:line="360" w:lineRule="auto"/>
              <w:rPr>
                <w:rFonts w:ascii="宋体" w:hAnsi="宋体" w:eastAsia="宋体" w:cs="宋体"/>
                <w:color w:val="auto"/>
                <w:szCs w:val="21"/>
                <w:highlight w:val="none"/>
              </w:rPr>
            </w:pPr>
          </w:p>
        </w:tc>
        <w:tc>
          <w:tcPr>
            <w:tcW w:w="1134" w:type="dxa"/>
          </w:tcPr>
          <w:p w14:paraId="0B24B609">
            <w:pPr>
              <w:spacing w:line="360" w:lineRule="auto"/>
              <w:rPr>
                <w:rFonts w:ascii="宋体" w:hAnsi="宋体" w:eastAsia="宋体" w:cs="宋体"/>
                <w:color w:val="auto"/>
                <w:szCs w:val="21"/>
                <w:highlight w:val="none"/>
              </w:rPr>
            </w:pPr>
          </w:p>
        </w:tc>
        <w:tc>
          <w:tcPr>
            <w:tcW w:w="992" w:type="dxa"/>
          </w:tcPr>
          <w:p w14:paraId="1A681D69">
            <w:pPr>
              <w:spacing w:line="360" w:lineRule="auto"/>
              <w:rPr>
                <w:rFonts w:ascii="宋体" w:hAnsi="宋体" w:eastAsia="宋体" w:cs="宋体"/>
                <w:color w:val="auto"/>
                <w:szCs w:val="21"/>
                <w:highlight w:val="none"/>
              </w:rPr>
            </w:pPr>
          </w:p>
        </w:tc>
      </w:tr>
    </w:tbl>
    <w:p w14:paraId="6BB87F4C">
      <w:pPr>
        <w:rPr>
          <w:rFonts w:ascii="宋体" w:hAnsi="宋体" w:eastAsia="宋体" w:cs="宋体"/>
          <w:color w:val="auto"/>
          <w:highlight w:val="none"/>
        </w:rPr>
      </w:pPr>
    </w:p>
    <w:p w14:paraId="1FF8853E">
      <w:pPr>
        <w:rPr>
          <w:rFonts w:ascii="宋体" w:hAnsi="宋体" w:eastAsia="宋体" w:cs="宋体"/>
          <w:color w:val="auto"/>
          <w:highlight w:val="none"/>
        </w:rPr>
      </w:pPr>
    </w:p>
    <w:p w14:paraId="1C1C4E1A">
      <w:pPr>
        <w:rPr>
          <w:rFonts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2F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D063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6" w:type="dxa"/>
            <w:vAlign w:val="center"/>
          </w:tcPr>
          <w:p w14:paraId="14149D3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仪器设备名称</w:t>
            </w:r>
          </w:p>
        </w:tc>
        <w:tc>
          <w:tcPr>
            <w:tcW w:w="851" w:type="dxa"/>
            <w:vAlign w:val="center"/>
          </w:tcPr>
          <w:p w14:paraId="75DF042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型号</w:t>
            </w:r>
          </w:p>
          <w:p w14:paraId="07AFB54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708" w:type="dxa"/>
            <w:vAlign w:val="center"/>
          </w:tcPr>
          <w:p w14:paraId="7AC9F53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09" w:type="dxa"/>
            <w:vAlign w:val="center"/>
          </w:tcPr>
          <w:p w14:paraId="30D09D4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国别</w:t>
            </w:r>
          </w:p>
          <w:p w14:paraId="4E2DF75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134" w:type="dxa"/>
            <w:vAlign w:val="center"/>
          </w:tcPr>
          <w:p w14:paraId="5477BDC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276" w:type="dxa"/>
            <w:vAlign w:val="center"/>
          </w:tcPr>
          <w:p w14:paraId="10B8FD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23D3691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1134" w:type="dxa"/>
            <w:vAlign w:val="center"/>
          </w:tcPr>
          <w:p w14:paraId="0072DD7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559" w:type="dxa"/>
            <w:vAlign w:val="center"/>
          </w:tcPr>
          <w:p w14:paraId="51A5DB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99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539BD2F">
            <w:pPr>
              <w:spacing w:line="360" w:lineRule="auto"/>
              <w:ind w:firstLine="420" w:firstLineChars="200"/>
              <w:rPr>
                <w:rFonts w:ascii="宋体" w:hAnsi="宋体" w:eastAsia="宋体" w:cs="宋体"/>
                <w:color w:val="auto"/>
                <w:szCs w:val="21"/>
                <w:highlight w:val="none"/>
              </w:rPr>
            </w:pPr>
          </w:p>
        </w:tc>
        <w:tc>
          <w:tcPr>
            <w:tcW w:w="1226" w:type="dxa"/>
            <w:vAlign w:val="center"/>
          </w:tcPr>
          <w:p w14:paraId="531B9F12">
            <w:pPr>
              <w:spacing w:line="360" w:lineRule="auto"/>
              <w:ind w:firstLine="420" w:firstLineChars="200"/>
              <w:rPr>
                <w:rFonts w:ascii="宋体" w:hAnsi="宋体" w:eastAsia="宋体" w:cs="宋体"/>
                <w:color w:val="auto"/>
                <w:szCs w:val="21"/>
                <w:highlight w:val="none"/>
              </w:rPr>
            </w:pPr>
          </w:p>
        </w:tc>
        <w:tc>
          <w:tcPr>
            <w:tcW w:w="851" w:type="dxa"/>
            <w:vAlign w:val="center"/>
          </w:tcPr>
          <w:p w14:paraId="65B25E10">
            <w:pPr>
              <w:spacing w:line="360" w:lineRule="auto"/>
              <w:ind w:firstLine="420" w:firstLineChars="200"/>
              <w:rPr>
                <w:rFonts w:ascii="宋体" w:hAnsi="宋体" w:eastAsia="宋体" w:cs="宋体"/>
                <w:color w:val="auto"/>
                <w:szCs w:val="21"/>
                <w:highlight w:val="none"/>
              </w:rPr>
            </w:pPr>
          </w:p>
        </w:tc>
        <w:tc>
          <w:tcPr>
            <w:tcW w:w="708" w:type="dxa"/>
            <w:vAlign w:val="center"/>
          </w:tcPr>
          <w:p w14:paraId="06CF7491">
            <w:pPr>
              <w:spacing w:line="360" w:lineRule="auto"/>
              <w:ind w:firstLine="420" w:firstLineChars="200"/>
              <w:rPr>
                <w:rFonts w:ascii="宋体" w:hAnsi="宋体" w:eastAsia="宋体" w:cs="宋体"/>
                <w:color w:val="auto"/>
                <w:szCs w:val="21"/>
                <w:highlight w:val="none"/>
              </w:rPr>
            </w:pPr>
          </w:p>
        </w:tc>
        <w:tc>
          <w:tcPr>
            <w:tcW w:w="709" w:type="dxa"/>
            <w:vAlign w:val="center"/>
          </w:tcPr>
          <w:p w14:paraId="5FB78F9A">
            <w:pPr>
              <w:spacing w:line="360" w:lineRule="auto"/>
              <w:ind w:firstLine="420" w:firstLineChars="200"/>
              <w:rPr>
                <w:rFonts w:ascii="宋体" w:hAnsi="宋体" w:eastAsia="宋体" w:cs="宋体"/>
                <w:color w:val="auto"/>
                <w:szCs w:val="21"/>
                <w:highlight w:val="none"/>
              </w:rPr>
            </w:pPr>
          </w:p>
        </w:tc>
        <w:tc>
          <w:tcPr>
            <w:tcW w:w="1134" w:type="dxa"/>
            <w:vAlign w:val="center"/>
          </w:tcPr>
          <w:p w14:paraId="200CF83D">
            <w:pPr>
              <w:spacing w:line="360" w:lineRule="auto"/>
              <w:ind w:firstLine="420" w:firstLineChars="200"/>
              <w:rPr>
                <w:rFonts w:ascii="宋体" w:hAnsi="宋体" w:eastAsia="宋体" w:cs="宋体"/>
                <w:color w:val="auto"/>
                <w:szCs w:val="21"/>
                <w:highlight w:val="none"/>
              </w:rPr>
            </w:pPr>
          </w:p>
        </w:tc>
        <w:tc>
          <w:tcPr>
            <w:tcW w:w="1276" w:type="dxa"/>
            <w:vAlign w:val="center"/>
          </w:tcPr>
          <w:p w14:paraId="2C9C0837">
            <w:pPr>
              <w:spacing w:line="360" w:lineRule="auto"/>
              <w:ind w:firstLine="420" w:firstLineChars="200"/>
              <w:rPr>
                <w:rFonts w:ascii="宋体" w:hAnsi="宋体" w:eastAsia="宋体" w:cs="宋体"/>
                <w:color w:val="auto"/>
                <w:szCs w:val="21"/>
                <w:highlight w:val="none"/>
              </w:rPr>
            </w:pPr>
          </w:p>
        </w:tc>
        <w:tc>
          <w:tcPr>
            <w:tcW w:w="1134" w:type="dxa"/>
            <w:vAlign w:val="center"/>
          </w:tcPr>
          <w:p w14:paraId="78F3E777">
            <w:pPr>
              <w:spacing w:line="360" w:lineRule="auto"/>
              <w:ind w:firstLine="420" w:firstLineChars="200"/>
              <w:rPr>
                <w:rFonts w:ascii="宋体" w:hAnsi="宋体" w:eastAsia="宋体" w:cs="宋体"/>
                <w:color w:val="auto"/>
                <w:szCs w:val="21"/>
                <w:highlight w:val="none"/>
              </w:rPr>
            </w:pPr>
          </w:p>
        </w:tc>
        <w:tc>
          <w:tcPr>
            <w:tcW w:w="1559" w:type="dxa"/>
            <w:vAlign w:val="center"/>
          </w:tcPr>
          <w:p w14:paraId="4003B6FE">
            <w:pPr>
              <w:spacing w:line="360" w:lineRule="auto"/>
              <w:ind w:firstLine="420" w:firstLineChars="200"/>
              <w:rPr>
                <w:rFonts w:ascii="宋体" w:hAnsi="宋体" w:eastAsia="宋体" w:cs="宋体"/>
                <w:color w:val="auto"/>
                <w:szCs w:val="21"/>
                <w:highlight w:val="none"/>
              </w:rPr>
            </w:pPr>
          </w:p>
        </w:tc>
      </w:tr>
      <w:tr w14:paraId="449D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50458AC">
            <w:pPr>
              <w:spacing w:line="360" w:lineRule="auto"/>
              <w:ind w:firstLine="420" w:firstLineChars="200"/>
              <w:rPr>
                <w:rFonts w:ascii="宋体" w:hAnsi="宋体" w:eastAsia="宋体" w:cs="宋体"/>
                <w:color w:val="auto"/>
                <w:szCs w:val="21"/>
                <w:highlight w:val="none"/>
              </w:rPr>
            </w:pPr>
          </w:p>
        </w:tc>
        <w:tc>
          <w:tcPr>
            <w:tcW w:w="1226" w:type="dxa"/>
            <w:vAlign w:val="center"/>
          </w:tcPr>
          <w:p w14:paraId="22CAA61D">
            <w:pPr>
              <w:spacing w:line="360" w:lineRule="auto"/>
              <w:ind w:firstLine="420" w:firstLineChars="200"/>
              <w:rPr>
                <w:rFonts w:ascii="宋体" w:hAnsi="宋体" w:eastAsia="宋体" w:cs="宋体"/>
                <w:color w:val="auto"/>
                <w:szCs w:val="21"/>
                <w:highlight w:val="none"/>
              </w:rPr>
            </w:pPr>
          </w:p>
        </w:tc>
        <w:tc>
          <w:tcPr>
            <w:tcW w:w="851" w:type="dxa"/>
            <w:vAlign w:val="center"/>
          </w:tcPr>
          <w:p w14:paraId="53536207">
            <w:pPr>
              <w:spacing w:line="360" w:lineRule="auto"/>
              <w:ind w:firstLine="420" w:firstLineChars="200"/>
              <w:rPr>
                <w:rFonts w:ascii="宋体" w:hAnsi="宋体" w:eastAsia="宋体" w:cs="宋体"/>
                <w:color w:val="auto"/>
                <w:szCs w:val="21"/>
                <w:highlight w:val="none"/>
              </w:rPr>
            </w:pPr>
          </w:p>
        </w:tc>
        <w:tc>
          <w:tcPr>
            <w:tcW w:w="708" w:type="dxa"/>
            <w:vAlign w:val="center"/>
          </w:tcPr>
          <w:p w14:paraId="40E488ED">
            <w:pPr>
              <w:spacing w:line="360" w:lineRule="auto"/>
              <w:ind w:firstLine="420" w:firstLineChars="200"/>
              <w:rPr>
                <w:rFonts w:ascii="宋体" w:hAnsi="宋体" w:eastAsia="宋体" w:cs="宋体"/>
                <w:color w:val="auto"/>
                <w:szCs w:val="21"/>
                <w:highlight w:val="none"/>
              </w:rPr>
            </w:pPr>
          </w:p>
        </w:tc>
        <w:tc>
          <w:tcPr>
            <w:tcW w:w="709" w:type="dxa"/>
            <w:vAlign w:val="center"/>
          </w:tcPr>
          <w:p w14:paraId="1A65B288">
            <w:pPr>
              <w:spacing w:line="360" w:lineRule="auto"/>
              <w:ind w:firstLine="420" w:firstLineChars="200"/>
              <w:rPr>
                <w:rFonts w:ascii="宋体" w:hAnsi="宋体" w:eastAsia="宋体" w:cs="宋体"/>
                <w:color w:val="auto"/>
                <w:szCs w:val="21"/>
                <w:highlight w:val="none"/>
              </w:rPr>
            </w:pPr>
          </w:p>
        </w:tc>
        <w:tc>
          <w:tcPr>
            <w:tcW w:w="1134" w:type="dxa"/>
            <w:vAlign w:val="center"/>
          </w:tcPr>
          <w:p w14:paraId="4A7EDB5B">
            <w:pPr>
              <w:spacing w:line="360" w:lineRule="auto"/>
              <w:ind w:firstLine="420" w:firstLineChars="200"/>
              <w:rPr>
                <w:rFonts w:ascii="宋体" w:hAnsi="宋体" w:eastAsia="宋体" w:cs="宋体"/>
                <w:color w:val="auto"/>
                <w:szCs w:val="21"/>
                <w:highlight w:val="none"/>
              </w:rPr>
            </w:pPr>
          </w:p>
        </w:tc>
        <w:tc>
          <w:tcPr>
            <w:tcW w:w="1276" w:type="dxa"/>
            <w:vAlign w:val="center"/>
          </w:tcPr>
          <w:p w14:paraId="7FB204A0">
            <w:pPr>
              <w:spacing w:line="360" w:lineRule="auto"/>
              <w:ind w:firstLine="420" w:firstLineChars="200"/>
              <w:rPr>
                <w:rFonts w:ascii="宋体" w:hAnsi="宋体" w:eastAsia="宋体" w:cs="宋体"/>
                <w:color w:val="auto"/>
                <w:szCs w:val="21"/>
                <w:highlight w:val="none"/>
              </w:rPr>
            </w:pPr>
          </w:p>
        </w:tc>
        <w:tc>
          <w:tcPr>
            <w:tcW w:w="1134" w:type="dxa"/>
            <w:vAlign w:val="center"/>
          </w:tcPr>
          <w:p w14:paraId="6B6874C5">
            <w:pPr>
              <w:spacing w:line="360" w:lineRule="auto"/>
              <w:ind w:firstLine="420" w:firstLineChars="200"/>
              <w:rPr>
                <w:rFonts w:ascii="宋体" w:hAnsi="宋体" w:eastAsia="宋体" w:cs="宋体"/>
                <w:color w:val="auto"/>
                <w:szCs w:val="21"/>
                <w:highlight w:val="none"/>
              </w:rPr>
            </w:pPr>
          </w:p>
        </w:tc>
        <w:tc>
          <w:tcPr>
            <w:tcW w:w="1559" w:type="dxa"/>
            <w:vAlign w:val="center"/>
          </w:tcPr>
          <w:p w14:paraId="21549324">
            <w:pPr>
              <w:spacing w:line="360" w:lineRule="auto"/>
              <w:ind w:firstLine="420" w:firstLineChars="200"/>
              <w:rPr>
                <w:rFonts w:ascii="宋体" w:hAnsi="宋体" w:eastAsia="宋体" w:cs="宋体"/>
                <w:color w:val="auto"/>
                <w:szCs w:val="21"/>
                <w:highlight w:val="none"/>
              </w:rPr>
            </w:pPr>
          </w:p>
        </w:tc>
      </w:tr>
      <w:tr w14:paraId="4331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E913E70">
            <w:pPr>
              <w:spacing w:line="360" w:lineRule="auto"/>
              <w:ind w:firstLine="420" w:firstLineChars="200"/>
              <w:rPr>
                <w:rFonts w:ascii="宋体" w:hAnsi="宋体" w:eastAsia="宋体" w:cs="宋体"/>
                <w:color w:val="auto"/>
                <w:szCs w:val="21"/>
                <w:highlight w:val="none"/>
              </w:rPr>
            </w:pPr>
          </w:p>
        </w:tc>
        <w:tc>
          <w:tcPr>
            <w:tcW w:w="1226" w:type="dxa"/>
            <w:vAlign w:val="center"/>
          </w:tcPr>
          <w:p w14:paraId="5515411A">
            <w:pPr>
              <w:spacing w:line="360" w:lineRule="auto"/>
              <w:ind w:firstLine="420" w:firstLineChars="200"/>
              <w:rPr>
                <w:rFonts w:ascii="宋体" w:hAnsi="宋体" w:eastAsia="宋体" w:cs="宋体"/>
                <w:color w:val="auto"/>
                <w:szCs w:val="21"/>
                <w:highlight w:val="none"/>
              </w:rPr>
            </w:pPr>
          </w:p>
        </w:tc>
        <w:tc>
          <w:tcPr>
            <w:tcW w:w="851" w:type="dxa"/>
            <w:vAlign w:val="center"/>
          </w:tcPr>
          <w:p w14:paraId="2B6F6A5F">
            <w:pPr>
              <w:spacing w:line="360" w:lineRule="auto"/>
              <w:ind w:firstLine="420" w:firstLineChars="200"/>
              <w:rPr>
                <w:rFonts w:ascii="宋体" w:hAnsi="宋体" w:eastAsia="宋体" w:cs="宋体"/>
                <w:color w:val="auto"/>
                <w:szCs w:val="21"/>
                <w:highlight w:val="none"/>
              </w:rPr>
            </w:pPr>
          </w:p>
        </w:tc>
        <w:tc>
          <w:tcPr>
            <w:tcW w:w="708" w:type="dxa"/>
            <w:vAlign w:val="center"/>
          </w:tcPr>
          <w:p w14:paraId="6C5095E0">
            <w:pPr>
              <w:spacing w:line="360" w:lineRule="auto"/>
              <w:ind w:firstLine="420" w:firstLineChars="200"/>
              <w:rPr>
                <w:rFonts w:ascii="宋体" w:hAnsi="宋体" w:eastAsia="宋体" w:cs="宋体"/>
                <w:color w:val="auto"/>
                <w:szCs w:val="21"/>
                <w:highlight w:val="none"/>
              </w:rPr>
            </w:pPr>
          </w:p>
        </w:tc>
        <w:tc>
          <w:tcPr>
            <w:tcW w:w="709" w:type="dxa"/>
            <w:vAlign w:val="center"/>
          </w:tcPr>
          <w:p w14:paraId="6A92AAA2">
            <w:pPr>
              <w:spacing w:line="360" w:lineRule="auto"/>
              <w:ind w:firstLine="420" w:firstLineChars="200"/>
              <w:rPr>
                <w:rFonts w:ascii="宋体" w:hAnsi="宋体" w:eastAsia="宋体" w:cs="宋体"/>
                <w:color w:val="auto"/>
                <w:szCs w:val="21"/>
                <w:highlight w:val="none"/>
              </w:rPr>
            </w:pPr>
          </w:p>
        </w:tc>
        <w:tc>
          <w:tcPr>
            <w:tcW w:w="1134" w:type="dxa"/>
            <w:vAlign w:val="center"/>
          </w:tcPr>
          <w:p w14:paraId="17A8F739">
            <w:pPr>
              <w:spacing w:line="360" w:lineRule="auto"/>
              <w:ind w:firstLine="420" w:firstLineChars="200"/>
              <w:rPr>
                <w:rFonts w:ascii="宋体" w:hAnsi="宋体" w:eastAsia="宋体" w:cs="宋体"/>
                <w:color w:val="auto"/>
                <w:szCs w:val="21"/>
                <w:highlight w:val="none"/>
              </w:rPr>
            </w:pPr>
          </w:p>
        </w:tc>
        <w:tc>
          <w:tcPr>
            <w:tcW w:w="1276" w:type="dxa"/>
            <w:vAlign w:val="center"/>
          </w:tcPr>
          <w:p w14:paraId="48210E8A">
            <w:pPr>
              <w:spacing w:line="360" w:lineRule="auto"/>
              <w:ind w:firstLine="420" w:firstLineChars="200"/>
              <w:rPr>
                <w:rFonts w:ascii="宋体" w:hAnsi="宋体" w:eastAsia="宋体" w:cs="宋体"/>
                <w:color w:val="auto"/>
                <w:szCs w:val="21"/>
                <w:highlight w:val="none"/>
              </w:rPr>
            </w:pPr>
          </w:p>
        </w:tc>
        <w:tc>
          <w:tcPr>
            <w:tcW w:w="1134" w:type="dxa"/>
            <w:vAlign w:val="center"/>
          </w:tcPr>
          <w:p w14:paraId="37378CE4">
            <w:pPr>
              <w:spacing w:line="360" w:lineRule="auto"/>
              <w:ind w:firstLine="420" w:firstLineChars="200"/>
              <w:rPr>
                <w:rFonts w:ascii="宋体" w:hAnsi="宋体" w:eastAsia="宋体" w:cs="宋体"/>
                <w:color w:val="auto"/>
                <w:szCs w:val="21"/>
                <w:highlight w:val="none"/>
              </w:rPr>
            </w:pPr>
          </w:p>
        </w:tc>
        <w:tc>
          <w:tcPr>
            <w:tcW w:w="1559" w:type="dxa"/>
            <w:vAlign w:val="center"/>
          </w:tcPr>
          <w:p w14:paraId="6924C89D">
            <w:pPr>
              <w:spacing w:line="360" w:lineRule="auto"/>
              <w:ind w:firstLine="420" w:firstLineChars="200"/>
              <w:rPr>
                <w:rFonts w:ascii="宋体" w:hAnsi="宋体" w:eastAsia="宋体" w:cs="宋体"/>
                <w:color w:val="auto"/>
                <w:szCs w:val="21"/>
                <w:highlight w:val="none"/>
              </w:rPr>
            </w:pPr>
          </w:p>
        </w:tc>
      </w:tr>
      <w:tr w14:paraId="3E30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DF16B3B">
            <w:pPr>
              <w:spacing w:line="360" w:lineRule="auto"/>
              <w:ind w:firstLine="420" w:firstLineChars="200"/>
              <w:rPr>
                <w:rFonts w:ascii="宋体" w:hAnsi="宋体" w:eastAsia="宋体" w:cs="宋体"/>
                <w:color w:val="auto"/>
                <w:szCs w:val="21"/>
                <w:highlight w:val="none"/>
              </w:rPr>
            </w:pPr>
          </w:p>
        </w:tc>
        <w:tc>
          <w:tcPr>
            <w:tcW w:w="1226" w:type="dxa"/>
            <w:vAlign w:val="center"/>
          </w:tcPr>
          <w:p w14:paraId="41ABA5DA">
            <w:pPr>
              <w:spacing w:line="360" w:lineRule="auto"/>
              <w:ind w:firstLine="420" w:firstLineChars="200"/>
              <w:rPr>
                <w:rFonts w:ascii="宋体" w:hAnsi="宋体" w:eastAsia="宋体" w:cs="宋体"/>
                <w:color w:val="auto"/>
                <w:szCs w:val="21"/>
                <w:highlight w:val="none"/>
              </w:rPr>
            </w:pPr>
          </w:p>
        </w:tc>
        <w:tc>
          <w:tcPr>
            <w:tcW w:w="851" w:type="dxa"/>
            <w:vAlign w:val="center"/>
          </w:tcPr>
          <w:p w14:paraId="710679DA">
            <w:pPr>
              <w:spacing w:line="360" w:lineRule="auto"/>
              <w:ind w:firstLine="420" w:firstLineChars="200"/>
              <w:rPr>
                <w:rFonts w:ascii="宋体" w:hAnsi="宋体" w:eastAsia="宋体" w:cs="宋体"/>
                <w:color w:val="auto"/>
                <w:szCs w:val="21"/>
                <w:highlight w:val="none"/>
              </w:rPr>
            </w:pPr>
          </w:p>
        </w:tc>
        <w:tc>
          <w:tcPr>
            <w:tcW w:w="708" w:type="dxa"/>
            <w:vAlign w:val="center"/>
          </w:tcPr>
          <w:p w14:paraId="207DA259">
            <w:pPr>
              <w:spacing w:line="360" w:lineRule="auto"/>
              <w:ind w:firstLine="420" w:firstLineChars="200"/>
              <w:rPr>
                <w:rFonts w:ascii="宋体" w:hAnsi="宋体" w:eastAsia="宋体" w:cs="宋体"/>
                <w:color w:val="auto"/>
                <w:szCs w:val="21"/>
                <w:highlight w:val="none"/>
              </w:rPr>
            </w:pPr>
          </w:p>
        </w:tc>
        <w:tc>
          <w:tcPr>
            <w:tcW w:w="709" w:type="dxa"/>
            <w:vAlign w:val="center"/>
          </w:tcPr>
          <w:p w14:paraId="0EC9F771">
            <w:pPr>
              <w:spacing w:line="360" w:lineRule="auto"/>
              <w:ind w:firstLine="420" w:firstLineChars="200"/>
              <w:rPr>
                <w:rFonts w:ascii="宋体" w:hAnsi="宋体" w:eastAsia="宋体" w:cs="宋体"/>
                <w:color w:val="auto"/>
                <w:szCs w:val="21"/>
                <w:highlight w:val="none"/>
              </w:rPr>
            </w:pPr>
          </w:p>
        </w:tc>
        <w:tc>
          <w:tcPr>
            <w:tcW w:w="1134" w:type="dxa"/>
            <w:vAlign w:val="center"/>
          </w:tcPr>
          <w:p w14:paraId="75266BFC">
            <w:pPr>
              <w:spacing w:line="360" w:lineRule="auto"/>
              <w:ind w:firstLine="420" w:firstLineChars="200"/>
              <w:rPr>
                <w:rFonts w:ascii="宋体" w:hAnsi="宋体" w:eastAsia="宋体" w:cs="宋体"/>
                <w:color w:val="auto"/>
                <w:szCs w:val="21"/>
                <w:highlight w:val="none"/>
              </w:rPr>
            </w:pPr>
          </w:p>
        </w:tc>
        <w:tc>
          <w:tcPr>
            <w:tcW w:w="1276" w:type="dxa"/>
            <w:vAlign w:val="center"/>
          </w:tcPr>
          <w:p w14:paraId="5E099CC1">
            <w:pPr>
              <w:spacing w:line="360" w:lineRule="auto"/>
              <w:ind w:firstLine="420" w:firstLineChars="200"/>
              <w:rPr>
                <w:rFonts w:ascii="宋体" w:hAnsi="宋体" w:eastAsia="宋体" w:cs="宋体"/>
                <w:color w:val="auto"/>
                <w:szCs w:val="21"/>
                <w:highlight w:val="none"/>
              </w:rPr>
            </w:pPr>
          </w:p>
        </w:tc>
        <w:tc>
          <w:tcPr>
            <w:tcW w:w="1134" w:type="dxa"/>
            <w:vAlign w:val="center"/>
          </w:tcPr>
          <w:p w14:paraId="31CF7BD8">
            <w:pPr>
              <w:spacing w:line="360" w:lineRule="auto"/>
              <w:ind w:firstLine="420" w:firstLineChars="200"/>
              <w:rPr>
                <w:rFonts w:ascii="宋体" w:hAnsi="宋体" w:eastAsia="宋体" w:cs="宋体"/>
                <w:color w:val="auto"/>
                <w:szCs w:val="21"/>
                <w:highlight w:val="none"/>
              </w:rPr>
            </w:pPr>
          </w:p>
        </w:tc>
        <w:tc>
          <w:tcPr>
            <w:tcW w:w="1559" w:type="dxa"/>
            <w:vAlign w:val="center"/>
          </w:tcPr>
          <w:p w14:paraId="7FCEDE3D">
            <w:pPr>
              <w:spacing w:line="360" w:lineRule="auto"/>
              <w:ind w:firstLine="420" w:firstLineChars="200"/>
              <w:rPr>
                <w:rFonts w:ascii="宋体" w:hAnsi="宋体" w:eastAsia="宋体" w:cs="宋体"/>
                <w:color w:val="auto"/>
                <w:szCs w:val="21"/>
                <w:highlight w:val="none"/>
              </w:rPr>
            </w:pPr>
          </w:p>
        </w:tc>
      </w:tr>
      <w:tr w14:paraId="03F4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FB67034">
            <w:pPr>
              <w:spacing w:line="360" w:lineRule="auto"/>
              <w:ind w:firstLine="420" w:firstLineChars="200"/>
              <w:rPr>
                <w:rFonts w:ascii="宋体" w:hAnsi="宋体" w:eastAsia="宋体" w:cs="宋体"/>
                <w:color w:val="auto"/>
                <w:szCs w:val="21"/>
                <w:highlight w:val="none"/>
              </w:rPr>
            </w:pPr>
          </w:p>
        </w:tc>
        <w:tc>
          <w:tcPr>
            <w:tcW w:w="1226" w:type="dxa"/>
            <w:vAlign w:val="center"/>
          </w:tcPr>
          <w:p w14:paraId="44FB6F7B">
            <w:pPr>
              <w:spacing w:line="360" w:lineRule="auto"/>
              <w:ind w:firstLine="420" w:firstLineChars="200"/>
              <w:rPr>
                <w:rFonts w:ascii="宋体" w:hAnsi="宋体" w:eastAsia="宋体" w:cs="宋体"/>
                <w:color w:val="auto"/>
                <w:szCs w:val="21"/>
                <w:highlight w:val="none"/>
              </w:rPr>
            </w:pPr>
          </w:p>
        </w:tc>
        <w:tc>
          <w:tcPr>
            <w:tcW w:w="851" w:type="dxa"/>
            <w:vAlign w:val="center"/>
          </w:tcPr>
          <w:p w14:paraId="7CF08D6F">
            <w:pPr>
              <w:spacing w:line="360" w:lineRule="auto"/>
              <w:ind w:firstLine="420" w:firstLineChars="200"/>
              <w:rPr>
                <w:rFonts w:ascii="宋体" w:hAnsi="宋体" w:eastAsia="宋体" w:cs="宋体"/>
                <w:color w:val="auto"/>
                <w:szCs w:val="21"/>
                <w:highlight w:val="none"/>
              </w:rPr>
            </w:pPr>
          </w:p>
        </w:tc>
        <w:tc>
          <w:tcPr>
            <w:tcW w:w="708" w:type="dxa"/>
            <w:vAlign w:val="center"/>
          </w:tcPr>
          <w:p w14:paraId="336ECDAA">
            <w:pPr>
              <w:spacing w:line="360" w:lineRule="auto"/>
              <w:ind w:firstLine="420" w:firstLineChars="200"/>
              <w:rPr>
                <w:rFonts w:ascii="宋体" w:hAnsi="宋体" w:eastAsia="宋体" w:cs="宋体"/>
                <w:color w:val="auto"/>
                <w:szCs w:val="21"/>
                <w:highlight w:val="none"/>
              </w:rPr>
            </w:pPr>
          </w:p>
        </w:tc>
        <w:tc>
          <w:tcPr>
            <w:tcW w:w="709" w:type="dxa"/>
            <w:vAlign w:val="center"/>
          </w:tcPr>
          <w:p w14:paraId="3CD4D3CA">
            <w:pPr>
              <w:spacing w:line="360" w:lineRule="auto"/>
              <w:ind w:firstLine="420" w:firstLineChars="200"/>
              <w:rPr>
                <w:rFonts w:ascii="宋体" w:hAnsi="宋体" w:eastAsia="宋体" w:cs="宋体"/>
                <w:color w:val="auto"/>
                <w:szCs w:val="21"/>
                <w:highlight w:val="none"/>
              </w:rPr>
            </w:pPr>
          </w:p>
        </w:tc>
        <w:tc>
          <w:tcPr>
            <w:tcW w:w="1134" w:type="dxa"/>
            <w:vAlign w:val="center"/>
          </w:tcPr>
          <w:p w14:paraId="4BCDCED7">
            <w:pPr>
              <w:spacing w:line="360" w:lineRule="auto"/>
              <w:ind w:firstLine="420" w:firstLineChars="200"/>
              <w:rPr>
                <w:rFonts w:ascii="宋体" w:hAnsi="宋体" w:eastAsia="宋体" w:cs="宋体"/>
                <w:color w:val="auto"/>
                <w:szCs w:val="21"/>
                <w:highlight w:val="none"/>
              </w:rPr>
            </w:pPr>
          </w:p>
        </w:tc>
        <w:tc>
          <w:tcPr>
            <w:tcW w:w="1276" w:type="dxa"/>
            <w:vAlign w:val="center"/>
          </w:tcPr>
          <w:p w14:paraId="3184DB82">
            <w:pPr>
              <w:spacing w:line="360" w:lineRule="auto"/>
              <w:ind w:firstLine="420" w:firstLineChars="200"/>
              <w:rPr>
                <w:rFonts w:ascii="宋体" w:hAnsi="宋体" w:eastAsia="宋体" w:cs="宋体"/>
                <w:color w:val="auto"/>
                <w:szCs w:val="21"/>
                <w:highlight w:val="none"/>
              </w:rPr>
            </w:pPr>
          </w:p>
        </w:tc>
        <w:tc>
          <w:tcPr>
            <w:tcW w:w="1134" w:type="dxa"/>
            <w:vAlign w:val="center"/>
          </w:tcPr>
          <w:p w14:paraId="50E5D60E">
            <w:pPr>
              <w:spacing w:line="360" w:lineRule="auto"/>
              <w:ind w:firstLine="420" w:firstLineChars="200"/>
              <w:rPr>
                <w:rFonts w:ascii="宋体" w:hAnsi="宋体" w:eastAsia="宋体" w:cs="宋体"/>
                <w:color w:val="auto"/>
                <w:szCs w:val="21"/>
                <w:highlight w:val="none"/>
              </w:rPr>
            </w:pPr>
          </w:p>
        </w:tc>
        <w:tc>
          <w:tcPr>
            <w:tcW w:w="1559" w:type="dxa"/>
            <w:vAlign w:val="center"/>
          </w:tcPr>
          <w:p w14:paraId="1C51AA09">
            <w:pPr>
              <w:spacing w:line="360" w:lineRule="auto"/>
              <w:ind w:firstLine="420" w:firstLineChars="200"/>
              <w:rPr>
                <w:rFonts w:ascii="宋体" w:hAnsi="宋体" w:eastAsia="宋体" w:cs="宋体"/>
                <w:color w:val="auto"/>
                <w:szCs w:val="21"/>
                <w:highlight w:val="none"/>
              </w:rPr>
            </w:pPr>
          </w:p>
        </w:tc>
      </w:tr>
    </w:tbl>
    <w:p w14:paraId="621C6203">
      <w:pPr>
        <w:rPr>
          <w:rFonts w:ascii="宋体" w:hAnsi="宋体" w:eastAsia="宋体" w:cs="宋体"/>
          <w:color w:val="auto"/>
          <w:highlight w:val="none"/>
        </w:rPr>
      </w:pPr>
    </w:p>
    <w:p w14:paraId="75E90592">
      <w:pPr>
        <w:rPr>
          <w:rFonts w:ascii="宋体" w:hAnsi="宋体" w:eastAsia="宋体" w:cs="宋体"/>
          <w:color w:val="auto"/>
          <w:highlight w:val="none"/>
        </w:rPr>
      </w:pPr>
    </w:p>
    <w:p w14:paraId="0787B53E">
      <w:pPr>
        <w:rPr>
          <w:rFonts w:ascii="宋体" w:hAnsi="宋体" w:eastAsia="宋体" w:cs="宋体"/>
          <w:color w:val="auto"/>
          <w:highlight w:val="none"/>
        </w:rPr>
      </w:pPr>
      <w:r>
        <w:rPr>
          <w:rFonts w:hint="eastAsia" w:ascii="宋体" w:hAnsi="宋体" w:eastAsia="宋体" w:cs="宋体"/>
          <w:color w:val="auto"/>
          <w:highlight w:val="none"/>
        </w:rPr>
        <w:t>附表三：劳动力计划表</w:t>
      </w:r>
    </w:p>
    <w:p w14:paraId="7C40C118">
      <w:pPr>
        <w:ind w:firstLine="7245" w:firstLineChars="34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207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B3CB10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8506" w:type="dxa"/>
            <w:gridSpan w:val="7"/>
            <w:vAlign w:val="center"/>
          </w:tcPr>
          <w:p w14:paraId="426118F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259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42D9FD0">
            <w:pPr>
              <w:spacing w:line="360" w:lineRule="auto"/>
              <w:jc w:val="center"/>
              <w:rPr>
                <w:rFonts w:ascii="宋体" w:hAnsi="宋体" w:eastAsia="宋体" w:cs="宋体"/>
                <w:color w:val="auto"/>
                <w:szCs w:val="21"/>
                <w:highlight w:val="none"/>
              </w:rPr>
            </w:pPr>
          </w:p>
        </w:tc>
        <w:tc>
          <w:tcPr>
            <w:tcW w:w="961" w:type="dxa"/>
            <w:vAlign w:val="center"/>
          </w:tcPr>
          <w:p w14:paraId="3558B9CB">
            <w:pPr>
              <w:spacing w:line="360" w:lineRule="auto"/>
              <w:jc w:val="center"/>
              <w:rPr>
                <w:rFonts w:ascii="宋体" w:hAnsi="宋体" w:eastAsia="宋体" w:cs="宋体"/>
                <w:color w:val="auto"/>
                <w:szCs w:val="21"/>
                <w:highlight w:val="none"/>
              </w:rPr>
            </w:pPr>
          </w:p>
        </w:tc>
        <w:tc>
          <w:tcPr>
            <w:tcW w:w="1257" w:type="dxa"/>
            <w:vAlign w:val="center"/>
          </w:tcPr>
          <w:p w14:paraId="27DC624F">
            <w:pPr>
              <w:spacing w:line="360" w:lineRule="auto"/>
              <w:jc w:val="center"/>
              <w:rPr>
                <w:rFonts w:ascii="宋体" w:hAnsi="宋体" w:eastAsia="宋体" w:cs="宋体"/>
                <w:color w:val="auto"/>
                <w:szCs w:val="21"/>
                <w:highlight w:val="none"/>
              </w:rPr>
            </w:pPr>
          </w:p>
        </w:tc>
        <w:tc>
          <w:tcPr>
            <w:tcW w:w="1258" w:type="dxa"/>
            <w:vAlign w:val="center"/>
          </w:tcPr>
          <w:p w14:paraId="4CB44811">
            <w:pPr>
              <w:spacing w:line="360" w:lineRule="auto"/>
              <w:jc w:val="center"/>
              <w:rPr>
                <w:rFonts w:ascii="宋体" w:hAnsi="宋体" w:eastAsia="宋体" w:cs="宋体"/>
                <w:color w:val="auto"/>
                <w:szCs w:val="21"/>
                <w:highlight w:val="none"/>
              </w:rPr>
            </w:pPr>
          </w:p>
        </w:tc>
        <w:tc>
          <w:tcPr>
            <w:tcW w:w="1257" w:type="dxa"/>
            <w:vAlign w:val="center"/>
          </w:tcPr>
          <w:p w14:paraId="3B3D8613">
            <w:pPr>
              <w:spacing w:line="360" w:lineRule="auto"/>
              <w:jc w:val="center"/>
              <w:rPr>
                <w:rFonts w:ascii="宋体" w:hAnsi="宋体" w:eastAsia="宋体" w:cs="宋体"/>
                <w:color w:val="auto"/>
                <w:szCs w:val="21"/>
                <w:highlight w:val="none"/>
              </w:rPr>
            </w:pPr>
          </w:p>
        </w:tc>
        <w:tc>
          <w:tcPr>
            <w:tcW w:w="1258" w:type="dxa"/>
            <w:vAlign w:val="center"/>
          </w:tcPr>
          <w:p w14:paraId="424D4ED5">
            <w:pPr>
              <w:spacing w:line="360" w:lineRule="auto"/>
              <w:jc w:val="center"/>
              <w:rPr>
                <w:rFonts w:ascii="宋体" w:hAnsi="宋体" w:eastAsia="宋体" w:cs="宋体"/>
                <w:color w:val="auto"/>
                <w:szCs w:val="21"/>
                <w:highlight w:val="none"/>
              </w:rPr>
            </w:pPr>
          </w:p>
        </w:tc>
        <w:tc>
          <w:tcPr>
            <w:tcW w:w="1257" w:type="dxa"/>
            <w:vAlign w:val="center"/>
          </w:tcPr>
          <w:p w14:paraId="2AD6299B">
            <w:pPr>
              <w:spacing w:line="360" w:lineRule="auto"/>
              <w:jc w:val="center"/>
              <w:rPr>
                <w:rFonts w:ascii="宋体" w:hAnsi="宋体" w:eastAsia="宋体" w:cs="宋体"/>
                <w:color w:val="auto"/>
                <w:szCs w:val="21"/>
                <w:highlight w:val="none"/>
              </w:rPr>
            </w:pPr>
          </w:p>
        </w:tc>
        <w:tc>
          <w:tcPr>
            <w:tcW w:w="1258" w:type="dxa"/>
            <w:vAlign w:val="center"/>
          </w:tcPr>
          <w:p w14:paraId="7506EC2F">
            <w:pPr>
              <w:spacing w:line="360" w:lineRule="auto"/>
              <w:jc w:val="center"/>
              <w:rPr>
                <w:rFonts w:ascii="宋体" w:hAnsi="宋体" w:eastAsia="宋体" w:cs="宋体"/>
                <w:color w:val="auto"/>
                <w:szCs w:val="21"/>
                <w:highlight w:val="none"/>
              </w:rPr>
            </w:pPr>
          </w:p>
        </w:tc>
      </w:tr>
      <w:tr w14:paraId="769E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A03AAB2">
            <w:pPr>
              <w:spacing w:line="360" w:lineRule="auto"/>
              <w:jc w:val="center"/>
              <w:rPr>
                <w:rFonts w:ascii="宋体" w:hAnsi="宋体" w:eastAsia="宋体" w:cs="宋体"/>
                <w:color w:val="auto"/>
                <w:szCs w:val="21"/>
                <w:highlight w:val="none"/>
              </w:rPr>
            </w:pPr>
          </w:p>
        </w:tc>
        <w:tc>
          <w:tcPr>
            <w:tcW w:w="961" w:type="dxa"/>
            <w:vAlign w:val="center"/>
          </w:tcPr>
          <w:p w14:paraId="79B87622">
            <w:pPr>
              <w:spacing w:line="360" w:lineRule="auto"/>
              <w:jc w:val="center"/>
              <w:rPr>
                <w:rFonts w:ascii="宋体" w:hAnsi="宋体" w:eastAsia="宋体" w:cs="宋体"/>
                <w:color w:val="auto"/>
                <w:szCs w:val="21"/>
                <w:highlight w:val="none"/>
              </w:rPr>
            </w:pPr>
          </w:p>
        </w:tc>
        <w:tc>
          <w:tcPr>
            <w:tcW w:w="1257" w:type="dxa"/>
            <w:vAlign w:val="center"/>
          </w:tcPr>
          <w:p w14:paraId="3498DFC7">
            <w:pPr>
              <w:spacing w:line="360" w:lineRule="auto"/>
              <w:jc w:val="center"/>
              <w:rPr>
                <w:rFonts w:ascii="宋体" w:hAnsi="宋体" w:eastAsia="宋体" w:cs="宋体"/>
                <w:color w:val="auto"/>
                <w:szCs w:val="21"/>
                <w:highlight w:val="none"/>
              </w:rPr>
            </w:pPr>
          </w:p>
        </w:tc>
        <w:tc>
          <w:tcPr>
            <w:tcW w:w="1258" w:type="dxa"/>
            <w:vAlign w:val="center"/>
          </w:tcPr>
          <w:p w14:paraId="67CD9EA5">
            <w:pPr>
              <w:spacing w:line="360" w:lineRule="auto"/>
              <w:jc w:val="center"/>
              <w:rPr>
                <w:rFonts w:ascii="宋体" w:hAnsi="宋体" w:eastAsia="宋体" w:cs="宋体"/>
                <w:color w:val="auto"/>
                <w:szCs w:val="21"/>
                <w:highlight w:val="none"/>
              </w:rPr>
            </w:pPr>
          </w:p>
        </w:tc>
        <w:tc>
          <w:tcPr>
            <w:tcW w:w="1257" w:type="dxa"/>
            <w:vAlign w:val="center"/>
          </w:tcPr>
          <w:p w14:paraId="564C1979">
            <w:pPr>
              <w:spacing w:line="360" w:lineRule="auto"/>
              <w:jc w:val="center"/>
              <w:rPr>
                <w:rFonts w:ascii="宋体" w:hAnsi="宋体" w:eastAsia="宋体" w:cs="宋体"/>
                <w:color w:val="auto"/>
                <w:szCs w:val="21"/>
                <w:highlight w:val="none"/>
              </w:rPr>
            </w:pPr>
          </w:p>
        </w:tc>
        <w:tc>
          <w:tcPr>
            <w:tcW w:w="1258" w:type="dxa"/>
            <w:vAlign w:val="center"/>
          </w:tcPr>
          <w:p w14:paraId="407A28A0">
            <w:pPr>
              <w:spacing w:line="360" w:lineRule="auto"/>
              <w:jc w:val="center"/>
              <w:rPr>
                <w:rFonts w:ascii="宋体" w:hAnsi="宋体" w:eastAsia="宋体" w:cs="宋体"/>
                <w:color w:val="auto"/>
                <w:szCs w:val="21"/>
                <w:highlight w:val="none"/>
              </w:rPr>
            </w:pPr>
          </w:p>
        </w:tc>
        <w:tc>
          <w:tcPr>
            <w:tcW w:w="1257" w:type="dxa"/>
            <w:vAlign w:val="center"/>
          </w:tcPr>
          <w:p w14:paraId="29754AA8">
            <w:pPr>
              <w:spacing w:line="360" w:lineRule="auto"/>
              <w:jc w:val="center"/>
              <w:rPr>
                <w:rFonts w:ascii="宋体" w:hAnsi="宋体" w:eastAsia="宋体" w:cs="宋体"/>
                <w:color w:val="auto"/>
                <w:szCs w:val="21"/>
                <w:highlight w:val="none"/>
              </w:rPr>
            </w:pPr>
          </w:p>
        </w:tc>
        <w:tc>
          <w:tcPr>
            <w:tcW w:w="1258" w:type="dxa"/>
            <w:vAlign w:val="center"/>
          </w:tcPr>
          <w:p w14:paraId="13BDE248">
            <w:pPr>
              <w:spacing w:line="360" w:lineRule="auto"/>
              <w:jc w:val="center"/>
              <w:rPr>
                <w:rFonts w:ascii="宋体" w:hAnsi="宋体" w:eastAsia="宋体" w:cs="宋体"/>
                <w:color w:val="auto"/>
                <w:szCs w:val="21"/>
                <w:highlight w:val="none"/>
              </w:rPr>
            </w:pPr>
          </w:p>
        </w:tc>
      </w:tr>
      <w:tr w14:paraId="3864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C09A096">
            <w:pPr>
              <w:spacing w:line="360" w:lineRule="auto"/>
              <w:jc w:val="center"/>
              <w:rPr>
                <w:rFonts w:ascii="宋体" w:hAnsi="宋体" w:eastAsia="宋体" w:cs="宋体"/>
                <w:color w:val="auto"/>
                <w:szCs w:val="21"/>
                <w:highlight w:val="none"/>
              </w:rPr>
            </w:pPr>
          </w:p>
        </w:tc>
        <w:tc>
          <w:tcPr>
            <w:tcW w:w="961" w:type="dxa"/>
            <w:vAlign w:val="center"/>
          </w:tcPr>
          <w:p w14:paraId="58626E30">
            <w:pPr>
              <w:spacing w:line="360" w:lineRule="auto"/>
              <w:jc w:val="center"/>
              <w:rPr>
                <w:rFonts w:ascii="宋体" w:hAnsi="宋体" w:eastAsia="宋体" w:cs="宋体"/>
                <w:color w:val="auto"/>
                <w:szCs w:val="21"/>
                <w:highlight w:val="none"/>
              </w:rPr>
            </w:pPr>
          </w:p>
        </w:tc>
        <w:tc>
          <w:tcPr>
            <w:tcW w:w="1257" w:type="dxa"/>
            <w:vAlign w:val="center"/>
          </w:tcPr>
          <w:p w14:paraId="5329FD28">
            <w:pPr>
              <w:spacing w:line="360" w:lineRule="auto"/>
              <w:jc w:val="center"/>
              <w:rPr>
                <w:rFonts w:ascii="宋体" w:hAnsi="宋体" w:eastAsia="宋体" w:cs="宋体"/>
                <w:color w:val="auto"/>
                <w:szCs w:val="21"/>
                <w:highlight w:val="none"/>
              </w:rPr>
            </w:pPr>
          </w:p>
        </w:tc>
        <w:tc>
          <w:tcPr>
            <w:tcW w:w="1258" w:type="dxa"/>
            <w:vAlign w:val="center"/>
          </w:tcPr>
          <w:p w14:paraId="0CE1B995">
            <w:pPr>
              <w:spacing w:line="360" w:lineRule="auto"/>
              <w:jc w:val="center"/>
              <w:rPr>
                <w:rFonts w:ascii="宋体" w:hAnsi="宋体" w:eastAsia="宋体" w:cs="宋体"/>
                <w:color w:val="auto"/>
                <w:szCs w:val="21"/>
                <w:highlight w:val="none"/>
              </w:rPr>
            </w:pPr>
          </w:p>
        </w:tc>
        <w:tc>
          <w:tcPr>
            <w:tcW w:w="1257" w:type="dxa"/>
            <w:vAlign w:val="center"/>
          </w:tcPr>
          <w:p w14:paraId="4A9938A2">
            <w:pPr>
              <w:spacing w:line="360" w:lineRule="auto"/>
              <w:jc w:val="center"/>
              <w:rPr>
                <w:rFonts w:ascii="宋体" w:hAnsi="宋体" w:eastAsia="宋体" w:cs="宋体"/>
                <w:color w:val="auto"/>
                <w:szCs w:val="21"/>
                <w:highlight w:val="none"/>
              </w:rPr>
            </w:pPr>
          </w:p>
        </w:tc>
        <w:tc>
          <w:tcPr>
            <w:tcW w:w="1258" w:type="dxa"/>
            <w:vAlign w:val="center"/>
          </w:tcPr>
          <w:p w14:paraId="731E7ED5">
            <w:pPr>
              <w:spacing w:line="360" w:lineRule="auto"/>
              <w:jc w:val="center"/>
              <w:rPr>
                <w:rFonts w:ascii="宋体" w:hAnsi="宋体" w:eastAsia="宋体" w:cs="宋体"/>
                <w:color w:val="auto"/>
                <w:szCs w:val="21"/>
                <w:highlight w:val="none"/>
              </w:rPr>
            </w:pPr>
          </w:p>
        </w:tc>
        <w:tc>
          <w:tcPr>
            <w:tcW w:w="1257" w:type="dxa"/>
            <w:vAlign w:val="center"/>
          </w:tcPr>
          <w:p w14:paraId="73F4A55D">
            <w:pPr>
              <w:spacing w:line="360" w:lineRule="auto"/>
              <w:jc w:val="center"/>
              <w:rPr>
                <w:rFonts w:ascii="宋体" w:hAnsi="宋体" w:eastAsia="宋体" w:cs="宋体"/>
                <w:color w:val="auto"/>
                <w:szCs w:val="21"/>
                <w:highlight w:val="none"/>
              </w:rPr>
            </w:pPr>
          </w:p>
        </w:tc>
        <w:tc>
          <w:tcPr>
            <w:tcW w:w="1258" w:type="dxa"/>
            <w:vAlign w:val="center"/>
          </w:tcPr>
          <w:p w14:paraId="0B78E7E2">
            <w:pPr>
              <w:spacing w:line="360" w:lineRule="auto"/>
              <w:jc w:val="center"/>
              <w:rPr>
                <w:rFonts w:ascii="宋体" w:hAnsi="宋体" w:eastAsia="宋体" w:cs="宋体"/>
                <w:color w:val="auto"/>
                <w:szCs w:val="21"/>
                <w:highlight w:val="none"/>
              </w:rPr>
            </w:pPr>
          </w:p>
        </w:tc>
      </w:tr>
      <w:tr w14:paraId="00E8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4EBEA55">
            <w:pPr>
              <w:spacing w:line="360" w:lineRule="auto"/>
              <w:jc w:val="center"/>
              <w:rPr>
                <w:rFonts w:ascii="宋体" w:hAnsi="宋体" w:eastAsia="宋体" w:cs="宋体"/>
                <w:color w:val="auto"/>
                <w:szCs w:val="21"/>
                <w:highlight w:val="none"/>
              </w:rPr>
            </w:pPr>
          </w:p>
        </w:tc>
        <w:tc>
          <w:tcPr>
            <w:tcW w:w="961" w:type="dxa"/>
            <w:vAlign w:val="center"/>
          </w:tcPr>
          <w:p w14:paraId="69898516">
            <w:pPr>
              <w:spacing w:line="360" w:lineRule="auto"/>
              <w:jc w:val="center"/>
              <w:rPr>
                <w:rFonts w:ascii="宋体" w:hAnsi="宋体" w:eastAsia="宋体" w:cs="宋体"/>
                <w:color w:val="auto"/>
                <w:szCs w:val="21"/>
                <w:highlight w:val="none"/>
              </w:rPr>
            </w:pPr>
          </w:p>
        </w:tc>
        <w:tc>
          <w:tcPr>
            <w:tcW w:w="1257" w:type="dxa"/>
            <w:vAlign w:val="center"/>
          </w:tcPr>
          <w:p w14:paraId="5BC37E66">
            <w:pPr>
              <w:spacing w:line="360" w:lineRule="auto"/>
              <w:jc w:val="center"/>
              <w:rPr>
                <w:rFonts w:ascii="宋体" w:hAnsi="宋体" w:eastAsia="宋体" w:cs="宋体"/>
                <w:color w:val="auto"/>
                <w:szCs w:val="21"/>
                <w:highlight w:val="none"/>
              </w:rPr>
            </w:pPr>
          </w:p>
        </w:tc>
        <w:tc>
          <w:tcPr>
            <w:tcW w:w="1258" w:type="dxa"/>
            <w:vAlign w:val="center"/>
          </w:tcPr>
          <w:p w14:paraId="75D4EDFC">
            <w:pPr>
              <w:spacing w:line="360" w:lineRule="auto"/>
              <w:jc w:val="center"/>
              <w:rPr>
                <w:rFonts w:ascii="宋体" w:hAnsi="宋体" w:eastAsia="宋体" w:cs="宋体"/>
                <w:color w:val="auto"/>
                <w:szCs w:val="21"/>
                <w:highlight w:val="none"/>
              </w:rPr>
            </w:pPr>
          </w:p>
        </w:tc>
        <w:tc>
          <w:tcPr>
            <w:tcW w:w="1257" w:type="dxa"/>
            <w:vAlign w:val="center"/>
          </w:tcPr>
          <w:p w14:paraId="04BAE213">
            <w:pPr>
              <w:spacing w:line="360" w:lineRule="auto"/>
              <w:jc w:val="center"/>
              <w:rPr>
                <w:rFonts w:ascii="宋体" w:hAnsi="宋体" w:eastAsia="宋体" w:cs="宋体"/>
                <w:color w:val="auto"/>
                <w:szCs w:val="21"/>
                <w:highlight w:val="none"/>
              </w:rPr>
            </w:pPr>
          </w:p>
        </w:tc>
        <w:tc>
          <w:tcPr>
            <w:tcW w:w="1258" w:type="dxa"/>
            <w:vAlign w:val="center"/>
          </w:tcPr>
          <w:p w14:paraId="107F9A65">
            <w:pPr>
              <w:spacing w:line="360" w:lineRule="auto"/>
              <w:jc w:val="center"/>
              <w:rPr>
                <w:rFonts w:ascii="宋体" w:hAnsi="宋体" w:eastAsia="宋体" w:cs="宋体"/>
                <w:color w:val="auto"/>
                <w:szCs w:val="21"/>
                <w:highlight w:val="none"/>
              </w:rPr>
            </w:pPr>
          </w:p>
        </w:tc>
        <w:tc>
          <w:tcPr>
            <w:tcW w:w="1257" w:type="dxa"/>
            <w:vAlign w:val="center"/>
          </w:tcPr>
          <w:p w14:paraId="0A52BD9B">
            <w:pPr>
              <w:spacing w:line="360" w:lineRule="auto"/>
              <w:jc w:val="center"/>
              <w:rPr>
                <w:rFonts w:ascii="宋体" w:hAnsi="宋体" w:eastAsia="宋体" w:cs="宋体"/>
                <w:color w:val="auto"/>
                <w:szCs w:val="21"/>
                <w:highlight w:val="none"/>
              </w:rPr>
            </w:pPr>
          </w:p>
        </w:tc>
        <w:tc>
          <w:tcPr>
            <w:tcW w:w="1258" w:type="dxa"/>
            <w:vAlign w:val="center"/>
          </w:tcPr>
          <w:p w14:paraId="23409D88">
            <w:pPr>
              <w:spacing w:line="360" w:lineRule="auto"/>
              <w:jc w:val="center"/>
              <w:rPr>
                <w:rFonts w:ascii="宋体" w:hAnsi="宋体" w:eastAsia="宋体" w:cs="宋体"/>
                <w:color w:val="auto"/>
                <w:szCs w:val="21"/>
                <w:highlight w:val="none"/>
              </w:rPr>
            </w:pPr>
          </w:p>
        </w:tc>
      </w:tr>
      <w:tr w14:paraId="2F0E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4958FD9">
            <w:pPr>
              <w:spacing w:line="360" w:lineRule="auto"/>
              <w:jc w:val="center"/>
              <w:rPr>
                <w:rFonts w:ascii="宋体" w:hAnsi="宋体" w:eastAsia="宋体" w:cs="宋体"/>
                <w:color w:val="auto"/>
                <w:szCs w:val="21"/>
                <w:highlight w:val="none"/>
              </w:rPr>
            </w:pPr>
          </w:p>
        </w:tc>
        <w:tc>
          <w:tcPr>
            <w:tcW w:w="961" w:type="dxa"/>
            <w:vAlign w:val="center"/>
          </w:tcPr>
          <w:p w14:paraId="58BC67C6">
            <w:pPr>
              <w:spacing w:line="360" w:lineRule="auto"/>
              <w:jc w:val="center"/>
              <w:rPr>
                <w:rFonts w:ascii="宋体" w:hAnsi="宋体" w:eastAsia="宋体" w:cs="宋体"/>
                <w:color w:val="auto"/>
                <w:szCs w:val="21"/>
                <w:highlight w:val="none"/>
              </w:rPr>
            </w:pPr>
          </w:p>
        </w:tc>
        <w:tc>
          <w:tcPr>
            <w:tcW w:w="1257" w:type="dxa"/>
            <w:vAlign w:val="center"/>
          </w:tcPr>
          <w:p w14:paraId="4EE60A78">
            <w:pPr>
              <w:spacing w:line="360" w:lineRule="auto"/>
              <w:jc w:val="center"/>
              <w:rPr>
                <w:rFonts w:ascii="宋体" w:hAnsi="宋体" w:eastAsia="宋体" w:cs="宋体"/>
                <w:color w:val="auto"/>
                <w:szCs w:val="21"/>
                <w:highlight w:val="none"/>
              </w:rPr>
            </w:pPr>
          </w:p>
        </w:tc>
        <w:tc>
          <w:tcPr>
            <w:tcW w:w="1258" w:type="dxa"/>
            <w:vAlign w:val="center"/>
          </w:tcPr>
          <w:p w14:paraId="6A2C7AE1">
            <w:pPr>
              <w:spacing w:line="360" w:lineRule="auto"/>
              <w:jc w:val="center"/>
              <w:rPr>
                <w:rFonts w:ascii="宋体" w:hAnsi="宋体" w:eastAsia="宋体" w:cs="宋体"/>
                <w:color w:val="auto"/>
                <w:szCs w:val="21"/>
                <w:highlight w:val="none"/>
              </w:rPr>
            </w:pPr>
          </w:p>
        </w:tc>
        <w:tc>
          <w:tcPr>
            <w:tcW w:w="1257" w:type="dxa"/>
            <w:vAlign w:val="center"/>
          </w:tcPr>
          <w:p w14:paraId="4772E90C">
            <w:pPr>
              <w:spacing w:line="360" w:lineRule="auto"/>
              <w:jc w:val="center"/>
              <w:rPr>
                <w:rFonts w:ascii="宋体" w:hAnsi="宋体" w:eastAsia="宋体" w:cs="宋体"/>
                <w:color w:val="auto"/>
                <w:szCs w:val="21"/>
                <w:highlight w:val="none"/>
              </w:rPr>
            </w:pPr>
          </w:p>
        </w:tc>
        <w:tc>
          <w:tcPr>
            <w:tcW w:w="1258" w:type="dxa"/>
            <w:vAlign w:val="center"/>
          </w:tcPr>
          <w:p w14:paraId="1E634D00">
            <w:pPr>
              <w:spacing w:line="360" w:lineRule="auto"/>
              <w:jc w:val="center"/>
              <w:rPr>
                <w:rFonts w:ascii="宋体" w:hAnsi="宋体" w:eastAsia="宋体" w:cs="宋体"/>
                <w:color w:val="auto"/>
                <w:szCs w:val="21"/>
                <w:highlight w:val="none"/>
              </w:rPr>
            </w:pPr>
          </w:p>
        </w:tc>
        <w:tc>
          <w:tcPr>
            <w:tcW w:w="1257" w:type="dxa"/>
            <w:vAlign w:val="center"/>
          </w:tcPr>
          <w:p w14:paraId="628DB218">
            <w:pPr>
              <w:spacing w:line="360" w:lineRule="auto"/>
              <w:jc w:val="center"/>
              <w:rPr>
                <w:rFonts w:ascii="宋体" w:hAnsi="宋体" w:eastAsia="宋体" w:cs="宋体"/>
                <w:color w:val="auto"/>
                <w:szCs w:val="21"/>
                <w:highlight w:val="none"/>
              </w:rPr>
            </w:pPr>
          </w:p>
        </w:tc>
        <w:tc>
          <w:tcPr>
            <w:tcW w:w="1258" w:type="dxa"/>
            <w:vAlign w:val="center"/>
          </w:tcPr>
          <w:p w14:paraId="70F62C4A">
            <w:pPr>
              <w:spacing w:line="360" w:lineRule="auto"/>
              <w:jc w:val="center"/>
              <w:rPr>
                <w:rFonts w:ascii="宋体" w:hAnsi="宋体" w:eastAsia="宋体" w:cs="宋体"/>
                <w:color w:val="auto"/>
                <w:szCs w:val="21"/>
                <w:highlight w:val="none"/>
              </w:rPr>
            </w:pPr>
          </w:p>
        </w:tc>
      </w:tr>
      <w:tr w14:paraId="014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9A6931">
            <w:pPr>
              <w:spacing w:line="360" w:lineRule="auto"/>
              <w:jc w:val="center"/>
              <w:rPr>
                <w:rFonts w:ascii="宋体" w:hAnsi="宋体" w:eastAsia="宋体" w:cs="宋体"/>
                <w:color w:val="auto"/>
                <w:szCs w:val="21"/>
                <w:highlight w:val="none"/>
              </w:rPr>
            </w:pPr>
          </w:p>
        </w:tc>
        <w:tc>
          <w:tcPr>
            <w:tcW w:w="961" w:type="dxa"/>
            <w:vAlign w:val="center"/>
          </w:tcPr>
          <w:p w14:paraId="43C24CF9">
            <w:pPr>
              <w:spacing w:line="360" w:lineRule="auto"/>
              <w:jc w:val="center"/>
              <w:rPr>
                <w:rFonts w:ascii="宋体" w:hAnsi="宋体" w:eastAsia="宋体" w:cs="宋体"/>
                <w:color w:val="auto"/>
                <w:szCs w:val="21"/>
                <w:highlight w:val="none"/>
              </w:rPr>
            </w:pPr>
          </w:p>
        </w:tc>
        <w:tc>
          <w:tcPr>
            <w:tcW w:w="1257" w:type="dxa"/>
            <w:vAlign w:val="center"/>
          </w:tcPr>
          <w:p w14:paraId="100FD3F0">
            <w:pPr>
              <w:spacing w:line="360" w:lineRule="auto"/>
              <w:jc w:val="center"/>
              <w:rPr>
                <w:rFonts w:ascii="宋体" w:hAnsi="宋体" w:eastAsia="宋体" w:cs="宋体"/>
                <w:color w:val="auto"/>
                <w:szCs w:val="21"/>
                <w:highlight w:val="none"/>
              </w:rPr>
            </w:pPr>
          </w:p>
        </w:tc>
        <w:tc>
          <w:tcPr>
            <w:tcW w:w="1258" w:type="dxa"/>
            <w:vAlign w:val="center"/>
          </w:tcPr>
          <w:p w14:paraId="4A424BBE">
            <w:pPr>
              <w:spacing w:line="360" w:lineRule="auto"/>
              <w:jc w:val="center"/>
              <w:rPr>
                <w:rFonts w:ascii="宋体" w:hAnsi="宋体" w:eastAsia="宋体" w:cs="宋体"/>
                <w:color w:val="auto"/>
                <w:szCs w:val="21"/>
                <w:highlight w:val="none"/>
              </w:rPr>
            </w:pPr>
          </w:p>
        </w:tc>
        <w:tc>
          <w:tcPr>
            <w:tcW w:w="1257" w:type="dxa"/>
            <w:vAlign w:val="center"/>
          </w:tcPr>
          <w:p w14:paraId="6C60A2A5">
            <w:pPr>
              <w:spacing w:line="360" w:lineRule="auto"/>
              <w:jc w:val="center"/>
              <w:rPr>
                <w:rFonts w:ascii="宋体" w:hAnsi="宋体" w:eastAsia="宋体" w:cs="宋体"/>
                <w:color w:val="auto"/>
                <w:szCs w:val="21"/>
                <w:highlight w:val="none"/>
              </w:rPr>
            </w:pPr>
          </w:p>
        </w:tc>
        <w:tc>
          <w:tcPr>
            <w:tcW w:w="1258" w:type="dxa"/>
            <w:vAlign w:val="center"/>
          </w:tcPr>
          <w:p w14:paraId="524C7FFD">
            <w:pPr>
              <w:spacing w:line="360" w:lineRule="auto"/>
              <w:jc w:val="center"/>
              <w:rPr>
                <w:rFonts w:ascii="宋体" w:hAnsi="宋体" w:eastAsia="宋体" w:cs="宋体"/>
                <w:color w:val="auto"/>
                <w:szCs w:val="21"/>
                <w:highlight w:val="none"/>
              </w:rPr>
            </w:pPr>
          </w:p>
        </w:tc>
        <w:tc>
          <w:tcPr>
            <w:tcW w:w="1257" w:type="dxa"/>
            <w:vAlign w:val="center"/>
          </w:tcPr>
          <w:p w14:paraId="5BD6E40D">
            <w:pPr>
              <w:spacing w:line="360" w:lineRule="auto"/>
              <w:jc w:val="center"/>
              <w:rPr>
                <w:rFonts w:ascii="宋体" w:hAnsi="宋体" w:eastAsia="宋体" w:cs="宋体"/>
                <w:color w:val="auto"/>
                <w:szCs w:val="21"/>
                <w:highlight w:val="none"/>
              </w:rPr>
            </w:pPr>
          </w:p>
        </w:tc>
        <w:tc>
          <w:tcPr>
            <w:tcW w:w="1258" w:type="dxa"/>
            <w:vAlign w:val="center"/>
          </w:tcPr>
          <w:p w14:paraId="5DF7AA13">
            <w:pPr>
              <w:spacing w:line="360" w:lineRule="auto"/>
              <w:jc w:val="center"/>
              <w:rPr>
                <w:rFonts w:ascii="宋体" w:hAnsi="宋体" w:eastAsia="宋体" w:cs="宋体"/>
                <w:color w:val="auto"/>
                <w:szCs w:val="21"/>
                <w:highlight w:val="none"/>
              </w:rPr>
            </w:pPr>
          </w:p>
        </w:tc>
      </w:tr>
      <w:tr w14:paraId="3BFC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F2A760D">
            <w:pPr>
              <w:spacing w:line="360" w:lineRule="auto"/>
              <w:jc w:val="center"/>
              <w:rPr>
                <w:rFonts w:ascii="宋体" w:hAnsi="宋体" w:eastAsia="宋体" w:cs="宋体"/>
                <w:color w:val="auto"/>
                <w:szCs w:val="21"/>
                <w:highlight w:val="none"/>
              </w:rPr>
            </w:pPr>
          </w:p>
        </w:tc>
        <w:tc>
          <w:tcPr>
            <w:tcW w:w="961" w:type="dxa"/>
            <w:vAlign w:val="center"/>
          </w:tcPr>
          <w:p w14:paraId="5AFFA82A">
            <w:pPr>
              <w:spacing w:line="360" w:lineRule="auto"/>
              <w:jc w:val="center"/>
              <w:rPr>
                <w:rFonts w:ascii="宋体" w:hAnsi="宋体" w:eastAsia="宋体" w:cs="宋体"/>
                <w:color w:val="auto"/>
                <w:szCs w:val="21"/>
                <w:highlight w:val="none"/>
              </w:rPr>
            </w:pPr>
          </w:p>
        </w:tc>
        <w:tc>
          <w:tcPr>
            <w:tcW w:w="1257" w:type="dxa"/>
            <w:vAlign w:val="center"/>
          </w:tcPr>
          <w:p w14:paraId="1CE33797">
            <w:pPr>
              <w:spacing w:line="360" w:lineRule="auto"/>
              <w:jc w:val="center"/>
              <w:rPr>
                <w:rFonts w:ascii="宋体" w:hAnsi="宋体" w:eastAsia="宋体" w:cs="宋体"/>
                <w:color w:val="auto"/>
                <w:szCs w:val="21"/>
                <w:highlight w:val="none"/>
              </w:rPr>
            </w:pPr>
          </w:p>
        </w:tc>
        <w:tc>
          <w:tcPr>
            <w:tcW w:w="1258" w:type="dxa"/>
            <w:vAlign w:val="center"/>
          </w:tcPr>
          <w:p w14:paraId="53D857A6">
            <w:pPr>
              <w:spacing w:line="360" w:lineRule="auto"/>
              <w:jc w:val="center"/>
              <w:rPr>
                <w:rFonts w:ascii="宋体" w:hAnsi="宋体" w:eastAsia="宋体" w:cs="宋体"/>
                <w:color w:val="auto"/>
                <w:szCs w:val="21"/>
                <w:highlight w:val="none"/>
              </w:rPr>
            </w:pPr>
          </w:p>
        </w:tc>
        <w:tc>
          <w:tcPr>
            <w:tcW w:w="1257" w:type="dxa"/>
            <w:vAlign w:val="center"/>
          </w:tcPr>
          <w:p w14:paraId="2DA75332">
            <w:pPr>
              <w:spacing w:line="360" w:lineRule="auto"/>
              <w:jc w:val="center"/>
              <w:rPr>
                <w:rFonts w:ascii="宋体" w:hAnsi="宋体" w:eastAsia="宋体" w:cs="宋体"/>
                <w:color w:val="auto"/>
                <w:szCs w:val="21"/>
                <w:highlight w:val="none"/>
              </w:rPr>
            </w:pPr>
          </w:p>
        </w:tc>
        <w:tc>
          <w:tcPr>
            <w:tcW w:w="1258" w:type="dxa"/>
            <w:vAlign w:val="center"/>
          </w:tcPr>
          <w:p w14:paraId="072F817B">
            <w:pPr>
              <w:spacing w:line="360" w:lineRule="auto"/>
              <w:jc w:val="center"/>
              <w:rPr>
                <w:rFonts w:ascii="宋体" w:hAnsi="宋体" w:eastAsia="宋体" w:cs="宋体"/>
                <w:color w:val="auto"/>
                <w:szCs w:val="21"/>
                <w:highlight w:val="none"/>
              </w:rPr>
            </w:pPr>
          </w:p>
        </w:tc>
        <w:tc>
          <w:tcPr>
            <w:tcW w:w="1257" w:type="dxa"/>
            <w:vAlign w:val="center"/>
          </w:tcPr>
          <w:p w14:paraId="4486F6C4">
            <w:pPr>
              <w:spacing w:line="360" w:lineRule="auto"/>
              <w:jc w:val="center"/>
              <w:rPr>
                <w:rFonts w:ascii="宋体" w:hAnsi="宋体" w:eastAsia="宋体" w:cs="宋体"/>
                <w:color w:val="auto"/>
                <w:szCs w:val="21"/>
                <w:highlight w:val="none"/>
              </w:rPr>
            </w:pPr>
          </w:p>
        </w:tc>
        <w:tc>
          <w:tcPr>
            <w:tcW w:w="1258" w:type="dxa"/>
            <w:vAlign w:val="center"/>
          </w:tcPr>
          <w:p w14:paraId="08B5A80E">
            <w:pPr>
              <w:spacing w:line="360" w:lineRule="auto"/>
              <w:jc w:val="center"/>
              <w:rPr>
                <w:rFonts w:ascii="宋体" w:hAnsi="宋体" w:eastAsia="宋体" w:cs="宋体"/>
                <w:color w:val="auto"/>
                <w:szCs w:val="21"/>
                <w:highlight w:val="none"/>
              </w:rPr>
            </w:pPr>
          </w:p>
        </w:tc>
      </w:tr>
    </w:tbl>
    <w:p w14:paraId="6D9028B0">
      <w:pPr>
        <w:rPr>
          <w:rFonts w:ascii="宋体" w:hAnsi="宋体" w:eastAsia="宋体" w:cs="宋体"/>
          <w:color w:val="auto"/>
          <w:highlight w:val="none"/>
        </w:rPr>
      </w:pPr>
    </w:p>
    <w:p w14:paraId="4E75E4D8">
      <w:pPr>
        <w:rPr>
          <w:rFonts w:ascii="宋体" w:hAnsi="宋体" w:eastAsia="宋体" w:cs="宋体"/>
          <w:b/>
          <w:color w:val="auto"/>
          <w:highlight w:val="none"/>
        </w:rPr>
      </w:pPr>
    </w:p>
    <w:p w14:paraId="1BD90485">
      <w:pPr>
        <w:rPr>
          <w:rFonts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6F8F11D2">
      <w:pPr>
        <w:spacing w:line="460" w:lineRule="exact"/>
        <w:ind w:left="-6" w:firstLine="420"/>
        <w:rPr>
          <w:rFonts w:ascii="宋体" w:hAnsi="宋体" w:eastAsia="宋体" w:cs="宋体"/>
          <w:color w:val="auto"/>
          <w:highlight w:val="none"/>
        </w:rPr>
      </w:pPr>
      <w:r>
        <w:rPr>
          <w:rFonts w:hint="eastAsia" w:ascii="宋体" w:hAnsi="宋体" w:eastAsia="宋体" w:cs="宋体"/>
          <w:color w:val="auto"/>
          <w:highlight w:val="none"/>
        </w:rPr>
        <w:t>（1） 供应商应提交施工进度计划，说明按采购文件要求的工期进行施工的各个关键日期。成交的供应商还应按合同条件有关条款的要求提交详细的施工进度计划。</w:t>
      </w:r>
    </w:p>
    <w:p w14:paraId="5EAB8545">
      <w:pPr>
        <w:spacing w:line="460" w:lineRule="exact"/>
        <w:ind w:left="-6" w:firstLine="420"/>
        <w:rPr>
          <w:rFonts w:ascii="宋体" w:hAnsi="宋体" w:eastAsia="宋体" w:cs="宋体"/>
          <w:color w:val="auto"/>
          <w:highlight w:val="none"/>
        </w:rPr>
      </w:pPr>
      <w:r>
        <w:rPr>
          <w:rFonts w:hint="eastAsia" w:ascii="宋体" w:hAnsi="宋体" w:eastAsia="宋体" w:cs="宋体"/>
          <w:color w:val="auto"/>
          <w:highlight w:val="none"/>
        </w:rPr>
        <w:t>（2）施工进度计划可采用网络图（或横道图）表示，说明计划开工日期和各分项工程各阶段的完工日期和分包合同签订的日期。</w:t>
      </w:r>
    </w:p>
    <w:p w14:paraId="75249C21">
      <w:pPr>
        <w:spacing w:line="460" w:lineRule="exact"/>
        <w:ind w:left="-6" w:firstLine="420"/>
        <w:rPr>
          <w:rFonts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188685B1">
      <w:pPr>
        <w:rPr>
          <w:rFonts w:ascii="宋体" w:hAnsi="宋体" w:eastAsia="宋体" w:cs="宋体"/>
          <w:color w:val="auto"/>
          <w:highlight w:val="none"/>
        </w:rPr>
      </w:pPr>
    </w:p>
    <w:p w14:paraId="7BC399C2">
      <w:pPr>
        <w:rPr>
          <w:rFonts w:ascii="宋体" w:hAnsi="宋体" w:eastAsia="宋体" w:cs="宋体"/>
          <w:color w:val="auto"/>
          <w:highlight w:val="none"/>
        </w:rPr>
      </w:pPr>
      <w:r>
        <w:rPr>
          <w:rFonts w:hint="eastAsia" w:ascii="宋体" w:hAnsi="宋体" w:eastAsia="宋体" w:cs="宋体"/>
          <w:color w:val="auto"/>
          <w:highlight w:val="none"/>
        </w:rPr>
        <w:t>附表五：施工总平面图</w:t>
      </w:r>
    </w:p>
    <w:p w14:paraId="19EEAC1A">
      <w:pPr>
        <w:spacing w:line="4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744D2866">
      <w:pPr>
        <w:rPr>
          <w:rFonts w:ascii="宋体" w:hAnsi="宋体" w:eastAsia="宋体" w:cs="宋体"/>
          <w:color w:val="auto"/>
          <w:highlight w:val="none"/>
        </w:rPr>
      </w:pPr>
    </w:p>
    <w:p w14:paraId="4F13D1C8">
      <w:pPr>
        <w:rPr>
          <w:rFonts w:ascii="宋体" w:hAnsi="宋体" w:eastAsia="宋体" w:cs="宋体"/>
          <w:color w:val="auto"/>
          <w:highlight w:val="none"/>
        </w:rPr>
      </w:pPr>
    </w:p>
    <w:p w14:paraId="4663C1E5">
      <w:pPr>
        <w:rPr>
          <w:rFonts w:ascii="宋体" w:hAnsi="宋体" w:eastAsia="宋体" w:cs="宋体"/>
          <w:color w:val="auto"/>
          <w:highlight w:val="none"/>
        </w:rPr>
      </w:pPr>
      <w:r>
        <w:rPr>
          <w:rFonts w:hint="eastAsia" w:ascii="宋体" w:hAnsi="宋体" w:eastAsia="宋体" w:cs="宋体"/>
          <w:color w:val="auto"/>
          <w:highlight w:val="none"/>
        </w:rPr>
        <w:t>附表六：临时用地表</w:t>
      </w:r>
    </w:p>
    <w:p w14:paraId="7C1238AB">
      <w:pPr>
        <w:rPr>
          <w:rFonts w:ascii="宋体" w:hAnsi="宋体" w:eastAsia="宋体" w:cs="宋体"/>
          <w:color w:val="auto"/>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2E07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vAlign w:val="center"/>
          </w:tcPr>
          <w:p w14:paraId="6214E717">
            <w:pPr>
              <w:jc w:val="center"/>
              <w:rPr>
                <w:rFonts w:ascii="宋体" w:hAnsi="宋体" w:eastAsia="宋体" w:cs="宋体"/>
                <w:color w:val="auto"/>
                <w:highlight w:val="none"/>
              </w:rPr>
            </w:pPr>
            <w:r>
              <w:rPr>
                <w:rFonts w:hint="eastAsia" w:ascii="宋体" w:hAnsi="宋体" w:eastAsia="宋体" w:cs="宋体"/>
                <w:color w:val="auto"/>
                <w:szCs w:val="21"/>
                <w:highlight w:val="none"/>
              </w:rPr>
              <w:t>用途</w:t>
            </w:r>
          </w:p>
        </w:tc>
        <w:tc>
          <w:tcPr>
            <w:tcW w:w="2091" w:type="dxa"/>
            <w:vAlign w:val="center"/>
          </w:tcPr>
          <w:p w14:paraId="56F237A5">
            <w:pPr>
              <w:jc w:val="center"/>
              <w:rPr>
                <w:rFonts w:ascii="宋体" w:hAnsi="宋体" w:eastAsia="宋体" w:cs="宋体"/>
                <w:color w:val="auto"/>
                <w:highlight w:val="none"/>
              </w:rPr>
            </w:pPr>
            <w:r>
              <w:rPr>
                <w:rFonts w:hint="eastAsia" w:ascii="宋体" w:hAnsi="宋体" w:eastAsia="宋体" w:cs="宋体"/>
                <w:color w:val="auto"/>
                <w:szCs w:val="21"/>
                <w:highlight w:val="none"/>
              </w:rPr>
              <w:t>面积（平方米）</w:t>
            </w:r>
          </w:p>
        </w:tc>
        <w:tc>
          <w:tcPr>
            <w:tcW w:w="2090" w:type="dxa"/>
            <w:vAlign w:val="center"/>
          </w:tcPr>
          <w:p w14:paraId="254D8A10">
            <w:pPr>
              <w:jc w:val="center"/>
              <w:rPr>
                <w:rFonts w:ascii="宋体" w:hAnsi="宋体" w:eastAsia="宋体" w:cs="宋体"/>
                <w:color w:val="auto"/>
                <w:highlight w:val="none"/>
              </w:rPr>
            </w:pPr>
            <w:r>
              <w:rPr>
                <w:rFonts w:hint="eastAsia" w:ascii="宋体" w:hAnsi="宋体" w:eastAsia="宋体" w:cs="宋体"/>
                <w:color w:val="auto"/>
                <w:szCs w:val="21"/>
                <w:highlight w:val="none"/>
              </w:rPr>
              <w:t>位置</w:t>
            </w:r>
          </w:p>
        </w:tc>
        <w:tc>
          <w:tcPr>
            <w:tcW w:w="2091" w:type="dxa"/>
            <w:vAlign w:val="center"/>
          </w:tcPr>
          <w:p w14:paraId="2AB6487A">
            <w:pPr>
              <w:jc w:val="center"/>
              <w:rPr>
                <w:rFonts w:ascii="宋体" w:hAnsi="宋体" w:eastAsia="宋体" w:cs="宋体"/>
                <w:color w:val="auto"/>
                <w:highlight w:val="none"/>
              </w:rPr>
            </w:pPr>
            <w:r>
              <w:rPr>
                <w:rFonts w:hint="eastAsia" w:ascii="宋体" w:hAnsi="宋体" w:eastAsia="宋体" w:cs="宋体"/>
                <w:color w:val="auto"/>
                <w:szCs w:val="21"/>
                <w:highlight w:val="none"/>
              </w:rPr>
              <w:t>需用时间</w:t>
            </w:r>
          </w:p>
        </w:tc>
      </w:tr>
      <w:tr w14:paraId="4B81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674D88BB">
            <w:pPr>
              <w:rPr>
                <w:rFonts w:ascii="宋体" w:hAnsi="宋体" w:eastAsia="宋体" w:cs="宋体"/>
                <w:color w:val="auto"/>
                <w:highlight w:val="none"/>
              </w:rPr>
            </w:pPr>
          </w:p>
        </w:tc>
        <w:tc>
          <w:tcPr>
            <w:tcW w:w="2091" w:type="dxa"/>
          </w:tcPr>
          <w:p w14:paraId="248357BC">
            <w:pPr>
              <w:rPr>
                <w:rFonts w:ascii="宋体" w:hAnsi="宋体" w:eastAsia="宋体" w:cs="宋体"/>
                <w:color w:val="auto"/>
                <w:highlight w:val="none"/>
              </w:rPr>
            </w:pPr>
          </w:p>
        </w:tc>
        <w:tc>
          <w:tcPr>
            <w:tcW w:w="2090" w:type="dxa"/>
          </w:tcPr>
          <w:p w14:paraId="5DC98D0E">
            <w:pPr>
              <w:rPr>
                <w:rFonts w:ascii="宋体" w:hAnsi="宋体" w:eastAsia="宋体" w:cs="宋体"/>
                <w:color w:val="auto"/>
                <w:highlight w:val="none"/>
              </w:rPr>
            </w:pPr>
          </w:p>
        </w:tc>
        <w:tc>
          <w:tcPr>
            <w:tcW w:w="2091" w:type="dxa"/>
          </w:tcPr>
          <w:p w14:paraId="1835300C">
            <w:pPr>
              <w:rPr>
                <w:rFonts w:ascii="宋体" w:hAnsi="宋体" w:eastAsia="宋体" w:cs="宋体"/>
                <w:color w:val="auto"/>
                <w:highlight w:val="none"/>
              </w:rPr>
            </w:pPr>
          </w:p>
        </w:tc>
      </w:tr>
      <w:tr w14:paraId="5C4B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30F5C2F2">
            <w:pPr>
              <w:rPr>
                <w:rFonts w:ascii="宋体" w:hAnsi="宋体" w:eastAsia="宋体" w:cs="宋体"/>
                <w:color w:val="auto"/>
                <w:highlight w:val="none"/>
              </w:rPr>
            </w:pPr>
          </w:p>
        </w:tc>
        <w:tc>
          <w:tcPr>
            <w:tcW w:w="2091" w:type="dxa"/>
          </w:tcPr>
          <w:p w14:paraId="5F447A61">
            <w:pPr>
              <w:rPr>
                <w:rFonts w:ascii="宋体" w:hAnsi="宋体" w:eastAsia="宋体" w:cs="宋体"/>
                <w:color w:val="auto"/>
                <w:highlight w:val="none"/>
              </w:rPr>
            </w:pPr>
          </w:p>
        </w:tc>
        <w:tc>
          <w:tcPr>
            <w:tcW w:w="2090" w:type="dxa"/>
          </w:tcPr>
          <w:p w14:paraId="6117CB7B">
            <w:pPr>
              <w:rPr>
                <w:rFonts w:ascii="宋体" w:hAnsi="宋体" w:eastAsia="宋体" w:cs="宋体"/>
                <w:color w:val="auto"/>
                <w:highlight w:val="none"/>
              </w:rPr>
            </w:pPr>
          </w:p>
        </w:tc>
        <w:tc>
          <w:tcPr>
            <w:tcW w:w="2091" w:type="dxa"/>
          </w:tcPr>
          <w:p w14:paraId="68E60B44">
            <w:pPr>
              <w:rPr>
                <w:rFonts w:ascii="宋体" w:hAnsi="宋体" w:eastAsia="宋体" w:cs="宋体"/>
                <w:color w:val="auto"/>
                <w:highlight w:val="none"/>
              </w:rPr>
            </w:pPr>
          </w:p>
        </w:tc>
      </w:tr>
      <w:tr w14:paraId="0B12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tcPr>
          <w:p w14:paraId="4AB9119E">
            <w:pPr>
              <w:rPr>
                <w:rFonts w:ascii="宋体" w:hAnsi="宋体" w:eastAsia="宋体" w:cs="宋体"/>
                <w:color w:val="auto"/>
                <w:highlight w:val="none"/>
              </w:rPr>
            </w:pPr>
          </w:p>
        </w:tc>
        <w:tc>
          <w:tcPr>
            <w:tcW w:w="2091" w:type="dxa"/>
          </w:tcPr>
          <w:p w14:paraId="38E5BB5B">
            <w:pPr>
              <w:rPr>
                <w:rFonts w:ascii="宋体" w:hAnsi="宋体" w:eastAsia="宋体" w:cs="宋体"/>
                <w:color w:val="auto"/>
                <w:highlight w:val="none"/>
              </w:rPr>
            </w:pPr>
          </w:p>
        </w:tc>
        <w:tc>
          <w:tcPr>
            <w:tcW w:w="2090" w:type="dxa"/>
          </w:tcPr>
          <w:p w14:paraId="60516D8B">
            <w:pPr>
              <w:rPr>
                <w:rFonts w:ascii="宋体" w:hAnsi="宋体" w:eastAsia="宋体" w:cs="宋体"/>
                <w:color w:val="auto"/>
                <w:highlight w:val="none"/>
              </w:rPr>
            </w:pPr>
          </w:p>
        </w:tc>
        <w:tc>
          <w:tcPr>
            <w:tcW w:w="2091" w:type="dxa"/>
          </w:tcPr>
          <w:p w14:paraId="2EE46562">
            <w:pPr>
              <w:rPr>
                <w:rFonts w:ascii="宋体" w:hAnsi="宋体" w:eastAsia="宋体" w:cs="宋体"/>
                <w:color w:val="auto"/>
                <w:highlight w:val="none"/>
              </w:rPr>
            </w:pPr>
          </w:p>
        </w:tc>
      </w:tr>
      <w:tr w14:paraId="1D42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330EB8D">
            <w:pPr>
              <w:rPr>
                <w:rFonts w:ascii="宋体" w:hAnsi="宋体" w:eastAsia="宋体" w:cs="宋体"/>
                <w:color w:val="auto"/>
                <w:highlight w:val="none"/>
              </w:rPr>
            </w:pPr>
          </w:p>
        </w:tc>
        <w:tc>
          <w:tcPr>
            <w:tcW w:w="2091" w:type="dxa"/>
          </w:tcPr>
          <w:p w14:paraId="16C97198">
            <w:pPr>
              <w:rPr>
                <w:rFonts w:ascii="宋体" w:hAnsi="宋体" w:eastAsia="宋体" w:cs="宋体"/>
                <w:color w:val="auto"/>
                <w:highlight w:val="none"/>
              </w:rPr>
            </w:pPr>
          </w:p>
        </w:tc>
        <w:tc>
          <w:tcPr>
            <w:tcW w:w="2090" w:type="dxa"/>
          </w:tcPr>
          <w:p w14:paraId="491780E0">
            <w:pPr>
              <w:rPr>
                <w:rFonts w:ascii="宋体" w:hAnsi="宋体" w:eastAsia="宋体" w:cs="宋体"/>
                <w:color w:val="auto"/>
                <w:highlight w:val="none"/>
              </w:rPr>
            </w:pPr>
          </w:p>
        </w:tc>
        <w:tc>
          <w:tcPr>
            <w:tcW w:w="2091" w:type="dxa"/>
          </w:tcPr>
          <w:p w14:paraId="25B7F51B">
            <w:pPr>
              <w:rPr>
                <w:rFonts w:ascii="宋体" w:hAnsi="宋体" w:eastAsia="宋体" w:cs="宋体"/>
                <w:color w:val="auto"/>
                <w:highlight w:val="none"/>
              </w:rPr>
            </w:pPr>
          </w:p>
        </w:tc>
      </w:tr>
      <w:tr w14:paraId="482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293B6FA0">
            <w:pPr>
              <w:rPr>
                <w:rFonts w:ascii="宋体" w:hAnsi="宋体" w:eastAsia="宋体" w:cs="宋体"/>
                <w:color w:val="auto"/>
                <w:highlight w:val="none"/>
              </w:rPr>
            </w:pPr>
          </w:p>
        </w:tc>
        <w:tc>
          <w:tcPr>
            <w:tcW w:w="2091" w:type="dxa"/>
          </w:tcPr>
          <w:p w14:paraId="68362670">
            <w:pPr>
              <w:rPr>
                <w:rFonts w:ascii="宋体" w:hAnsi="宋体" w:eastAsia="宋体" w:cs="宋体"/>
                <w:color w:val="auto"/>
                <w:highlight w:val="none"/>
              </w:rPr>
            </w:pPr>
          </w:p>
        </w:tc>
        <w:tc>
          <w:tcPr>
            <w:tcW w:w="2090" w:type="dxa"/>
          </w:tcPr>
          <w:p w14:paraId="006D8450">
            <w:pPr>
              <w:rPr>
                <w:rFonts w:ascii="宋体" w:hAnsi="宋体" w:eastAsia="宋体" w:cs="宋体"/>
                <w:color w:val="auto"/>
                <w:highlight w:val="none"/>
              </w:rPr>
            </w:pPr>
          </w:p>
        </w:tc>
        <w:tc>
          <w:tcPr>
            <w:tcW w:w="2091" w:type="dxa"/>
          </w:tcPr>
          <w:p w14:paraId="04799A94">
            <w:pPr>
              <w:rPr>
                <w:rFonts w:ascii="宋体" w:hAnsi="宋体" w:eastAsia="宋体" w:cs="宋体"/>
                <w:color w:val="auto"/>
                <w:highlight w:val="none"/>
              </w:rPr>
            </w:pPr>
          </w:p>
        </w:tc>
      </w:tr>
    </w:tbl>
    <w:p w14:paraId="5231A743">
      <w:pPr>
        <w:rPr>
          <w:rFonts w:ascii="宋体" w:hAnsi="宋体" w:eastAsia="宋体" w:cs="宋体"/>
          <w:color w:val="auto"/>
          <w:highlight w:val="none"/>
        </w:rPr>
      </w:pPr>
    </w:p>
    <w:p w14:paraId="55EAA582">
      <w:pPr>
        <w:rPr>
          <w:rFonts w:ascii="宋体" w:hAnsi="宋体" w:eastAsia="宋体" w:cs="宋体"/>
          <w:color w:val="auto"/>
          <w:highlight w:val="none"/>
        </w:rPr>
      </w:pPr>
    </w:p>
    <w:p w14:paraId="25DC42D8">
      <w:pPr>
        <w:rPr>
          <w:rFonts w:ascii="宋体" w:hAnsi="宋体" w:eastAsia="宋体" w:cs="宋体"/>
          <w:color w:val="auto"/>
          <w:highlight w:val="none"/>
        </w:rPr>
      </w:pPr>
    </w:p>
    <w:p w14:paraId="0DFD3169">
      <w:pPr>
        <w:rPr>
          <w:rFonts w:ascii="宋体" w:hAnsi="宋体" w:eastAsia="宋体" w:cs="宋体"/>
          <w:color w:val="auto"/>
          <w:highlight w:val="none"/>
        </w:rPr>
      </w:pPr>
      <w:r>
        <w:rPr>
          <w:rFonts w:hint="eastAsia" w:ascii="宋体" w:hAnsi="宋体" w:eastAsia="宋体" w:cs="宋体"/>
          <w:color w:val="auto"/>
          <w:highlight w:val="none"/>
        </w:rPr>
        <w:t>附表七：拟分包计划表</w:t>
      </w:r>
    </w:p>
    <w:p w14:paraId="455D53EC">
      <w:pPr>
        <w:jc w:val="left"/>
        <w:rPr>
          <w:rFonts w:ascii="宋体" w:hAnsi="宋体" w:eastAsia="宋体" w:cs="宋体"/>
          <w:color w:val="auto"/>
          <w:szCs w:val="21"/>
          <w:highlight w:val="none"/>
        </w:rPr>
      </w:pPr>
    </w:p>
    <w:p w14:paraId="28696937">
      <w:pPr>
        <w:rPr>
          <w:rFonts w:ascii="宋体" w:hAnsi="宋体" w:eastAsia="宋体" w:cs="宋体"/>
          <w:color w:val="auto"/>
          <w:szCs w:val="21"/>
          <w:highlight w:val="none"/>
        </w:rPr>
      </w:pPr>
      <w:r>
        <w:rPr>
          <w:rFonts w:hint="eastAsia" w:ascii="宋体" w:hAnsi="宋体" w:eastAsia="宋体" w:cs="宋体"/>
          <w:color w:val="auto"/>
          <w:szCs w:val="21"/>
          <w:highlight w:val="none"/>
        </w:rPr>
        <w:t>如供应商须知注明不允许分包，则本表无须提供，反之须提供。</w:t>
      </w:r>
    </w:p>
    <w:p w14:paraId="6EF62CB5">
      <w:pPr>
        <w:pStyle w:val="198"/>
        <w:jc w:val="center"/>
        <w:rPr>
          <w:rFonts w:ascii="宋体" w:hAnsi="宋体" w:eastAsia="宋体" w:cs="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2FE3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51E11C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w:t>
            </w:r>
          </w:p>
          <w:p w14:paraId="1D9C695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号</w:t>
            </w:r>
          </w:p>
        </w:tc>
        <w:tc>
          <w:tcPr>
            <w:tcW w:w="1843" w:type="dxa"/>
            <w:vMerge w:val="restart"/>
            <w:tcMar>
              <w:left w:w="108" w:type="dxa"/>
              <w:right w:w="108" w:type="dxa"/>
            </w:tcMar>
            <w:vAlign w:val="center"/>
          </w:tcPr>
          <w:p w14:paraId="1482000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拟分包项目名称、范围及理由</w:t>
            </w:r>
          </w:p>
        </w:tc>
        <w:tc>
          <w:tcPr>
            <w:tcW w:w="5111" w:type="dxa"/>
            <w:gridSpan w:val="5"/>
            <w:tcMar>
              <w:left w:w="108" w:type="dxa"/>
              <w:right w:w="108" w:type="dxa"/>
            </w:tcMar>
            <w:vAlign w:val="center"/>
          </w:tcPr>
          <w:p w14:paraId="5A48DD9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拟选分包人</w:t>
            </w:r>
          </w:p>
        </w:tc>
        <w:tc>
          <w:tcPr>
            <w:tcW w:w="1268" w:type="dxa"/>
            <w:vMerge w:val="restart"/>
            <w:tcMar>
              <w:left w:w="108" w:type="dxa"/>
              <w:right w:w="108" w:type="dxa"/>
            </w:tcMar>
            <w:vAlign w:val="center"/>
          </w:tcPr>
          <w:p w14:paraId="386904A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6B3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0C4D871">
            <w:pPr>
              <w:jc w:val="center"/>
              <w:rPr>
                <w:rFonts w:ascii="宋体" w:hAnsi="宋体" w:eastAsia="宋体" w:cs="宋体"/>
                <w:color w:val="auto"/>
                <w:szCs w:val="21"/>
                <w:highlight w:val="none"/>
              </w:rPr>
            </w:pPr>
          </w:p>
        </w:tc>
        <w:tc>
          <w:tcPr>
            <w:tcW w:w="1843" w:type="dxa"/>
            <w:vMerge w:val="continue"/>
            <w:tcMar>
              <w:left w:w="108" w:type="dxa"/>
              <w:right w:w="108" w:type="dxa"/>
            </w:tcMar>
            <w:vAlign w:val="center"/>
          </w:tcPr>
          <w:p w14:paraId="5AB03905">
            <w:pPr>
              <w:jc w:val="center"/>
              <w:rPr>
                <w:rFonts w:ascii="宋体" w:hAnsi="宋体" w:eastAsia="宋体" w:cs="宋体"/>
                <w:color w:val="auto"/>
                <w:szCs w:val="21"/>
                <w:highlight w:val="none"/>
              </w:rPr>
            </w:pPr>
          </w:p>
        </w:tc>
        <w:tc>
          <w:tcPr>
            <w:tcW w:w="1701" w:type="dxa"/>
            <w:gridSpan w:val="2"/>
            <w:tcMar>
              <w:left w:w="108" w:type="dxa"/>
              <w:right w:w="108" w:type="dxa"/>
            </w:tcMar>
            <w:vAlign w:val="center"/>
          </w:tcPr>
          <w:p w14:paraId="35886A1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拟选分包人名称</w:t>
            </w:r>
          </w:p>
        </w:tc>
        <w:tc>
          <w:tcPr>
            <w:tcW w:w="1123" w:type="dxa"/>
            <w:tcMar>
              <w:left w:w="108" w:type="dxa"/>
              <w:right w:w="108" w:type="dxa"/>
            </w:tcMar>
            <w:vAlign w:val="center"/>
          </w:tcPr>
          <w:p w14:paraId="4D5A655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注册地点</w:t>
            </w:r>
          </w:p>
        </w:tc>
        <w:tc>
          <w:tcPr>
            <w:tcW w:w="1090" w:type="dxa"/>
            <w:tcMar>
              <w:left w:w="108" w:type="dxa"/>
              <w:right w:w="108" w:type="dxa"/>
            </w:tcMar>
            <w:vAlign w:val="center"/>
          </w:tcPr>
          <w:p w14:paraId="1FEFBAC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企业资质</w:t>
            </w:r>
          </w:p>
        </w:tc>
        <w:tc>
          <w:tcPr>
            <w:tcW w:w="1197" w:type="dxa"/>
            <w:tcMar>
              <w:left w:w="108" w:type="dxa"/>
              <w:right w:w="108" w:type="dxa"/>
            </w:tcMar>
            <w:vAlign w:val="center"/>
          </w:tcPr>
          <w:p w14:paraId="4ADCAF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有关业绩</w:t>
            </w:r>
          </w:p>
        </w:tc>
        <w:tc>
          <w:tcPr>
            <w:tcW w:w="1268" w:type="dxa"/>
            <w:vMerge w:val="continue"/>
            <w:tcMar>
              <w:left w:w="108" w:type="dxa"/>
              <w:right w:w="108" w:type="dxa"/>
            </w:tcMar>
            <w:vAlign w:val="center"/>
          </w:tcPr>
          <w:p w14:paraId="0F3606E9">
            <w:pPr>
              <w:jc w:val="center"/>
              <w:rPr>
                <w:rFonts w:ascii="宋体" w:hAnsi="宋体" w:eastAsia="宋体" w:cs="宋体"/>
                <w:color w:val="auto"/>
                <w:szCs w:val="21"/>
                <w:highlight w:val="none"/>
              </w:rPr>
            </w:pPr>
          </w:p>
        </w:tc>
      </w:tr>
      <w:tr w14:paraId="2896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5AFDEF2F">
            <w:pPr>
              <w:jc w:val="center"/>
              <w:rPr>
                <w:rFonts w:ascii="宋体" w:hAnsi="宋体" w:eastAsia="宋体" w:cs="宋体"/>
                <w:color w:val="auto"/>
                <w:szCs w:val="21"/>
                <w:highlight w:val="none"/>
              </w:rPr>
            </w:pPr>
          </w:p>
        </w:tc>
        <w:tc>
          <w:tcPr>
            <w:tcW w:w="1843" w:type="dxa"/>
            <w:vMerge w:val="restart"/>
            <w:tcMar>
              <w:left w:w="108" w:type="dxa"/>
              <w:right w:w="108" w:type="dxa"/>
            </w:tcMar>
            <w:vAlign w:val="center"/>
          </w:tcPr>
          <w:p w14:paraId="5ACDB30B">
            <w:pPr>
              <w:jc w:val="center"/>
              <w:rPr>
                <w:rFonts w:ascii="宋体" w:hAnsi="宋体" w:eastAsia="宋体" w:cs="宋体"/>
                <w:color w:val="auto"/>
                <w:szCs w:val="21"/>
                <w:highlight w:val="none"/>
              </w:rPr>
            </w:pPr>
          </w:p>
        </w:tc>
        <w:tc>
          <w:tcPr>
            <w:tcW w:w="751" w:type="dxa"/>
            <w:tcMar>
              <w:left w:w="108" w:type="dxa"/>
              <w:right w:w="108" w:type="dxa"/>
            </w:tcMar>
            <w:vAlign w:val="center"/>
          </w:tcPr>
          <w:p w14:paraId="205A861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tcMar>
              <w:left w:w="108" w:type="dxa"/>
              <w:right w:w="108" w:type="dxa"/>
            </w:tcMar>
            <w:vAlign w:val="center"/>
          </w:tcPr>
          <w:p w14:paraId="4BD6D2B5">
            <w:pPr>
              <w:jc w:val="center"/>
              <w:rPr>
                <w:rFonts w:ascii="宋体" w:hAnsi="宋体" w:eastAsia="宋体" w:cs="宋体"/>
                <w:color w:val="auto"/>
                <w:szCs w:val="21"/>
                <w:highlight w:val="none"/>
              </w:rPr>
            </w:pPr>
          </w:p>
        </w:tc>
        <w:tc>
          <w:tcPr>
            <w:tcW w:w="1123" w:type="dxa"/>
            <w:tcMar>
              <w:left w:w="108" w:type="dxa"/>
              <w:right w:w="108" w:type="dxa"/>
            </w:tcMar>
            <w:vAlign w:val="center"/>
          </w:tcPr>
          <w:p w14:paraId="0B5E45FF">
            <w:pPr>
              <w:jc w:val="center"/>
              <w:rPr>
                <w:rFonts w:ascii="宋体" w:hAnsi="宋体" w:eastAsia="宋体" w:cs="宋体"/>
                <w:color w:val="auto"/>
                <w:szCs w:val="21"/>
                <w:highlight w:val="none"/>
              </w:rPr>
            </w:pPr>
          </w:p>
        </w:tc>
        <w:tc>
          <w:tcPr>
            <w:tcW w:w="1090" w:type="dxa"/>
            <w:tcMar>
              <w:left w:w="108" w:type="dxa"/>
              <w:right w:w="108" w:type="dxa"/>
            </w:tcMar>
            <w:vAlign w:val="center"/>
          </w:tcPr>
          <w:p w14:paraId="3AAFEBC1">
            <w:pPr>
              <w:jc w:val="center"/>
              <w:rPr>
                <w:rFonts w:ascii="宋体" w:hAnsi="宋体" w:eastAsia="宋体" w:cs="宋体"/>
                <w:color w:val="auto"/>
                <w:szCs w:val="21"/>
                <w:highlight w:val="none"/>
              </w:rPr>
            </w:pPr>
          </w:p>
        </w:tc>
        <w:tc>
          <w:tcPr>
            <w:tcW w:w="1197" w:type="dxa"/>
            <w:tcMar>
              <w:left w:w="108" w:type="dxa"/>
              <w:right w:w="108" w:type="dxa"/>
            </w:tcMar>
            <w:vAlign w:val="center"/>
          </w:tcPr>
          <w:p w14:paraId="09F413B9">
            <w:pPr>
              <w:jc w:val="center"/>
              <w:rPr>
                <w:rFonts w:ascii="宋体" w:hAnsi="宋体" w:eastAsia="宋体" w:cs="宋体"/>
                <w:color w:val="auto"/>
                <w:szCs w:val="21"/>
                <w:highlight w:val="none"/>
              </w:rPr>
            </w:pPr>
          </w:p>
        </w:tc>
        <w:tc>
          <w:tcPr>
            <w:tcW w:w="1268" w:type="dxa"/>
            <w:tcMar>
              <w:left w:w="108" w:type="dxa"/>
              <w:right w:w="108" w:type="dxa"/>
            </w:tcMar>
            <w:vAlign w:val="center"/>
          </w:tcPr>
          <w:p w14:paraId="73A5540E">
            <w:pPr>
              <w:jc w:val="center"/>
              <w:rPr>
                <w:rFonts w:ascii="宋体" w:hAnsi="宋体" w:eastAsia="宋体" w:cs="宋体"/>
                <w:color w:val="auto"/>
                <w:szCs w:val="21"/>
                <w:highlight w:val="none"/>
              </w:rPr>
            </w:pPr>
          </w:p>
        </w:tc>
      </w:tr>
      <w:tr w14:paraId="278D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35C85CE">
            <w:pPr>
              <w:jc w:val="center"/>
              <w:rPr>
                <w:rFonts w:ascii="宋体" w:hAnsi="宋体" w:eastAsia="宋体" w:cs="宋体"/>
                <w:color w:val="auto"/>
                <w:szCs w:val="21"/>
                <w:highlight w:val="none"/>
              </w:rPr>
            </w:pPr>
          </w:p>
        </w:tc>
        <w:tc>
          <w:tcPr>
            <w:tcW w:w="1843" w:type="dxa"/>
            <w:vMerge w:val="continue"/>
            <w:tcMar>
              <w:left w:w="108" w:type="dxa"/>
              <w:right w:w="108" w:type="dxa"/>
            </w:tcMar>
            <w:vAlign w:val="center"/>
          </w:tcPr>
          <w:p w14:paraId="7F8606E6">
            <w:pPr>
              <w:jc w:val="center"/>
              <w:rPr>
                <w:rFonts w:ascii="宋体" w:hAnsi="宋体" w:eastAsia="宋体" w:cs="宋体"/>
                <w:color w:val="auto"/>
                <w:szCs w:val="21"/>
                <w:highlight w:val="none"/>
              </w:rPr>
            </w:pPr>
          </w:p>
        </w:tc>
        <w:tc>
          <w:tcPr>
            <w:tcW w:w="751" w:type="dxa"/>
            <w:tcMar>
              <w:left w:w="108" w:type="dxa"/>
              <w:right w:w="108" w:type="dxa"/>
            </w:tcMar>
            <w:vAlign w:val="center"/>
          </w:tcPr>
          <w:p w14:paraId="53C3A8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tcMar>
              <w:left w:w="108" w:type="dxa"/>
              <w:right w:w="108" w:type="dxa"/>
            </w:tcMar>
            <w:vAlign w:val="center"/>
          </w:tcPr>
          <w:p w14:paraId="141C90D4">
            <w:pPr>
              <w:jc w:val="center"/>
              <w:rPr>
                <w:rFonts w:ascii="宋体" w:hAnsi="宋体" w:eastAsia="宋体" w:cs="宋体"/>
                <w:color w:val="auto"/>
                <w:szCs w:val="21"/>
                <w:highlight w:val="none"/>
              </w:rPr>
            </w:pPr>
          </w:p>
        </w:tc>
        <w:tc>
          <w:tcPr>
            <w:tcW w:w="1123" w:type="dxa"/>
            <w:tcMar>
              <w:left w:w="108" w:type="dxa"/>
              <w:right w:w="108" w:type="dxa"/>
            </w:tcMar>
            <w:vAlign w:val="center"/>
          </w:tcPr>
          <w:p w14:paraId="26ECDC59">
            <w:pPr>
              <w:jc w:val="center"/>
              <w:rPr>
                <w:rFonts w:ascii="宋体" w:hAnsi="宋体" w:eastAsia="宋体" w:cs="宋体"/>
                <w:color w:val="auto"/>
                <w:szCs w:val="21"/>
                <w:highlight w:val="none"/>
              </w:rPr>
            </w:pPr>
          </w:p>
        </w:tc>
        <w:tc>
          <w:tcPr>
            <w:tcW w:w="1090" w:type="dxa"/>
            <w:tcMar>
              <w:left w:w="108" w:type="dxa"/>
              <w:right w:w="108" w:type="dxa"/>
            </w:tcMar>
            <w:vAlign w:val="center"/>
          </w:tcPr>
          <w:p w14:paraId="67CE192C">
            <w:pPr>
              <w:jc w:val="center"/>
              <w:rPr>
                <w:rFonts w:ascii="宋体" w:hAnsi="宋体" w:eastAsia="宋体" w:cs="宋体"/>
                <w:color w:val="auto"/>
                <w:szCs w:val="21"/>
                <w:highlight w:val="none"/>
              </w:rPr>
            </w:pPr>
          </w:p>
        </w:tc>
        <w:tc>
          <w:tcPr>
            <w:tcW w:w="1197" w:type="dxa"/>
            <w:tcMar>
              <w:left w:w="108" w:type="dxa"/>
              <w:right w:w="108" w:type="dxa"/>
            </w:tcMar>
            <w:vAlign w:val="center"/>
          </w:tcPr>
          <w:p w14:paraId="68A89AD4">
            <w:pPr>
              <w:jc w:val="center"/>
              <w:rPr>
                <w:rFonts w:ascii="宋体" w:hAnsi="宋体" w:eastAsia="宋体" w:cs="宋体"/>
                <w:color w:val="auto"/>
                <w:szCs w:val="21"/>
                <w:highlight w:val="none"/>
              </w:rPr>
            </w:pPr>
          </w:p>
        </w:tc>
        <w:tc>
          <w:tcPr>
            <w:tcW w:w="1268" w:type="dxa"/>
            <w:tcMar>
              <w:left w:w="108" w:type="dxa"/>
              <w:right w:w="108" w:type="dxa"/>
            </w:tcMar>
            <w:vAlign w:val="center"/>
          </w:tcPr>
          <w:p w14:paraId="27489BCC">
            <w:pPr>
              <w:jc w:val="center"/>
              <w:rPr>
                <w:rFonts w:ascii="宋体" w:hAnsi="宋体" w:eastAsia="宋体" w:cs="宋体"/>
                <w:color w:val="auto"/>
                <w:szCs w:val="21"/>
                <w:highlight w:val="none"/>
              </w:rPr>
            </w:pPr>
          </w:p>
        </w:tc>
      </w:tr>
      <w:tr w14:paraId="3B6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F4D5BDB">
            <w:pPr>
              <w:jc w:val="center"/>
              <w:rPr>
                <w:rFonts w:ascii="宋体" w:hAnsi="宋体" w:eastAsia="宋体" w:cs="宋体"/>
                <w:color w:val="auto"/>
                <w:szCs w:val="21"/>
                <w:highlight w:val="none"/>
              </w:rPr>
            </w:pPr>
          </w:p>
        </w:tc>
        <w:tc>
          <w:tcPr>
            <w:tcW w:w="1843" w:type="dxa"/>
            <w:vMerge w:val="continue"/>
            <w:tcMar>
              <w:left w:w="108" w:type="dxa"/>
              <w:right w:w="108" w:type="dxa"/>
            </w:tcMar>
            <w:vAlign w:val="center"/>
          </w:tcPr>
          <w:p w14:paraId="55C9E57B">
            <w:pPr>
              <w:jc w:val="center"/>
              <w:rPr>
                <w:rFonts w:ascii="宋体" w:hAnsi="宋体" w:eastAsia="宋体" w:cs="宋体"/>
                <w:color w:val="auto"/>
                <w:szCs w:val="21"/>
                <w:highlight w:val="none"/>
              </w:rPr>
            </w:pPr>
          </w:p>
        </w:tc>
        <w:tc>
          <w:tcPr>
            <w:tcW w:w="751" w:type="dxa"/>
            <w:tcMar>
              <w:left w:w="108" w:type="dxa"/>
              <w:right w:w="108" w:type="dxa"/>
            </w:tcMar>
            <w:vAlign w:val="center"/>
          </w:tcPr>
          <w:p w14:paraId="3D75828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tcMar>
              <w:left w:w="108" w:type="dxa"/>
              <w:right w:w="108" w:type="dxa"/>
            </w:tcMar>
            <w:vAlign w:val="center"/>
          </w:tcPr>
          <w:p w14:paraId="601CCBD5">
            <w:pPr>
              <w:jc w:val="center"/>
              <w:rPr>
                <w:rFonts w:ascii="宋体" w:hAnsi="宋体" w:eastAsia="宋体" w:cs="宋体"/>
                <w:color w:val="auto"/>
                <w:szCs w:val="21"/>
                <w:highlight w:val="none"/>
              </w:rPr>
            </w:pPr>
          </w:p>
        </w:tc>
        <w:tc>
          <w:tcPr>
            <w:tcW w:w="1123" w:type="dxa"/>
            <w:tcMar>
              <w:left w:w="108" w:type="dxa"/>
              <w:right w:w="108" w:type="dxa"/>
            </w:tcMar>
            <w:vAlign w:val="center"/>
          </w:tcPr>
          <w:p w14:paraId="4BC487F7">
            <w:pPr>
              <w:jc w:val="center"/>
              <w:rPr>
                <w:rFonts w:ascii="宋体" w:hAnsi="宋体" w:eastAsia="宋体" w:cs="宋体"/>
                <w:color w:val="auto"/>
                <w:szCs w:val="21"/>
                <w:highlight w:val="none"/>
              </w:rPr>
            </w:pPr>
          </w:p>
        </w:tc>
        <w:tc>
          <w:tcPr>
            <w:tcW w:w="1090" w:type="dxa"/>
            <w:tcMar>
              <w:left w:w="108" w:type="dxa"/>
              <w:right w:w="108" w:type="dxa"/>
            </w:tcMar>
            <w:vAlign w:val="center"/>
          </w:tcPr>
          <w:p w14:paraId="4DA0E38C">
            <w:pPr>
              <w:jc w:val="center"/>
              <w:rPr>
                <w:rFonts w:ascii="宋体" w:hAnsi="宋体" w:eastAsia="宋体" w:cs="宋体"/>
                <w:color w:val="auto"/>
                <w:szCs w:val="21"/>
                <w:highlight w:val="none"/>
              </w:rPr>
            </w:pPr>
          </w:p>
        </w:tc>
        <w:tc>
          <w:tcPr>
            <w:tcW w:w="1197" w:type="dxa"/>
            <w:tcMar>
              <w:left w:w="108" w:type="dxa"/>
              <w:right w:w="108" w:type="dxa"/>
            </w:tcMar>
            <w:vAlign w:val="center"/>
          </w:tcPr>
          <w:p w14:paraId="30466361">
            <w:pPr>
              <w:jc w:val="center"/>
              <w:rPr>
                <w:rFonts w:ascii="宋体" w:hAnsi="宋体" w:eastAsia="宋体" w:cs="宋体"/>
                <w:color w:val="auto"/>
                <w:szCs w:val="21"/>
                <w:highlight w:val="none"/>
              </w:rPr>
            </w:pPr>
          </w:p>
        </w:tc>
        <w:tc>
          <w:tcPr>
            <w:tcW w:w="1268" w:type="dxa"/>
            <w:tcMar>
              <w:left w:w="108" w:type="dxa"/>
              <w:right w:w="108" w:type="dxa"/>
            </w:tcMar>
            <w:vAlign w:val="center"/>
          </w:tcPr>
          <w:p w14:paraId="175F3AD6">
            <w:pPr>
              <w:jc w:val="center"/>
              <w:rPr>
                <w:rFonts w:ascii="宋体" w:hAnsi="宋体" w:eastAsia="宋体" w:cs="宋体"/>
                <w:color w:val="auto"/>
                <w:szCs w:val="21"/>
                <w:highlight w:val="none"/>
              </w:rPr>
            </w:pPr>
          </w:p>
        </w:tc>
      </w:tr>
      <w:tr w14:paraId="691D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D6C8E2D">
            <w:pPr>
              <w:jc w:val="center"/>
              <w:rPr>
                <w:rFonts w:ascii="宋体" w:hAnsi="宋体" w:eastAsia="宋体" w:cs="宋体"/>
                <w:color w:val="auto"/>
                <w:szCs w:val="21"/>
                <w:highlight w:val="none"/>
              </w:rPr>
            </w:pPr>
          </w:p>
        </w:tc>
        <w:tc>
          <w:tcPr>
            <w:tcW w:w="1843" w:type="dxa"/>
            <w:vMerge w:val="restart"/>
            <w:tcMar>
              <w:left w:w="108" w:type="dxa"/>
              <w:right w:w="108" w:type="dxa"/>
            </w:tcMar>
            <w:vAlign w:val="center"/>
          </w:tcPr>
          <w:p w14:paraId="1896F971">
            <w:pPr>
              <w:jc w:val="center"/>
              <w:rPr>
                <w:rFonts w:ascii="宋体" w:hAnsi="宋体" w:eastAsia="宋体" w:cs="宋体"/>
                <w:color w:val="auto"/>
                <w:szCs w:val="21"/>
                <w:highlight w:val="none"/>
              </w:rPr>
            </w:pPr>
          </w:p>
        </w:tc>
        <w:tc>
          <w:tcPr>
            <w:tcW w:w="751" w:type="dxa"/>
            <w:tcMar>
              <w:left w:w="108" w:type="dxa"/>
              <w:right w:w="108" w:type="dxa"/>
            </w:tcMar>
            <w:vAlign w:val="center"/>
          </w:tcPr>
          <w:p w14:paraId="72EC142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0" w:type="dxa"/>
            <w:tcMar>
              <w:left w:w="108" w:type="dxa"/>
              <w:right w:w="108" w:type="dxa"/>
            </w:tcMar>
            <w:vAlign w:val="center"/>
          </w:tcPr>
          <w:p w14:paraId="65CE0D88">
            <w:pPr>
              <w:jc w:val="center"/>
              <w:rPr>
                <w:rFonts w:ascii="宋体" w:hAnsi="宋体" w:eastAsia="宋体" w:cs="宋体"/>
                <w:color w:val="auto"/>
                <w:szCs w:val="21"/>
                <w:highlight w:val="none"/>
              </w:rPr>
            </w:pPr>
          </w:p>
        </w:tc>
        <w:tc>
          <w:tcPr>
            <w:tcW w:w="1123" w:type="dxa"/>
            <w:tcMar>
              <w:left w:w="108" w:type="dxa"/>
              <w:right w:w="108" w:type="dxa"/>
            </w:tcMar>
            <w:vAlign w:val="center"/>
          </w:tcPr>
          <w:p w14:paraId="2CEA13DE">
            <w:pPr>
              <w:jc w:val="center"/>
              <w:rPr>
                <w:rFonts w:ascii="宋体" w:hAnsi="宋体" w:eastAsia="宋体" w:cs="宋体"/>
                <w:color w:val="auto"/>
                <w:szCs w:val="21"/>
                <w:highlight w:val="none"/>
              </w:rPr>
            </w:pPr>
          </w:p>
        </w:tc>
        <w:tc>
          <w:tcPr>
            <w:tcW w:w="1090" w:type="dxa"/>
            <w:tcMar>
              <w:left w:w="108" w:type="dxa"/>
              <w:right w:w="108" w:type="dxa"/>
            </w:tcMar>
            <w:vAlign w:val="center"/>
          </w:tcPr>
          <w:p w14:paraId="2B08EFFC">
            <w:pPr>
              <w:jc w:val="center"/>
              <w:rPr>
                <w:rFonts w:ascii="宋体" w:hAnsi="宋体" w:eastAsia="宋体" w:cs="宋体"/>
                <w:color w:val="auto"/>
                <w:szCs w:val="21"/>
                <w:highlight w:val="none"/>
              </w:rPr>
            </w:pPr>
          </w:p>
        </w:tc>
        <w:tc>
          <w:tcPr>
            <w:tcW w:w="1197" w:type="dxa"/>
            <w:tcMar>
              <w:left w:w="108" w:type="dxa"/>
              <w:right w:w="108" w:type="dxa"/>
            </w:tcMar>
            <w:vAlign w:val="center"/>
          </w:tcPr>
          <w:p w14:paraId="10EB6334">
            <w:pPr>
              <w:jc w:val="center"/>
              <w:rPr>
                <w:rFonts w:ascii="宋体" w:hAnsi="宋体" w:eastAsia="宋体" w:cs="宋体"/>
                <w:color w:val="auto"/>
                <w:szCs w:val="21"/>
                <w:highlight w:val="none"/>
              </w:rPr>
            </w:pPr>
          </w:p>
        </w:tc>
        <w:tc>
          <w:tcPr>
            <w:tcW w:w="1268" w:type="dxa"/>
            <w:tcMar>
              <w:left w:w="108" w:type="dxa"/>
              <w:right w:w="108" w:type="dxa"/>
            </w:tcMar>
            <w:vAlign w:val="center"/>
          </w:tcPr>
          <w:p w14:paraId="31496E66">
            <w:pPr>
              <w:jc w:val="center"/>
              <w:rPr>
                <w:rFonts w:ascii="宋体" w:hAnsi="宋体" w:eastAsia="宋体" w:cs="宋体"/>
                <w:color w:val="auto"/>
                <w:szCs w:val="21"/>
                <w:highlight w:val="none"/>
              </w:rPr>
            </w:pPr>
          </w:p>
        </w:tc>
      </w:tr>
      <w:tr w14:paraId="7255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BB5A1D9">
            <w:pPr>
              <w:jc w:val="center"/>
              <w:rPr>
                <w:rFonts w:ascii="宋体" w:hAnsi="宋体" w:eastAsia="宋体" w:cs="宋体"/>
                <w:color w:val="auto"/>
                <w:szCs w:val="21"/>
                <w:highlight w:val="none"/>
              </w:rPr>
            </w:pPr>
          </w:p>
        </w:tc>
        <w:tc>
          <w:tcPr>
            <w:tcW w:w="1843" w:type="dxa"/>
            <w:vMerge w:val="continue"/>
            <w:tcMar>
              <w:left w:w="108" w:type="dxa"/>
              <w:right w:w="108" w:type="dxa"/>
            </w:tcMar>
            <w:vAlign w:val="center"/>
          </w:tcPr>
          <w:p w14:paraId="220ED395">
            <w:pPr>
              <w:jc w:val="center"/>
              <w:rPr>
                <w:rFonts w:ascii="宋体" w:hAnsi="宋体" w:eastAsia="宋体" w:cs="宋体"/>
                <w:color w:val="auto"/>
                <w:szCs w:val="21"/>
                <w:highlight w:val="none"/>
              </w:rPr>
            </w:pPr>
          </w:p>
        </w:tc>
        <w:tc>
          <w:tcPr>
            <w:tcW w:w="751" w:type="dxa"/>
            <w:tcMar>
              <w:left w:w="108" w:type="dxa"/>
              <w:right w:w="108" w:type="dxa"/>
            </w:tcMar>
            <w:vAlign w:val="center"/>
          </w:tcPr>
          <w:p w14:paraId="2DD7B5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0" w:type="dxa"/>
            <w:tcMar>
              <w:left w:w="108" w:type="dxa"/>
              <w:right w:w="108" w:type="dxa"/>
            </w:tcMar>
            <w:vAlign w:val="center"/>
          </w:tcPr>
          <w:p w14:paraId="474C56BB">
            <w:pPr>
              <w:jc w:val="center"/>
              <w:rPr>
                <w:rFonts w:ascii="宋体" w:hAnsi="宋体" w:eastAsia="宋体" w:cs="宋体"/>
                <w:color w:val="auto"/>
                <w:szCs w:val="21"/>
                <w:highlight w:val="none"/>
              </w:rPr>
            </w:pPr>
          </w:p>
        </w:tc>
        <w:tc>
          <w:tcPr>
            <w:tcW w:w="1123" w:type="dxa"/>
            <w:tcMar>
              <w:left w:w="108" w:type="dxa"/>
              <w:right w:w="108" w:type="dxa"/>
            </w:tcMar>
            <w:vAlign w:val="center"/>
          </w:tcPr>
          <w:p w14:paraId="56A8100F">
            <w:pPr>
              <w:jc w:val="center"/>
              <w:rPr>
                <w:rFonts w:ascii="宋体" w:hAnsi="宋体" w:eastAsia="宋体" w:cs="宋体"/>
                <w:color w:val="auto"/>
                <w:szCs w:val="21"/>
                <w:highlight w:val="none"/>
              </w:rPr>
            </w:pPr>
          </w:p>
        </w:tc>
        <w:tc>
          <w:tcPr>
            <w:tcW w:w="1090" w:type="dxa"/>
            <w:tcMar>
              <w:left w:w="108" w:type="dxa"/>
              <w:right w:w="108" w:type="dxa"/>
            </w:tcMar>
            <w:vAlign w:val="center"/>
          </w:tcPr>
          <w:p w14:paraId="087CFE46">
            <w:pPr>
              <w:jc w:val="center"/>
              <w:rPr>
                <w:rFonts w:ascii="宋体" w:hAnsi="宋体" w:eastAsia="宋体" w:cs="宋体"/>
                <w:color w:val="auto"/>
                <w:szCs w:val="21"/>
                <w:highlight w:val="none"/>
              </w:rPr>
            </w:pPr>
          </w:p>
        </w:tc>
        <w:tc>
          <w:tcPr>
            <w:tcW w:w="1197" w:type="dxa"/>
            <w:tcMar>
              <w:left w:w="108" w:type="dxa"/>
              <w:right w:w="108" w:type="dxa"/>
            </w:tcMar>
            <w:vAlign w:val="center"/>
          </w:tcPr>
          <w:p w14:paraId="3E336958">
            <w:pPr>
              <w:jc w:val="center"/>
              <w:rPr>
                <w:rFonts w:ascii="宋体" w:hAnsi="宋体" w:eastAsia="宋体" w:cs="宋体"/>
                <w:color w:val="auto"/>
                <w:szCs w:val="21"/>
                <w:highlight w:val="none"/>
              </w:rPr>
            </w:pPr>
          </w:p>
        </w:tc>
        <w:tc>
          <w:tcPr>
            <w:tcW w:w="1268" w:type="dxa"/>
            <w:tcMar>
              <w:left w:w="108" w:type="dxa"/>
              <w:right w:w="108" w:type="dxa"/>
            </w:tcMar>
            <w:vAlign w:val="center"/>
          </w:tcPr>
          <w:p w14:paraId="555D2B5C">
            <w:pPr>
              <w:jc w:val="center"/>
              <w:rPr>
                <w:rFonts w:ascii="宋体" w:hAnsi="宋体" w:eastAsia="宋体" w:cs="宋体"/>
                <w:color w:val="auto"/>
                <w:szCs w:val="21"/>
                <w:highlight w:val="none"/>
              </w:rPr>
            </w:pPr>
          </w:p>
        </w:tc>
      </w:tr>
      <w:tr w14:paraId="67D4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E57196E">
            <w:pPr>
              <w:jc w:val="center"/>
              <w:rPr>
                <w:rFonts w:ascii="宋体" w:hAnsi="宋体" w:eastAsia="宋体" w:cs="宋体"/>
                <w:color w:val="auto"/>
                <w:szCs w:val="21"/>
                <w:highlight w:val="none"/>
              </w:rPr>
            </w:pPr>
          </w:p>
        </w:tc>
        <w:tc>
          <w:tcPr>
            <w:tcW w:w="1843" w:type="dxa"/>
            <w:vMerge w:val="continue"/>
            <w:tcMar>
              <w:left w:w="108" w:type="dxa"/>
              <w:right w:w="108" w:type="dxa"/>
            </w:tcMar>
            <w:vAlign w:val="center"/>
          </w:tcPr>
          <w:p w14:paraId="7E777463">
            <w:pPr>
              <w:jc w:val="center"/>
              <w:rPr>
                <w:rFonts w:ascii="宋体" w:hAnsi="宋体" w:eastAsia="宋体" w:cs="宋体"/>
                <w:color w:val="auto"/>
                <w:szCs w:val="21"/>
                <w:highlight w:val="none"/>
              </w:rPr>
            </w:pPr>
          </w:p>
        </w:tc>
        <w:tc>
          <w:tcPr>
            <w:tcW w:w="751" w:type="dxa"/>
            <w:tcMar>
              <w:left w:w="108" w:type="dxa"/>
              <w:right w:w="108" w:type="dxa"/>
            </w:tcMar>
            <w:vAlign w:val="center"/>
          </w:tcPr>
          <w:p w14:paraId="47B8FB9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0" w:type="dxa"/>
            <w:tcMar>
              <w:left w:w="108" w:type="dxa"/>
              <w:right w:w="108" w:type="dxa"/>
            </w:tcMar>
            <w:vAlign w:val="center"/>
          </w:tcPr>
          <w:p w14:paraId="1E98B2FD">
            <w:pPr>
              <w:jc w:val="center"/>
              <w:rPr>
                <w:rFonts w:ascii="宋体" w:hAnsi="宋体" w:eastAsia="宋体" w:cs="宋体"/>
                <w:color w:val="auto"/>
                <w:szCs w:val="21"/>
                <w:highlight w:val="none"/>
              </w:rPr>
            </w:pPr>
          </w:p>
        </w:tc>
        <w:tc>
          <w:tcPr>
            <w:tcW w:w="1123" w:type="dxa"/>
            <w:tcMar>
              <w:left w:w="108" w:type="dxa"/>
              <w:right w:w="108" w:type="dxa"/>
            </w:tcMar>
            <w:vAlign w:val="center"/>
          </w:tcPr>
          <w:p w14:paraId="6317534C">
            <w:pPr>
              <w:jc w:val="center"/>
              <w:rPr>
                <w:rFonts w:ascii="宋体" w:hAnsi="宋体" w:eastAsia="宋体" w:cs="宋体"/>
                <w:color w:val="auto"/>
                <w:szCs w:val="21"/>
                <w:highlight w:val="none"/>
              </w:rPr>
            </w:pPr>
          </w:p>
        </w:tc>
        <w:tc>
          <w:tcPr>
            <w:tcW w:w="1090" w:type="dxa"/>
            <w:tcMar>
              <w:left w:w="108" w:type="dxa"/>
              <w:right w:w="108" w:type="dxa"/>
            </w:tcMar>
            <w:vAlign w:val="center"/>
          </w:tcPr>
          <w:p w14:paraId="10E37E14">
            <w:pPr>
              <w:jc w:val="center"/>
              <w:rPr>
                <w:rFonts w:ascii="宋体" w:hAnsi="宋体" w:eastAsia="宋体" w:cs="宋体"/>
                <w:color w:val="auto"/>
                <w:szCs w:val="21"/>
                <w:highlight w:val="none"/>
              </w:rPr>
            </w:pPr>
          </w:p>
        </w:tc>
        <w:tc>
          <w:tcPr>
            <w:tcW w:w="1197" w:type="dxa"/>
            <w:tcMar>
              <w:left w:w="108" w:type="dxa"/>
              <w:right w:w="108" w:type="dxa"/>
            </w:tcMar>
            <w:vAlign w:val="center"/>
          </w:tcPr>
          <w:p w14:paraId="02687539">
            <w:pPr>
              <w:jc w:val="center"/>
              <w:rPr>
                <w:rFonts w:ascii="宋体" w:hAnsi="宋体" w:eastAsia="宋体" w:cs="宋体"/>
                <w:color w:val="auto"/>
                <w:szCs w:val="21"/>
                <w:highlight w:val="none"/>
              </w:rPr>
            </w:pPr>
          </w:p>
        </w:tc>
        <w:tc>
          <w:tcPr>
            <w:tcW w:w="1268" w:type="dxa"/>
            <w:tcMar>
              <w:left w:w="108" w:type="dxa"/>
              <w:right w:w="108" w:type="dxa"/>
            </w:tcMar>
            <w:vAlign w:val="center"/>
          </w:tcPr>
          <w:p w14:paraId="7C65C8C5">
            <w:pPr>
              <w:jc w:val="center"/>
              <w:rPr>
                <w:rFonts w:ascii="宋体" w:hAnsi="宋体" w:eastAsia="宋体" w:cs="宋体"/>
                <w:color w:val="auto"/>
                <w:szCs w:val="21"/>
                <w:highlight w:val="none"/>
              </w:rPr>
            </w:pPr>
          </w:p>
        </w:tc>
      </w:tr>
    </w:tbl>
    <w:p w14:paraId="522364DC">
      <w:pPr>
        <w:spacing w:line="440" w:lineRule="exact"/>
        <w:ind w:righ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备注：本表所列分包仅限于承包人自行施工范围内的非主体、非关键工程。</w:t>
      </w:r>
    </w:p>
    <w:p w14:paraId="32E121A4">
      <w:pPr>
        <w:wordWrap w:val="0"/>
        <w:spacing w:line="440" w:lineRule="exact"/>
        <w:ind w:right="420"/>
        <w:jc w:val="right"/>
        <w:rPr>
          <w:rFonts w:ascii="宋体" w:hAnsi="宋体" w:eastAsia="宋体" w:cs="宋体"/>
          <w:color w:val="auto"/>
          <w:szCs w:val="21"/>
          <w:highlight w:val="none"/>
        </w:rPr>
      </w:pPr>
    </w:p>
    <w:p w14:paraId="01D462A1">
      <w:pPr>
        <w:spacing w:line="440" w:lineRule="exact"/>
        <w:ind w:right="42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14:paraId="4BD869FE">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br w:type="page"/>
      </w:r>
      <w:r>
        <w:rPr>
          <w:rFonts w:hint="eastAsia" w:hAnsi="宋体" w:eastAsia="宋体" w:cs="宋体"/>
          <w:color w:val="auto"/>
          <w:highlight w:val="none"/>
        </w:rPr>
        <w:t>3.近年已完成类似工程一览表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7683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48671542">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1701" w:type="dxa"/>
            <w:vAlign w:val="center"/>
          </w:tcPr>
          <w:p w14:paraId="35A7699B">
            <w:pPr>
              <w:jc w:val="center"/>
              <w:rPr>
                <w:rFonts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vAlign w:val="center"/>
          </w:tcPr>
          <w:p w14:paraId="728B36F9">
            <w:pPr>
              <w:jc w:val="center"/>
              <w:rPr>
                <w:rFonts w:ascii="宋体" w:hAnsi="宋体" w:eastAsia="宋体" w:cs="宋体"/>
                <w:color w:val="auto"/>
                <w:highlight w:val="none"/>
              </w:rPr>
            </w:pPr>
            <w:r>
              <w:rPr>
                <w:rFonts w:hint="eastAsia" w:ascii="宋体" w:hAnsi="宋体" w:eastAsia="宋体" w:cs="宋体"/>
                <w:color w:val="auto"/>
                <w:highlight w:val="none"/>
              </w:rPr>
              <w:t>工程名称</w:t>
            </w:r>
          </w:p>
          <w:p w14:paraId="61C8DC3A">
            <w:pPr>
              <w:jc w:val="center"/>
              <w:rPr>
                <w:rFonts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vAlign w:val="center"/>
          </w:tcPr>
          <w:p w14:paraId="71B57AF4">
            <w:pPr>
              <w:jc w:val="center"/>
              <w:rPr>
                <w:rFonts w:ascii="宋体" w:hAnsi="宋体" w:eastAsia="宋体" w:cs="宋体"/>
                <w:color w:val="auto"/>
                <w:highlight w:val="none"/>
              </w:rPr>
            </w:pPr>
            <w:r>
              <w:rPr>
                <w:rFonts w:hint="eastAsia" w:ascii="宋体" w:hAnsi="宋体" w:eastAsia="宋体" w:cs="宋体"/>
                <w:color w:val="auto"/>
                <w:highlight w:val="none"/>
              </w:rPr>
              <w:t>结构</w:t>
            </w:r>
          </w:p>
          <w:p w14:paraId="5A3AD355">
            <w:pPr>
              <w:jc w:val="center"/>
              <w:rPr>
                <w:rFonts w:ascii="宋体" w:hAnsi="宋体" w:eastAsia="宋体" w:cs="宋体"/>
                <w:color w:val="auto"/>
                <w:highlight w:val="none"/>
              </w:rPr>
            </w:pPr>
            <w:r>
              <w:rPr>
                <w:rFonts w:hint="eastAsia" w:ascii="宋体" w:hAnsi="宋体" w:eastAsia="宋体" w:cs="宋体"/>
                <w:color w:val="auto"/>
                <w:highlight w:val="none"/>
              </w:rPr>
              <w:t>类型</w:t>
            </w:r>
          </w:p>
        </w:tc>
        <w:tc>
          <w:tcPr>
            <w:tcW w:w="992" w:type="dxa"/>
            <w:vAlign w:val="center"/>
          </w:tcPr>
          <w:p w14:paraId="1DCA44EA">
            <w:pPr>
              <w:jc w:val="center"/>
              <w:rPr>
                <w:rFonts w:ascii="宋体" w:hAnsi="宋体" w:eastAsia="宋体" w:cs="宋体"/>
                <w:color w:val="auto"/>
                <w:highlight w:val="none"/>
              </w:rPr>
            </w:pPr>
            <w:r>
              <w:rPr>
                <w:rFonts w:hint="eastAsia" w:ascii="宋体" w:hAnsi="宋体" w:eastAsia="宋体" w:cs="宋体"/>
                <w:color w:val="auto"/>
                <w:highlight w:val="none"/>
              </w:rPr>
              <w:t>建设</w:t>
            </w:r>
          </w:p>
          <w:p w14:paraId="73C28119">
            <w:pPr>
              <w:jc w:val="center"/>
              <w:rPr>
                <w:rFonts w:ascii="宋体" w:hAnsi="宋体" w:eastAsia="宋体" w:cs="宋体"/>
                <w:color w:val="auto"/>
                <w:highlight w:val="none"/>
              </w:rPr>
            </w:pPr>
            <w:r>
              <w:rPr>
                <w:rFonts w:hint="eastAsia" w:ascii="宋体" w:hAnsi="宋体" w:eastAsia="宋体" w:cs="宋体"/>
                <w:color w:val="auto"/>
                <w:highlight w:val="none"/>
              </w:rPr>
              <w:t>规模</w:t>
            </w:r>
          </w:p>
        </w:tc>
        <w:tc>
          <w:tcPr>
            <w:tcW w:w="1134" w:type="dxa"/>
            <w:vAlign w:val="center"/>
          </w:tcPr>
          <w:p w14:paraId="07DF8FDA">
            <w:pPr>
              <w:jc w:val="center"/>
              <w:rPr>
                <w:rFonts w:ascii="宋体" w:hAnsi="宋体" w:eastAsia="宋体" w:cs="宋体"/>
                <w:color w:val="auto"/>
                <w:highlight w:val="none"/>
              </w:rPr>
            </w:pPr>
            <w:r>
              <w:rPr>
                <w:rFonts w:hint="eastAsia" w:ascii="宋体" w:hAnsi="宋体" w:eastAsia="宋体" w:cs="宋体"/>
                <w:color w:val="auto"/>
                <w:highlight w:val="none"/>
              </w:rPr>
              <w:t>合同金额</w:t>
            </w:r>
          </w:p>
          <w:p w14:paraId="269E43BC">
            <w:pPr>
              <w:jc w:val="center"/>
              <w:rPr>
                <w:rFonts w:ascii="宋体" w:hAnsi="宋体" w:eastAsia="宋体" w:cs="宋体"/>
                <w:color w:val="auto"/>
                <w:highlight w:val="none"/>
              </w:rPr>
            </w:pPr>
            <w:r>
              <w:rPr>
                <w:rFonts w:hint="eastAsia" w:ascii="宋体" w:hAnsi="宋体" w:eastAsia="宋体" w:cs="宋体"/>
                <w:color w:val="auto"/>
                <w:highlight w:val="none"/>
              </w:rPr>
              <w:t>（万元）</w:t>
            </w:r>
          </w:p>
        </w:tc>
        <w:tc>
          <w:tcPr>
            <w:tcW w:w="1276" w:type="dxa"/>
            <w:vAlign w:val="center"/>
          </w:tcPr>
          <w:p w14:paraId="20995D37">
            <w:pPr>
              <w:jc w:val="center"/>
              <w:rPr>
                <w:rFonts w:ascii="宋体" w:hAnsi="宋体" w:eastAsia="宋体" w:cs="宋体"/>
                <w:color w:val="auto"/>
                <w:highlight w:val="none"/>
              </w:rPr>
            </w:pPr>
            <w:r>
              <w:rPr>
                <w:rFonts w:hint="eastAsia" w:ascii="宋体" w:hAnsi="宋体" w:eastAsia="宋体" w:cs="宋体"/>
                <w:color w:val="auto"/>
                <w:highlight w:val="none"/>
              </w:rPr>
              <w:t>竣工达到</w:t>
            </w:r>
          </w:p>
          <w:p w14:paraId="3699B942">
            <w:pPr>
              <w:jc w:val="center"/>
              <w:rPr>
                <w:rFonts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vAlign w:val="center"/>
          </w:tcPr>
          <w:p w14:paraId="4264EE3F">
            <w:pPr>
              <w:jc w:val="center"/>
              <w:rPr>
                <w:rFonts w:ascii="宋体" w:hAnsi="宋体" w:eastAsia="宋体" w:cs="宋体"/>
                <w:color w:val="auto"/>
                <w:highlight w:val="none"/>
              </w:rPr>
            </w:pPr>
            <w:r>
              <w:rPr>
                <w:rFonts w:hint="eastAsia" w:ascii="宋体" w:hAnsi="宋体" w:eastAsia="宋体" w:cs="宋体"/>
                <w:color w:val="auto"/>
                <w:highlight w:val="none"/>
              </w:rPr>
              <w:t>开竣工</w:t>
            </w:r>
          </w:p>
          <w:p w14:paraId="3514B57D">
            <w:pPr>
              <w:jc w:val="center"/>
              <w:rPr>
                <w:rFonts w:ascii="宋体" w:hAnsi="宋体" w:eastAsia="宋体" w:cs="宋体"/>
                <w:color w:val="auto"/>
                <w:highlight w:val="none"/>
              </w:rPr>
            </w:pPr>
            <w:r>
              <w:rPr>
                <w:rFonts w:hint="eastAsia" w:ascii="宋体" w:hAnsi="宋体" w:eastAsia="宋体" w:cs="宋体"/>
                <w:color w:val="auto"/>
                <w:highlight w:val="none"/>
              </w:rPr>
              <w:t>日  期</w:t>
            </w:r>
          </w:p>
        </w:tc>
      </w:tr>
      <w:tr w14:paraId="7AC6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24ED2551">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701" w:type="dxa"/>
            <w:vAlign w:val="center"/>
          </w:tcPr>
          <w:p w14:paraId="38BD50E5">
            <w:pPr>
              <w:jc w:val="center"/>
              <w:rPr>
                <w:rFonts w:ascii="宋体" w:hAnsi="宋体" w:eastAsia="宋体" w:cs="宋体"/>
                <w:color w:val="auto"/>
                <w:highlight w:val="none"/>
              </w:rPr>
            </w:pPr>
          </w:p>
        </w:tc>
        <w:tc>
          <w:tcPr>
            <w:tcW w:w="1417" w:type="dxa"/>
            <w:vAlign w:val="center"/>
          </w:tcPr>
          <w:p w14:paraId="51D52B12">
            <w:pPr>
              <w:jc w:val="center"/>
              <w:rPr>
                <w:rFonts w:ascii="宋体" w:hAnsi="宋体" w:eastAsia="宋体" w:cs="宋体"/>
                <w:color w:val="auto"/>
                <w:highlight w:val="none"/>
              </w:rPr>
            </w:pPr>
          </w:p>
        </w:tc>
        <w:tc>
          <w:tcPr>
            <w:tcW w:w="851" w:type="dxa"/>
            <w:vAlign w:val="center"/>
          </w:tcPr>
          <w:p w14:paraId="79E22F1F">
            <w:pPr>
              <w:jc w:val="center"/>
              <w:rPr>
                <w:rFonts w:ascii="宋体" w:hAnsi="宋体" w:eastAsia="宋体" w:cs="宋体"/>
                <w:color w:val="auto"/>
                <w:highlight w:val="none"/>
              </w:rPr>
            </w:pPr>
          </w:p>
        </w:tc>
        <w:tc>
          <w:tcPr>
            <w:tcW w:w="992" w:type="dxa"/>
            <w:vAlign w:val="center"/>
          </w:tcPr>
          <w:p w14:paraId="7536B371">
            <w:pPr>
              <w:jc w:val="center"/>
              <w:rPr>
                <w:rFonts w:ascii="宋体" w:hAnsi="宋体" w:eastAsia="宋体" w:cs="宋体"/>
                <w:color w:val="auto"/>
                <w:highlight w:val="none"/>
              </w:rPr>
            </w:pPr>
          </w:p>
        </w:tc>
        <w:tc>
          <w:tcPr>
            <w:tcW w:w="1134" w:type="dxa"/>
            <w:vAlign w:val="center"/>
          </w:tcPr>
          <w:p w14:paraId="4E8EE791">
            <w:pPr>
              <w:jc w:val="center"/>
              <w:rPr>
                <w:rFonts w:ascii="宋体" w:hAnsi="宋体" w:eastAsia="宋体" w:cs="宋体"/>
                <w:color w:val="auto"/>
                <w:highlight w:val="none"/>
              </w:rPr>
            </w:pPr>
          </w:p>
        </w:tc>
        <w:tc>
          <w:tcPr>
            <w:tcW w:w="1276" w:type="dxa"/>
            <w:vAlign w:val="center"/>
          </w:tcPr>
          <w:p w14:paraId="5B5686B5">
            <w:pPr>
              <w:jc w:val="center"/>
              <w:rPr>
                <w:rFonts w:ascii="宋体" w:hAnsi="宋体" w:eastAsia="宋体" w:cs="宋体"/>
                <w:color w:val="auto"/>
                <w:highlight w:val="none"/>
              </w:rPr>
            </w:pPr>
          </w:p>
        </w:tc>
        <w:tc>
          <w:tcPr>
            <w:tcW w:w="1134" w:type="dxa"/>
            <w:vAlign w:val="center"/>
          </w:tcPr>
          <w:p w14:paraId="217AB036">
            <w:pPr>
              <w:jc w:val="center"/>
              <w:rPr>
                <w:rFonts w:ascii="宋体" w:hAnsi="宋体" w:eastAsia="宋体" w:cs="宋体"/>
                <w:color w:val="auto"/>
                <w:highlight w:val="none"/>
              </w:rPr>
            </w:pPr>
          </w:p>
        </w:tc>
      </w:tr>
      <w:tr w14:paraId="4B5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8E6ECA5">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701" w:type="dxa"/>
            <w:vAlign w:val="center"/>
          </w:tcPr>
          <w:p w14:paraId="0E1148E4">
            <w:pPr>
              <w:jc w:val="center"/>
              <w:rPr>
                <w:rFonts w:ascii="宋体" w:hAnsi="宋体" w:eastAsia="宋体" w:cs="宋体"/>
                <w:color w:val="auto"/>
                <w:highlight w:val="none"/>
              </w:rPr>
            </w:pPr>
          </w:p>
        </w:tc>
        <w:tc>
          <w:tcPr>
            <w:tcW w:w="1417" w:type="dxa"/>
            <w:vAlign w:val="center"/>
          </w:tcPr>
          <w:p w14:paraId="4826093A">
            <w:pPr>
              <w:jc w:val="center"/>
              <w:rPr>
                <w:rFonts w:ascii="宋体" w:hAnsi="宋体" w:eastAsia="宋体" w:cs="宋体"/>
                <w:color w:val="auto"/>
                <w:highlight w:val="none"/>
              </w:rPr>
            </w:pPr>
          </w:p>
        </w:tc>
        <w:tc>
          <w:tcPr>
            <w:tcW w:w="851" w:type="dxa"/>
            <w:vAlign w:val="center"/>
          </w:tcPr>
          <w:p w14:paraId="763CCAF6">
            <w:pPr>
              <w:jc w:val="center"/>
              <w:rPr>
                <w:rFonts w:ascii="宋体" w:hAnsi="宋体" w:eastAsia="宋体" w:cs="宋体"/>
                <w:color w:val="auto"/>
                <w:highlight w:val="none"/>
              </w:rPr>
            </w:pPr>
          </w:p>
        </w:tc>
        <w:tc>
          <w:tcPr>
            <w:tcW w:w="992" w:type="dxa"/>
            <w:vAlign w:val="center"/>
          </w:tcPr>
          <w:p w14:paraId="154337DB">
            <w:pPr>
              <w:jc w:val="center"/>
              <w:rPr>
                <w:rFonts w:ascii="宋体" w:hAnsi="宋体" w:eastAsia="宋体" w:cs="宋体"/>
                <w:color w:val="auto"/>
                <w:highlight w:val="none"/>
              </w:rPr>
            </w:pPr>
          </w:p>
        </w:tc>
        <w:tc>
          <w:tcPr>
            <w:tcW w:w="1134" w:type="dxa"/>
            <w:vAlign w:val="center"/>
          </w:tcPr>
          <w:p w14:paraId="4EC28308">
            <w:pPr>
              <w:jc w:val="center"/>
              <w:rPr>
                <w:rFonts w:ascii="宋体" w:hAnsi="宋体" w:eastAsia="宋体" w:cs="宋体"/>
                <w:color w:val="auto"/>
                <w:highlight w:val="none"/>
              </w:rPr>
            </w:pPr>
          </w:p>
        </w:tc>
        <w:tc>
          <w:tcPr>
            <w:tcW w:w="1276" w:type="dxa"/>
            <w:vAlign w:val="center"/>
          </w:tcPr>
          <w:p w14:paraId="1729A5C5">
            <w:pPr>
              <w:jc w:val="center"/>
              <w:rPr>
                <w:rFonts w:ascii="宋体" w:hAnsi="宋体" w:eastAsia="宋体" w:cs="宋体"/>
                <w:color w:val="auto"/>
                <w:highlight w:val="none"/>
              </w:rPr>
            </w:pPr>
          </w:p>
        </w:tc>
        <w:tc>
          <w:tcPr>
            <w:tcW w:w="1134" w:type="dxa"/>
            <w:vAlign w:val="center"/>
          </w:tcPr>
          <w:p w14:paraId="33C94491">
            <w:pPr>
              <w:jc w:val="center"/>
              <w:rPr>
                <w:rFonts w:ascii="宋体" w:hAnsi="宋体" w:eastAsia="宋体" w:cs="宋体"/>
                <w:color w:val="auto"/>
                <w:highlight w:val="none"/>
              </w:rPr>
            </w:pPr>
          </w:p>
        </w:tc>
      </w:tr>
      <w:tr w14:paraId="7223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15641BCF">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701" w:type="dxa"/>
            <w:vAlign w:val="center"/>
          </w:tcPr>
          <w:p w14:paraId="3C8B8D98">
            <w:pPr>
              <w:jc w:val="center"/>
              <w:rPr>
                <w:rFonts w:ascii="宋体" w:hAnsi="宋体" w:eastAsia="宋体" w:cs="宋体"/>
                <w:color w:val="auto"/>
                <w:highlight w:val="none"/>
              </w:rPr>
            </w:pPr>
          </w:p>
        </w:tc>
        <w:tc>
          <w:tcPr>
            <w:tcW w:w="1417" w:type="dxa"/>
            <w:vAlign w:val="center"/>
          </w:tcPr>
          <w:p w14:paraId="50C3DF4D">
            <w:pPr>
              <w:jc w:val="center"/>
              <w:rPr>
                <w:rFonts w:ascii="宋体" w:hAnsi="宋体" w:eastAsia="宋体" w:cs="宋体"/>
                <w:color w:val="auto"/>
                <w:highlight w:val="none"/>
              </w:rPr>
            </w:pPr>
          </w:p>
        </w:tc>
        <w:tc>
          <w:tcPr>
            <w:tcW w:w="851" w:type="dxa"/>
            <w:vAlign w:val="center"/>
          </w:tcPr>
          <w:p w14:paraId="055A7A12">
            <w:pPr>
              <w:jc w:val="center"/>
              <w:rPr>
                <w:rFonts w:ascii="宋体" w:hAnsi="宋体" w:eastAsia="宋体" w:cs="宋体"/>
                <w:color w:val="auto"/>
                <w:highlight w:val="none"/>
              </w:rPr>
            </w:pPr>
          </w:p>
        </w:tc>
        <w:tc>
          <w:tcPr>
            <w:tcW w:w="992" w:type="dxa"/>
            <w:vAlign w:val="center"/>
          </w:tcPr>
          <w:p w14:paraId="7B09C9FF">
            <w:pPr>
              <w:jc w:val="center"/>
              <w:rPr>
                <w:rFonts w:ascii="宋体" w:hAnsi="宋体" w:eastAsia="宋体" w:cs="宋体"/>
                <w:color w:val="auto"/>
                <w:highlight w:val="none"/>
              </w:rPr>
            </w:pPr>
          </w:p>
        </w:tc>
        <w:tc>
          <w:tcPr>
            <w:tcW w:w="1134" w:type="dxa"/>
            <w:vAlign w:val="center"/>
          </w:tcPr>
          <w:p w14:paraId="41972416">
            <w:pPr>
              <w:jc w:val="center"/>
              <w:rPr>
                <w:rFonts w:ascii="宋体" w:hAnsi="宋体" w:eastAsia="宋体" w:cs="宋体"/>
                <w:color w:val="auto"/>
                <w:highlight w:val="none"/>
              </w:rPr>
            </w:pPr>
          </w:p>
        </w:tc>
        <w:tc>
          <w:tcPr>
            <w:tcW w:w="1276" w:type="dxa"/>
            <w:vAlign w:val="center"/>
          </w:tcPr>
          <w:p w14:paraId="5E5041EC">
            <w:pPr>
              <w:jc w:val="center"/>
              <w:rPr>
                <w:rFonts w:ascii="宋体" w:hAnsi="宋体" w:eastAsia="宋体" w:cs="宋体"/>
                <w:color w:val="auto"/>
                <w:highlight w:val="none"/>
              </w:rPr>
            </w:pPr>
          </w:p>
        </w:tc>
        <w:tc>
          <w:tcPr>
            <w:tcW w:w="1134" w:type="dxa"/>
            <w:vAlign w:val="center"/>
          </w:tcPr>
          <w:p w14:paraId="47FDE415">
            <w:pPr>
              <w:jc w:val="center"/>
              <w:rPr>
                <w:rFonts w:ascii="宋体" w:hAnsi="宋体" w:eastAsia="宋体" w:cs="宋体"/>
                <w:color w:val="auto"/>
                <w:highlight w:val="none"/>
              </w:rPr>
            </w:pPr>
          </w:p>
        </w:tc>
      </w:tr>
      <w:tr w14:paraId="5353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65AD9AA8">
            <w:pPr>
              <w:jc w:val="center"/>
              <w:rPr>
                <w:rFonts w:ascii="宋体" w:hAnsi="宋体" w:eastAsia="宋体" w:cs="宋体"/>
                <w:color w:val="auto"/>
                <w:highlight w:val="none"/>
              </w:rPr>
            </w:pPr>
            <w:r>
              <w:rPr>
                <w:rFonts w:hint="eastAsia" w:ascii="宋体" w:hAnsi="宋体" w:eastAsia="宋体" w:cs="宋体"/>
                <w:color w:val="auto"/>
                <w:highlight w:val="none"/>
              </w:rPr>
              <w:t>…</w:t>
            </w:r>
          </w:p>
        </w:tc>
        <w:tc>
          <w:tcPr>
            <w:tcW w:w="1701" w:type="dxa"/>
            <w:vAlign w:val="center"/>
          </w:tcPr>
          <w:p w14:paraId="50131471">
            <w:pPr>
              <w:jc w:val="center"/>
              <w:rPr>
                <w:rFonts w:ascii="宋体" w:hAnsi="宋体" w:eastAsia="宋体" w:cs="宋体"/>
                <w:color w:val="auto"/>
                <w:highlight w:val="none"/>
              </w:rPr>
            </w:pPr>
          </w:p>
        </w:tc>
        <w:tc>
          <w:tcPr>
            <w:tcW w:w="1417" w:type="dxa"/>
            <w:vAlign w:val="center"/>
          </w:tcPr>
          <w:p w14:paraId="07042518">
            <w:pPr>
              <w:jc w:val="center"/>
              <w:rPr>
                <w:rFonts w:ascii="宋体" w:hAnsi="宋体" w:eastAsia="宋体" w:cs="宋体"/>
                <w:color w:val="auto"/>
                <w:highlight w:val="none"/>
              </w:rPr>
            </w:pPr>
          </w:p>
        </w:tc>
        <w:tc>
          <w:tcPr>
            <w:tcW w:w="851" w:type="dxa"/>
            <w:vAlign w:val="center"/>
          </w:tcPr>
          <w:p w14:paraId="450FCEBA">
            <w:pPr>
              <w:jc w:val="center"/>
              <w:rPr>
                <w:rFonts w:ascii="宋体" w:hAnsi="宋体" w:eastAsia="宋体" w:cs="宋体"/>
                <w:color w:val="auto"/>
                <w:highlight w:val="none"/>
              </w:rPr>
            </w:pPr>
          </w:p>
        </w:tc>
        <w:tc>
          <w:tcPr>
            <w:tcW w:w="992" w:type="dxa"/>
            <w:vAlign w:val="center"/>
          </w:tcPr>
          <w:p w14:paraId="0A7A9A94">
            <w:pPr>
              <w:jc w:val="center"/>
              <w:rPr>
                <w:rFonts w:ascii="宋体" w:hAnsi="宋体" w:eastAsia="宋体" w:cs="宋体"/>
                <w:color w:val="auto"/>
                <w:highlight w:val="none"/>
              </w:rPr>
            </w:pPr>
          </w:p>
        </w:tc>
        <w:tc>
          <w:tcPr>
            <w:tcW w:w="1134" w:type="dxa"/>
            <w:vAlign w:val="center"/>
          </w:tcPr>
          <w:p w14:paraId="1C88CD8D">
            <w:pPr>
              <w:jc w:val="center"/>
              <w:rPr>
                <w:rFonts w:ascii="宋体" w:hAnsi="宋体" w:eastAsia="宋体" w:cs="宋体"/>
                <w:color w:val="auto"/>
                <w:highlight w:val="none"/>
              </w:rPr>
            </w:pPr>
          </w:p>
        </w:tc>
        <w:tc>
          <w:tcPr>
            <w:tcW w:w="1276" w:type="dxa"/>
            <w:vAlign w:val="center"/>
          </w:tcPr>
          <w:p w14:paraId="47424D06">
            <w:pPr>
              <w:jc w:val="center"/>
              <w:rPr>
                <w:rFonts w:ascii="宋体" w:hAnsi="宋体" w:eastAsia="宋体" w:cs="宋体"/>
                <w:color w:val="auto"/>
                <w:highlight w:val="none"/>
              </w:rPr>
            </w:pPr>
          </w:p>
        </w:tc>
        <w:tc>
          <w:tcPr>
            <w:tcW w:w="1134" w:type="dxa"/>
            <w:vAlign w:val="center"/>
          </w:tcPr>
          <w:p w14:paraId="5591BEDD">
            <w:pPr>
              <w:jc w:val="center"/>
              <w:rPr>
                <w:rFonts w:ascii="宋体" w:hAnsi="宋体" w:eastAsia="宋体" w:cs="宋体"/>
                <w:color w:val="auto"/>
                <w:highlight w:val="none"/>
              </w:rPr>
            </w:pPr>
          </w:p>
        </w:tc>
      </w:tr>
    </w:tbl>
    <w:p w14:paraId="5806C645">
      <w:pPr>
        <w:pStyle w:val="27"/>
        <w:tabs>
          <w:tab w:val="left" w:pos="2127"/>
        </w:tabs>
        <w:spacing w:line="340" w:lineRule="exact"/>
        <w:rPr>
          <w:rFonts w:hAnsi="宋体" w:eastAsia="宋体" w:cs="宋体"/>
          <w:color w:val="auto"/>
          <w:highlight w:val="none"/>
        </w:rPr>
      </w:pPr>
      <w:r>
        <w:rPr>
          <w:rFonts w:hint="eastAsia" w:hAnsi="宋体" w:eastAsia="宋体" w:cs="宋体"/>
          <w:color w:val="auto"/>
          <w:highlight w:val="none"/>
        </w:rPr>
        <w:t>备注：</w:t>
      </w:r>
      <w:bookmarkStart w:id="1066" w:name="OLE_LINK26"/>
      <w:r>
        <w:rPr>
          <w:rFonts w:hint="eastAsia" w:hAnsi="宋体" w:eastAsia="宋体" w:cs="宋体"/>
          <w:color w:val="auto"/>
          <w:highlight w:val="none"/>
        </w:rPr>
        <w:t>附以上类似工程的中标（成交）通知书、工程合同协议书、工程竣工验收证明材料，</w:t>
      </w:r>
      <w:bookmarkStart w:id="1067" w:name="OLE_LINK22"/>
      <w:r>
        <w:rPr>
          <w:rFonts w:hint="eastAsia" w:hAnsi="宋体" w:eastAsia="宋体" w:cs="宋体"/>
          <w:color w:val="auto"/>
          <w:highlight w:val="none"/>
        </w:rPr>
        <w:t>以及供应商认为需要增加的其他证明材料扫描件，以上扫描件均须加盖供应商</w:t>
      </w:r>
      <w:bookmarkEnd w:id="1067"/>
      <w:r>
        <w:rPr>
          <w:rFonts w:hint="eastAsia" w:hAnsi="宋体" w:eastAsia="宋体" w:cs="宋体"/>
          <w:color w:val="auto"/>
          <w:highlight w:val="none"/>
        </w:rPr>
        <w:t>电子签章。</w:t>
      </w:r>
      <w:bookmarkEnd w:id="1066"/>
    </w:p>
    <w:p w14:paraId="16F13084">
      <w:pPr>
        <w:snapToGrid w:val="0"/>
        <w:spacing w:before="50" w:after="120" w:afterLines="50"/>
        <w:jc w:val="left"/>
        <w:rPr>
          <w:rFonts w:ascii="宋体" w:hAnsi="宋体" w:eastAsia="宋体" w:cs="宋体"/>
          <w:color w:val="auto"/>
          <w:szCs w:val="21"/>
          <w:highlight w:val="none"/>
        </w:rPr>
      </w:pPr>
    </w:p>
    <w:p w14:paraId="3DDEFD90">
      <w:pPr>
        <w:snapToGrid w:val="0"/>
        <w:spacing w:before="50" w:after="120" w:afterLines="5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4．符合政府采购政策的证明材料。</w:t>
      </w:r>
    </w:p>
    <w:p w14:paraId="2EB24D56">
      <w:pPr>
        <w:rPr>
          <w:rFonts w:ascii="宋体" w:hAnsi="宋体" w:eastAsia="宋体" w:cs="宋体"/>
          <w:color w:val="auto"/>
          <w:szCs w:val="21"/>
          <w:highlight w:val="none"/>
        </w:rPr>
      </w:pPr>
    </w:p>
    <w:p w14:paraId="094DB5C9">
      <w:pPr>
        <w:rPr>
          <w:rFonts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bCs/>
          <w:color w:val="auto"/>
          <w:szCs w:val="21"/>
          <w:highlight w:val="none"/>
        </w:rPr>
        <w:t>中小企业声明函</w:t>
      </w:r>
    </w:p>
    <w:p w14:paraId="054395D2">
      <w:pPr>
        <w:rPr>
          <w:rFonts w:ascii="宋体" w:hAnsi="宋体" w:eastAsia="宋体" w:cs="宋体"/>
          <w:color w:val="auto"/>
          <w:szCs w:val="21"/>
          <w:highlight w:val="none"/>
        </w:rPr>
      </w:pPr>
    </w:p>
    <w:p w14:paraId="0CD75CCE">
      <w:pPr>
        <w:rPr>
          <w:rFonts w:ascii="宋体" w:hAnsi="宋体" w:eastAsia="宋体" w:cs="宋体"/>
          <w:color w:val="auto"/>
          <w:szCs w:val="21"/>
          <w:highlight w:val="none"/>
        </w:rPr>
      </w:pPr>
    </w:p>
    <w:p w14:paraId="3D0FF133">
      <w:pPr>
        <w:spacing w:line="360" w:lineRule="auto"/>
        <w:jc w:val="center"/>
        <w:rPr>
          <w:rFonts w:ascii="宋体" w:hAnsi="宋体" w:eastAsia="宋体" w:cs="宋体"/>
          <w:b/>
          <w:color w:val="auto"/>
          <w:szCs w:val="21"/>
          <w:highlight w:val="none"/>
        </w:rPr>
      </w:pPr>
      <w:bookmarkStart w:id="1068" w:name="_Hlk60822128"/>
    </w:p>
    <w:p w14:paraId="27A50B5E">
      <w:pPr>
        <w:spacing w:line="360" w:lineRule="auto"/>
        <w:ind w:firstLine="420"/>
        <w:jc w:val="center"/>
        <w:rPr>
          <w:rFonts w:ascii="宋体" w:hAnsi="宋体" w:eastAsia="宋体" w:cs="宋体"/>
          <w:b/>
          <w:color w:val="auto"/>
          <w:szCs w:val="21"/>
          <w:highlight w:val="none"/>
        </w:rPr>
      </w:pPr>
      <w:bookmarkStart w:id="1069" w:name="_Hlk133424993"/>
      <w:r>
        <w:rPr>
          <w:rFonts w:hint="eastAsia" w:ascii="宋体" w:hAnsi="宋体" w:eastAsia="宋体" w:cs="宋体"/>
          <w:b/>
          <w:color w:val="auto"/>
          <w:szCs w:val="21"/>
          <w:highlight w:val="none"/>
        </w:rPr>
        <w:t>中小企业声明函</w:t>
      </w:r>
      <w:bookmarkEnd w:id="1069"/>
      <w:r>
        <w:rPr>
          <w:rFonts w:hint="eastAsia" w:ascii="宋体" w:hAnsi="宋体" w:eastAsia="宋体" w:cs="宋体"/>
          <w:b/>
          <w:color w:val="auto"/>
          <w:szCs w:val="21"/>
          <w:highlight w:val="none"/>
        </w:rPr>
        <w:t>（工程）</w:t>
      </w:r>
    </w:p>
    <w:p w14:paraId="01B1E6D3">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本公司（联合体）郑重声明，根据《政府采购促进中小企业发展管理办法》（财库﹝2020﹞46 号）的规定，本公司（联合体）参加</w:t>
      </w:r>
      <w:r>
        <w:rPr>
          <w:rFonts w:hint="eastAsia" w:ascii="宋体" w:hAnsi="宋体" w:eastAsia="宋体" w:cs="宋体"/>
          <w:bCs/>
          <w:color w:val="auto"/>
          <w:szCs w:val="21"/>
          <w:highlight w:val="none"/>
          <w:u w:val="single"/>
        </w:rPr>
        <w:t>（单位名称）</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u w:val="single"/>
        </w:rPr>
        <w:t>（项目名称）</w:t>
      </w:r>
      <w:r>
        <w:rPr>
          <w:rFonts w:hint="eastAsia" w:ascii="宋体" w:hAnsi="宋体" w:eastAsia="宋体" w:cs="宋体"/>
          <w:bCs/>
          <w:color w:val="auto"/>
          <w:szCs w:val="21"/>
          <w:highlight w:val="none"/>
        </w:rPr>
        <w:t>采购活动，服务全部由符合政策要求的中小企业承接。相关企业（含联合体中的中小企业、签订分包意向协议的中小企业） 的具体情况如下：</w:t>
      </w:r>
    </w:p>
    <w:p w14:paraId="20F0DFAE">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（采购文件中明确的所属行业）</w:t>
      </w:r>
      <w:r>
        <w:rPr>
          <w:rFonts w:hint="eastAsia" w:ascii="宋体" w:hAnsi="宋体" w:eastAsia="宋体" w:cs="宋体"/>
          <w:bCs/>
          <w:color w:val="auto"/>
          <w:szCs w:val="21"/>
          <w:highlight w:val="none"/>
        </w:rPr>
        <w:t>行业；承建（承接）企业为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（中型企业、小型企业、微型企业）</w:t>
      </w:r>
      <w:r>
        <w:rPr>
          <w:rFonts w:hint="eastAsia" w:ascii="宋体" w:hAnsi="宋体" w:eastAsia="宋体" w:cs="宋体"/>
          <w:bCs/>
          <w:color w:val="auto"/>
          <w:szCs w:val="21"/>
          <w:highlight w:val="none"/>
        </w:rPr>
        <w:t>；</w:t>
      </w:r>
    </w:p>
    <w:p w14:paraId="53C1E470">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u w:val="single"/>
        </w:rPr>
        <w:t>（标的名称）</w:t>
      </w:r>
      <w:r>
        <w:rPr>
          <w:rFonts w:hint="eastAsia" w:ascii="宋体" w:hAnsi="宋体" w:eastAsia="宋体" w:cs="宋体"/>
          <w:bCs/>
          <w:color w:val="auto"/>
          <w:szCs w:val="21"/>
          <w:highlight w:val="none"/>
        </w:rPr>
        <w:t>，属于</w:t>
      </w:r>
      <w:r>
        <w:rPr>
          <w:rFonts w:hint="eastAsia" w:ascii="宋体" w:hAnsi="宋体" w:eastAsia="宋体" w:cs="宋体"/>
          <w:bCs/>
          <w:color w:val="auto"/>
          <w:szCs w:val="21"/>
          <w:highlight w:val="none"/>
          <w:u w:val="single"/>
        </w:rPr>
        <w:t>（采购文件中明确的所属行业）</w:t>
      </w:r>
      <w:r>
        <w:rPr>
          <w:rFonts w:hint="eastAsia" w:ascii="宋体" w:hAnsi="宋体" w:eastAsia="宋体" w:cs="宋体"/>
          <w:bCs/>
          <w:color w:val="auto"/>
          <w:szCs w:val="21"/>
          <w:highlight w:val="none"/>
        </w:rPr>
        <w:t>行业；承建（承接）企业为</w:t>
      </w:r>
      <w:r>
        <w:rPr>
          <w:rFonts w:hint="eastAsia" w:ascii="宋体" w:hAnsi="宋体" w:eastAsia="宋体" w:cs="宋体"/>
          <w:bCs/>
          <w:color w:val="auto"/>
          <w:szCs w:val="21"/>
          <w:highlight w:val="none"/>
          <w:u w:val="single"/>
        </w:rPr>
        <w:t>（企业名称）</w:t>
      </w:r>
      <w:r>
        <w:rPr>
          <w:rFonts w:hint="eastAsia" w:ascii="宋体" w:hAnsi="宋体" w:eastAsia="宋体" w:cs="宋体"/>
          <w:bCs/>
          <w:color w:val="auto"/>
          <w:szCs w:val="21"/>
          <w:highlight w:val="none"/>
        </w:rPr>
        <w:t>，从业人员</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人，营业收入为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万元，资产总额为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万元，属于</w:t>
      </w:r>
      <w:r>
        <w:rPr>
          <w:rFonts w:hint="eastAsia" w:ascii="宋体" w:hAnsi="宋体" w:eastAsia="宋体" w:cs="宋体"/>
          <w:bCs/>
          <w:color w:val="auto"/>
          <w:szCs w:val="21"/>
          <w:highlight w:val="none"/>
          <w:u w:val="single"/>
        </w:rPr>
        <w:t>（中型企业、小型企业、微型企业）</w:t>
      </w:r>
      <w:r>
        <w:rPr>
          <w:rFonts w:hint="eastAsia" w:ascii="宋体" w:hAnsi="宋体" w:eastAsia="宋体" w:cs="宋体"/>
          <w:bCs/>
          <w:color w:val="auto"/>
          <w:szCs w:val="21"/>
          <w:highlight w:val="none"/>
        </w:rPr>
        <w:t>；</w:t>
      </w:r>
    </w:p>
    <w:p w14:paraId="50657F71">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p>
    <w:p w14:paraId="60D6FB53">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以上企业，不属于大企业的分支机构，不存在控股股东为大企业的情形，也不存在与大企业的负责人为同一人的情形。</w:t>
      </w:r>
    </w:p>
    <w:p w14:paraId="327480DC">
      <w:pPr>
        <w:spacing w:line="360" w:lineRule="auto"/>
        <w:ind w:firstLine="420"/>
        <w:rPr>
          <w:rFonts w:ascii="宋体" w:hAnsi="宋体" w:eastAsia="宋体" w:cs="宋体"/>
          <w:bCs/>
          <w:color w:val="auto"/>
          <w:szCs w:val="21"/>
          <w:highlight w:val="none"/>
        </w:rPr>
      </w:pPr>
      <w:r>
        <w:rPr>
          <w:rFonts w:hint="eastAsia" w:ascii="宋体" w:hAnsi="宋体" w:eastAsia="宋体" w:cs="宋体"/>
          <w:bCs/>
          <w:color w:val="auto"/>
          <w:szCs w:val="21"/>
          <w:highlight w:val="none"/>
        </w:rPr>
        <w:t>本企业对上述声明内容的真实性负责。如有虚假，将依法承担相应责任。</w:t>
      </w:r>
    </w:p>
    <w:p w14:paraId="3A804C5E">
      <w:pPr>
        <w:spacing w:line="360" w:lineRule="auto"/>
        <w:ind w:firstLine="3150" w:firstLineChars="1500"/>
        <w:rPr>
          <w:rFonts w:ascii="宋体" w:hAnsi="宋体" w:eastAsia="宋体" w:cs="宋体"/>
          <w:bCs/>
          <w:color w:val="auto"/>
          <w:szCs w:val="21"/>
          <w:highlight w:val="none"/>
        </w:rPr>
      </w:pPr>
      <w:r>
        <w:rPr>
          <w:rFonts w:hint="eastAsia" w:ascii="宋体" w:hAnsi="宋体" w:eastAsia="宋体" w:cs="宋体"/>
          <w:bCs/>
          <w:color w:val="auto"/>
          <w:szCs w:val="21"/>
          <w:highlight w:val="none"/>
        </w:rPr>
        <w:t>企业名称（</w:t>
      </w:r>
      <w:bookmarkStart w:id="1070" w:name="_Hlk89191194"/>
      <w:r>
        <w:rPr>
          <w:rFonts w:hint="eastAsia" w:ascii="宋体" w:hAnsi="宋体" w:eastAsia="宋体" w:cs="宋体"/>
          <w:color w:val="auto"/>
          <w:szCs w:val="21"/>
          <w:highlight w:val="none"/>
        </w:rPr>
        <w:t>电子签章</w:t>
      </w:r>
      <w:bookmarkEnd w:id="1070"/>
      <w:r>
        <w:rPr>
          <w:rFonts w:hint="eastAsia" w:ascii="宋体" w:hAnsi="宋体" w:eastAsia="宋体" w:cs="宋体"/>
          <w:bCs/>
          <w:color w:val="auto"/>
          <w:szCs w:val="21"/>
          <w:highlight w:val="none"/>
        </w:rPr>
        <w:t>）：日期：</w:t>
      </w:r>
    </w:p>
    <w:bookmarkEnd w:id="1068"/>
    <w:p w14:paraId="66FE80D2">
      <w:pPr>
        <w:spacing w:line="360" w:lineRule="auto"/>
        <w:jc w:val="left"/>
        <w:rPr>
          <w:rFonts w:ascii="宋体" w:hAnsi="宋体" w:eastAsia="宋体" w:cs="宋体"/>
          <w:bCs/>
          <w:color w:val="auto"/>
          <w:szCs w:val="21"/>
          <w:highlight w:val="none"/>
        </w:rPr>
      </w:pPr>
      <w:bookmarkStart w:id="1071" w:name="_Hlk65852026"/>
      <w:r>
        <w:rPr>
          <w:rFonts w:hint="eastAsia" w:ascii="宋体" w:hAnsi="宋体" w:eastAsia="宋体" w:cs="宋体"/>
          <w:bCs/>
          <w:color w:val="auto"/>
          <w:szCs w:val="21"/>
          <w:highlight w:val="none"/>
        </w:rPr>
        <w:t>注：</w:t>
      </w:r>
      <w:bookmarkEnd w:id="1071"/>
      <w:r>
        <w:rPr>
          <w:rFonts w:hint="eastAsia" w:ascii="宋体" w:hAnsi="宋体" w:eastAsia="宋体" w:cs="宋体"/>
          <w:bCs/>
          <w:color w:val="auto"/>
          <w:szCs w:val="21"/>
          <w:highlight w:val="none"/>
        </w:rPr>
        <w:t>（1）标的名称按照第二章采购需求中的名称填写，</w:t>
      </w:r>
      <w:r>
        <w:rPr>
          <w:rFonts w:hint="eastAsia" w:ascii="宋体" w:hAnsi="宋体" w:eastAsia="宋体" w:cs="宋体"/>
          <w:color w:val="auto"/>
          <w:szCs w:val="21"/>
          <w:highlight w:val="none"/>
        </w:rPr>
        <w:t>所属行业标明“/”的</w:t>
      </w:r>
      <w:r>
        <w:rPr>
          <w:rFonts w:hint="eastAsia" w:ascii="宋体" w:hAnsi="宋体" w:eastAsia="宋体" w:cs="宋体"/>
          <w:bCs/>
          <w:color w:val="auto"/>
          <w:szCs w:val="21"/>
          <w:highlight w:val="none"/>
        </w:rPr>
        <w:t>，无需在上表填写。</w:t>
      </w:r>
    </w:p>
    <w:p w14:paraId="4CA0EDDA">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（2）如供应商为联合体或分包的，声明函中“项目名称”应填写联合体中小微企业承担的具体内容或者小微企业具体分包内容。</w:t>
      </w:r>
    </w:p>
    <w:p w14:paraId="54D19DCF">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089FF155">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根据工业和信息化部对“从业人员”定义的答复，《中华人民共和国民法典》、《中华人民共和国公司法》等法律规定，分公司不具有法人资格，其民事责任由总公司承担。企业划型时，应将分公司的从业人员、营业收入、资产总额等指标数据纳入合并计算。</w:t>
      </w:r>
    </w:p>
    <w:p w14:paraId="7AFA0944">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6542692A">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eastAsia="宋体" w:cs="宋体"/>
          <w:color w:val="auto"/>
          <w:szCs w:val="21"/>
          <w:highlight w:val="none"/>
        </w:rPr>
        <w:t>以及《金融业企业划型标准规定》（银发〔2015〕309号）</w:t>
      </w:r>
      <w:r>
        <w:rPr>
          <w:rFonts w:hint="eastAsia" w:ascii="宋体" w:hAnsi="宋体" w:eastAsia="宋体" w:cs="宋体"/>
          <w:bCs/>
          <w:color w:val="auto"/>
          <w:szCs w:val="21"/>
          <w:highlight w:val="none"/>
        </w:rPr>
        <w:t>）判断是否为中小企业。</w:t>
      </w:r>
    </w:p>
    <w:p w14:paraId="3FC96D04">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2D67F67D">
      <w:pPr>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867F08E">
      <w:pPr>
        <w:spacing w:line="360" w:lineRule="auto"/>
        <w:jc w:val="left"/>
        <w:rPr>
          <w:rFonts w:ascii="宋体" w:hAnsi="宋体" w:eastAsia="宋体" w:cs="宋体"/>
          <w:color w:val="auto"/>
          <w:szCs w:val="21"/>
          <w:highlight w:val="none"/>
        </w:rPr>
      </w:pPr>
    </w:p>
    <w:p w14:paraId="16843495">
      <w:pPr>
        <w:ind w:right="420" w:firstLine="5355" w:firstLineChars="2550"/>
        <w:rPr>
          <w:rFonts w:ascii="宋体" w:hAnsi="宋体" w:eastAsia="宋体" w:cs="宋体"/>
          <w:color w:val="auto"/>
          <w:szCs w:val="21"/>
          <w:highlight w:val="none"/>
        </w:rPr>
      </w:pPr>
    </w:p>
    <w:p w14:paraId="68E1E60F">
      <w:pPr>
        <w:snapToGrid w:val="0"/>
        <w:spacing w:before="50" w:after="120" w:afterLines="50"/>
        <w:jc w:val="left"/>
        <w:rPr>
          <w:rFonts w:ascii="宋体" w:hAnsi="宋体" w:eastAsia="宋体" w:cs="宋体"/>
          <w:color w:val="auto"/>
          <w:szCs w:val="21"/>
          <w:highlight w:val="none"/>
        </w:rPr>
      </w:pPr>
    </w:p>
    <w:p w14:paraId="3D43B48D">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4.2 监狱企业须提供最新一期《XX省监狱企业产品目录》或其他监狱企业证明材料。（非监狱企业无需提供）</w:t>
      </w:r>
    </w:p>
    <w:p w14:paraId="69725CA9">
      <w:pPr>
        <w:snapToGrid w:val="0"/>
        <w:spacing w:before="50" w:after="120" w:afterLines="50"/>
        <w:jc w:val="left"/>
        <w:rPr>
          <w:rFonts w:ascii="宋体" w:hAnsi="宋体" w:eastAsia="宋体" w:cs="宋体"/>
          <w:color w:val="auto"/>
          <w:szCs w:val="21"/>
          <w:highlight w:val="none"/>
        </w:rPr>
      </w:pPr>
    </w:p>
    <w:p w14:paraId="6359BE9F">
      <w:pPr>
        <w:snapToGrid w:val="0"/>
        <w:spacing w:before="50" w:after="120" w:afterLines="50"/>
        <w:jc w:val="left"/>
        <w:rPr>
          <w:rFonts w:ascii="宋体" w:hAnsi="宋体" w:eastAsia="宋体" w:cs="宋体"/>
          <w:color w:val="auto"/>
          <w:szCs w:val="21"/>
          <w:highlight w:val="none"/>
        </w:rPr>
      </w:pPr>
    </w:p>
    <w:p w14:paraId="04F2C3F0">
      <w:pPr>
        <w:snapToGrid w:val="0"/>
        <w:spacing w:before="50" w:after="120" w:afterLines="50"/>
        <w:jc w:val="left"/>
        <w:rPr>
          <w:rFonts w:ascii="宋体" w:hAnsi="宋体" w:eastAsia="宋体" w:cs="宋体"/>
          <w:color w:val="auto"/>
          <w:szCs w:val="21"/>
          <w:highlight w:val="none"/>
        </w:rPr>
      </w:pPr>
    </w:p>
    <w:p w14:paraId="7053906C">
      <w:pPr>
        <w:snapToGrid w:val="0"/>
        <w:spacing w:before="50" w:after="120" w:afterLines="50"/>
        <w:jc w:val="left"/>
        <w:rPr>
          <w:rFonts w:ascii="宋体" w:hAnsi="宋体" w:eastAsia="宋体" w:cs="宋体"/>
          <w:color w:val="auto"/>
          <w:szCs w:val="21"/>
          <w:highlight w:val="none"/>
        </w:rPr>
      </w:pPr>
    </w:p>
    <w:p w14:paraId="50D86EF4">
      <w:pPr>
        <w:snapToGrid w:val="0"/>
        <w:spacing w:before="50" w:after="120" w:afterLines="50"/>
        <w:jc w:val="left"/>
        <w:rPr>
          <w:rFonts w:ascii="宋体" w:hAnsi="宋体" w:eastAsia="宋体" w:cs="宋体"/>
          <w:color w:val="auto"/>
          <w:szCs w:val="21"/>
          <w:highlight w:val="none"/>
        </w:rPr>
      </w:pPr>
    </w:p>
    <w:p w14:paraId="1A2559E3">
      <w:pPr>
        <w:snapToGrid w:val="0"/>
        <w:spacing w:before="50" w:after="120" w:afterLines="50"/>
        <w:jc w:val="left"/>
        <w:rPr>
          <w:rFonts w:ascii="宋体" w:hAnsi="宋体" w:eastAsia="宋体" w:cs="宋体"/>
          <w:color w:val="auto"/>
          <w:highlight w:val="none"/>
        </w:rPr>
      </w:pPr>
      <w:r>
        <w:rPr>
          <w:rFonts w:hint="eastAsia" w:ascii="宋体" w:hAnsi="宋体" w:eastAsia="宋体" w:cs="宋体"/>
          <w:color w:val="auto"/>
          <w:szCs w:val="21"/>
          <w:highlight w:val="none"/>
        </w:rPr>
        <w:t>4.3残疾人福利性单位须提供《残疾人福利性单位声明</w:t>
      </w:r>
      <w:r>
        <w:rPr>
          <w:rFonts w:hint="eastAsia" w:ascii="宋体" w:hAnsi="宋体" w:eastAsia="宋体" w:cs="宋体"/>
          <w:color w:val="auto"/>
          <w:highlight w:val="none"/>
        </w:rPr>
        <w:t>函》，格式如下。</w:t>
      </w:r>
      <w:r>
        <w:rPr>
          <w:rFonts w:hint="eastAsia" w:ascii="宋体" w:hAnsi="宋体" w:eastAsia="宋体" w:cs="宋体"/>
          <w:color w:val="auto"/>
          <w:szCs w:val="21"/>
          <w:highlight w:val="none"/>
        </w:rPr>
        <w:t>（非残疾人福利性单位无需提供）。</w:t>
      </w:r>
      <w:bookmarkStart w:id="1072" w:name="OLE_LINK14"/>
      <w:bookmarkStart w:id="1073" w:name="OLE_LINK13"/>
    </w:p>
    <w:p w14:paraId="25F62BBD">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72"/>
    <w:bookmarkEnd w:id="1073"/>
    <w:p w14:paraId="6FF8B611">
      <w:pPr>
        <w:spacing w:line="588" w:lineRule="exact"/>
        <w:rPr>
          <w:rFonts w:ascii="宋体" w:hAnsi="宋体" w:eastAsia="宋体" w:cs="宋体"/>
          <w:b/>
          <w:color w:val="auto"/>
          <w:spacing w:val="6"/>
          <w:sz w:val="30"/>
          <w:szCs w:val="30"/>
          <w:highlight w:val="none"/>
        </w:rPr>
      </w:pPr>
    </w:p>
    <w:p w14:paraId="336DA429">
      <w:pPr>
        <w:spacing w:line="360" w:lineRule="auto"/>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03F87A6">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70439B1B">
      <w:pPr>
        <w:tabs>
          <w:tab w:val="left" w:pos="4860"/>
        </w:tabs>
        <w:spacing w:line="588" w:lineRule="exact"/>
        <w:ind w:right="1560" w:firstLine="624" w:firstLineChars="200"/>
        <w:jc w:val="center"/>
        <w:rPr>
          <w:rFonts w:ascii="宋体" w:hAnsi="宋体" w:eastAsia="宋体" w:cs="宋体"/>
          <w:color w:val="auto"/>
          <w:spacing w:val="6"/>
          <w:szCs w:val="21"/>
          <w:highlight w:val="none"/>
        </w:rPr>
      </w:pPr>
      <w:r>
        <w:rPr>
          <w:rFonts w:hint="eastAsia" w:ascii="宋体" w:hAnsi="宋体" w:eastAsia="宋体" w:cs="宋体"/>
          <w:color w:val="auto"/>
          <w:spacing w:val="6"/>
          <w:sz w:val="30"/>
          <w:szCs w:val="30"/>
          <w:highlight w:val="none"/>
        </w:rPr>
        <w:t xml:space="preserve">              </w:t>
      </w: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Cs w:val="21"/>
          <w:highlight w:val="none"/>
        </w:rPr>
        <w:t>电子签章</w:t>
      </w:r>
      <w:r>
        <w:rPr>
          <w:rFonts w:hint="eastAsia" w:ascii="宋体" w:hAnsi="宋体" w:eastAsia="宋体" w:cs="宋体"/>
          <w:color w:val="auto"/>
          <w:spacing w:val="6"/>
          <w:szCs w:val="21"/>
          <w:highlight w:val="none"/>
        </w:rPr>
        <w:t>）：</w:t>
      </w:r>
    </w:p>
    <w:p w14:paraId="6CA256AA">
      <w:pPr>
        <w:snapToGrid w:val="0"/>
        <w:spacing w:before="50" w:after="120" w:afterLines="50"/>
        <w:jc w:val="lef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日  期：</w:t>
      </w:r>
      <w:bookmarkStart w:id="1074" w:name="_Hlk60822154"/>
    </w:p>
    <w:p w14:paraId="2AE39B57">
      <w:pPr>
        <w:snapToGrid w:val="0"/>
        <w:spacing w:before="50" w:after="120" w:afterLines="50"/>
        <w:jc w:val="left"/>
        <w:rPr>
          <w:rFonts w:ascii="宋体" w:hAnsi="宋体" w:eastAsia="宋体" w:cs="宋体"/>
          <w:color w:val="auto"/>
          <w:spacing w:val="6"/>
          <w:szCs w:val="21"/>
          <w:highlight w:val="none"/>
        </w:rPr>
      </w:pPr>
    </w:p>
    <w:p w14:paraId="78CB1B83">
      <w:pPr>
        <w:rPr>
          <w:rFonts w:ascii="宋体" w:hAnsi="宋体" w:eastAsia="宋体" w:cs="宋体"/>
          <w:color w:val="auto"/>
          <w:szCs w:val="21"/>
          <w:highlight w:val="none"/>
        </w:rPr>
      </w:pPr>
    </w:p>
    <w:p w14:paraId="22EB78A9">
      <w:pPr>
        <w:rPr>
          <w:rFonts w:ascii="宋体" w:hAnsi="宋体" w:eastAsia="宋体" w:cs="宋体"/>
          <w:color w:val="auto"/>
          <w:szCs w:val="21"/>
          <w:highlight w:val="none"/>
        </w:rPr>
      </w:pPr>
    </w:p>
    <w:p w14:paraId="3E80BFD7">
      <w:pPr>
        <w:pStyle w:val="7"/>
        <w:overflowPunct w:val="0"/>
        <w:ind w:firstLine="0"/>
        <w:rPr>
          <w:rFonts w:ascii="宋体" w:hAnsi="宋体" w:eastAsia="宋体" w:cs="宋体"/>
          <w:color w:val="auto"/>
          <w:szCs w:val="21"/>
          <w:highlight w:val="none"/>
        </w:rPr>
      </w:pPr>
    </w:p>
    <w:p w14:paraId="6C4C69C7">
      <w:pPr>
        <w:snapToGrid w:val="0"/>
        <w:spacing w:before="50" w:after="120" w:afterLines="50"/>
        <w:jc w:val="left"/>
        <w:rPr>
          <w:rFonts w:ascii="宋体" w:hAnsi="宋体" w:eastAsia="宋体" w:cs="宋体"/>
          <w:color w:val="auto"/>
          <w:szCs w:val="21"/>
          <w:highlight w:val="none"/>
        </w:rPr>
      </w:pPr>
    </w:p>
    <w:bookmarkEnd w:id="1074"/>
    <w:p w14:paraId="4A82ECDB">
      <w:pPr>
        <w:snapToGrid w:val="0"/>
        <w:spacing w:before="50" w:after="120" w:afterLines="50"/>
        <w:jc w:val="left"/>
        <w:rPr>
          <w:rFonts w:ascii="宋体" w:hAnsi="宋体" w:eastAsia="宋体" w:cs="宋体"/>
          <w:b/>
          <w:bCs/>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rPr>
        <w:t>无串标行为承诺函</w:t>
      </w:r>
    </w:p>
    <w:p w14:paraId="1BC56740">
      <w:pPr>
        <w:snapToGrid w:val="0"/>
        <w:spacing w:before="50" w:after="120" w:afterLines="50"/>
        <w:jc w:val="center"/>
        <w:rPr>
          <w:rFonts w:ascii="宋体" w:hAnsi="宋体" w:eastAsia="宋体" w:cs="宋体"/>
          <w:color w:val="auto"/>
          <w:szCs w:val="21"/>
          <w:highlight w:val="none"/>
        </w:rPr>
      </w:pPr>
    </w:p>
    <w:p w14:paraId="7F16C5FB">
      <w:pPr>
        <w:snapToGrid w:val="0"/>
        <w:spacing w:before="50" w:after="120" w:afterLine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供应商参加本项目无围标串标行为的承诺函</w:t>
      </w:r>
    </w:p>
    <w:p w14:paraId="27B6362E">
      <w:pPr>
        <w:snapToGrid w:val="0"/>
        <w:spacing w:before="50" w:after="120" w:afterLines="50"/>
        <w:jc w:val="left"/>
        <w:rPr>
          <w:rFonts w:ascii="宋体" w:hAnsi="宋体" w:eastAsia="宋体" w:cs="宋体"/>
          <w:color w:val="auto"/>
          <w:szCs w:val="21"/>
          <w:highlight w:val="none"/>
        </w:rPr>
      </w:pPr>
    </w:p>
    <w:p w14:paraId="14495044">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一、我方承诺无下列相互串通投标的情形：</w:t>
      </w:r>
    </w:p>
    <w:p w14:paraId="5B98F41A">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15D97A84">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2.不同供应商委托同一单位或者个人办理投标事宜；</w:t>
      </w:r>
    </w:p>
    <w:p w14:paraId="533DD119">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58BA04D">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4.不同供应商的响应文件异常一致或者投标报价呈规律性差异；</w:t>
      </w:r>
    </w:p>
    <w:p w14:paraId="589152E2">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2588AF">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6.不同供应商的谈判保证金从同一单位或者个人账户转出。</w:t>
      </w:r>
    </w:p>
    <w:p w14:paraId="6CF98095">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二、我方承诺无下列恶意串通的情形：</w:t>
      </w:r>
    </w:p>
    <w:p w14:paraId="3AC6BA42">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1.供应商直接或者间接从采购人或者采购代理机构处获得其他供应商的相关信息并修改其响应文件或者响应文件；</w:t>
      </w:r>
    </w:p>
    <w:p w14:paraId="74E43FA1">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2.供应商按照采购人或者采购代理机构的授意撤换、修改响应文件或者响应文件；</w:t>
      </w:r>
    </w:p>
    <w:p w14:paraId="7369F287">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428A2CBD">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9E326B3">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2A508B47">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6.供应商之间商定部分供应商放弃参加政府采购活动或者放弃中标；</w:t>
      </w:r>
    </w:p>
    <w:p w14:paraId="6EFBEBFF">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7.供应商与采购人或者采购代理机构之间、供应商相互之间，为谋求特定供应商中标或者排斥其他供应商的其他串通行为。</w:t>
      </w:r>
    </w:p>
    <w:p w14:paraId="5199813C">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t>以上情形一经核查属实，我方愿意承担一切后果，并不再寻求任何旨在减轻或者免除法律责任的辩解。</w:t>
      </w:r>
    </w:p>
    <w:p w14:paraId="08FFAE58">
      <w:pPr>
        <w:snapToGrid w:val="0"/>
        <w:spacing w:before="50" w:after="120" w:afterLine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D02DC0">
      <w:pPr>
        <w:snapToGrid w:val="0"/>
        <w:spacing w:before="50" w:after="120" w:afterLines="50"/>
        <w:jc w:val="center"/>
        <w:rPr>
          <w:rFonts w:ascii="宋体" w:hAnsi="宋体" w:eastAsia="宋体" w:cs="宋体"/>
          <w:color w:val="auto"/>
          <w:szCs w:val="21"/>
          <w:highlight w:val="none"/>
        </w:rPr>
      </w:pPr>
    </w:p>
    <w:p w14:paraId="7477F909">
      <w:pPr>
        <w:snapToGrid w:val="0"/>
        <w:spacing w:before="50" w:after="120" w:afterLines="50"/>
        <w:jc w:val="center"/>
        <w:rPr>
          <w:rFonts w:ascii="宋体" w:hAnsi="宋体" w:eastAsia="宋体" w:cs="宋体"/>
          <w:color w:val="auto"/>
          <w:szCs w:val="21"/>
          <w:highlight w:val="none"/>
        </w:rPr>
      </w:pPr>
    </w:p>
    <w:p w14:paraId="3999C9C1">
      <w:pPr>
        <w:snapToGrid w:val="0"/>
        <w:spacing w:before="50" w:after="120" w:afterLine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5BDDB1C6">
      <w:pPr>
        <w:snapToGrid w:val="0"/>
        <w:spacing w:before="50" w:after="120" w:afterLines="5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2F9EFC4">
      <w:pPr>
        <w:spacing w:line="360" w:lineRule="exact"/>
        <w:rPr>
          <w:rFonts w:ascii="宋体" w:hAnsi="宋体" w:eastAsia="宋体" w:cs="宋体"/>
          <w:color w:val="auto"/>
          <w:szCs w:val="21"/>
          <w:highlight w:val="none"/>
        </w:rPr>
      </w:pPr>
    </w:p>
    <w:p w14:paraId="29700F31">
      <w:pPr>
        <w:spacing w:line="360" w:lineRule="exact"/>
        <w:rPr>
          <w:rFonts w:ascii="宋体" w:hAnsi="宋体" w:eastAsia="宋体" w:cs="宋体"/>
          <w:b/>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6.代理服务费承诺书</w:t>
      </w:r>
    </w:p>
    <w:p w14:paraId="4B038E3C">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致：广西机电设备招标有限公司</w:t>
      </w:r>
    </w:p>
    <w:p w14:paraId="62747FE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我单位参加了贵方组织的谈判项目编号为</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的响应，并递交了谈判保证金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2A5C385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方承诺，若我单位成交，保证在领取成交通知书之前，按本项目采购文件的规定标准向贵单位支付代理服务费。如我单位未按规定缴纳代理服务费，贵方可不退还我单位提交的谈判保证金，并从中扣除代理服务费，余款按下列账户退回。</w:t>
      </w:r>
    </w:p>
    <w:p w14:paraId="2EE9E62D">
      <w:pPr>
        <w:snapToGrid w:val="0"/>
        <w:spacing w:before="50" w:after="120" w:afterLines="50"/>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5E30294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78ABABC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第二种方式：从谈判保证金中抵扣代理服务费，不足部分补交。</w:t>
      </w:r>
    </w:p>
    <w:p w14:paraId="6CEAEE1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2．如我单位谈判保证金无法原路返回，请按下表账户信息无息退还。</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58A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0BBC5301">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5431" w:type="dxa"/>
            <w:vAlign w:val="center"/>
          </w:tcPr>
          <w:p w14:paraId="52C909D4">
            <w:pPr>
              <w:spacing w:line="360" w:lineRule="exact"/>
              <w:jc w:val="center"/>
              <w:rPr>
                <w:rFonts w:ascii="宋体" w:hAnsi="宋体" w:eastAsia="宋体" w:cs="宋体"/>
                <w:color w:val="auto"/>
                <w:szCs w:val="21"/>
                <w:highlight w:val="none"/>
              </w:rPr>
            </w:pPr>
          </w:p>
        </w:tc>
      </w:tr>
      <w:tr w14:paraId="5F89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FAF9390">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5431" w:type="dxa"/>
            <w:vAlign w:val="center"/>
          </w:tcPr>
          <w:p w14:paraId="4DBCD021">
            <w:pPr>
              <w:spacing w:line="360" w:lineRule="exact"/>
              <w:jc w:val="center"/>
              <w:rPr>
                <w:rFonts w:ascii="宋体" w:hAnsi="宋体" w:eastAsia="宋体" w:cs="宋体"/>
                <w:color w:val="auto"/>
                <w:szCs w:val="21"/>
                <w:highlight w:val="none"/>
              </w:rPr>
            </w:pPr>
          </w:p>
        </w:tc>
      </w:tr>
      <w:tr w14:paraId="358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720FCD2">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5431" w:type="dxa"/>
            <w:vAlign w:val="center"/>
          </w:tcPr>
          <w:p w14:paraId="078FDFC8">
            <w:pPr>
              <w:spacing w:line="360" w:lineRule="exact"/>
              <w:jc w:val="center"/>
              <w:rPr>
                <w:rFonts w:ascii="宋体" w:hAnsi="宋体" w:eastAsia="宋体" w:cs="宋体"/>
                <w:color w:val="auto"/>
                <w:szCs w:val="21"/>
                <w:highlight w:val="none"/>
              </w:rPr>
            </w:pPr>
          </w:p>
        </w:tc>
      </w:tr>
      <w:tr w14:paraId="2D9A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6746B61">
            <w:pPr>
              <w:spacing w:line="36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5431" w:type="dxa"/>
            <w:vAlign w:val="center"/>
          </w:tcPr>
          <w:p w14:paraId="4B483EB5">
            <w:pPr>
              <w:spacing w:line="360" w:lineRule="exact"/>
              <w:jc w:val="center"/>
              <w:rPr>
                <w:rFonts w:ascii="宋体" w:hAnsi="宋体" w:eastAsia="宋体" w:cs="宋体"/>
                <w:color w:val="auto"/>
                <w:szCs w:val="21"/>
                <w:highlight w:val="none"/>
              </w:rPr>
            </w:pPr>
          </w:p>
        </w:tc>
      </w:tr>
    </w:tbl>
    <w:p w14:paraId="18E4958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3．如果我单位未遵守有关采购文件关于谈判保证金的规定，贵方可以没收我单位谈判保证金。</w:t>
      </w:r>
    </w:p>
    <w:p w14:paraId="14480CD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2B22716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63660EB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 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D4FF53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F805F81">
      <w:pPr>
        <w:spacing w:before="120" w:beforeLines="50" w:line="360" w:lineRule="auto"/>
        <w:jc w:val="left"/>
        <w:rPr>
          <w:rFonts w:ascii="宋体" w:hAnsi="宋体" w:eastAsia="宋体" w:cs="宋体"/>
          <w:color w:val="auto"/>
          <w:szCs w:val="21"/>
          <w:highlight w:val="none"/>
        </w:rPr>
      </w:pPr>
    </w:p>
    <w:p w14:paraId="5ADCCE19">
      <w:pPr>
        <w:spacing w:before="120" w:beforeLines="50" w:line="360"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63DB870C">
      <w:pPr>
        <w:spacing w:before="120" w:beforeLines="5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供应商地址：</w:t>
      </w:r>
      <w:r>
        <w:rPr>
          <w:rFonts w:hint="eastAsia" w:ascii="宋体" w:hAnsi="宋体" w:eastAsia="宋体" w:cs="宋体"/>
          <w:color w:val="auto"/>
          <w:szCs w:val="21"/>
          <w:highlight w:val="none"/>
          <w:u w:val="single"/>
        </w:rPr>
        <w:t xml:space="preserve">                                     </w:t>
      </w:r>
    </w:p>
    <w:p w14:paraId="77D8BBC3">
      <w:pPr>
        <w:wordWrap w:val="0"/>
        <w:spacing w:before="120" w:beforeLines="50"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0A810F7">
      <w:pPr>
        <w:spacing w:before="120" w:beforeLines="50"/>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14:paraId="5A9FA793">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（1）为保障资金安全，上述账户不能为私人账户。</w:t>
      </w:r>
    </w:p>
    <w:p w14:paraId="39EC960F">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44458741">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3A629F3B">
      <w:pPr>
        <w:pStyle w:val="27"/>
        <w:tabs>
          <w:tab w:val="left" w:pos="2127"/>
        </w:tabs>
        <w:spacing w:line="340" w:lineRule="exact"/>
        <w:rPr>
          <w:rFonts w:hAnsi="宋体" w:eastAsia="宋体" w:cs="宋体"/>
          <w:color w:val="auto"/>
          <w:highlight w:val="none"/>
        </w:rPr>
      </w:pPr>
    </w:p>
    <w:p w14:paraId="7483735F">
      <w:pPr>
        <w:spacing w:line="340" w:lineRule="exact"/>
        <w:rPr>
          <w:rFonts w:ascii="宋体" w:hAnsi="宋体" w:eastAsia="宋体" w:cs="宋体"/>
          <w:color w:val="auto"/>
          <w:szCs w:val="21"/>
          <w:highlight w:val="none"/>
        </w:rPr>
      </w:pPr>
    </w:p>
    <w:p w14:paraId="71EDF4A7">
      <w:pPr>
        <w:snapToGrid w:val="0"/>
        <w:spacing w:before="120" w:beforeLines="50" w:after="50" w:line="440" w:lineRule="exact"/>
        <w:jc w:val="center"/>
        <w:outlineLvl w:val="1"/>
        <w:rPr>
          <w:rFonts w:ascii="宋体" w:hAnsi="宋体" w:eastAsia="宋体" w:cs="宋体"/>
          <w:bCs/>
          <w:color w:val="auto"/>
          <w:sz w:val="24"/>
          <w:highlight w:val="none"/>
        </w:rPr>
      </w:pPr>
      <w:r>
        <w:rPr>
          <w:rFonts w:hint="eastAsia" w:ascii="宋体" w:hAnsi="宋体" w:eastAsia="宋体" w:cs="宋体"/>
          <w:b/>
          <w:color w:val="auto"/>
          <w:szCs w:val="21"/>
          <w:highlight w:val="none"/>
        </w:rPr>
        <w:br w:type="page"/>
      </w:r>
      <w:r>
        <w:rPr>
          <w:rFonts w:hint="eastAsia" w:ascii="宋体" w:hAnsi="宋体" w:eastAsia="宋体" w:cs="宋体"/>
          <w:bCs/>
          <w:color w:val="auto"/>
          <w:sz w:val="24"/>
          <w:highlight w:val="none"/>
        </w:rPr>
        <w:t>第三部分 报价文件</w:t>
      </w:r>
    </w:p>
    <w:p w14:paraId="50CF8F4C">
      <w:pPr>
        <w:jc w:val="center"/>
        <w:rPr>
          <w:rFonts w:ascii="宋体" w:hAnsi="宋体" w:eastAsia="宋体" w:cs="宋体"/>
          <w:b/>
          <w:bCs/>
          <w:color w:val="auto"/>
          <w:szCs w:val="21"/>
          <w:highlight w:val="none"/>
        </w:rPr>
      </w:pPr>
    </w:p>
    <w:p w14:paraId="45B92E5A">
      <w:pPr>
        <w:rPr>
          <w:rFonts w:ascii="宋体" w:hAnsi="宋体" w:eastAsia="宋体" w:cs="宋体"/>
          <w:color w:val="auto"/>
          <w:highlight w:val="none"/>
        </w:rPr>
      </w:pPr>
      <w:r>
        <w:rPr>
          <w:rFonts w:hint="eastAsia" w:ascii="宋体" w:hAnsi="宋体" w:eastAsia="宋体" w:cs="宋体"/>
          <w:color w:val="auto"/>
          <w:highlight w:val="none"/>
        </w:rPr>
        <w:t>1．响应函格式：</w:t>
      </w:r>
    </w:p>
    <w:p w14:paraId="6C340111">
      <w:pPr>
        <w:jc w:val="center"/>
        <w:rPr>
          <w:rFonts w:ascii="宋体" w:hAnsi="宋体" w:eastAsia="宋体" w:cs="宋体"/>
          <w:b/>
          <w:bCs/>
          <w:color w:val="auto"/>
          <w:szCs w:val="21"/>
          <w:highlight w:val="none"/>
        </w:rPr>
      </w:pPr>
    </w:p>
    <w:p w14:paraId="2219E93B">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 应 函</w:t>
      </w:r>
    </w:p>
    <w:p w14:paraId="5715403E">
      <w:pPr>
        <w:rPr>
          <w:rFonts w:ascii="宋体" w:hAnsi="宋体" w:eastAsia="宋体" w:cs="宋体"/>
          <w:b/>
          <w:color w:val="auto"/>
          <w:szCs w:val="21"/>
          <w:highlight w:val="none"/>
        </w:rPr>
      </w:pPr>
    </w:p>
    <w:p w14:paraId="654E731F">
      <w:pPr>
        <w:snapToGrid w:val="0"/>
        <w:spacing w:before="120" w:beforeLines="50" w:after="50"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w:t>
      </w:r>
      <w:bookmarkStart w:id="1075" w:name="_Hlk19051378"/>
      <w:r>
        <w:rPr>
          <w:rFonts w:hint="eastAsia" w:ascii="宋体" w:hAnsi="宋体" w:eastAsia="宋体" w:cs="宋体"/>
          <w:i/>
          <w:iCs/>
          <w:color w:val="auto"/>
          <w:szCs w:val="21"/>
          <w:highlight w:val="none"/>
          <w:u w:val="single"/>
        </w:rPr>
        <w:t>（采购人名称）</w:t>
      </w:r>
      <w:bookmarkEnd w:id="1075"/>
      <w:r>
        <w:rPr>
          <w:rFonts w:hint="eastAsia" w:ascii="宋体" w:hAnsi="宋体" w:eastAsia="宋体" w:cs="宋体"/>
          <w:color w:val="auto"/>
          <w:szCs w:val="21"/>
          <w:highlight w:val="none"/>
        </w:rPr>
        <w:t>：</w:t>
      </w:r>
    </w:p>
    <w:p w14:paraId="0DA35BFC">
      <w:pPr>
        <w:rPr>
          <w:rFonts w:ascii="宋体" w:hAnsi="宋体" w:eastAsia="宋体" w:cs="宋体"/>
          <w:b/>
          <w:color w:val="auto"/>
          <w:szCs w:val="21"/>
          <w:highlight w:val="none"/>
        </w:rPr>
      </w:pPr>
    </w:p>
    <w:p w14:paraId="4F0C7F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1.根据你方项目编号为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（工程项目名称）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eastAsia="宋体" w:cs="宋体"/>
          <w:color w:val="auto"/>
          <w:szCs w:val="21"/>
          <w:highlight w:val="none"/>
          <w:u w:val="single"/>
        </w:rPr>
        <w:t>（大写）    元（RMB￥    元）</w:t>
      </w:r>
      <w:r>
        <w:rPr>
          <w:rFonts w:hint="eastAsia" w:ascii="宋体" w:hAnsi="宋体" w:eastAsia="宋体" w:cs="宋体"/>
          <w:color w:val="auto"/>
          <w:szCs w:val="21"/>
          <w:highlight w:val="none"/>
        </w:rPr>
        <w:t>的谈判报价并按上述图纸、合同条款、工程建设内容和工程量清单的条件要求承包上述工程的施工、竣工，并承担任何质量缺陷保修责任。我方保证工程质量达到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等级。</w:t>
      </w:r>
    </w:p>
    <w:p w14:paraId="2D7E915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2.我方已详细审核全部采购文件，包括修改文件（如有）及有关附件。</w:t>
      </w:r>
    </w:p>
    <w:p w14:paraId="6B9B65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3.我方承认响应函附录是我方响应函的组成部分。</w:t>
      </w:r>
    </w:p>
    <w:p w14:paraId="438AA7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4.一旦我方成交，我方保证按合同书中规定的工期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日历天内完成并移交全部工程，并承诺不分包及转包他人。</w:t>
      </w:r>
    </w:p>
    <w:p w14:paraId="394F43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5.如果我方成交，我方将按照文件规定提交履约保证金作为履约担保。</w:t>
      </w:r>
    </w:p>
    <w:p w14:paraId="30EA0D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6.我方同意所提交的响应文件在采购文件的“供应商须知”中规定的响应有效期内有效，在此期间内如果成交，我方将受此约束。</w:t>
      </w:r>
    </w:p>
    <w:p w14:paraId="1E1E9A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7.除非另外达成协议并生效，你方的成交通知书和本响应文件将成为约束双方的合同文件的组成部分。</w:t>
      </w:r>
    </w:p>
    <w:p w14:paraId="172C37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8.我方将与本响应函一起，提交人民币</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元作为谈判保证金。</w:t>
      </w:r>
    </w:p>
    <w:p w14:paraId="166B119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与本项目有关的一切正式往来信函请寄：</w:t>
      </w:r>
    </w:p>
    <w:p w14:paraId="248D823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3C8C3E7">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8106BE8">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u w:val="single"/>
        </w:rPr>
        <w:t xml:space="preserve">              </w:t>
      </w:r>
    </w:p>
    <w:p w14:paraId="190867D8">
      <w:pPr>
        <w:spacing w:line="360" w:lineRule="auto"/>
        <w:ind w:firstLine="420" w:firstLineChars="200"/>
        <w:rPr>
          <w:rFonts w:ascii="宋体" w:hAnsi="宋体" w:eastAsia="宋体" w:cs="宋体"/>
          <w:color w:val="auto"/>
          <w:szCs w:val="21"/>
          <w:highlight w:val="none"/>
        </w:rPr>
      </w:pPr>
    </w:p>
    <w:p w14:paraId="728484A9">
      <w:pPr>
        <w:spacing w:line="360" w:lineRule="auto"/>
        <w:rPr>
          <w:rFonts w:ascii="宋体" w:hAnsi="宋体" w:eastAsia="宋体" w:cs="宋体"/>
          <w:color w:val="auto"/>
          <w:szCs w:val="21"/>
          <w:highlight w:val="none"/>
        </w:rPr>
      </w:pPr>
    </w:p>
    <w:p w14:paraId="60E2344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60FBEBB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B8DE115">
      <w:pPr>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color w:val="auto"/>
          <w:highlight w:val="none"/>
        </w:rPr>
        <w:t>2．响应函附录格式：</w:t>
      </w:r>
    </w:p>
    <w:p w14:paraId="4D00BF2A">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响应函附录</w:t>
      </w:r>
    </w:p>
    <w:p w14:paraId="30B2949C">
      <w:pPr>
        <w:rPr>
          <w:rFonts w:ascii="宋体" w:hAnsi="宋体" w:eastAsia="宋体" w:cs="宋体"/>
          <w:b/>
          <w:color w:val="auto"/>
          <w:szCs w:val="21"/>
          <w:highlight w:val="none"/>
        </w:rPr>
      </w:pPr>
    </w:p>
    <w:p w14:paraId="4DFC0328">
      <w:pPr>
        <w:ind w:firstLine="514" w:firstLineChars="245"/>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551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11F13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 号</w:t>
            </w:r>
          </w:p>
        </w:tc>
        <w:tc>
          <w:tcPr>
            <w:tcW w:w="1985" w:type="dxa"/>
            <w:vAlign w:val="center"/>
          </w:tcPr>
          <w:p w14:paraId="4360BDF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条款内容</w:t>
            </w:r>
          </w:p>
        </w:tc>
        <w:tc>
          <w:tcPr>
            <w:tcW w:w="2126" w:type="dxa"/>
            <w:vAlign w:val="center"/>
          </w:tcPr>
          <w:p w14:paraId="7163F8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合同条款号</w:t>
            </w:r>
          </w:p>
        </w:tc>
        <w:tc>
          <w:tcPr>
            <w:tcW w:w="1984" w:type="dxa"/>
            <w:vAlign w:val="center"/>
          </w:tcPr>
          <w:p w14:paraId="2349F58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约定内容</w:t>
            </w:r>
          </w:p>
        </w:tc>
        <w:tc>
          <w:tcPr>
            <w:tcW w:w="1843" w:type="dxa"/>
            <w:vAlign w:val="center"/>
          </w:tcPr>
          <w:p w14:paraId="675CFC8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D42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B8C64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85" w:type="dxa"/>
            <w:vAlign w:val="center"/>
          </w:tcPr>
          <w:p w14:paraId="5A9B548E">
            <w:pPr>
              <w:rPr>
                <w:rFonts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2126" w:type="dxa"/>
            <w:tcMar>
              <w:left w:w="170" w:type="dxa"/>
            </w:tcMar>
            <w:vAlign w:val="center"/>
          </w:tcPr>
          <w:p w14:paraId="14079F5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专用条款</w:t>
            </w:r>
          </w:p>
        </w:tc>
        <w:tc>
          <w:tcPr>
            <w:tcW w:w="1984" w:type="dxa"/>
            <w:vAlign w:val="center"/>
          </w:tcPr>
          <w:p w14:paraId="037942C0">
            <w:pPr>
              <w:rPr>
                <w:rFonts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p>
        </w:tc>
        <w:tc>
          <w:tcPr>
            <w:tcW w:w="1843" w:type="dxa"/>
            <w:vAlign w:val="center"/>
          </w:tcPr>
          <w:p w14:paraId="5E026750">
            <w:pPr>
              <w:jc w:val="center"/>
              <w:rPr>
                <w:rFonts w:ascii="宋体" w:hAnsi="宋体" w:eastAsia="宋体" w:cs="宋体"/>
                <w:color w:val="auto"/>
                <w:szCs w:val="21"/>
                <w:highlight w:val="none"/>
              </w:rPr>
            </w:pPr>
          </w:p>
        </w:tc>
      </w:tr>
      <w:tr w14:paraId="19F6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15D12C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85" w:type="dxa"/>
            <w:vAlign w:val="center"/>
          </w:tcPr>
          <w:p w14:paraId="3AA6FB7E">
            <w:pPr>
              <w:rPr>
                <w:rFonts w:ascii="宋体" w:hAnsi="宋体" w:eastAsia="宋体" w:cs="宋体"/>
                <w:color w:val="auto"/>
                <w:szCs w:val="21"/>
                <w:highlight w:val="none"/>
              </w:rPr>
            </w:pPr>
            <w:r>
              <w:rPr>
                <w:rFonts w:hint="eastAsia" w:ascii="宋体" w:hAnsi="宋体" w:eastAsia="宋体" w:cs="宋体"/>
                <w:color w:val="auto"/>
                <w:szCs w:val="21"/>
                <w:highlight w:val="none"/>
              </w:rPr>
              <w:t>响应有效期</w:t>
            </w:r>
          </w:p>
        </w:tc>
        <w:tc>
          <w:tcPr>
            <w:tcW w:w="2126" w:type="dxa"/>
            <w:tcMar>
              <w:left w:w="170" w:type="dxa"/>
            </w:tcMar>
            <w:vAlign w:val="center"/>
          </w:tcPr>
          <w:p w14:paraId="330AF361">
            <w:pPr>
              <w:rPr>
                <w:rFonts w:ascii="宋体" w:hAnsi="宋体" w:eastAsia="宋体" w:cs="宋体"/>
                <w:color w:val="auto"/>
                <w:szCs w:val="21"/>
                <w:highlight w:val="none"/>
              </w:rPr>
            </w:pPr>
          </w:p>
        </w:tc>
        <w:tc>
          <w:tcPr>
            <w:tcW w:w="1984" w:type="dxa"/>
            <w:vAlign w:val="center"/>
          </w:tcPr>
          <w:p w14:paraId="4627AB93">
            <w:pPr>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1843" w:type="dxa"/>
            <w:vAlign w:val="center"/>
          </w:tcPr>
          <w:p w14:paraId="7AEE1059">
            <w:pPr>
              <w:jc w:val="center"/>
              <w:rPr>
                <w:rFonts w:ascii="宋体" w:hAnsi="宋体" w:eastAsia="宋体" w:cs="宋体"/>
                <w:color w:val="auto"/>
                <w:szCs w:val="21"/>
                <w:highlight w:val="none"/>
              </w:rPr>
            </w:pPr>
          </w:p>
        </w:tc>
      </w:tr>
      <w:tr w14:paraId="4119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24572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85" w:type="dxa"/>
            <w:vAlign w:val="center"/>
          </w:tcPr>
          <w:p w14:paraId="0D37E848">
            <w:pPr>
              <w:rPr>
                <w:rFonts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2126" w:type="dxa"/>
            <w:tcMar>
              <w:left w:w="170" w:type="dxa"/>
            </w:tcMar>
            <w:vAlign w:val="center"/>
          </w:tcPr>
          <w:p w14:paraId="34D6BD8A">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2D32377E">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c>
          <w:tcPr>
            <w:tcW w:w="1843" w:type="dxa"/>
            <w:vAlign w:val="center"/>
          </w:tcPr>
          <w:p w14:paraId="7A87A6E0">
            <w:pPr>
              <w:jc w:val="center"/>
              <w:rPr>
                <w:rFonts w:ascii="宋体" w:hAnsi="宋体" w:eastAsia="宋体" w:cs="宋体"/>
                <w:color w:val="auto"/>
                <w:szCs w:val="21"/>
                <w:highlight w:val="none"/>
              </w:rPr>
            </w:pPr>
          </w:p>
        </w:tc>
      </w:tr>
      <w:tr w14:paraId="1757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694FA1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85" w:type="dxa"/>
            <w:vAlign w:val="center"/>
          </w:tcPr>
          <w:p w14:paraId="6C4BAA15">
            <w:pPr>
              <w:rPr>
                <w:rFonts w:ascii="宋体" w:hAnsi="宋体" w:eastAsia="宋体" w:cs="宋体"/>
                <w:color w:val="auto"/>
                <w:szCs w:val="21"/>
                <w:highlight w:val="none"/>
              </w:rPr>
            </w:pPr>
            <w:r>
              <w:rPr>
                <w:rFonts w:hint="eastAsia" w:ascii="宋体" w:hAnsi="宋体" w:eastAsia="宋体" w:cs="宋体"/>
                <w:color w:val="auto"/>
                <w:szCs w:val="21"/>
                <w:highlight w:val="none"/>
              </w:rPr>
              <w:t>缺陷责任期</w:t>
            </w:r>
          </w:p>
        </w:tc>
        <w:tc>
          <w:tcPr>
            <w:tcW w:w="2126" w:type="dxa"/>
            <w:tcMar>
              <w:left w:w="170" w:type="dxa"/>
            </w:tcMar>
            <w:vAlign w:val="center"/>
          </w:tcPr>
          <w:p w14:paraId="2DC8E463">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0EEE6E14">
            <w:pPr>
              <w:jc w:val="center"/>
              <w:rPr>
                <w:rFonts w:ascii="宋体" w:hAnsi="宋体" w:eastAsia="宋体" w:cs="宋体"/>
                <w:color w:val="auto"/>
                <w:szCs w:val="21"/>
                <w:highlight w:val="none"/>
              </w:rPr>
            </w:pPr>
          </w:p>
        </w:tc>
        <w:tc>
          <w:tcPr>
            <w:tcW w:w="1843" w:type="dxa"/>
            <w:vAlign w:val="center"/>
          </w:tcPr>
          <w:p w14:paraId="6C01AD03">
            <w:pPr>
              <w:jc w:val="center"/>
              <w:rPr>
                <w:rFonts w:ascii="宋体" w:hAnsi="宋体" w:eastAsia="宋体" w:cs="宋体"/>
                <w:color w:val="auto"/>
                <w:szCs w:val="21"/>
                <w:highlight w:val="none"/>
              </w:rPr>
            </w:pPr>
          </w:p>
        </w:tc>
      </w:tr>
      <w:tr w14:paraId="734F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625E3E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985" w:type="dxa"/>
            <w:vAlign w:val="center"/>
          </w:tcPr>
          <w:p w14:paraId="76A4B2BD">
            <w:pPr>
              <w:rPr>
                <w:rFonts w:ascii="宋体" w:hAnsi="宋体" w:eastAsia="宋体" w:cs="宋体"/>
                <w:color w:val="auto"/>
                <w:szCs w:val="21"/>
                <w:highlight w:val="none"/>
              </w:rPr>
            </w:pPr>
            <w:r>
              <w:rPr>
                <w:rFonts w:hint="eastAsia" w:ascii="宋体" w:hAnsi="宋体" w:eastAsia="宋体" w:cs="宋体"/>
                <w:color w:val="auto"/>
                <w:szCs w:val="21"/>
                <w:highlight w:val="none"/>
              </w:rPr>
              <w:t>发包人支付担保</w:t>
            </w:r>
          </w:p>
        </w:tc>
        <w:tc>
          <w:tcPr>
            <w:tcW w:w="2126" w:type="dxa"/>
            <w:tcMar>
              <w:left w:w="170" w:type="dxa"/>
            </w:tcMar>
            <w:vAlign w:val="center"/>
          </w:tcPr>
          <w:p w14:paraId="2769E1BE">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2405EADA">
            <w:pPr>
              <w:jc w:val="center"/>
              <w:rPr>
                <w:rFonts w:ascii="宋体" w:hAnsi="宋体" w:eastAsia="宋体" w:cs="宋体"/>
                <w:color w:val="auto"/>
                <w:szCs w:val="21"/>
                <w:highlight w:val="none"/>
              </w:rPr>
            </w:pPr>
          </w:p>
        </w:tc>
        <w:tc>
          <w:tcPr>
            <w:tcW w:w="1843" w:type="dxa"/>
            <w:vAlign w:val="center"/>
          </w:tcPr>
          <w:p w14:paraId="120F62D9">
            <w:pPr>
              <w:jc w:val="center"/>
              <w:rPr>
                <w:rFonts w:ascii="宋体" w:hAnsi="宋体" w:eastAsia="宋体" w:cs="宋体"/>
                <w:color w:val="auto"/>
                <w:szCs w:val="21"/>
                <w:highlight w:val="none"/>
              </w:rPr>
            </w:pPr>
          </w:p>
        </w:tc>
      </w:tr>
      <w:tr w14:paraId="0410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946EC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985" w:type="dxa"/>
            <w:vAlign w:val="center"/>
          </w:tcPr>
          <w:p w14:paraId="516994FD">
            <w:pPr>
              <w:rPr>
                <w:rFonts w:ascii="宋体" w:hAnsi="宋体" w:eastAsia="宋体" w:cs="宋体"/>
                <w:color w:val="auto"/>
                <w:szCs w:val="21"/>
                <w:highlight w:val="none"/>
              </w:rPr>
            </w:pPr>
            <w:r>
              <w:rPr>
                <w:rFonts w:hint="eastAsia" w:ascii="宋体" w:hAnsi="宋体" w:eastAsia="宋体" w:cs="宋体"/>
                <w:color w:val="auto"/>
                <w:szCs w:val="21"/>
                <w:highlight w:val="none"/>
              </w:rPr>
              <w:t>承包人履约担保金额</w:t>
            </w:r>
          </w:p>
        </w:tc>
        <w:tc>
          <w:tcPr>
            <w:tcW w:w="2126" w:type="dxa"/>
            <w:tcMar>
              <w:left w:w="170" w:type="dxa"/>
            </w:tcMar>
            <w:vAlign w:val="center"/>
          </w:tcPr>
          <w:p w14:paraId="5A859490">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51A12C4E">
            <w:pPr>
              <w:jc w:val="center"/>
              <w:rPr>
                <w:rFonts w:ascii="宋体" w:hAnsi="宋体" w:eastAsia="宋体" w:cs="宋体"/>
                <w:color w:val="auto"/>
                <w:szCs w:val="21"/>
                <w:highlight w:val="none"/>
              </w:rPr>
            </w:pPr>
          </w:p>
        </w:tc>
        <w:tc>
          <w:tcPr>
            <w:tcW w:w="1843" w:type="dxa"/>
            <w:vAlign w:val="center"/>
          </w:tcPr>
          <w:p w14:paraId="2F2D9DEE">
            <w:pPr>
              <w:jc w:val="center"/>
              <w:rPr>
                <w:rFonts w:ascii="宋体" w:hAnsi="宋体" w:eastAsia="宋体" w:cs="宋体"/>
                <w:color w:val="auto"/>
                <w:szCs w:val="21"/>
                <w:highlight w:val="none"/>
              </w:rPr>
            </w:pPr>
          </w:p>
        </w:tc>
      </w:tr>
      <w:tr w14:paraId="02FD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6663E8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985" w:type="dxa"/>
            <w:vAlign w:val="center"/>
          </w:tcPr>
          <w:p w14:paraId="1B7A52C2">
            <w:pPr>
              <w:rPr>
                <w:rFonts w:ascii="宋体" w:hAnsi="宋体" w:eastAsia="宋体" w:cs="宋体"/>
                <w:color w:val="auto"/>
                <w:szCs w:val="21"/>
                <w:highlight w:val="none"/>
              </w:rPr>
            </w:pPr>
            <w:r>
              <w:rPr>
                <w:rFonts w:hint="eastAsia" w:ascii="宋体" w:hAnsi="宋体" w:eastAsia="宋体" w:cs="宋体"/>
                <w:color w:val="auto"/>
                <w:szCs w:val="21"/>
                <w:highlight w:val="none"/>
              </w:rPr>
              <w:t>逾期竣工违约金</w:t>
            </w:r>
          </w:p>
        </w:tc>
        <w:tc>
          <w:tcPr>
            <w:tcW w:w="2126" w:type="dxa"/>
            <w:tcMar>
              <w:left w:w="170" w:type="dxa"/>
            </w:tcMar>
            <w:vAlign w:val="center"/>
          </w:tcPr>
          <w:p w14:paraId="3EC5A468">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3F411202">
            <w:pPr>
              <w:rPr>
                <w:rFonts w:ascii="宋体" w:hAnsi="宋体" w:eastAsia="宋体" w:cs="宋体"/>
                <w:color w:val="auto"/>
                <w:szCs w:val="21"/>
                <w:highlight w:val="none"/>
              </w:rPr>
            </w:pPr>
            <w:r>
              <w:rPr>
                <w:rFonts w:hint="eastAsia" w:ascii="宋体" w:hAnsi="宋体" w:eastAsia="宋体" w:cs="宋体"/>
                <w:color w:val="auto"/>
                <w:szCs w:val="21"/>
                <w:highlight w:val="none"/>
              </w:rPr>
              <w:t>合同价款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tc>
        <w:tc>
          <w:tcPr>
            <w:tcW w:w="1843" w:type="dxa"/>
            <w:vAlign w:val="center"/>
          </w:tcPr>
          <w:p w14:paraId="3E5CA39A">
            <w:pPr>
              <w:jc w:val="center"/>
              <w:rPr>
                <w:rFonts w:ascii="宋体" w:hAnsi="宋体" w:eastAsia="宋体" w:cs="宋体"/>
                <w:color w:val="auto"/>
                <w:szCs w:val="21"/>
                <w:highlight w:val="none"/>
              </w:rPr>
            </w:pPr>
          </w:p>
        </w:tc>
      </w:tr>
      <w:tr w14:paraId="4E73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68FACA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985" w:type="dxa"/>
            <w:vAlign w:val="center"/>
          </w:tcPr>
          <w:p w14:paraId="10DEC35C">
            <w:pPr>
              <w:rPr>
                <w:rFonts w:ascii="宋体" w:hAnsi="宋体" w:eastAsia="宋体" w:cs="宋体"/>
                <w:color w:val="auto"/>
                <w:szCs w:val="21"/>
                <w:highlight w:val="none"/>
              </w:rPr>
            </w:pPr>
            <w:r>
              <w:rPr>
                <w:rFonts w:hint="eastAsia" w:ascii="宋体" w:hAnsi="宋体" w:eastAsia="宋体" w:cs="宋体"/>
                <w:color w:val="auto"/>
                <w:szCs w:val="21"/>
                <w:highlight w:val="none"/>
              </w:rPr>
              <w:t>逾期竣工违约金最高限额</w:t>
            </w:r>
          </w:p>
        </w:tc>
        <w:tc>
          <w:tcPr>
            <w:tcW w:w="2126" w:type="dxa"/>
            <w:tcMar>
              <w:left w:w="170" w:type="dxa"/>
            </w:tcMar>
            <w:vAlign w:val="center"/>
          </w:tcPr>
          <w:p w14:paraId="4CF9583E">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14BB28BB">
            <w:pPr>
              <w:rPr>
                <w:rFonts w:ascii="宋体" w:hAnsi="宋体" w:eastAsia="宋体" w:cs="宋体"/>
                <w:color w:val="auto"/>
                <w:szCs w:val="21"/>
                <w:highlight w:val="none"/>
              </w:rPr>
            </w:pPr>
            <w:r>
              <w:rPr>
                <w:rFonts w:hint="eastAsia" w:ascii="宋体" w:hAnsi="宋体" w:eastAsia="宋体" w:cs="宋体"/>
                <w:color w:val="auto"/>
                <w:szCs w:val="21"/>
                <w:highlight w:val="none"/>
              </w:rPr>
              <w:t>合同价款</w:t>
            </w:r>
            <w:r>
              <w:rPr>
                <w:rFonts w:hint="eastAsia" w:ascii="宋体" w:hAnsi="宋体" w:eastAsia="宋体" w:cs="宋体"/>
                <w:color w:val="auto"/>
                <w:szCs w:val="21"/>
                <w:highlight w:val="none"/>
                <w:u w:val="single"/>
              </w:rPr>
              <w:t xml:space="preserve">    %</w:t>
            </w:r>
          </w:p>
        </w:tc>
        <w:tc>
          <w:tcPr>
            <w:tcW w:w="1843" w:type="dxa"/>
            <w:vAlign w:val="center"/>
          </w:tcPr>
          <w:p w14:paraId="6B16381E">
            <w:pPr>
              <w:jc w:val="center"/>
              <w:rPr>
                <w:rFonts w:ascii="宋体" w:hAnsi="宋体" w:eastAsia="宋体" w:cs="宋体"/>
                <w:color w:val="auto"/>
                <w:szCs w:val="21"/>
                <w:highlight w:val="none"/>
              </w:rPr>
            </w:pPr>
          </w:p>
        </w:tc>
      </w:tr>
      <w:tr w14:paraId="3BA7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8D4230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985" w:type="dxa"/>
            <w:vAlign w:val="center"/>
          </w:tcPr>
          <w:p w14:paraId="0D507141">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2126" w:type="dxa"/>
            <w:tcMar>
              <w:left w:w="170" w:type="dxa"/>
            </w:tcMar>
            <w:vAlign w:val="center"/>
          </w:tcPr>
          <w:p w14:paraId="62157672">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6C6DD737">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c>
          <w:tcPr>
            <w:tcW w:w="1843" w:type="dxa"/>
            <w:vAlign w:val="center"/>
          </w:tcPr>
          <w:p w14:paraId="4CE65716">
            <w:pPr>
              <w:jc w:val="center"/>
              <w:rPr>
                <w:rFonts w:ascii="宋体" w:hAnsi="宋体" w:eastAsia="宋体" w:cs="宋体"/>
                <w:color w:val="auto"/>
                <w:szCs w:val="21"/>
                <w:highlight w:val="none"/>
              </w:rPr>
            </w:pPr>
          </w:p>
        </w:tc>
      </w:tr>
      <w:tr w14:paraId="2238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BE890B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85" w:type="dxa"/>
            <w:vAlign w:val="center"/>
          </w:tcPr>
          <w:p w14:paraId="140455BC">
            <w:pPr>
              <w:rPr>
                <w:rFonts w:ascii="宋体" w:hAnsi="宋体" w:eastAsia="宋体" w:cs="宋体"/>
                <w:color w:val="auto"/>
                <w:szCs w:val="21"/>
                <w:highlight w:val="none"/>
              </w:rPr>
            </w:pPr>
            <w:r>
              <w:rPr>
                <w:rFonts w:hint="eastAsia" w:ascii="宋体" w:hAnsi="宋体" w:eastAsia="宋体" w:cs="宋体"/>
                <w:color w:val="auto"/>
                <w:szCs w:val="21"/>
                <w:highlight w:val="none"/>
              </w:rPr>
              <w:t>预付款额度</w:t>
            </w:r>
          </w:p>
        </w:tc>
        <w:tc>
          <w:tcPr>
            <w:tcW w:w="2126" w:type="dxa"/>
            <w:tcMar>
              <w:left w:w="170" w:type="dxa"/>
            </w:tcMar>
            <w:vAlign w:val="center"/>
          </w:tcPr>
          <w:p w14:paraId="0559C8F2">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607E8F81">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c>
          <w:tcPr>
            <w:tcW w:w="1843" w:type="dxa"/>
            <w:vAlign w:val="center"/>
          </w:tcPr>
          <w:p w14:paraId="72542C6A">
            <w:pPr>
              <w:jc w:val="center"/>
              <w:rPr>
                <w:rFonts w:ascii="宋体" w:hAnsi="宋体" w:eastAsia="宋体" w:cs="宋体"/>
                <w:color w:val="auto"/>
                <w:szCs w:val="21"/>
                <w:highlight w:val="none"/>
              </w:rPr>
            </w:pPr>
          </w:p>
        </w:tc>
      </w:tr>
      <w:tr w14:paraId="1565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9660DA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85" w:type="dxa"/>
            <w:vAlign w:val="center"/>
          </w:tcPr>
          <w:p w14:paraId="5B2630FB">
            <w:pPr>
              <w:rPr>
                <w:rFonts w:ascii="宋体" w:hAnsi="宋体" w:eastAsia="宋体" w:cs="宋体"/>
                <w:color w:val="auto"/>
                <w:szCs w:val="21"/>
                <w:highlight w:val="none"/>
              </w:rPr>
            </w:pPr>
            <w:r>
              <w:rPr>
                <w:rFonts w:hint="eastAsia" w:ascii="宋体" w:hAnsi="宋体" w:eastAsia="宋体" w:cs="宋体"/>
                <w:color w:val="auto"/>
                <w:szCs w:val="21"/>
                <w:highlight w:val="none"/>
              </w:rPr>
              <w:t>预付款保函金额</w:t>
            </w:r>
          </w:p>
        </w:tc>
        <w:tc>
          <w:tcPr>
            <w:tcW w:w="2126" w:type="dxa"/>
            <w:tcMar>
              <w:left w:w="170" w:type="dxa"/>
            </w:tcMar>
            <w:vAlign w:val="center"/>
          </w:tcPr>
          <w:p w14:paraId="6331F64E">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0EC30879">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c>
          <w:tcPr>
            <w:tcW w:w="1843" w:type="dxa"/>
            <w:vAlign w:val="center"/>
          </w:tcPr>
          <w:p w14:paraId="6B28C047">
            <w:pPr>
              <w:jc w:val="center"/>
              <w:rPr>
                <w:rFonts w:ascii="宋体" w:hAnsi="宋体" w:eastAsia="宋体" w:cs="宋体"/>
                <w:color w:val="auto"/>
                <w:szCs w:val="21"/>
                <w:highlight w:val="none"/>
              </w:rPr>
            </w:pPr>
          </w:p>
        </w:tc>
      </w:tr>
      <w:tr w14:paraId="6029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F0F3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85" w:type="dxa"/>
            <w:vAlign w:val="center"/>
          </w:tcPr>
          <w:p w14:paraId="15C88E7A">
            <w:pPr>
              <w:rPr>
                <w:rFonts w:ascii="宋体" w:hAnsi="宋体" w:eastAsia="宋体" w:cs="宋体"/>
                <w:color w:val="auto"/>
                <w:szCs w:val="21"/>
                <w:highlight w:val="none"/>
              </w:rPr>
            </w:pPr>
            <w:r>
              <w:rPr>
                <w:rFonts w:hint="eastAsia" w:ascii="宋体" w:hAnsi="宋体" w:eastAsia="宋体" w:cs="宋体"/>
                <w:color w:val="auto"/>
                <w:szCs w:val="21"/>
                <w:highlight w:val="none"/>
              </w:rPr>
              <w:t>质量保证金额度</w:t>
            </w:r>
          </w:p>
        </w:tc>
        <w:tc>
          <w:tcPr>
            <w:tcW w:w="2126" w:type="dxa"/>
            <w:tcMar>
              <w:left w:w="170" w:type="dxa"/>
            </w:tcMar>
            <w:vAlign w:val="center"/>
          </w:tcPr>
          <w:p w14:paraId="4A0E977E">
            <w:pPr>
              <w:jc w:val="center"/>
              <w:rPr>
                <w:rFonts w:ascii="宋体" w:hAnsi="宋体" w:eastAsia="宋体" w:cs="宋体"/>
                <w:color w:val="auto"/>
                <w:highlight w:val="none"/>
              </w:rPr>
            </w:pPr>
            <w:r>
              <w:rPr>
                <w:rFonts w:hint="eastAsia" w:ascii="宋体" w:hAnsi="宋体" w:eastAsia="宋体" w:cs="宋体"/>
                <w:color w:val="auto"/>
                <w:szCs w:val="21"/>
                <w:highlight w:val="none"/>
              </w:rPr>
              <w:t>专用条款</w:t>
            </w:r>
          </w:p>
        </w:tc>
        <w:tc>
          <w:tcPr>
            <w:tcW w:w="1984" w:type="dxa"/>
            <w:vAlign w:val="center"/>
          </w:tcPr>
          <w:p w14:paraId="2CD686F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结算价的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tc>
        <w:tc>
          <w:tcPr>
            <w:tcW w:w="1843" w:type="dxa"/>
            <w:vAlign w:val="center"/>
          </w:tcPr>
          <w:p w14:paraId="3D0411BD">
            <w:pPr>
              <w:jc w:val="center"/>
              <w:rPr>
                <w:rFonts w:ascii="宋体" w:hAnsi="宋体" w:eastAsia="宋体" w:cs="宋体"/>
                <w:color w:val="auto"/>
                <w:szCs w:val="21"/>
                <w:highlight w:val="none"/>
              </w:rPr>
            </w:pPr>
          </w:p>
        </w:tc>
      </w:tr>
      <w:tr w14:paraId="2F4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A225A4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85" w:type="dxa"/>
            <w:vAlign w:val="center"/>
          </w:tcPr>
          <w:p w14:paraId="02EE9BC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6" w:type="dxa"/>
            <w:tcMar>
              <w:left w:w="170" w:type="dxa"/>
            </w:tcMar>
            <w:vAlign w:val="center"/>
          </w:tcPr>
          <w:p w14:paraId="16DA10E9">
            <w:pPr>
              <w:jc w:val="center"/>
              <w:rPr>
                <w:rFonts w:ascii="宋体" w:hAnsi="宋体" w:eastAsia="宋体" w:cs="宋体"/>
                <w:color w:val="auto"/>
                <w:szCs w:val="21"/>
                <w:highlight w:val="none"/>
              </w:rPr>
            </w:pPr>
          </w:p>
        </w:tc>
        <w:tc>
          <w:tcPr>
            <w:tcW w:w="1984" w:type="dxa"/>
            <w:vAlign w:val="center"/>
          </w:tcPr>
          <w:p w14:paraId="46C76D4C">
            <w:pPr>
              <w:jc w:val="center"/>
              <w:rPr>
                <w:rFonts w:ascii="宋体" w:hAnsi="宋体" w:eastAsia="宋体" w:cs="宋体"/>
                <w:color w:val="auto"/>
                <w:szCs w:val="21"/>
                <w:highlight w:val="none"/>
              </w:rPr>
            </w:pPr>
          </w:p>
        </w:tc>
        <w:tc>
          <w:tcPr>
            <w:tcW w:w="1843" w:type="dxa"/>
            <w:vAlign w:val="center"/>
          </w:tcPr>
          <w:p w14:paraId="6BB8E55B">
            <w:pPr>
              <w:jc w:val="center"/>
              <w:rPr>
                <w:rFonts w:ascii="宋体" w:hAnsi="宋体" w:eastAsia="宋体" w:cs="宋体"/>
                <w:color w:val="auto"/>
                <w:szCs w:val="21"/>
                <w:highlight w:val="none"/>
              </w:rPr>
            </w:pPr>
          </w:p>
        </w:tc>
      </w:tr>
      <w:tr w14:paraId="0D71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57D1247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备注：供应商在响应采购文件中规定的实质性要求和条件的基础上，可做出其他有利于采购单位的承诺。此类承诺可在本表中予以补充填写。</w:t>
            </w:r>
          </w:p>
        </w:tc>
      </w:tr>
    </w:tbl>
    <w:p w14:paraId="55B17BE8">
      <w:pPr>
        <w:rPr>
          <w:rFonts w:ascii="宋体" w:hAnsi="宋体" w:eastAsia="宋体" w:cs="宋体"/>
          <w:color w:val="auto"/>
          <w:spacing w:val="20"/>
          <w:szCs w:val="21"/>
          <w:highlight w:val="none"/>
          <w:u w:val="single"/>
        </w:rPr>
      </w:pPr>
    </w:p>
    <w:p w14:paraId="14EB440F">
      <w:pPr>
        <w:spacing w:line="360" w:lineRule="auto"/>
        <w:rPr>
          <w:rFonts w:ascii="宋体" w:hAnsi="宋体" w:eastAsia="宋体" w:cs="宋体"/>
          <w:color w:val="auto"/>
          <w:spacing w:val="20"/>
          <w:szCs w:val="21"/>
          <w:highlight w:val="none"/>
        </w:rPr>
      </w:pPr>
    </w:p>
    <w:p w14:paraId="209E9F96">
      <w:pPr>
        <w:spacing w:line="360" w:lineRule="auto"/>
        <w:rPr>
          <w:rFonts w:ascii="宋体" w:hAnsi="宋体" w:eastAsia="宋体" w:cs="宋体"/>
          <w:color w:val="auto"/>
          <w:spacing w:val="20"/>
          <w:szCs w:val="21"/>
          <w:highlight w:val="none"/>
        </w:rPr>
      </w:pPr>
    </w:p>
    <w:p w14:paraId="005CF07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8810CA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59CFF25C">
      <w:pPr>
        <w:rPr>
          <w:rFonts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highlight w:val="none"/>
        </w:rPr>
        <w:t>3．响应报价表格式：</w:t>
      </w:r>
    </w:p>
    <w:p w14:paraId="19918D67">
      <w:pPr>
        <w:jc w:val="center"/>
        <w:rPr>
          <w:rFonts w:ascii="宋体" w:hAnsi="宋体" w:eastAsia="宋体" w:cs="宋体"/>
          <w:color w:val="auto"/>
          <w:spacing w:val="20"/>
          <w:szCs w:val="21"/>
          <w:highlight w:val="none"/>
          <w:u w:val="single"/>
        </w:rPr>
      </w:pPr>
      <w:r>
        <w:rPr>
          <w:rFonts w:hint="eastAsia" w:ascii="宋体" w:hAnsi="宋体" w:eastAsia="宋体" w:cs="宋体"/>
          <w:b/>
          <w:color w:val="auto"/>
          <w:szCs w:val="21"/>
          <w:highlight w:val="none"/>
        </w:rPr>
        <w:t>谈判报价表</w:t>
      </w:r>
    </w:p>
    <w:p w14:paraId="7FEA78BD">
      <w:pPr>
        <w:rPr>
          <w:rFonts w:ascii="宋体" w:hAnsi="宋体" w:eastAsia="宋体" w:cs="宋体"/>
          <w:color w:val="auto"/>
          <w:szCs w:val="21"/>
          <w:highlight w:val="none"/>
        </w:rPr>
      </w:pPr>
    </w:p>
    <w:p w14:paraId="6126E012">
      <w:pPr>
        <w:ind w:left="-178" w:leftChars="-85" w:right="-512" w:rightChars="-244" w:firstLine="840" w:firstLineChars="400"/>
        <w:jc w:val="left"/>
        <w:rPr>
          <w:rFonts w:ascii="宋体" w:hAnsi="宋体" w:eastAsia="宋体" w:cs="宋体"/>
          <w:color w:val="auto"/>
          <w:highlight w:val="none"/>
        </w:rPr>
      </w:pPr>
      <w:r>
        <w:rPr>
          <w:rFonts w:hint="eastAsia" w:ascii="宋体" w:hAnsi="宋体" w:eastAsia="宋体" w:cs="宋体"/>
          <w:color w:val="auto"/>
          <w:highlight w:val="none"/>
        </w:rPr>
        <w:t>工程名称：                                                  币种：人民币</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648C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2B6F04A8">
            <w:pPr>
              <w:widowControl/>
              <w:jc w:val="center"/>
              <w:rPr>
                <w:rFonts w:ascii="宋体" w:hAnsi="宋体" w:eastAsia="宋体" w:cs="宋体"/>
                <w:color w:val="auto"/>
                <w:highlight w:val="none"/>
              </w:rPr>
            </w:pPr>
            <w:r>
              <w:rPr>
                <w:rFonts w:hint="eastAsia" w:ascii="宋体" w:hAnsi="宋体" w:eastAsia="宋体" w:cs="宋体"/>
                <w:color w:val="auto"/>
                <w:highlight w:val="none"/>
              </w:rPr>
              <w:t>响应总价</w:t>
            </w:r>
          </w:p>
        </w:tc>
        <w:tc>
          <w:tcPr>
            <w:tcW w:w="1987" w:type="dxa"/>
            <w:vAlign w:val="center"/>
          </w:tcPr>
          <w:p w14:paraId="5D126D02">
            <w:pPr>
              <w:widowControl/>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vAlign w:val="center"/>
          </w:tcPr>
          <w:p w14:paraId="26ECC69C">
            <w:pPr>
              <w:widowControl/>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751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6F2EE471">
            <w:pPr>
              <w:jc w:val="center"/>
              <w:rPr>
                <w:rFonts w:ascii="宋体" w:hAnsi="宋体" w:eastAsia="宋体" w:cs="宋体"/>
                <w:color w:val="auto"/>
                <w:highlight w:val="none"/>
              </w:rPr>
            </w:pPr>
            <w:r>
              <w:rPr>
                <w:rFonts w:hint="eastAsia" w:ascii="宋体" w:hAnsi="宋体" w:eastAsia="宋体" w:cs="宋体"/>
                <w:color w:val="auto"/>
                <w:highlight w:val="none"/>
              </w:rPr>
              <w:t>其中</w:t>
            </w:r>
          </w:p>
        </w:tc>
        <w:tc>
          <w:tcPr>
            <w:tcW w:w="3116" w:type="dxa"/>
            <w:vAlign w:val="center"/>
          </w:tcPr>
          <w:p w14:paraId="74FEB47D">
            <w:pPr>
              <w:jc w:val="center"/>
              <w:rPr>
                <w:rFonts w:ascii="宋体" w:hAnsi="宋体" w:eastAsia="宋体" w:cs="宋体"/>
                <w:color w:val="auto"/>
                <w:highlight w:val="none"/>
              </w:rPr>
            </w:pPr>
            <w:r>
              <w:rPr>
                <w:rFonts w:hint="eastAsia" w:ascii="宋体" w:hAnsi="宋体" w:eastAsia="宋体" w:cs="宋体"/>
                <w:color w:val="auto"/>
                <w:highlight w:val="none"/>
              </w:rPr>
              <w:t>安全文明施工费</w:t>
            </w:r>
          </w:p>
        </w:tc>
        <w:tc>
          <w:tcPr>
            <w:tcW w:w="1987" w:type="dxa"/>
            <w:vAlign w:val="center"/>
          </w:tcPr>
          <w:p w14:paraId="6A5F1FE9">
            <w:pPr>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vAlign w:val="center"/>
          </w:tcPr>
          <w:p w14:paraId="5E581B43">
            <w:pPr>
              <w:jc w:val="center"/>
              <w:rPr>
                <w:rFonts w:ascii="宋体" w:hAnsi="宋体" w:eastAsia="宋体" w:cs="宋体"/>
                <w:color w:val="auto"/>
                <w:highlight w:val="none"/>
              </w:rPr>
            </w:pPr>
          </w:p>
        </w:tc>
      </w:tr>
      <w:tr w14:paraId="0C9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continue"/>
            <w:vAlign w:val="center"/>
          </w:tcPr>
          <w:p w14:paraId="209A2C5F">
            <w:pPr>
              <w:jc w:val="center"/>
              <w:rPr>
                <w:rFonts w:ascii="宋体" w:hAnsi="宋体" w:eastAsia="宋体" w:cs="宋体"/>
                <w:color w:val="auto"/>
                <w:highlight w:val="none"/>
              </w:rPr>
            </w:pPr>
          </w:p>
        </w:tc>
        <w:tc>
          <w:tcPr>
            <w:tcW w:w="3116" w:type="dxa"/>
            <w:vAlign w:val="center"/>
          </w:tcPr>
          <w:p w14:paraId="55A4F6A0">
            <w:pPr>
              <w:jc w:val="center"/>
              <w:rPr>
                <w:rFonts w:ascii="宋体" w:hAnsi="宋体" w:eastAsia="宋体" w:cs="宋体"/>
                <w:color w:val="auto"/>
                <w:highlight w:val="none"/>
              </w:rPr>
            </w:pPr>
            <w:r>
              <w:rPr>
                <w:rFonts w:hint="eastAsia" w:ascii="宋体" w:hAnsi="宋体" w:eastAsia="宋体" w:cs="宋体"/>
                <w:color w:val="auto"/>
                <w:highlight w:val="none"/>
              </w:rPr>
              <w:t>安责险暂估价（如有）</w:t>
            </w:r>
          </w:p>
        </w:tc>
        <w:tc>
          <w:tcPr>
            <w:tcW w:w="1987" w:type="dxa"/>
            <w:vAlign w:val="center"/>
          </w:tcPr>
          <w:p w14:paraId="34964838">
            <w:pPr>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vAlign w:val="center"/>
          </w:tcPr>
          <w:p w14:paraId="045D5BFF">
            <w:pPr>
              <w:jc w:val="center"/>
              <w:rPr>
                <w:rFonts w:ascii="宋体" w:hAnsi="宋体" w:eastAsia="宋体" w:cs="宋体"/>
                <w:color w:val="auto"/>
                <w:highlight w:val="none"/>
              </w:rPr>
            </w:pPr>
          </w:p>
        </w:tc>
      </w:tr>
      <w:tr w14:paraId="235D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A4339A5">
            <w:pPr>
              <w:widowControl/>
              <w:jc w:val="center"/>
              <w:rPr>
                <w:rFonts w:ascii="宋体" w:hAnsi="宋体" w:eastAsia="宋体" w:cs="宋体"/>
                <w:color w:val="auto"/>
                <w:highlight w:val="none"/>
              </w:rPr>
            </w:pPr>
          </w:p>
        </w:tc>
        <w:tc>
          <w:tcPr>
            <w:tcW w:w="3116" w:type="dxa"/>
            <w:vAlign w:val="center"/>
          </w:tcPr>
          <w:p w14:paraId="100756F2">
            <w:pPr>
              <w:jc w:val="center"/>
              <w:rPr>
                <w:rFonts w:ascii="宋体" w:hAnsi="宋体" w:eastAsia="宋体" w:cs="宋体"/>
                <w:color w:val="auto"/>
                <w:highlight w:val="none"/>
              </w:rPr>
            </w:pPr>
            <w:r>
              <w:rPr>
                <w:rFonts w:hint="eastAsia" w:ascii="宋体" w:hAnsi="宋体" w:eastAsia="宋体" w:cs="宋体"/>
                <w:color w:val="auto"/>
                <w:highlight w:val="none"/>
              </w:rPr>
              <w:t>发包人提供材料（设备）暂估价（如有）</w:t>
            </w:r>
          </w:p>
        </w:tc>
        <w:tc>
          <w:tcPr>
            <w:tcW w:w="1987" w:type="dxa"/>
            <w:vAlign w:val="center"/>
          </w:tcPr>
          <w:p w14:paraId="049F39E4">
            <w:pPr>
              <w:widowControl/>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tcPr>
          <w:p w14:paraId="6B7C873D">
            <w:pPr>
              <w:widowControl/>
              <w:ind w:right="480"/>
              <w:rPr>
                <w:rFonts w:ascii="宋体" w:hAnsi="宋体" w:eastAsia="宋体" w:cs="宋体"/>
                <w:color w:val="auto"/>
                <w:highlight w:val="none"/>
              </w:rPr>
            </w:pPr>
          </w:p>
        </w:tc>
      </w:tr>
      <w:tr w14:paraId="30C6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64E32CB">
            <w:pPr>
              <w:widowControl/>
              <w:jc w:val="center"/>
              <w:rPr>
                <w:rFonts w:ascii="宋体" w:hAnsi="宋体" w:eastAsia="宋体" w:cs="宋体"/>
                <w:color w:val="auto"/>
                <w:highlight w:val="none"/>
              </w:rPr>
            </w:pPr>
          </w:p>
        </w:tc>
        <w:tc>
          <w:tcPr>
            <w:tcW w:w="3116" w:type="dxa"/>
            <w:vAlign w:val="center"/>
          </w:tcPr>
          <w:p w14:paraId="40FF7B59">
            <w:pPr>
              <w:widowControl/>
              <w:rPr>
                <w:rFonts w:ascii="宋体" w:hAnsi="宋体" w:eastAsia="宋体" w:cs="宋体"/>
                <w:color w:val="auto"/>
                <w:highlight w:val="none"/>
              </w:rPr>
            </w:pPr>
            <w:r>
              <w:rPr>
                <w:rFonts w:hint="eastAsia" w:ascii="宋体" w:hAnsi="宋体" w:eastAsia="宋体" w:cs="宋体"/>
                <w:color w:val="auto"/>
                <w:highlight w:val="none"/>
              </w:rPr>
              <w:t>专业工程暂估价（如有）</w:t>
            </w:r>
          </w:p>
        </w:tc>
        <w:tc>
          <w:tcPr>
            <w:tcW w:w="1987" w:type="dxa"/>
            <w:vAlign w:val="center"/>
          </w:tcPr>
          <w:p w14:paraId="242BEADD">
            <w:pPr>
              <w:widowControl/>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tcPr>
          <w:p w14:paraId="43DDD87B">
            <w:pPr>
              <w:widowControl/>
              <w:ind w:right="480"/>
              <w:rPr>
                <w:rFonts w:ascii="宋体" w:hAnsi="宋体" w:eastAsia="宋体" w:cs="宋体"/>
                <w:color w:val="auto"/>
                <w:highlight w:val="none"/>
              </w:rPr>
            </w:pPr>
          </w:p>
        </w:tc>
      </w:tr>
      <w:tr w14:paraId="3AFB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5527D717">
            <w:pPr>
              <w:widowControl/>
              <w:jc w:val="center"/>
              <w:rPr>
                <w:rFonts w:ascii="宋体" w:hAnsi="宋体" w:eastAsia="宋体" w:cs="宋体"/>
                <w:color w:val="auto"/>
                <w:highlight w:val="none"/>
              </w:rPr>
            </w:pPr>
          </w:p>
        </w:tc>
        <w:tc>
          <w:tcPr>
            <w:tcW w:w="3116" w:type="dxa"/>
            <w:vAlign w:val="center"/>
          </w:tcPr>
          <w:p w14:paraId="7473732E">
            <w:pPr>
              <w:widowControl/>
              <w:ind w:firstLine="945" w:firstLineChars="450"/>
              <w:rPr>
                <w:rFonts w:ascii="宋体" w:hAnsi="宋体" w:eastAsia="宋体" w:cs="宋体"/>
                <w:color w:val="auto"/>
                <w:highlight w:val="none"/>
              </w:rPr>
            </w:pPr>
            <w:r>
              <w:rPr>
                <w:rFonts w:hint="eastAsia" w:ascii="宋体" w:hAnsi="宋体" w:eastAsia="宋体" w:cs="宋体"/>
                <w:color w:val="auto"/>
                <w:highlight w:val="none"/>
              </w:rPr>
              <w:t>暂列金额（如有）</w:t>
            </w:r>
          </w:p>
        </w:tc>
        <w:tc>
          <w:tcPr>
            <w:tcW w:w="1987" w:type="dxa"/>
            <w:vAlign w:val="center"/>
          </w:tcPr>
          <w:p w14:paraId="0C16A626">
            <w:pPr>
              <w:widowControl/>
              <w:jc w:val="right"/>
              <w:rPr>
                <w:rFonts w:ascii="宋体" w:hAnsi="宋体" w:eastAsia="宋体" w:cs="宋体"/>
                <w:color w:val="auto"/>
                <w:highlight w:val="none"/>
              </w:rPr>
            </w:pPr>
            <w:r>
              <w:rPr>
                <w:rFonts w:hint="eastAsia" w:ascii="宋体" w:hAnsi="宋体" w:eastAsia="宋体" w:cs="宋体"/>
                <w:color w:val="auto"/>
                <w:highlight w:val="none"/>
              </w:rPr>
              <w:t>万元</w:t>
            </w:r>
          </w:p>
        </w:tc>
        <w:tc>
          <w:tcPr>
            <w:tcW w:w="1702" w:type="dxa"/>
          </w:tcPr>
          <w:p w14:paraId="5BF0ABC9">
            <w:pPr>
              <w:widowControl/>
              <w:ind w:right="480"/>
              <w:rPr>
                <w:rFonts w:ascii="宋体" w:hAnsi="宋体" w:eastAsia="宋体" w:cs="宋体"/>
                <w:color w:val="auto"/>
                <w:highlight w:val="none"/>
              </w:rPr>
            </w:pPr>
          </w:p>
        </w:tc>
      </w:tr>
      <w:tr w14:paraId="284B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51641B57">
            <w:pPr>
              <w:widowControl/>
              <w:jc w:val="center"/>
              <w:rPr>
                <w:rFonts w:ascii="宋体" w:hAnsi="宋体" w:eastAsia="宋体" w:cs="宋体"/>
                <w:color w:val="auto"/>
                <w:highlight w:val="none"/>
              </w:rPr>
            </w:pPr>
            <w:r>
              <w:rPr>
                <w:rFonts w:hint="eastAsia" w:ascii="宋体" w:hAnsi="宋体" w:eastAsia="宋体" w:cs="宋体"/>
                <w:color w:val="auto"/>
                <w:highlight w:val="none"/>
              </w:rPr>
              <w:t>主要材料</w:t>
            </w:r>
          </w:p>
        </w:tc>
        <w:tc>
          <w:tcPr>
            <w:tcW w:w="3116" w:type="dxa"/>
            <w:vAlign w:val="center"/>
          </w:tcPr>
          <w:p w14:paraId="0879A7BC">
            <w:pPr>
              <w:widowControl/>
              <w:jc w:val="center"/>
              <w:rPr>
                <w:rFonts w:ascii="宋体" w:hAnsi="宋体" w:eastAsia="宋体" w:cs="宋体"/>
                <w:color w:val="auto"/>
                <w:highlight w:val="none"/>
              </w:rPr>
            </w:pPr>
            <w:r>
              <w:rPr>
                <w:rFonts w:hint="eastAsia" w:ascii="宋体" w:hAnsi="宋体" w:eastAsia="宋体" w:cs="宋体"/>
                <w:color w:val="auto"/>
                <w:highlight w:val="none"/>
              </w:rPr>
              <w:t>钢筋</w:t>
            </w:r>
          </w:p>
        </w:tc>
        <w:tc>
          <w:tcPr>
            <w:tcW w:w="1987" w:type="dxa"/>
            <w:vAlign w:val="center"/>
          </w:tcPr>
          <w:p w14:paraId="3E248394">
            <w:pPr>
              <w:widowControl/>
              <w:jc w:val="right"/>
              <w:rPr>
                <w:rFonts w:ascii="宋体" w:hAnsi="宋体" w:eastAsia="宋体" w:cs="宋体"/>
                <w:color w:val="auto"/>
                <w:highlight w:val="none"/>
              </w:rPr>
            </w:pPr>
            <w:r>
              <w:rPr>
                <w:rFonts w:hint="eastAsia" w:ascii="宋体" w:hAnsi="宋体" w:eastAsia="宋体" w:cs="宋体"/>
                <w:color w:val="auto"/>
                <w:highlight w:val="none"/>
              </w:rPr>
              <w:t>吨</w:t>
            </w:r>
          </w:p>
        </w:tc>
        <w:tc>
          <w:tcPr>
            <w:tcW w:w="1702" w:type="dxa"/>
          </w:tcPr>
          <w:p w14:paraId="19D8AC05">
            <w:pPr>
              <w:widowControl/>
              <w:jc w:val="right"/>
              <w:rPr>
                <w:rFonts w:ascii="宋体" w:hAnsi="宋体" w:eastAsia="宋体" w:cs="宋体"/>
                <w:color w:val="auto"/>
                <w:highlight w:val="none"/>
              </w:rPr>
            </w:pPr>
          </w:p>
        </w:tc>
      </w:tr>
      <w:tr w14:paraId="2CE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05E28E01">
            <w:pPr>
              <w:widowControl/>
              <w:jc w:val="center"/>
              <w:rPr>
                <w:rFonts w:ascii="宋体" w:hAnsi="宋体" w:eastAsia="宋体" w:cs="宋体"/>
                <w:color w:val="auto"/>
                <w:highlight w:val="none"/>
              </w:rPr>
            </w:pPr>
          </w:p>
        </w:tc>
        <w:tc>
          <w:tcPr>
            <w:tcW w:w="3116" w:type="dxa"/>
            <w:vAlign w:val="center"/>
          </w:tcPr>
          <w:p w14:paraId="5F6E80EC">
            <w:pPr>
              <w:widowControl/>
              <w:jc w:val="center"/>
              <w:rPr>
                <w:rFonts w:ascii="宋体" w:hAnsi="宋体" w:eastAsia="宋体" w:cs="宋体"/>
                <w:color w:val="auto"/>
                <w:highlight w:val="none"/>
              </w:rPr>
            </w:pPr>
            <w:r>
              <w:rPr>
                <w:rFonts w:hint="eastAsia" w:ascii="宋体" w:hAnsi="宋体" w:eastAsia="宋体" w:cs="宋体"/>
                <w:color w:val="auto"/>
                <w:highlight w:val="none"/>
              </w:rPr>
              <w:t>水泥（不含商品混凝土用量）</w:t>
            </w:r>
          </w:p>
        </w:tc>
        <w:tc>
          <w:tcPr>
            <w:tcW w:w="1987" w:type="dxa"/>
            <w:vAlign w:val="center"/>
          </w:tcPr>
          <w:p w14:paraId="2D54BF4B">
            <w:pPr>
              <w:widowControl/>
              <w:tabs>
                <w:tab w:val="left" w:pos="2398"/>
              </w:tabs>
              <w:ind w:right="18"/>
              <w:jc w:val="right"/>
              <w:rPr>
                <w:rFonts w:ascii="宋体" w:hAnsi="宋体" w:eastAsia="宋体" w:cs="宋体"/>
                <w:color w:val="auto"/>
                <w:highlight w:val="none"/>
              </w:rPr>
            </w:pPr>
            <w:r>
              <w:rPr>
                <w:rFonts w:hint="eastAsia" w:ascii="宋体" w:hAnsi="宋体" w:eastAsia="宋体" w:cs="宋体"/>
                <w:color w:val="auto"/>
                <w:highlight w:val="none"/>
              </w:rPr>
              <w:t>吨</w:t>
            </w:r>
          </w:p>
        </w:tc>
        <w:tc>
          <w:tcPr>
            <w:tcW w:w="1702" w:type="dxa"/>
          </w:tcPr>
          <w:p w14:paraId="273B66C1">
            <w:pPr>
              <w:widowControl/>
              <w:jc w:val="right"/>
              <w:rPr>
                <w:rFonts w:ascii="宋体" w:hAnsi="宋体" w:eastAsia="宋体" w:cs="宋体"/>
                <w:color w:val="auto"/>
                <w:highlight w:val="none"/>
              </w:rPr>
            </w:pPr>
          </w:p>
        </w:tc>
      </w:tr>
      <w:tr w14:paraId="1AE5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6E1CEE5B">
            <w:pPr>
              <w:widowControl/>
              <w:jc w:val="center"/>
              <w:rPr>
                <w:rFonts w:ascii="宋体" w:hAnsi="宋体" w:eastAsia="宋体" w:cs="宋体"/>
                <w:color w:val="auto"/>
                <w:highlight w:val="none"/>
              </w:rPr>
            </w:pPr>
          </w:p>
        </w:tc>
        <w:tc>
          <w:tcPr>
            <w:tcW w:w="3116" w:type="dxa"/>
            <w:vAlign w:val="center"/>
          </w:tcPr>
          <w:p w14:paraId="66F0F9B7">
            <w:pPr>
              <w:widowControl/>
              <w:jc w:val="center"/>
              <w:rPr>
                <w:rFonts w:ascii="宋体" w:hAnsi="宋体" w:eastAsia="宋体" w:cs="宋体"/>
                <w:color w:val="auto"/>
                <w:highlight w:val="none"/>
              </w:rPr>
            </w:pPr>
            <w:r>
              <w:rPr>
                <w:rFonts w:hint="eastAsia" w:ascii="宋体" w:hAnsi="宋体" w:eastAsia="宋体" w:cs="宋体"/>
                <w:color w:val="auto"/>
                <w:highlight w:val="none"/>
              </w:rPr>
              <w:t>商品混凝土</w:t>
            </w:r>
          </w:p>
        </w:tc>
        <w:tc>
          <w:tcPr>
            <w:tcW w:w="1987" w:type="dxa"/>
            <w:vAlign w:val="center"/>
          </w:tcPr>
          <w:p w14:paraId="45A8C79C">
            <w:pPr>
              <w:widowControl/>
              <w:jc w:val="right"/>
              <w:rPr>
                <w:rFonts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3</w:t>
            </w:r>
          </w:p>
        </w:tc>
        <w:tc>
          <w:tcPr>
            <w:tcW w:w="1702" w:type="dxa"/>
          </w:tcPr>
          <w:p w14:paraId="76FE7540">
            <w:pPr>
              <w:widowControl/>
              <w:jc w:val="right"/>
              <w:rPr>
                <w:rFonts w:ascii="宋体" w:hAnsi="宋体" w:eastAsia="宋体" w:cs="宋体"/>
                <w:color w:val="auto"/>
                <w:highlight w:val="none"/>
              </w:rPr>
            </w:pPr>
          </w:p>
        </w:tc>
      </w:tr>
    </w:tbl>
    <w:p w14:paraId="5E4A5587">
      <w:pPr>
        <w:ind w:left="-178" w:leftChars="-85" w:firstLine="177" w:firstLineChars="74"/>
        <w:rPr>
          <w:rFonts w:ascii="宋体" w:hAnsi="宋体" w:eastAsia="宋体" w:cs="宋体"/>
          <w:color w:val="auto"/>
          <w:sz w:val="24"/>
          <w:highlight w:val="none"/>
        </w:rPr>
      </w:pPr>
    </w:p>
    <w:p w14:paraId="64C01307">
      <w:pPr>
        <w:pStyle w:val="17"/>
        <w:rPr>
          <w:rFonts w:ascii="宋体" w:hAnsi="宋体" w:eastAsia="宋体" w:cs="宋体"/>
          <w:color w:val="auto"/>
          <w:highlight w:val="none"/>
        </w:rPr>
      </w:pPr>
      <w:r>
        <w:rPr>
          <w:rFonts w:hint="eastAsia" w:ascii="宋体" w:hAnsi="宋体" w:eastAsia="宋体" w:cs="宋体"/>
          <w:color w:val="auto"/>
          <w:szCs w:val="21"/>
          <w:highlight w:val="none"/>
        </w:rPr>
        <w:t>注：本表如</w:t>
      </w:r>
      <w:r>
        <w:rPr>
          <w:rFonts w:hint="eastAsia" w:ascii="宋体" w:hAnsi="宋体" w:eastAsia="宋体" w:cs="宋体"/>
          <w:color w:val="auto"/>
          <w:highlight w:val="none"/>
        </w:rPr>
        <w:t>与</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不一致的，以</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highlight w:val="none"/>
        </w:rPr>
        <w:t>为准。</w:t>
      </w:r>
    </w:p>
    <w:p w14:paraId="37A6DE77">
      <w:pPr>
        <w:jc w:val="left"/>
        <w:rPr>
          <w:rFonts w:ascii="宋体" w:hAnsi="宋体" w:eastAsia="宋体" w:cs="宋体"/>
          <w:color w:val="auto"/>
          <w:szCs w:val="21"/>
          <w:highlight w:val="none"/>
        </w:rPr>
      </w:pPr>
    </w:p>
    <w:p w14:paraId="17B15CCA">
      <w:pPr>
        <w:jc w:val="left"/>
        <w:rPr>
          <w:rFonts w:ascii="宋体" w:hAnsi="宋体" w:eastAsia="宋体" w:cs="宋体"/>
          <w:color w:val="auto"/>
          <w:szCs w:val="21"/>
          <w:highlight w:val="none"/>
        </w:rPr>
      </w:pPr>
    </w:p>
    <w:p w14:paraId="0A4177E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r>
        <w:rPr>
          <w:rFonts w:hint="eastAsia" w:ascii="宋体" w:hAnsi="宋体" w:eastAsia="宋体" w:cs="宋体"/>
          <w:color w:val="auto"/>
          <w:szCs w:val="21"/>
          <w:highlight w:val="none"/>
          <w:u w:val="single"/>
        </w:rPr>
        <w:t xml:space="preserve">                          </w:t>
      </w:r>
    </w:p>
    <w:p w14:paraId="0CA13CC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0A439D7">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4．已标价工程量清单：</w:t>
      </w:r>
    </w:p>
    <w:p w14:paraId="574BA76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（1）已标价工程量清单应按第二章“工程量清单”中的相关表格及报价说明填写。构成合同文件的已标价工程量清单包括第二章“工程量清单”有关工程量清单、报价以及其他说明的内容。</w:t>
      </w:r>
    </w:p>
    <w:p w14:paraId="0C61DA0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一般计税法建设工程已标价工程量清单表格按《关于建筑业实施营业税改征增值税后广西壮族自治区建设工程计价依据调整的通知》（桂建标〔2016〕17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号）、</w:t>
      </w:r>
      <w:r>
        <w:rPr>
          <w:rFonts w:hint="eastAsia" w:ascii="宋体" w:hAnsi="宋体" w:eastAsia="宋体" w:cs="宋体"/>
          <w:color w:val="auto"/>
          <w:highlight w:val="none"/>
        </w:rPr>
        <w:t>《关于调整除税价计算适用增值税税率的通知》（桂造价[2019]10号）</w:t>
      </w:r>
      <w:r>
        <w:rPr>
          <w:rFonts w:hint="eastAsia" w:ascii="宋体" w:hAnsi="宋体" w:eastAsia="宋体" w:cs="宋体"/>
          <w:color w:val="auto"/>
          <w:szCs w:val="21"/>
          <w:highlight w:val="none"/>
        </w:rPr>
        <w:t>调整。</w:t>
      </w:r>
    </w:p>
    <w:p w14:paraId="20F646EA">
      <w:pPr>
        <w:spacing w:line="360" w:lineRule="exact"/>
        <w:ind w:firstLine="420" w:firstLineChars="200"/>
        <w:rPr>
          <w:rFonts w:ascii="宋体" w:hAnsi="宋体" w:eastAsia="宋体" w:cs="宋体"/>
          <w:color w:val="auto"/>
          <w:szCs w:val="21"/>
          <w:highlight w:val="none"/>
        </w:rPr>
      </w:pPr>
    </w:p>
    <w:p w14:paraId="230B48F7">
      <w:pPr>
        <w:snapToGrid w:val="0"/>
        <w:spacing w:before="50" w:after="120" w:afterLines="50"/>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5.开标一览表</w:t>
      </w:r>
    </w:p>
    <w:p w14:paraId="02FAE9ED">
      <w:pPr>
        <w:widowControl/>
        <w:jc w:val="left"/>
        <w:rPr>
          <w:rFonts w:ascii="宋体" w:hAnsi="宋体" w:eastAsia="宋体" w:cs="宋体"/>
          <w:color w:val="auto"/>
          <w:szCs w:val="21"/>
          <w:highlight w:val="none"/>
        </w:rPr>
      </w:pPr>
    </w:p>
    <w:p w14:paraId="6EECD36E">
      <w:pPr>
        <w:widowControl/>
        <w:jc w:val="left"/>
        <w:rPr>
          <w:rFonts w:ascii="宋体" w:hAnsi="宋体" w:eastAsia="宋体" w:cs="宋体"/>
          <w:color w:val="auto"/>
          <w:szCs w:val="21"/>
          <w:highlight w:val="none"/>
        </w:rPr>
      </w:pPr>
    </w:p>
    <w:p w14:paraId="0E7814DC">
      <w:pPr>
        <w:widowControl/>
        <w:jc w:val="left"/>
        <w:rPr>
          <w:rFonts w:ascii="宋体" w:hAnsi="宋体" w:eastAsia="宋体" w:cs="宋体"/>
          <w:color w:val="auto"/>
          <w:szCs w:val="21"/>
          <w:highlight w:val="none"/>
        </w:rPr>
      </w:pPr>
    </w:p>
    <w:p w14:paraId="2FC4E3B6">
      <w:pPr>
        <w:rPr>
          <w:rFonts w:ascii="宋体" w:hAnsi="宋体" w:eastAsia="宋体" w:cs="宋体"/>
          <w:b/>
          <w:color w:val="auto"/>
          <w:szCs w:val="21"/>
          <w:highlight w:val="none"/>
        </w:rPr>
      </w:pPr>
    </w:p>
    <w:p w14:paraId="2F6081E7">
      <w:pPr>
        <w:rPr>
          <w:rFonts w:ascii="宋体" w:hAnsi="宋体" w:eastAsia="宋体" w:cs="宋体"/>
          <w:b/>
          <w:color w:val="auto"/>
          <w:szCs w:val="21"/>
          <w:highlight w:val="none"/>
        </w:rPr>
      </w:pPr>
    </w:p>
    <w:p w14:paraId="24644B05">
      <w:pPr>
        <w:rPr>
          <w:rFonts w:ascii="宋体" w:hAnsi="宋体" w:eastAsia="宋体" w:cs="宋体"/>
          <w:b/>
          <w:color w:val="auto"/>
          <w:szCs w:val="21"/>
          <w:highlight w:val="none"/>
        </w:rPr>
      </w:pPr>
      <w:r>
        <w:rPr>
          <w:rFonts w:hint="eastAsia" w:ascii="宋体" w:hAnsi="宋体" w:eastAsia="宋体" w:cs="宋体"/>
          <w:b/>
          <w:color w:val="auto"/>
          <w:szCs w:val="21"/>
          <w:highlight w:val="none"/>
        </w:rPr>
        <w:t>格式详见广西政府采购云平台，且仅在广西政府采购云平台填写即可。</w:t>
      </w:r>
    </w:p>
    <w:p w14:paraId="369EB8F6">
      <w:pPr>
        <w:snapToGrid w:val="0"/>
        <w:spacing w:before="120" w:beforeLines="50" w:after="50" w:line="440" w:lineRule="exact"/>
        <w:jc w:val="left"/>
        <w:outlineLvl w:val="1"/>
        <w:rPr>
          <w:rFonts w:ascii="宋体" w:hAnsi="宋体" w:eastAsia="宋体" w:cs="宋体"/>
          <w:color w:val="auto"/>
          <w:szCs w:val="21"/>
          <w:highlight w:val="none"/>
        </w:rPr>
      </w:pPr>
    </w:p>
    <w:sectPr>
      <w:headerReference r:id="rId13" w:type="default"/>
      <w:pgSz w:w="11905" w:h="16838"/>
      <w:pgMar w:top="1417" w:right="1417" w:bottom="1417" w:left="1417"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A1E9">
    <w:pPr>
      <w:pStyle w:val="32"/>
      <w:framePr w:wrap="around" w:vAnchor="text" w:hAnchor="margin" w:xAlign="center" w:y="1"/>
      <w:rPr>
        <w:rStyle w:val="58"/>
      </w:rPr>
    </w:pPr>
    <w:r>
      <w:fldChar w:fldCharType="begin"/>
    </w:r>
    <w:r>
      <w:rPr>
        <w:rStyle w:val="58"/>
      </w:rPr>
      <w:instrText xml:space="preserve">PAGE  </w:instrText>
    </w:r>
    <w:r>
      <w:fldChar w:fldCharType="separate"/>
    </w:r>
    <w:r>
      <w:rPr>
        <w:rStyle w:val="58"/>
      </w:rPr>
      <w:t>5</w:t>
    </w:r>
    <w:r>
      <w:fldChar w:fldCharType="end"/>
    </w:r>
  </w:p>
  <w:p w14:paraId="39616201">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4F58">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14:paraId="30CDB64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175A">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1CD3">
    <w:pPr>
      <w:pStyle w:val="32"/>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E7A6">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9D31">
    <w:pPr>
      <w:pStyle w:val="33"/>
      <w:jc w:val="left"/>
    </w:pPr>
    <w:r>
      <w:rPr>
        <w:rFonts w:hint="eastAsia"/>
      </w:rPr>
      <w:t xml:space="preserve">广西机电设备招标有限公司采购文件                                                               </w:t>
    </w:r>
  </w:p>
  <w:p w14:paraId="6B14098F">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C8DF">
    <w:pPr>
      <w:pStyle w:val="33"/>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137D">
    <w:pPr>
      <w:pStyle w:val="33"/>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AAD6">
    <w:pPr>
      <w:pStyle w:val="33"/>
      <w:jc w:val="left"/>
    </w:pPr>
    <w:r>
      <w:rPr>
        <w:rFonts w:hint="eastAsia"/>
      </w:rPr>
      <w:t xml:space="preserve">广西机电设备招标有限公司采购文件                                                    </w:t>
    </w:r>
  </w:p>
  <w:p w14:paraId="2C0E9E99">
    <w:pPr>
      <w:pStyle w:val="33"/>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1DBC">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B68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1B897"/>
    <w:multiLevelType w:val="singleLevel"/>
    <w:tmpl w:val="AE71B897"/>
    <w:lvl w:ilvl="0" w:tentative="0">
      <w:start w:val="3"/>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9BC1907"/>
    <w:multiLevelType w:val="singleLevel"/>
    <w:tmpl w:val="39BC1907"/>
    <w:lvl w:ilvl="0" w:tentative="0">
      <w:start w:val="2"/>
      <w:numFmt w:val="chineseCounting"/>
      <w:suff w:val="space"/>
      <w:lvlText w:val="第%1部分"/>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abstractNum w:abstractNumId="4">
    <w:nsid w:val="6EDD6597"/>
    <w:multiLevelType w:val="multilevel"/>
    <w:tmpl w:val="6EDD659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EDD6598"/>
    <w:multiLevelType w:val="multilevel"/>
    <w:tmpl w:val="6EDD6598"/>
    <w:lvl w:ilvl="0" w:tentative="0">
      <w:start w:val="14"/>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004"/>
    <w:rsid w:val="00004D3E"/>
    <w:rsid w:val="000058D7"/>
    <w:rsid w:val="00005E55"/>
    <w:rsid w:val="00006E2C"/>
    <w:rsid w:val="000079FF"/>
    <w:rsid w:val="00007B0D"/>
    <w:rsid w:val="00007F9B"/>
    <w:rsid w:val="000102A9"/>
    <w:rsid w:val="00011D72"/>
    <w:rsid w:val="00012078"/>
    <w:rsid w:val="00013748"/>
    <w:rsid w:val="00013D41"/>
    <w:rsid w:val="000143A3"/>
    <w:rsid w:val="00014DD6"/>
    <w:rsid w:val="00015419"/>
    <w:rsid w:val="0001598C"/>
    <w:rsid w:val="00015C2A"/>
    <w:rsid w:val="00016C31"/>
    <w:rsid w:val="00020BB1"/>
    <w:rsid w:val="00020BF0"/>
    <w:rsid w:val="000215B7"/>
    <w:rsid w:val="000215FD"/>
    <w:rsid w:val="000217BF"/>
    <w:rsid w:val="00021C98"/>
    <w:rsid w:val="00021CCD"/>
    <w:rsid w:val="00021EE3"/>
    <w:rsid w:val="000228AB"/>
    <w:rsid w:val="000233CA"/>
    <w:rsid w:val="00023652"/>
    <w:rsid w:val="0002394B"/>
    <w:rsid w:val="00023D65"/>
    <w:rsid w:val="00024633"/>
    <w:rsid w:val="0002560A"/>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927"/>
    <w:rsid w:val="00035840"/>
    <w:rsid w:val="00035844"/>
    <w:rsid w:val="00035C1E"/>
    <w:rsid w:val="00036BAA"/>
    <w:rsid w:val="000370C6"/>
    <w:rsid w:val="000373D9"/>
    <w:rsid w:val="00037C63"/>
    <w:rsid w:val="00037CE4"/>
    <w:rsid w:val="00037E01"/>
    <w:rsid w:val="00040187"/>
    <w:rsid w:val="00040AC1"/>
    <w:rsid w:val="000418B1"/>
    <w:rsid w:val="00042BF9"/>
    <w:rsid w:val="00043295"/>
    <w:rsid w:val="00043592"/>
    <w:rsid w:val="00044708"/>
    <w:rsid w:val="00045069"/>
    <w:rsid w:val="00045443"/>
    <w:rsid w:val="00045947"/>
    <w:rsid w:val="000462A8"/>
    <w:rsid w:val="00046360"/>
    <w:rsid w:val="00046485"/>
    <w:rsid w:val="0004653D"/>
    <w:rsid w:val="000465AB"/>
    <w:rsid w:val="000467A3"/>
    <w:rsid w:val="000467F3"/>
    <w:rsid w:val="00046E59"/>
    <w:rsid w:val="000471CF"/>
    <w:rsid w:val="000472E6"/>
    <w:rsid w:val="000479CD"/>
    <w:rsid w:val="000500E6"/>
    <w:rsid w:val="000504FE"/>
    <w:rsid w:val="00050F9F"/>
    <w:rsid w:val="00052A50"/>
    <w:rsid w:val="00053BFC"/>
    <w:rsid w:val="00053D00"/>
    <w:rsid w:val="0005428F"/>
    <w:rsid w:val="00054870"/>
    <w:rsid w:val="00054ABD"/>
    <w:rsid w:val="00054F7D"/>
    <w:rsid w:val="00055230"/>
    <w:rsid w:val="00055443"/>
    <w:rsid w:val="00055557"/>
    <w:rsid w:val="00055A8A"/>
    <w:rsid w:val="00055E6D"/>
    <w:rsid w:val="0005625F"/>
    <w:rsid w:val="0005649E"/>
    <w:rsid w:val="00056597"/>
    <w:rsid w:val="00056640"/>
    <w:rsid w:val="0005700C"/>
    <w:rsid w:val="00057393"/>
    <w:rsid w:val="00057E45"/>
    <w:rsid w:val="000606B6"/>
    <w:rsid w:val="0006192F"/>
    <w:rsid w:val="00061BFD"/>
    <w:rsid w:val="00061F82"/>
    <w:rsid w:val="00062637"/>
    <w:rsid w:val="000631AC"/>
    <w:rsid w:val="000631B7"/>
    <w:rsid w:val="000639D4"/>
    <w:rsid w:val="00064A48"/>
    <w:rsid w:val="00064C80"/>
    <w:rsid w:val="00065AB7"/>
    <w:rsid w:val="00065D71"/>
    <w:rsid w:val="00065FF7"/>
    <w:rsid w:val="00066111"/>
    <w:rsid w:val="000673D8"/>
    <w:rsid w:val="00067DD2"/>
    <w:rsid w:val="00067DE7"/>
    <w:rsid w:val="000706AC"/>
    <w:rsid w:val="00070950"/>
    <w:rsid w:val="000709D3"/>
    <w:rsid w:val="00070B1F"/>
    <w:rsid w:val="000712F8"/>
    <w:rsid w:val="00071587"/>
    <w:rsid w:val="00071A6A"/>
    <w:rsid w:val="00071C95"/>
    <w:rsid w:val="0007216A"/>
    <w:rsid w:val="00072A95"/>
    <w:rsid w:val="00072C12"/>
    <w:rsid w:val="00074923"/>
    <w:rsid w:val="000750EA"/>
    <w:rsid w:val="00075B5C"/>
    <w:rsid w:val="00077698"/>
    <w:rsid w:val="00077891"/>
    <w:rsid w:val="0007797E"/>
    <w:rsid w:val="00077D86"/>
    <w:rsid w:val="0008017C"/>
    <w:rsid w:val="00080AA6"/>
    <w:rsid w:val="00081C1C"/>
    <w:rsid w:val="000822F0"/>
    <w:rsid w:val="00082611"/>
    <w:rsid w:val="0008264F"/>
    <w:rsid w:val="0008372E"/>
    <w:rsid w:val="00083A64"/>
    <w:rsid w:val="00083B97"/>
    <w:rsid w:val="00084575"/>
    <w:rsid w:val="00084AB1"/>
    <w:rsid w:val="0008521D"/>
    <w:rsid w:val="00085725"/>
    <w:rsid w:val="00085A04"/>
    <w:rsid w:val="000866A9"/>
    <w:rsid w:val="00086EC2"/>
    <w:rsid w:val="00087358"/>
    <w:rsid w:val="000873F5"/>
    <w:rsid w:val="000900DF"/>
    <w:rsid w:val="00090193"/>
    <w:rsid w:val="0009021F"/>
    <w:rsid w:val="00091D8D"/>
    <w:rsid w:val="00091EDA"/>
    <w:rsid w:val="00092713"/>
    <w:rsid w:val="000930D8"/>
    <w:rsid w:val="00093DF8"/>
    <w:rsid w:val="000941F6"/>
    <w:rsid w:val="000945C5"/>
    <w:rsid w:val="00094ECF"/>
    <w:rsid w:val="0009592E"/>
    <w:rsid w:val="00095FB4"/>
    <w:rsid w:val="0009715C"/>
    <w:rsid w:val="000A10DB"/>
    <w:rsid w:val="000A1429"/>
    <w:rsid w:val="000A2968"/>
    <w:rsid w:val="000A29DC"/>
    <w:rsid w:val="000A3515"/>
    <w:rsid w:val="000A3518"/>
    <w:rsid w:val="000A487D"/>
    <w:rsid w:val="000A6F1D"/>
    <w:rsid w:val="000A70C7"/>
    <w:rsid w:val="000A7238"/>
    <w:rsid w:val="000A791D"/>
    <w:rsid w:val="000B09FE"/>
    <w:rsid w:val="000B1139"/>
    <w:rsid w:val="000B15EF"/>
    <w:rsid w:val="000B1CE1"/>
    <w:rsid w:val="000B26D6"/>
    <w:rsid w:val="000B316D"/>
    <w:rsid w:val="000B3194"/>
    <w:rsid w:val="000B3CFE"/>
    <w:rsid w:val="000B4164"/>
    <w:rsid w:val="000B4EF3"/>
    <w:rsid w:val="000B554C"/>
    <w:rsid w:val="000B5D87"/>
    <w:rsid w:val="000B63FE"/>
    <w:rsid w:val="000B642F"/>
    <w:rsid w:val="000B6F18"/>
    <w:rsid w:val="000B7E6D"/>
    <w:rsid w:val="000C1414"/>
    <w:rsid w:val="000C2500"/>
    <w:rsid w:val="000C350A"/>
    <w:rsid w:val="000C4988"/>
    <w:rsid w:val="000C59D1"/>
    <w:rsid w:val="000C6097"/>
    <w:rsid w:val="000C60D0"/>
    <w:rsid w:val="000C7045"/>
    <w:rsid w:val="000C757A"/>
    <w:rsid w:val="000C7D9F"/>
    <w:rsid w:val="000D0974"/>
    <w:rsid w:val="000D1B95"/>
    <w:rsid w:val="000D2289"/>
    <w:rsid w:val="000D3E1B"/>
    <w:rsid w:val="000D4061"/>
    <w:rsid w:val="000D4860"/>
    <w:rsid w:val="000D48FB"/>
    <w:rsid w:val="000D4B4F"/>
    <w:rsid w:val="000D4EC1"/>
    <w:rsid w:val="000D4EF1"/>
    <w:rsid w:val="000D55FD"/>
    <w:rsid w:val="000E01DF"/>
    <w:rsid w:val="000E16B2"/>
    <w:rsid w:val="000E173A"/>
    <w:rsid w:val="000E1C04"/>
    <w:rsid w:val="000E1CDF"/>
    <w:rsid w:val="000E216E"/>
    <w:rsid w:val="000E2A9A"/>
    <w:rsid w:val="000E2AD1"/>
    <w:rsid w:val="000E3898"/>
    <w:rsid w:val="000E3C38"/>
    <w:rsid w:val="000E3D2F"/>
    <w:rsid w:val="000E4712"/>
    <w:rsid w:val="000E4E8E"/>
    <w:rsid w:val="000E5446"/>
    <w:rsid w:val="000E612C"/>
    <w:rsid w:val="000E6D38"/>
    <w:rsid w:val="000E72E7"/>
    <w:rsid w:val="000E72F6"/>
    <w:rsid w:val="000E75B3"/>
    <w:rsid w:val="000E763C"/>
    <w:rsid w:val="000E7CC8"/>
    <w:rsid w:val="000F03A5"/>
    <w:rsid w:val="000F0E04"/>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458"/>
    <w:rsid w:val="001047E3"/>
    <w:rsid w:val="00104AFF"/>
    <w:rsid w:val="00104EBD"/>
    <w:rsid w:val="00105A06"/>
    <w:rsid w:val="00107339"/>
    <w:rsid w:val="001076E0"/>
    <w:rsid w:val="001078F4"/>
    <w:rsid w:val="00110001"/>
    <w:rsid w:val="00110797"/>
    <w:rsid w:val="00111ECD"/>
    <w:rsid w:val="001121DD"/>
    <w:rsid w:val="00112DBF"/>
    <w:rsid w:val="00113646"/>
    <w:rsid w:val="0011487E"/>
    <w:rsid w:val="00114BB0"/>
    <w:rsid w:val="00116258"/>
    <w:rsid w:val="0011630D"/>
    <w:rsid w:val="00117559"/>
    <w:rsid w:val="00117695"/>
    <w:rsid w:val="0012077F"/>
    <w:rsid w:val="00120813"/>
    <w:rsid w:val="0012099E"/>
    <w:rsid w:val="00120E60"/>
    <w:rsid w:val="0012130E"/>
    <w:rsid w:val="001213B0"/>
    <w:rsid w:val="00121724"/>
    <w:rsid w:val="00121741"/>
    <w:rsid w:val="00121832"/>
    <w:rsid w:val="00121C7B"/>
    <w:rsid w:val="0012235C"/>
    <w:rsid w:val="00122A75"/>
    <w:rsid w:val="001241D1"/>
    <w:rsid w:val="00124985"/>
    <w:rsid w:val="00124A27"/>
    <w:rsid w:val="00125397"/>
    <w:rsid w:val="00125609"/>
    <w:rsid w:val="0012573D"/>
    <w:rsid w:val="00125FC8"/>
    <w:rsid w:val="0012611E"/>
    <w:rsid w:val="00126655"/>
    <w:rsid w:val="00126707"/>
    <w:rsid w:val="001269E0"/>
    <w:rsid w:val="001303CD"/>
    <w:rsid w:val="00130612"/>
    <w:rsid w:val="00130C61"/>
    <w:rsid w:val="0013190A"/>
    <w:rsid w:val="00131C94"/>
    <w:rsid w:val="00131DE6"/>
    <w:rsid w:val="001326DF"/>
    <w:rsid w:val="00132AD8"/>
    <w:rsid w:val="00132CCE"/>
    <w:rsid w:val="00133884"/>
    <w:rsid w:val="00133D01"/>
    <w:rsid w:val="001341A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91"/>
    <w:rsid w:val="001404CD"/>
    <w:rsid w:val="0014208B"/>
    <w:rsid w:val="001422D4"/>
    <w:rsid w:val="00142632"/>
    <w:rsid w:val="0014309F"/>
    <w:rsid w:val="00143B30"/>
    <w:rsid w:val="001442C2"/>
    <w:rsid w:val="001449E1"/>
    <w:rsid w:val="00144D5F"/>
    <w:rsid w:val="00145878"/>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0BB4"/>
    <w:rsid w:val="001610EB"/>
    <w:rsid w:val="001619B6"/>
    <w:rsid w:val="00161C1F"/>
    <w:rsid w:val="00161C2F"/>
    <w:rsid w:val="001620B6"/>
    <w:rsid w:val="00162664"/>
    <w:rsid w:val="001627CA"/>
    <w:rsid w:val="00163005"/>
    <w:rsid w:val="00163194"/>
    <w:rsid w:val="00163DB9"/>
    <w:rsid w:val="001642FB"/>
    <w:rsid w:val="00164475"/>
    <w:rsid w:val="00164F8F"/>
    <w:rsid w:val="0016529F"/>
    <w:rsid w:val="001658F5"/>
    <w:rsid w:val="00165F38"/>
    <w:rsid w:val="001661B8"/>
    <w:rsid w:val="00166237"/>
    <w:rsid w:val="0016644D"/>
    <w:rsid w:val="00166EE6"/>
    <w:rsid w:val="001672AF"/>
    <w:rsid w:val="00167C6F"/>
    <w:rsid w:val="00170A14"/>
    <w:rsid w:val="0017112B"/>
    <w:rsid w:val="001722D8"/>
    <w:rsid w:val="001726CF"/>
    <w:rsid w:val="00172A27"/>
    <w:rsid w:val="00172BAF"/>
    <w:rsid w:val="00172BD9"/>
    <w:rsid w:val="00172EC0"/>
    <w:rsid w:val="00173191"/>
    <w:rsid w:val="001731C7"/>
    <w:rsid w:val="00173704"/>
    <w:rsid w:val="001737FE"/>
    <w:rsid w:val="0017426E"/>
    <w:rsid w:val="00176E50"/>
    <w:rsid w:val="0017723E"/>
    <w:rsid w:val="00177470"/>
    <w:rsid w:val="001775DA"/>
    <w:rsid w:val="00177AD0"/>
    <w:rsid w:val="001808BC"/>
    <w:rsid w:val="00181135"/>
    <w:rsid w:val="00181C0B"/>
    <w:rsid w:val="00182382"/>
    <w:rsid w:val="00182DF8"/>
    <w:rsid w:val="00182E7A"/>
    <w:rsid w:val="00182FF0"/>
    <w:rsid w:val="00187892"/>
    <w:rsid w:val="00187DFB"/>
    <w:rsid w:val="00187FF5"/>
    <w:rsid w:val="00190463"/>
    <w:rsid w:val="001905C9"/>
    <w:rsid w:val="00191435"/>
    <w:rsid w:val="00192213"/>
    <w:rsid w:val="001927A2"/>
    <w:rsid w:val="001927AF"/>
    <w:rsid w:val="0019335B"/>
    <w:rsid w:val="0019423A"/>
    <w:rsid w:val="00195648"/>
    <w:rsid w:val="001959DC"/>
    <w:rsid w:val="00195F44"/>
    <w:rsid w:val="00196019"/>
    <w:rsid w:val="00196C83"/>
    <w:rsid w:val="00196E92"/>
    <w:rsid w:val="0019741E"/>
    <w:rsid w:val="001A0896"/>
    <w:rsid w:val="001A2362"/>
    <w:rsid w:val="001A315B"/>
    <w:rsid w:val="001A3856"/>
    <w:rsid w:val="001A3F6D"/>
    <w:rsid w:val="001A4917"/>
    <w:rsid w:val="001A4C78"/>
    <w:rsid w:val="001A4C94"/>
    <w:rsid w:val="001A5DA1"/>
    <w:rsid w:val="001A6E3F"/>
    <w:rsid w:val="001A70D4"/>
    <w:rsid w:val="001A775C"/>
    <w:rsid w:val="001A7CBA"/>
    <w:rsid w:val="001B02BE"/>
    <w:rsid w:val="001B1736"/>
    <w:rsid w:val="001B1AE6"/>
    <w:rsid w:val="001B32D3"/>
    <w:rsid w:val="001B32E4"/>
    <w:rsid w:val="001B35B1"/>
    <w:rsid w:val="001B3778"/>
    <w:rsid w:val="001B3E30"/>
    <w:rsid w:val="001B4B55"/>
    <w:rsid w:val="001B4ED3"/>
    <w:rsid w:val="001B50CC"/>
    <w:rsid w:val="001B5355"/>
    <w:rsid w:val="001B5E8B"/>
    <w:rsid w:val="001B6049"/>
    <w:rsid w:val="001B60D4"/>
    <w:rsid w:val="001B6482"/>
    <w:rsid w:val="001B7014"/>
    <w:rsid w:val="001B7C32"/>
    <w:rsid w:val="001B7CBF"/>
    <w:rsid w:val="001C0279"/>
    <w:rsid w:val="001C0352"/>
    <w:rsid w:val="001C148A"/>
    <w:rsid w:val="001C15DB"/>
    <w:rsid w:val="001C1814"/>
    <w:rsid w:val="001C1A4B"/>
    <w:rsid w:val="001C3D80"/>
    <w:rsid w:val="001C405C"/>
    <w:rsid w:val="001C4361"/>
    <w:rsid w:val="001C44EF"/>
    <w:rsid w:val="001C51A3"/>
    <w:rsid w:val="001C5358"/>
    <w:rsid w:val="001C56D1"/>
    <w:rsid w:val="001C6921"/>
    <w:rsid w:val="001C7A8C"/>
    <w:rsid w:val="001D04A2"/>
    <w:rsid w:val="001D15D9"/>
    <w:rsid w:val="001D23EF"/>
    <w:rsid w:val="001D3534"/>
    <w:rsid w:val="001D40F4"/>
    <w:rsid w:val="001D537F"/>
    <w:rsid w:val="001D6910"/>
    <w:rsid w:val="001D723E"/>
    <w:rsid w:val="001D7681"/>
    <w:rsid w:val="001E131D"/>
    <w:rsid w:val="001E14ED"/>
    <w:rsid w:val="001E1FA3"/>
    <w:rsid w:val="001E21AC"/>
    <w:rsid w:val="001E24A4"/>
    <w:rsid w:val="001E28CC"/>
    <w:rsid w:val="001E2A49"/>
    <w:rsid w:val="001E2EC4"/>
    <w:rsid w:val="001E321D"/>
    <w:rsid w:val="001E3451"/>
    <w:rsid w:val="001E38B1"/>
    <w:rsid w:val="001E3991"/>
    <w:rsid w:val="001E4502"/>
    <w:rsid w:val="001E478C"/>
    <w:rsid w:val="001E4C00"/>
    <w:rsid w:val="001E4D12"/>
    <w:rsid w:val="001E4D56"/>
    <w:rsid w:val="001E63D0"/>
    <w:rsid w:val="001E72E0"/>
    <w:rsid w:val="001E76D5"/>
    <w:rsid w:val="001E7F8D"/>
    <w:rsid w:val="001F0064"/>
    <w:rsid w:val="001F03EF"/>
    <w:rsid w:val="001F0487"/>
    <w:rsid w:val="001F0F38"/>
    <w:rsid w:val="001F0FEF"/>
    <w:rsid w:val="001F16DF"/>
    <w:rsid w:val="001F1960"/>
    <w:rsid w:val="001F1E4A"/>
    <w:rsid w:val="001F3706"/>
    <w:rsid w:val="001F3BF9"/>
    <w:rsid w:val="001F3DAE"/>
    <w:rsid w:val="001F4685"/>
    <w:rsid w:val="001F4A98"/>
    <w:rsid w:val="001F55F3"/>
    <w:rsid w:val="001F6159"/>
    <w:rsid w:val="001F6680"/>
    <w:rsid w:val="001F6B74"/>
    <w:rsid w:val="001F6FB6"/>
    <w:rsid w:val="001F740D"/>
    <w:rsid w:val="001F792F"/>
    <w:rsid w:val="001F7AC9"/>
    <w:rsid w:val="001F7B9E"/>
    <w:rsid w:val="001F7BE1"/>
    <w:rsid w:val="001F7C97"/>
    <w:rsid w:val="00200A84"/>
    <w:rsid w:val="002014F7"/>
    <w:rsid w:val="00201CB4"/>
    <w:rsid w:val="00201ED0"/>
    <w:rsid w:val="00201FFC"/>
    <w:rsid w:val="00202576"/>
    <w:rsid w:val="00202B50"/>
    <w:rsid w:val="00202EF9"/>
    <w:rsid w:val="00203041"/>
    <w:rsid w:val="00203204"/>
    <w:rsid w:val="00203236"/>
    <w:rsid w:val="002033E4"/>
    <w:rsid w:val="002036E8"/>
    <w:rsid w:val="00203B3F"/>
    <w:rsid w:val="002045CB"/>
    <w:rsid w:val="002048AD"/>
    <w:rsid w:val="0020494A"/>
    <w:rsid w:val="002051F7"/>
    <w:rsid w:val="0020531C"/>
    <w:rsid w:val="00205EF5"/>
    <w:rsid w:val="002060C6"/>
    <w:rsid w:val="002062B5"/>
    <w:rsid w:val="002067D2"/>
    <w:rsid w:val="00206ECE"/>
    <w:rsid w:val="0020708A"/>
    <w:rsid w:val="00207642"/>
    <w:rsid w:val="00207F6A"/>
    <w:rsid w:val="00210256"/>
    <w:rsid w:val="00210394"/>
    <w:rsid w:val="0021076E"/>
    <w:rsid w:val="00212B08"/>
    <w:rsid w:val="00213289"/>
    <w:rsid w:val="00213825"/>
    <w:rsid w:val="00214189"/>
    <w:rsid w:val="00214ADD"/>
    <w:rsid w:val="0021525B"/>
    <w:rsid w:val="0021565D"/>
    <w:rsid w:val="0021605A"/>
    <w:rsid w:val="00216B19"/>
    <w:rsid w:val="00216CCC"/>
    <w:rsid w:val="00216E16"/>
    <w:rsid w:val="0021738B"/>
    <w:rsid w:val="00220082"/>
    <w:rsid w:val="002203BD"/>
    <w:rsid w:val="0022040C"/>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098C"/>
    <w:rsid w:val="00231442"/>
    <w:rsid w:val="00231B36"/>
    <w:rsid w:val="00231F9E"/>
    <w:rsid w:val="00232498"/>
    <w:rsid w:val="0023254E"/>
    <w:rsid w:val="00232918"/>
    <w:rsid w:val="00233114"/>
    <w:rsid w:val="0023350C"/>
    <w:rsid w:val="00233D53"/>
    <w:rsid w:val="00233E70"/>
    <w:rsid w:val="00234281"/>
    <w:rsid w:val="00234A21"/>
    <w:rsid w:val="00234F9A"/>
    <w:rsid w:val="00234FD3"/>
    <w:rsid w:val="0023515B"/>
    <w:rsid w:val="0023613E"/>
    <w:rsid w:val="00236AF2"/>
    <w:rsid w:val="00236B90"/>
    <w:rsid w:val="002371BF"/>
    <w:rsid w:val="00237A87"/>
    <w:rsid w:val="00237CC0"/>
    <w:rsid w:val="002404C3"/>
    <w:rsid w:val="00241129"/>
    <w:rsid w:val="00241840"/>
    <w:rsid w:val="00241C36"/>
    <w:rsid w:val="00241DCA"/>
    <w:rsid w:val="002422D1"/>
    <w:rsid w:val="002427EB"/>
    <w:rsid w:val="002427F0"/>
    <w:rsid w:val="002428BD"/>
    <w:rsid w:val="00242E09"/>
    <w:rsid w:val="002432B7"/>
    <w:rsid w:val="002440B2"/>
    <w:rsid w:val="00244CC2"/>
    <w:rsid w:val="00244F14"/>
    <w:rsid w:val="00245019"/>
    <w:rsid w:val="002458CE"/>
    <w:rsid w:val="0024595B"/>
    <w:rsid w:val="0024635A"/>
    <w:rsid w:val="00246513"/>
    <w:rsid w:val="00246B1D"/>
    <w:rsid w:val="00247BDE"/>
    <w:rsid w:val="00247C26"/>
    <w:rsid w:val="002507C4"/>
    <w:rsid w:val="00250B11"/>
    <w:rsid w:val="00251257"/>
    <w:rsid w:val="0025174A"/>
    <w:rsid w:val="0025186C"/>
    <w:rsid w:val="00251EB3"/>
    <w:rsid w:val="002531E5"/>
    <w:rsid w:val="0025329B"/>
    <w:rsid w:val="002538BA"/>
    <w:rsid w:val="00253EC4"/>
    <w:rsid w:val="0025418A"/>
    <w:rsid w:val="00254240"/>
    <w:rsid w:val="002545D0"/>
    <w:rsid w:val="00255BC2"/>
    <w:rsid w:val="00256113"/>
    <w:rsid w:val="00256539"/>
    <w:rsid w:val="00256DEA"/>
    <w:rsid w:val="00257C49"/>
    <w:rsid w:val="00260271"/>
    <w:rsid w:val="0026072F"/>
    <w:rsid w:val="00260952"/>
    <w:rsid w:val="00261192"/>
    <w:rsid w:val="00261A11"/>
    <w:rsid w:val="00261CB5"/>
    <w:rsid w:val="002625F2"/>
    <w:rsid w:val="00263413"/>
    <w:rsid w:val="0026431A"/>
    <w:rsid w:val="002644A4"/>
    <w:rsid w:val="00265066"/>
    <w:rsid w:val="00265C93"/>
    <w:rsid w:val="00265F00"/>
    <w:rsid w:val="00266300"/>
    <w:rsid w:val="002675AE"/>
    <w:rsid w:val="002700AA"/>
    <w:rsid w:val="002708B2"/>
    <w:rsid w:val="00271150"/>
    <w:rsid w:val="002747CC"/>
    <w:rsid w:val="00274830"/>
    <w:rsid w:val="00274DF9"/>
    <w:rsid w:val="00275170"/>
    <w:rsid w:val="002756D5"/>
    <w:rsid w:val="00275D77"/>
    <w:rsid w:val="002778F2"/>
    <w:rsid w:val="00277F52"/>
    <w:rsid w:val="002809A3"/>
    <w:rsid w:val="002812F7"/>
    <w:rsid w:val="00281979"/>
    <w:rsid w:val="00281E85"/>
    <w:rsid w:val="00282B8A"/>
    <w:rsid w:val="0028328E"/>
    <w:rsid w:val="002837F8"/>
    <w:rsid w:val="00283ACF"/>
    <w:rsid w:val="00283C99"/>
    <w:rsid w:val="0028419E"/>
    <w:rsid w:val="0028473D"/>
    <w:rsid w:val="00284850"/>
    <w:rsid w:val="00284D22"/>
    <w:rsid w:val="00285326"/>
    <w:rsid w:val="00285587"/>
    <w:rsid w:val="00285A10"/>
    <w:rsid w:val="00285DE8"/>
    <w:rsid w:val="00286213"/>
    <w:rsid w:val="00290891"/>
    <w:rsid w:val="00291DA9"/>
    <w:rsid w:val="00292773"/>
    <w:rsid w:val="002927AC"/>
    <w:rsid w:val="00292B77"/>
    <w:rsid w:val="0029469F"/>
    <w:rsid w:val="00295405"/>
    <w:rsid w:val="002954FB"/>
    <w:rsid w:val="0029618D"/>
    <w:rsid w:val="002965BA"/>
    <w:rsid w:val="00296814"/>
    <w:rsid w:val="00296D06"/>
    <w:rsid w:val="002970BE"/>
    <w:rsid w:val="0029716C"/>
    <w:rsid w:val="002A0DD4"/>
    <w:rsid w:val="002A1829"/>
    <w:rsid w:val="002A2537"/>
    <w:rsid w:val="002A2AB8"/>
    <w:rsid w:val="002A2B8E"/>
    <w:rsid w:val="002A2F34"/>
    <w:rsid w:val="002A30E1"/>
    <w:rsid w:val="002A3E01"/>
    <w:rsid w:val="002A5126"/>
    <w:rsid w:val="002A5774"/>
    <w:rsid w:val="002A5948"/>
    <w:rsid w:val="002A5A54"/>
    <w:rsid w:val="002A64F2"/>
    <w:rsid w:val="002A6590"/>
    <w:rsid w:val="002A6F79"/>
    <w:rsid w:val="002A7478"/>
    <w:rsid w:val="002A7B26"/>
    <w:rsid w:val="002B01AD"/>
    <w:rsid w:val="002B047F"/>
    <w:rsid w:val="002B1505"/>
    <w:rsid w:val="002B1791"/>
    <w:rsid w:val="002B1A4C"/>
    <w:rsid w:val="002B1FDA"/>
    <w:rsid w:val="002B2D78"/>
    <w:rsid w:val="002B32C9"/>
    <w:rsid w:val="002B3736"/>
    <w:rsid w:val="002B4054"/>
    <w:rsid w:val="002B46FF"/>
    <w:rsid w:val="002B4788"/>
    <w:rsid w:val="002B497D"/>
    <w:rsid w:val="002B4D0E"/>
    <w:rsid w:val="002B542A"/>
    <w:rsid w:val="002B5495"/>
    <w:rsid w:val="002B54C5"/>
    <w:rsid w:val="002B55E5"/>
    <w:rsid w:val="002B612D"/>
    <w:rsid w:val="002B653E"/>
    <w:rsid w:val="002B6703"/>
    <w:rsid w:val="002B6D69"/>
    <w:rsid w:val="002B6F67"/>
    <w:rsid w:val="002B7411"/>
    <w:rsid w:val="002B7412"/>
    <w:rsid w:val="002B7B88"/>
    <w:rsid w:val="002B7F1B"/>
    <w:rsid w:val="002B7F30"/>
    <w:rsid w:val="002C0083"/>
    <w:rsid w:val="002C032E"/>
    <w:rsid w:val="002C081A"/>
    <w:rsid w:val="002C108A"/>
    <w:rsid w:val="002C1553"/>
    <w:rsid w:val="002C2CCD"/>
    <w:rsid w:val="002C2F7F"/>
    <w:rsid w:val="002C2FB4"/>
    <w:rsid w:val="002C2FD3"/>
    <w:rsid w:val="002C3683"/>
    <w:rsid w:val="002C369F"/>
    <w:rsid w:val="002C6751"/>
    <w:rsid w:val="002C6DC2"/>
    <w:rsid w:val="002C6DDA"/>
    <w:rsid w:val="002C713E"/>
    <w:rsid w:val="002D053D"/>
    <w:rsid w:val="002D0B99"/>
    <w:rsid w:val="002D1936"/>
    <w:rsid w:val="002D1CE8"/>
    <w:rsid w:val="002D280B"/>
    <w:rsid w:val="002D2DFC"/>
    <w:rsid w:val="002D2FB2"/>
    <w:rsid w:val="002D337C"/>
    <w:rsid w:val="002D3782"/>
    <w:rsid w:val="002D3EBD"/>
    <w:rsid w:val="002D48E6"/>
    <w:rsid w:val="002D5B16"/>
    <w:rsid w:val="002D5CB9"/>
    <w:rsid w:val="002D6AAE"/>
    <w:rsid w:val="002D769A"/>
    <w:rsid w:val="002D7789"/>
    <w:rsid w:val="002D77B7"/>
    <w:rsid w:val="002D7CC4"/>
    <w:rsid w:val="002D7DBC"/>
    <w:rsid w:val="002E003D"/>
    <w:rsid w:val="002E0C21"/>
    <w:rsid w:val="002E0FA4"/>
    <w:rsid w:val="002E192A"/>
    <w:rsid w:val="002E2471"/>
    <w:rsid w:val="002E2B84"/>
    <w:rsid w:val="002E2DD9"/>
    <w:rsid w:val="002E300A"/>
    <w:rsid w:val="002E3543"/>
    <w:rsid w:val="002E3B50"/>
    <w:rsid w:val="002E3B82"/>
    <w:rsid w:val="002E3C95"/>
    <w:rsid w:val="002E40D7"/>
    <w:rsid w:val="002E4BB3"/>
    <w:rsid w:val="002E56CE"/>
    <w:rsid w:val="002E5F0D"/>
    <w:rsid w:val="002E6EE7"/>
    <w:rsid w:val="002E758B"/>
    <w:rsid w:val="002F0C6B"/>
    <w:rsid w:val="002F1CD0"/>
    <w:rsid w:val="002F1D5C"/>
    <w:rsid w:val="002F207F"/>
    <w:rsid w:val="002F24AF"/>
    <w:rsid w:val="002F32ED"/>
    <w:rsid w:val="002F34EA"/>
    <w:rsid w:val="002F3799"/>
    <w:rsid w:val="002F43B6"/>
    <w:rsid w:val="002F49F9"/>
    <w:rsid w:val="002F515D"/>
    <w:rsid w:val="002F5674"/>
    <w:rsid w:val="002F594A"/>
    <w:rsid w:val="002F5ACA"/>
    <w:rsid w:val="002F6673"/>
    <w:rsid w:val="002F66DB"/>
    <w:rsid w:val="002F6CD0"/>
    <w:rsid w:val="002F7256"/>
    <w:rsid w:val="002F74B2"/>
    <w:rsid w:val="002F7EB8"/>
    <w:rsid w:val="0030086D"/>
    <w:rsid w:val="00300D86"/>
    <w:rsid w:val="003016E9"/>
    <w:rsid w:val="003017E1"/>
    <w:rsid w:val="00302F6A"/>
    <w:rsid w:val="00303B54"/>
    <w:rsid w:val="003040C0"/>
    <w:rsid w:val="00305CC7"/>
    <w:rsid w:val="00305F62"/>
    <w:rsid w:val="0030688B"/>
    <w:rsid w:val="003074FD"/>
    <w:rsid w:val="0030777E"/>
    <w:rsid w:val="00307A2D"/>
    <w:rsid w:val="0031008E"/>
    <w:rsid w:val="00310204"/>
    <w:rsid w:val="00310272"/>
    <w:rsid w:val="00310D86"/>
    <w:rsid w:val="00310F34"/>
    <w:rsid w:val="00311FC0"/>
    <w:rsid w:val="00312AF6"/>
    <w:rsid w:val="00312CB7"/>
    <w:rsid w:val="00312E68"/>
    <w:rsid w:val="0031351A"/>
    <w:rsid w:val="003161E5"/>
    <w:rsid w:val="00316C18"/>
    <w:rsid w:val="00317071"/>
    <w:rsid w:val="003170F2"/>
    <w:rsid w:val="00317297"/>
    <w:rsid w:val="00320199"/>
    <w:rsid w:val="003204DA"/>
    <w:rsid w:val="00320582"/>
    <w:rsid w:val="003206BE"/>
    <w:rsid w:val="00320F2A"/>
    <w:rsid w:val="00321282"/>
    <w:rsid w:val="0032130E"/>
    <w:rsid w:val="0032187E"/>
    <w:rsid w:val="003218EA"/>
    <w:rsid w:val="00321F93"/>
    <w:rsid w:val="0032278A"/>
    <w:rsid w:val="0032279E"/>
    <w:rsid w:val="00322A25"/>
    <w:rsid w:val="0032318E"/>
    <w:rsid w:val="00323480"/>
    <w:rsid w:val="00324A14"/>
    <w:rsid w:val="00325665"/>
    <w:rsid w:val="00325668"/>
    <w:rsid w:val="0032585F"/>
    <w:rsid w:val="003262AB"/>
    <w:rsid w:val="0032659C"/>
    <w:rsid w:val="00327292"/>
    <w:rsid w:val="003272FD"/>
    <w:rsid w:val="0032744E"/>
    <w:rsid w:val="00327480"/>
    <w:rsid w:val="0032757F"/>
    <w:rsid w:val="00330A37"/>
    <w:rsid w:val="00330B81"/>
    <w:rsid w:val="00333A15"/>
    <w:rsid w:val="00333A6D"/>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67F2"/>
    <w:rsid w:val="00346844"/>
    <w:rsid w:val="00346945"/>
    <w:rsid w:val="00346AE5"/>
    <w:rsid w:val="00346C56"/>
    <w:rsid w:val="00347782"/>
    <w:rsid w:val="00347D51"/>
    <w:rsid w:val="00347E11"/>
    <w:rsid w:val="003500C9"/>
    <w:rsid w:val="00350268"/>
    <w:rsid w:val="00350594"/>
    <w:rsid w:val="00350C4A"/>
    <w:rsid w:val="0035188E"/>
    <w:rsid w:val="003518DC"/>
    <w:rsid w:val="00352542"/>
    <w:rsid w:val="00352F72"/>
    <w:rsid w:val="00353202"/>
    <w:rsid w:val="0035326A"/>
    <w:rsid w:val="0035327A"/>
    <w:rsid w:val="003534CB"/>
    <w:rsid w:val="0035365F"/>
    <w:rsid w:val="00353FC5"/>
    <w:rsid w:val="00354407"/>
    <w:rsid w:val="00354730"/>
    <w:rsid w:val="00354CDA"/>
    <w:rsid w:val="003555CF"/>
    <w:rsid w:val="00355B59"/>
    <w:rsid w:val="0035620E"/>
    <w:rsid w:val="003564B6"/>
    <w:rsid w:val="0035669E"/>
    <w:rsid w:val="00356C67"/>
    <w:rsid w:val="003574FA"/>
    <w:rsid w:val="00357700"/>
    <w:rsid w:val="00357C05"/>
    <w:rsid w:val="00357DE5"/>
    <w:rsid w:val="00360509"/>
    <w:rsid w:val="0036056F"/>
    <w:rsid w:val="0036071E"/>
    <w:rsid w:val="00360E9D"/>
    <w:rsid w:val="00362E59"/>
    <w:rsid w:val="00363B12"/>
    <w:rsid w:val="0036402D"/>
    <w:rsid w:val="0036423C"/>
    <w:rsid w:val="003648B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C4C"/>
    <w:rsid w:val="00373496"/>
    <w:rsid w:val="003736A7"/>
    <w:rsid w:val="00373B43"/>
    <w:rsid w:val="00373B9D"/>
    <w:rsid w:val="00374508"/>
    <w:rsid w:val="003745D0"/>
    <w:rsid w:val="003748B9"/>
    <w:rsid w:val="00374FD6"/>
    <w:rsid w:val="00375B8A"/>
    <w:rsid w:val="00375E04"/>
    <w:rsid w:val="0037642E"/>
    <w:rsid w:val="00376538"/>
    <w:rsid w:val="003776AD"/>
    <w:rsid w:val="00377D45"/>
    <w:rsid w:val="003801DC"/>
    <w:rsid w:val="00380E15"/>
    <w:rsid w:val="00380F51"/>
    <w:rsid w:val="00381301"/>
    <w:rsid w:val="003817B5"/>
    <w:rsid w:val="00381993"/>
    <w:rsid w:val="00381B3A"/>
    <w:rsid w:val="00381F75"/>
    <w:rsid w:val="0038248C"/>
    <w:rsid w:val="003829A5"/>
    <w:rsid w:val="003836C9"/>
    <w:rsid w:val="00383E24"/>
    <w:rsid w:val="00384837"/>
    <w:rsid w:val="00384A4B"/>
    <w:rsid w:val="00384C2C"/>
    <w:rsid w:val="003856C6"/>
    <w:rsid w:val="00385E50"/>
    <w:rsid w:val="0038685F"/>
    <w:rsid w:val="00386B43"/>
    <w:rsid w:val="00386B52"/>
    <w:rsid w:val="00386CBA"/>
    <w:rsid w:val="00386FC4"/>
    <w:rsid w:val="00390183"/>
    <w:rsid w:val="00391901"/>
    <w:rsid w:val="00391AC1"/>
    <w:rsid w:val="00391B2B"/>
    <w:rsid w:val="003923E6"/>
    <w:rsid w:val="003934D5"/>
    <w:rsid w:val="00393FE9"/>
    <w:rsid w:val="0039476B"/>
    <w:rsid w:val="00396113"/>
    <w:rsid w:val="00396B93"/>
    <w:rsid w:val="00396F26"/>
    <w:rsid w:val="003973FD"/>
    <w:rsid w:val="00397413"/>
    <w:rsid w:val="003976E4"/>
    <w:rsid w:val="00397E21"/>
    <w:rsid w:val="00397F3B"/>
    <w:rsid w:val="00397FDC"/>
    <w:rsid w:val="003A04AE"/>
    <w:rsid w:val="003A0667"/>
    <w:rsid w:val="003A0696"/>
    <w:rsid w:val="003A19D6"/>
    <w:rsid w:val="003A2D4E"/>
    <w:rsid w:val="003A3999"/>
    <w:rsid w:val="003A4220"/>
    <w:rsid w:val="003A4462"/>
    <w:rsid w:val="003A4663"/>
    <w:rsid w:val="003A4BFF"/>
    <w:rsid w:val="003A4F4E"/>
    <w:rsid w:val="003A5D90"/>
    <w:rsid w:val="003A62DA"/>
    <w:rsid w:val="003A7B14"/>
    <w:rsid w:val="003A7B7B"/>
    <w:rsid w:val="003A7D2A"/>
    <w:rsid w:val="003A7D38"/>
    <w:rsid w:val="003B08CD"/>
    <w:rsid w:val="003B14FD"/>
    <w:rsid w:val="003B2427"/>
    <w:rsid w:val="003B2C1A"/>
    <w:rsid w:val="003B2D7D"/>
    <w:rsid w:val="003B3C57"/>
    <w:rsid w:val="003B3E12"/>
    <w:rsid w:val="003B3E38"/>
    <w:rsid w:val="003B42B7"/>
    <w:rsid w:val="003B4696"/>
    <w:rsid w:val="003B4E65"/>
    <w:rsid w:val="003B4EB6"/>
    <w:rsid w:val="003B5038"/>
    <w:rsid w:val="003B6031"/>
    <w:rsid w:val="003B6E81"/>
    <w:rsid w:val="003B77E5"/>
    <w:rsid w:val="003B7E05"/>
    <w:rsid w:val="003C052A"/>
    <w:rsid w:val="003C131E"/>
    <w:rsid w:val="003C14CC"/>
    <w:rsid w:val="003C19A5"/>
    <w:rsid w:val="003C1C85"/>
    <w:rsid w:val="003C1F69"/>
    <w:rsid w:val="003C3A2A"/>
    <w:rsid w:val="003C3E7F"/>
    <w:rsid w:val="003C4482"/>
    <w:rsid w:val="003C4F71"/>
    <w:rsid w:val="003C5260"/>
    <w:rsid w:val="003C612F"/>
    <w:rsid w:val="003C63DD"/>
    <w:rsid w:val="003C6468"/>
    <w:rsid w:val="003C7325"/>
    <w:rsid w:val="003C752B"/>
    <w:rsid w:val="003D0AF6"/>
    <w:rsid w:val="003D0BFD"/>
    <w:rsid w:val="003D11D9"/>
    <w:rsid w:val="003D1494"/>
    <w:rsid w:val="003D156A"/>
    <w:rsid w:val="003D1E5A"/>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3327"/>
    <w:rsid w:val="003E3F81"/>
    <w:rsid w:val="003E4296"/>
    <w:rsid w:val="003E43C8"/>
    <w:rsid w:val="003E4B5F"/>
    <w:rsid w:val="003E530F"/>
    <w:rsid w:val="003E593A"/>
    <w:rsid w:val="003E5A33"/>
    <w:rsid w:val="003E5FD7"/>
    <w:rsid w:val="003E63B5"/>
    <w:rsid w:val="003E65FD"/>
    <w:rsid w:val="003E69CF"/>
    <w:rsid w:val="003E6DA0"/>
    <w:rsid w:val="003E701F"/>
    <w:rsid w:val="003E72DA"/>
    <w:rsid w:val="003E7915"/>
    <w:rsid w:val="003E7D34"/>
    <w:rsid w:val="003F031C"/>
    <w:rsid w:val="003F132C"/>
    <w:rsid w:val="003F1622"/>
    <w:rsid w:val="003F181E"/>
    <w:rsid w:val="003F1AA3"/>
    <w:rsid w:val="003F203C"/>
    <w:rsid w:val="003F25EF"/>
    <w:rsid w:val="003F3277"/>
    <w:rsid w:val="003F4C79"/>
    <w:rsid w:val="003F4E06"/>
    <w:rsid w:val="003F5925"/>
    <w:rsid w:val="003F5E3F"/>
    <w:rsid w:val="003F67CB"/>
    <w:rsid w:val="003F7096"/>
    <w:rsid w:val="003F759C"/>
    <w:rsid w:val="003F7E6D"/>
    <w:rsid w:val="00401CD0"/>
    <w:rsid w:val="00402608"/>
    <w:rsid w:val="00402A5A"/>
    <w:rsid w:val="00403238"/>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102C"/>
    <w:rsid w:val="00411154"/>
    <w:rsid w:val="00412BDE"/>
    <w:rsid w:val="00413E42"/>
    <w:rsid w:val="004141B8"/>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473"/>
    <w:rsid w:val="0042181C"/>
    <w:rsid w:val="00421BAA"/>
    <w:rsid w:val="00422508"/>
    <w:rsid w:val="0042267A"/>
    <w:rsid w:val="00422C59"/>
    <w:rsid w:val="00422CFC"/>
    <w:rsid w:val="0042412E"/>
    <w:rsid w:val="0042472D"/>
    <w:rsid w:val="0042505E"/>
    <w:rsid w:val="004252E0"/>
    <w:rsid w:val="004257A7"/>
    <w:rsid w:val="00425EF9"/>
    <w:rsid w:val="0042613E"/>
    <w:rsid w:val="00430459"/>
    <w:rsid w:val="004305C5"/>
    <w:rsid w:val="004310C6"/>
    <w:rsid w:val="004318F9"/>
    <w:rsid w:val="00431B6B"/>
    <w:rsid w:val="00432B95"/>
    <w:rsid w:val="00432B9E"/>
    <w:rsid w:val="00433D08"/>
    <w:rsid w:val="00434272"/>
    <w:rsid w:val="004342CB"/>
    <w:rsid w:val="00434374"/>
    <w:rsid w:val="00435197"/>
    <w:rsid w:val="004355CE"/>
    <w:rsid w:val="0043678E"/>
    <w:rsid w:val="00436C17"/>
    <w:rsid w:val="00437B57"/>
    <w:rsid w:val="00440E6C"/>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41D"/>
    <w:rsid w:val="00453A77"/>
    <w:rsid w:val="00453DB3"/>
    <w:rsid w:val="00454B8F"/>
    <w:rsid w:val="00454C20"/>
    <w:rsid w:val="00454C71"/>
    <w:rsid w:val="00454FA2"/>
    <w:rsid w:val="004558FA"/>
    <w:rsid w:val="00455CAE"/>
    <w:rsid w:val="00455E9B"/>
    <w:rsid w:val="00456D15"/>
    <w:rsid w:val="004578E3"/>
    <w:rsid w:val="00457ADE"/>
    <w:rsid w:val="00457B42"/>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446"/>
    <w:rsid w:val="004779AB"/>
    <w:rsid w:val="00477FA2"/>
    <w:rsid w:val="004801BA"/>
    <w:rsid w:val="0048028B"/>
    <w:rsid w:val="00480455"/>
    <w:rsid w:val="00481C87"/>
    <w:rsid w:val="00481F7E"/>
    <w:rsid w:val="004828B4"/>
    <w:rsid w:val="00482F4A"/>
    <w:rsid w:val="00482F94"/>
    <w:rsid w:val="004840B7"/>
    <w:rsid w:val="00485352"/>
    <w:rsid w:val="0048539F"/>
    <w:rsid w:val="00485B53"/>
    <w:rsid w:val="0048639E"/>
    <w:rsid w:val="004876C2"/>
    <w:rsid w:val="004878B6"/>
    <w:rsid w:val="00490370"/>
    <w:rsid w:val="00490831"/>
    <w:rsid w:val="00491095"/>
    <w:rsid w:val="004918B1"/>
    <w:rsid w:val="00491A74"/>
    <w:rsid w:val="00492C56"/>
    <w:rsid w:val="00492DA7"/>
    <w:rsid w:val="00492F1A"/>
    <w:rsid w:val="0049302A"/>
    <w:rsid w:val="00493782"/>
    <w:rsid w:val="00493CF5"/>
    <w:rsid w:val="00493E2D"/>
    <w:rsid w:val="00494B2E"/>
    <w:rsid w:val="0049521E"/>
    <w:rsid w:val="004952A2"/>
    <w:rsid w:val="0049590C"/>
    <w:rsid w:val="00495D9A"/>
    <w:rsid w:val="004966E0"/>
    <w:rsid w:val="00496787"/>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6F0"/>
    <w:rsid w:val="004B0727"/>
    <w:rsid w:val="004B0A5F"/>
    <w:rsid w:val="004B11AD"/>
    <w:rsid w:val="004B15CE"/>
    <w:rsid w:val="004B2630"/>
    <w:rsid w:val="004B440D"/>
    <w:rsid w:val="004B51A3"/>
    <w:rsid w:val="004B534E"/>
    <w:rsid w:val="004B557C"/>
    <w:rsid w:val="004B586C"/>
    <w:rsid w:val="004B59CB"/>
    <w:rsid w:val="004B5FD0"/>
    <w:rsid w:val="004B6901"/>
    <w:rsid w:val="004B6F05"/>
    <w:rsid w:val="004C0712"/>
    <w:rsid w:val="004C0F0D"/>
    <w:rsid w:val="004C143E"/>
    <w:rsid w:val="004C1639"/>
    <w:rsid w:val="004C1838"/>
    <w:rsid w:val="004C1CE3"/>
    <w:rsid w:val="004C3B2D"/>
    <w:rsid w:val="004C3FD7"/>
    <w:rsid w:val="004C4B3E"/>
    <w:rsid w:val="004C5AA1"/>
    <w:rsid w:val="004C600D"/>
    <w:rsid w:val="004C6374"/>
    <w:rsid w:val="004C64D0"/>
    <w:rsid w:val="004C683A"/>
    <w:rsid w:val="004C6B4F"/>
    <w:rsid w:val="004C6D63"/>
    <w:rsid w:val="004C6DF5"/>
    <w:rsid w:val="004C755F"/>
    <w:rsid w:val="004C78E8"/>
    <w:rsid w:val="004C79D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A30"/>
    <w:rsid w:val="004E5CF5"/>
    <w:rsid w:val="004E7540"/>
    <w:rsid w:val="004E7FC0"/>
    <w:rsid w:val="004F05B8"/>
    <w:rsid w:val="004F1A7E"/>
    <w:rsid w:val="004F1B88"/>
    <w:rsid w:val="004F2B0B"/>
    <w:rsid w:val="004F2D06"/>
    <w:rsid w:val="004F2F35"/>
    <w:rsid w:val="004F3046"/>
    <w:rsid w:val="004F3134"/>
    <w:rsid w:val="004F3442"/>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3797"/>
    <w:rsid w:val="0050398F"/>
    <w:rsid w:val="00503C92"/>
    <w:rsid w:val="00503F6D"/>
    <w:rsid w:val="00505B35"/>
    <w:rsid w:val="005064B5"/>
    <w:rsid w:val="005067EB"/>
    <w:rsid w:val="00506B64"/>
    <w:rsid w:val="005104F2"/>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138A"/>
    <w:rsid w:val="005219BF"/>
    <w:rsid w:val="005234BC"/>
    <w:rsid w:val="00523CD3"/>
    <w:rsid w:val="00523D53"/>
    <w:rsid w:val="00523F12"/>
    <w:rsid w:val="00523FCF"/>
    <w:rsid w:val="00524E9C"/>
    <w:rsid w:val="00525285"/>
    <w:rsid w:val="0052553B"/>
    <w:rsid w:val="00525BBB"/>
    <w:rsid w:val="00526118"/>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F59"/>
    <w:rsid w:val="00537507"/>
    <w:rsid w:val="005378C1"/>
    <w:rsid w:val="00537A32"/>
    <w:rsid w:val="0054077E"/>
    <w:rsid w:val="00540889"/>
    <w:rsid w:val="00540997"/>
    <w:rsid w:val="00541214"/>
    <w:rsid w:val="005412F3"/>
    <w:rsid w:val="0054133F"/>
    <w:rsid w:val="00541413"/>
    <w:rsid w:val="00541F64"/>
    <w:rsid w:val="005431F0"/>
    <w:rsid w:val="005431FC"/>
    <w:rsid w:val="0054327C"/>
    <w:rsid w:val="005442D2"/>
    <w:rsid w:val="00544329"/>
    <w:rsid w:val="00544453"/>
    <w:rsid w:val="005446AA"/>
    <w:rsid w:val="00544DD3"/>
    <w:rsid w:val="00545215"/>
    <w:rsid w:val="00545E44"/>
    <w:rsid w:val="0054766B"/>
    <w:rsid w:val="00550AA6"/>
    <w:rsid w:val="005516BD"/>
    <w:rsid w:val="005530E3"/>
    <w:rsid w:val="00553457"/>
    <w:rsid w:val="00553838"/>
    <w:rsid w:val="00553860"/>
    <w:rsid w:val="005539EC"/>
    <w:rsid w:val="00553A0B"/>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BE1"/>
    <w:rsid w:val="00563F75"/>
    <w:rsid w:val="005640EB"/>
    <w:rsid w:val="00565514"/>
    <w:rsid w:val="00565A6B"/>
    <w:rsid w:val="00565D96"/>
    <w:rsid w:val="005661F6"/>
    <w:rsid w:val="00566845"/>
    <w:rsid w:val="00566EC1"/>
    <w:rsid w:val="00567BDB"/>
    <w:rsid w:val="00570584"/>
    <w:rsid w:val="00570871"/>
    <w:rsid w:val="005712D6"/>
    <w:rsid w:val="00571812"/>
    <w:rsid w:val="0057190F"/>
    <w:rsid w:val="00571DCD"/>
    <w:rsid w:val="0057218C"/>
    <w:rsid w:val="00572C81"/>
    <w:rsid w:val="00572E70"/>
    <w:rsid w:val="00572F0A"/>
    <w:rsid w:val="00573369"/>
    <w:rsid w:val="005739FF"/>
    <w:rsid w:val="00573AA7"/>
    <w:rsid w:val="00573C20"/>
    <w:rsid w:val="0057418A"/>
    <w:rsid w:val="00574923"/>
    <w:rsid w:val="00574D59"/>
    <w:rsid w:val="00575C24"/>
    <w:rsid w:val="00576226"/>
    <w:rsid w:val="005762EA"/>
    <w:rsid w:val="005767AE"/>
    <w:rsid w:val="00580390"/>
    <w:rsid w:val="005817B2"/>
    <w:rsid w:val="005819F7"/>
    <w:rsid w:val="00581C35"/>
    <w:rsid w:val="00582102"/>
    <w:rsid w:val="005824C6"/>
    <w:rsid w:val="00582674"/>
    <w:rsid w:val="0058271E"/>
    <w:rsid w:val="00582761"/>
    <w:rsid w:val="0058283F"/>
    <w:rsid w:val="00583296"/>
    <w:rsid w:val="00583930"/>
    <w:rsid w:val="00583BFE"/>
    <w:rsid w:val="00583D8A"/>
    <w:rsid w:val="005840EF"/>
    <w:rsid w:val="005842CD"/>
    <w:rsid w:val="005845A3"/>
    <w:rsid w:val="005848F8"/>
    <w:rsid w:val="00584E2F"/>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29E"/>
    <w:rsid w:val="005924D3"/>
    <w:rsid w:val="005924F1"/>
    <w:rsid w:val="005925E3"/>
    <w:rsid w:val="0059304D"/>
    <w:rsid w:val="005933AE"/>
    <w:rsid w:val="00593D7B"/>
    <w:rsid w:val="00593F60"/>
    <w:rsid w:val="0059420C"/>
    <w:rsid w:val="00595156"/>
    <w:rsid w:val="005951CF"/>
    <w:rsid w:val="00596322"/>
    <w:rsid w:val="00596832"/>
    <w:rsid w:val="00596CCB"/>
    <w:rsid w:val="00596DB6"/>
    <w:rsid w:val="00597753"/>
    <w:rsid w:val="00597BED"/>
    <w:rsid w:val="00597E6F"/>
    <w:rsid w:val="005A0203"/>
    <w:rsid w:val="005A052F"/>
    <w:rsid w:val="005A0EFC"/>
    <w:rsid w:val="005A1018"/>
    <w:rsid w:val="005A1099"/>
    <w:rsid w:val="005A12A6"/>
    <w:rsid w:val="005A12EF"/>
    <w:rsid w:val="005A1980"/>
    <w:rsid w:val="005A1A26"/>
    <w:rsid w:val="005A1C52"/>
    <w:rsid w:val="005A1F74"/>
    <w:rsid w:val="005A2593"/>
    <w:rsid w:val="005A3196"/>
    <w:rsid w:val="005A339E"/>
    <w:rsid w:val="005A408B"/>
    <w:rsid w:val="005A4B80"/>
    <w:rsid w:val="005A582B"/>
    <w:rsid w:val="005A5AD3"/>
    <w:rsid w:val="005A6F80"/>
    <w:rsid w:val="005A6FBA"/>
    <w:rsid w:val="005A7215"/>
    <w:rsid w:val="005A726F"/>
    <w:rsid w:val="005A7629"/>
    <w:rsid w:val="005A782E"/>
    <w:rsid w:val="005A793B"/>
    <w:rsid w:val="005A79AE"/>
    <w:rsid w:val="005B0150"/>
    <w:rsid w:val="005B0758"/>
    <w:rsid w:val="005B2054"/>
    <w:rsid w:val="005B2607"/>
    <w:rsid w:val="005B26FD"/>
    <w:rsid w:val="005B40A1"/>
    <w:rsid w:val="005B429E"/>
    <w:rsid w:val="005B44D0"/>
    <w:rsid w:val="005B4CD8"/>
    <w:rsid w:val="005B5B11"/>
    <w:rsid w:val="005B5DAB"/>
    <w:rsid w:val="005B5DE5"/>
    <w:rsid w:val="005B5E15"/>
    <w:rsid w:val="005B60BD"/>
    <w:rsid w:val="005B6837"/>
    <w:rsid w:val="005B78D4"/>
    <w:rsid w:val="005C0607"/>
    <w:rsid w:val="005C0A76"/>
    <w:rsid w:val="005C0BE5"/>
    <w:rsid w:val="005C0F51"/>
    <w:rsid w:val="005C11E6"/>
    <w:rsid w:val="005C152C"/>
    <w:rsid w:val="005C1F3B"/>
    <w:rsid w:val="005C208C"/>
    <w:rsid w:val="005C2E67"/>
    <w:rsid w:val="005C35ED"/>
    <w:rsid w:val="005C35FA"/>
    <w:rsid w:val="005C3660"/>
    <w:rsid w:val="005C3CEA"/>
    <w:rsid w:val="005C4D24"/>
    <w:rsid w:val="005C4DD7"/>
    <w:rsid w:val="005C539A"/>
    <w:rsid w:val="005C53BB"/>
    <w:rsid w:val="005C5ADF"/>
    <w:rsid w:val="005C5CAB"/>
    <w:rsid w:val="005C778A"/>
    <w:rsid w:val="005C794A"/>
    <w:rsid w:val="005C7B1F"/>
    <w:rsid w:val="005D00EF"/>
    <w:rsid w:val="005D05AF"/>
    <w:rsid w:val="005D0923"/>
    <w:rsid w:val="005D12BF"/>
    <w:rsid w:val="005D14E9"/>
    <w:rsid w:val="005D1B75"/>
    <w:rsid w:val="005D1C71"/>
    <w:rsid w:val="005D1DA4"/>
    <w:rsid w:val="005D21A6"/>
    <w:rsid w:val="005D29D5"/>
    <w:rsid w:val="005D30B1"/>
    <w:rsid w:val="005D32CB"/>
    <w:rsid w:val="005D3E97"/>
    <w:rsid w:val="005D3EF3"/>
    <w:rsid w:val="005D4095"/>
    <w:rsid w:val="005D4641"/>
    <w:rsid w:val="005D4792"/>
    <w:rsid w:val="005D49FF"/>
    <w:rsid w:val="005D4D0A"/>
    <w:rsid w:val="005D5695"/>
    <w:rsid w:val="005D63D6"/>
    <w:rsid w:val="005D77A0"/>
    <w:rsid w:val="005D7ED3"/>
    <w:rsid w:val="005E0862"/>
    <w:rsid w:val="005E1375"/>
    <w:rsid w:val="005E147F"/>
    <w:rsid w:val="005E1CEB"/>
    <w:rsid w:val="005E2A30"/>
    <w:rsid w:val="005E2FF1"/>
    <w:rsid w:val="005E3850"/>
    <w:rsid w:val="005E396D"/>
    <w:rsid w:val="005E3B89"/>
    <w:rsid w:val="005E3DEF"/>
    <w:rsid w:val="005E4C8F"/>
    <w:rsid w:val="005E4E97"/>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4FE6"/>
    <w:rsid w:val="005F546F"/>
    <w:rsid w:val="005F5479"/>
    <w:rsid w:val="005F5B32"/>
    <w:rsid w:val="005F62D7"/>
    <w:rsid w:val="005F66DC"/>
    <w:rsid w:val="005F731B"/>
    <w:rsid w:val="006002D9"/>
    <w:rsid w:val="006006C9"/>
    <w:rsid w:val="006013FB"/>
    <w:rsid w:val="00601957"/>
    <w:rsid w:val="00601F1A"/>
    <w:rsid w:val="00601FAB"/>
    <w:rsid w:val="0060239C"/>
    <w:rsid w:val="00602746"/>
    <w:rsid w:val="0060294C"/>
    <w:rsid w:val="00603073"/>
    <w:rsid w:val="00603128"/>
    <w:rsid w:val="006031A0"/>
    <w:rsid w:val="0060359E"/>
    <w:rsid w:val="006036E2"/>
    <w:rsid w:val="006037C5"/>
    <w:rsid w:val="00603BCB"/>
    <w:rsid w:val="0060471F"/>
    <w:rsid w:val="0060483C"/>
    <w:rsid w:val="00604D4B"/>
    <w:rsid w:val="00604F87"/>
    <w:rsid w:val="006052B9"/>
    <w:rsid w:val="00605607"/>
    <w:rsid w:val="00605E4D"/>
    <w:rsid w:val="00606050"/>
    <w:rsid w:val="00606458"/>
    <w:rsid w:val="00606CC5"/>
    <w:rsid w:val="00606D2A"/>
    <w:rsid w:val="00607141"/>
    <w:rsid w:val="006074BF"/>
    <w:rsid w:val="00607B23"/>
    <w:rsid w:val="00611189"/>
    <w:rsid w:val="006114F8"/>
    <w:rsid w:val="006125C5"/>
    <w:rsid w:val="0061276D"/>
    <w:rsid w:val="0061278B"/>
    <w:rsid w:val="00613A41"/>
    <w:rsid w:val="006144BB"/>
    <w:rsid w:val="006145A4"/>
    <w:rsid w:val="00614ABB"/>
    <w:rsid w:val="00614B54"/>
    <w:rsid w:val="00616900"/>
    <w:rsid w:val="00616ACC"/>
    <w:rsid w:val="00616B2A"/>
    <w:rsid w:val="0061744E"/>
    <w:rsid w:val="0061799E"/>
    <w:rsid w:val="00617CDA"/>
    <w:rsid w:val="006204D9"/>
    <w:rsid w:val="006205AD"/>
    <w:rsid w:val="00620CAC"/>
    <w:rsid w:val="00621934"/>
    <w:rsid w:val="00621C5D"/>
    <w:rsid w:val="00622007"/>
    <w:rsid w:val="00623D94"/>
    <w:rsid w:val="00623F1D"/>
    <w:rsid w:val="006240EA"/>
    <w:rsid w:val="00624421"/>
    <w:rsid w:val="00624B58"/>
    <w:rsid w:val="00624D93"/>
    <w:rsid w:val="006254B1"/>
    <w:rsid w:val="00626126"/>
    <w:rsid w:val="0062711B"/>
    <w:rsid w:val="0062789B"/>
    <w:rsid w:val="00630007"/>
    <w:rsid w:val="006305AE"/>
    <w:rsid w:val="00630940"/>
    <w:rsid w:val="00630B6A"/>
    <w:rsid w:val="006312F7"/>
    <w:rsid w:val="00631585"/>
    <w:rsid w:val="006320CB"/>
    <w:rsid w:val="00632656"/>
    <w:rsid w:val="00632F67"/>
    <w:rsid w:val="00633CF5"/>
    <w:rsid w:val="006345ED"/>
    <w:rsid w:val="006345EE"/>
    <w:rsid w:val="00635387"/>
    <w:rsid w:val="00635FA5"/>
    <w:rsid w:val="00636367"/>
    <w:rsid w:val="00640005"/>
    <w:rsid w:val="0064043A"/>
    <w:rsid w:val="0064099A"/>
    <w:rsid w:val="00641758"/>
    <w:rsid w:val="00641C1A"/>
    <w:rsid w:val="00641DF1"/>
    <w:rsid w:val="00642B83"/>
    <w:rsid w:val="0064341D"/>
    <w:rsid w:val="00643ACA"/>
    <w:rsid w:val="00644F2D"/>
    <w:rsid w:val="00645164"/>
    <w:rsid w:val="00645DDA"/>
    <w:rsid w:val="006469A2"/>
    <w:rsid w:val="00646AB8"/>
    <w:rsid w:val="00646D0D"/>
    <w:rsid w:val="006471F9"/>
    <w:rsid w:val="0064782E"/>
    <w:rsid w:val="006504BB"/>
    <w:rsid w:val="006507E9"/>
    <w:rsid w:val="00650822"/>
    <w:rsid w:val="00650A98"/>
    <w:rsid w:val="00652863"/>
    <w:rsid w:val="0065290E"/>
    <w:rsid w:val="00652921"/>
    <w:rsid w:val="00653C4B"/>
    <w:rsid w:val="00653D6D"/>
    <w:rsid w:val="0065463D"/>
    <w:rsid w:val="00654978"/>
    <w:rsid w:val="006560A2"/>
    <w:rsid w:val="00656401"/>
    <w:rsid w:val="00656989"/>
    <w:rsid w:val="006572C7"/>
    <w:rsid w:val="006578FA"/>
    <w:rsid w:val="0066025F"/>
    <w:rsid w:val="0066047B"/>
    <w:rsid w:val="00660E13"/>
    <w:rsid w:val="0066141F"/>
    <w:rsid w:val="00661B9D"/>
    <w:rsid w:val="00662E8A"/>
    <w:rsid w:val="00663136"/>
    <w:rsid w:val="00663832"/>
    <w:rsid w:val="00663BB8"/>
    <w:rsid w:val="0066419D"/>
    <w:rsid w:val="0066434A"/>
    <w:rsid w:val="0066555D"/>
    <w:rsid w:val="006655C3"/>
    <w:rsid w:val="00665844"/>
    <w:rsid w:val="006661AE"/>
    <w:rsid w:val="006661E7"/>
    <w:rsid w:val="006668DC"/>
    <w:rsid w:val="0066711D"/>
    <w:rsid w:val="00667325"/>
    <w:rsid w:val="006674AF"/>
    <w:rsid w:val="00667861"/>
    <w:rsid w:val="00667EF3"/>
    <w:rsid w:val="00667FEE"/>
    <w:rsid w:val="006701A1"/>
    <w:rsid w:val="006707CC"/>
    <w:rsid w:val="00670E7B"/>
    <w:rsid w:val="00670ECD"/>
    <w:rsid w:val="00671AB8"/>
    <w:rsid w:val="00671D95"/>
    <w:rsid w:val="00672AFD"/>
    <w:rsid w:val="00673BEE"/>
    <w:rsid w:val="006740EF"/>
    <w:rsid w:val="006746D0"/>
    <w:rsid w:val="00675115"/>
    <w:rsid w:val="00675C94"/>
    <w:rsid w:val="00675FA0"/>
    <w:rsid w:val="0067606B"/>
    <w:rsid w:val="00676A07"/>
    <w:rsid w:val="00677B79"/>
    <w:rsid w:val="00677FAC"/>
    <w:rsid w:val="00680B1F"/>
    <w:rsid w:val="00680E20"/>
    <w:rsid w:val="006810EF"/>
    <w:rsid w:val="00681D97"/>
    <w:rsid w:val="00681F24"/>
    <w:rsid w:val="00682268"/>
    <w:rsid w:val="006826D6"/>
    <w:rsid w:val="00682983"/>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921"/>
    <w:rsid w:val="00691CF2"/>
    <w:rsid w:val="00691E08"/>
    <w:rsid w:val="00692724"/>
    <w:rsid w:val="00692FA9"/>
    <w:rsid w:val="006930F8"/>
    <w:rsid w:val="00693912"/>
    <w:rsid w:val="00693BDB"/>
    <w:rsid w:val="006940D3"/>
    <w:rsid w:val="006940F0"/>
    <w:rsid w:val="00694113"/>
    <w:rsid w:val="006949CD"/>
    <w:rsid w:val="00695772"/>
    <w:rsid w:val="00695A5A"/>
    <w:rsid w:val="00695C9D"/>
    <w:rsid w:val="006966DF"/>
    <w:rsid w:val="006968F8"/>
    <w:rsid w:val="00697D39"/>
    <w:rsid w:val="006A0747"/>
    <w:rsid w:val="006A124B"/>
    <w:rsid w:val="006A1286"/>
    <w:rsid w:val="006A18E6"/>
    <w:rsid w:val="006A1DBF"/>
    <w:rsid w:val="006A1F3C"/>
    <w:rsid w:val="006A2901"/>
    <w:rsid w:val="006A29F8"/>
    <w:rsid w:val="006A2DA4"/>
    <w:rsid w:val="006A31DF"/>
    <w:rsid w:val="006A55B0"/>
    <w:rsid w:val="006A5615"/>
    <w:rsid w:val="006A6C1F"/>
    <w:rsid w:val="006A728C"/>
    <w:rsid w:val="006A77AB"/>
    <w:rsid w:val="006A7D09"/>
    <w:rsid w:val="006B0723"/>
    <w:rsid w:val="006B0794"/>
    <w:rsid w:val="006B1043"/>
    <w:rsid w:val="006B14B4"/>
    <w:rsid w:val="006B1692"/>
    <w:rsid w:val="006B18B2"/>
    <w:rsid w:val="006B230A"/>
    <w:rsid w:val="006B258D"/>
    <w:rsid w:val="006B25B8"/>
    <w:rsid w:val="006B27E1"/>
    <w:rsid w:val="006B37BB"/>
    <w:rsid w:val="006B3E1A"/>
    <w:rsid w:val="006B3F37"/>
    <w:rsid w:val="006B51B9"/>
    <w:rsid w:val="006B68A7"/>
    <w:rsid w:val="006B6AD5"/>
    <w:rsid w:val="006B75B6"/>
    <w:rsid w:val="006B7772"/>
    <w:rsid w:val="006C0157"/>
    <w:rsid w:val="006C0484"/>
    <w:rsid w:val="006C05A9"/>
    <w:rsid w:val="006C179E"/>
    <w:rsid w:val="006C1850"/>
    <w:rsid w:val="006C2DCD"/>
    <w:rsid w:val="006C3AB5"/>
    <w:rsid w:val="006C562C"/>
    <w:rsid w:val="006C61A8"/>
    <w:rsid w:val="006C65A0"/>
    <w:rsid w:val="006C6E7A"/>
    <w:rsid w:val="006C76C7"/>
    <w:rsid w:val="006C7EC3"/>
    <w:rsid w:val="006D0793"/>
    <w:rsid w:val="006D0F97"/>
    <w:rsid w:val="006D1436"/>
    <w:rsid w:val="006D1FF9"/>
    <w:rsid w:val="006D348B"/>
    <w:rsid w:val="006D3522"/>
    <w:rsid w:val="006D3530"/>
    <w:rsid w:val="006D353A"/>
    <w:rsid w:val="006D3751"/>
    <w:rsid w:val="006D4300"/>
    <w:rsid w:val="006D4415"/>
    <w:rsid w:val="006D47F4"/>
    <w:rsid w:val="006D5683"/>
    <w:rsid w:val="006D60C9"/>
    <w:rsid w:val="006D723F"/>
    <w:rsid w:val="006D7B59"/>
    <w:rsid w:val="006D7EAC"/>
    <w:rsid w:val="006E17E8"/>
    <w:rsid w:val="006E1A47"/>
    <w:rsid w:val="006E202A"/>
    <w:rsid w:val="006E566E"/>
    <w:rsid w:val="006E6232"/>
    <w:rsid w:val="006E6FDA"/>
    <w:rsid w:val="006E737E"/>
    <w:rsid w:val="006E7CBD"/>
    <w:rsid w:val="006F003B"/>
    <w:rsid w:val="006F007B"/>
    <w:rsid w:val="006F27E3"/>
    <w:rsid w:val="006F28FB"/>
    <w:rsid w:val="006F2DA1"/>
    <w:rsid w:val="006F316D"/>
    <w:rsid w:val="006F39CD"/>
    <w:rsid w:val="006F3BAC"/>
    <w:rsid w:val="006F3DAA"/>
    <w:rsid w:val="006F7DDF"/>
    <w:rsid w:val="00700123"/>
    <w:rsid w:val="007004A0"/>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98D"/>
    <w:rsid w:val="00706F45"/>
    <w:rsid w:val="00706FCE"/>
    <w:rsid w:val="007076D6"/>
    <w:rsid w:val="00707892"/>
    <w:rsid w:val="007104CC"/>
    <w:rsid w:val="007104DD"/>
    <w:rsid w:val="007108FA"/>
    <w:rsid w:val="00710C50"/>
    <w:rsid w:val="00711196"/>
    <w:rsid w:val="00711B3F"/>
    <w:rsid w:val="00711C22"/>
    <w:rsid w:val="007121B4"/>
    <w:rsid w:val="00712886"/>
    <w:rsid w:val="00714306"/>
    <w:rsid w:val="007150D4"/>
    <w:rsid w:val="0071614C"/>
    <w:rsid w:val="00716D7F"/>
    <w:rsid w:val="00717B75"/>
    <w:rsid w:val="00717ECB"/>
    <w:rsid w:val="00717FE8"/>
    <w:rsid w:val="007203E3"/>
    <w:rsid w:val="007203F0"/>
    <w:rsid w:val="00720C72"/>
    <w:rsid w:val="0072114B"/>
    <w:rsid w:val="007213E4"/>
    <w:rsid w:val="0072163E"/>
    <w:rsid w:val="00721998"/>
    <w:rsid w:val="00723F70"/>
    <w:rsid w:val="0072578A"/>
    <w:rsid w:val="00726599"/>
    <w:rsid w:val="0072662E"/>
    <w:rsid w:val="00726A7E"/>
    <w:rsid w:val="00726CE0"/>
    <w:rsid w:val="00730355"/>
    <w:rsid w:val="00730888"/>
    <w:rsid w:val="0073158E"/>
    <w:rsid w:val="0073172A"/>
    <w:rsid w:val="00732773"/>
    <w:rsid w:val="0073289F"/>
    <w:rsid w:val="00732EBC"/>
    <w:rsid w:val="0073322A"/>
    <w:rsid w:val="00733672"/>
    <w:rsid w:val="0073379C"/>
    <w:rsid w:val="00733FFC"/>
    <w:rsid w:val="0073414D"/>
    <w:rsid w:val="00734289"/>
    <w:rsid w:val="007345C7"/>
    <w:rsid w:val="00735061"/>
    <w:rsid w:val="00735263"/>
    <w:rsid w:val="00735626"/>
    <w:rsid w:val="00735C2D"/>
    <w:rsid w:val="00735E52"/>
    <w:rsid w:val="00736733"/>
    <w:rsid w:val="007371A6"/>
    <w:rsid w:val="00737264"/>
    <w:rsid w:val="00737BA6"/>
    <w:rsid w:val="007402CB"/>
    <w:rsid w:val="007409B2"/>
    <w:rsid w:val="00741510"/>
    <w:rsid w:val="007421E6"/>
    <w:rsid w:val="00743ADC"/>
    <w:rsid w:val="00743B61"/>
    <w:rsid w:val="00744416"/>
    <w:rsid w:val="00744493"/>
    <w:rsid w:val="00744C97"/>
    <w:rsid w:val="00745217"/>
    <w:rsid w:val="007462EC"/>
    <w:rsid w:val="00746589"/>
    <w:rsid w:val="0074663B"/>
    <w:rsid w:val="00747A0B"/>
    <w:rsid w:val="0075090A"/>
    <w:rsid w:val="00750B94"/>
    <w:rsid w:val="00751195"/>
    <w:rsid w:val="00751FBE"/>
    <w:rsid w:val="007522AF"/>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95B"/>
    <w:rsid w:val="00762CF0"/>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414F"/>
    <w:rsid w:val="00775F72"/>
    <w:rsid w:val="0077621A"/>
    <w:rsid w:val="007762CD"/>
    <w:rsid w:val="007768E1"/>
    <w:rsid w:val="0077713B"/>
    <w:rsid w:val="00777290"/>
    <w:rsid w:val="007777C3"/>
    <w:rsid w:val="00777CF3"/>
    <w:rsid w:val="00777F49"/>
    <w:rsid w:val="00780273"/>
    <w:rsid w:val="00780956"/>
    <w:rsid w:val="00781B85"/>
    <w:rsid w:val="0078233F"/>
    <w:rsid w:val="00782D8F"/>
    <w:rsid w:val="00782F00"/>
    <w:rsid w:val="00782FC5"/>
    <w:rsid w:val="0078357E"/>
    <w:rsid w:val="0078385A"/>
    <w:rsid w:val="007839E7"/>
    <w:rsid w:val="007841FF"/>
    <w:rsid w:val="0078458D"/>
    <w:rsid w:val="00785009"/>
    <w:rsid w:val="00785E26"/>
    <w:rsid w:val="00785EFF"/>
    <w:rsid w:val="00786545"/>
    <w:rsid w:val="00786824"/>
    <w:rsid w:val="0078724C"/>
    <w:rsid w:val="007872AD"/>
    <w:rsid w:val="007872E4"/>
    <w:rsid w:val="00787C9D"/>
    <w:rsid w:val="007906CA"/>
    <w:rsid w:val="00791503"/>
    <w:rsid w:val="00791FAF"/>
    <w:rsid w:val="00792289"/>
    <w:rsid w:val="007923AE"/>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21A0"/>
    <w:rsid w:val="007A2341"/>
    <w:rsid w:val="007A2A69"/>
    <w:rsid w:val="007A2A6F"/>
    <w:rsid w:val="007A380E"/>
    <w:rsid w:val="007A39D3"/>
    <w:rsid w:val="007A3BDD"/>
    <w:rsid w:val="007A3E4D"/>
    <w:rsid w:val="007A4385"/>
    <w:rsid w:val="007A4506"/>
    <w:rsid w:val="007A50EE"/>
    <w:rsid w:val="007A57AE"/>
    <w:rsid w:val="007A6E20"/>
    <w:rsid w:val="007A73DA"/>
    <w:rsid w:val="007A74B2"/>
    <w:rsid w:val="007B07C4"/>
    <w:rsid w:val="007B07E3"/>
    <w:rsid w:val="007B0982"/>
    <w:rsid w:val="007B0B94"/>
    <w:rsid w:val="007B11EC"/>
    <w:rsid w:val="007B1F57"/>
    <w:rsid w:val="007B2F7B"/>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76A"/>
    <w:rsid w:val="007C3E04"/>
    <w:rsid w:val="007C4A77"/>
    <w:rsid w:val="007C55BE"/>
    <w:rsid w:val="007C5AB5"/>
    <w:rsid w:val="007C766F"/>
    <w:rsid w:val="007C7AD6"/>
    <w:rsid w:val="007C7C59"/>
    <w:rsid w:val="007C7DC7"/>
    <w:rsid w:val="007D01C5"/>
    <w:rsid w:val="007D0BB9"/>
    <w:rsid w:val="007D0D62"/>
    <w:rsid w:val="007D10C0"/>
    <w:rsid w:val="007D1443"/>
    <w:rsid w:val="007D2A26"/>
    <w:rsid w:val="007D33F7"/>
    <w:rsid w:val="007D40F5"/>
    <w:rsid w:val="007D4385"/>
    <w:rsid w:val="007D46D8"/>
    <w:rsid w:val="007D4892"/>
    <w:rsid w:val="007D48E9"/>
    <w:rsid w:val="007D5207"/>
    <w:rsid w:val="007D53CB"/>
    <w:rsid w:val="007D5857"/>
    <w:rsid w:val="007D5A2E"/>
    <w:rsid w:val="007D6F86"/>
    <w:rsid w:val="007D72EB"/>
    <w:rsid w:val="007D7CD6"/>
    <w:rsid w:val="007E0F37"/>
    <w:rsid w:val="007E0F8F"/>
    <w:rsid w:val="007E317C"/>
    <w:rsid w:val="007E38F5"/>
    <w:rsid w:val="007E3DBA"/>
    <w:rsid w:val="007E3E82"/>
    <w:rsid w:val="007E44F9"/>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1FBE"/>
    <w:rsid w:val="007F20F1"/>
    <w:rsid w:val="007F219A"/>
    <w:rsid w:val="007F3F16"/>
    <w:rsid w:val="007F4981"/>
    <w:rsid w:val="007F5AA1"/>
    <w:rsid w:val="007F65DB"/>
    <w:rsid w:val="007F6761"/>
    <w:rsid w:val="007F6BC4"/>
    <w:rsid w:val="007F70D4"/>
    <w:rsid w:val="007F76B6"/>
    <w:rsid w:val="0080009A"/>
    <w:rsid w:val="00800120"/>
    <w:rsid w:val="0080073F"/>
    <w:rsid w:val="0080085D"/>
    <w:rsid w:val="00800E5E"/>
    <w:rsid w:val="00801CB1"/>
    <w:rsid w:val="00802AA7"/>
    <w:rsid w:val="00802B43"/>
    <w:rsid w:val="00802B6F"/>
    <w:rsid w:val="00803A0C"/>
    <w:rsid w:val="00803ACE"/>
    <w:rsid w:val="00805B99"/>
    <w:rsid w:val="00806A74"/>
    <w:rsid w:val="00806E9B"/>
    <w:rsid w:val="00806F6F"/>
    <w:rsid w:val="00807090"/>
    <w:rsid w:val="00807926"/>
    <w:rsid w:val="00807A15"/>
    <w:rsid w:val="00807AB5"/>
    <w:rsid w:val="008100A2"/>
    <w:rsid w:val="0081040A"/>
    <w:rsid w:val="008107F5"/>
    <w:rsid w:val="00810E30"/>
    <w:rsid w:val="00810ED7"/>
    <w:rsid w:val="00810F19"/>
    <w:rsid w:val="00812027"/>
    <w:rsid w:val="00813AEB"/>
    <w:rsid w:val="008146E1"/>
    <w:rsid w:val="00814CAD"/>
    <w:rsid w:val="00815D4E"/>
    <w:rsid w:val="00817C46"/>
    <w:rsid w:val="00817D96"/>
    <w:rsid w:val="00817F9A"/>
    <w:rsid w:val="0082093A"/>
    <w:rsid w:val="00822459"/>
    <w:rsid w:val="008227FA"/>
    <w:rsid w:val="008229A2"/>
    <w:rsid w:val="008231C0"/>
    <w:rsid w:val="00823F22"/>
    <w:rsid w:val="00824269"/>
    <w:rsid w:val="0082443D"/>
    <w:rsid w:val="00824A9E"/>
    <w:rsid w:val="00825333"/>
    <w:rsid w:val="008254DF"/>
    <w:rsid w:val="00825EA0"/>
    <w:rsid w:val="00825F58"/>
    <w:rsid w:val="008268CF"/>
    <w:rsid w:val="00826C5B"/>
    <w:rsid w:val="008270EE"/>
    <w:rsid w:val="00827497"/>
    <w:rsid w:val="00827A1F"/>
    <w:rsid w:val="0083026B"/>
    <w:rsid w:val="00830BC7"/>
    <w:rsid w:val="00831472"/>
    <w:rsid w:val="00831689"/>
    <w:rsid w:val="008329FF"/>
    <w:rsid w:val="00832ECB"/>
    <w:rsid w:val="00832F88"/>
    <w:rsid w:val="00833526"/>
    <w:rsid w:val="008340EC"/>
    <w:rsid w:val="008347FA"/>
    <w:rsid w:val="00834B47"/>
    <w:rsid w:val="00835459"/>
    <w:rsid w:val="00837C41"/>
    <w:rsid w:val="00837C92"/>
    <w:rsid w:val="00837F0F"/>
    <w:rsid w:val="00840083"/>
    <w:rsid w:val="008416E5"/>
    <w:rsid w:val="0084210C"/>
    <w:rsid w:val="00842BBA"/>
    <w:rsid w:val="00842D41"/>
    <w:rsid w:val="00842ED9"/>
    <w:rsid w:val="00843029"/>
    <w:rsid w:val="00843420"/>
    <w:rsid w:val="00843B5D"/>
    <w:rsid w:val="008447D4"/>
    <w:rsid w:val="00845029"/>
    <w:rsid w:val="0084506C"/>
    <w:rsid w:val="008454BD"/>
    <w:rsid w:val="00845692"/>
    <w:rsid w:val="008463F3"/>
    <w:rsid w:val="00846C84"/>
    <w:rsid w:val="00846D76"/>
    <w:rsid w:val="0085005F"/>
    <w:rsid w:val="0085062F"/>
    <w:rsid w:val="00850CB2"/>
    <w:rsid w:val="00851307"/>
    <w:rsid w:val="008515B1"/>
    <w:rsid w:val="008519E7"/>
    <w:rsid w:val="00852508"/>
    <w:rsid w:val="00852E5B"/>
    <w:rsid w:val="00852EAC"/>
    <w:rsid w:val="00853677"/>
    <w:rsid w:val="008536B3"/>
    <w:rsid w:val="00853ACD"/>
    <w:rsid w:val="00853ACF"/>
    <w:rsid w:val="00853F1F"/>
    <w:rsid w:val="008544D3"/>
    <w:rsid w:val="008558A1"/>
    <w:rsid w:val="0085642F"/>
    <w:rsid w:val="008573AF"/>
    <w:rsid w:val="00857645"/>
    <w:rsid w:val="00857A98"/>
    <w:rsid w:val="00857D80"/>
    <w:rsid w:val="008602FC"/>
    <w:rsid w:val="008607D5"/>
    <w:rsid w:val="00860989"/>
    <w:rsid w:val="00860CF9"/>
    <w:rsid w:val="008617FB"/>
    <w:rsid w:val="008622D3"/>
    <w:rsid w:val="0086268A"/>
    <w:rsid w:val="008639A2"/>
    <w:rsid w:val="00863BBB"/>
    <w:rsid w:val="008640FD"/>
    <w:rsid w:val="0086426C"/>
    <w:rsid w:val="0086564F"/>
    <w:rsid w:val="00865681"/>
    <w:rsid w:val="0086583F"/>
    <w:rsid w:val="00866618"/>
    <w:rsid w:val="00866658"/>
    <w:rsid w:val="008666EF"/>
    <w:rsid w:val="00867B6B"/>
    <w:rsid w:val="0087032E"/>
    <w:rsid w:val="00870AFC"/>
    <w:rsid w:val="008715CC"/>
    <w:rsid w:val="00871FB1"/>
    <w:rsid w:val="00872589"/>
    <w:rsid w:val="00872770"/>
    <w:rsid w:val="00873754"/>
    <w:rsid w:val="00873C68"/>
    <w:rsid w:val="00873CFE"/>
    <w:rsid w:val="008752FC"/>
    <w:rsid w:val="00875FA4"/>
    <w:rsid w:val="008763C8"/>
    <w:rsid w:val="00877D6E"/>
    <w:rsid w:val="00877E35"/>
    <w:rsid w:val="0088014E"/>
    <w:rsid w:val="00880BAB"/>
    <w:rsid w:val="008817FF"/>
    <w:rsid w:val="00881D3D"/>
    <w:rsid w:val="0088239C"/>
    <w:rsid w:val="00882745"/>
    <w:rsid w:val="008828F7"/>
    <w:rsid w:val="00882A65"/>
    <w:rsid w:val="00882E58"/>
    <w:rsid w:val="00882F87"/>
    <w:rsid w:val="008835B1"/>
    <w:rsid w:val="00883B3F"/>
    <w:rsid w:val="00884A5C"/>
    <w:rsid w:val="008851BE"/>
    <w:rsid w:val="008851C0"/>
    <w:rsid w:val="00885538"/>
    <w:rsid w:val="00885691"/>
    <w:rsid w:val="00885B23"/>
    <w:rsid w:val="00886188"/>
    <w:rsid w:val="00886B8C"/>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7502"/>
    <w:rsid w:val="00897855"/>
    <w:rsid w:val="008A06A1"/>
    <w:rsid w:val="008A0E63"/>
    <w:rsid w:val="008A109A"/>
    <w:rsid w:val="008A173F"/>
    <w:rsid w:val="008A1EFD"/>
    <w:rsid w:val="008A2790"/>
    <w:rsid w:val="008A2C5D"/>
    <w:rsid w:val="008A3C32"/>
    <w:rsid w:val="008A3D8A"/>
    <w:rsid w:val="008A40AB"/>
    <w:rsid w:val="008A4F57"/>
    <w:rsid w:val="008A52CE"/>
    <w:rsid w:val="008A574C"/>
    <w:rsid w:val="008A6A25"/>
    <w:rsid w:val="008B0BA7"/>
    <w:rsid w:val="008B1D09"/>
    <w:rsid w:val="008B1E06"/>
    <w:rsid w:val="008B1F77"/>
    <w:rsid w:val="008B20A4"/>
    <w:rsid w:val="008B284C"/>
    <w:rsid w:val="008B2EF5"/>
    <w:rsid w:val="008B2F1A"/>
    <w:rsid w:val="008B31AD"/>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771"/>
    <w:rsid w:val="008C0845"/>
    <w:rsid w:val="008C1715"/>
    <w:rsid w:val="008C1779"/>
    <w:rsid w:val="008C1DC1"/>
    <w:rsid w:val="008C28B3"/>
    <w:rsid w:val="008C3591"/>
    <w:rsid w:val="008C3A88"/>
    <w:rsid w:val="008C3AC1"/>
    <w:rsid w:val="008C4EB8"/>
    <w:rsid w:val="008C61B0"/>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716"/>
    <w:rsid w:val="008D6847"/>
    <w:rsid w:val="008D6968"/>
    <w:rsid w:val="008D6C68"/>
    <w:rsid w:val="008D71F3"/>
    <w:rsid w:val="008D7AFD"/>
    <w:rsid w:val="008D7E3E"/>
    <w:rsid w:val="008D7EA6"/>
    <w:rsid w:val="008E0029"/>
    <w:rsid w:val="008E01BA"/>
    <w:rsid w:val="008E0219"/>
    <w:rsid w:val="008E09CD"/>
    <w:rsid w:val="008E0C73"/>
    <w:rsid w:val="008E0DE2"/>
    <w:rsid w:val="008E1746"/>
    <w:rsid w:val="008E1CA4"/>
    <w:rsid w:val="008E2BCC"/>
    <w:rsid w:val="008E5A4E"/>
    <w:rsid w:val="008E6A58"/>
    <w:rsid w:val="008E6D37"/>
    <w:rsid w:val="008E6F6B"/>
    <w:rsid w:val="008E7155"/>
    <w:rsid w:val="008E71FB"/>
    <w:rsid w:val="008E7365"/>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5483"/>
    <w:rsid w:val="008F6060"/>
    <w:rsid w:val="008F6426"/>
    <w:rsid w:val="008F6B8B"/>
    <w:rsid w:val="008F77B4"/>
    <w:rsid w:val="00900B52"/>
    <w:rsid w:val="00900C3B"/>
    <w:rsid w:val="0090146E"/>
    <w:rsid w:val="00901DE1"/>
    <w:rsid w:val="00901E4D"/>
    <w:rsid w:val="00901F1F"/>
    <w:rsid w:val="00902957"/>
    <w:rsid w:val="00902C22"/>
    <w:rsid w:val="00903424"/>
    <w:rsid w:val="00903553"/>
    <w:rsid w:val="00903D84"/>
    <w:rsid w:val="00904206"/>
    <w:rsid w:val="009042F1"/>
    <w:rsid w:val="00905456"/>
    <w:rsid w:val="0090621C"/>
    <w:rsid w:val="00906618"/>
    <w:rsid w:val="00906C4A"/>
    <w:rsid w:val="00907C2A"/>
    <w:rsid w:val="00907E7C"/>
    <w:rsid w:val="00910866"/>
    <w:rsid w:val="009110AD"/>
    <w:rsid w:val="009111CC"/>
    <w:rsid w:val="009114FF"/>
    <w:rsid w:val="00911888"/>
    <w:rsid w:val="00911A79"/>
    <w:rsid w:val="00911D8B"/>
    <w:rsid w:val="009127CC"/>
    <w:rsid w:val="00914719"/>
    <w:rsid w:val="009158B9"/>
    <w:rsid w:val="00915FE3"/>
    <w:rsid w:val="0091620A"/>
    <w:rsid w:val="00916863"/>
    <w:rsid w:val="00917458"/>
    <w:rsid w:val="0092096D"/>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AD7"/>
    <w:rsid w:val="00932E71"/>
    <w:rsid w:val="00934640"/>
    <w:rsid w:val="009352C5"/>
    <w:rsid w:val="00935534"/>
    <w:rsid w:val="0093562F"/>
    <w:rsid w:val="00935F61"/>
    <w:rsid w:val="009360BB"/>
    <w:rsid w:val="00936B1F"/>
    <w:rsid w:val="009379F0"/>
    <w:rsid w:val="00937A67"/>
    <w:rsid w:val="00937E05"/>
    <w:rsid w:val="00942B2E"/>
    <w:rsid w:val="00943238"/>
    <w:rsid w:val="00943CFE"/>
    <w:rsid w:val="00943E5A"/>
    <w:rsid w:val="00943F96"/>
    <w:rsid w:val="00943FA2"/>
    <w:rsid w:val="0094494D"/>
    <w:rsid w:val="00944A1C"/>
    <w:rsid w:val="00944E59"/>
    <w:rsid w:val="00945225"/>
    <w:rsid w:val="00945401"/>
    <w:rsid w:val="009459F4"/>
    <w:rsid w:val="00945ABE"/>
    <w:rsid w:val="00945E58"/>
    <w:rsid w:val="00946127"/>
    <w:rsid w:val="00946907"/>
    <w:rsid w:val="00950CAE"/>
    <w:rsid w:val="009512EC"/>
    <w:rsid w:val="00951590"/>
    <w:rsid w:val="009519A8"/>
    <w:rsid w:val="00952499"/>
    <w:rsid w:val="00952833"/>
    <w:rsid w:val="0095315A"/>
    <w:rsid w:val="009534DD"/>
    <w:rsid w:val="0095356B"/>
    <w:rsid w:val="009535C2"/>
    <w:rsid w:val="00953A73"/>
    <w:rsid w:val="00954926"/>
    <w:rsid w:val="00954CCA"/>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3BEC"/>
    <w:rsid w:val="00963DA6"/>
    <w:rsid w:val="00964475"/>
    <w:rsid w:val="0096456D"/>
    <w:rsid w:val="00964671"/>
    <w:rsid w:val="00964A6E"/>
    <w:rsid w:val="00964FB4"/>
    <w:rsid w:val="00965084"/>
    <w:rsid w:val="0096516C"/>
    <w:rsid w:val="009666BD"/>
    <w:rsid w:val="0096670E"/>
    <w:rsid w:val="00966BFB"/>
    <w:rsid w:val="00967CDA"/>
    <w:rsid w:val="00970048"/>
    <w:rsid w:val="009701AF"/>
    <w:rsid w:val="00971831"/>
    <w:rsid w:val="00971B50"/>
    <w:rsid w:val="0097216D"/>
    <w:rsid w:val="00972C88"/>
    <w:rsid w:val="00972D8F"/>
    <w:rsid w:val="0097396E"/>
    <w:rsid w:val="00973C2B"/>
    <w:rsid w:val="0097437B"/>
    <w:rsid w:val="0097441E"/>
    <w:rsid w:val="00974D0B"/>
    <w:rsid w:val="0097529C"/>
    <w:rsid w:val="00975FB0"/>
    <w:rsid w:val="009762C7"/>
    <w:rsid w:val="0097670F"/>
    <w:rsid w:val="00976C61"/>
    <w:rsid w:val="009776B1"/>
    <w:rsid w:val="00977E1E"/>
    <w:rsid w:val="00977FB9"/>
    <w:rsid w:val="009803EC"/>
    <w:rsid w:val="00981215"/>
    <w:rsid w:val="009812FC"/>
    <w:rsid w:val="009813BF"/>
    <w:rsid w:val="009819CD"/>
    <w:rsid w:val="00982C0D"/>
    <w:rsid w:val="009832E2"/>
    <w:rsid w:val="00983D98"/>
    <w:rsid w:val="00983F22"/>
    <w:rsid w:val="009844B4"/>
    <w:rsid w:val="0098453B"/>
    <w:rsid w:val="00984D82"/>
    <w:rsid w:val="0098572B"/>
    <w:rsid w:val="00985B5E"/>
    <w:rsid w:val="00985CDA"/>
    <w:rsid w:val="0098603A"/>
    <w:rsid w:val="00986137"/>
    <w:rsid w:val="00986B96"/>
    <w:rsid w:val="0098740B"/>
    <w:rsid w:val="009875F6"/>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971E5"/>
    <w:rsid w:val="009A0208"/>
    <w:rsid w:val="009A09C0"/>
    <w:rsid w:val="009A0B05"/>
    <w:rsid w:val="009A163C"/>
    <w:rsid w:val="009A1B80"/>
    <w:rsid w:val="009A21EE"/>
    <w:rsid w:val="009A253B"/>
    <w:rsid w:val="009A3C6E"/>
    <w:rsid w:val="009A59C6"/>
    <w:rsid w:val="009A640C"/>
    <w:rsid w:val="009A6A04"/>
    <w:rsid w:val="009A6A34"/>
    <w:rsid w:val="009A6FB1"/>
    <w:rsid w:val="009A78A6"/>
    <w:rsid w:val="009B01AE"/>
    <w:rsid w:val="009B04F2"/>
    <w:rsid w:val="009B0A43"/>
    <w:rsid w:val="009B0DBE"/>
    <w:rsid w:val="009B123D"/>
    <w:rsid w:val="009B1C1B"/>
    <w:rsid w:val="009B1E55"/>
    <w:rsid w:val="009B1EB7"/>
    <w:rsid w:val="009B35BF"/>
    <w:rsid w:val="009B3BFA"/>
    <w:rsid w:val="009B4B37"/>
    <w:rsid w:val="009B4C3E"/>
    <w:rsid w:val="009B4D2F"/>
    <w:rsid w:val="009B5038"/>
    <w:rsid w:val="009B56BE"/>
    <w:rsid w:val="009B573C"/>
    <w:rsid w:val="009B6E0F"/>
    <w:rsid w:val="009B6FC0"/>
    <w:rsid w:val="009B7356"/>
    <w:rsid w:val="009B7A8A"/>
    <w:rsid w:val="009C099B"/>
    <w:rsid w:val="009C0B86"/>
    <w:rsid w:val="009C1604"/>
    <w:rsid w:val="009C1ADB"/>
    <w:rsid w:val="009C3452"/>
    <w:rsid w:val="009C37BF"/>
    <w:rsid w:val="009C398A"/>
    <w:rsid w:val="009C4676"/>
    <w:rsid w:val="009C5C73"/>
    <w:rsid w:val="009C5FC3"/>
    <w:rsid w:val="009C6002"/>
    <w:rsid w:val="009C60E9"/>
    <w:rsid w:val="009C6629"/>
    <w:rsid w:val="009C758C"/>
    <w:rsid w:val="009C7896"/>
    <w:rsid w:val="009D0530"/>
    <w:rsid w:val="009D0C23"/>
    <w:rsid w:val="009D0CF4"/>
    <w:rsid w:val="009D0D52"/>
    <w:rsid w:val="009D140A"/>
    <w:rsid w:val="009D1A74"/>
    <w:rsid w:val="009D2988"/>
    <w:rsid w:val="009D2B87"/>
    <w:rsid w:val="009D3160"/>
    <w:rsid w:val="009D39E1"/>
    <w:rsid w:val="009D3D90"/>
    <w:rsid w:val="009D43C4"/>
    <w:rsid w:val="009D49DF"/>
    <w:rsid w:val="009D4C5D"/>
    <w:rsid w:val="009D645F"/>
    <w:rsid w:val="009D6D3F"/>
    <w:rsid w:val="009D7410"/>
    <w:rsid w:val="009D7601"/>
    <w:rsid w:val="009D7622"/>
    <w:rsid w:val="009E005F"/>
    <w:rsid w:val="009E0692"/>
    <w:rsid w:val="009E075E"/>
    <w:rsid w:val="009E07D6"/>
    <w:rsid w:val="009E0984"/>
    <w:rsid w:val="009E1908"/>
    <w:rsid w:val="009E2463"/>
    <w:rsid w:val="009E2B4C"/>
    <w:rsid w:val="009E2C55"/>
    <w:rsid w:val="009E2E3F"/>
    <w:rsid w:val="009E2FAC"/>
    <w:rsid w:val="009E3197"/>
    <w:rsid w:val="009E44A4"/>
    <w:rsid w:val="009E4A34"/>
    <w:rsid w:val="009E4E3B"/>
    <w:rsid w:val="009E59F4"/>
    <w:rsid w:val="009E5A45"/>
    <w:rsid w:val="009E6113"/>
    <w:rsid w:val="009E61B0"/>
    <w:rsid w:val="009E63F0"/>
    <w:rsid w:val="009E6B44"/>
    <w:rsid w:val="009E7BCD"/>
    <w:rsid w:val="009F012F"/>
    <w:rsid w:val="009F016E"/>
    <w:rsid w:val="009F05AC"/>
    <w:rsid w:val="009F086C"/>
    <w:rsid w:val="009F1443"/>
    <w:rsid w:val="009F14F3"/>
    <w:rsid w:val="009F1544"/>
    <w:rsid w:val="009F1778"/>
    <w:rsid w:val="009F1EEE"/>
    <w:rsid w:val="009F239C"/>
    <w:rsid w:val="009F2545"/>
    <w:rsid w:val="009F2E88"/>
    <w:rsid w:val="009F3B6F"/>
    <w:rsid w:val="009F4825"/>
    <w:rsid w:val="009F49FF"/>
    <w:rsid w:val="009F5B77"/>
    <w:rsid w:val="009F5CE6"/>
    <w:rsid w:val="009F60E0"/>
    <w:rsid w:val="009F6125"/>
    <w:rsid w:val="009F68A3"/>
    <w:rsid w:val="009F6B75"/>
    <w:rsid w:val="009F6C90"/>
    <w:rsid w:val="009F74DB"/>
    <w:rsid w:val="009F77DF"/>
    <w:rsid w:val="009F7813"/>
    <w:rsid w:val="009F78B6"/>
    <w:rsid w:val="00A00221"/>
    <w:rsid w:val="00A00437"/>
    <w:rsid w:val="00A00AB9"/>
    <w:rsid w:val="00A00DDA"/>
    <w:rsid w:val="00A00F40"/>
    <w:rsid w:val="00A01057"/>
    <w:rsid w:val="00A01385"/>
    <w:rsid w:val="00A01B9D"/>
    <w:rsid w:val="00A02C0A"/>
    <w:rsid w:val="00A03652"/>
    <w:rsid w:val="00A036E4"/>
    <w:rsid w:val="00A03A2A"/>
    <w:rsid w:val="00A03D17"/>
    <w:rsid w:val="00A0480E"/>
    <w:rsid w:val="00A04844"/>
    <w:rsid w:val="00A05064"/>
    <w:rsid w:val="00A05EC4"/>
    <w:rsid w:val="00A064E2"/>
    <w:rsid w:val="00A06ED8"/>
    <w:rsid w:val="00A072E0"/>
    <w:rsid w:val="00A07570"/>
    <w:rsid w:val="00A10103"/>
    <w:rsid w:val="00A104EC"/>
    <w:rsid w:val="00A11137"/>
    <w:rsid w:val="00A111EA"/>
    <w:rsid w:val="00A1135E"/>
    <w:rsid w:val="00A11447"/>
    <w:rsid w:val="00A11B67"/>
    <w:rsid w:val="00A11DEE"/>
    <w:rsid w:val="00A12996"/>
    <w:rsid w:val="00A12B28"/>
    <w:rsid w:val="00A12F3C"/>
    <w:rsid w:val="00A13EAB"/>
    <w:rsid w:val="00A143DD"/>
    <w:rsid w:val="00A162DF"/>
    <w:rsid w:val="00A16324"/>
    <w:rsid w:val="00A17013"/>
    <w:rsid w:val="00A175C6"/>
    <w:rsid w:val="00A178DD"/>
    <w:rsid w:val="00A17AF1"/>
    <w:rsid w:val="00A17B4D"/>
    <w:rsid w:val="00A17B91"/>
    <w:rsid w:val="00A20220"/>
    <w:rsid w:val="00A20CAE"/>
    <w:rsid w:val="00A21440"/>
    <w:rsid w:val="00A216BF"/>
    <w:rsid w:val="00A21A99"/>
    <w:rsid w:val="00A21C7C"/>
    <w:rsid w:val="00A22E21"/>
    <w:rsid w:val="00A23269"/>
    <w:rsid w:val="00A23C9F"/>
    <w:rsid w:val="00A23F95"/>
    <w:rsid w:val="00A25993"/>
    <w:rsid w:val="00A25E6E"/>
    <w:rsid w:val="00A26462"/>
    <w:rsid w:val="00A265C3"/>
    <w:rsid w:val="00A26700"/>
    <w:rsid w:val="00A26B21"/>
    <w:rsid w:val="00A274E2"/>
    <w:rsid w:val="00A30B97"/>
    <w:rsid w:val="00A30BDB"/>
    <w:rsid w:val="00A31193"/>
    <w:rsid w:val="00A312FC"/>
    <w:rsid w:val="00A31B99"/>
    <w:rsid w:val="00A31DCA"/>
    <w:rsid w:val="00A31F9A"/>
    <w:rsid w:val="00A3288D"/>
    <w:rsid w:val="00A32CA4"/>
    <w:rsid w:val="00A3307A"/>
    <w:rsid w:val="00A3330E"/>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46B1"/>
    <w:rsid w:val="00A465E9"/>
    <w:rsid w:val="00A46A4B"/>
    <w:rsid w:val="00A47774"/>
    <w:rsid w:val="00A47BC1"/>
    <w:rsid w:val="00A50899"/>
    <w:rsid w:val="00A512A2"/>
    <w:rsid w:val="00A5216F"/>
    <w:rsid w:val="00A52195"/>
    <w:rsid w:val="00A52254"/>
    <w:rsid w:val="00A52401"/>
    <w:rsid w:val="00A5287D"/>
    <w:rsid w:val="00A539C0"/>
    <w:rsid w:val="00A550F7"/>
    <w:rsid w:val="00A55346"/>
    <w:rsid w:val="00A55E33"/>
    <w:rsid w:val="00A562BE"/>
    <w:rsid w:val="00A56A4F"/>
    <w:rsid w:val="00A56DDE"/>
    <w:rsid w:val="00A5787F"/>
    <w:rsid w:val="00A57E73"/>
    <w:rsid w:val="00A60436"/>
    <w:rsid w:val="00A607D9"/>
    <w:rsid w:val="00A60C3A"/>
    <w:rsid w:val="00A621B7"/>
    <w:rsid w:val="00A63037"/>
    <w:rsid w:val="00A6323E"/>
    <w:rsid w:val="00A637A2"/>
    <w:rsid w:val="00A63AF3"/>
    <w:rsid w:val="00A6419E"/>
    <w:rsid w:val="00A64E8C"/>
    <w:rsid w:val="00A64EF8"/>
    <w:rsid w:val="00A65E01"/>
    <w:rsid w:val="00A664B6"/>
    <w:rsid w:val="00A6677B"/>
    <w:rsid w:val="00A6771B"/>
    <w:rsid w:val="00A67D1C"/>
    <w:rsid w:val="00A710AC"/>
    <w:rsid w:val="00A717AD"/>
    <w:rsid w:val="00A7186E"/>
    <w:rsid w:val="00A71FC9"/>
    <w:rsid w:val="00A725DB"/>
    <w:rsid w:val="00A72D61"/>
    <w:rsid w:val="00A73738"/>
    <w:rsid w:val="00A73D7C"/>
    <w:rsid w:val="00A73E8F"/>
    <w:rsid w:val="00A744E5"/>
    <w:rsid w:val="00A747DC"/>
    <w:rsid w:val="00A74D4E"/>
    <w:rsid w:val="00A7511E"/>
    <w:rsid w:val="00A753BD"/>
    <w:rsid w:val="00A761EE"/>
    <w:rsid w:val="00A76B33"/>
    <w:rsid w:val="00A77933"/>
    <w:rsid w:val="00A77F98"/>
    <w:rsid w:val="00A80813"/>
    <w:rsid w:val="00A80EA4"/>
    <w:rsid w:val="00A81446"/>
    <w:rsid w:val="00A819BA"/>
    <w:rsid w:val="00A819DD"/>
    <w:rsid w:val="00A81C95"/>
    <w:rsid w:val="00A8364D"/>
    <w:rsid w:val="00A83A16"/>
    <w:rsid w:val="00A83CA5"/>
    <w:rsid w:val="00A84336"/>
    <w:rsid w:val="00A84863"/>
    <w:rsid w:val="00A84EBD"/>
    <w:rsid w:val="00A84EDD"/>
    <w:rsid w:val="00A84F34"/>
    <w:rsid w:val="00A850D0"/>
    <w:rsid w:val="00A85382"/>
    <w:rsid w:val="00A8620E"/>
    <w:rsid w:val="00A864E9"/>
    <w:rsid w:val="00A86CC9"/>
    <w:rsid w:val="00A86EAC"/>
    <w:rsid w:val="00A87906"/>
    <w:rsid w:val="00A87958"/>
    <w:rsid w:val="00A87CBB"/>
    <w:rsid w:val="00A87E9E"/>
    <w:rsid w:val="00A901BE"/>
    <w:rsid w:val="00A904E2"/>
    <w:rsid w:val="00A90D2E"/>
    <w:rsid w:val="00A912E7"/>
    <w:rsid w:val="00A915A0"/>
    <w:rsid w:val="00A91965"/>
    <w:rsid w:val="00A91E09"/>
    <w:rsid w:val="00A91E97"/>
    <w:rsid w:val="00A92BCF"/>
    <w:rsid w:val="00A93095"/>
    <w:rsid w:val="00A93246"/>
    <w:rsid w:val="00A93456"/>
    <w:rsid w:val="00A940BD"/>
    <w:rsid w:val="00A9479E"/>
    <w:rsid w:val="00A958FD"/>
    <w:rsid w:val="00A96085"/>
    <w:rsid w:val="00A96424"/>
    <w:rsid w:val="00A97744"/>
    <w:rsid w:val="00AA009D"/>
    <w:rsid w:val="00AA19A6"/>
    <w:rsid w:val="00AA1AED"/>
    <w:rsid w:val="00AA20B1"/>
    <w:rsid w:val="00AA262E"/>
    <w:rsid w:val="00AA2C89"/>
    <w:rsid w:val="00AA3233"/>
    <w:rsid w:val="00AA33FB"/>
    <w:rsid w:val="00AA3442"/>
    <w:rsid w:val="00AA3451"/>
    <w:rsid w:val="00AA3915"/>
    <w:rsid w:val="00AA43BD"/>
    <w:rsid w:val="00AA46E6"/>
    <w:rsid w:val="00AA48C1"/>
    <w:rsid w:val="00AA5ADB"/>
    <w:rsid w:val="00AA604E"/>
    <w:rsid w:val="00AA60A4"/>
    <w:rsid w:val="00AA6240"/>
    <w:rsid w:val="00AA6C66"/>
    <w:rsid w:val="00AA73A8"/>
    <w:rsid w:val="00AA7827"/>
    <w:rsid w:val="00AA7DBA"/>
    <w:rsid w:val="00AB006F"/>
    <w:rsid w:val="00AB0AFE"/>
    <w:rsid w:val="00AB0EA2"/>
    <w:rsid w:val="00AB1A9F"/>
    <w:rsid w:val="00AB1E04"/>
    <w:rsid w:val="00AB29BA"/>
    <w:rsid w:val="00AB3037"/>
    <w:rsid w:val="00AB3184"/>
    <w:rsid w:val="00AB33F9"/>
    <w:rsid w:val="00AB3534"/>
    <w:rsid w:val="00AB3CEC"/>
    <w:rsid w:val="00AB3E8B"/>
    <w:rsid w:val="00AB4AFF"/>
    <w:rsid w:val="00AB537C"/>
    <w:rsid w:val="00AB5887"/>
    <w:rsid w:val="00AB5B81"/>
    <w:rsid w:val="00AB5C13"/>
    <w:rsid w:val="00AB5D24"/>
    <w:rsid w:val="00AB64E5"/>
    <w:rsid w:val="00AB6C31"/>
    <w:rsid w:val="00AB7213"/>
    <w:rsid w:val="00AB7442"/>
    <w:rsid w:val="00AB76D7"/>
    <w:rsid w:val="00AB7900"/>
    <w:rsid w:val="00AB7B70"/>
    <w:rsid w:val="00AC0846"/>
    <w:rsid w:val="00AC1226"/>
    <w:rsid w:val="00AC1686"/>
    <w:rsid w:val="00AC179A"/>
    <w:rsid w:val="00AC242E"/>
    <w:rsid w:val="00AC24F6"/>
    <w:rsid w:val="00AC2875"/>
    <w:rsid w:val="00AC299E"/>
    <w:rsid w:val="00AC2DD1"/>
    <w:rsid w:val="00AC32B1"/>
    <w:rsid w:val="00AC4647"/>
    <w:rsid w:val="00AC5C6A"/>
    <w:rsid w:val="00AC65AF"/>
    <w:rsid w:val="00AC679D"/>
    <w:rsid w:val="00AC7052"/>
    <w:rsid w:val="00AC7703"/>
    <w:rsid w:val="00AC7AB4"/>
    <w:rsid w:val="00AC7E57"/>
    <w:rsid w:val="00AC7E75"/>
    <w:rsid w:val="00AD0558"/>
    <w:rsid w:val="00AD0958"/>
    <w:rsid w:val="00AD10E5"/>
    <w:rsid w:val="00AD1592"/>
    <w:rsid w:val="00AD1FF4"/>
    <w:rsid w:val="00AD23CC"/>
    <w:rsid w:val="00AD31EC"/>
    <w:rsid w:val="00AD339F"/>
    <w:rsid w:val="00AD35A4"/>
    <w:rsid w:val="00AD37F0"/>
    <w:rsid w:val="00AD3C2A"/>
    <w:rsid w:val="00AD3E6B"/>
    <w:rsid w:val="00AD4379"/>
    <w:rsid w:val="00AD44D9"/>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F47"/>
    <w:rsid w:val="00AE638C"/>
    <w:rsid w:val="00AE6873"/>
    <w:rsid w:val="00AE6D21"/>
    <w:rsid w:val="00AE7F9B"/>
    <w:rsid w:val="00AF0F0A"/>
    <w:rsid w:val="00AF1434"/>
    <w:rsid w:val="00AF1DE2"/>
    <w:rsid w:val="00AF2806"/>
    <w:rsid w:val="00AF31A2"/>
    <w:rsid w:val="00AF377A"/>
    <w:rsid w:val="00AF3C6E"/>
    <w:rsid w:val="00AF406C"/>
    <w:rsid w:val="00AF428A"/>
    <w:rsid w:val="00AF498E"/>
    <w:rsid w:val="00AF4AF0"/>
    <w:rsid w:val="00AF4E90"/>
    <w:rsid w:val="00AF5912"/>
    <w:rsid w:val="00AF5D8B"/>
    <w:rsid w:val="00AF63E5"/>
    <w:rsid w:val="00AF691A"/>
    <w:rsid w:val="00AF7341"/>
    <w:rsid w:val="00B0063B"/>
    <w:rsid w:val="00B00F17"/>
    <w:rsid w:val="00B00FC3"/>
    <w:rsid w:val="00B01DB9"/>
    <w:rsid w:val="00B01E36"/>
    <w:rsid w:val="00B01E94"/>
    <w:rsid w:val="00B01FE5"/>
    <w:rsid w:val="00B02019"/>
    <w:rsid w:val="00B0234A"/>
    <w:rsid w:val="00B036AC"/>
    <w:rsid w:val="00B04C10"/>
    <w:rsid w:val="00B0575B"/>
    <w:rsid w:val="00B05FCA"/>
    <w:rsid w:val="00B068E4"/>
    <w:rsid w:val="00B068FF"/>
    <w:rsid w:val="00B06960"/>
    <w:rsid w:val="00B06E84"/>
    <w:rsid w:val="00B115ED"/>
    <w:rsid w:val="00B117CB"/>
    <w:rsid w:val="00B117D7"/>
    <w:rsid w:val="00B12121"/>
    <w:rsid w:val="00B1217E"/>
    <w:rsid w:val="00B12732"/>
    <w:rsid w:val="00B13785"/>
    <w:rsid w:val="00B13B8E"/>
    <w:rsid w:val="00B142E0"/>
    <w:rsid w:val="00B14E3F"/>
    <w:rsid w:val="00B15237"/>
    <w:rsid w:val="00B15293"/>
    <w:rsid w:val="00B16423"/>
    <w:rsid w:val="00B17198"/>
    <w:rsid w:val="00B20FA4"/>
    <w:rsid w:val="00B2196F"/>
    <w:rsid w:val="00B231BC"/>
    <w:rsid w:val="00B23573"/>
    <w:rsid w:val="00B23ABE"/>
    <w:rsid w:val="00B23B67"/>
    <w:rsid w:val="00B24B78"/>
    <w:rsid w:val="00B253CC"/>
    <w:rsid w:val="00B26797"/>
    <w:rsid w:val="00B26C98"/>
    <w:rsid w:val="00B26E4F"/>
    <w:rsid w:val="00B271E8"/>
    <w:rsid w:val="00B2748E"/>
    <w:rsid w:val="00B275D8"/>
    <w:rsid w:val="00B27AC3"/>
    <w:rsid w:val="00B30BFE"/>
    <w:rsid w:val="00B313F6"/>
    <w:rsid w:val="00B31C86"/>
    <w:rsid w:val="00B32506"/>
    <w:rsid w:val="00B32CD4"/>
    <w:rsid w:val="00B32F66"/>
    <w:rsid w:val="00B33678"/>
    <w:rsid w:val="00B337CA"/>
    <w:rsid w:val="00B33DDF"/>
    <w:rsid w:val="00B33E80"/>
    <w:rsid w:val="00B33FD6"/>
    <w:rsid w:val="00B343CF"/>
    <w:rsid w:val="00B34AFD"/>
    <w:rsid w:val="00B3512D"/>
    <w:rsid w:val="00B354E2"/>
    <w:rsid w:val="00B358C1"/>
    <w:rsid w:val="00B35DD5"/>
    <w:rsid w:val="00B362F5"/>
    <w:rsid w:val="00B36705"/>
    <w:rsid w:val="00B37073"/>
    <w:rsid w:val="00B37F97"/>
    <w:rsid w:val="00B40037"/>
    <w:rsid w:val="00B403F2"/>
    <w:rsid w:val="00B40522"/>
    <w:rsid w:val="00B41861"/>
    <w:rsid w:val="00B41A1A"/>
    <w:rsid w:val="00B42107"/>
    <w:rsid w:val="00B42370"/>
    <w:rsid w:val="00B43EF8"/>
    <w:rsid w:val="00B440D1"/>
    <w:rsid w:val="00B44A28"/>
    <w:rsid w:val="00B4527C"/>
    <w:rsid w:val="00B453BC"/>
    <w:rsid w:val="00B457F9"/>
    <w:rsid w:val="00B45BBA"/>
    <w:rsid w:val="00B45DF9"/>
    <w:rsid w:val="00B462D8"/>
    <w:rsid w:val="00B46347"/>
    <w:rsid w:val="00B46444"/>
    <w:rsid w:val="00B47375"/>
    <w:rsid w:val="00B4762E"/>
    <w:rsid w:val="00B4766C"/>
    <w:rsid w:val="00B500DD"/>
    <w:rsid w:val="00B507E3"/>
    <w:rsid w:val="00B520DE"/>
    <w:rsid w:val="00B52EAD"/>
    <w:rsid w:val="00B52F36"/>
    <w:rsid w:val="00B5474A"/>
    <w:rsid w:val="00B54B97"/>
    <w:rsid w:val="00B55825"/>
    <w:rsid w:val="00B55E9E"/>
    <w:rsid w:val="00B571CA"/>
    <w:rsid w:val="00B57320"/>
    <w:rsid w:val="00B57321"/>
    <w:rsid w:val="00B574FC"/>
    <w:rsid w:val="00B577AE"/>
    <w:rsid w:val="00B600F2"/>
    <w:rsid w:val="00B60E24"/>
    <w:rsid w:val="00B61068"/>
    <w:rsid w:val="00B6118D"/>
    <w:rsid w:val="00B636FD"/>
    <w:rsid w:val="00B65A9D"/>
    <w:rsid w:val="00B674BE"/>
    <w:rsid w:val="00B67A5D"/>
    <w:rsid w:val="00B67BF5"/>
    <w:rsid w:val="00B70240"/>
    <w:rsid w:val="00B706E0"/>
    <w:rsid w:val="00B70E68"/>
    <w:rsid w:val="00B71BEA"/>
    <w:rsid w:val="00B71D0E"/>
    <w:rsid w:val="00B71D2A"/>
    <w:rsid w:val="00B71D57"/>
    <w:rsid w:val="00B72616"/>
    <w:rsid w:val="00B72CAF"/>
    <w:rsid w:val="00B7351F"/>
    <w:rsid w:val="00B73E32"/>
    <w:rsid w:val="00B743DF"/>
    <w:rsid w:val="00B74B6F"/>
    <w:rsid w:val="00B752A3"/>
    <w:rsid w:val="00B75604"/>
    <w:rsid w:val="00B75640"/>
    <w:rsid w:val="00B75690"/>
    <w:rsid w:val="00B75B01"/>
    <w:rsid w:val="00B76191"/>
    <w:rsid w:val="00B77355"/>
    <w:rsid w:val="00B77C74"/>
    <w:rsid w:val="00B77E94"/>
    <w:rsid w:val="00B80265"/>
    <w:rsid w:val="00B80321"/>
    <w:rsid w:val="00B805B9"/>
    <w:rsid w:val="00B81361"/>
    <w:rsid w:val="00B8186C"/>
    <w:rsid w:val="00B85FC8"/>
    <w:rsid w:val="00B863E7"/>
    <w:rsid w:val="00B8778B"/>
    <w:rsid w:val="00B9031C"/>
    <w:rsid w:val="00B90653"/>
    <w:rsid w:val="00B90BB3"/>
    <w:rsid w:val="00B91035"/>
    <w:rsid w:val="00B925DB"/>
    <w:rsid w:val="00B92805"/>
    <w:rsid w:val="00B92CAE"/>
    <w:rsid w:val="00B9333B"/>
    <w:rsid w:val="00B93823"/>
    <w:rsid w:val="00B938E4"/>
    <w:rsid w:val="00B93E85"/>
    <w:rsid w:val="00B947BF"/>
    <w:rsid w:val="00B94BC1"/>
    <w:rsid w:val="00B94E55"/>
    <w:rsid w:val="00B94F87"/>
    <w:rsid w:val="00B951C1"/>
    <w:rsid w:val="00B9556E"/>
    <w:rsid w:val="00B95B14"/>
    <w:rsid w:val="00B95DC7"/>
    <w:rsid w:val="00B96C53"/>
    <w:rsid w:val="00B970C4"/>
    <w:rsid w:val="00B975CF"/>
    <w:rsid w:val="00B97A1E"/>
    <w:rsid w:val="00B97C2D"/>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006"/>
    <w:rsid w:val="00BB51DC"/>
    <w:rsid w:val="00BB5776"/>
    <w:rsid w:val="00BB5B56"/>
    <w:rsid w:val="00BB6172"/>
    <w:rsid w:val="00BB66AB"/>
    <w:rsid w:val="00BB6853"/>
    <w:rsid w:val="00BB6B0B"/>
    <w:rsid w:val="00BB6C0B"/>
    <w:rsid w:val="00BB6DEB"/>
    <w:rsid w:val="00BB6F1C"/>
    <w:rsid w:val="00BB772D"/>
    <w:rsid w:val="00BB7DA0"/>
    <w:rsid w:val="00BB7EAC"/>
    <w:rsid w:val="00BC091B"/>
    <w:rsid w:val="00BC13E1"/>
    <w:rsid w:val="00BC1B11"/>
    <w:rsid w:val="00BC1DC6"/>
    <w:rsid w:val="00BC23C0"/>
    <w:rsid w:val="00BC265B"/>
    <w:rsid w:val="00BC265E"/>
    <w:rsid w:val="00BC2978"/>
    <w:rsid w:val="00BC3563"/>
    <w:rsid w:val="00BC3677"/>
    <w:rsid w:val="00BC4910"/>
    <w:rsid w:val="00BC5C51"/>
    <w:rsid w:val="00BC60E1"/>
    <w:rsid w:val="00BC6794"/>
    <w:rsid w:val="00BC730B"/>
    <w:rsid w:val="00BC7C23"/>
    <w:rsid w:val="00BD0750"/>
    <w:rsid w:val="00BD0E33"/>
    <w:rsid w:val="00BD1D83"/>
    <w:rsid w:val="00BD233F"/>
    <w:rsid w:val="00BD35F1"/>
    <w:rsid w:val="00BD37BA"/>
    <w:rsid w:val="00BD383C"/>
    <w:rsid w:val="00BD45DA"/>
    <w:rsid w:val="00BD4720"/>
    <w:rsid w:val="00BD4CCC"/>
    <w:rsid w:val="00BD5CA3"/>
    <w:rsid w:val="00BD601C"/>
    <w:rsid w:val="00BD70AE"/>
    <w:rsid w:val="00BD7645"/>
    <w:rsid w:val="00BE0DCB"/>
    <w:rsid w:val="00BE1859"/>
    <w:rsid w:val="00BE24E9"/>
    <w:rsid w:val="00BE2CF2"/>
    <w:rsid w:val="00BE2D0C"/>
    <w:rsid w:val="00BE538C"/>
    <w:rsid w:val="00BE5CC6"/>
    <w:rsid w:val="00BE6339"/>
    <w:rsid w:val="00BE6738"/>
    <w:rsid w:val="00BE6A48"/>
    <w:rsid w:val="00BE756C"/>
    <w:rsid w:val="00BE7822"/>
    <w:rsid w:val="00BE7934"/>
    <w:rsid w:val="00BE7AC2"/>
    <w:rsid w:val="00BF01F1"/>
    <w:rsid w:val="00BF04AD"/>
    <w:rsid w:val="00BF07D6"/>
    <w:rsid w:val="00BF16B9"/>
    <w:rsid w:val="00BF1740"/>
    <w:rsid w:val="00BF1805"/>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3FC3"/>
    <w:rsid w:val="00C042FB"/>
    <w:rsid w:val="00C05422"/>
    <w:rsid w:val="00C05541"/>
    <w:rsid w:val="00C0591B"/>
    <w:rsid w:val="00C0643E"/>
    <w:rsid w:val="00C0654F"/>
    <w:rsid w:val="00C06AC7"/>
    <w:rsid w:val="00C06FD8"/>
    <w:rsid w:val="00C07AE4"/>
    <w:rsid w:val="00C10414"/>
    <w:rsid w:val="00C10E4A"/>
    <w:rsid w:val="00C10F84"/>
    <w:rsid w:val="00C11958"/>
    <w:rsid w:val="00C11E76"/>
    <w:rsid w:val="00C129C1"/>
    <w:rsid w:val="00C13EC6"/>
    <w:rsid w:val="00C1401F"/>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F83"/>
    <w:rsid w:val="00C3074B"/>
    <w:rsid w:val="00C30904"/>
    <w:rsid w:val="00C318AF"/>
    <w:rsid w:val="00C321FC"/>
    <w:rsid w:val="00C324F0"/>
    <w:rsid w:val="00C3267E"/>
    <w:rsid w:val="00C327BC"/>
    <w:rsid w:val="00C3385B"/>
    <w:rsid w:val="00C33C75"/>
    <w:rsid w:val="00C33F3D"/>
    <w:rsid w:val="00C34193"/>
    <w:rsid w:val="00C35323"/>
    <w:rsid w:val="00C35747"/>
    <w:rsid w:val="00C35A2D"/>
    <w:rsid w:val="00C3671C"/>
    <w:rsid w:val="00C368B2"/>
    <w:rsid w:val="00C36FB7"/>
    <w:rsid w:val="00C37102"/>
    <w:rsid w:val="00C37A49"/>
    <w:rsid w:val="00C37DCC"/>
    <w:rsid w:val="00C40850"/>
    <w:rsid w:val="00C40DBB"/>
    <w:rsid w:val="00C4192E"/>
    <w:rsid w:val="00C4227F"/>
    <w:rsid w:val="00C43770"/>
    <w:rsid w:val="00C43DB2"/>
    <w:rsid w:val="00C43F3C"/>
    <w:rsid w:val="00C44B2F"/>
    <w:rsid w:val="00C4508E"/>
    <w:rsid w:val="00C452EF"/>
    <w:rsid w:val="00C45ADD"/>
    <w:rsid w:val="00C46477"/>
    <w:rsid w:val="00C46905"/>
    <w:rsid w:val="00C4786D"/>
    <w:rsid w:val="00C478FD"/>
    <w:rsid w:val="00C47DE2"/>
    <w:rsid w:val="00C50543"/>
    <w:rsid w:val="00C505BA"/>
    <w:rsid w:val="00C509B4"/>
    <w:rsid w:val="00C50B71"/>
    <w:rsid w:val="00C51566"/>
    <w:rsid w:val="00C5157D"/>
    <w:rsid w:val="00C51C34"/>
    <w:rsid w:val="00C51D56"/>
    <w:rsid w:val="00C52281"/>
    <w:rsid w:val="00C52CEE"/>
    <w:rsid w:val="00C530B7"/>
    <w:rsid w:val="00C53203"/>
    <w:rsid w:val="00C53C97"/>
    <w:rsid w:val="00C55385"/>
    <w:rsid w:val="00C56DA7"/>
    <w:rsid w:val="00C56EA1"/>
    <w:rsid w:val="00C57447"/>
    <w:rsid w:val="00C57A60"/>
    <w:rsid w:val="00C57C31"/>
    <w:rsid w:val="00C61102"/>
    <w:rsid w:val="00C61EC0"/>
    <w:rsid w:val="00C620C3"/>
    <w:rsid w:val="00C624A9"/>
    <w:rsid w:val="00C6277C"/>
    <w:rsid w:val="00C62B22"/>
    <w:rsid w:val="00C63304"/>
    <w:rsid w:val="00C63B94"/>
    <w:rsid w:val="00C63BC0"/>
    <w:rsid w:val="00C63D1F"/>
    <w:rsid w:val="00C63D7F"/>
    <w:rsid w:val="00C648DF"/>
    <w:rsid w:val="00C64D09"/>
    <w:rsid w:val="00C6582D"/>
    <w:rsid w:val="00C65AE0"/>
    <w:rsid w:val="00C661CD"/>
    <w:rsid w:val="00C663A7"/>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6FC"/>
    <w:rsid w:val="00C76D6D"/>
    <w:rsid w:val="00C776FD"/>
    <w:rsid w:val="00C77C40"/>
    <w:rsid w:val="00C8020F"/>
    <w:rsid w:val="00C804E2"/>
    <w:rsid w:val="00C81842"/>
    <w:rsid w:val="00C8225E"/>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0A6"/>
    <w:rsid w:val="00C92372"/>
    <w:rsid w:val="00C93087"/>
    <w:rsid w:val="00C935C5"/>
    <w:rsid w:val="00C93944"/>
    <w:rsid w:val="00C9424C"/>
    <w:rsid w:val="00C94660"/>
    <w:rsid w:val="00C94796"/>
    <w:rsid w:val="00C94C8D"/>
    <w:rsid w:val="00C955D7"/>
    <w:rsid w:val="00C95736"/>
    <w:rsid w:val="00C95F4E"/>
    <w:rsid w:val="00C96502"/>
    <w:rsid w:val="00C96FF8"/>
    <w:rsid w:val="00C971AB"/>
    <w:rsid w:val="00CA043B"/>
    <w:rsid w:val="00CA062B"/>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A6DDA"/>
    <w:rsid w:val="00CB0479"/>
    <w:rsid w:val="00CB0A16"/>
    <w:rsid w:val="00CB0C90"/>
    <w:rsid w:val="00CB0CC8"/>
    <w:rsid w:val="00CB1696"/>
    <w:rsid w:val="00CB1DCD"/>
    <w:rsid w:val="00CB2774"/>
    <w:rsid w:val="00CB2A32"/>
    <w:rsid w:val="00CB4562"/>
    <w:rsid w:val="00CB4740"/>
    <w:rsid w:val="00CB47F9"/>
    <w:rsid w:val="00CB4E03"/>
    <w:rsid w:val="00CB5679"/>
    <w:rsid w:val="00CB5713"/>
    <w:rsid w:val="00CB68A2"/>
    <w:rsid w:val="00CB731B"/>
    <w:rsid w:val="00CB7DC9"/>
    <w:rsid w:val="00CB7EC1"/>
    <w:rsid w:val="00CB7F3B"/>
    <w:rsid w:val="00CB7FA6"/>
    <w:rsid w:val="00CC01EB"/>
    <w:rsid w:val="00CC03AE"/>
    <w:rsid w:val="00CC0A7F"/>
    <w:rsid w:val="00CC150E"/>
    <w:rsid w:val="00CC25FD"/>
    <w:rsid w:val="00CC2CA2"/>
    <w:rsid w:val="00CC31C4"/>
    <w:rsid w:val="00CC327F"/>
    <w:rsid w:val="00CC3697"/>
    <w:rsid w:val="00CC3D07"/>
    <w:rsid w:val="00CC474A"/>
    <w:rsid w:val="00CC4C03"/>
    <w:rsid w:val="00CC52EC"/>
    <w:rsid w:val="00CC57D3"/>
    <w:rsid w:val="00CC5F28"/>
    <w:rsid w:val="00CC61AA"/>
    <w:rsid w:val="00CC71A0"/>
    <w:rsid w:val="00CC75C2"/>
    <w:rsid w:val="00CC778A"/>
    <w:rsid w:val="00CC78FC"/>
    <w:rsid w:val="00CC7F41"/>
    <w:rsid w:val="00CD0246"/>
    <w:rsid w:val="00CD05A3"/>
    <w:rsid w:val="00CD063E"/>
    <w:rsid w:val="00CD0842"/>
    <w:rsid w:val="00CD134D"/>
    <w:rsid w:val="00CD157B"/>
    <w:rsid w:val="00CD21B3"/>
    <w:rsid w:val="00CD2323"/>
    <w:rsid w:val="00CD23D6"/>
    <w:rsid w:val="00CD2656"/>
    <w:rsid w:val="00CD365A"/>
    <w:rsid w:val="00CD3F18"/>
    <w:rsid w:val="00CD442A"/>
    <w:rsid w:val="00CD45E3"/>
    <w:rsid w:val="00CD4B8D"/>
    <w:rsid w:val="00CD5857"/>
    <w:rsid w:val="00CD5FFD"/>
    <w:rsid w:val="00CD688F"/>
    <w:rsid w:val="00CE02E6"/>
    <w:rsid w:val="00CE1043"/>
    <w:rsid w:val="00CE151A"/>
    <w:rsid w:val="00CE1F54"/>
    <w:rsid w:val="00CE31E5"/>
    <w:rsid w:val="00CE3564"/>
    <w:rsid w:val="00CE36BB"/>
    <w:rsid w:val="00CE3B22"/>
    <w:rsid w:val="00CE495D"/>
    <w:rsid w:val="00CE49BA"/>
    <w:rsid w:val="00CE51F8"/>
    <w:rsid w:val="00CE6528"/>
    <w:rsid w:val="00CE6B16"/>
    <w:rsid w:val="00CE6BB0"/>
    <w:rsid w:val="00CE6F27"/>
    <w:rsid w:val="00CE79FE"/>
    <w:rsid w:val="00CE7E16"/>
    <w:rsid w:val="00CF010F"/>
    <w:rsid w:val="00CF05D8"/>
    <w:rsid w:val="00CF072B"/>
    <w:rsid w:val="00CF0ADD"/>
    <w:rsid w:val="00CF0AFE"/>
    <w:rsid w:val="00CF0D20"/>
    <w:rsid w:val="00CF2363"/>
    <w:rsid w:val="00CF23EE"/>
    <w:rsid w:val="00CF28EE"/>
    <w:rsid w:val="00CF3159"/>
    <w:rsid w:val="00CF393E"/>
    <w:rsid w:val="00CF402D"/>
    <w:rsid w:val="00CF431B"/>
    <w:rsid w:val="00CF4820"/>
    <w:rsid w:val="00CF5388"/>
    <w:rsid w:val="00CF5577"/>
    <w:rsid w:val="00CF5DAF"/>
    <w:rsid w:val="00CF61B5"/>
    <w:rsid w:val="00CF62A8"/>
    <w:rsid w:val="00CF6DF4"/>
    <w:rsid w:val="00CF6EA7"/>
    <w:rsid w:val="00CF7684"/>
    <w:rsid w:val="00D00551"/>
    <w:rsid w:val="00D0212E"/>
    <w:rsid w:val="00D02A19"/>
    <w:rsid w:val="00D04F7B"/>
    <w:rsid w:val="00D0512C"/>
    <w:rsid w:val="00D05E29"/>
    <w:rsid w:val="00D06211"/>
    <w:rsid w:val="00D06DF6"/>
    <w:rsid w:val="00D06E9F"/>
    <w:rsid w:val="00D06FFF"/>
    <w:rsid w:val="00D0757E"/>
    <w:rsid w:val="00D07B7D"/>
    <w:rsid w:val="00D113E7"/>
    <w:rsid w:val="00D116F0"/>
    <w:rsid w:val="00D119B8"/>
    <w:rsid w:val="00D11B26"/>
    <w:rsid w:val="00D122BD"/>
    <w:rsid w:val="00D12A77"/>
    <w:rsid w:val="00D12E24"/>
    <w:rsid w:val="00D13CD4"/>
    <w:rsid w:val="00D13DBC"/>
    <w:rsid w:val="00D14332"/>
    <w:rsid w:val="00D15178"/>
    <w:rsid w:val="00D1522A"/>
    <w:rsid w:val="00D1590C"/>
    <w:rsid w:val="00D15B0C"/>
    <w:rsid w:val="00D167E6"/>
    <w:rsid w:val="00D16CBB"/>
    <w:rsid w:val="00D16F9B"/>
    <w:rsid w:val="00D17611"/>
    <w:rsid w:val="00D17E36"/>
    <w:rsid w:val="00D200B1"/>
    <w:rsid w:val="00D201F2"/>
    <w:rsid w:val="00D20389"/>
    <w:rsid w:val="00D21901"/>
    <w:rsid w:val="00D21A5A"/>
    <w:rsid w:val="00D21D40"/>
    <w:rsid w:val="00D22863"/>
    <w:rsid w:val="00D22A36"/>
    <w:rsid w:val="00D23502"/>
    <w:rsid w:val="00D24778"/>
    <w:rsid w:val="00D252D2"/>
    <w:rsid w:val="00D25322"/>
    <w:rsid w:val="00D25A0A"/>
    <w:rsid w:val="00D25ADF"/>
    <w:rsid w:val="00D25BE6"/>
    <w:rsid w:val="00D25C2E"/>
    <w:rsid w:val="00D25FFA"/>
    <w:rsid w:val="00D26186"/>
    <w:rsid w:val="00D264A4"/>
    <w:rsid w:val="00D26DF4"/>
    <w:rsid w:val="00D26E87"/>
    <w:rsid w:val="00D27086"/>
    <w:rsid w:val="00D27CDB"/>
    <w:rsid w:val="00D301B3"/>
    <w:rsid w:val="00D30458"/>
    <w:rsid w:val="00D30B67"/>
    <w:rsid w:val="00D30D2F"/>
    <w:rsid w:val="00D31529"/>
    <w:rsid w:val="00D3190D"/>
    <w:rsid w:val="00D3345B"/>
    <w:rsid w:val="00D33974"/>
    <w:rsid w:val="00D33C7E"/>
    <w:rsid w:val="00D346EB"/>
    <w:rsid w:val="00D35DEF"/>
    <w:rsid w:val="00D35F0E"/>
    <w:rsid w:val="00D362D1"/>
    <w:rsid w:val="00D36FEC"/>
    <w:rsid w:val="00D3723B"/>
    <w:rsid w:val="00D377B1"/>
    <w:rsid w:val="00D37996"/>
    <w:rsid w:val="00D37DF7"/>
    <w:rsid w:val="00D405B2"/>
    <w:rsid w:val="00D40E5F"/>
    <w:rsid w:val="00D40E88"/>
    <w:rsid w:val="00D4101C"/>
    <w:rsid w:val="00D4115A"/>
    <w:rsid w:val="00D411AB"/>
    <w:rsid w:val="00D41BD7"/>
    <w:rsid w:val="00D41E32"/>
    <w:rsid w:val="00D42078"/>
    <w:rsid w:val="00D421C9"/>
    <w:rsid w:val="00D42CC1"/>
    <w:rsid w:val="00D42F6C"/>
    <w:rsid w:val="00D43A1F"/>
    <w:rsid w:val="00D44755"/>
    <w:rsid w:val="00D44B50"/>
    <w:rsid w:val="00D458A7"/>
    <w:rsid w:val="00D45EDA"/>
    <w:rsid w:val="00D46126"/>
    <w:rsid w:val="00D508A9"/>
    <w:rsid w:val="00D50DFF"/>
    <w:rsid w:val="00D512A4"/>
    <w:rsid w:val="00D5133C"/>
    <w:rsid w:val="00D5138A"/>
    <w:rsid w:val="00D51A7A"/>
    <w:rsid w:val="00D521C2"/>
    <w:rsid w:val="00D53237"/>
    <w:rsid w:val="00D53401"/>
    <w:rsid w:val="00D5370C"/>
    <w:rsid w:val="00D53A72"/>
    <w:rsid w:val="00D54213"/>
    <w:rsid w:val="00D54416"/>
    <w:rsid w:val="00D54F96"/>
    <w:rsid w:val="00D5509A"/>
    <w:rsid w:val="00D5545B"/>
    <w:rsid w:val="00D557D8"/>
    <w:rsid w:val="00D56CC0"/>
    <w:rsid w:val="00D57027"/>
    <w:rsid w:val="00D578DF"/>
    <w:rsid w:val="00D60147"/>
    <w:rsid w:val="00D60DEF"/>
    <w:rsid w:val="00D61D9D"/>
    <w:rsid w:val="00D6217D"/>
    <w:rsid w:val="00D6231B"/>
    <w:rsid w:val="00D625C5"/>
    <w:rsid w:val="00D62DFA"/>
    <w:rsid w:val="00D63ACC"/>
    <w:rsid w:val="00D64170"/>
    <w:rsid w:val="00D663F0"/>
    <w:rsid w:val="00D66636"/>
    <w:rsid w:val="00D66949"/>
    <w:rsid w:val="00D672C4"/>
    <w:rsid w:val="00D67A60"/>
    <w:rsid w:val="00D70016"/>
    <w:rsid w:val="00D70062"/>
    <w:rsid w:val="00D70178"/>
    <w:rsid w:val="00D701D4"/>
    <w:rsid w:val="00D7100B"/>
    <w:rsid w:val="00D71336"/>
    <w:rsid w:val="00D71461"/>
    <w:rsid w:val="00D71471"/>
    <w:rsid w:val="00D71C56"/>
    <w:rsid w:val="00D73963"/>
    <w:rsid w:val="00D73C72"/>
    <w:rsid w:val="00D73DDB"/>
    <w:rsid w:val="00D7519D"/>
    <w:rsid w:val="00D75281"/>
    <w:rsid w:val="00D755EE"/>
    <w:rsid w:val="00D75B25"/>
    <w:rsid w:val="00D7657C"/>
    <w:rsid w:val="00D7676B"/>
    <w:rsid w:val="00D76BAD"/>
    <w:rsid w:val="00D76E8B"/>
    <w:rsid w:val="00D7706C"/>
    <w:rsid w:val="00D77359"/>
    <w:rsid w:val="00D77433"/>
    <w:rsid w:val="00D80F0E"/>
    <w:rsid w:val="00D810BB"/>
    <w:rsid w:val="00D81801"/>
    <w:rsid w:val="00D8205D"/>
    <w:rsid w:val="00D82A69"/>
    <w:rsid w:val="00D83B93"/>
    <w:rsid w:val="00D844C1"/>
    <w:rsid w:val="00D846FB"/>
    <w:rsid w:val="00D84B28"/>
    <w:rsid w:val="00D84E58"/>
    <w:rsid w:val="00D85309"/>
    <w:rsid w:val="00D8567A"/>
    <w:rsid w:val="00D860C6"/>
    <w:rsid w:val="00D86512"/>
    <w:rsid w:val="00D86695"/>
    <w:rsid w:val="00D867A8"/>
    <w:rsid w:val="00D86A06"/>
    <w:rsid w:val="00D86ABB"/>
    <w:rsid w:val="00D86AD8"/>
    <w:rsid w:val="00D87080"/>
    <w:rsid w:val="00D87115"/>
    <w:rsid w:val="00D87264"/>
    <w:rsid w:val="00D879C1"/>
    <w:rsid w:val="00D87D24"/>
    <w:rsid w:val="00D90453"/>
    <w:rsid w:val="00D90A07"/>
    <w:rsid w:val="00D90A77"/>
    <w:rsid w:val="00D90BA1"/>
    <w:rsid w:val="00D91911"/>
    <w:rsid w:val="00D91B8A"/>
    <w:rsid w:val="00D926ED"/>
    <w:rsid w:val="00D9376B"/>
    <w:rsid w:val="00D93E53"/>
    <w:rsid w:val="00D93F56"/>
    <w:rsid w:val="00D9449B"/>
    <w:rsid w:val="00D94A33"/>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67B4"/>
    <w:rsid w:val="00DA6B61"/>
    <w:rsid w:val="00DA6CF4"/>
    <w:rsid w:val="00DA70E8"/>
    <w:rsid w:val="00DA73AF"/>
    <w:rsid w:val="00DA7451"/>
    <w:rsid w:val="00DA7CFE"/>
    <w:rsid w:val="00DB0056"/>
    <w:rsid w:val="00DB016D"/>
    <w:rsid w:val="00DB0DD9"/>
    <w:rsid w:val="00DB30F4"/>
    <w:rsid w:val="00DB3165"/>
    <w:rsid w:val="00DB34B8"/>
    <w:rsid w:val="00DB38FF"/>
    <w:rsid w:val="00DB3A12"/>
    <w:rsid w:val="00DB3D95"/>
    <w:rsid w:val="00DB49CD"/>
    <w:rsid w:val="00DB59FC"/>
    <w:rsid w:val="00DB6E07"/>
    <w:rsid w:val="00DB73D7"/>
    <w:rsid w:val="00DB7934"/>
    <w:rsid w:val="00DB7ED2"/>
    <w:rsid w:val="00DC0D2B"/>
    <w:rsid w:val="00DC18B2"/>
    <w:rsid w:val="00DC1926"/>
    <w:rsid w:val="00DC1C01"/>
    <w:rsid w:val="00DC1E36"/>
    <w:rsid w:val="00DC2886"/>
    <w:rsid w:val="00DC2B8D"/>
    <w:rsid w:val="00DC390F"/>
    <w:rsid w:val="00DC3A85"/>
    <w:rsid w:val="00DC5DB6"/>
    <w:rsid w:val="00DC6928"/>
    <w:rsid w:val="00DC747E"/>
    <w:rsid w:val="00DC7C54"/>
    <w:rsid w:val="00DD0B8C"/>
    <w:rsid w:val="00DD117F"/>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6294"/>
    <w:rsid w:val="00DD67E5"/>
    <w:rsid w:val="00DD6A57"/>
    <w:rsid w:val="00DD6A5E"/>
    <w:rsid w:val="00DD6A63"/>
    <w:rsid w:val="00DD6DE4"/>
    <w:rsid w:val="00DD7848"/>
    <w:rsid w:val="00DD7DF9"/>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0FA"/>
    <w:rsid w:val="00DE7B6E"/>
    <w:rsid w:val="00DE7F9D"/>
    <w:rsid w:val="00DF074F"/>
    <w:rsid w:val="00DF12B3"/>
    <w:rsid w:val="00DF1A16"/>
    <w:rsid w:val="00DF1C08"/>
    <w:rsid w:val="00DF1E44"/>
    <w:rsid w:val="00DF21F4"/>
    <w:rsid w:val="00DF2583"/>
    <w:rsid w:val="00DF26B1"/>
    <w:rsid w:val="00DF2CE5"/>
    <w:rsid w:val="00DF2E7F"/>
    <w:rsid w:val="00DF3158"/>
    <w:rsid w:val="00DF3219"/>
    <w:rsid w:val="00DF3DA5"/>
    <w:rsid w:val="00DF45A1"/>
    <w:rsid w:val="00DF4FB9"/>
    <w:rsid w:val="00DF6037"/>
    <w:rsid w:val="00DF7113"/>
    <w:rsid w:val="00E00775"/>
    <w:rsid w:val="00E0085F"/>
    <w:rsid w:val="00E00C4A"/>
    <w:rsid w:val="00E011E9"/>
    <w:rsid w:val="00E01CA7"/>
    <w:rsid w:val="00E02E95"/>
    <w:rsid w:val="00E033BA"/>
    <w:rsid w:val="00E03692"/>
    <w:rsid w:val="00E03694"/>
    <w:rsid w:val="00E0382F"/>
    <w:rsid w:val="00E03980"/>
    <w:rsid w:val="00E041EC"/>
    <w:rsid w:val="00E047AD"/>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B28"/>
    <w:rsid w:val="00E16D2F"/>
    <w:rsid w:val="00E17B40"/>
    <w:rsid w:val="00E17D6E"/>
    <w:rsid w:val="00E17F71"/>
    <w:rsid w:val="00E21224"/>
    <w:rsid w:val="00E22E87"/>
    <w:rsid w:val="00E2360B"/>
    <w:rsid w:val="00E23B81"/>
    <w:rsid w:val="00E23C52"/>
    <w:rsid w:val="00E23C67"/>
    <w:rsid w:val="00E23CEF"/>
    <w:rsid w:val="00E250FA"/>
    <w:rsid w:val="00E25B09"/>
    <w:rsid w:val="00E2631F"/>
    <w:rsid w:val="00E26A6B"/>
    <w:rsid w:val="00E27665"/>
    <w:rsid w:val="00E278AC"/>
    <w:rsid w:val="00E27BEE"/>
    <w:rsid w:val="00E3052B"/>
    <w:rsid w:val="00E30807"/>
    <w:rsid w:val="00E30B56"/>
    <w:rsid w:val="00E31710"/>
    <w:rsid w:val="00E31A5E"/>
    <w:rsid w:val="00E32185"/>
    <w:rsid w:val="00E32188"/>
    <w:rsid w:val="00E323E7"/>
    <w:rsid w:val="00E32490"/>
    <w:rsid w:val="00E32616"/>
    <w:rsid w:val="00E328D8"/>
    <w:rsid w:val="00E32CE2"/>
    <w:rsid w:val="00E32D37"/>
    <w:rsid w:val="00E33C12"/>
    <w:rsid w:val="00E33F65"/>
    <w:rsid w:val="00E34142"/>
    <w:rsid w:val="00E3495E"/>
    <w:rsid w:val="00E34B0E"/>
    <w:rsid w:val="00E3591A"/>
    <w:rsid w:val="00E36E69"/>
    <w:rsid w:val="00E37667"/>
    <w:rsid w:val="00E406DA"/>
    <w:rsid w:val="00E40709"/>
    <w:rsid w:val="00E40ADA"/>
    <w:rsid w:val="00E40B89"/>
    <w:rsid w:val="00E415FC"/>
    <w:rsid w:val="00E4170E"/>
    <w:rsid w:val="00E41D81"/>
    <w:rsid w:val="00E43398"/>
    <w:rsid w:val="00E43FB8"/>
    <w:rsid w:val="00E44214"/>
    <w:rsid w:val="00E4425C"/>
    <w:rsid w:val="00E44A83"/>
    <w:rsid w:val="00E44BFF"/>
    <w:rsid w:val="00E44C59"/>
    <w:rsid w:val="00E44E8D"/>
    <w:rsid w:val="00E4549D"/>
    <w:rsid w:val="00E45BF2"/>
    <w:rsid w:val="00E45DEA"/>
    <w:rsid w:val="00E47391"/>
    <w:rsid w:val="00E47684"/>
    <w:rsid w:val="00E50C4C"/>
    <w:rsid w:val="00E51829"/>
    <w:rsid w:val="00E51A0D"/>
    <w:rsid w:val="00E51E11"/>
    <w:rsid w:val="00E5361B"/>
    <w:rsid w:val="00E54291"/>
    <w:rsid w:val="00E543AA"/>
    <w:rsid w:val="00E5459C"/>
    <w:rsid w:val="00E549C2"/>
    <w:rsid w:val="00E557B5"/>
    <w:rsid w:val="00E563A7"/>
    <w:rsid w:val="00E56BD8"/>
    <w:rsid w:val="00E56F3C"/>
    <w:rsid w:val="00E57B6A"/>
    <w:rsid w:val="00E60733"/>
    <w:rsid w:val="00E60952"/>
    <w:rsid w:val="00E609AD"/>
    <w:rsid w:val="00E61A4C"/>
    <w:rsid w:val="00E61E23"/>
    <w:rsid w:val="00E620A6"/>
    <w:rsid w:val="00E6210D"/>
    <w:rsid w:val="00E62171"/>
    <w:rsid w:val="00E62768"/>
    <w:rsid w:val="00E64540"/>
    <w:rsid w:val="00E6457B"/>
    <w:rsid w:val="00E6462C"/>
    <w:rsid w:val="00E649F9"/>
    <w:rsid w:val="00E65BCA"/>
    <w:rsid w:val="00E66365"/>
    <w:rsid w:val="00E669A5"/>
    <w:rsid w:val="00E672FB"/>
    <w:rsid w:val="00E676F9"/>
    <w:rsid w:val="00E70455"/>
    <w:rsid w:val="00E71702"/>
    <w:rsid w:val="00E719D3"/>
    <w:rsid w:val="00E71E37"/>
    <w:rsid w:val="00E720FE"/>
    <w:rsid w:val="00E72A86"/>
    <w:rsid w:val="00E72C29"/>
    <w:rsid w:val="00E730D2"/>
    <w:rsid w:val="00E73583"/>
    <w:rsid w:val="00E73996"/>
    <w:rsid w:val="00E74EE7"/>
    <w:rsid w:val="00E76782"/>
    <w:rsid w:val="00E76956"/>
    <w:rsid w:val="00E77008"/>
    <w:rsid w:val="00E77030"/>
    <w:rsid w:val="00E779CB"/>
    <w:rsid w:val="00E80B80"/>
    <w:rsid w:val="00E814BC"/>
    <w:rsid w:val="00E81603"/>
    <w:rsid w:val="00E81A4E"/>
    <w:rsid w:val="00E83D1B"/>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0FD7"/>
    <w:rsid w:val="00E91621"/>
    <w:rsid w:val="00E91C47"/>
    <w:rsid w:val="00E91D26"/>
    <w:rsid w:val="00E91D47"/>
    <w:rsid w:val="00E92935"/>
    <w:rsid w:val="00E93CE0"/>
    <w:rsid w:val="00E949D3"/>
    <w:rsid w:val="00E94C45"/>
    <w:rsid w:val="00E9544F"/>
    <w:rsid w:val="00E957E1"/>
    <w:rsid w:val="00E96473"/>
    <w:rsid w:val="00E96648"/>
    <w:rsid w:val="00E9686D"/>
    <w:rsid w:val="00E96BD9"/>
    <w:rsid w:val="00E96BFD"/>
    <w:rsid w:val="00E97928"/>
    <w:rsid w:val="00E97A5E"/>
    <w:rsid w:val="00EA046C"/>
    <w:rsid w:val="00EA06E9"/>
    <w:rsid w:val="00EA0D57"/>
    <w:rsid w:val="00EA0E45"/>
    <w:rsid w:val="00EA0E64"/>
    <w:rsid w:val="00EA1EAD"/>
    <w:rsid w:val="00EA1F92"/>
    <w:rsid w:val="00EA205B"/>
    <w:rsid w:val="00EA2486"/>
    <w:rsid w:val="00EA3682"/>
    <w:rsid w:val="00EA3C5C"/>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210B"/>
    <w:rsid w:val="00EB269D"/>
    <w:rsid w:val="00EB2979"/>
    <w:rsid w:val="00EB39F9"/>
    <w:rsid w:val="00EB3BCE"/>
    <w:rsid w:val="00EB47E5"/>
    <w:rsid w:val="00EB480C"/>
    <w:rsid w:val="00EB498A"/>
    <w:rsid w:val="00EB5877"/>
    <w:rsid w:val="00EB5C60"/>
    <w:rsid w:val="00EB5CAD"/>
    <w:rsid w:val="00EB621E"/>
    <w:rsid w:val="00EB65A1"/>
    <w:rsid w:val="00EB6633"/>
    <w:rsid w:val="00EB684B"/>
    <w:rsid w:val="00EB6D95"/>
    <w:rsid w:val="00EB7939"/>
    <w:rsid w:val="00EB7C89"/>
    <w:rsid w:val="00EB7CD7"/>
    <w:rsid w:val="00EB7CFF"/>
    <w:rsid w:val="00EB7D0A"/>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592"/>
    <w:rsid w:val="00EC7706"/>
    <w:rsid w:val="00EC7EB7"/>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853"/>
    <w:rsid w:val="00EE6C9F"/>
    <w:rsid w:val="00EE7E5F"/>
    <w:rsid w:val="00EF04B9"/>
    <w:rsid w:val="00EF067D"/>
    <w:rsid w:val="00EF105D"/>
    <w:rsid w:val="00EF24F5"/>
    <w:rsid w:val="00EF2565"/>
    <w:rsid w:val="00EF27D0"/>
    <w:rsid w:val="00EF28B1"/>
    <w:rsid w:val="00EF2DE8"/>
    <w:rsid w:val="00EF32F6"/>
    <w:rsid w:val="00EF36E5"/>
    <w:rsid w:val="00EF38E8"/>
    <w:rsid w:val="00EF4580"/>
    <w:rsid w:val="00EF503A"/>
    <w:rsid w:val="00EF539F"/>
    <w:rsid w:val="00EF662C"/>
    <w:rsid w:val="00EF66FE"/>
    <w:rsid w:val="00EF6928"/>
    <w:rsid w:val="00F00C4E"/>
    <w:rsid w:val="00F016E4"/>
    <w:rsid w:val="00F01B75"/>
    <w:rsid w:val="00F02297"/>
    <w:rsid w:val="00F023D3"/>
    <w:rsid w:val="00F03C06"/>
    <w:rsid w:val="00F04097"/>
    <w:rsid w:val="00F045E2"/>
    <w:rsid w:val="00F04B52"/>
    <w:rsid w:val="00F05409"/>
    <w:rsid w:val="00F0689B"/>
    <w:rsid w:val="00F06E52"/>
    <w:rsid w:val="00F06F62"/>
    <w:rsid w:val="00F07EC3"/>
    <w:rsid w:val="00F100E0"/>
    <w:rsid w:val="00F10625"/>
    <w:rsid w:val="00F1079D"/>
    <w:rsid w:val="00F11209"/>
    <w:rsid w:val="00F1154D"/>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3077"/>
    <w:rsid w:val="00F234F2"/>
    <w:rsid w:val="00F2394F"/>
    <w:rsid w:val="00F23B62"/>
    <w:rsid w:val="00F24313"/>
    <w:rsid w:val="00F24A2F"/>
    <w:rsid w:val="00F252F7"/>
    <w:rsid w:val="00F25AC7"/>
    <w:rsid w:val="00F25F15"/>
    <w:rsid w:val="00F26171"/>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CD4"/>
    <w:rsid w:val="00F3767D"/>
    <w:rsid w:val="00F4093E"/>
    <w:rsid w:val="00F4170C"/>
    <w:rsid w:val="00F41879"/>
    <w:rsid w:val="00F41AD6"/>
    <w:rsid w:val="00F41B4F"/>
    <w:rsid w:val="00F41CFF"/>
    <w:rsid w:val="00F4243B"/>
    <w:rsid w:val="00F42646"/>
    <w:rsid w:val="00F42EA6"/>
    <w:rsid w:val="00F43598"/>
    <w:rsid w:val="00F43A0D"/>
    <w:rsid w:val="00F43A22"/>
    <w:rsid w:val="00F43F6D"/>
    <w:rsid w:val="00F447C0"/>
    <w:rsid w:val="00F45C9D"/>
    <w:rsid w:val="00F4658D"/>
    <w:rsid w:val="00F4667C"/>
    <w:rsid w:val="00F46963"/>
    <w:rsid w:val="00F47047"/>
    <w:rsid w:val="00F50354"/>
    <w:rsid w:val="00F50392"/>
    <w:rsid w:val="00F50828"/>
    <w:rsid w:val="00F50AA7"/>
    <w:rsid w:val="00F50BC0"/>
    <w:rsid w:val="00F52F00"/>
    <w:rsid w:val="00F53002"/>
    <w:rsid w:val="00F54713"/>
    <w:rsid w:val="00F54714"/>
    <w:rsid w:val="00F54BA2"/>
    <w:rsid w:val="00F558D4"/>
    <w:rsid w:val="00F55FFC"/>
    <w:rsid w:val="00F56F60"/>
    <w:rsid w:val="00F574F8"/>
    <w:rsid w:val="00F577C6"/>
    <w:rsid w:val="00F57800"/>
    <w:rsid w:val="00F603F5"/>
    <w:rsid w:val="00F60928"/>
    <w:rsid w:val="00F60A35"/>
    <w:rsid w:val="00F6185D"/>
    <w:rsid w:val="00F62238"/>
    <w:rsid w:val="00F62391"/>
    <w:rsid w:val="00F62A2D"/>
    <w:rsid w:val="00F62C03"/>
    <w:rsid w:val="00F63A0E"/>
    <w:rsid w:val="00F63CF0"/>
    <w:rsid w:val="00F642E8"/>
    <w:rsid w:val="00F64B72"/>
    <w:rsid w:val="00F64FC3"/>
    <w:rsid w:val="00F65A96"/>
    <w:rsid w:val="00F65B4B"/>
    <w:rsid w:val="00F66275"/>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6222"/>
    <w:rsid w:val="00F763DC"/>
    <w:rsid w:val="00F767A8"/>
    <w:rsid w:val="00F76B7A"/>
    <w:rsid w:val="00F76D63"/>
    <w:rsid w:val="00F77748"/>
    <w:rsid w:val="00F77DB8"/>
    <w:rsid w:val="00F77E2A"/>
    <w:rsid w:val="00F8050A"/>
    <w:rsid w:val="00F8067F"/>
    <w:rsid w:val="00F80C8A"/>
    <w:rsid w:val="00F81169"/>
    <w:rsid w:val="00F82251"/>
    <w:rsid w:val="00F83339"/>
    <w:rsid w:val="00F8345E"/>
    <w:rsid w:val="00F83651"/>
    <w:rsid w:val="00F84CA9"/>
    <w:rsid w:val="00F85A8A"/>
    <w:rsid w:val="00F85DB9"/>
    <w:rsid w:val="00F85E5F"/>
    <w:rsid w:val="00F8681C"/>
    <w:rsid w:val="00F86C07"/>
    <w:rsid w:val="00F8775E"/>
    <w:rsid w:val="00F87A7C"/>
    <w:rsid w:val="00F9103A"/>
    <w:rsid w:val="00F912FF"/>
    <w:rsid w:val="00F938D7"/>
    <w:rsid w:val="00F9431A"/>
    <w:rsid w:val="00F94466"/>
    <w:rsid w:val="00F9465E"/>
    <w:rsid w:val="00F94CF3"/>
    <w:rsid w:val="00F957C9"/>
    <w:rsid w:val="00F96182"/>
    <w:rsid w:val="00F963DA"/>
    <w:rsid w:val="00F9643D"/>
    <w:rsid w:val="00F967F7"/>
    <w:rsid w:val="00F97BDC"/>
    <w:rsid w:val="00F97BDF"/>
    <w:rsid w:val="00FA00A0"/>
    <w:rsid w:val="00FA0311"/>
    <w:rsid w:val="00FA106A"/>
    <w:rsid w:val="00FA2240"/>
    <w:rsid w:val="00FA27B3"/>
    <w:rsid w:val="00FA50A1"/>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5146"/>
    <w:rsid w:val="00FB5814"/>
    <w:rsid w:val="00FB6AE0"/>
    <w:rsid w:val="00FB791F"/>
    <w:rsid w:val="00FB7943"/>
    <w:rsid w:val="00FB7C6D"/>
    <w:rsid w:val="00FB7F47"/>
    <w:rsid w:val="00FC0372"/>
    <w:rsid w:val="00FC100B"/>
    <w:rsid w:val="00FC108A"/>
    <w:rsid w:val="00FC1B2C"/>
    <w:rsid w:val="00FC1F2F"/>
    <w:rsid w:val="00FC2034"/>
    <w:rsid w:val="00FC20A0"/>
    <w:rsid w:val="00FC247E"/>
    <w:rsid w:val="00FC2DF9"/>
    <w:rsid w:val="00FC317E"/>
    <w:rsid w:val="00FC3FA0"/>
    <w:rsid w:val="00FC49E2"/>
    <w:rsid w:val="00FC503A"/>
    <w:rsid w:val="00FC5314"/>
    <w:rsid w:val="00FC58F4"/>
    <w:rsid w:val="00FC6803"/>
    <w:rsid w:val="00FC6D9B"/>
    <w:rsid w:val="00FC705B"/>
    <w:rsid w:val="00FC7517"/>
    <w:rsid w:val="00FC799F"/>
    <w:rsid w:val="00FC7B18"/>
    <w:rsid w:val="00FD0020"/>
    <w:rsid w:val="00FD007A"/>
    <w:rsid w:val="00FD11D9"/>
    <w:rsid w:val="00FD11F8"/>
    <w:rsid w:val="00FD1613"/>
    <w:rsid w:val="00FD18EF"/>
    <w:rsid w:val="00FD22D4"/>
    <w:rsid w:val="00FD24B0"/>
    <w:rsid w:val="00FD3237"/>
    <w:rsid w:val="00FD36F8"/>
    <w:rsid w:val="00FD4326"/>
    <w:rsid w:val="00FD4BC6"/>
    <w:rsid w:val="00FD5554"/>
    <w:rsid w:val="00FD5C7D"/>
    <w:rsid w:val="00FD64EB"/>
    <w:rsid w:val="00FD6A99"/>
    <w:rsid w:val="00FD7A3D"/>
    <w:rsid w:val="00FD7BB2"/>
    <w:rsid w:val="00FD7C5E"/>
    <w:rsid w:val="00FE098C"/>
    <w:rsid w:val="00FE0AF5"/>
    <w:rsid w:val="00FE0D21"/>
    <w:rsid w:val="00FE0DA0"/>
    <w:rsid w:val="00FE1540"/>
    <w:rsid w:val="00FE162B"/>
    <w:rsid w:val="00FE1C4A"/>
    <w:rsid w:val="00FE21E9"/>
    <w:rsid w:val="00FE2D16"/>
    <w:rsid w:val="00FE31B2"/>
    <w:rsid w:val="00FE3716"/>
    <w:rsid w:val="00FE4D74"/>
    <w:rsid w:val="00FE4FCE"/>
    <w:rsid w:val="00FE559F"/>
    <w:rsid w:val="00FE699A"/>
    <w:rsid w:val="00FE6C1B"/>
    <w:rsid w:val="00FE7473"/>
    <w:rsid w:val="00FE77A6"/>
    <w:rsid w:val="00FE7B51"/>
    <w:rsid w:val="00FF0CD1"/>
    <w:rsid w:val="00FF0F4C"/>
    <w:rsid w:val="00FF1197"/>
    <w:rsid w:val="00FF33A9"/>
    <w:rsid w:val="00FF34B4"/>
    <w:rsid w:val="00FF3582"/>
    <w:rsid w:val="00FF36DA"/>
    <w:rsid w:val="00FF3907"/>
    <w:rsid w:val="00FF3BC9"/>
    <w:rsid w:val="00FF4371"/>
    <w:rsid w:val="00FF4F68"/>
    <w:rsid w:val="00FF5044"/>
    <w:rsid w:val="00FF52DE"/>
    <w:rsid w:val="00FF565C"/>
    <w:rsid w:val="00FF5F0C"/>
    <w:rsid w:val="00FF601C"/>
    <w:rsid w:val="00FF61B2"/>
    <w:rsid w:val="00FF64BE"/>
    <w:rsid w:val="00FF70B5"/>
    <w:rsid w:val="00FF7189"/>
    <w:rsid w:val="00FF74A0"/>
    <w:rsid w:val="00FF7721"/>
    <w:rsid w:val="00FF7F30"/>
    <w:rsid w:val="011A11A4"/>
    <w:rsid w:val="01482F23"/>
    <w:rsid w:val="014B5B44"/>
    <w:rsid w:val="018C5F7F"/>
    <w:rsid w:val="01BE4069"/>
    <w:rsid w:val="01BE5800"/>
    <w:rsid w:val="01E46F65"/>
    <w:rsid w:val="02E536DD"/>
    <w:rsid w:val="03105162"/>
    <w:rsid w:val="032B449D"/>
    <w:rsid w:val="03F06C42"/>
    <w:rsid w:val="041B3357"/>
    <w:rsid w:val="04BB45C2"/>
    <w:rsid w:val="04C34346"/>
    <w:rsid w:val="04CD7FA9"/>
    <w:rsid w:val="04E30437"/>
    <w:rsid w:val="04FC1B03"/>
    <w:rsid w:val="050E236F"/>
    <w:rsid w:val="05F41FAA"/>
    <w:rsid w:val="063B78DC"/>
    <w:rsid w:val="064120CC"/>
    <w:rsid w:val="071C3D78"/>
    <w:rsid w:val="07553D7E"/>
    <w:rsid w:val="076E0F6D"/>
    <w:rsid w:val="07E84F31"/>
    <w:rsid w:val="0839529D"/>
    <w:rsid w:val="09974C33"/>
    <w:rsid w:val="09B82947"/>
    <w:rsid w:val="09B94BA8"/>
    <w:rsid w:val="0A410924"/>
    <w:rsid w:val="0A5B4B6A"/>
    <w:rsid w:val="0AC83536"/>
    <w:rsid w:val="0B7A5A91"/>
    <w:rsid w:val="0BC046C0"/>
    <w:rsid w:val="0BF958C7"/>
    <w:rsid w:val="0C0544CC"/>
    <w:rsid w:val="0C087B18"/>
    <w:rsid w:val="0C3F3332"/>
    <w:rsid w:val="0C594FA1"/>
    <w:rsid w:val="0C5A09A9"/>
    <w:rsid w:val="0C9C487D"/>
    <w:rsid w:val="0CDB719E"/>
    <w:rsid w:val="0E0812B7"/>
    <w:rsid w:val="0E5C05EF"/>
    <w:rsid w:val="0E795352"/>
    <w:rsid w:val="0EAB6A73"/>
    <w:rsid w:val="0F4D0707"/>
    <w:rsid w:val="0FBA2A45"/>
    <w:rsid w:val="0FC41654"/>
    <w:rsid w:val="0FDE7285"/>
    <w:rsid w:val="107005D3"/>
    <w:rsid w:val="118C2ED5"/>
    <w:rsid w:val="11B83D31"/>
    <w:rsid w:val="12795B29"/>
    <w:rsid w:val="12F62B63"/>
    <w:rsid w:val="13696837"/>
    <w:rsid w:val="13B31AEC"/>
    <w:rsid w:val="13FE3FBA"/>
    <w:rsid w:val="140E1568"/>
    <w:rsid w:val="14404369"/>
    <w:rsid w:val="14623A67"/>
    <w:rsid w:val="148742AC"/>
    <w:rsid w:val="15524653"/>
    <w:rsid w:val="16B70AB9"/>
    <w:rsid w:val="175D674F"/>
    <w:rsid w:val="17CD2550"/>
    <w:rsid w:val="18114189"/>
    <w:rsid w:val="18F06F2D"/>
    <w:rsid w:val="19AD7F51"/>
    <w:rsid w:val="19FF66BC"/>
    <w:rsid w:val="1A4E3E90"/>
    <w:rsid w:val="1ADE4866"/>
    <w:rsid w:val="1BA50D14"/>
    <w:rsid w:val="1BA677E7"/>
    <w:rsid w:val="1C625D30"/>
    <w:rsid w:val="1C7671E3"/>
    <w:rsid w:val="1C777601"/>
    <w:rsid w:val="1C8A493E"/>
    <w:rsid w:val="1CCB6998"/>
    <w:rsid w:val="1CD6623F"/>
    <w:rsid w:val="1CF90898"/>
    <w:rsid w:val="1CFA0FE7"/>
    <w:rsid w:val="1D8C69C4"/>
    <w:rsid w:val="1E1C7C6C"/>
    <w:rsid w:val="1E786F00"/>
    <w:rsid w:val="1EF2105C"/>
    <w:rsid w:val="1F1F65F5"/>
    <w:rsid w:val="1F343C02"/>
    <w:rsid w:val="1FAC7E53"/>
    <w:rsid w:val="20517FE3"/>
    <w:rsid w:val="20CE2C18"/>
    <w:rsid w:val="217C1DAF"/>
    <w:rsid w:val="218220DE"/>
    <w:rsid w:val="222C76C6"/>
    <w:rsid w:val="22466CF3"/>
    <w:rsid w:val="22484CBB"/>
    <w:rsid w:val="22A344E7"/>
    <w:rsid w:val="22DE3197"/>
    <w:rsid w:val="230E0741"/>
    <w:rsid w:val="23F63E16"/>
    <w:rsid w:val="243A32C2"/>
    <w:rsid w:val="25093A3B"/>
    <w:rsid w:val="25236D0D"/>
    <w:rsid w:val="252F645D"/>
    <w:rsid w:val="258858A9"/>
    <w:rsid w:val="25A45CD9"/>
    <w:rsid w:val="26757E2C"/>
    <w:rsid w:val="26790701"/>
    <w:rsid w:val="26CA4273"/>
    <w:rsid w:val="273508EE"/>
    <w:rsid w:val="27483692"/>
    <w:rsid w:val="276F6E45"/>
    <w:rsid w:val="278066D7"/>
    <w:rsid w:val="27827B0F"/>
    <w:rsid w:val="27886287"/>
    <w:rsid w:val="27F53526"/>
    <w:rsid w:val="27FA5E76"/>
    <w:rsid w:val="28690FE5"/>
    <w:rsid w:val="288E2BD2"/>
    <w:rsid w:val="28DC50AB"/>
    <w:rsid w:val="28E55271"/>
    <w:rsid w:val="2923374B"/>
    <w:rsid w:val="29A22F90"/>
    <w:rsid w:val="29BD796F"/>
    <w:rsid w:val="2A7104F6"/>
    <w:rsid w:val="2A8B3997"/>
    <w:rsid w:val="2AAC3644"/>
    <w:rsid w:val="2B8946FF"/>
    <w:rsid w:val="2C0A4741"/>
    <w:rsid w:val="2C126462"/>
    <w:rsid w:val="2CF86E08"/>
    <w:rsid w:val="2D9B15EF"/>
    <w:rsid w:val="2E304308"/>
    <w:rsid w:val="2EB26D79"/>
    <w:rsid w:val="2F7145F4"/>
    <w:rsid w:val="30580298"/>
    <w:rsid w:val="30646F90"/>
    <w:rsid w:val="30CB0402"/>
    <w:rsid w:val="31905D36"/>
    <w:rsid w:val="324D2681"/>
    <w:rsid w:val="32C51D2E"/>
    <w:rsid w:val="34457450"/>
    <w:rsid w:val="35373F98"/>
    <w:rsid w:val="361231BE"/>
    <w:rsid w:val="363B7932"/>
    <w:rsid w:val="36D15C2A"/>
    <w:rsid w:val="36FA4BBC"/>
    <w:rsid w:val="371D61FE"/>
    <w:rsid w:val="374B5AC3"/>
    <w:rsid w:val="374D0C0E"/>
    <w:rsid w:val="37920A5A"/>
    <w:rsid w:val="38187E4F"/>
    <w:rsid w:val="3820445B"/>
    <w:rsid w:val="38210467"/>
    <w:rsid w:val="38401B73"/>
    <w:rsid w:val="384B1D2A"/>
    <w:rsid w:val="38582988"/>
    <w:rsid w:val="3868430E"/>
    <w:rsid w:val="39780BBB"/>
    <w:rsid w:val="39D617F2"/>
    <w:rsid w:val="3B464161"/>
    <w:rsid w:val="3B731AB5"/>
    <w:rsid w:val="3B833738"/>
    <w:rsid w:val="3B874762"/>
    <w:rsid w:val="3BAA5199"/>
    <w:rsid w:val="3C2527C5"/>
    <w:rsid w:val="3D1B30D0"/>
    <w:rsid w:val="3D6F75C9"/>
    <w:rsid w:val="3D7C7628"/>
    <w:rsid w:val="3DE90F01"/>
    <w:rsid w:val="3E266E35"/>
    <w:rsid w:val="3F7F04D5"/>
    <w:rsid w:val="40A005F0"/>
    <w:rsid w:val="414011DD"/>
    <w:rsid w:val="414A2502"/>
    <w:rsid w:val="417E1386"/>
    <w:rsid w:val="422B6BF4"/>
    <w:rsid w:val="42347713"/>
    <w:rsid w:val="42F7189B"/>
    <w:rsid w:val="43B00A8F"/>
    <w:rsid w:val="4420735A"/>
    <w:rsid w:val="45511B47"/>
    <w:rsid w:val="45A15DDB"/>
    <w:rsid w:val="45B22926"/>
    <w:rsid w:val="4681712C"/>
    <w:rsid w:val="468B6718"/>
    <w:rsid w:val="473B23EB"/>
    <w:rsid w:val="47B32EAB"/>
    <w:rsid w:val="47C40E8C"/>
    <w:rsid w:val="48B1218F"/>
    <w:rsid w:val="48B14AB0"/>
    <w:rsid w:val="48D6123C"/>
    <w:rsid w:val="49150F51"/>
    <w:rsid w:val="49480BD4"/>
    <w:rsid w:val="495F157C"/>
    <w:rsid w:val="499F04DF"/>
    <w:rsid w:val="49CB3BFF"/>
    <w:rsid w:val="4AA4619B"/>
    <w:rsid w:val="4B284D77"/>
    <w:rsid w:val="4B8C4546"/>
    <w:rsid w:val="4BEC1507"/>
    <w:rsid w:val="4CD363C9"/>
    <w:rsid w:val="4D7F6702"/>
    <w:rsid w:val="4E80401C"/>
    <w:rsid w:val="4F123950"/>
    <w:rsid w:val="4F134C73"/>
    <w:rsid w:val="50237D10"/>
    <w:rsid w:val="507519D9"/>
    <w:rsid w:val="50EC442B"/>
    <w:rsid w:val="52127D7D"/>
    <w:rsid w:val="52412A63"/>
    <w:rsid w:val="528C1052"/>
    <w:rsid w:val="528F1993"/>
    <w:rsid w:val="53763D4D"/>
    <w:rsid w:val="53C34409"/>
    <w:rsid w:val="54135280"/>
    <w:rsid w:val="541A6387"/>
    <w:rsid w:val="544834A8"/>
    <w:rsid w:val="5526139C"/>
    <w:rsid w:val="552B2D26"/>
    <w:rsid w:val="554E1470"/>
    <w:rsid w:val="55986D51"/>
    <w:rsid w:val="55D42624"/>
    <w:rsid w:val="56133CA0"/>
    <w:rsid w:val="563C3267"/>
    <w:rsid w:val="56DD4ABD"/>
    <w:rsid w:val="5703231E"/>
    <w:rsid w:val="57116442"/>
    <w:rsid w:val="578D3493"/>
    <w:rsid w:val="586A7A45"/>
    <w:rsid w:val="58914C8B"/>
    <w:rsid w:val="58B77EC9"/>
    <w:rsid w:val="58E3423E"/>
    <w:rsid w:val="58F23ED5"/>
    <w:rsid w:val="5956205C"/>
    <w:rsid w:val="599E6CB8"/>
    <w:rsid w:val="59A57896"/>
    <w:rsid w:val="59E031E2"/>
    <w:rsid w:val="5AA974E8"/>
    <w:rsid w:val="5B8340E7"/>
    <w:rsid w:val="5B8D0599"/>
    <w:rsid w:val="5B937814"/>
    <w:rsid w:val="5BA627EA"/>
    <w:rsid w:val="5BAA125C"/>
    <w:rsid w:val="5C6E79F1"/>
    <w:rsid w:val="5C8657B1"/>
    <w:rsid w:val="5CA73484"/>
    <w:rsid w:val="5CE5499C"/>
    <w:rsid w:val="5D285AFC"/>
    <w:rsid w:val="5D77243C"/>
    <w:rsid w:val="5D9521B0"/>
    <w:rsid w:val="5E2F13E4"/>
    <w:rsid w:val="5EC546B7"/>
    <w:rsid w:val="5EE01513"/>
    <w:rsid w:val="5EFF1C82"/>
    <w:rsid w:val="5FA9036D"/>
    <w:rsid w:val="5FE20A6A"/>
    <w:rsid w:val="5FE80DF1"/>
    <w:rsid w:val="60394F33"/>
    <w:rsid w:val="607A028C"/>
    <w:rsid w:val="61904268"/>
    <w:rsid w:val="61922827"/>
    <w:rsid w:val="61985AAE"/>
    <w:rsid w:val="619B21A0"/>
    <w:rsid w:val="61C95215"/>
    <w:rsid w:val="620863D2"/>
    <w:rsid w:val="626058BD"/>
    <w:rsid w:val="62D70238"/>
    <w:rsid w:val="633B2E98"/>
    <w:rsid w:val="634E5810"/>
    <w:rsid w:val="63A81226"/>
    <w:rsid w:val="63F16BAD"/>
    <w:rsid w:val="650A079C"/>
    <w:rsid w:val="65E5355A"/>
    <w:rsid w:val="674A3D4F"/>
    <w:rsid w:val="679006E0"/>
    <w:rsid w:val="6864772D"/>
    <w:rsid w:val="689907AD"/>
    <w:rsid w:val="68BC6A3B"/>
    <w:rsid w:val="6A121AD7"/>
    <w:rsid w:val="6A3C248C"/>
    <w:rsid w:val="6AD23B35"/>
    <w:rsid w:val="6B361121"/>
    <w:rsid w:val="6B595203"/>
    <w:rsid w:val="6C0B0C75"/>
    <w:rsid w:val="6C3226C6"/>
    <w:rsid w:val="6C545FF5"/>
    <w:rsid w:val="6C591BE2"/>
    <w:rsid w:val="6E0A4A26"/>
    <w:rsid w:val="6E5E1B6C"/>
    <w:rsid w:val="6EEF71D1"/>
    <w:rsid w:val="6F021A16"/>
    <w:rsid w:val="6F1D40CE"/>
    <w:rsid w:val="70205EFC"/>
    <w:rsid w:val="7051517A"/>
    <w:rsid w:val="70D85BD1"/>
    <w:rsid w:val="715B338A"/>
    <w:rsid w:val="716A7ADC"/>
    <w:rsid w:val="71DE2E53"/>
    <w:rsid w:val="721F39FF"/>
    <w:rsid w:val="725A1C30"/>
    <w:rsid w:val="729E121E"/>
    <w:rsid w:val="72E23A7A"/>
    <w:rsid w:val="72F6179B"/>
    <w:rsid w:val="738003CA"/>
    <w:rsid w:val="73B622DF"/>
    <w:rsid w:val="73C56EED"/>
    <w:rsid w:val="758D4AB4"/>
    <w:rsid w:val="75D12961"/>
    <w:rsid w:val="765941C5"/>
    <w:rsid w:val="773B6CD4"/>
    <w:rsid w:val="7782124A"/>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0E1A8A"/>
    <w:rsid w:val="7E9219F9"/>
    <w:rsid w:val="7EF87B3E"/>
    <w:rsid w:val="7F5765A4"/>
    <w:rsid w:val="7F6D458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link w:val="6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66"/>
    <w:qFormat/>
    <w:uiPriority w:val="9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after="260" w:line="413" w:lineRule="auto"/>
      <w:outlineLvl w:val="2"/>
    </w:pPr>
    <w:rPr>
      <w:b/>
      <w:bCs/>
      <w:sz w:val="32"/>
      <w:szCs w:val="32"/>
    </w:rPr>
  </w:style>
  <w:style w:type="paragraph" w:styleId="5">
    <w:name w:val="heading 4"/>
    <w:basedOn w:val="1"/>
    <w:next w:val="1"/>
    <w:link w:val="68"/>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7"/>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0"/>
    <w:qFormat/>
    <w:uiPriority w:val="99"/>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Body Text 3"/>
    <w:basedOn w:val="1"/>
    <w:link w:val="77"/>
    <w:qFormat/>
    <w:uiPriority w:val="0"/>
    <w:pPr>
      <w:spacing w:line="500" w:lineRule="exact"/>
    </w:pPr>
    <w:rPr>
      <w:b/>
      <w:bCs/>
      <w:sz w:val="24"/>
    </w:rPr>
  </w:style>
  <w:style w:type="paragraph" w:styleId="19">
    <w:name w:val="Body Text"/>
    <w:basedOn w:val="1"/>
    <w:link w:val="78"/>
    <w:qFormat/>
    <w:uiPriority w:val="99"/>
    <w:pPr>
      <w:spacing w:line="380" w:lineRule="exact"/>
    </w:pPr>
    <w:rPr>
      <w:sz w:val="24"/>
    </w:rPr>
  </w:style>
  <w:style w:type="paragraph" w:styleId="20">
    <w:name w:val="Body Text Indent"/>
    <w:basedOn w:val="1"/>
    <w:link w:val="79"/>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index 4"/>
    <w:basedOn w:val="1"/>
    <w:next w:val="1"/>
    <w:qFormat/>
    <w:uiPriority w:val="99"/>
    <w:pPr>
      <w:ind w:left="600" w:leftChars="600"/>
    </w:p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80"/>
    <w:qFormat/>
    <w:uiPriority w:val="0"/>
    <w:rPr>
      <w:rFonts w:ascii="宋体" w:hAnsi="Courier New" w:cs="Courier New"/>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81"/>
    <w:qFormat/>
    <w:uiPriority w:val="99"/>
    <w:pPr>
      <w:ind w:left="100" w:leftChars="2500"/>
    </w:pPr>
    <w:rPr>
      <w:rFonts w:ascii="宋体" w:hAnsi="Courier New"/>
      <w:szCs w:val="21"/>
    </w:rPr>
  </w:style>
  <w:style w:type="paragraph" w:styleId="30">
    <w:name w:val="Body Text Indent 2"/>
    <w:basedOn w:val="1"/>
    <w:link w:val="82"/>
    <w:qFormat/>
    <w:uiPriority w:val="99"/>
    <w:pPr>
      <w:ind w:firstLine="630"/>
    </w:pPr>
    <w:rPr>
      <w:sz w:val="32"/>
      <w:szCs w:val="20"/>
    </w:rPr>
  </w:style>
  <w:style w:type="paragraph" w:styleId="31">
    <w:name w:val="Balloon Text"/>
    <w:basedOn w:val="1"/>
    <w:link w:val="83"/>
    <w:qFormat/>
    <w:uiPriority w:val="99"/>
    <w:rPr>
      <w:sz w:val="18"/>
      <w:szCs w:val="18"/>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6">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footnote text"/>
    <w:basedOn w:val="1"/>
    <w:link w:val="87"/>
    <w:qFormat/>
    <w:uiPriority w:val="99"/>
    <w:pPr>
      <w:adjustRightInd w:val="0"/>
      <w:spacing w:line="312" w:lineRule="atLeast"/>
      <w:jc w:val="left"/>
      <w:textAlignment w:val="baseline"/>
    </w:pPr>
    <w:rPr>
      <w:kern w:val="0"/>
      <w:sz w:val="18"/>
      <w:szCs w:val="20"/>
    </w:rPr>
  </w:style>
  <w:style w:type="paragraph" w:styleId="39">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0">
    <w:name w:val="List 5"/>
    <w:basedOn w:val="1"/>
    <w:qFormat/>
    <w:uiPriority w:val="0"/>
    <w:pPr>
      <w:ind w:left="2100" w:hanging="420"/>
    </w:pPr>
    <w:rPr>
      <w:szCs w:val="20"/>
    </w:rPr>
  </w:style>
  <w:style w:type="paragraph" w:styleId="41">
    <w:name w:val="Body Text Indent 3"/>
    <w:basedOn w:val="1"/>
    <w:link w:val="88"/>
    <w:qFormat/>
    <w:uiPriority w:val="0"/>
    <w:pPr>
      <w:spacing w:after="120"/>
      <w:ind w:left="420" w:leftChars="200"/>
    </w:pPr>
    <w:rPr>
      <w:sz w:val="16"/>
      <w:szCs w:val="16"/>
    </w:rPr>
  </w:style>
  <w:style w:type="paragraph" w:styleId="42">
    <w:name w:val="toc 2"/>
    <w:basedOn w:val="1"/>
    <w:next w:val="1"/>
    <w:qFormat/>
    <w:uiPriority w:val="39"/>
    <w:pPr>
      <w:ind w:left="420" w:leftChars="200"/>
    </w:pPr>
  </w:style>
  <w:style w:type="paragraph" w:styleId="43">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9"/>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qFormat/>
    <w:uiPriority w:val="0"/>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91"/>
    <w:qFormat/>
    <w:uiPriority w:val="99"/>
    <w:pPr>
      <w:jc w:val="center"/>
    </w:pPr>
    <w:rPr>
      <w:sz w:val="30"/>
    </w:rPr>
  </w:style>
  <w:style w:type="paragraph" w:styleId="51">
    <w:name w:val="annotation subject"/>
    <w:basedOn w:val="17"/>
    <w:next w:val="17"/>
    <w:link w:val="92"/>
    <w:qFormat/>
    <w:uiPriority w:val="99"/>
    <w:rPr>
      <w:b/>
      <w:bCs/>
    </w:rPr>
  </w:style>
  <w:style w:type="paragraph" w:styleId="52">
    <w:name w:val="Body Text First Indent"/>
    <w:basedOn w:val="19"/>
    <w:link w:val="93"/>
    <w:qFormat/>
    <w:uiPriority w:val="0"/>
    <w:pPr>
      <w:spacing w:after="120" w:line="240" w:lineRule="auto"/>
      <w:ind w:firstLine="420" w:firstLineChars="100"/>
    </w:pPr>
    <w:rPr>
      <w:sz w:val="21"/>
    </w:rPr>
  </w:style>
  <w:style w:type="paragraph" w:styleId="53">
    <w:name w:val="Body Text First Indent 2"/>
    <w:basedOn w:val="20"/>
    <w:link w:val="94"/>
    <w:qFormat/>
    <w:uiPriority w:val="0"/>
    <w:pPr>
      <w:spacing w:after="120"/>
      <w:ind w:left="420" w:leftChars="200" w:firstLine="420" w:firstLineChars="200"/>
    </w:pPr>
    <w:rPr>
      <w:rFonts w:ascii="Times New Roman" w:eastAsia="宋体"/>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99"/>
  </w:style>
  <w:style w:type="character" w:styleId="59">
    <w:name w:val="FollowedHyperlink"/>
    <w:qFormat/>
    <w:uiPriority w:val="99"/>
    <w:rPr>
      <w:color w:val="800080"/>
      <w:u w:val="single"/>
    </w:rPr>
  </w:style>
  <w:style w:type="character" w:styleId="60">
    <w:name w:val="Emphasis"/>
    <w:qFormat/>
    <w:uiPriority w:val="99"/>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paragraph" w:customStyle="1" w:styleId="63">
    <w:name w:val="Default"/>
    <w:next w:val="64"/>
    <w:qFormat/>
    <w:uiPriority w:val="99"/>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6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8"/>
    <w:qFormat/>
    <w:uiPriority w:val="0"/>
    <w:rPr>
      <w:b/>
      <w:bCs/>
      <w:kern w:val="2"/>
      <w:sz w:val="24"/>
      <w:szCs w:val="24"/>
    </w:rPr>
  </w:style>
  <w:style w:type="character" w:customStyle="1" w:styleId="78">
    <w:name w:val="正文文本 字符2"/>
    <w:link w:val="19"/>
    <w:qFormat/>
    <w:uiPriority w:val="99"/>
    <w:rPr>
      <w:kern w:val="2"/>
      <w:sz w:val="24"/>
      <w:szCs w:val="24"/>
    </w:rPr>
  </w:style>
  <w:style w:type="character" w:customStyle="1" w:styleId="79">
    <w:name w:val="正文文本缩进 字符2"/>
    <w:link w:val="20"/>
    <w:qFormat/>
    <w:uiPriority w:val="99"/>
    <w:rPr>
      <w:rFonts w:ascii="仿宋_GB2312" w:eastAsia="仿宋_GB2312"/>
      <w:kern w:val="2"/>
      <w:sz w:val="32"/>
    </w:rPr>
  </w:style>
  <w:style w:type="character" w:customStyle="1" w:styleId="80">
    <w:name w:val="纯文本 字符2"/>
    <w:link w:val="27"/>
    <w:qFormat/>
    <w:uiPriority w:val="99"/>
    <w:rPr>
      <w:rFonts w:ascii="宋体" w:hAnsi="Courier New" w:eastAsia="宋体" w:cs="Courier New"/>
      <w:kern w:val="2"/>
      <w:sz w:val="21"/>
      <w:szCs w:val="21"/>
      <w:lang w:val="en-US" w:eastAsia="zh-CN" w:bidi="ar-SA"/>
    </w:rPr>
  </w:style>
  <w:style w:type="character" w:customStyle="1" w:styleId="81">
    <w:name w:val="日期 字符2"/>
    <w:link w:val="29"/>
    <w:qFormat/>
    <w:uiPriority w:val="99"/>
    <w:rPr>
      <w:rFonts w:ascii="宋体" w:hAnsi="Courier New" w:cs="Courier New"/>
      <w:kern w:val="2"/>
      <w:sz w:val="21"/>
      <w:szCs w:val="21"/>
    </w:rPr>
  </w:style>
  <w:style w:type="character" w:customStyle="1" w:styleId="82">
    <w:name w:val="正文文本缩进 2 字符2"/>
    <w:link w:val="30"/>
    <w:qFormat/>
    <w:uiPriority w:val="99"/>
    <w:rPr>
      <w:kern w:val="2"/>
      <w:sz w:val="32"/>
    </w:rPr>
  </w:style>
  <w:style w:type="character" w:customStyle="1" w:styleId="83">
    <w:name w:val="批注框文本 字符2"/>
    <w:link w:val="31"/>
    <w:qFormat/>
    <w:uiPriority w:val="99"/>
    <w:rPr>
      <w:kern w:val="2"/>
      <w:sz w:val="18"/>
      <w:szCs w:val="18"/>
    </w:rPr>
  </w:style>
  <w:style w:type="character" w:customStyle="1" w:styleId="84">
    <w:name w:val="页脚 字符2"/>
    <w:link w:val="32"/>
    <w:qFormat/>
    <w:uiPriority w:val="99"/>
    <w:rPr>
      <w:kern w:val="2"/>
      <w:sz w:val="18"/>
      <w:szCs w:val="18"/>
    </w:rPr>
  </w:style>
  <w:style w:type="character" w:customStyle="1" w:styleId="85">
    <w:name w:val="页眉 字符2"/>
    <w:link w:val="33"/>
    <w:qFormat/>
    <w:uiPriority w:val="99"/>
    <w:rPr>
      <w:kern w:val="2"/>
      <w:sz w:val="18"/>
      <w:szCs w:val="18"/>
    </w:rPr>
  </w:style>
  <w:style w:type="character" w:customStyle="1" w:styleId="86">
    <w:name w:val="副标题 字符2"/>
    <w:link w:val="36"/>
    <w:qFormat/>
    <w:uiPriority w:val="11"/>
    <w:rPr>
      <w:rFonts w:ascii="Cambria" w:hAnsi="Cambria"/>
      <w:b/>
      <w:bCs/>
      <w:kern w:val="28"/>
      <w:sz w:val="32"/>
      <w:szCs w:val="32"/>
    </w:rPr>
  </w:style>
  <w:style w:type="character" w:customStyle="1" w:styleId="87">
    <w:name w:val="脚注文本 字符2"/>
    <w:link w:val="38"/>
    <w:qFormat/>
    <w:uiPriority w:val="99"/>
    <w:rPr>
      <w:sz w:val="18"/>
    </w:rPr>
  </w:style>
  <w:style w:type="character" w:customStyle="1" w:styleId="88">
    <w:name w:val="正文文本缩进 3 字符2"/>
    <w:link w:val="41"/>
    <w:qFormat/>
    <w:uiPriority w:val="0"/>
    <w:rPr>
      <w:kern w:val="2"/>
      <w:sz w:val="16"/>
      <w:szCs w:val="16"/>
    </w:rPr>
  </w:style>
  <w:style w:type="character" w:customStyle="1" w:styleId="89">
    <w:name w:val="正文文本 2 字符2"/>
    <w:link w:val="44"/>
    <w:qFormat/>
    <w:uiPriority w:val="0"/>
    <w:rPr>
      <w:kern w:val="2"/>
      <w:sz w:val="21"/>
      <w:szCs w:val="24"/>
    </w:rPr>
  </w:style>
  <w:style w:type="character" w:customStyle="1" w:styleId="90">
    <w:name w:val="HTML 预设格式 字符2"/>
    <w:link w:val="47"/>
    <w:qFormat/>
    <w:uiPriority w:val="0"/>
    <w:rPr>
      <w:rFonts w:ascii="黑体" w:hAnsi="Courier New" w:eastAsia="黑体" w:cs="Courier New"/>
    </w:rPr>
  </w:style>
  <w:style w:type="character" w:customStyle="1" w:styleId="91">
    <w:name w:val="标题 字符2"/>
    <w:link w:val="50"/>
    <w:qFormat/>
    <w:uiPriority w:val="99"/>
    <w:rPr>
      <w:kern w:val="2"/>
      <w:sz w:val="30"/>
      <w:szCs w:val="24"/>
    </w:rPr>
  </w:style>
  <w:style w:type="character" w:customStyle="1" w:styleId="92">
    <w:name w:val="批注主题 字符2"/>
    <w:link w:val="51"/>
    <w:qFormat/>
    <w:uiPriority w:val="99"/>
    <w:rPr>
      <w:b/>
      <w:bCs/>
      <w:kern w:val="2"/>
      <w:sz w:val="21"/>
      <w:szCs w:val="24"/>
    </w:rPr>
  </w:style>
  <w:style w:type="character" w:customStyle="1" w:styleId="93">
    <w:name w:val="正文文本首行缩进 字符2"/>
    <w:link w:val="52"/>
    <w:qFormat/>
    <w:uiPriority w:val="0"/>
    <w:rPr>
      <w:kern w:val="2"/>
      <w:sz w:val="21"/>
      <w:szCs w:val="24"/>
    </w:rPr>
  </w:style>
  <w:style w:type="character" w:customStyle="1" w:styleId="94">
    <w:name w:val="正文文本首行缩进 2 字符2"/>
    <w:link w:val="53"/>
    <w:qFormat/>
    <w:uiPriority w:val="0"/>
    <w:rPr>
      <w:kern w:val="2"/>
      <w:sz w:val="21"/>
      <w:szCs w:val="24"/>
    </w:rPr>
  </w:style>
  <w:style w:type="character" w:customStyle="1" w:styleId="95">
    <w:name w:val="content2"/>
    <w:basedOn w:val="56"/>
    <w:qFormat/>
    <w:uiPriority w:val="0"/>
  </w:style>
  <w:style w:type="character" w:customStyle="1" w:styleId="96">
    <w:name w:val="case31"/>
    <w:qFormat/>
    <w:uiPriority w:val="0"/>
    <w:rPr>
      <w:rFonts w:hint="default" w:ascii="_x000B__x000C_" w:hAnsi="_x000B__x000C_"/>
      <w:sz w:val="21"/>
      <w:szCs w:val="21"/>
    </w:rPr>
  </w:style>
  <w:style w:type="character" w:customStyle="1" w:styleId="97">
    <w:name w:val="062"/>
    <w:qFormat/>
    <w:uiPriority w:val="0"/>
    <w:rPr>
      <w:rFonts w:ascii="宋体" w:hAnsi="宋体"/>
      <w:b/>
      <w:bCs/>
      <w:sz w:val="32"/>
    </w:rPr>
  </w:style>
  <w:style w:type="character" w:customStyle="1" w:styleId="98">
    <w:name w:val="f151"/>
    <w:qFormat/>
    <w:uiPriority w:val="0"/>
    <w:rPr>
      <w:sz w:val="23"/>
      <w:szCs w:val="23"/>
    </w:rPr>
  </w:style>
  <w:style w:type="character" w:customStyle="1" w:styleId="99">
    <w:name w:val="unnamed3"/>
    <w:basedOn w:val="56"/>
    <w:qFormat/>
    <w:uiPriority w:val="0"/>
  </w:style>
  <w:style w:type="character" w:customStyle="1" w:styleId="100">
    <w:name w:val="z-窗体顶端 Char"/>
    <w:link w:val="101"/>
    <w:qFormat/>
    <w:uiPriority w:val="0"/>
    <w:rPr>
      <w:rFonts w:ascii="Arial"/>
      <w:vanish/>
      <w:kern w:val="2"/>
      <w:sz w:val="16"/>
      <w:szCs w:val="24"/>
    </w:rPr>
  </w:style>
  <w:style w:type="paragraph" w:customStyle="1" w:styleId="101">
    <w:name w:val="_Style 100"/>
    <w:basedOn w:val="1"/>
    <w:next w:val="1"/>
    <w:link w:val="100"/>
    <w:qFormat/>
    <w:uiPriority w:val="0"/>
    <w:pPr>
      <w:pBdr>
        <w:bottom w:val="single" w:color="auto" w:sz="6" w:space="1"/>
      </w:pBdr>
      <w:jc w:val="center"/>
    </w:pPr>
    <w:rPr>
      <w:rFonts w:ascii="Arial"/>
      <w:vanish/>
      <w:sz w:val="16"/>
    </w:rPr>
  </w:style>
  <w:style w:type="character" w:customStyle="1" w:styleId="102">
    <w:name w:val="gray12"/>
    <w:basedOn w:val="56"/>
    <w:qFormat/>
    <w:uiPriority w:val="0"/>
  </w:style>
  <w:style w:type="character" w:customStyle="1" w:styleId="103">
    <w:name w:val="style11"/>
    <w:qFormat/>
    <w:uiPriority w:val="0"/>
    <w:rPr>
      <w:rFonts w:hint="default" w:ascii="Arial" w:hAnsi="Arial" w:cs="Arial"/>
    </w:rPr>
  </w:style>
  <w:style w:type="character" w:customStyle="1" w:styleId="104">
    <w:name w:val="纯文本 Char1"/>
    <w:qFormat/>
    <w:uiPriority w:val="99"/>
    <w:rPr>
      <w:rFonts w:ascii="宋体" w:hAnsi="Courier New" w:eastAsia="宋体" w:cs="Courier New"/>
      <w:kern w:val="2"/>
      <w:sz w:val="21"/>
      <w:szCs w:val="21"/>
      <w:lang w:val="en-US" w:eastAsia="zh-CN" w:bidi="ar-SA"/>
    </w:rPr>
  </w:style>
  <w:style w:type="character" w:customStyle="1" w:styleId="105">
    <w:name w:val="text11"/>
    <w:qFormat/>
    <w:uiPriority w:val="0"/>
    <w:rPr>
      <w:rFonts w:hint="default" w:ascii="Verdana" w:hAnsi="Verdana"/>
      <w:color w:val="4E4E4E"/>
      <w:sz w:val="18"/>
      <w:szCs w:val="18"/>
    </w:rPr>
  </w:style>
  <w:style w:type="character" w:customStyle="1" w:styleId="106">
    <w:name w:val="1ji Char"/>
    <w:link w:val="107"/>
    <w:qFormat/>
    <w:uiPriority w:val="0"/>
    <w:rPr>
      <w:rFonts w:ascii="宋体" w:hAnsi="宋体" w:eastAsia="宋体"/>
      <w:b/>
      <w:bCs/>
      <w:kern w:val="44"/>
      <w:sz w:val="36"/>
      <w:szCs w:val="44"/>
      <w:lang w:val="en-US" w:eastAsia="zh-CN" w:bidi="ar-SA"/>
    </w:rPr>
  </w:style>
  <w:style w:type="paragraph" w:customStyle="1" w:styleId="107">
    <w:name w:val="1ji"/>
    <w:basedOn w:val="2"/>
    <w:link w:val="106"/>
    <w:qFormat/>
    <w:uiPriority w:val="0"/>
    <w:pPr>
      <w:keepLines w:val="0"/>
      <w:widowControl/>
      <w:spacing w:before="0" w:after="0" w:line="240" w:lineRule="auto"/>
      <w:jc w:val="center"/>
    </w:pPr>
    <w:rPr>
      <w:rFonts w:ascii="宋体" w:hAnsi="宋体"/>
      <w:sz w:val="36"/>
    </w:rPr>
  </w:style>
  <w:style w:type="character" w:customStyle="1" w:styleId="108">
    <w:name w:val="short_text1"/>
    <w:qFormat/>
    <w:uiPriority w:val="0"/>
    <w:rPr>
      <w:sz w:val="26"/>
    </w:rPr>
  </w:style>
  <w:style w:type="character" w:customStyle="1" w:styleId="109">
    <w:name w:val="mark8"/>
    <w:qFormat/>
    <w:uiPriority w:val="0"/>
    <w:rPr>
      <w:b/>
      <w:bCs/>
      <w:sz w:val="21"/>
      <w:szCs w:val="21"/>
    </w:rPr>
  </w:style>
  <w:style w:type="character" w:customStyle="1" w:styleId="110">
    <w:name w:val="white"/>
    <w:basedOn w:val="56"/>
    <w:qFormat/>
    <w:uiPriority w:val="0"/>
  </w:style>
  <w:style w:type="character" w:customStyle="1" w:styleId="111">
    <w:name w:val="graytext1"/>
    <w:qFormat/>
    <w:uiPriority w:val="0"/>
    <w:rPr>
      <w:color w:val="666666"/>
    </w:rPr>
  </w:style>
  <w:style w:type="character" w:customStyle="1" w:styleId="112">
    <w:name w:val="small"/>
    <w:basedOn w:val="56"/>
    <w:qFormat/>
    <w:uiPriority w:val="0"/>
  </w:style>
  <w:style w:type="character" w:customStyle="1" w:styleId="113">
    <w:name w:val="style21"/>
    <w:qFormat/>
    <w:uiPriority w:val="0"/>
    <w:rPr>
      <w:sz w:val="17"/>
      <w:szCs w:val="17"/>
    </w:rPr>
  </w:style>
  <w:style w:type="character" w:customStyle="1" w:styleId="114">
    <w:name w:val="1051"/>
    <w:qFormat/>
    <w:uiPriority w:val="0"/>
    <w:rPr>
      <w:sz w:val="21"/>
      <w:szCs w:val="21"/>
    </w:rPr>
  </w:style>
  <w:style w:type="character" w:customStyle="1" w:styleId="115">
    <w:name w:val="apple-converted-space"/>
    <w:qFormat/>
    <w:uiPriority w:val="0"/>
  </w:style>
  <w:style w:type="character" w:customStyle="1" w:styleId="116">
    <w:name w:val="font01"/>
    <w:qFormat/>
    <w:uiPriority w:val="0"/>
    <w:rPr>
      <w:rFonts w:hint="eastAsia" w:ascii="宋体" w:hAnsi="宋体" w:eastAsia="宋体"/>
      <w:color w:val="000000"/>
      <w:sz w:val="22"/>
      <w:szCs w:val="22"/>
      <w:u w:val="none"/>
    </w:rPr>
  </w:style>
  <w:style w:type="character" w:customStyle="1" w:styleId="117">
    <w:name w:val="标题3 Char"/>
    <w:link w:val="118"/>
    <w:qFormat/>
    <w:uiPriority w:val="0"/>
    <w:rPr>
      <w:rFonts w:ascii="宋体" w:hAnsi="宋体"/>
      <w:b/>
      <w:bCs/>
      <w:kern w:val="44"/>
      <w:sz w:val="24"/>
      <w:szCs w:val="24"/>
    </w:rPr>
  </w:style>
  <w:style w:type="paragraph" w:customStyle="1" w:styleId="118">
    <w:name w:val="标题3"/>
    <w:basedOn w:val="2"/>
    <w:link w:val="117"/>
    <w:qFormat/>
    <w:uiPriority w:val="0"/>
    <w:pPr>
      <w:spacing w:before="0" w:beforeLines="50" w:after="0" w:afterLines="50" w:line="400" w:lineRule="exact"/>
    </w:pPr>
    <w:rPr>
      <w:rFonts w:ascii="宋体" w:hAnsi="宋体"/>
      <w:sz w:val="24"/>
      <w:szCs w:val="24"/>
    </w:rPr>
  </w:style>
  <w:style w:type="paragraph" w:customStyle="1" w:styleId="119">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1">
    <w:name w:val="Char1"/>
    <w:basedOn w:val="1"/>
    <w:qFormat/>
    <w:uiPriority w:val="99"/>
    <w:rPr>
      <w:szCs w:val="21"/>
    </w:rPr>
  </w:style>
  <w:style w:type="paragraph" w:styleId="122">
    <w:name w:val="List Paragraph"/>
    <w:basedOn w:val="1"/>
    <w:qFormat/>
    <w:uiPriority w:val="34"/>
    <w:pPr>
      <w:ind w:firstLine="420" w:firstLineChars="200"/>
    </w:pPr>
    <w:rPr>
      <w:rFonts w:ascii="Calibri" w:hAnsi="Calibri"/>
      <w:szCs w:val="22"/>
    </w:rPr>
  </w:style>
  <w:style w:type="paragraph" w:customStyle="1" w:styleId="123">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4">
    <w:name w:val="2"/>
    <w:qFormat/>
    <w:uiPriority w:val="0"/>
    <w:pPr>
      <w:widowControl w:val="0"/>
      <w:jc w:val="both"/>
    </w:pPr>
    <w:rPr>
      <w:rFonts w:ascii="等线" w:hAnsi="等线" w:eastAsia="等线" w:cs="等线"/>
      <w:kern w:val="2"/>
      <w:sz w:val="21"/>
      <w:szCs w:val="24"/>
      <w:lang w:val="en-US" w:eastAsia="zh-CN" w:bidi="ar-SA"/>
    </w:rPr>
  </w:style>
  <w:style w:type="paragraph" w:customStyle="1" w:styleId="125">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7">
    <w:name w:val="正文首行缩进两字符"/>
    <w:basedOn w:val="1"/>
    <w:qFormat/>
    <w:uiPriority w:val="0"/>
    <w:pPr>
      <w:spacing w:line="360" w:lineRule="auto"/>
      <w:ind w:firstLine="200" w:firstLineChars="200"/>
    </w:pPr>
  </w:style>
  <w:style w:type="paragraph" w:customStyle="1" w:styleId="128">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2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0">
    <w:name w:val="Char Char Char"/>
    <w:basedOn w:val="1"/>
    <w:qFormat/>
    <w:uiPriority w:val="0"/>
    <w:rPr>
      <w:rFonts w:ascii="Tahoma" w:hAnsi="Tahoma"/>
      <w:sz w:val="24"/>
      <w:szCs w:val="20"/>
    </w:rPr>
  </w:style>
  <w:style w:type="paragraph" w:customStyle="1" w:styleId="131">
    <w:name w:val="样式 首行缩进:  2 字符"/>
    <w:basedOn w:val="1"/>
    <w:qFormat/>
    <w:uiPriority w:val="0"/>
    <w:pPr>
      <w:spacing w:line="400" w:lineRule="exact"/>
      <w:ind w:firstLine="200" w:firstLineChars="200"/>
    </w:pPr>
    <w:rPr>
      <w:rFonts w:cs="宋体"/>
      <w:sz w:val="24"/>
    </w:rPr>
  </w:style>
  <w:style w:type="paragraph" w:customStyle="1" w:styleId="132">
    <w:name w:val="表格"/>
    <w:basedOn w:val="1"/>
    <w:qFormat/>
    <w:uiPriority w:val="0"/>
    <w:pPr>
      <w:spacing w:line="400" w:lineRule="exact"/>
    </w:pPr>
    <w:rPr>
      <w:sz w:val="24"/>
    </w:rPr>
  </w:style>
  <w:style w:type="paragraph" w:customStyle="1" w:styleId="133">
    <w:name w:val="Char Char Char Char Char Char Char"/>
    <w:basedOn w:val="1"/>
    <w:qFormat/>
    <w:uiPriority w:val="0"/>
  </w:style>
  <w:style w:type="paragraph" w:customStyle="1" w:styleId="134">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35">
    <w:name w:val="样式1"/>
    <w:basedOn w:val="1"/>
    <w:qFormat/>
    <w:uiPriority w:val="99"/>
    <w:pPr>
      <w:spacing w:before="120" w:after="120" w:line="300" w:lineRule="auto"/>
    </w:pPr>
    <w:rPr>
      <w:rFonts w:ascii="宋体" w:hAnsi="宋体"/>
      <w:b/>
      <w:sz w:val="24"/>
      <w:szCs w:val="20"/>
    </w:rPr>
  </w:style>
  <w:style w:type="paragraph" w:customStyle="1" w:styleId="1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7">
    <w:name w:val="Char Char Char Char Char Char Char11"/>
    <w:basedOn w:val="1"/>
    <w:qFormat/>
    <w:uiPriority w:val="99"/>
  </w:style>
  <w:style w:type="paragraph" w:customStyle="1" w:styleId="13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9">
    <w:name w:val="次小点说明 Char"/>
    <w:basedOn w:val="7"/>
    <w:qFormat/>
    <w:uiPriority w:val="0"/>
    <w:pPr>
      <w:ind w:firstLine="0"/>
    </w:pPr>
    <w:rPr>
      <w:sz w:val="24"/>
      <w:szCs w:val="24"/>
    </w:rPr>
  </w:style>
  <w:style w:type="paragraph" w:customStyle="1" w:styleId="140">
    <w:name w:val="五号正文（标准）"/>
    <w:basedOn w:val="1"/>
    <w:qFormat/>
    <w:uiPriority w:val="0"/>
    <w:pPr>
      <w:spacing w:line="360" w:lineRule="auto"/>
      <w:ind w:right="55" w:firstLine="560" w:firstLineChars="200"/>
    </w:pPr>
    <w:rPr>
      <w:rFonts w:eastAsia="仿宋_GB2312"/>
      <w:sz w:val="28"/>
      <w:szCs w:val="20"/>
    </w:rPr>
  </w:style>
  <w:style w:type="paragraph" w:customStyle="1" w:styleId="1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3">
    <w:name w:val="默认段落字体 Para Char Char Char Char Char Char Char Char Char1 Char Char Char Char"/>
    <w:basedOn w:val="1"/>
    <w:qFormat/>
    <w:uiPriority w:val="0"/>
    <w:rPr>
      <w:rFonts w:ascii="Tahoma" w:hAnsi="Tahoma"/>
      <w:sz w:val="24"/>
      <w:szCs w:val="20"/>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等线" w:cs="Arial"/>
      <w:kern w:val="2"/>
      <w:lang w:val="en-US" w:eastAsia="zh-CN" w:bidi="ar-SA"/>
    </w:rPr>
  </w:style>
  <w:style w:type="paragraph" w:customStyle="1" w:styleId="145">
    <w:name w:val="Char Char Char Char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7">
    <w:name w:val="Char31"/>
    <w:basedOn w:val="1"/>
    <w:qFormat/>
    <w:uiPriority w:val="0"/>
    <w:pPr>
      <w:tabs>
        <w:tab w:val="left" w:pos="360"/>
      </w:tabs>
      <w:ind w:left="252" w:hanging="252" w:hangingChars="140"/>
    </w:pPr>
    <w:rPr>
      <w:rFonts w:ascii="宋体"/>
      <w:sz w:val="18"/>
      <w:szCs w:val="18"/>
    </w:rPr>
  </w:style>
  <w:style w:type="paragraph" w:customStyle="1" w:styleId="14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0">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1">
    <w:name w:val="F2"/>
    <w:basedOn w:val="1"/>
    <w:qFormat/>
    <w:uiPriority w:val="0"/>
    <w:pPr>
      <w:autoSpaceDE w:val="0"/>
      <w:autoSpaceDN w:val="0"/>
      <w:adjustRightInd w:val="0"/>
      <w:ind w:firstLine="601"/>
      <w:textAlignment w:val="baseline"/>
    </w:pPr>
    <w:rPr>
      <w:kern w:val="0"/>
      <w:sz w:val="24"/>
      <w:szCs w:val="20"/>
    </w:rPr>
  </w:style>
  <w:style w:type="paragraph" w:customStyle="1" w:styleId="152">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3">
    <w:name w:val="List Paragraph1"/>
    <w:basedOn w:val="1"/>
    <w:qFormat/>
    <w:uiPriority w:val="0"/>
    <w:pPr>
      <w:ind w:firstLine="420" w:firstLineChars="200"/>
    </w:pPr>
    <w:rPr>
      <w:rFonts w:ascii="Calibri" w:hAnsi="Calibri"/>
      <w:szCs w:val="22"/>
    </w:rPr>
  </w:style>
  <w:style w:type="paragraph" w:customStyle="1" w:styleId="15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7">
    <w:name w:val="默认段落字体 Para Char"/>
    <w:basedOn w:val="1"/>
    <w:qFormat/>
    <w:uiPriority w:val="0"/>
    <w:pPr>
      <w:adjustRightInd w:val="0"/>
      <w:spacing w:line="360" w:lineRule="auto"/>
    </w:pPr>
    <w:rPr>
      <w:kern w:val="0"/>
      <w:sz w:val="24"/>
      <w:szCs w:val="20"/>
    </w:rPr>
  </w:style>
  <w:style w:type="paragraph" w:customStyle="1" w:styleId="15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9">
    <w:name w:val="样式"/>
    <w:qFormat/>
    <w:uiPriority w:val="0"/>
    <w:pPr>
      <w:widowControl w:val="0"/>
      <w:autoSpaceDE w:val="0"/>
      <w:autoSpaceDN w:val="0"/>
      <w:adjustRightInd w:val="0"/>
    </w:pPr>
    <w:rPr>
      <w:rFonts w:ascii="宋体" w:hAnsi="宋体" w:eastAsia="等线" w:cs="宋体"/>
      <w:sz w:val="24"/>
      <w:szCs w:val="24"/>
      <w:lang w:val="en-US" w:eastAsia="zh-CN" w:bidi="ar-SA"/>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62">
    <w:name w:val="正文段"/>
    <w:basedOn w:val="1"/>
    <w:qFormat/>
    <w:uiPriority w:val="0"/>
    <w:pPr>
      <w:widowControl/>
      <w:snapToGrid w:val="0"/>
      <w:spacing w:after="156" w:afterLines="50"/>
      <w:ind w:firstLine="200" w:firstLineChars="200"/>
    </w:pPr>
    <w:rPr>
      <w:kern w:val="0"/>
      <w:sz w:val="24"/>
      <w:szCs w:val="20"/>
    </w:rPr>
  </w:style>
  <w:style w:type="paragraph" w:customStyle="1" w:styleId="163">
    <w:name w:val="1"/>
    <w:basedOn w:val="1"/>
    <w:next w:val="27"/>
    <w:qFormat/>
    <w:uiPriority w:val="99"/>
    <w:rPr>
      <w:rFonts w:ascii="宋体" w:hAnsi="Courier New"/>
      <w:szCs w:val="20"/>
    </w:rPr>
  </w:style>
  <w:style w:type="paragraph" w:customStyle="1" w:styleId="164">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65">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6">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67">
    <w:name w:val="444"/>
    <w:basedOn w:val="1"/>
    <w:qFormat/>
    <w:uiPriority w:val="0"/>
    <w:pPr>
      <w:adjustRightInd w:val="0"/>
      <w:spacing w:line="312" w:lineRule="atLeast"/>
      <w:jc w:val="center"/>
      <w:textAlignment w:val="baseline"/>
    </w:pPr>
    <w:rPr>
      <w:b/>
      <w:kern w:val="0"/>
      <w:sz w:val="36"/>
      <w:szCs w:val="36"/>
    </w:rPr>
  </w:style>
  <w:style w:type="paragraph" w:customStyle="1" w:styleId="168">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0">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2">
    <w:name w:val="_Style 171"/>
    <w:unhideWhenUsed/>
    <w:qFormat/>
    <w:uiPriority w:val="99"/>
    <w:rPr>
      <w:rFonts w:ascii="等线" w:hAnsi="等线" w:eastAsia="等线" w:cs="等线"/>
      <w:kern w:val="2"/>
      <w:sz w:val="21"/>
      <w:szCs w:val="24"/>
      <w:lang w:val="en-US" w:eastAsia="zh-CN" w:bidi="ar-SA"/>
    </w:rPr>
  </w:style>
  <w:style w:type="character" w:customStyle="1" w:styleId="173">
    <w:name w:val="Char Char18"/>
    <w:qFormat/>
    <w:uiPriority w:val="99"/>
    <w:rPr>
      <w:rFonts w:ascii="Times New Roman" w:hAnsi="Times New Roman" w:eastAsia="宋体" w:cs="Times New Roman"/>
      <w:b/>
      <w:bCs/>
      <w:sz w:val="28"/>
      <w:szCs w:val="28"/>
    </w:rPr>
  </w:style>
  <w:style w:type="character" w:customStyle="1" w:styleId="174">
    <w:name w:val="标题4 Char Char"/>
    <w:link w:val="175"/>
    <w:qFormat/>
    <w:uiPriority w:val="99"/>
    <w:rPr>
      <w:rFonts w:ascii="Arial" w:hAnsi="Arial"/>
      <w:b/>
      <w:bCs/>
      <w:sz w:val="24"/>
      <w:szCs w:val="32"/>
    </w:rPr>
  </w:style>
  <w:style w:type="paragraph" w:customStyle="1" w:styleId="175">
    <w:name w:val="标题4"/>
    <w:basedOn w:val="3"/>
    <w:next w:val="24"/>
    <w:link w:val="174"/>
    <w:qFormat/>
    <w:uiPriority w:val="99"/>
    <w:rPr>
      <w:rFonts w:eastAsia="宋体"/>
      <w:kern w:val="0"/>
      <w:sz w:val="24"/>
    </w:rPr>
  </w:style>
  <w:style w:type="character" w:customStyle="1" w:styleId="176">
    <w:name w:val="批注框文本 Char1"/>
    <w:qFormat/>
    <w:uiPriority w:val="99"/>
    <w:rPr>
      <w:kern w:val="2"/>
      <w:sz w:val="18"/>
      <w:szCs w:val="18"/>
    </w:rPr>
  </w:style>
  <w:style w:type="character" w:customStyle="1" w:styleId="177">
    <w:name w:val="批注文字 Char Char"/>
    <w:qFormat/>
    <w:uiPriority w:val="99"/>
    <w:rPr>
      <w:rFonts w:ascii="宋体" w:hAnsi="Times New Roman" w:eastAsia="宋体" w:cs="Times New Roman"/>
      <w:sz w:val="28"/>
      <w:szCs w:val="20"/>
    </w:rPr>
  </w:style>
  <w:style w:type="character" w:customStyle="1" w:styleId="178">
    <w:name w:val="日期 Char1"/>
    <w:qFormat/>
    <w:uiPriority w:val="99"/>
    <w:rPr>
      <w:kern w:val="2"/>
      <w:sz w:val="21"/>
      <w:szCs w:val="22"/>
    </w:rPr>
  </w:style>
  <w:style w:type="character" w:customStyle="1" w:styleId="179">
    <w:name w:val="正文文本 Char1"/>
    <w:qFormat/>
    <w:uiPriority w:val="99"/>
    <w:rPr>
      <w:kern w:val="2"/>
      <w:sz w:val="21"/>
      <w:szCs w:val="22"/>
    </w:rPr>
  </w:style>
  <w:style w:type="character" w:customStyle="1" w:styleId="180">
    <w:name w:val="文档结构图 Char1"/>
    <w:qFormat/>
    <w:uiPriority w:val="99"/>
    <w:rPr>
      <w:rFonts w:ascii="宋体"/>
      <w:kern w:val="2"/>
      <w:sz w:val="18"/>
      <w:szCs w:val="18"/>
    </w:rPr>
  </w:style>
  <w:style w:type="character" w:customStyle="1" w:styleId="181">
    <w:name w:val="_Style 180"/>
    <w:qFormat/>
    <w:uiPriority w:val="0"/>
    <w:rPr>
      <w:b/>
      <w:bCs/>
      <w:smallCaps/>
      <w:color w:val="C0504D"/>
      <w:spacing w:val="5"/>
      <w:u w:val="single"/>
    </w:rPr>
  </w:style>
  <w:style w:type="character" w:customStyle="1" w:styleId="182">
    <w:name w:val="明显引用 字符2"/>
    <w:link w:val="183"/>
    <w:qFormat/>
    <w:uiPriority w:val="99"/>
    <w:rPr>
      <w:b/>
      <w:bCs/>
      <w:i/>
      <w:iCs/>
      <w:color w:val="4F81BD"/>
      <w:kern w:val="2"/>
      <w:sz w:val="21"/>
      <w:szCs w:val="22"/>
    </w:rPr>
  </w:style>
  <w:style w:type="paragraph" w:styleId="183">
    <w:name w:val="Intense Quote"/>
    <w:basedOn w:val="1"/>
    <w:next w:val="1"/>
    <w:link w:val="182"/>
    <w:qFormat/>
    <w:uiPriority w:val="99"/>
    <w:pPr>
      <w:pBdr>
        <w:bottom w:val="single" w:color="4F81BD" w:sz="4" w:space="4"/>
      </w:pBdr>
      <w:spacing w:before="200" w:after="280"/>
      <w:ind w:left="936" w:right="936"/>
    </w:pPr>
    <w:rPr>
      <w:b/>
      <w:bCs/>
      <w:i/>
      <w:iCs/>
      <w:color w:val="4F81BD"/>
      <w:szCs w:val="22"/>
    </w:rPr>
  </w:style>
  <w:style w:type="character" w:customStyle="1" w:styleId="184">
    <w:name w:val="st1"/>
    <w:basedOn w:val="56"/>
    <w:qFormat/>
    <w:uiPriority w:val="0"/>
  </w:style>
  <w:style w:type="character" w:customStyle="1" w:styleId="185">
    <w:name w:val="_Style 184"/>
    <w:qFormat/>
    <w:uiPriority w:val="0"/>
    <w:rPr>
      <w:b/>
      <w:bCs/>
      <w:i/>
      <w:iCs/>
      <w:color w:val="4F81BD"/>
    </w:rPr>
  </w:style>
  <w:style w:type="character" w:customStyle="1" w:styleId="186">
    <w:name w:val="_Style 185"/>
    <w:qFormat/>
    <w:uiPriority w:val="0"/>
    <w:rPr>
      <w:b/>
      <w:bCs/>
      <w:smallCaps/>
      <w:spacing w:val="5"/>
    </w:rPr>
  </w:style>
  <w:style w:type="character" w:customStyle="1" w:styleId="187">
    <w:name w:val="_Style 186"/>
    <w:qFormat/>
    <w:uiPriority w:val="0"/>
    <w:rPr>
      <w:smallCaps/>
      <w:color w:val="C0504D"/>
      <w:u w:val="single"/>
    </w:rPr>
  </w:style>
  <w:style w:type="character" w:customStyle="1" w:styleId="188">
    <w:name w:val="textcontents"/>
    <w:qFormat/>
    <w:uiPriority w:val="99"/>
    <w:rPr>
      <w:rFonts w:cs="Times New Roman"/>
    </w:rPr>
  </w:style>
  <w:style w:type="character" w:customStyle="1" w:styleId="189">
    <w:name w:val="标题5 Char Char"/>
    <w:link w:val="190"/>
    <w:qFormat/>
    <w:uiPriority w:val="99"/>
    <w:rPr>
      <w:rFonts w:ascii="Arial" w:hAnsi="Arial"/>
      <w:b/>
      <w:bCs/>
      <w:sz w:val="24"/>
      <w:szCs w:val="32"/>
    </w:rPr>
  </w:style>
  <w:style w:type="paragraph" w:customStyle="1" w:styleId="190">
    <w:name w:val="标题5"/>
    <w:basedOn w:val="4"/>
    <w:link w:val="189"/>
    <w:qFormat/>
    <w:uiPriority w:val="99"/>
    <w:rPr>
      <w:rFonts w:ascii="Arial" w:hAnsi="Arial"/>
      <w:kern w:val="0"/>
      <w:sz w:val="24"/>
    </w:rPr>
  </w:style>
  <w:style w:type="character" w:customStyle="1" w:styleId="191">
    <w:name w:val="_Style 190"/>
    <w:qFormat/>
    <w:uiPriority w:val="0"/>
    <w:rPr>
      <w:i/>
      <w:iCs/>
      <w:color w:val="808080"/>
    </w:rPr>
  </w:style>
  <w:style w:type="character" w:customStyle="1" w:styleId="192">
    <w:name w:val="批注主题 Char1"/>
    <w:qFormat/>
    <w:uiPriority w:val="99"/>
    <w:rPr>
      <w:b/>
      <w:bCs/>
      <w:kern w:val="2"/>
      <w:sz w:val="21"/>
      <w:szCs w:val="22"/>
    </w:rPr>
  </w:style>
  <w:style w:type="character" w:customStyle="1" w:styleId="193">
    <w:name w:val="引用 字符2"/>
    <w:link w:val="194"/>
    <w:qFormat/>
    <w:uiPriority w:val="99"/>
    <w:rPr>
      <w:i/>
      <w:iCs/>
      <w:color w:val="000000"/>
      <w:kern w:val="2"/>
      <w:sz w:val="21"/>
      <w:szCs w:val="22"/>
    </w:rPr>
  </w:style>
  <w:style w:type="paragraph" w:styleId="194">
    <w:name w:val="Quote"/>
    <w:basedOn w:val="1"/>
    <w:next w:val="1"/>
    <w:link w:val="193"/>
    <w:qFormat/>
    <w:uiPriority w:val="99"/>
    <w:rPr>
      <w:i/>
      <w:iCs/>
      <w:color w:val="000000"/>
      <w:szCs w:val="22"/>
    </w:rPr>
  </w:style>
  <w:style w:type="character" w:customStyle="1" w:styleId="195">
    <w:name w:val="副标题 Char1"/>
    <w:qFormat/>
    <w:uiPriority w:val="0"/>
    <w:rPr>
      <w:rFonts w:ascii="Cambria" w:hAnsi="Cambria" w:cs="Times New Roman"/>
      <w:b/>
      <w:bCs/>
      <w:kern w:val="28"/>
      <w:sz w:val="32"/>
      <w:szCs w:val="32"/>
    </w:rPr>
  </w:style>
  <w:style w:type="character" w:customStyle="1" w:styleId="196">
    <w:name w:val="引用 Char1"/>
    <w:qFormat/>
    <w:uiPriority w:val="99"/>
    <w:rPr>
      <w:i/>
      <w:iCs/>
      <w:color w:val="000000"/>
      <w:kern w:val="2"/>
      <w:sz w:val="21"/>
      <w:szCs w:val="24"/>
    </w:rPr>
  </w:style>
  <w:style w:type="paragraph" w:customStyle="1" w:styleId="197">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198">
    <w:name w:val="No Spacing"/>
    <w:qFormat/>
    <w:uiPriority w:val="0"/>
    <w:pPr>
      <w:widowControl w:val="0"/>
      <w:jc w:val="both"/>
    </w:pPr>
    <w:rPr>
      <w:rFonts w:ascii="Calibri" w:hAnsi="Calibri" w:eastAsia="等线" w:cs="等线"/>
      <w:kern w:val="2"/>
      <w:sz w:val="21"/>
      <w:szCs w:val="22"/>
      <w:lang w:val="en-US" w:eastAsia="zh-CN" w:bidi="ar-SA"/>
    </w:rPr>
  </w:style>
  <w:style w:type="character" w:customStyle="1" w:styleId="199">
    <w:name w:val="明显引用 Char1"/>
    <w:qFormat/>
    <w:uiPriority w:val="99"/>
    <w:rPr>
      <w:b/>
      <w:bCs/>
      <w:i/>
      <w:iCs/>
      <w:color w:val="4F81BD"/>
      <w:kern w:val="2"/>
      <w:sz w:val="21"/>
      <w:szCs w:val="24"/>
    </w:rPr>
  </w:style>
  <w:style w:type="paragraph" w:customStyle="1" w:styleId="200">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1">
    <w:name w:val="4"/>
    <w:basedOn w:val="1"/>
    <w:next w:val="27"/>
    <w:qFormat/>
    <w:uiPriority w:val="0"/>
    <w:rPr>
      <w:rFonts w:ascii="宋体" w:hAnsi="Courier New" w:cs="Courier New"/>
      <w:szCs w:val="21"/>
    </w:rPr>
  </w:style>
  <w:style w:type="paragraph" w:customStyle="1" w:styleId="202">
    <w:name w:val="Char Char Char Char1"/>
    <w:basedOn w:val="1"/>
    <w:qFormat/>
    <w:uiPriority w:val="0"/>
    <w:pPr>
      <w:ind w:firstLine="200" w:firstLineChars="200"/>
    </w:pPr>
    <w:rPr>
      <w:rFonts w:ascii="宋体" w:hAnsi="宋体" w:cs="宋体"/>
      <w:sz w:val="24"/>
    </w:rPr>
  </w:style>
  <w:style w:type="character" w:customStyle="1" w:styleId="203">
    <w:name w:val="Heading 3 Char1"/>
    <w:qFormat/>
    <w:uiPriority w:val="99"/>
    <w:rPr>
      <w:rFonts w:eastAsia="宋体"/>
      <w:b/>
      <w:bCs/>
      <w:kern w:val="2"/>
      <w:sz w:val="24"/>
      <w:szCs w:val="32"/>
      <w:lang w:val="en-US" w:eastAsia="zh-CN" w:bidi="ar-SA"/>
    </w:rPr>
  </w:style>
  <w:style w:type="character" w:customStyle="1" w:styleId="204">
    <w:name w:val="Balloon Text Char"/>
    <w:qFormat/>
    <w:uiPriority w:val="99"/>
    <w:rPr>
      <w:sz w:val="18"/>
      <w:lang w:bidi="ar-SA"/>
    </w:rPr>
  </w:style>
  <w:style w:type="character" w:customStyle="1" w:styleId="205">
    <w:name w:val="Char Char20"/>
    <w:qFormat/>
    <w:uiPriority w:val="99"/>
    <w:rPr>
      <w:rFonts w:ascii="Times New Roman" w:hAnsi="Times New Roman" w:eastAsia="宋体" w:cs="Times New Roman"/>
      <w:b/>
      <w:bCs/>
      <w:sz w:val="24"/>
      <w:szCs w:val="32"/>
    </w:rPr>
  </w:style>
  <w:style w:type="character" w:customStyle="1" w:styleId="206">
    <w:name w:val="Footer Char"/>
    <w:qFormat/>
    <w:uiPriority w:val="99"/>
    <w:rPr>
      <w:rFonts w:eastAsia="宋体"/>
      <w:kern w:val="2"/>
      <w:sz w:val="18"/>
      <w:szCs w:val="18"/>
      <w:lang w:val="en-US" w:eastAsia="zh-CN" w:bidi="ar-SA"/>
    </w:rPr>
  </w:style>
  <w:style w:type="character" w:customStyle="1" w:styleId="207">
    <w:name w:val="Body Text Indent 2 Char"/>
    <w:qFormat/>
    <w:uiPriority w:val="99"/>
    <w:rPr>
      <w:rFonts w:eastAsia="宋体"/>
      <w:kern w:val="2"/>
      <w:sz w:val="21"/>
      <w:szCs w:val="24"/>
      <w:lang w:val="en-US" w:eastAsia="zh-CN" w:bidi="ar-SA"/>
    </w:rPr>
  </w:style>
  <w:style w:type="character" w:customStyle="1" w:styleId="208">
    <w:name w:val="Comment Text Char"/>
    <w:qFormat/>
    <w:uiPriority w:val="99"/>
    <w:rPr>
      <w:rFonts w:cs="Times New Roman"/>
      <w:sz w:val="24"/>
      <w:szCs w:val="24"/>
    </w:rPr>
  </w:style>
  <w:style w:type="character" w:customStyle="1" w:styleId="209">
    <w:name w:val="Char Char23"/>
    <w:qFormat/>
    <w:uiPriority w:val="99"/>
    <w:rPr>
      <w:rFonts w:eastAsia="宋体"/>
      <w:b/>
      <w:bCs/>
      <w:kern w:val="44"/>
      <w:sz w:val="32"/>
      <w:szCs w:val="44"/>
      <w:lang w:val="en-US" w:eastAsia="zh-CN" w:bidi="ar-SA"/>
    </w:rPr>
  </w:style>
  <w:style w:type="character" w:customStyle="1" w:styleId="210">
    <w:name w:val="标题 Char2"/>
    <w:qFormat/>
    <w:uiPriority w:val="99"/>
    <w:rPr>
      <w:rFonts w:ascii="Cambria" w:hAnsi="Cambria" w:eastAsia="宋体" w:cs="Times New Roman"/>
      <w:b/>
      <w:bCs/>
      <w:sz w:val="32"/>
      <w:szCs w:val="32"/>
    </w:rPr>
  </w:style>
  <w:style w:type="character" w:customStyle="1" w:styleId="211">
    <w:name w:val="Char Char22"/>
    <w:qFormat/>
    <w:uiPriority w:val="99"/>
    <w:rPr>
      <w:rFonts w:ascii="Times New Roman" w:hAnsi="Times New Roman" w:eastAsia="宋体" w:cs="Times New Roman"/>
      <w:b/>
      <w:bCs/>
      <w:kern w:val="44"/>
      <w:sz w:val="32"/>
      <w:szCs w:val="44"/>
    </w:rPr>
  </w:style>
  <w:style w:type="character" w:customStyle="1" w:styleId="212">
    <w:name w:val="Heading 1 Char"/>
    <w:qFormat/>
    <w:uiPriority w:val="99"/>
    <w:rPr>
      <w:rFonts w:eastAsia="宋体"/>
      <w:b/>
      <w:bCs/>
      <w:kern w:val="44"/>
      <w:sz w:val="32"/>
      <w:szCs w:val="44"/>
      <w:lang w:val="en-US" w:eastAsia="zh-CN" w:bidi="ar-SA"/>
    </w:rPr>
  </w:style>
  <w:style w:type="character" w:customStyle="1" w:styleId="213">
    <w:name w:val="Char Char9"/>
    <w:qFormat/>
    <w:uiPriority w:val="99"/>
    <w:rPr>
      <w:rFonts w:eastAsia="宋体"/>
      <w:b/>
      <w:bCs/>
      <w:kern w:val="44"/>
      <w:sz w:val="32"/>
      <w:szCs w:val="44"/>
      <w:lang w:val="en-US" w:eastAsia="zh-CN" w:bidi="ar-SA"/>
    </w:rPr>
  </w:style>
  <w:style w:type="character" w:customStyle="1" w:styleId="214">
    <w:name w:val="Char Char21"/>
    <w:qFormat/>
    <w:uiPriority w:val="99"/>
    <w:rPr>
      <w:rFonts w:ascii="Arial" w:hAnsi="Arial" w:eastAsia="黑体" w:cs="Times New Roman"/>
      <w:b/>
      <w:bCs/>
      <w:sz w:val="32"/>
      <w:szCs w:val="32"/>
    </w:rPr>
  </w:style>
  <w:style w:type="character" w:customStyle="1" w:styleId="215">
    <w:name w:val="Comment Subject Char"/>
    <w:qFormat/>
    <w:uiPriority w:val="99"/>
    <w:rPr>
      <w:b/>
      <w:sz w:val="24"/>
      <w:lang w:bidi="ar-SA"/>
    </w:rPr>
  </w:style>
  <w:style w:type="character" w:customStyle="1" w:styleId="216">
    <w:name w:val="Title Char"/>
    <w:qFormat/>
    <w:uiPriority w:val="99"/>
    <w:rPr>
      <w:rFonts w:ascii="Cambria" w:hAnsi="Cambria"/>
      <w:b/>
      <w:sz w:val="32"/>
      <w:lang w:bidi="ar-SA"/>
    </w:rPr>
  </w:style>
  <w:style w:type="character" w:customStyle="1" w:styleId="217">
    <w:name w:val="Heading 5 Char"/>
    <w:qFormat/>
    <w:uiPriority w:val="99"/>
    <w:rPr>
      <w:rFonts w:eastAsia="宋体"/>
      <w:b/>
      <w:bCs/>
      <w:kern w:val="2"/>
      <w:sz w:val="28"/>
      <w:szCs w:val="28"/>
      <w:lang w:val="en-US" w:eastAsia="zh-CN" w:bidi="ar-SA"/>
    </w:rPr>
  </w:style>
  <w:style w:type="character" w:customStyle="1" w:styleId="218">
    <w:name w:val="Body Text Indent Char"/>
    <w:qFormat/>
    <w:uiPriority w:val="99"/>
    <w:rPr>
      <w:rFonts w:ascii="宋体" w:hAnsi="宋体" w:eastAsia="宋体"/>
      <w:kern w:val="2"/>
      <w:sz w:val="21"/>
      <w:lang w:val="en-US" w:eastAsia="zh-CN" w:bidi="ar-SA"/>
    </w:rPr>
  </w:style>
  <w:style w:type="character" w:customStyle="1" w:styleId="219">
    <w:name w:val="Footnote Text Char"/>
    <w:qFormat/>
    <w:uiPriority w:val="99"/>
    <w:rPr>
      <w:rFonts w:eastAsia="宋体"/>
      <w:sz w:val="18"/>
      <w:lang w:val="en-US" w:eastAsia="zh-CN" w:bidi="ar-SA"/>
    </w:rPr>
  </w:style>
  <w:style w:type="character" w:customStyle="1" w:styleId="220">
    <w:name w:val="批注文字 Char1"/>
    <w:qFormat/>
    <w:uiPriority w:val="99"/>
    <w:rPr>
      <w:rFonts w:ascii="Times New Roman" w:hAnsi="Times New Roman" w:eastAsia="宋体" w:cs="Times New Roman"/>
      <w:szCs w:val="24"/>
    </w:rPr>
  </w:style>
  <w:style w:type="character" w:customStyle="1" w:styleId="221">
    <w:name w:val="标题 Char1"/>
    <w:qFormat/>
    <w:uiPriority w:val="99"/>
    <w:rPr>
      <w:rFonts w:ascii="Cambria" w:hAnsi="Cambria" w:eastAsia="宋体" w:cs="Times New Roman"/>
      <w:b/>
      <w:bCs/>
      <w:sz w:val="32"/>
      <w:szCs w:val="32"/>
    </w:rPr>
  </w:style>
  <w:style w:type="character" w:customStyle="1" w:styleId="222">
    <w:name w:val="Document Map Char"/>
    <w:qFormat/>
    <w:uiPriority w:val="99"/>
    <w:rPr>
      <w:rFonts w:eastAsia="宋体"/>
      <w:kern w:val="2"/>
      <w:sz w:val="21"/>
      <w:szCs w:val="24"/>
      <w:lang w:val="en-US" w:eastAsia="zh-CN" w:bidi="ar-SA"/>
    </w:rPr>
  </w:style>
  <w:style w:type="character" w:customStyle="1" w:styleId="223">
    <w:name w:val="Date Char"/>
    <w:qFormat/>
    <w:uiPriority w:val="99"/>
    <w:rPr>
      <w:rFonts w:eastAsia="宋体"/>
      <w:kern w:val="2"/>
      <w:sz w:val="21"/>
      <w:szCs w:val="24"/>
      <w:lang w:val="en-US" w:eastAsia="zh-CN" w:bidi="ar-SA"/>
    </w:rPr>
  </w:style>
  <w:style w:type="character" w:customStyle="1" w:styleId="224">
    <w:name w:val="Char Char181"/>
    <w:qFormat/>
    <w:uiPriority w:val="99"/>
    <w:rPr>
      <w:b/>
      <w:bCs/>
      <w:kern w:val="44"/>
      <w:sz w:val="44"/>
      <w:szCs w:val="44"/>
    </w:rPr>
  </w:style>
  <w:style w:type="character" w:customStyle="1" w:styleId="225">
    <w:name w:val="Header Char"/>
    <w:qFormat/>
    <w:uiPriority w:val="99"/>
    <w:rPr>
      <w:rFonts w:eastAsia="宋体"/>
      <w:kern w:val="2"/>
      <w:sz w:val="18"/>
      <w:szCs w:val="18"/>
      <w:lang w:val="en-US" w:eastAsia="zh-CN" w:bidi="ar-SA"/>
    </w:rPr>
  </w:style>
  <w:style w:type="character" w:customStyle="1" w:styleId="226">
    <w:name w:val="Char Char19"/>
    <w:qFormat/>
    <w:uiPriority w:val="99"/>
    <w:rPr>
      <w:rFonts w:ascii="Arial" w:hAnsi="Arial" w:eastAsia="宋体" w:cs="Times New Roman"/>
      <w:b/>
      <w:bCs/>
      <w:szCs w:val="28"/>
    </w:rPr>
  </w:style>
  <w:style w:type="character" w:customStyle="1" w:styleId="227">
    <w:name w:val="批注文字 Char2"/>
    <w:qFormat/>
    <w:uiPriority w:val="0"/>
    <w:rPr>
      <w:kern w:val="2"/>
      <w:sz w:val="21"/>
      <w:szCs w:val="24"/>
      <w:lang w:bidi="ar-SA"/>
    </w:rPr>
  </w:style>
  <w:style w:type="character" w:customStyle="1" w:styleId="228">
    <w:name w:val="Plain Text Char"/>
    <w:qFormat/>
    <w:uiPriority w:val="99"/>
    <w:rPr>
      <w:rFonts w:ascii="宋体" w:hAnsi="Courier New" w:eastAsia="宋体"/>
      <w:sz w:val="24"/>
      <w:lang w:bidi="ar-SA"/>
    </w:rPr>
  </w:style>
  <w:style w:type="character" w:customStyle="1" w:styleId="229">
    <w:name w:val="Heading 2 Char"/>
    <w:qFormat/>
    <w:uiPriority w:val="99"/>
    <w:rPr>
      <w:rFonts w:ascii="Arial" w:hAnsi="Arial" w:eastAsia="黑体"/>
      <w:b/>
      <w:bCs/>
      <w:kern w:val="2"/>
      <w:sz w:val="32"/>
      <w:szCs w:val="32"/>
      <w:lang w:val="en-US" w:eastAsia="zh-CN" w:bidi="ar-SA"/>
    </w:rPr>
  </w:style>
  <w:style w:type="character" w:customStyle="1" w:styleId="230">
    <w:name w:val="Heading 3 Char"/>
    <w:qFormat/>
    <w:uiPriority w:val="99"/>
    <w:rPr>
      <w:rFonts w:cs="Times New Roman"/>
      <w:b/>
      <w:bCs/>
      <w:kern w:val="2"/>
      <w:sz w:val="32"/>
      <w:szCs w:val="32"/>
    </w:rPr>
  </w:style>
  <w:style w:type="character" w:customStyle="1" w:styleId="231">
    <w:name w:val="Comment Text Char1"/>
    <w:qFormat/>
    <w:uiPriority w:val="99"/>
    <w:rPr>
      <w:sz w:val="24"/>
      <w:lang w:bidi="ar-SA"/>
    </w:rPr>
  </w:style>
  <w:style w:type="character" w:customStyle="1" w:styleId="232">
    <w:name w:val="Char Char24"/>
    <w:qFormat/>
    <w:uiPriority w:val="99"/>
    <w:rPr>
      <w:rFonts w:eastAsia="宋体"/>
      <w:b/>
      <w:bCs/>
      <w:kern w:val="44"/>
      <w:sz w:val="32"/>
      <w:szCs w:val="44"/>
      <w:lang w:val="en-US" w:eastAsia="zh-CN" w:bidi="ar-SA"/>
    </w:rPr>
  </w:style>
  <w:style w:type="character" w:customStyle="1" w:styleId="233">
    <w:name w:val="Char Char91"/>
    <w:qFormat/>
    <w:uiPriority w:val="99"/>
    <w:rPr>
      <w:rFonts w:eastAsia="宋体"/>
      <w:b/>
      <w:bCs/>
      <w:kern w:val="44"/>
      <w:sz w:val="32"/>
      <w:szCs w:val="44"/>
      <w:lang w:val="en-US" w:eastAsia="zh-CN" w:bidi="ar-SA"/>
    </w:rPr>
  </w:style>
  <w:style w:type="character" w:customStyle="1" w:styleId="234">
    <w:name w:val="Char Char6"/>
    <w:qFormat/>
    <w:uiPriority w:val="99"/>
    <w:rPr>
      <w:rFonts w:eastAsia="宋体"/>
      <w:b/>
      <w:bCs/>
      <w:kern w:val="44"/>
      <w:sz w:val="32"/>
      <w:szCs w:val="44"/>
      <w:lang w:val="en-US" w:eastAsia="zh-CN" w:bidi="ar-SA"/>
    </w:rPr>
  </w:style>
  <w:style w:type="character" w:customStyle="1" w:styleId="235">
    <w:name w:val="Heading 4 Char"/>
    <w:qFormat/>
    <w:uiPriority w:val="99"/>
    <w:rPr>
      <w:rFonts w:ascii="Arial" w:hAnsi="Arial" w:eastAsia="宋体"/>
      <w:b/>
      <w:bCs/>
      <w:kern w:val="2"/>
      <w:sz w:val="21"/>
      <w:szCs w:val="28"/>
      <w:lang w:val="en-US" w:eastAsia="zh-CN" w:bidi="ar-SA"/>
    </w:rPr>
  </w:style>
  <w:style w:type="paragraph" w:customStyle="1" w:styleId="236">
    <w:name w:val="无间隔1"/>
    <w:qFormat/>
    <w:uiPriority w:val="99"/>
    <w:pPr>
      <w:widowControl w:val="0"/>
      <w:jc w:val="both"/>
    </w:pPr>
    <w:rPr>
      <w:rFonts w:ascii="等线" w:hAnsi="等线" w:eastAsia="等线" w:cs="等线"/>
      <w:kern w:val="2"/>
      <w:sz w:val="21"/>
      <w:szCs w:val="24"/>
      <w:lang w:val="en-US" w:eastAsia="zh-CN" w:bidi="ar-SA"/>
    </w:rPr>
  </w:style>
  <w:style w:type="paragraph" w:customStyle="1" w:styleId="237">
    <w:name w:val="列出段落1"/>
    <w:basedOn w:val="1"/>
    <w:qFormat/>
    <w:uiPriority w:val="99"/>
    <w:pPr>
      <w:ind w:firstLine="420" w:firstLineChars="200"/>
    </w:pPr>
    <w:rPr>
      <w:rFonts w:ascii="Calibri" w:hAnsi="Calibri"/>
      <w:szCs w:val="22"/>
    </w:rPr>
  </w:style>
  <w:style w:type="character" w:customStyle="1" w:styleId="238">
    <w:name w:val="明显引用 Char2"/>
    <w:qFormat/>
    <w:uiPriority w:val="30"/>
    <w:rPr>
      <w:rFonts w:ascii="Times New Roman" w:hAnsi="Times New Roman" w:eastAsia="宋体" w:cs="Times New Roman"/>
      <w:b/>
      <w:bCs/>
      <w:i/>
      <w:iCs/>
      <w:color w:val="4F81BD"/>
      <w:szCs w:val="24"/>
    </w:rPr>
  </w:style>
  <w:style w:type="character" w:customStyle="1" w:styleId="239">
    <w:name w:val="脚注文本 Char1"/>
    <w:qFormat/>
    <w:uiPriority w:val="99"/>
    <w:rPr>
      <w:kern w:val="2"/>
      <w:sz w:val="18"/>
      <w:szCs w:val="18"/>
    </w:rPr>
  </w:style>
  <w:style w:type="character" w:customStyle="1" w:styleId="240">
    <w:name w:val="批注框文本 Char2"/>
    <w:semiHidden/>
    <w:qFormat/>
    <w:uiPriority w:val="99"/>
    <w:rPr>
      <w:rFonts w:ascii="Times New Roman" w:hAnsi="Times New Roman" w:eastAsia="宋体" w:cs="Times New Roman"/>
      <w:sz w:val="18"/>
      <w:szCs w:val="18"/>
    </w:rPr>
  </w:style>
  <w:style w:type="character" w:customStyle="1" w:styleId="241">
    <w:name w:val="标题 Char3"/>
    <w:qFormat/>
    <w:uiPriority w:val="10"/>
    <w:rPr>
      <w:rFonts w:ascii="Cambria" w:hAnsi="Cambria" w:eastAsia="宋体" w:cs="Times New Roman"/>
      <w:b/>
      <w:bCs/>
      <w:sz w:val="32"/>
      <w:szCs w:val="32"/>
    </w:rPr>
  </w:style>
  <w:style w:type="character" w:customStyle="1" w:styleId="242">
    <w:name w:val="文档结构图 Char2"/>
    <w:semiHidden/>
    <w:qFormat/>
    <w:uiPriority w:val="99"/>
    <w:rPr>
      <w:rFonts w:ascii="宋体" w:hAnsi="Times New Roman" w:eastAsia="宋体" w:cs="Times New Roman"/>
      <w:sz w:val="18"/>
      <w:szCs w:val="18"/>
    </w:rPr>
  </w:style>
  <w:style w:type="character" w:customStyle="1" w:styleId="243">
    <w:name w:val="页脚 Char1"/>
    <w:semiHidden/>
    <w:qFormat/>
    <w:uiPriority w:val="99"/>
    <w:rPr>
      <w:rFonts w:ascii="Times New Roman" w:hAnsi="Times New Roman" w:eastAsia="宋体" w:cs="Times New Roman"/>
      <w:sz w:val="18"/>
      <w:szCs w:val="18"/>
    </w:rPr>
  </w:style>
  <w:style w:type="character" w:customStyle="1" w:styleId="244">
    <w:name w:val="正文文本 Char2"/>
    <w:semiHidden/>
    <w:qFormat/>
    <w:uiPriority w:val="99"/>
    <w:rPr>
      <w:rFonts w:ascii="Times New Roman" w:hAnsi="Times New Roman" w:eastAsia="宋体" w:cs="Times New Roman"/>
      <w:szCs w:val="24"/>
    </w:rPr>
  </w:style>
  <w:style w:type="character" w:customStyle="1" w:styleId="245">
    <w:name w:val="批注文字 Char3"/>
    <w:semiHidden/>
    <w:qFormat/>
    <w:uiPriority w:val="99"/>
    <w:rPr>
      <w:rFonts w:ascii="Times New Roman" w:hAnsi="Times New Roman" w:eastAsia="宋体" w:cs="Times New Roman"/>
      <w:szCs w:val="24"/>
    </w:rPr>
  </w:style>
  <w:style w:type="character" w:customStyle="1" w:styleId="246">
    <w:name w:val="批注主题 Char2"/>
    <w:semiHidden/>
    <w:qFormat/>
    <w:uiPriority w:val="99"/>
    <w:rPr>
      <w:rFonts w:ascii="Times New Roman" w:hAnsi="Times New Roman" w:eastAsia="宋体" w:cs="Times New Roman"/>
      <w:b/>
      <w:bCs/>
      <w:szCs w:val="24"/>
    </w:rPr>
  </w:style>
  <w:style w:type="character" w:customStyle="1" w:styleId="247">
    <w:name w:val="日期 Char2"/>
    <w:semiHidden/>
    <w:qFormat/>
    <w:uiPriority w:val="99"/>
    <w:rPr>
      <w:rFonts w:ascii="Times New Roman" w:hAnsi="Times New Roman" w:eastAsia="宋体" w:cs="Times New Roman"/>
      <w:szCs w:val="24"/>
    </w:rPr>
  </w:style>
  <w:style w:type="paragraph" w:customStyle="1" w:styleId="248">
    <w:name w:val="p0"/>
    <w:basedOn w:val="1"/>
    <w:qFormat/>
    <w:uiPriority w:val="99"/>
    <w:pPr>
      <w:widowControl/>
    </w:pPr>
    <w:rPr>
      <w:rFonts w:ascii="Calibri" w:hAnsi="Calibri" w:cs="宋体"/>
      <w:kern w:val="0"/>
      <w:szCs w:val="21"/>
    </w:rPr>
  </w:style>
  <w:style w:type="paragraph" w:customStyle="1" w:styleId="249">
    <w:name w:val="_Style 37"/>
    <w:basedOn w:val="1"/>
    <w:next w:val="1"/>
    <w:qFormat/>
    <w:uiPriority w:val="99"/>
  </w:style>
  <w:style w:type="character" w:customStyle="1" w:styleId="250">
    <w:name w:val="页眉 Char1"/>
    <w:semiHidden/>
    <w:qFormat/>
    <w:uiPriority w:val="99"/>
    <w:rPr>
      <w:rFonts w:ascii="Times New Roman" w:hAnsi="Times New Roman" w:eastAsia="宋体" w:cs="Times New Roman"/>
      <w:sz w:val="18"/>
      <w:szCs w:val="18"/>
    </w:rPr>
  </w:style>
  <w:style w:type="character" w:customStyle="1" w:styleId="251">
    <w:name w:val="纯文本 Char2"/>
    <w:semiHidden/>
    <w:qFormat/>
    <w:uiPriority w:val="99"/>
    <w:rPr>
      <w:rFonts w:ascii="宋体" w:hAnsi="Courier New" w:eastAsia="宋体" w:cs="Courier New"/>
      <w:szCs w:val="21"/>
    </w:rPr>
  </w:style>
  <w:style w:type="character" w:customStyle="1" w:styleId="252">
    <w:name w:val="正文文本缩进 Char1"/>
    <w:semiHidden/>
    <w:qFormat/>
    <w:uiPriority w:val="99"/>
    <w:rPr>
      <w:rFonts w:ascii="Times New Roman" w:hAnsi="Times New Roman" w:eastAsia="宋体" w:cs="Times New Roman"/>
      <w:szCs w:val="24"/>
    </w:rPr>
  </w:style>
  <w:style w:type="character" w:customStyle="1" w:styleId="253">
    <w:name w:val="引用 Char2"/>
    <w:qFormat/>
    <w:uiPriority w:val="29"/>
    <w:rPr>
      <w:rFonts w:ascii="Times New Roman" w:hAnsi="Times New Roman" w:eastAsia="宋体" w:cs="Times New Roman"/>
      <w:i/>
      <w:iCs/>
      <w:color w:val="000000"/>
      <w:szCs w:val="24"/>
    </w:rPr>
  </w:style>
  <w:style w:type="paragraph" w:customStyle="1" w:styleId="254">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5">
    <w:name w:val="正文文本缩进 2 Char1"/>
    <w:semiHidden/>
    <w:qFormat/>
    <w:uiPriority w:val="99"/>
    <w:rPr>
      <w:rFonts w:ascii="Times New Roman" w:hAnsi="Times New Roman" w:eastAsia="宋体" w:cs="Times New Roman"/>
      <w:szCs w:val="24"/>
    </w:rPr>
  </w:style>
  <w:style w:type="paragraph" w:customStyle="1" w:styleId="256">
    <w:name w:val="正文_1_0"/>
    <w:qFormat/>
    <w:uiPriority w:val="0"/>
    <w:pPr>
      <w:widowControl w:val="0"/>
      <w:jc w:val="both"/>
    </w:pPr>
    <w:rPr>
      <w:rFonts w:ascii="等线" w:hAnsi="等线" w:eastAsia="等线" w:cs="等线"/>
      <w:kern w:val="2"/>
      <w:sz w:val="21"/>
      <w:szCs w:val="24"/>
      <w:lang w:val="en-US" w:eastAsia="zh-CN" w:bidi="ar-SA"/>
    </w:rPr>
  </w:style>
  <w:style w:type="paragraph" w:customStyle="1" w:styleId="257">
    <w:name w:val="正文_1"/>
    <w:qFormat/>
    <w:uiPriority w:val="99"/>
    <w:pPr>
      <w:widowControl w:val="0"/>
      <w:jc w:val="both"/>
    </w:pPr>
    <w:rPr>
      <w:rFonts w:ascii="等线" w:hAnsi="等线" w:eastAsia="等线" w:cs="等线"/>
      <w:kern w:val="2"/>
      <w:sz w:val="21"/>
      <w:szCs w:val="24"/>
      <w:lang w:val="en-US" w:eastAsia="zh-CN" w:bidi="ar-SA"/>
    </w:rPr>
  </w:style>
  <w:style w:type="character" w:customStyle="1" w:styleId="258">
    <w:name w:val="批注文字 字符"/>
    <w:qFormat/>
    <w:locked/>
    <w:uiPriority w:val="0"/>
    <w:rPr>
      <w:rFonts w:eastAsia="宋体"/>
      <w:kern w:val="2"/>
      <w:sz w:val="24"/>
      <w:szCs w:val="24"/>
      <w:lang w:val="en-US" w:eastAsia="zh-CN"/>
    </w:rPr>
  </w:style>
  <w:style w:type="character" w:customStyle="1" w:styleId="259">
    <w:name w:val="标题 7 字符"/>
    <w:qFormat/>
    <w:uiPriority w:val="9"/>
    <w:rPr>
      <w:b/>
      <w:bCs/>
      <w:kern w:val="2"/>
      <w:sz w:val="24"/>
      <w:szCs w:val="24"/>
    </w:rPr>
  </w:style>
  <w:style w:type="character" w:customStyle="1" w:styleId="260">
    <w:name w:val="明显引用 字符"/>
    <w:qFormat/>
    <w:uiPriority w:val="0"/>
    <w:rPr>
      <w:b/>
      <w:bCs/>
      <w:i/>
      <w:iCs/>
      <w:color w:val="4F81BD"/>
      <w:kern w:val="2"/>
      <w:sz w:val="21"/>
      <w:szCs w:val="22"/>
    </w:rPr>
  </w:style>
  <w:style w:type="character" w:customStyle="1" w:styleId="261">
    <w:name w:val="标题 1 字符"/>
    <w:qFormat/>
    <w:uiPriority w:val="99"/>
    <w:rPr>
      <w:b/>
      <w:bCs/>
      <w:kern w:val="44"/>
      <w:sz w:val="44"/>
      <w:szCs w:val="44"/>
    </w:rPr>
  </w:style>
  <w:style w:type="character" w:customStyle="1" w:styleId="262">
    <w:name w:val="日期 字符"/>
    <w:qFormat/>
    <w:uiPriority w:val="99"/>
    <w:rPr>
      <w:rFonts w:ascii="宋体" w:hAnsi="Times New Roman"/>
      <w:sz w:val="28"/>
    </w:rPr>
  </w:style>
  <w:style w:type="character" w:customStyle="1" w:styleId="263">
    <w:name w:val="页眉 字符"/>
    <w:qFormat/>
    <w:uiPriority w:val="99"/>
    <w:rPr>
      <w:kern w:val="2"/>
      <w:sz w:val="18"/>
      <w:szCs w:val="18"/>
    </w:rPr>
  </w:style>
  <w:style w:type="character" w:customStyle="1" w:styleId="264">
    <w:name w:val="文档结构图 字符"/>
    <w:qFormat/>
    <w:uiPriority w:val="99"/>
    <w:rPr>
      <w:rFonts w:ascii="Times New Roman" w:hAnsi="Times New Roman"/>
      <w:szCs w:val="24"/>
      <w:shd w:val="clear" w:color="auto" w:fill="000080"/>
    </w:rPr>
  </w:style>
  <w:style w:type="character" w:customStyle="1" w:styleId="265">
    <w:name w:val="引用 字符"/>
    <w:qFormat/>
    <w:uiPriority w:val="0"/>
    <w:rPr>
      <w:i/>
      <w:iCs/>
      <w:color w:val="000000"/>
      <w:kern w:val="2"/>
      <w:sz w:val="21"/>
      <w:szCs w:val="22"/>
    </w:rPr>
  </w:style>
  <w:style w:type="character" w:customStyle="1" w:styleId="266">
    <w:name w:val="标题 5 字符"/>
    <w:qFormat/>
    <w:uiPriority w:val="99"/>
    <w:rPr>
      <w:b/>
      <w:bCs/>
      <w:kern w:val="2"/>
      <w:sz w:val="28"/>
      <w:szCs w:val="28"/>
    </w:rPr>
  </w:style>
  <w:style w:type="character" w:customStyle="1" w:styleId="267">
    <w:name w:val="正文文本 字符"/>
    <w:qFormat/>
    <w:uiPriority w:val="99"/>
    <w:rPr>
      <w:rFonts w:ascii="Times New Roman" w:hAnsi="Times New Roman"/>
    </w:rPr>
  </w:style>
  <w:style w:type="character" w:customStyle="1" w:styleId="268">
    <w:name w:val="批注框文本 字符"/>
    <w:qFormat/>
    <w:uiPriority w:val="99"/>
    <w:rPr>
      <w:rFonts w:ascii="宋体" w:hAnsi="Times New Roman"/>
      <w:sz w:val="18"/>
      <w:szCs w:val="18"/>
    </w:rPr>
  </w:style>
  <w:style w:type="character" w:customStyle="1" w:styleId="269">
    <w:name w:val="标题 8 字符"/>
    <w:qFormat/>
    <w:uiPriority w:val="9"/>
    <w:rPr>
      <w:rFonts w:ascii="Cambria" w:hAnsi="Cambria" w:eastAsia="宋体" w:cs="Times New Roman"/>
      <w:kern w:val="2"/>
      <w:sz w:val="24"/>
      <w:szCs w:val="24"/>
    </w:rPr>
  </w:style>
  <w:style w:type="character" w:customStyle="1" w:styleId="270">
    <w:name w:val="批注主题 字符"/>
    <w:qFormat/>
    <w:uiPriority w:val="99"/>
    <w:rPr>
      <w:rFonts w:ascii="宋体" w:hAnsi="Times New Roman"/>
      <w:b/>
      <w:bCs/>
      <w:sz w:val="28"/>
    </w:rPr>
  </w:style>
  <w:style w:type="character" w:customStyle="1" w:styleId="271">
    <w:name w:val="标题 4 字符"/>
    <w:qFormat/>
    <w:uiPriority w:val="99"/>
    <w:rPr>
      <w:rFonts w:ascii="Cambria" w:hAnsi="Cambria" w:eastAsia="宋体" w:cs="Times New Roman"/>
      <w:b/>
      <w:bCs/>
      <w:kern w:val="2"/>
      <w:sz w:val="28"/>
      <w:szCs w:val="28"/>
    </w:rPr>
  </w:style>
  <w:style w:type="character" w:customStyle="1" w:styleId="272">
    <w:name w:val="标题 9 字符"/>
    <w:qFormat/>
    <w:uiPriority w:val="9"/>
    <w:rPr>
      <w:rFonts w:ascii="Cambria" w:hAnsi="Cambria" w:eastAsia="宋体" w:cs="Times New Roman"/>
      <w:kern w:val="2"/>
      <w:sz w:val="21"/>
      <w:szCs w:val="21"/>
    </w:rPr>
  </w:style>
  <w:style w:type="character" w:customStyle="1" w:styleId="273">
    <w:name w:val="标题 2 字符"/>
    <w:qFormat/>
    <w:uiPriority w:val="99"/>
    <w:rPr>
      <w:rFonts w:ascii="Cambria" w:hAnsi="Cambria" w:eastAsia="宋体" w:cs="Times New Roman"/>
      <w:b/>
      <w:bCs/>
      <w:kern w:val="2"/>
      <w:sz w:val="32"/>
      <w:szCs w:val="32"/>
    </w:rPr>
  </w:style>
  <w:style w:type="character" w:customStyle="1" w:styleId="274">
    <w:name w:val="标题 3 字符"/>
    <w:qFormat/>
    <w:uiPriority w:val="99"/>
    <w:rPr>
      <w:b/>
      <w:bCs/>
      <w:kern w:val="2"/>
      <w:sz w:val="32"/>
      <w:szCs w:val="32"/>
    </w:rPr>
  </w:style>
  <w:style w:type="character" w:customStyle="1" w:styleId="275">
    <w:name w:val="标题 字符"/>
    <w:qFormat/>
    <w:uiPriority w:val="99"/>
    <w:rPr>
      <w:rFonts w:ascii="Cambria" w:hAnsi="Cambria" w:cs="Times New Roman"/>
      <w:b/>
      <w:bCs/>
      <w:kern w:val="2"/>
      <w:sz w:val="32"/>
      <w:szCs w:val="32"/>
    </w:rPr>
  </w:style>
  <w:style w:type="character" w:customStyle="1" w:styleId="276">
    <w:name w:val="标题 6 字符"/>
    <w:qFormat/>
    <w:uiPriority w:val="9"/>
    <w:rPr>
      <w:rFonts w:ascii="Cambria" w:hAnsi="Cambria" w:eastAsia="宋体" w:cs="Times New Roman"/>
      <w:b/>
      <w:bCs/>
      <w:kern w:val="2"/>
      <w:sz w:val="24"/>
      <w:szCs w:val="24"/>
    </w:rPr>
  </w:style>
  <w:style w:type="character" w:customStyle="1" w:styleId="277">
    <w:name w:val="副标题 字符"/>
    <w:qFormat/>
    <w:uiPriority w:val="11"/>
    <w:rPr>
      <w:rFonts w:ascii="Cambria" w:hAnsi="Cambria" w:cs="Times New Roman"/>
      <w:b/>
      <w:bCs/>
      <w:kern w:val="28"/>
      <w:sz w:val="32"/>
      <w:szCs w:val="32"/>
    </w:rPr>
  </w:style>
  <w:style w:type="character" w:customStyle="1" w:styleId="278">
    <w:name w:val="页脚 字符"/>
    <w:qFormat/>
    <w:uiPriority w:val="99"/>
    <w:rPr>
      <w:kern w:val="2"/>
      <w:sz w:val="18"/>
      <w:szCs w:val="18"/>
    </w:rPr>
  </w:style>
  <w:style w:type="character" w:customStyle="1" w:styleId="279">
    <w:name w:val="不明显参考1"/>
    <w:qFormat/>
    <w:uiPriority w:val="99"/>
    <w:rPr>
      <w:smallCaps/>
      <w:color w:val="auto"/>
      <w:u w:val="single"/>
    </w:rPr>
  </w:style>
  <w:style w:type="character" w:customStyle="1" w:styleId="280">
    <w:name w:val="明显参考1"/>
    <w:qFormat/>
    <w:uiPriority w:val="99"/>
    <w:rPr>
      <w:b/>
      <w:bCs/>
      <w:smallCaps/>
      <w:color w:val="auto"/>
      <w:spacing w:val="5"/>
      <w:u w:val="single"/>
    </w:rPr>
  </w:style>
  <w:style w:type="character" w:customStyle="1" w:styleId="281">
    <w:name w:val="明显强调1"/>
    <w:qFormat/>
    <w:uiPriority w:val="99"/>
    <w:rPr>
      <w:b/>
      <w:bCs/>
      <w:i/>
      <w:iCs/>
      <w:color w:val="4F81BD"/>
    </w:rPr>
  </w:style>
  <w:style w:type="character" w:customStyle="1" w:styleId="282">
    <w:name w:val="书籍标题1"/>
    <w:qFormat/>
    <w:uiPriority w:val="99"/>
    <w:rPr>
      <w:b/>
      <w:bCs/>
      <w:smallCaps/>
      <w:spacing w:val="5"/>
    </w:rPr>
  </w:style>
  <w:style w:type="character" w:customStyle="1" w:styleId="283">
    <w:name w:val="不明显强调1"/>
    <w:qFormat/>
    <w:uiPriority w:val="99"/>
    <w:rPr>
      <w:i/>
      <w:iCs/>
      <w:color w:val="808080"/>
    </w:rPr>
  </w:style>
  <w:style w:type="paragraph" w:customStyle="1" w:styleId="284">
    <w:name w:val="TOC 标题1"/>
    <w:basedOn w:val="2"/>
    <w:next w:val="1"/>
    <w:qFormat/>
    <w:uiPriority w:val="99"/>
    <w:pPr>
      <w:outlineLvl w:val="9"/>
    </w:pPr>
    <w:rPr>
      <w:rFonts w:ascii="Calibri" w:hAnsi="Calibri" w:eastAsia="黑体" w:cs="Calibri"/>
      <w:lang w:val="zh-CN"/>
    </w:rPr>
  </w:style>
  <w:style w:type="paragraph" w:customStyle="1" w:styleId="285">
    <w:name w:val="列出段落2"/>
    <w:basedOn w:val="1"/>
    <w:qFormat/>
    <w:uiPriority w:val="99"/>
    <w:pPr>
      <w:ind w:firstLine="420" w:firstLineChars="200"/>
    </w:pPr>
    <w:rPr>
      <w:rFonts w:ascii="Calibri" w:hAnsi="Calibri" w:cs="Calibri"/>
      <w:szCs w:val="21"/>
    </w:rPr>
  </w:style>
  <w:style w:type="paragraph" w:customStyle="1" w:styleId="286">
    <w:name w:val="引用1"/>
    <w:basedOn w:val="1"/>
    <w:next w:val="1"/>
    <w:qFormat/>
    <w:uiPriority w:val="99"/>
    <w:rPr>
      <w:i/>
      <w:iCs/>
      <w:color w:val="000000"/>
      <w:kern w:val="0"/>
      <w:sz w:val="20"/>
      <w:szCs w:val="20"/>
    </w:rPr>
  </w:style>
  <w:style w:type="paragraph" w:customStyle="1" w:styleId="287">
    <w:name w:val="无间隔11"/>
    <w:qFormat/>
    <w:uiPriority w:val="99"/>
    <w:pPr>
      <w:widowControl w:val="0"/>
      <w:jc w:val="both"/>
    </w:pPr>
    <w:rPr>
      <w:rFonts w:ascii="等线" w:hAnsi="等线" w:eastAsia="等线" w:cs="等线"/>
      <w:kern w:val="2"/>
      <w:sz w:val="21"/>
      <w:szCs w:val="21"/>
      <w:lang w:val="en-US" w:eastAsia="zh-CN" w:bidi="ar-SA"/>
    </w:rPr>
  </w:style>
  <w:style w:type="paragraph" w:customStyle="1" w:styleId="288">
    <w:name w:val="修订1"/>
    <w:qFormat/>
    <w:uiPriority w:val="99"/>
    <w:rPr>
      <w:rFonts w:ascii="等线" w:hAnsi="等线" w:eastAsia="等线" w:cs="等线"/>
      <w:kern w:val="2"/>
      <w:sz w:val="21"/>
      <w:szCs w:val="21"/>
      <w:lang w:val="en-US" w:eastAsia="zh-CN" w:bidi="ar-SA"/>
    </w:rPr>
  </w:style>
  <w:style w:type="paragraph" w:customStyle="1" w:styleId="289">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0">
    <w:name w:val="纯文本 字符"/>
    <w:qFormat/>
    <w:uiPriority w:val="0"/>
    <w:rPr>
      <w:rFonts w:ascii="宋体" w:hAnsi="Courier New" w:cs="宋体"/>
      <w:kern w:val="2"/>
      <w:sz w:val="24"/>
      <w:szCs w:val="24"/>
    </w:rPr>
  </w:style>
  <w:style w:type="character" w:customStyle="1" w:styleId="291">
    <w:name w:val="批注文字 字符1"/>
    <w:qFormat/>
    <w:uiPriority w:val="0"/>
    <w:rPr>
      <w:kern w:val="2"/>
      <w:sz w:val="21"/>
      <w:szCs w:val="22"/>
    </w:rPr>
  </w:style>
  <w:style w:type="paragraph" w:customStyle="1" w:styleId="292">
    <w:name w:val="正文_0_0_0_0"/>
    <w:qFormat/>
    <w:uiPriority w:val="0"/>
    <w:pPr>
      <w:widowControl w:val="0"/>
      <w:jc w:val="both"/>
    </w:pPr>
    <w:rPr>
      <w:rFonts w:ascii="Calibri" w:hAnsi="Calibri" w:eastAsia="等线" w:cs="等线"/>
      <w:kern w:val="2"/>
      <w:sz w:val="21"/>
      <w:szCs w:val="22"/>
      <w:lang w:val="en-US" w:eastAsia="zh-CN" w:bidi="ar-SA"/>
    </w:rPr>
  </w:style>
  <w:style w:type="character" w:customStyle="1" w:styleId="293">
    <w:name w:val="_Style 292"/>
    <w:unhideWhenUsed/>
    <w:qFormat/>
    <w:uiPriority w:val="99"/>
    <w:rPr>
      <w:color w:val="605E5C"/>
      <w:shd w:val="clear" w:color="auto" w:fill="E1DFDD"/>
    </w:rPr>
  </w:style>
  <w:style w:type="character" w:customStyle="1" w:styleId="294">
    <w:name w:val="纯文本 字符1"/>
    <w:qFormat/>
    <w:uiPriority w:val="99"/>
    <w:rPr>
      <w:rFonts w:ascii="宋体" w:hAnsi="Courier New" w:eastAsia="宋体" w:cs="Courier New"/>
      <w:kern w:val="2"/>
      <w:sz w:val="21"/>
      <w:szCs w:val="21"/>
      <w:lang w:val="en-US" w:eastAsia="zh-CN" w:bidi="ar-SA"/>
    </w:rPr>
  </w:style>
  <w:style w:type="character" w:customStyle="1" w:styleId="295">
    <w:name w:val="页眉 字符1"/>
    <w:qFormat/>
    <w:uiPriority w:val="99"/>
    <w:rPr>
      <w:sz w:val="18"/>
      <w:szCs w:val="18"/>
    </w:rPr>
  </w:style>
  <w:style w:type="character" w:customStyle="1" w:styleId="296">
    <w:name w:val="文档结构图 字符1"/>
    <w:qFormat/>
    <w:uiPriority w:val="99"/>
    <w:rPr>
      <w:shd w:val="clear" w:color="auto" w:fill="000080"/>
    </w:rPr>
  </w:style>
  <w:style w:type="character" w:customStyle="1" w:styleId="297">
    <w:name w:val="批注文字 字符2"/>
    <w:qFormat/>
    <w:uiPriority w:val="0"/>
    <w:rPr>
      <w:szCs w:val="24"/>
    </w:rPr>
  </w:style>
  <w:style w:type="character" w:customStyle="1" w:styleId="298">
    <w:name w:val="标题 字符1"/>
    <w:qFormat/>
    <w:uiPriority w:val="99"/>
    <w:rPr>
      <w:sz w:val="30"/>
      <w:szCs w:val="24"/>
    </w:rPr>
  </w:style>
  <w:style w:type="character" w:customStyle="1" w:styleId="299">
    <w:name w:val="标题 6 字符1"/>
    <w:qFormat/>
    <w:uiPriority w:val="0"/>
    <w:rPr>
      <w:rFonts w:ascii="Arial" w:hAnsi="Arial" w:eastAsia="黑体" w:cs="Times New Roman"/>
      <w:b/>
      <w:sz w:val="24"/>
      <w:szCs w:val="24"/>
    </w:rPr>
  </w:style>
  <w:style w:type="character" w:customStyle="1" w:styleId="300">
    <w:name w:val="正文文本 字符1"/>
    <w:qFormat/>
    <w:uiPriority w:val="99"/>
    <w:rPr>
      <w:sz w:val="24"/>
      <w:szCs w:val="24"/>
    </w:rPr>
  </w:style>
  <w:style w:type="character" w:customStyle="1" w:styleId="301">
    <w:name w:val="批注主题 字符1"/>
    <w:qFormat/>
    <w:uiPriority w:val="99"/>
    <w:rPr>
      <w:b/>
      <w:bCs/>
      <w:szCs w:val="24"/>
    </w:rPr>
  </w:style>
  <w:style w:type="character" w:customStyle="1" w:styleId="302">
    <w:name w:val="标题 1 字符1"/>
    <w:qFormat/>
    <w:uiPriority w:val="0"/>
    <w:rPr>
      <w:rFonts w:ascii="Times New Roman" w:hAnsi="Times New Roman" w:eastAsia="宋体" w:cs="Times New Roman"/>
      <w:b/>
      <w:bCs/>
      <w:kern w:val="44"/>
      <w:sz w:val="44"/>
      <w:szCs w:val="44"/>
    </w:rPr>
  </w:style>
  <w:style w:type="character" w:customStyle="1" w:styleId="303">
    <w:name w:val="标题 2 字符1"/>
    <w:qFormat/>
    <w:uiPriority w:val="0"/>
    <w:rPr>
      <w:rFonts w:ascii="Arial" w:hAnsi="Arial" w:eastAsia="黑体" w:cs="Times New Roman"/>
      <w:b/>
      <w:bCs/>
      <w:sz w:val="32"/>
      <w:szCs w:val="32"/>
    </w:rPr>
  </w:style>
  <w:style w:type="character" w:customStyle="1" w:styleId="304">
    <w:name w:val="标题 4 字符1"/>
    <w:qFormat/>
    <w:uiPriority w:val="0"/>
    <w:rPr>
      <w:rFonts w:ascii="Arial" w:hAnsi="Arial" w:eastAsia="黑体" w:cs="Times New Roman"/>
      <w:kern w:val="0"/>
      <w:sz w:val="28"/>
      <w:szCs w:val="20"/>
    </w:rPr>
  </w:style>
  <w:style w:type="character" w:customStyle="1" w:styleId="305">
    <w:name w:val="页脚 字符1"/>
    <w:qFormat/>
    <w:uiPriority w:val="99"/>
    <w:rPr>
      <w:sz w:val="18"/>
      <w:szCs w:val="18"/>
    </w:rPr>
  </w:style>
  <w:style w:type="character" w:customStyle="1" w:styleId="306">
    <w:name w:val="日期 字符1"/>
    <w:qFormat/>
    <w:uiPriority w:val="99"/>
    <w:rPr>
      <w:rFonts w:ascii="宋体" w:hAnsi="Courier New" w:cs="Courier New"/>
      <w:szCs w:val="21"/>
    </w:rPr>
  </w:style>
  <w:style w:type="character" w:customStyle="1" w:styleId="307">
    <w:name w:val="正文文本缩进 字符1"/>
    <w:qFormat/>
    <w:uiPriority w:val="99"/>
    <w:rPr>
      <w:rFonts w:ascii="仿宋_GB2312" w:eastAsia="仿宋_GB2312"/>
      <w:sz w:val="32"/>
    </w:rPr>
  </w:style>
  <w:style w:type="character" w:customStyle="1" w:styleId="308">
    <w:name w:val="标题 8 字符1"/>
    <w:qFormat/>
    <w:uiPriority w:val="0"/>
    <w:rPr>
      <w:rFonts w:ascii="Arial" w:hAnsi="Arial" w:eastAsia="黑体" w:cs="Times New Roman"/>
      <w:sz w:val="24"/>
      <w:szCs w:val="24"/>
    </w:rPr>
  </w:style>
  <w:style w:type="character" w:customStyle="1" w:styleId="309">
    <w:name w:val="正文文本缩进 2 字符1"/>
    <w:qFormat/>
    <w:uiPriority w:val="99"/>
    <w:rPr>
      <w:sz w:val="32"/>
    </w:rPr>
  </w:style>
  <w:style w:type="character" w:customStyle="1" w:styleId="310">
    <w:name w:val="z-窗体顶端 字符1"/>
    <w:qFormat/>
    <w:uiPriority w:val="0"/>
    <w:rPr>
      <w:rFonts w:ascii="Arial"/>
      <w:vanish/>
      <w:sz w:val="16"/>
      <w:szCs w:val="24"/>
    </w:rPr>
  </w:style>
  <w:style w:type="character" w:customStyle="1" w:styleId="311">
    <w:name w:val="正文文本 3 字符1"/>
    <w:qFormat/>
    <w:uiPriority w:val="0"/>
    <w:rPr>
      <w:b/>
      <w:bCs/>
      <w:sz w:val="24"/>
      <w:szCs w:val="24"/>
    </w:rPr>
  </w:style>
  <w:style w:type="character" w:customStyle="1" w:styleId="312">
    <w:name w:val="标题 7 字符1"/>
    <w:qFormat/>
    <w:uiPriority w:val="0"/>
    <w:rPr>
      <w:rFonts w:ascii="Times New Roman" w:hAnsi="Times New Roman" w:eastAsia="宋体" w:cs="Times New Roman"/>
      <w:b/>
      <w:sz w:val="24"/>
      <w:szCs w:val="24"/>
    </w:rPr>
  </w:style>
  <w:style w:type="character" w:customStyle="1" w:styleId="313">
    <w:name w:val="正文文本首行缩进 2 字符1"/>
    <w:qFormat/>
    <w:uiPriority w:val="0"/>
    <w:rPr>
      <w:kern w:val="2"/>
      <w:sz w:val="21"/>
      <w:szCs w:val="24"/>
    </w:rPr>
  </w:style>
  <w:style w:type="character" w:customStyle="1" w:styleId="314">
    <w:name w:val="正文文本缩进 3 字符1"/>
    <w:qFormat/>
    <w:uiPriority w:val="0"/>
    <w:rPr>
      <w:sz w:val="16"/>
      <w:szCs w:val="16"/>
    </w:rPr>
  </w:style>
  <w:style w:type="character" w:customStyle="1" w:styleId="315">
    <w:name w:val="标题 5 字符1"/>
    <w:qFormat/>
    <w:uiPriority w:val="0"/>
    <w:rPr>
      <w:rFonts w:ascii="Times New Roman" w:hAnsi="Times New Roman" w:eastAsia="宋体" w:cs="Times New Roman"/>
      <w:b/>
      <w:sz w:val="28"/>
      <w:szCs w:val="24"/>
    </w:rPr>
  </w:style>
  <w:style w:type="character" w:customStyle="1" w:styleId="316">
    <w:name w:val="批注框文本 字符1"/>
    <w:qFormat/>
    <w:uiPriority w:val="99"/>
    <w:rPr>
      <w:sz w:val="18"/>
      <w:szCs w:val="18"/>
    </w:rPr>
  </w:style>
  <w:style w:type="character" w:customStyle="1" w:styleId="317">
    <w:name w:val="标题 3 字符1"/>
    <w:qFormat/>
    <w:uiPriority w:val="0"/>
    <w:rPr>
      <w:rFonts w:ascii="Times New Roman" w:hAnsi="Times New Roman" w:eastAsia="宋体" w:cs="Times New Roman"/>
      <w:b/>
      <w:bCs/>
      <w:sz w:val="32"/>
      <w:szCs w:val="32"/>
    </w:rPr>
  </w:style>
  <w:style w:type="character" w:customStyle="1" w:styleId="318">
    <w:name w:val="标题 9 字符1"/>
    <w:qFormat/>
    <w:uiPriority w:val="0"/>
    <w:rPr>
      <w:rFonts w:ascii="Arial" w:hAnsi="Arial" w:eastAsia="黑体" w:cs="Times New Roman"/>
      <w:szCs w:val="24"/>
    </w:rPr>
  </w:style>
  <w:style w:type="character" w:customStyle="1" w:styleId="319">
    <w:name w:val="正文文本首行缩进 字符1"/>
    <w:qFormat/>
    <w:uiPriority w:val="0"/>
    <w:rPr>
      <w:kern w:val="2"/>
      <w:sz w:val="21"/>
      <w:szCs w:val="24"/>
    </w:rPr>
  </w:style>
  <w:style w:type="character" w:customStyle="1" w:styleId="320">
    <w:name w:val="正文文本 2 字符1"/>
    <w:qFormat/>
    <w:uiPriority w:val="0"/>
    <w:rPr>
      <w:szCs w:val="24"/>
    </w:rPr>
  </w:style>
  <w:style w:type="character" w:customStyle="1" w:styleId="321">
    <w:name w:val="HTML 预设格式 字符1"/>
    <w:qFormat/>
    <w:uiPriority w:val="0"/>
    <w:rPr>
      <w:rFonts w:ascii="黑体" w:hAnsi="Courier New" w:eastAsia="黑体" w:cs="Courier New"/>
    </w:rPr>
  </w:style>
  <w:style w:type="paragraph" w:customStyle="1" w:styleId="322">
    <w:name w:val="3"/>
    <w:basedOn w:val="1"/>
    <w:next w:val="122"/>
    <w:qFormat/>
    <w:uiPriority w:val="0"/>
    <w:pPr>
      <w:ind w:firstLine="420" w:firstLineChars="200"/>
    </w:pPr>
    <w:rPr>
      <w:rFonts w:ascii="Calibri" w:hAnsi="Calibri"/>
      <w:szCs w:val="22"/>
    </w:rPr>
  </w:style>
  <w:style w:type="character" w:customStyle="1" w:styleId="323">
    <w:name w:val="正文文本缩进 2 字符"/>
    <w:qFormat/>
    <w:uiPriority w:val="99"/>
    <w:rPr>
      <w:rFonts w:ascii="Times New Roman" w:hAnsi="Times New Roman" w:eastAsia="宋体" w:cs="Times New Roman"/>
      <w:szCs w:val="24"/>
    </w:rPr>
  </w:style>
  <w:style w:type="character" w:customStyle="1" w:styleId="324">
    <w:name w:val="正文文本缩进 字符"/>
    <w:qFormat/>
    <w:uiPriority w:val="99"/>
    <w:rPr>
      <w:rFonts w:ascii="Times New Roman" w:hAnsi="Times New Roman" w:eastAsia="宋体" w:cs="Times New Roman"/>
      <w:szCs w:val="24"/>
    </w:rPr>
  </w:style>
  <w:style w:type="character" w:customStyle="1" w:styleId="325">
    <w:name w:val="正文文本 3 字符"/>
    <w:semiHidden/>
    <w:qFormat/>
    <w:uiPriority w:val="99"/>
    <w:rPr>
      <w:rFonts w:ascii="Times New Roman" w:hAnsi="Times New Roman" w:eastAsia="宋体" w:cs="Times New Roman"/>
      <w:sz w:val="16"/>
      <w:szCs w:val="16"/>
    </w:rPr>
  </w:style>
  <w:style w:type="character" w:customStyle="1" w:styleId="326">
    <w:name w:val="HTML 预设格式 字符"/>
    <w:semiHidden/>
    <w:qFormat/>
    <w:uiPriority w:val="99"/>
    <w:rPr>
      <w:rFonts w:ascii="Courier New" w:hAnsi="Courier New" w:eastAsia="宋体" w:cs="Courier New"/>
      <w:sz w:val="20"/>
      <w:szCs w:val="20"/>
    </w:rPr>
  </w:style>
  <w:style w:type="character" w:customStyle="1" w:styleId="327">
    <w:name w:val="正文文本 2 字符"/>
    <w:semiHidden/>
    <w:qFormat/>
    <w:uiPriority w:val="99"/>
    <w:rPr>
      <w:rFonts w:ascii="Times New Roman" w:hAnsi="Times New Roman" w:eastAsia="宋体" w:cs="Times New Roman"/>
      <w:szCs w:val="24"/>
    </w:rPr>
  </w:style>
  <w:style w:type="character" w:customStyle="1" w:styleId="328">
    <w:name w:val="正文文本缩进 3 字符"/>
    <w:semiHidden/>
    <w:qFormat/>
    <w:uiPriority w:val="99"/>
    <w:rPr>
      <w:rFonts w:ascii="Times New Roman" w:hAnsi="Times New Roman" w:eastAsia="宋体" w:cs="Times New Roman"/>
      <w:sz w:val="16"/>
      <w:szCs w:val="16"/>
    </w:rPr>
  </w:style>
  <w:style w:type="paragraph" w:customStyle="1" w:styleId="32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0">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331">
    <w:name w:val="Char Char Char Char Char Char Char1"/>
    <w:basedOn w:val="1"/>
    <w:qFormat/>
    <w:uiPriority w:val="99"/>
  </w:style>
  <w:style w:type="paragraph" w:customStyle="1" w:styleId="332">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3">
    <w:name w:val="Char4"/>
    <w:basedOn w:val="1"/>
    <w:qFormat/>
    <w:uiPriority w:val="0"/>
    <w:pPr>
      <w:tabs>
        <w:tab w:val="left" w:pos="360"/>
      </w:tabs>
      <w:ind w:left="252" w:hanging="252" w:hangingChars="140"/>
    </w:pPr>
    <w:rPr>
      <w:rFonts w:ascii="宋体"/>
      <w:sz w:val="18"/>
      <w:szCs w:val="18"/>
    </w:rPr>
  </w:style>
  <w:style w:type="character" w:customStyle="1" w:styleId="334">
    <w:name w:val="z-窗体顶端 字符"/>
    <w:semiHidden/>
    <w:qFormat/>
    <w:uiPriority w:val="99"/>
    <w:rPr>
      <w:rFonts w:ascii="Arial" w:hAnsi="Arial" w:eastAsia="宋体" w:cs="Arial"/>
      <w:vanish/>
      <w:sz w:val="16"/>
      <w:szCs w:val="16"/>
    </w:rPr>
  </w:style>
  <w:style w:type="paragraph" w:customStyle="1" w:styleId="335">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336">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8">
    <w:name w:val="明显引用 字符1"/>
    <w:qFormat/>
    <w:uiPriority w:val="99"/>
    <w:rPr>
      <w:b/>
      <w:bCs/>
      <w:i/>
      <w:iCs/>
      <w:color w:val="4F81BD"/>
    </w:rPr>
  </w:style>
  <w:style w:type="character" w:customStyle="1" w:styleId="339">
    <w:name w:val="副标题 字符1"/>
    <w:qFormat/>
    <w:uiPriority w:val="11"/>
    <w:rPr>
      <w:rFonts w:ascii="Cambria" w:hAnsi="Cambria"/>
      <w:b/>
      <w:bCs/>
      <w:kern w:val="28"/>
      <w:sz w:val="32"/>
      <w:szCs w:val="32"/>
    </w:rPr>
  </w:style>
  <w:style w:type="character" w:customStyle="1" w:styleId="340">
    <w:name w:val="引用 字符1"/>
    <w:qFormat/>
    <w:uiPriority w:val="99"/>
    <w:rPr>
      <w:i/>
      <w:iCs/>
      <w:color w:val="000000"/>
    </w:rPr>
  </w:style>
  <w:style w:type="character" w:customStyle="1" w:styleId="341">
    <w:name w:val="脚注文本 字符1"/>
    <w:qFormat/>
    <w:uiPriority w:val="99"/>
    <w:rPr>
      <w:sz w:val="18"/>
    </w:rPr>
  </w:style>
  <w:style w:type="character" w:customStyle="1" w:styleId="342">
    <w:name w:val="脚注文本 字符"/>
    <w:qFormat/>
    <w:uiPriority w:val="99"/>
    <w:rPr>
      <w:rFonts w:ascii="Times New Roman" w:hAnsi="Times New Roman" w:eastAsia="宋体" w:cs="Times New Roman"/>
      <w:sz w:val="18"/>
      <w:szCs w:val="18"/>
    </w:rPr>
  </w:style>
  <w:style w:type="character" w:customStyle="1" w:styleId="343">
    <w:name w:val="正文文本首行缩进 2 字符"/>
    <w:semiHidden/>
    <w:qFormat/>
    <w:uiPriority w:val="99"/>
  </w:style>
  <w:style w:type="character" w:customStyle="1" w:styleId="344">
    <w:name w:val="正文文本首行缩进 字符"/>
    <w:semiHidden/>
    <w:qFormat/>
    <w:uiPriority w:val="99"/>
    <w:rPr>
      <w:rFonts w:ascii="Times New Roman" w:hAnsi="Times New Roman" w:eastAsia="宋体" w:cs="Times New Roman"/>
      <w:szCs w:val="24"/>
    </w:rPr>
  </w:style>
  <w:style w:type="paragraph" w:customStyle="1" w:styleId="345">
    <w:name w:val="Body text|1"/>
    <w:basedOn w:val="1"/>
    <w:qFormat/>
    <w:uiPriority w:val="0"/>
    <w:pPr>
      <w:spacing w:line="360" w:lineRule="auto"/>
      <w:ind w:firstLine="400"/>
    </w:pPr>
    <w:rPr>
      <w:rFonts w:ascii="宋体" w:hAnsi="宋体" w:cs="宋体"/>
      <w:szCs w:val="20"/>
      <w:lang w:val="zh-CN" w:bidi="zh-CN"/>
    </w:rPr>
  </w:style>
  <w:style w:type="character" w:customStyle="1" w:styleId="346">
    <w:name w:val="10"/>
    <w:qFormat/>
    <w:uiPriority w:val="0"/>
    <w:rPr>
      <w:rFonts w:hint="default" w:ascii="Times New Roman" w:hAnsi="Times New Roman" w:cs="Times New Roman"/>
    </w:rPr>
  </w:style>
  <w:style w:type="paragraph" w:customStyle="1" w:styleId="347">
    <w:name w:val="标题 2_0"/>
    <w:basedOn w:val="348"/>
    <w:next w:val="348"/>
    <w:qFormat/>
    <w:uiPriority w:val="0"/>
    <w:pPr>
      <w:keepNext/>
      <w:keepLines/>
      <w:spacing w:before="60" w:after="60" w:line="412" w:lineRule="auto"/>
      <w:outlineLvl w:val="1"/>
    </w:pPr>
    <w:rPr>
      <w:rFonts w:ascii="Arial" w:hAnsi="Arial" w:eastAsia="黑体"/>
      <w:b/>
      <w:bCs/>
    </w:rPr>
  </w:style>
  <w:style w:type="paragraph" w:customStyle="1" w:styleId="348">
    <w:name w:val="正文_2"/>
    <w:basedOn w:val="349"/>
    <w:next w:val="350"/>
    <w:qFormat/>
    <w:uiPriority w:val="0"/>
    <w:rPr>
      <w:rFonts w:ascii="Calibri" w:hAnsi="Calibri"/>
    </w:rPr>
  </w:style>
  <w:style w:type="paragraph" w:customStyle="1" w:styleId="34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0">
    <w:name w:val="标题 2_1"/>
    <w:basedOn w:val="348"/>
    <w:next w:val="351"/>
    <w:qFormat/>
    <w:uiPriority w:val="99"/>
    <w:pPr>
      <w:keepNext/>
      <w:keepLines/>
      <w:spacing w:before="60" w:after="60" w:line="413" w:lineRule="auto"/>
      <w:outlineLvl w:val="1"/>
    </w:pPr>
    <w:rPr>
      <w:rFonts w:ascii="Arial" w:hAnsi="Arial" w:eastAsia="黑体"/>
      <w:b/>
      <w:bCs/>
      <w:szCs w:val="32"/>
    </w:rPr>
  </w:style>
  <w:style w:type="paragraph" w:customStyle="1" w:styleId="351">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2">
    <w:name w:val="标题 3_0"/>
    <w:basedOn w:val="353"/>
    <w:next w:val="353"/>
    <w:qFormat/>
    <w:uiPriority w:val="0"/>
    <w:pPr>
      <w:keepNext/>
      <w:keepLines/>
      <w:spacing w:line="360" w:lineRule="auto"/>
      <w:outlineLvl w:val="2"/>
    </w:pPr>
    <w:rPr>
      <w:rFonts w:eastAsia="黑体"/>
      <w:b/>
      <w:bCs/>
    </w:rPr>
  </w:style>
  <w:style w:type="paragraph" w:customStyle="1" w:styleId="353">
    <w:name w:val="正文_3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纯文本_0"/>
    <w:basedOn w:val="348"/>
    <w:qFormat/>
    <w:uiPriority w:val="0"/>
    <w:rPr>
      <w:rFonts w:ascii="宋体" w:hAnsi="Courier New"/>
    </w:rPr>
  </w:style>
  <w:style w:type="paragraph" w:customStyle="1" w:styleId="355">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6">
    <w:name w:val="正文_3_0"/>
    <w:basedOn w:val="357"/>
    <w:qFormat/>
    <w:uiPriority w:val="0"/>
    <w:rPr>
      <w:rFonts w:ascii="Calibri" w:hAnsi="Calibri"/>
    </w:rPr>
  </w:style>
  <w:style w:type="paragraph" w:customStyle="1" w:styleId="357">
    <w:name w:val="正文_4"/>
    <w:basedOn w:val="358"/>
    <w:next w:val="359"/>
    <w:qFormat/>
    <w:uiPriority w:val="0"/>
    <w:rPr>
      <w:rFonts w:ascii="Times New Roman" w:hAnsi="Times New Roman"/>
      <w:szCs w:val="24"/>
    </w:rPr>
  </w:style>
  <w:style w:type="paragraph" w:customStyle="1" w:styleId="35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正文文本_0"/>
    <w:basedOn w:val="357"/>
    <w:next w:val="360"/>
    <w:qFormat/>
    <w:uiPriority w:val="99"/>
    <w:pPr>
      <w:spacing w:after="120"/>
    </w:pPr>
  </w:style>
  <w:style w:type="paragraph" w:customStyle="1" w:styleId="360">
    <w:name w:val="Default_0"/>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1">
    <w:name w:val="正文_4_0"/>
    <w:basedOn w:val="362"/>
    <w:qFormat/>
    <w:uiPriority w:val="0"/>
    <w:rPr>
      <w:rFonts w:cs="Times New Roman"/>
      <w:szCs w:val="22"/>
    </w:rPr>
  </w:style>
  <w:style w:type="paragraph" w:customStyle="1" w:styleId="362">
    <w:name w:val="正文_5_0"/>
    <w:basedOn w:val="363"/>
    <w:qFormat/>
    <w:uiPriority w:val="0"/>
    <w:rPr>
      <w:rFonts w:cs="Calibri"/>
    </w:rPr>
  </w:style>
  <w:style w:type="paragraph" w:customStyle="1" w:styleId="363">
    <w:name w:val="正文_3_2"/>
    <w:basedOn w:val="349"/>
    <w:qFormat/>
    <w:uiPriority w:val="0"/>
    <w:rPr>
      <w:rFonts w:ascii="Calibri" w:hAnsi="Calibri"/>
      <w:szCs w:val="21"/>
    </w:rPr>
  </w:style>
  <w:style w:type="character" w:customStyle="1" w:styleId="364">
    <w:name w:val="16"/>
    <w:qFormat/>
    <w:uiPriority w:val="0"/>
    <w:rPr>
      <w:rFonts w:hint="default" w:ascii="Times New Roman" w:hAnsi="Times New Roman" w:cs="Times New Roman"/>
    </w:rPr>
  </w:style>
  <w:style w:type="paragraph" w:customStyle="1" w:styleId="365">
    <w:name w:val="修订2"/>
    <w:hidden/>
    <w:unhideWhenUsed/>
    <w:qFormat/>
    <w:uiPriority w:val="99"/>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128</Pages>
  <Words>5969</Words>
  <Characters>6580</Characters>
  <Lines>656</Lines>
  <Paragraphs>184</Paragraphs>
  <TotalTime>10</TotalTime>
  <ScaleCrop>false</ScaleCrop>
  <LinksUpToDate>false</LinksUpToDate>
  <CharactersWithSpaces>6679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2026-06-24T07:45:00Z</dcterms:created>
  <dc:creator>微软用户</dc:creator>
  <cp:lastModifiedBy>LY冰</cp:lastModifiedBy>
  <cp:lastPrinted>2025-07-17T08:14:00Z</cp:lastPrinted>
  <dcterms:modified xsi:type="dcterms:W3CDTF">2026-07-14T07:55:53Z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C54AF9C522CF41A1961FDC649ECFA7DE_13</vt:lpwstr>
  </property>
  <property fmtid="{D5CDD505-2E9C-101B-9397-08002B2CF9AE}" pid="14" name="KSOTemplateDocerSaveRecord">
    <vt:lpwstr>eyJoZGlkIjoiNDY4Y2IxYTg4MmM0NDhhYmZkMGZlYWYyMjc2YjIwYzQiLCJ1c2VySWQiOiIzMTQ2MjU3MTIifQ==</vt:lpwstr>
  </property>
</Properties>
</file>