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B5CA05B">
      <w:pPr>
        <w:shd w:val="clear"/>
        <w:tabs>
          <w:tab w:val="left" w:pos="1710"/>
        </w:tabs>
        <w:rPr>
          <w:color w:val="auto"/>
          <w:highlight w:val="none"/>
        </w:rPr>
      </w:pPr>
      <w:bookmarkStart w:id="0" w:name="_Toc217446030"/>
      <w:bookmarkStart w:id="1" w:name="_Toc183682338"/>
      <w:bookmarkStart w:id="111" w:name="_GoBack"/>
      <w:r>
        <w:rPr>
          <w:rFonts w:hint="eastAsia"/>
          <w:color w:val="auto"/>
          <w:highlight w:val="none"/>
        </w:rPr>
        <w:drawing>
          <wp:anchor distT="0" distB="0" distL="114300" distR="114300" simplePos="0" relativeHeight="251659264" behindDoc="1" locked="0" layoutInCell="1" allowOverlap="1">
            <wp:simplePos x="0" y="0"/>
            <wp:positionH relativeFrom="column">
              <wp:posOffset>-1005840</wp:posOffset>
            </wp:positionH>
            <wp:positionV relativeFrom="paragraph">
              <wp:posOffset>-945515</wp:posOffset>
            </wp:positionV>
            <wp:extent cx="7190740" cy="10781030"/>
            <wp:effectExtent l="0" t="0" r="1016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4"/>
                    <a:stretch>
                      <a:fillRect/>
                    </a:stretch>
                  </pic:blipFill>
                  <pic:spPr>
                    <a:xfrm>
                      <a:off x="0" y="0"/>
                      <a:ext cx="7190740" cy="10781030"/>
                    </a:xfrm>
                    <a:prstGeom prst="rect">
                      <a:avLst/>
                    </a:prstGeom>
                  </pic:spPr>
                </pic:pic>
              </a:graphicData>
            </a:graphic>
          </wp:anchor>
        </w:drawing>
      </w:r>
    </w:p>
    <w:p w14:paraId="3B80A4B1">
      <w:pPr>
        <w:shd w:val="clear"/>
        <w:tabs>
          <w:tab w:val="left" w:pos="1710"/>
        </w:tabs>
        <w:rPr>
          <w:color w:val="auto"/>
          <w:highlight w:val="none"/>
        </w:rPr>
      </w:pPr>
    </w:p>
    <w:p w14:paraId="513AE7C7">
      <w:pPr>
        <w:shd w:val="clear"/>
        <w:tabs>
          <w:tab w:val="left" w:pos="1710"/>
        </w:tabs>
        <w:rPr>
          <w:color w:val="auto"/>
          <w:highlight w:val="none"/>
        </w:rPr>
      </w:pPr>
    </w:p>
    <w:p w14:paraId="5BDA9016">
      <w:pPr>
        <w:shd w:val="clear"/>
        <w:tabs>
          <w:tab w:val="left" w:pos="1710"/>
        </w:tabs>
        <w:rPr>
          <w:color w:val="auto"/>
          <w:highlight w:val="none"/>
        </w:rPr>
      </w:pPr>
    </w:p>
    <w:p w14:paraId="6AD6912E">
      <w:pPr>
        <w:shd w:val="clear"/>
        <w:tabs>
          <w:tab w:val="left" w:pos="1710"/>
        </w:tabs>
        <w:rPr>
          <w:color w:val="auto"/>
          <w:highlight w:val="none"/>
        </w:rPr>
      </w:pPr>
    </w:p>
    <w:p w14:paraId="448C6ED9">
      <w:pPr>
        <w:shd w:val="clear"/>
        <w:tabs>
          <w:tab w:val="left" w:pos="1710"/>
        </w:tabs>
        <w:rPr>
          <w:color w:val="auto"/>
          <w:highlight w:val="none"/>
        </w:rPr>
      </w:pPr>
      <w:r>
        <w:rPr>
          <w:rFonts w:hint="eastAsia"/>
          <w:color w:val="auto"/>
          <w:highlight w:val="none"/>
        </w:rPr>
        <w:drawing>
          <wp:anchor distT="0" distB="0" distL="114300" distR="114300" simplePos="0" relativeHeight="251660288" behindDoc="0" locked="0" layoutInCell="1" allowOverlap="1">
            <wp:simplePos x="0" y="0"/>
            <wp:positionH relativeFrom="column">
              <wp:posOffset>534035</wp:posOffset>
            </wp:positionH>
            <wp:positionV relativeFrom="paragraph">
              <wp:posOffset>-163195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5"/>
                    <a:stretch>
                      <a:fillRect/>
                    </a:stretch>
                  </pic:blipFill>
                  <pic:spPr>
                    <a:xfrm>
                      <a:off x="0" y="0"/>
                      <a:ext cx="4654550" cy="584200"/>
                    </a:xfrm>
                    <a:prstGeom prst="rect">
                      <a:avLst/>
                    </a:prstGeom>
                  </pic:spPr>
                </pic:pic>
              </a:graphicData>
            </a:graphic>
          </wp:anchor>
        </w:drawing>
      </w:r>
    </w:p>
    <w:p w14:paraId="5A854C47">
      <w:pPr>
        <w:shd w:val="clear"/>
        <w:tabs>
          <w:tab w:val="left" w:pos="1710"/>
        </w:tabs>
        <w:rPr>
          <w:color w:val="auto"/>
          <w:highlight w:val="none"/>
        </w:rPr>
      </w:pPr>
    </w:p>
    <w:p w14:paraId="46CC2AA4">
      <w:pPr>
        <w:shd w:val="clear"/>
        <w:tabs>
          <w:tab w:val="left" w:pos="1710"/>
        </w:tabs>
        <w:rPr>
          <w:color w:val="auto"/>
          <w:highlight w:val="none"/>
        </w:rPr>
      </w:pPr>
    </w:p>
    <w:p w14:paraId="218CB02B">
      <w:pPr>
        <w:shd w:val="clear"/>
        <w:tabs>
          <w:tab w:val="left" w:pos="1710"/>
        </w:tabs>
        <w:rPr>
          <w:color w:val="auto"/>
          <w:highlight w:val="none"/>
        </w:rPr>
      </w:pPr>
    </w:p>
    <w:p w14:paraId="2D4F2C40">
      <w:pPr>
        <w:shd w:val="clear"/>
        <w:tabs>
          <w:tab w:val="left" w:pos="1710"/>
        </w:tabs>
        <w:rPr>
          <w:color w:val="auto"/>
          <w:highlight w:val="none"/>
        </w:rPr>
      </w:pPr>
    </w:p>
    <w:p w14:paraId="516169CB">
      <w:pPr>
        <w:shd w:val="clear"/>
        <w:tabs>
          <w:tab w:val="left" w:pos="1710"/>
        </w:tabs>
        <w:rPr>
          <w:color w:val="auto"/>
          <w:highlight w:val="none"/>
        </w:rPr>
      </w:pPr>
    </w:p>
    <w:p w14:paraId="212462B8">
      <w:pPr>
        <w:shd w:val="clear"/>
        <w:tabs>
          <w:tab w:val="left" w:pos="1710"/>
        </w:tabs>
        <w:rPr>
          <w:color w:val="auto"/>
          <w:highlight w:val="none"/>
        </w:rPr>
      </w:pPr>
    </w:p>
    <w:p w14:paraId="0BEBFBBF">
      <w:pPr>
        <w:shd w:val="clear"/>
        <w:tabs>
          <w:tab w:val="left" w:pos="1710"/>
        </w:tabs>
        <w:rPr>
          <w:color w:val="auto"/>
          <w:highlight w:val="none"/>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767D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tcPr>
          <w:p w14:paraId="77258C20">
            <w:pPr>
              <w:shd w:val="clear"/>
              <w:snapToGrid w:val="0"/>
              <w:spacing w:line="240" w:lineRule="atLeast"/>
              <w:jc w:val="center"/>
              <w:rPr>
                <w:b/>
                <w:color w:val="auto"/>
                <w:sz w:val="60"/>
                <w:szCs w:val="60"/>
                <w:highlight w:val="none"/>
              </w:rPr>
            </w:pPr>
            <w:r>
              <w:rPr>
                <w:rFonts w:hint="eastAsia"/>
                <w:b/>
                <w:color w:val="auto"/>
                <w:sz w:val="60"/>
                <w:szCs w:val="60"/>
                <w:highlight w:val="none"/>
              </w:rPr>
              <w:t xml:space="preserve"> 采购文件</w:t>
            </w:r>
          </w:p>
        </w:tc>
      </w:tr>
      <w:tr w14:paraId="59AF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4BB9577D">
            <w:pPr>
              <w:shd w:val="clear"/>
              <w:rPr>
                <w:b/>
                <w:color w:val="auto"/>
                <w:sz w:val="32"/>
                <w:szCs w:val="32"/>
                <w:highlight w:val="none"/>
              </w:rPr>
            </w:pPr>
            <w:r>
              <w:rPr>
                <w:b/>
                <w:color w:val="auto"/>
                <w:sz w:val="32"/>
                <w:szCs w:val="32"/>
                <w:highlight w:val="none"/>
              </w:rPr>
              <w:t>项目名称：</w:t>
            </w:r>
          </w:p>
        </w:tc>
        <w:tc>
          <w:tcPr>
            <w:tcW w:w="5433" w:type="dxa"/>
            <w:vAlign w:val="center"/>
          </w:tcPr>
          <w:p w14:paraId="205E38A5">
            <w:pPr>
              <w:shd w:val="clear"/>
              <w:rPr>
                <w:rFonts w:hint="eastAsia" w:eastAsia="宋体"/>
                <w:b/>
                <w:color w:val="auto"/>
                <w:sz w:val="32"/>
                <w:szCs w:val="32"/>
                <w:highlight w:val="none"/>
                <w:lang w:eastAsia="zh-CN"/>
              </w:rPr>
            </w:pPr>
            <w:r>
              <w:rPr>
                <w:rFonts w:hint="eastAsia"/>
                <w:b/>
                <w:color w:val="auto"/>
                <w:sz w:val="32"/>
                <w:szCs w:val="32"/>
                <w:highlight w:val="none"/>
                <w:lang w:eastAsia="zh-CN"/>
              </w:rPr>
              <w:t>2026年大新县生产障碍耕地治理项目（重）</w:t>
            </w:r>
          </w:p>
        </w:tc>
      </w:tr>
      <w:tr w14:paraId="0101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47F602E1">
            <w:pPr>
              <w:shd w:val="clear"/>
              <w:rPr>
                <w:b/>
                <w:color w:val="auto"/>
                <w:sz w:val="32"/>
                <w:szCs w:val="32"/>
                <w:highlight w:val="none"/>
              </w:rPr>
            </w:pPr>
            <w:r>
              <w:rPr>
                <w:b/>
                <w:color w:val="auto"/>
                <w:sz w:val="32"/>
                <w:szCs w:val="32"/>
                <w:highlight w:val="none"/>
              </w:rPr>
              <w:t>项目编号：</w:t>
            </w:r>
          </w:p>
        </w:tc>
        <w:tc>
          <w:tcPr>
            <w:tcW w:w="5433" w:type="dxa"/>
            <w:vAlign w:val="center"/>
          </w:tcPr>
          <w:p w14:paraId="16F579DD">
            <w:pPr>
              <w:shd w:val="clear"/>
              <w:rPr>
                <w:rFonts w:hint="eastAsia" w:eastAsia="宋体"/>
                <w:b/>
                <w:color w:val="auto"/>
                <w:sz w:val="32"/>
                <w:szCs w:val="32"/>
                <w:highlight w:val="none"/>
                <w:lang w:eastAsia="zh-CN"/>
              </w:rPr>
            </w:pPr>
            <w:r>
              <w:rPr>
                <w:rFonts w:hint="eastAsia"/>
                <w:b/>
                <w:color w:val="auto"/>
                <w:sz w:val="32"/>
                <w:szCs w:val="32"/>
                <w:highlight w:val="none"/>
                <w:lang w:eastAsia="zh-CN"/>
              </w:rPr>
              <w:t>CZZC2026-C3-240094-JDZB</w:t>
            </w:r>
          </w:p>
        </w:tc>
      </w:tr>
      <w:tr w14:paraId="4969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383AE5C7">
            <w:pPr>
              <w:shd w:val="clear"/>
              <w:rPr>
                <w:b/>
                <w:color w:val="auto"/>
                <w:sz w:val="32"/>
                <w:szCs w:val="32"/>
                <w:highlight w:val="none"/>
              </w:rPr>
            </w:pPr>
            <w:r>
              <w:rPr>
                <w:b/>
                <w:color w:val="auto"/>
                <w:sz w:val="32"/>
                <w:szCs w:val="32"/>
                <w:highlight w:val="none"/>
              </w:rPr>
              <w:t>联系电话：</w:t>
            </w:r>
          </w:p>
        </w:tc>
        <w:tc>
          <w:tcPr>
            <w:tcW w:w="5433" w:type="dxa"/>
            <w:vAlign w:val="center"/>
          </w:tcPr>
          <w:p w14:paraId="468DCFCC">
            <w:pPr>
              <w:shd w:val="clear"/>
              <w:rPr>
                <w:b/>
                <w:color w:val="auto"/>
                <w:sz w:val="32"/>
                <w:szCs w:val="32"/>
                <w:highlight w:val="none"/>
              </w:rPr>
            </w:pPr>
            <w:r>
              <w:rPr>
                <w:rFonts w:hint="eastAsia"/>
                <w:b/>
                <w:color w:val="auto"/>
                <w:sz w:val="32"/>
                <w:szCs w:val="32"/>
                <w:highlight w:val="none"/>
              </w:rPr>
              <w:t>0771-2808981</w:t>
            </w:r>
          </w:p>
        </w:tc>
      </w:tr>
      <w:tr w14:paraId="1024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7299723E">
            <w:pPr>
              <w:shd w:val="clear"/>
              <w:rPr>
                <w:b/>
                <w:color w:val="auto"/>
                <w:sz w:val="32"/>
                <w:szCs w:val="32"/>
                <w:highlight w:val="none"/>
              </w:rPr>
            </w:pPr>
            <w:r>
              <w:rPr>
                <w:rFonts w:hint="eastAsia"/>
                <w:b/>
                <w:color w:val="auto"/>
                <w:sz w:val="32"/>
                <w:szCs w:val="32"/>
                <w:highlight w:val="none"/>
              </w:rPr>
              <w:t>采购方式：</w:t>
            </w:r>
          </w:p>
        </w:tc>
        <w:tc>
          <w:tcPr>
            <w:tcW w:w="5433" w:type="dxa"/>
            <w:vAlign w:val="center"/>
          </w:tcPr>
          <w:p w14:paraId="03C0A272">
            <w:pPr>
              <w:shd w:val="clear"/>
              <w:rPr>
                <w:b/>
                <w:color w:val="auto"/>
                <w:sz w:val="32"/>
                <w:szCs w:val="32"/>
                <w:highlight w:val="none"/>
              </w:rPr>
            </w:pPr>
            <w:r>
              <w:rPr>
                <w:rFonts w:hint="eastAsia"/>
                <w:b/>
                <w:color w:val="auto"/>
                <w:sz w:val="32"/>
                <w:szCs w:val="32"/>
                <w:highlight w:val="none"/>
              </w:rPr>
              <w:t>竞争性磋商</w:t>
            </w:r>
          </w:p>
        </w:tc>
      </w:tr>
    </w:tbl>
    <w:p w14:paraId="6B3BB776">
      <w:pPr>
        <w:shd w:val="clear"/>
        <w:tabs>
          <w:tab w:val="left" w:pos="1710"/>
        </w:tabs>
        <w:rPr>
          <w:color w:val="auto"/>
          <w:highlight w:val="none"/>
        </w:rPr>
      </w:pPr>
    </w:p>
    <w:p w14:paraId="6CFA0BA5">
      <w:pPr>
        <w:shd w:val="clear"/>
        <w:rPr>
          <w:color w:val="auto"/>
          <w:highlight w:val="none"/>
        </w:rPr>
      </w:pPr>
    </w:p>
    <w:p w14:paraId="4F9DBACB">
      <w:pPr>
        <w:shd w:val="clear"/>
        <w:rPr>
          <w:color w:val="auto"/>
          <w:highlight w:val="none"/>
        </w:rPr>
      </w:pPr>
    </w:p>
    <w:p w14:paraId="7113CF57">
      <w:pPr>
        <w:shd w:val="clear"/>
        <w:rPr>
          <w:color w:val="auto"/>
          <w:highlight w:val="none"/>
        </w:rPr>
      </w:pPr>
    </w:p>
    <w:p w14:paraId="20063564">
      <w:pPr>
        <w:shd w:val="clear"/>
        <w:rPr>
          <w:color w:val="auto"/>
          <w:highlight w:val="none"/>
        </w:rPr>
      </w:pPr>
    </w:p>
    <w:p w14:paraId="293B0FAD">
      <w:pPr>
        <w:shd w:val="clear"/>
        <w:rPr>
          <w:color w:val="auto"/>
          <w:highlight w:val="none"/>
        </w:rPr>
      </w:pPr>
    </w:p>
    <w:p w14:paraId="59D52B39">
      <w:pPr>
        <w:shd w:val="clear"/>
        <w:rPr>
          <w:color w:val="auto"/>
          <w:highlight w:val="none"/>
        </w:rPr>
      </w:pPr>
    </w:p>
    <w:p w14:paraId="61E81F91">
      <w:pPr>
        <w:shd w:val="clear"/>
        <w:rPr>
          <w:color w:val="auto"/>
          <w:highlight w:val="none"/>
        </w:rPr>
      </w:pPr>
    </w:p>
    <w:p w14:paraId="210FF32A">
      <w:pPr>
        <w:shd w:val="clear"/>
        <w:rPr>
          <w:color w:val="auto"/>
          <w:highlight w:val="none"/>
        </w:rPr>
      </w:pPr>
    </w:p>
    <w:p w14:paraId="7BF064E6">
      <w:pPr>
        <w:shd w:val="clear"/>
        <w:rPr>
          <w:color w:val="auto"/>
          <w:highlight w:val="none"/>
        </w:rPr>
      </w:pPr>
    </w:p>
    <w:p w14:paraId="505BD92B">
      <w:pPr>
        <w:shd w:val="clear"/>
        <w:rPr>
          <w:color w:val="auto"/>
          <w:highlight w:val="none"/>
        </w:rPr>
      </w:pPr>
    </w:p>
    <w:p w14:paraId="6EA72C25">
      <w:pPr>
        <w:shd w:val="clear"/>
        <w:rPr>
          <w:color w:val="auto"/>
          <w:highlight w:val="none"/>
        </w:rPr>
      </w:pPr>
    </w:p>
    <w:p w14:paraId="1E558C5E">
      <w:pPr>
        <w:shd w:val="clear"/>
        <w:rPr>
          <w:color w:val="auto"/>
          <w:highlight w:val="none"/>
        </w:rPr>
      </w:pPr>
    </w:p>
    <w:p w14:paraId="52F6AE9D">
      <w:pPr>
        <w:shd w:val="clear"/>
        <w:rPr>
          <w:color w:val="auto"/>
          <w:highlight w:val="none"/>
        </w:rPr>
      </w:pPr>
    </w:p>
    <w:p w14:paraId="5C95AD47">
      <w:pPr>
        <w:shd w:val="clear"/>
        <w:rPr>
          <w:color w:val="auto"/>
          <w:highlight w:val="none"/>
        </w:rPr>
      </w:pPr>
    </w:p>
    <w:tbl>
      <w:tblPr>
        <w:tblStyle w:val="52"/>
        <w:tblW w:w="0" w:type="auto"/>
        <w:jc w:val="center"/>
        <w:tblLayout w:type="fixed"/>
        <w:tblCellMar>
          <w:top w:w="0" w:type="dxa"/>
          <w:left w:w="108" w:type="dxa"/>
          <w:bottom w:w="0" w:type="dxa"/>
          <w:right w:w="108" w:type="dxa"/>
        </w:tblCellMar>
      </w:tblPr>
      <w:tblGrid>
        <w:gridCol w:w="2707"/>
        <w:gridCol w:w="6"/>
        <w:gridCol w:w="5571"/>
      </w:tblGrid>
      <w:tr w14:paraId="37B9DA9A">
        <w:tblPrEx>
          <w:tblCellMar>
            <w:top w:w="0" w:type="dxa"/>
            <w:left w:w="108" w:type="dxa"/>
            <w:bottom w:w="0" w:type="dxa"/>
            <w:right w:w="108" w:type="dxa"/>
          </w:tblCellMar>
        </w:tblPrEx>
        <w:trPr>
          <w:trHeight w:val="703" w:hRule="atLeast"/>
          <w:jc w:val="center"/>
        </w:trPr>
        <w:tc>
          <w:tcPr>
            <w:tcW w:w="2707" w:type="dxa"/>
            <w:vAlign w:val="center"/>
          </w:tcPr>
          <w:p w14:paraId="75255A60">
            <w:pPr>
              <w:shd w:val="clea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vAlign w:val="center"/>
          </w:tcPr>
          <w:p w14:paraId="3509100F">
            <w:pPr>
              <w:shd w:val="clear"/>
              <w:autoSpaceDE w:val="0"/>
              <w:autoSpaceDN w:val="0"/>
              <w:adjustRightInd w:val="0"/>
              <w:jc w:val="left"/>
              <w:rPr>
                <w:rFonts w:hint="eastAsia" w:eastAsia="宋体"/>
                <w:b/>
                <w:color w:val="auto"/>
                <w:sz w:val="32"/>
                <w:szCs w:val="32"/>
                <w:highlight w:val="none"/>
                <w:lang w:eastAsia="zh-CN"/>
              </w:rPr>
            </w:pPr>
            <w:r>
              <w:rPr>
                <w:rFonts w:hint="eastAsia"/>
                <w:b/>
                <w:color w:val="auto"/>
                <w:sz w:val="32"/>
                <w:szCs w:val="32"/>
                <w:highlight w:val="none"/>
                <w:lang w:eastAsia="zh-CN"/>
              </w:rPr>
              <w:t>大新县农业农村局</w:t>
            </w:r>
          </w:p>
        </w:tc>
      </w:tr>
      <w:tr w14:paraId="64A13260">
        <w:tblPrEx>
          <w:tblCellMar>
            <w:top w:w="0" w:type="dxa"/>
            <w:left w:w="108" w:type="dxa"/>
            <w:bottom w:w="0" w:type="dxa"/>
            <w:right w:w="108" w:type="dxa"/>
          </w:tblCellMar>
        </w:tblPrEx>
        <w:trPr>
          <w:trHeight w:val="703" w:hRule="atLeast"/>
          <w:jc w:val="center"/>
        </w:trPr>
        <w:tc>
          <w:tcPr>
            <w:tcW w:w="2713" w:type="dxa"/>
            <w:gridSpan w:val="2"/>
          </w:tcPr>
          <w:p w14:paraId="700426E6">
            <w:pPr>
              <w:shd w:val="clea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tcPr>
          <w:p w14:paraId="6A554767">
            <w:pPr>
              <w:shd w:val="clea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171685AA">
      <w:pPr>
        <w:shd w:val="clear"/>
        <w:rPr>
          <w:color w:val="auto"/>
          <w:highlight w:val="none"/>
        </w:rPr>
      </w:pPr>
    </w:p>
    <w:p w14:paraId="561276BD">
      <w:pPr>
        <w:shd w:val="clear"/>
        <w:ind w:firstLine="321" w:firstLineChars="100"/>
        <w:jc w:val="center"/>
        <w:rPr>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b/>
          <w:color w:val="auto"/>
          <w:sz w:val="32"/>
          <w:szCs w:val="32"/>
          <w:highlight w:val="none"/>
        </w:rPr>
        <w:t>202</w:t>
      </w:r>
      <w:r>
        <w:rPr>
          <w:rFonts w:hint="eastAsia"/>
          <w:b/>
          <w:color w:val="auto"/>
          <w:sz w:val="32"/>
          <w:szCs w:val="32"/>
          <w:highlight w:val="none"/>
        </w:rPr>
        <w:t>6</w:t>
      </w:r>
      <w:r>
        <w:rPr>
          <w:b/>
          <w:color w:val="auto"/>
          <w:sz w:val="32"/>
          <w:szCs w:val="32"/>
          <w:highlight w:val="none"/>
        </w:rPr>
        <w:t>年</w:t>
      </w:r>
      <w:r>
        <w:rPr>
          <w:rFonts w:hint="eastAsia"/>
          <w:b/>
          <w:color w:val="auto"/>
          <w:sz w:val="32"/>
          <w:szCs w:val="32"/>
          <w:highlight w:val="none"/>
          <w:lang w:val="en-US" w:eastAsia="zh-CN"/>
        </w:rPr>
        <w:t>7</w:t>
      </w:r>
      <w:r>
        <w:rPr>
          <w:b/>
          <w:color w:val="auto"/>
          <w:sz w:val="32"/>
          <w:szCs w:val="32"/>
          <w:highlight w:val="none"/>
        </w:rPr>
        <w:t>月</w:t>
      </w:r>
    </w:p>
    <w:p w14:paraId="1D622267">
      <w:pPr>
        <w:shd w:val="clear"/>
        <w:rPr>
          <w:color w:val="auto"/>
          <w:sz w:val="32"/>
          <w:szCs w:val="32"/>
          <w:highlight w:val="none"/>
        </w:rPr>
      </w:pPr>
    </w:p>
    <w:p w14:paraId="58CE98EA">
      <w:pPr>
        <w:pStyle w:val="27"/>
        <w:shd w:val="clear"/>
        <w:snapToGrid w:val="0"/>
        <w:spacing w:before="120" w:after="120" w:line="320" w:lineRule="exact"/>
        <w:jc w:val="center"/>
        <w:outlineLvl w:val="0"/>
        <w:rPr>
          <w:rFonts w:ascii="Times New Roman" w:hAnsi="Times New Roman" w:cs="Times New Roman"/>
          <w:color w:val="auto"/>
          <w:sz w:val="32"/>
          <w:szCs w:val="32"/>
          <w:highlight w:val="none"/>
        </w:rPr>
      </w:pPr>
      <w:bookmarkStart w:id="2" w:name="_Toc17133"/>
      <w:bookmarkStart w:id="3" w:name="_Toc22620"/>
      <w:r>
        <w:rPr>
          <w:rFonts w:ascii="Times New Roman" w:hAnsi="Times New Roman" w:cs="Times New Roman"/>
          <w:color w:val="auto"/>
          <w:sz w:val="32"/>
          <w:szCs w:val="32"/>
          <w:highlight w:val="none"/>
        </w:rPr>
        <w:t>目    录</w:t>
      </w:r>
      <w:bookmarkEnd w:id="2"/>
      <w:bookmarkEnd w:id="3"/>
    </w:p>
    <w:p w14:paraId="08CD3E80">
      <w:pPr>
        <w:pStyle w:val="34"/>
        <w:shd w:val="clear"/>
        <w:tabs>
          <w:tab w:val="right" w:leader="dot" w:pos="9070"/>
          <w:tab w:val="clear" w:pos="8398"/>
        </w:tabs>
        <w:ind w:firstLine="241"/>
        <w:rPr>
          <w:rFonts w:hint="eastAsia"/>
          <w:color w:val="auto"/>
          <w:highlight w:val="none"/>
        </w:rPr>
      </w:pPr>
      <w:r>
        <w:rPr>
          <w:rFonts w:ascii="Times New Roman" w:hAnsi="Times New Roman"/>
          <w:color w:val="auto"/>
          <w:highlight w:val="none"/>
        </w:rPr>
        <w:fldChar w:fldCharType="begin"/>
      </w:r>
      <w:r>
        <w:rPr>
          <w:rStyle w:val="58"/>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p>
    <w:p w14:paraId="44E360C8">
      <w:pPr>
        <w:pStyle w:val="34"/>
        <w:shd w:val="clear"/>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"_Toc10898" </w:instrText>
      </w:r>
      <w:r>
        <w:rPr>
          <w:color w:val="auto"/>
          <w:highlight w:val="none"/>
        </w:rPr>
        <w:fldChar w:fldCharType="separate"/>
      </w:r>
      <w:r>
        <w:rPr>
          <w:rFonts w:ascii="Times New Roman" w:hAnsi="Times New Roman"/>
          <w:color w:val="auto"/>
          <w:szCs w:val="32"/>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_Toc10898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204BFE8">
      <w:pPr>
        <w:pStyle w:val="34"/>
        <w:shd w:val="clear"/>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"_Toc11839" </w:instrText>
      </w:r>
      <w:r>
        <w:rPr>
          <w:color w:val="auto"/>
          <w:highlight w:val="none"/>
        </w:rPr>
        <w:fldChar w:fldCharType="separate"/>
      </w:r>
      <w:r>
        <w:rPr>
          <w:rFonts w:ascii="Times New Roman" w:hAnsi="Times New Roman"/>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_Toc11839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6B430CA8">
      <w:pPr>
        <w:pStyle w:val="34"/>
        <w:shd w:val="clear"/>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"_Toc31810" </w:instrText>
      </w:r>
      <w:r>
        <w:rPr>
          <w:color w:val="auto"/>
          <w:highlight w:val="none"/>
        </w:rPr>
        <w:fldChar w:fldCharType="separate"/>
      </w:r>
      <w:r>
        <w:rPr>
          <w:rFonts w:ascii="Times New Roman" w:hAnsi="Times New Roman"/>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_Toc31810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06498005">
      <w:pPr>
        <w:pStyle w:val="34"/>
        <w:shd w:val="clear"/>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"_Toc17847" </w:instrText>
      </w:r>
      <w:r>
        <w:rPr>
          <w:color w:val="auto"/>
          <w:highlight w:val="none"/>
        </w:rPr>
        <w:fldChar w:fldCharType="separate"/>
      </w:r>
      <w:r>
        <w:rPr>
          <w:rFonts w:ascii="Times New Roman" w:hAnsi="Times New Roman"/>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_Toc17847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4CC10460">
      <w:pPr>
        <w:pStyle w:val="34"/>
        <w:shd w:val="clear"/>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"_Toc23023" </w:instrText>
      </w:r>
      <w:r>
        <w:rPr>
          <w:color w:val="auto"/>
          <w:highlight w:val="none"/>
        </w:rPr>
        <w:fldChar w:fldCharType="separate"/>
      </w:r>
      <w:r>
        <w:rPr>
          <w:rFonts w:ascii="Times New Roman" w:hAnsi="Times New Roman"/>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_Toc23023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23D1B86F">
      <w:pPr>
        <w:pStyle w:val="34"/>
        <w:shd w:val="clear"/>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"_Toc23891" </w:instrText>
      </w:r>
      <w:r>
        <w:rPr>
          <w:color w:val="auto"/>
          <w:highlight w:val="none"/>
        </w:rPr>
        <w:fldChar w:fldCharType="separate"/>
      </w:r>
      <w:r>
        <w:rPr>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_Toc23891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3F9D40D5">
      <w:pPr>
        <w:pStyle w:val="34"/>
        <w:shd w:val="clear"/>
        <w:ind w:firstLine="241"/>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0ECD024D">
      <w:pPr>
        <w:shd w:val="clear"/>
        <w:spacing w:before="120" w:beforeLines="50" w:line="480" w:lineRule="exact"/>
        <w:rPr>
          <w:color w:val="auto"/>
          <w:sz w:val="28"/>
          <w:szCs w:val="28"/>
          <w:highlight w:val="none"/>
        </w:rPr>
      </w:pPr>
    </w:p>
    <w:p w14:paraId="69DDEC0F">
      <w:pPr>
        <w:shd w:val="clear"/>
        <w:spacing w:before="120" w:beforeLines="50" w:line="480" w:lineRule="exact"/>
        <w:rPr>
          <w:color w:val="auto"/>
          <w:sz w:val="30"/>
          <w:highlight w:val="none"/>
        </w:rPr>
        <w:sectPr>
          <w:headerReference r:id="rId7" w:type="first"/>
          <w:pgSz w:w="11906" w:h="16838"/>
          <w:pgMar w:top="1418" w:right="1418" w:bottom="1246" w:left="1418" w:header="851" w:footer="992" w:gutter="0"/>
          <w:pgNumType w:start="0"/>
          <w:cols w:space="720" w:num="1"/>
          <w:titlePg/>
          <w:docGrid w:linePitch="312" w:charSpace="0"/>
        </w:sectPr>
      </w:pPr>
    </w:p>
    <w:p w14:paraId="01B5DC1C">
      <w:pPr>
        <w:shd w:val="clear"/>
        <w:rPr>
          <w:color w:val="auto"/>
          <w:highlight w:val="none"/>
        </w:rPr>
      </w:pPr>
      <w:bookmarkStart w:id="4" w:name="_Toc254970489"/>
      <w:bookmarkStart w:id="5" w:name="_Toc254970630"/>
    </w:p>
    <w:p w14:paraId="38C9DDC9">
      <w:pPr>
        <w:pStyle w:val="27"/>
        <w:keepNext w:val="0"/>
        <w:keepLines w:val="0"/>
        <w:pageBreakBefore w:val="0"/>
        <w:widowControl w:val="0"/>
        <w:shd w:val="clear"/>
        <w:kinsoku/>
        <w:wordWrap/>
        <w:overflowPunct/>
        <w:topLinePunct w:val="0"/>
        <w:autoSpaceDE/>
        <w:autoSpaceDN/>
        <w:bidi w:val="0"/>
        <w:adjustRightInd/>
        <w:snapToGrid w:val="0"/>
        <w:spacing w:after="120" w:line="320" w:lineRule="exact"/>
        <w:jc w:val="center"/>
        <w:textAlignment w:val="auto"/>
        <w:outlineLvl w:val="0"/>
        <w:rPr>
          <w:rFonts w:ascii="Times New Roman" w:hAnsi="Times New Roman" w:cs="Times New Roman"/>
          <w:color w:val="auto"/>
          <w:sz w:val="32"/>
          <w:szCs w:val="32"/>
          <w:highlight w:val="none"/>
        </w:rPr>
      </w:pPr>
      <w:bookmarkStart w:id="6" w:name="_Toc10898"/>
      <w:r>
        <w:rPr>
          <w:rFonts w:ascii="Times New Roman" w:hAnsi="Times New Roman" w:cs="Times New Roman"/>
          <w:color w:val="auto"/>
          <w:sz w:val="32"/>
          <w:szCs w:val="32"/>
          <w:highlight w:val="none"/>
        </w:rPr>
        <w:t xml:space="preserve">第一章  </w:t>
      </w:r>
      <w:bookmarkEnd w:id="4"/>
      <w:bookmarkEnd w:id="5"/>
      <w:r>
        <w:rPr>
          <w:rFonts w:ascii="Times New Roman" w:hAnsi="Times New Roman" w:cs="Times New Roman"/>
          <w:color w:val="auto"/>
          <w:sz w:val="32"/>
          <w:szCs w:val="32"/>
          <w:highlight w:val="none"/>
        </w:rPr>
        <w:t>竞争性磋商公告</w:t>
      </w:r>
      <w:bookmarkEnd w:id="6"/>
    </w:p>
    <w:p w14:paraId="166C78EC">
      <w:pPr>
        <w:shd w:val="clear"/>
        <w:spacing w:line="360" w:lineRule="auto"/>
        <w:jc w:val="center"/>
        <w:rPr>
          <w:color w:val="auto"/>
          <w:kern w:val="0"/>
          <w:szCs w:val="21"/>
          <w:highlight w:val="none"/>
        </w:rPr>
      </w:pPr>
      <w:r>
        <w:rPr>
          <w:rFonts w:hint="eastAsia" w:ascii="宋体" w:hAnsi="宋体" w:cs="宋体"/>
          <w:b/>
          <w:bCs/>
          <w:color w:val="auto"/>
          <w:kern w:val="0"/>
          <w:sz w:val="24"/>
          <w:highlight w:val="none"/>
        </w:rPr>
        <w:t>广西机电设备招标有限公司关于</w:t>
      </w:r>
      <w:r>
        <w:rPr>
          <w:rFonts w:hint="eastAsia" w:ascii="宋体" w:hAnsi="宋体" w:cs="宋体"/>
          <w:b/>
          <w:bCs/>
          <w:color w:val="auto"/>
          <w:kern w:val="0"/>
          <w:sz w:val="24"/>
          <w:highlight w:val="none"/>
          <w:lang w:eastAsia="zh-CN"/>
        </w:rPr>
        <w:t>2026年大新县生产障碍耕地治理项目（重）</w:t>
      </w:r>
      <w:r>
        <w:rPr>
          <w:rFonts w:hint="eastAsia" w:ascii="宋体" w:hAnsi="宋体" w:cs="宋体"/>
          <w:b/>
          <w:bCs/>
          <w:color w:val="auto"/>
          <w:kern w:val="0"/>
          <w:sz w:val="24"/>
          <w:highlight w:val="none"/>
        </w:rPr>
        <w:t>竞争性磋商公告</w:t>
      </w:r>
    </w:p>
    <w:p w14:paraId="631B14B6">
      <w:pPr>
        <w:shd w:val="clear"/>
        <w:spacing w:line="360" w:lineRule="auto"/>
        <w:ind w:firstLine="735" w:firstLineChars="350"/>
        <w:jc w:val="left"/>
        <w:rPr>
          <w:color w:val="auto"/>
          <w:kern w:val="0"/>
          <w:szCs w:val="21"/>
          <w:highlight w:val="none"/>
        </w:rPr>
      </w:pPr>
      <w:bookmarkStart w:id="7" w:name="_Hlk132795121"/>
      <w:r>
        <w:rPr>
          <w:rFonts w:hint="eastAsia"/>
          <w:color w:val="auto"/>
          <w:kern w:val="0"/>
          <w:szCs w:val="21"/>
          <w:highlight w:val="none"/>
        </w:rPr>
        <w:t>项目概况：</w:t>
      </w:r>
      <w:r>
        <w:rPr>
          <w:rFonts w:hint="eastAsia"/>
          <w:color w:val="auto"/>
          <w:kern w:val="0"/>
          <w:szCs w:val="21"/>
          <w:highlight w:val="none"/>
          <w:lang w:eastAsia="zh-CN"/>
        </w:rPr>
        <w:t>2026年大新县生产障碍耕地治理项目（重）</w:t>
      </w:r>
      <w:r>
        <w:rPr>
          <w:rFonts w:hint="eastAsia"/>
          <w:color w:val="auto"/>
          <w:kern w:val="0"/>
          <w:szCs w:val="21"/>
          <w:highlight w:val="none"/>
        </w:rPr>
        <w:t>的潜在供应商应在广西政府采购云平台（https://www.gcy.zfcg.gxzf.gov.cn/）获取采购文件，并于2026年</w:t>
      </w:r>
      <w:r>
        <w:rPr>
          <w:rFonts w:hint="eastAsia"/>
          <w:color w:val="auto"/>
          <w:kern w:val="0"/>
          <w:szCs w:val="21"/>
          <w:highlight w:val="none"/>
          <w:lang w:val="en-US" w:eastAsia="zh-CN"/>
        </w:rPr>
        <w:t>8</w:t>
      </w:r>
      <w:r>
        <w:rPr>
          <w:rFonts w:hint="eastAsia"/>
          <w:color w:val="auto"/>
          <w:kern w:val="0"/>
          <w:szCs w:val="21"/>
          <w:highlight w:val="none"/>
        </w:rPr>
        <w:t>月</w:t>
      </w:r>
      <w:r>
        <w:rPr>
          <w:rFonts w:hint="eastAsia"/>
          <w:color w:val="auto"/>
          <w:kern w:val="0"/>
          <w:szCs w:val="21"/>
          <w:highlight w:val="none"/>
          <w:lang w:val="en-US" w:eastAsia="zh-CN"/>
        </w:rPr>
        <w:t>3</w:t>
      </w:r>
      <w:r>
        <w:rPr>
          <w:rFonts w:hint="eastAsia"/>
          <w:color w:val="auto"/>
          <w:kern w:val="0"/>
          <w:szCs w:val="21"/>
          <w:highlight w:val="none"/>
        </w:rPr>
        <w:t>日</w:t>
      </w:r>
      <w:r>
        <w:rPr>
          <w:rFonts w:hint="eastAsia"/>
          <w:color w:val="auto"/>
          <w:kern w:val="0"/>
          <w:szCs w:val="21"/>
          <w:highlight w:val="none"/>
          <w:lang w:val="en-US" w:eastAsia="zh-CN"/>
        </w:rPr>
        <w:t>09：30</w:t>
      </w:r>
      <w:r>
        <w:rPr>
          <w:rFonts w:hint="eastAsia"/>
          <w:color w:val="auto"/>
          <w:kern w:val="0"/>
          <w:szCs w:val="21"/>
          <w:highlight w:val="none"/>
        </w:rPr>
        <w:t>（北京时间）前提交响应文件。</w:t>
      </w:r>
      <w:bookmarkEnd w:id="7"/>
    </w:p>
    <w:p w14:paraId="05B35CF2">
      <w:pPr>
        <w:shd w:val="clea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一、项目基本情况</w:t>
      </w:r>
    </w:p>
    <w:p w14:paraId="53FD902C">
      <w:pPr>
        <w:shd w:val="clea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lang w:val="en-US" w:eastAsia="zh-CN"/>
        </w:rPr>
        <w:t xml:space="preserve"> CZZC2026-C3-240094-JDZB</w:t>
      </w:r>
    </w:p>
    <w:p w14:paraId="7A9FE084">
      <w:pPr>
        <w:shd w:val="clea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lang w:eastAsia="zh-CN"/>
        </w:rPr>
        <w:t>2026年大新县生产障碍耕地治理项目（重）</w:t>
      </w:r>
    </w:p>
    <w:p w14:paraId="10EF391D">
      <w:pPr>
        <w:shd w:val="clear"/>
        <w:spacing w:line="312"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采购方式：竞争性磋商</w:t>
      </w:r>
    </w:p>
    <w:p w14:paraId="129A659D">
      <w:pPr>
        <w:shd w:val="clear"/>
        <w:spacing w:line="312"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预算总金额（元）：1</w:t>
      </w:r>
      <w:r>
        <w:rPr>
          <w:rFonts w:hint="eastAsia" w:ascii="宋体" w:hAnsi="宋体" w:cs="宋体"/>
          <w:color w:val="auto"/>
          <w:kern w:val="0"/>
          <w:szCs w:val="21"/>
          <w:highlight w:val="none"/>
          <w:lang w:val="en-US" w:eastAsia="zh-CN"/>
        </w:rPr>
        <w:t>25</w:t>
      </w:r>
      <w:r>
        <w:rPr>
          <w:rFonts w:hint="eastAsia" w:ascii="宋体" w:hAnsi="宋体" w:cs="宋体"/>
          <w:color w:val="auto"/>
          <w:kern w:val="0"/>
          <w:szCs w:val="21"/>
          <w:highlight w:val="none"/>
        </w:rPr>
        <w:t>0000.00</w:t>
      </w:r>
    </w:p>
    <w:p w14:paraId="1DC07F9B">
      <w:pPr>
        <w:shd w:val="clear"/>
        <w:spacing w:line="312"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采购需求：</w:t>
      </w:r>
      <w:bookmarkStart w:id="8" w:name="_Hlk77608065"/>
    </w:p>
    <w:p w14:paraId="7D63BEDA">
      <w:pPr>
        <w:shd w:val="clear"/>
        <w:spacing w:line="312" w:lineRule="auto"/>
        <w:ind w:firstLine="840" w:firstLineChars="4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标项一：</w:t>
      </w:r>
    </w:p>
    <w:p w14:paraId="6B3711CD">
      <w:pPr>
        <w:shd w:val="clear"/>
        <w:spacing w:line="312" w:lineRule="auto"/>
        <w:ind w:firstLine="840" w:firstLineChars="4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标项名称：</w:t>
      </w:r>
      <w:r>
        <w:rPr>
          <w:rFonts w:hint="eastAsia" w:ascii="宋体" w:hAnsi="宋体" w:cs="宋体"/>
          <w:color w:val="auto"/>
          <w:kern w:val="0"/>
          <w:szCs w:val="21"/>
          <w:highlight w:val="none"/>
          <w:lang w:val="en-US" w:eastAsia="zh-CN"/>
        </w:rPr>
        <w:t>生产障碍耕地治理项目实施“叶面阻隔+”技术措施模式面积3200亩和“镉低积累品种替代+”技术措施模式面积1000亩。</w:t>
      </w:r>
    </w:p>
    <w:p w14:paraId="5A511A46">
      <w:pPr>
        <w:shd w:val="clea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数量：</w:t>
      </w:r>
      <w:r>
        <w:rPr>
          <w:rFonts w:hint="eastAsia" w:ascii="宋体" w:hAnsi="宋体" w:cs="宋体"/>
          <w:color w:val="auto"/>
          <w:kern w:val="0"/>
          <w:szCs w:val="21"/>
          <w:highlight w:val="none"/>
          <w:lang w:eastAsia="zh-CN"/>
        </w:rPr>
        <w:t>不限</w:t>
      </w:r>
    </w:p>
    <w:p w14:paraId="1D4BE9AB">
      <w:pPr>
        <w:shd w:val="clear"/>
        <w:spacing w:line="312" w:lineRule="auto"/>
        <w:ind w:firstLine="735" w:firstLineChars="350"/>
        <w:jc w:val="left"/>
        <w:rPr>
          <w:rFonts w:hint="default" w:ascii="宋体" w:hAnsi="宋体" w:cs="宋体"/>
          <w:color w:val="auto"/>
          <w:kern w:val="0"/>
          <w:szCs w:val="21"/>
          <w:highlight w:val="none"/>
          <w:lang w:val="en-US"/>
        </w:rPr>
      </w:pPr>
      <w:r>
        <w:rPr>
          <w:rFonts w:hint="eastAsia" w:ascii="宋体" w:hAnsi="宋体" w:cs="宋体"/>
          <w:color w:val="auto"/>
          <w:kern w:val="0"/>
          <w:szCs w:val="21"/>
          <w:highlight w:val="none"/>
        </w:rPr>
        <w:t>预算金额（元）：</w:t>
      </w:r>
      <w:r>
        <w:rPr>
          <w:rFonts w:hint="eastAsia" w:ascii="宋体" w:hAnsi="宋体" w:cs="宋体"/>
          <w:color w:val="auto"/>
          <w:kern w:val="0"/>
          <w:szCs w:val="21"/>
          <w:highlight w:val="none"/>
          <w:lang w:val="en-US" w:eastAsia="zh-CN"/>
        </w:rPr>
        <w:t>1060400.00</w:t>
      </w:r>
    </w:p>
    <w:p w14:paraId="57FECA7B">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实施“叶面阻隔+”技术措施模式面积3200亩:（1）土壤pH调节；（2）喷施叶面阻隔剂两次；（3）开展技术宣传指导。</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实施“镉低积累品种替代+”技术措施模式面积1000亩：（1）镉低积累水稻品种替代；（2）增施锰肥；(3)开展技术宣传指导。</w:t>
      </w:r>
      <w:r>
        <w:rPr>
          <w:rFonts w:hint="eastAsia" w:ascii="宋体" w:hAnsi="宋体" w:cs="宋体"/>
          <w:color w:val="auto"/>
          <w:kern w:val="0"/>
          <w:szCs w:val="21"/>
          <w:highlight w:val="none"/>
          <w:lang w:val="en-US" w:eastAsia="zh-CN"/>
        </w:rPr>
        <w:t>如需进一步了解详细内容，详见采购文件。</w:t>
      </w:r>
    </w:p>
    <w:p w14:paraId="403EC45E">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最高限价（如有）：</w:t>
      </w:r>
      <w:r>
        <w:rPr>
          <w:rFonts w:hint="eastAsia" w:ascii="宋体" w:hAnsi="宋体" w:cs="宋体"/>
          <w:color w:val="auto"/>
          <w:kern w:val="0"/>
          <w:szCs w:val="21"/>
          <w:highlight w:val="none"/>
          <w:lang w:val="en-US" w:eastAsia="zh-CN"/>
        </w:rPr>
        <w:t>1060400.00</w:t>
      </w:r>
    </w:p>
    <w:p w14:paraId="5326A351">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val="en-US" w:eastAsia="zh-CN"/>
        </w:rPr>
        <w:t>自签订合同之日起至 2026年 12 月20日前完成。</w:t>
      </w:r>
    </w:p>
    <w:p w14:paraId="20BD9EDB">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不</w:t>
      </w:r>
      <w:r>
        <w:rPr>
          <w:rFonts w:hint="eastAsia" w:ascii="宋体" w:hAnsi="宋体" w:cs="宋体"/>
          <w:color w:val="auto"/>
          <w:kern w:val="0"/>
          <w:szCs w:val="21"/>
          <w:highlight w:val="none"/>
        </w:rPr>
        <w:t>接受联合体。</w:t>
      </w:r>
    </w:p>
    <w:p w14:paraId="0BA2BB50">
      <w:pPr>
        <w:shd w:val="clear"/>
        <w:spacing w:line="312" w:lineRule="auto"/>
        <w:ind w:firstLine="840" w:firstLineChars="4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标项二：</w:t>
      </w:r>
    </w:p>
    <w:p w14:paraId="060C7EB0">
      <w:pPr>
        <w:shd w:val="clear"/>
        <w:spacing w:line="312" w:lineRule="auto"/>
        <w:ind w:firstLine="840" w:firstLineChars="4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kern w:val="0"/>
          <w:szCs w:val="21"/>
          <w:highlight w:val="none"/>
          <w:lang w:val="en-US" w:eastAsia="zh-CN"/>
        </w:rPr>
        <w:t>稻谷样品采集及检测</w:t>
      </w:r>
    </w:p>
    <w:p w14:paraId="006EE7AA">
      <w:pPr>
        <w:shd w:val="clea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数量：</w:t>
      </w:r>
      <w:r>
        <w:rPr>
          <w:rFonts w:hint="eastAsia" w:ascii="宋体" w:hAnsi="宋体" w:cs="宋体"/>
          <w:color w:val="auto"/>
          <w:kern w:val="0"/>
          <w:szCs w:val="21"/>
          <w:highlight w:val="none"/>
          <w:lang w:eastAsia="zh-CN"/>
        </w:rPr>
        <w:t>不限</w:t>
      </w:r>
    </w:p>
    <w:p w14:paraId="75C8A38B">
      <w:pPr>
        <w:shd w:val="clear"/>
        <w:spacing w:line="312" w:lineRule="auto"/>
        <w:ind w:firstLine="735" w:firstLineChars="350"/>
        <w:jc w:val="left"/>
        <w:rPr>
          <w:rFonts w:hint="default" w:ascii="宋体" w:hAnsi="宋体" w:cs="宋体"/>
          <w:color w:val="auto"/>
          <w:kern w:val="0"/>
          <w:szCs w:val="21"/>
          <w:highlight w:val="none"/>
          <w:lang w:val="en-US"/>
        </w:rPr>
      </w:pPr>
      <w:r>
        <w:rPr>
          <w:rFonts w:hint="eastAsia" w:ascii="宋体" w:hAnsi="宋体" w:cs="宋体"/>
          <w:color w:val="auto"/>
          <w:kern w:val="0"/>
          <w:szCs w:val="21"/>
          <w:highlight w:val="none"/>
        </w:rPr>
        <w:t>预算金额（元）：</w:t>
      </w:r>
      <w:r>
        <w:rPr>
          <w:rFonts w:hint="eastAsia" w:ascii="宋体" w:hAnsi="宋体" w:cs="宋体"/>
          <w:color w:val="auto"/>
          <w:kern w:val="0"/>
          <w:szCs w:val="21"/>
          <w:highlight w:val="none"/>
          <w:lang w:val="en-US" w:eastAsia="zh-CN"/>
        </w:rPr>
        <w:t>157600.00</w:t>
      </w:r>
    </w:p>
    <w:p w14:paraId="2F0F411C">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(1)项目区域内按25亩/个样品的布点密度进行，约采集检测168个样品；(2)稻谷采集定量检测25个样品；(3)稻谷采集CMA检测63个样品；(4)严格管控类耕地水稻稻谷快速检测试剂600份</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如需进一步了解详细内容，详见采购文件。</w:t>
      </w:r>
    </w:p>
    <w:p w14:paraId="26DD4082">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最高限价（如有）：</w:t>
      </w:r>
      <w:r>
        <w:rPr>
          <w:rFonts w:hint="eastAsia" w:ascii="宋体" w:hAnsi="宋体" w:cs="宋体"/>
          <w:color w:val="auto"/>
          <w:kern w:val="0"/>
          <w:szCs w:val="21"/>
          <w:highlight w:val="none"/>
          <w:lang w:val="en-US" w:eastAsia="zh-CN"/>
        </w:rPr>
        <w:t>157600.00</w:t>
      </w:r>
    </w:p>
    <w:p w14:paraId="0C27447A">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val="en-US" w:eastAsia="zh-CN"/>
        </w:rPr>
        <w:t>自签订合同之日起至 2026年 12 月20日前完成。</w:t>
      </w:r>
    </w:p>
    <w:p w14:paraId="61075819">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不</w:t>
      </w:r>
      <w:r>
        <w:rPr>
          <w:rFonts w:hint="eastAsia" w:ascii="宋体" w:hAnsi="宋体" w:cs="宋体"/>
          <w:color w:val="auto"/>
          <w:kern w:val="0"/>
          <w:szCs w:val="21"/>
          <w:highlight w:val="none"/>
        </w:rPr>
        <w:t>接受联合体。</w:t>
      </w:r>
    </w:p>
    <w:p w14:paraId="3A315626">
      <w:pPr>
        <w:shd w:val="clear"/>
        <w:spacing w:line="312" w:lineRule="auto"/>
        <w:ind w:firstLine="840" w:firstLineChars="4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标项三：</w:t>
      </w:r>
    </w:p>
    <w:p w14:paraId="3253B958">
      <w:pPr>
        <w:shd w:val="clear"/>
        <w:spacing w:line="312" w:lineRule="auto"/>
        <w:ind w:firstLine="840" w:firstLineChars="4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kern w:val="0"/>
          <w:szCs w:val="21"/>
          <w:highlight w:val="none"/>
          <w:lang w:val="en-US" w:eastAsia="zh-CN"/>
        </w:rPr>
        <w:t>项目监理</w:t>
      </w:r>
    </w:p>
    <w:p w14:paraId="3AC0B84A">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数量：不限</w:t>
      </w:r>
    </w:p>
    <w:p w14:paraId="18D9D706">
      <w:pPr>
        <w:shd w:val="clear"/>
        <w:spacing w:line="312" w:lineRule="auto"/>
        <w:ind w:firstLine="735" w:firstLineChars="350"/>
        <w:jc w:val="left"/>
        <w:rPr>
          <w:rFonts w:hint="default" w:ascii="宋体" w:hAnsi="宋体" w:cs="宋体"/>
          <w:color w:val="auto"/>
          <w:kern w:val="0"/>
          <w:szCs w:val="21"/>
          <w:highlight w:val="none"/>
          <w:lang w:val="en-US"/>
        </w:rPr>
      </w:pPr>
      <w:r>
        <w:rPr>
          <w:rFonts w:hint="eastAsia" w:ascii="宋体" w:hAnsi="宋体" w:cs="宋体"/>
          <w:color w:val="auto"/>
          <w:kern w:val="0"/>
          <w:szCs w:val="21"/>
          <w:highlight w:val="none"/>
        </w:rPr>
        <w:t>预算金额（元）：</w:t>
      </w:r>
      <w:r>
        <w:rPr>
          <w:rFonts w:hint="eastAsia" w:ascii="宋体" w:hAnsi="宋体" w:cs="宋体"/>
          <w:color w:val="auto"/>
          <w:kern w:val="0"/>
          <w:szCs w:val="21"/>
          <w:highlight w:val="none"/>
          <w:lang w:val="en-US" w:eastAsia="zh-CN"/>
        </w:rPr>
        <w:t>32000.00</w:t>
      </w:r>
    </w:p>
    <w:p w14:paraId="68623B27">
      <w:pPr>
        <w:shd w:val="clea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w:t>
      </w:r>
      <w:r>
        <w:rPr>
          <w:rFonts w:hint="eastAsia" w:ascii="宋体" w:hAnsi="宋体" w:cs="宋体"/>
          <w:color w:val="auto"/>
          <w:kern w:val="0"/>
          <w:szCs w:val="21"/>
          <w:highlight w:val="none"/>
          <w:lang w:val="en-US" w:eastAsia="zh-CN"/>
        </w:rPr>
        <w:t>委托了解农业生产第三方监理进行项目实施监督，确保技术措施落到地块，并收集提供项目实施全程的相关佐证材料和监督情况报告书等材料。 如需进一步了解详细内容，详见采购文件。</w:t>
      </w:r>
    </w:p>
    <w:p w14:paraId="3FCD3756">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最高限价（如有）：</w:t>
      </w:r>
      <w:r>
        <w:rPr>
          <w:rFonts w:hint="eastAsia" w:ascii="宋体" w:hAnsi="宋体" w:cs="宋体"/>
          <w:color w:val="auto"/>
          <w:kern w:val="0"/>
          <w:szCs w:val="21"/>
          <w:highlight w:val="none"/>
          <w:lang w:val="en-US" w:eastAsia="zh-CN"/>
        </w:rPr>
        <w:t>32000.00</w:t>
      </w:r>
    </w:p>
    <w:p w14:paraId="13AF7A06">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val="en-US" w:eastAsia="zh-CN"/>
        </w:rPr>
        <w:t>自签订合同之日起至 2026年 12 月20日前完成。</w:t>
      </w:r>
    </w:p>
    <w:p w14:paraId="6097BC02">
      <w:pPr>
        <w:shd w:val="clear"/>
        <w:spacing w:line="312" w:lineRule="auto"/>
        <w:ind w:firstLine="735" w:firstLineChars="350"/>
        <w:jc w:val="left"/>
        <w:rPr>
          <w:rFonts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不</w:t>
      </w:r>
      <w:r>
        <w:rPr>
          <w:rFonts w:hint="eastAsia" w:ascii="宋体" w:hAnsi="宋体" w:cs="宋体"/>
          <w:color w:val="auto"/>
          <w:kern w:val="0"/>
          <w:szCs w:val="21"/>
          <w:highlight w:val="none"/>
        </w:rPr>
        <w:t>接受联合体。</w:t>
      </w:r>
    </w:p>
    <w:bookmarkEnd w:id="8"/>
    <w:p w14:paraId="49D3A40B">
      <w:pPr>
        <w:shd w:val="clea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二、申请人的资格要求</w:t>
      </w:r>
    </w:p>
    <w:p w14:paraId="73618DA4">
      <w:pPr>
        <w:shd w:val="clea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r>
        <w:rPr>
          <w:color w:val="auto"/>
          <w:szCs w:val="21"/>
          <w:highlight w:val="none"/>
        </w:rPr>
        <w:t xml:space="preserve"> </w:t>
      </w:r>
    </w:p>
    <w:p w14:paraId="55974D03">
      <w:pPr>
        <w:shd w:val="clear"/>
        <w:spacing w:line="312" w:lineRule="auto"/>
        <w:ind w:firstLine="420" w:firstLineChars="200"/>
        <w:jc w:val="left"/>
        <w:rPr>
          <w:color w:val="auto"/>
          <w:kern w:val="0"/>
          <w:szCs w:val="21"/>
          <w:highlight w:val="none"/>
        </w:rPr>
      </w:pPr>
      <w:r>
        <w:rPr>
          <w:rFonts w:hint="eastAsia"/>
          <w:color w:val="auto"/>
          <w:szCs w:val="21"/>
          <w:highlight w:val="none"/>
        </w:rPr>
        <w:t>2.落实政府采购政策需满足的资格要求：</w:t>
      </w:r>
      <w:r>
        <w:rPr>
          <w:rFonts w:hint="eastAsia" w:ascii="宋体" w:hAnsi="宋体" w:eastAsia="宋体" w:cs="宋体"/>
          <w:color w:val="auto"/>
          <w:kern w:val="0"/>
          <w:sz w:val="20"/>
          <w:szCs w:val="20"/>
          <w:highlight w:val="none"/>
          <w:lang w:val="en-US" w:eastAsia="zh-CN" w:bidi="ar"/>
        </w:rPr>
        <w:t>本</w:t>
      </w:r>
      <w:r>
        <w:rPr>
          <w:rFonts w:hint="eastAsia"/>
          <w:color w:val="auto"/>
          <w:kern w:val="0"/>
          <w:szCs w:val="21"/>
          <w:highlight w:val="none"/>
          <w:lang w:val="en-US" w:eastAsia="zh-CN"/>
        </w:rPr>
        <w:t xml:space="preserve">项目为专门面向中小企业采购的项目（供应商应为中小 </w:t>
      </w:r>
    </w:p>
    <w:p w14:paraId="173A01A2">
      <w:pPr>
        <w:shd w:val="clear"/>
        <w:spacing w:line="312" w:lineRule="auto"/>
        <w:ind w:firstLine="420" w:firstLineChars="200"/>
        <w:jc w:val="left"/>
        <w:rPr>
          <w:rFonts w:hint="eastAsia" w:eastAsia="宋体"/>
          <w:color w:val="auto"/>
          <w:kern w:val="0"/>
          <w:szCs w:val="21"/>
          <w:highlight w:val="none"/>
          <w:lang w:val="en-US" w:eastAsia="zh-CN"/>
        </w:rPr>
      </w:pPr>
      <w:r>
        <w:rPr>
          <w:rFonts w:hint="eastAsia"/>
          <w:color w:val="auto"/>
          <w:kern w:val="0"/>
          <w:szCs w:val="21"/>
          <w:highlight w:val="none"/>
          <w:lang w:val="en-US" w:eastAsia="zh-CN"/>
        </w:rPr>
        <w:t>微企业、监狱企业、残疾人福利性单位)</w:t>
      </w:r>
      <w:r>
        <w:rPr>
          <w:rFonts w:hint="eastAsia"/>
          <w:color w:val="auto"/>
          <w:kern w:val="0"/>
          <w:szCs w:val="21"/>
          <w:highlight w:val="none"/>
        </w:rPr>
        <w:t>。</w:t>
      </w:r>
    </w:p>
    <w:p w14:paraId="6CAC435A">
      <w:pPr>
        <w:shd w:val="clear"/>
        <w:spacing w:line="360" w:lineRule="auto"/>
        <w:ind w:firstLine="420" w:firstLineChars="200"/>
        <w:jc w:val="left"/>
        <w:rPr>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p>
    <w:p w14:paraId="20C366E4">
      <w:pPr>
        <w:shd w:val="clear"/>
        <w:spacing w:line="312" w:lineRule="auto"/>
        <w:ind w:firstLine="420" w:firstLineChars="200"/>
        <w:jc w:val="left"/>
        <w:rPr>
          <w:color w:val="auto"/>
          <w:kern w:val="0"/>
          <w:szCs w:val="21"/>
          <w:highlight w:val="none"/>
        </w:rPr>
      </w:pPr>
      <w:r>
        <w:rPr>
          <w:color w:val="auto"/>
          <w:kern w:val="0"/>
          <w:szCs w:val="21"/>
          <w:highlight w:val="none"/>
        </w:rPr>
        <w:t>（1）资质要求：</w:t>
      </w:r>
      <w:r>
        <w:rPr>
          <w:rFonts w:hint="eastAsia"/>
          <w:color w:val="auto"/>
          <w:kern w:val="0"/>
          <w:szCs w:val="21"/>
          <w:highlight w:val="none"/>
          <w:lang w:val="en-US" w:eastAsia="zh-CN"/>
        </w:rPr>
        <w:t xml:space="preserve">分标2：须具备有效的省级或以上计量认证资质证书和《农产品质量安全检测机构考核合格证书》。 </w:t>
      </w:r>
    </w:p>
    <w:p w14:paraId="6E8B1930">
      <w:pPr>
        <w:shd w:val="clear"/>
        <w:spacing w:line="312" w:lineRule="auto"/>
        <w:ind w:firstLine="420" w:firstLineChars="200"/>
        <w:jc w:val="left"/>
        <w:rPr>
          <w:color w:val="auto"/>
          <w:kern w:val="0"/>
          <w:szCs w:val="21"/>
          <w:highlight w:val="none"/>
        </w:rPr>
      </w:pPr>
      <w:r>
        <w:rPr>
          <w:color w:val="auto"/>
          <w:kern w:val="0"/>
          <w:szCs w:val="21"/>
          <w:highlight w:val="none"/>
        </w:rPr>
        <w:t>（2）业绩要求：</w:t>
      </w:r>
      <w:r>
        <w:rPr>
          <w:rFonts w:hint="eastAsia"/>
          <w:color w:val="auto"/>
          <w:kern w:val="0"/>
          <w:szCs w:val="21"/>
          <w:highlight w:val="none"/>
          <w:lang w:val="en-US" w:eastAsia="zh-CN"/>
        </w:rPr>
        <w:t>无</w:t>
      </w:r>
    </w:p>
    <w:p w14:paraId="5827D505">
      <w:pPr>
        <w:shd w:val="clea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14243D16">
      <w:pPr>
        <w:shd w:val="clear"/>
        <w:spacing w:line="312" w:lineRule="auto"/>
        <w:ind w:firstLine="420" w:firstLineChars="200"/>
        <w:jc w:val="left"/>
        <w:rPr>
          <w:color w:val="auto"/>
          <w:kern w:val="0"/>
          <w:szCs w:val="21"/>
          <w:highlight w:val="none"/>
        </w:rPr>
      </w:pPr>
      <w:r>
        <w:rPr>
          <w:rFonts w:hint="eastAsia"/>
          <w:color w:val="auto"/>
          <w:kern w:val="0"/>
          <w:szCs w:val="21"/>
          <w:highlight w:val="none"/>
        </w:rPr>
        <w:t>（4）</w:t>
      </w:r>
      <w:r>
        <w:rPr>
          <w:color w:val="auto"/>
          <w:kern w:val="0"/>
          <w:szCs w:val="21"/>
          <w:highlight w:val="none"/>
        </w:rPr>
        <w:t>未被列入失信被执行人、重大税收违法失信主体、政府采购严重违法失信行为记录名单。</w:t>
      </w:r>
    </w:p>
    <w:p w14:paraId="6A54A68D">
      <w:pPr>
        <w:shd w:val="clear"/>
        <w:spacing w:line="312" w:lineRule="auto"/>
        <w:ind w:firstLine="420" w:firstLineChars="200"/>
        <w:jc w:val="left"/>
        <w:rPr>
          <w:color w:val="auto"/>
          <w:kern w:val="0"/>
          <w:szCs w:val="21"/>
          <w:highlight w:val="none"/>
        </w:rPr>
      </w:pPr>
      <w:r>
        <w:rPr>
          <w:rFonts w:hint="eastAsia"/>
          <w:color w:val="auto"/>
          <w:kern w:val="0"/>
          <w:szCs w:val="21"/>
          <w:highlight w:val="none"/>
        </w:rPr>
        <w:t>（5）本项目（不允许）分公司参与响应。</w:t>
      </w:r>
    </w:p>
    <w:p w14:paraId="0B52C256">
      <w:pPr>
        <w:shd w:val="clear"/>
        <w:spacing w:line="312" w:lineRule="auto"/>
        <w:ind w:firstLine="420" w:firstLineChars="200"/>
        <w:jc w:val="left"/>
        <w:rPr>
          <w:color w:val="auto"/>
          <w:kern w:val="0"/>
          <w:szCs w:val="21"/>
          <w:highlight w:val="none"/>
        </w:rPr>
      </w:pPr>
      <w:r>
        <w:rPr>
          <w:rFonts w:hint="eastAsia"/>
          <w:color w:val="auto"/>
          <w:szCs w:val="21"/>
          <w:highlight w:val="none"/>
        </w:rPr>
        <w:t>（6）</w:t>
      </w:r>
      <w:r>
        <w:rPr>
          <w:rFonts w:hint="eastAsia"/>
          <w:color w:val="auto"/>
          <w:kern w:val="0"/>
          <w:szCs w:val="21"/>
          <w:highlight w:val="none"/>
        </w:rPr>
        <w:t>本项目（不允许）分包。</w:t>
      </w:r>
    </w:p>
    <w:p w14:paraId="4BFD4701">
      <w:pPr>
        <w:shd w:val="clear"/>
        <w:spacing w:line="312" w:lineRule="auto"/>
        <w:ind w:firstLine="420" w:firstLineChars="200"/>
        <w:jc w:val="left"/>
        <w:rPr>
          <w:color w:val="auto"/>
          <w:kern w:val="0"/>
          <w:szCs w:val="21"/>
          <w:highlight w:val="none"/>
        </w:rPr>
      </w:pPr>
      <w:r>
        <w:rPr>
          <w:rFonts w:hint="eastAsia"/>
          <w:color w:val="auto"/>
          <w:kern w:val="0"/>
          <w:szCs w:val="21"/>
          <w:highlight w:val="none"/>
        </w:rPr>
        <w:t>（7）</w:t>
      </w:r>
      <w:r>
        <w:rPr>
          <w:color w:val="auto"/>
          <w:kern w:val="0"/>
          <w:szCs w:val="21"/>
          <w:highlight w:val="none"/>
        </w:rPr>
        <w:t>本项目</w:t>
      </w:r>
      <w:r>
        <w:rPr>
          <w:rFonts w:hint="eastAsia"/>
          <w:color w:val="auto"/>
          <w:kern w:val="0"/>
          <w:szCs w:val="21"/>
          <w:highlight w:val="none"/>
        </w:rPr>
        <w:t>（</w:t>
      </w:r>
      <w:r>
        <w:rPr>
          <w:color w:val="auto"/>
          <w:kern w:val="0"/>
          <w:szCs w:val="21"/>
          <w:highlight w:val="none"/>
        </w:rPr>
        <w:t>不接受</w:t>
      </w:r>
      <w:r>
        <w:rPr>
          <w:rFonts w:hint="eastAsia"/>
          <w:color w:val="auto"/>
          <w:kern w:val="0"/>
          <w:szCs w:val="21"/>
          <w:highlight w:val="none"/>
        </w:rPr>
        <w:t>）</w:t>
      </w:r>
      <w:r>
        <w:rPr>
          <w:color w:val="auto"/>
          <w:kern w:val="0"/>
          <w:szCs w:val="21"/>
          <w:highlight w:val="none"/>
        </w:rPr>
        <w:t>联合体。</w:t>
      </w:r>
    </w:p>
    <w:p w14:paraId="091021CA">
      <w:pPr>
        <w:shd w:val="clear"/>
        <w:spacing w:line="312" w:lineRule="auto"/>
        <w:ind w:firstLine="420" w:firstLineChars="200"/>
        <w:jc w:val="left"/>
        <w:rPr>
          <w:color w:val="auto"/>
          <w:kern w:val="0"/>
          <w:szCs w:val="21"/>
          <w:highlight w:val="none"/>
        </w:rPr>
      </w:pPr>
      <w:r>
        <w:rPr>
          <w:rFonts w:hint="eastAsia"/>
          <w:color w:val="auto"/>
          <w:kern w:val="0"/>
          <w:szCs w:val="21"/>
          <w:highlight w:val="none"/>
        </w:rPr>
        <w:t>（8）</w:t>
      </w:r>
      <w:r>
        <w:rPr>
          <w:color w:val="auto"/>
          <w:kern w:val="0"/>
          <w:szCs w:val="21"/>
          <w:highlight w:val="none"/>
        </w:rPr>
        <w:t>按照</w:t>
      </w:r>
      <w:r>
        <w:rPr>
          <w:rFonts w:hint="eastAsia"/>
          <w:color w:val="auto"/>
          <w:highlight w:val="none"/>
        </w:rPr>
        <w:t>磋商</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r>
        <w:rPr>
          <w:rFonts w:hint="eastAsia"/>
          <w:color w:val="auto"/>
          <w:kern w:val="0"/>
          <w:szCs w:val="21"/>
          <w:highlight w:val="none"/>
        </w:rPr>
        <w:t>采购文件有规定时按要求提交磋商保证金。</w:t>
      </w:r>
    </w:p>
    <w:p w14:paraId="7CE61188">
      <w:pPr>
        <w:shd w:val="clea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三、获取采购文件</w:t>
      </w:r>
    </w:p>
    <w:p w14:paraId="38F5D487">
      <w:pPr>
        <w:keepNext w:val="0"/>
        <w:keepLines w:val="0"/>
        <w:pageBreakBefore w:val="0"/>
        <w:shd w:val="clear"/>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color w:val="auto"/>
          <w:highlight w:val="none"/>
        </w:rPr>
        <w:t>时间：</w:t>
      </w:r>
      <w:r>
        <w:rPr>
          <w:rFonts w:hint="eastAsia"/>
          <w:color w:val="auto"/>
          <w:highlight w:val="none"/>
          <w:u w:val="single"/>
        </w:rPr>
        <w:t>2026年</w:t>
      </w:r>
      <w:r>
        <w:rPr>
          <w:rFonts w:hint="eastAsia"/>
          <w:color w:val="auto"/>
          <w:highlight w:val="none"/>
          <w:u w:val="single"/>
          <w:lang w:val="en-US" w:eastAsia="zh-CN"/>
        </w:rPr>
        <w:t>7</w:t>
      </w:r>
      <w:r>
        <w:rPr>
          <w:rFonts w:hint="eastAsia"/>
          <w:color w:val="auto"/>
          <w:highlight w:val="none"/>
          <w:u w:val="single"/>
        </w:rPr>
        <w:t>月</w:t>
      </w:r>
      <w:r>
        <w:rPr>
          <w:rFonts w:hint="eastAsia"/>
          <w:color w:val="auto"/>
          <w:highlight w:val="none"/>
          <w:u w:val="single"/>
          <w:lang w:val="en-US" w:eastAsia="zh-CN"/>
        </w:rPr>
        <w:t>21</w:t>
      </w:r>
      <w:r>
        <w:rPr>
          <w:rFonts w:hint="eastAsia"/>
          <w:color w:val="auto"/>
          <w:highlight w:val="none"/>
          <w:u w:val="single"/>
        </w:rPr>
        <w:t>日起至2026年</w:t>
      </w:r>
      <w:r>
        <w:rPr>
          <w:rFonts w:hint="eastAsia"/>
          <w:color w:val="auto"/>
          <w:highlight w:val="none"/>
          <w:u w:val="single"/>
          <w:lang w:val="en-US" w:eastAsia="zh-CN"/>
        </w:rPr>
        <w:t>7</w:t>
      </w:r>
      <w:r>
        <w:rPr>
          <w:rFonts w:hint="eastAsia"/>
          <w:color w:val="auto"/>
          <w:highlight w:val="none"/>
          <w:u w:val="single"/>
        </w:rPr>
        <w:t>月</w:t>
      </w:r>
      <w:r>
        <w:rPr>
          <w:rFonts w:hint="eastAsia"/>
          <w:color w:val="auto"/>
          <w:highlight w:val="none"/>
          <w:u w:val="single"/>
          <w:lang w:val="en-US" w:eastAsia="zh-CN"/>
        </w:rPr>
        <w:t>28</w:t>
      </w:r>
      <w:r>
        <w:rPr>
          <w:rFonts w:hint="eastAsia"/>
          <w:color w:val="auto"/>
          <w:highlight w:val="none"/>
          <w:u w:val="single"/>
        </w:rPr>
        <w:t>日</w:t>
      </w:r>
      <w:r>
        <w:rPr>
          <w:rFonts w:hint="eastAsia"/>
          <w:color w:val="auto"/>
          <w:highlight w:val="none"/>
        </w:rPr>
        <w:t>，</w:t>
      </w:r>
      <w:bookmarkStart w:id="9" w:name="_Hlk46137393"/>
      <w:r>
        <w:rPr>
          <w:rFonts w:hint="eastAsia"/>
          <w:color w:val="auto"/>
          <w:highlight w:val="none"/>
        </w:rPr>
        <w:t>每天上午</w:t>
      </w:r>
      <w:bookmarkStart w:id="10" w:name="_Hlk132878196"/>
      <w:r>
        <w:rPr>
          <w:rFonts w:hint="eastAsia"/>
          <w:color w:val="auto"/>
          <w:highlight w:val="none"/>
          <w:lang w:val="en-US" w:eastAsia="zh-CN"/>
        </w:rPr>
        <w:t>00</w:t>
      </w:r>
      <w:r>
        <w:rPr>
          <w:rFonts w:hint="eastAsia"/>
          <w:color w:val="auto"/>
          <w:highlight w:val="none"/>
        </w:rPr>
        <w:t>：</w:t>
      </w:r>
      <w:r>
        <w:rPr>
          <w:rFonts w:hint="eastAsia"/>
          <w:color w:val="auto"/>
          <w:highlight w:val="none"/>
          <w:lang w:val="en-US" w:eastAsia="zh-CN"/>
        </w:rPr>
        <w:t>00</w:t>
      </w:r>
      <w:r>
        <w:rPr>
          <w:rFonts w:hint="eastAsia"/>
          <w:color w:val="auto"/>
          <w:highlight w:val="none"/>
        </w:rPr>
        <w:t>至12：00，下午</w:t>
      </w:r>
      <w:r>
        <w:rPr>
          <w:rFonts w:hint="eastAsia"/>
          <w:color w:val="auto"/>
          <w:highlight w:val="none"/>
          <w:lang w:val="en-US" w:eastAsia="zh-CN"/>
        </w:rPr>
        <w:t>12</w:t>
      </w:r>
      <w:r>
        <w:rPr>
          <w:rFonts w:hint="eastAsia"/>
          <w:color w:val="auto"/>
          <w:highlight w:val="none"/>
        </w:rPr>
        <w:t>：</w:t>
      </w:r>
      <w:r>
        <w:rPr>
          <w:rFonts w:hint="eastAsia"/>
          <w:color w:val="auto"/>
          <w:highlight w:val="none"/>
          <w:lang w:val="en-US" w:eastAsia="zh-CN"/>
        </w:rPr>
        <w:t>0</w:t>
      </w:r>
      <w:r>
        <w:rPr>
          <w:rFonts w:hint="eastAsia"/>
          <w:color w:val="auto"/>
          <w:highlight w:val="none"/>
        </w:rPr>
        <w:t>0至</w:t>
      </w:r>
      <w:bookmarkEnd w:id="10"/>
      <w:r>
        <w:rPr>
          <w:rFonts w:hint="eastAsia"/>
          <w:color w:val="auto"/>
          <w:highlight w:val="none"/>
          <w:lang w:val="en-US" w:eastAsia="zh-CN"/>
        </w:rPr>
        <w:t>23</w:t>
      </w:r>
      <w:r>
        <w:rPr>
          <w:rFonts w:hint="eastAsia"/>
          <w:color w:val="auto"/>
          <w:highlight w:val="none"/>
        </w:rPr>
        <w:t>：</w:t>
      </w:r>
      <w:r>
        <w:rPr>
          <w:rFonts w:hint="eastAsia"/>
          <w:color w:val="auto"/>
          <w:highlight w:val="none"/>
          <w:lang w:val="en-US" w:eastAsia="zh-CN"/>
        </w:rPr>
        <w:t>59</w:t>
      </w:r>
      <w:r>
        <w:rPr>
          <w:rFonts w:hint="eastAsia"/>
          <w:color w:val="auto"/>
          <w:highlight w:val="none"/>
        </w:rPr>
        <w:t>（北京时间，法定节假日除外）</w:t>
      </w:r>
    </w:p>
    <w:p w14:paraId="715900F0">
      <w:pPr>
        <w:shd w:val="clear"/>
        <w:spacing w:line="312" w:lineRule="auto"/>
        <w:ind w:firstLine="420" w:firstLineChars="200"/>
        <w:jc w:val="left"/>
        <w:rPr>
          <w:rFonts w:ascii="Arial" w:hAnsi="Arial" w:cs="Arial"/>
          <w:color w:val="auto"/>
          <w:kern w:val="0"/>
          <w:szCs w:val="21"/>
          <w:highlight w:val="none"/>
        </w:rPr>
      </w:pPr>
      <w:r>
        <w:rPr>
          <w:rFonts w:hint="eastAsia"/>
          <w:color w:val="auto"/>
          <w:highlight w:val="none"/>
        </w:rPr>
        <w:t>地点（网址）：</w:t>
      </w:r>
      <w:bookmarkEnd w:id="9"/>
      <w:r>
        <w:rPr>
          <w:rFonts w:ascii="Arial" w:hAnsi="Arial" w:cs="Arial"/>
          <w:color w:val="auto"/>
          <w:kern w:val="0"/>
          <w:szCs w:val="21"/>
          <w:highlight w:val="none"/>
        </w:rPr>
        <w:t>广西政府采购云平台</w:t>
      </w:r>
      <w:r>
        <w:rPr>
          <w:rFonts w:hint="eastAsia" w:ascii="Arial" w:hAnsi="Arial" w:cs="Arial"/>
          <w:color w:val="auto"/>
          <w:kern w:val="0"/>
          <w:szCs w:val="21"/>
          <w:highlight w:val="none"/>
        </w:rPr>
        <w:t>（https://www.gcy.zfcg.gxzf.gov.cn/）</w:t>
      </w:r>
    </w:p>
    <w:p w14:paraId="4C903561">
      <w:pPr>
        <w:shd w:val="clear"/>
        <w:spacing w:line="312" w:lineRule="auto"/>
        <w:ind w:firstLine="420" w:firstLineChars="200"/>
        <w:jc w:val="left"/>
        <w:rPr>
          <w:color w:val="auto"/>
          <w:szCs w:val="21"/>
          <w:highlight w:val="none"/>
        </w:rPr>
      </w:pPr>
      <w:r>
        <w:rPr>
          <w:rFonts w:hint="eastAsia"/>
          <w:color w:val="auto"/>
          <w:szCs w:val="21"/>
          <w:highlight w:val="none"/>
        </w:rPr>
        <w:t>方式：供应商登录广西政府采购云平台在线申请获取采购文件（进入“项目采购”应用，在获取采购文件菜单中选择项目，申请获取采购文件）</w:t>
      </w:r>
    </w:p>
    <w:p w14:paraId="728BA2B8">
      <w:pPr>
        <w:shd w:val="clea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四、响应文件提交</w:t>
      </w:r>
    </w:p>
    <w:p w14:paraId="702F84F7">
      <w:pPr>
        <w:keepNext w:val="0"/>
        <w:keepLines w:val="0"/>
        <w:pageBreakBefore w:val="0"/>
        <w:shd w:val="clear"/>
        <w:wordWrap/>
        <w:overflowPunct/>
        <w:topLinePunct w:val="0"/>
        <w:bidi w:val="0"/>
        <w:snapToGrid w:val="0"/>
        <w:spacing w:line="360" w:lineRule="auto"/>
        <w:ind w:firstLine="420" w:firstLineChars="200"/>
        <w:rPr>
          <w:color w:val="auto"/>
          <w:kern w:val="0"/>
          <w:szCs w:val="21"/>
          <w:highlight w:val="none"/>
        </w:rPr>
      </w:pPr>
      <w:r>
        <w:rPr>
          <w:rFonts w:hint="eastAsia"/>
          <w:color w:val="auto"/>
          <w:kern w:val="0"/>
          <w:szCs w:val="21"/>
          <w:highlight w:val="none"/>
        </w:rPr>
        <w:t>截止时间：2026年</w:t>
      </w:r>
      <w:r>
        <w:rPr>
          <w:rFonts w:hint="eastAsia"/>
          <w:color w:val="auto"/>
          <w:kern w:val="0"/>
          <w:szCs w:val="21"/>
          <w:highlight w:val="none"/>
          <w:lang w:val="en-US" w:eastAsia="zh-CN"/>
        </w:rPr>
        <w:t>8</w:t>
      </w:r>
      <w:r>
        <w:rPr>
          <w:rFonts w:hint="eastAsia"/>
          <w:color w:val="auto"/>
          <w:kern w:val="0"/>
          <w:szCs w:val="21"/>
          <w:highlight w:val="none"/>
        </w:rPr>
        <w:t>月</w:t>
      </w:r>
      <w:r>
        <w:rPr>
          <w:rFonts w:hint="eastAsia"/>
          <w:color w:val="auto"/>
          <w:kern w:val="0"/>
          <w:szCs w:val="21"/>
          <w:highlight w:val="none"/>
          <w:lang w:val="en-US" w:eastAsia="zh-CN"/>
        </w:rPr>
        <w:t>3</w:t>
      </w:r>
      <w:r>
        <w:rPr>
          <w:rFonts w:hint="eastAsia"/>
          <w:color w:val="auto"/>
          <w:kern w:val="0"/>
          <w:szCs w:val="21"/>
          <w:highlight w:val="none"/>
        </w:rPr>
        <w:t>日</w:t>
      </w:r>
      <w:r>
        <w:rPr>
          <w:rFonts w:hint="eastAsia"/>
          <w:color w:val="auto"/>
          <w:kern w:val="0"/>
          <w:szCs w:val="21"/>
          <w:highlight w:val="none"/>
          <w:lang w:val="en-US" w:eastAsia="zh-CN"/>
        </w:rPr>
        <w:t>09：30</w:t>
      </w:r>
      <w:r>
        <w:rPr>
          <w:rFonts w:hint="eastAsia" w:ascii="宋体" w:hAnsi="宋体" w:eastAsia="宋体" w:cs="宋体"/>
          <w:color w:val="auto"/>
          <w:sz w:val="21"/>
          <w:szCs w:val="21"/>
          <w:highlight w:val="none"/>
        </w:rPr>
        <w:t>（北京时间）。</w:t>
      </w:r>
    </w:p>
    <w:p w14:paraId="72C6B25A">
      <w:pPr>
        <w:shd w:val="clear"/>
        <w:spacing w:line="312" w:lineRule="auto"/>
        <w:ind w:firstLine="420" w:firstLineChars="200"/>
        <w:jc w:val="left"/>
        <w:rPr>
          <w:color w:val="auto"/>
          <w:kern w:val="0"/>
          <w:szCs w:val="21"/>
          <w:highlight w:val="none"/>
        </w:rPr>
      </w:pPr>
      <w:r>
        <w:rPr>
          <w:rFonts w:hint="eastAsia"/>
          <w:color w:val="auto"/>
          <w:kern w:val="0"/>
          <w:szCs w:val="21"/>
          <w:highlight w:val="none"/>
        </w:rPr>
        <w:t>地点（网址）：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color w:val="auto"/>
          <w:kern w:val="0"/>
          <w:szCs w:val="21"/>
          <w:highlight w:val="none"/>
        </w:rPr>
        <w:t>A</w:t>
      </w:r>
      <w:r>
        <w:rPr>
          <w:rFonts w:hint="eastAsia"/>
          <w:color w:val="auto"/>
          <w:kern w:val="0"/>
          <w:szCs w:val="21"/>
          <w:highlight w:val="none"/>
        </w:rPr>
        <w:t>认证编制、加密响应文件后在响应截止时间前上传至广西政府采购云平台，供应商在广西政府采购云平台提交电子版响应文件时，请填写参加远程截标活动经办人联系方式。</w:t>
      </w:r>
    </w:p>
    <w:p w14:paraId="66F31BE2">
      <w:pPr>
        <w:shd w:val="clear"/>
        <w:spacing w:line="300" w:lineRule="exact"/>
        <w:ind w:firstLine="442" w:firstLineChars="200"/>
        <w:jc w:val="left"/>
        <w:rPr>
          <w:b/>
          <w:bCs/>
          <w:color w:val="auto"/>
          <w:kern w:val="0"/>
          <w:sz w:val="22"/>
          <w:szCs w:val="22"/>
          <w:highlight w:val="none"/>
        </w:rPr>
      </w:pPr>
      <w:r>
        <w:rPr>
          <w:rFonts w:hint="eastAsia"/>
          <w:b/>
          <w:bCs/>
          <w:color w:val="auto"/>
          <w:kern w:val="0"/>
          <w:sz w:val="22"/>
          <w:szCs w:val="22"/>
          <w:highlight w:val="none"/>
        </w:rPr>
        <w:t>五、开启</w:t>
      </w:r>
    </w:p>
    <w:p w14:paraId="363CB816">
      <w:pPr>
        <w:keepNext w:val="0"/>
        <w:keepLines w:val="0"/>
        <w:pageBreakBefore w:val="0"/>
        <w:shd w:val="clear"/>
        <w:wordWrap/>
        <w:overflowPunct/>
        <w:topLinePunct w:val="0"/>
        <w:bidi w:val="0"/>
        <w:snapToGrid w:val="0"/>
        <w:spacing w:line="360" w:lineRule="auto"/>
        <w:ind w:firstLine="442" w:firstLineChars="200"/>
        <w:rPr>
          <w:color w:val="auto"/>
          <w:kern w:val="0"/>
          <w:szCs w:val="21"/>
          <w:highlight w:val="none"/>
        </w:rPr>
      </w:pPr>
      <w:r>
        <w:rPr>
          <w:rFonts w:hint="eastAsia"/>
          <w:b/>
          <w:bCs/>
          <w:color w:val="auto"/>
          <w:kern w:val="0"/>
          <w:sz w:val="22"/>
          <w:szCs w:val="22"/>
          <w:highlight w:val="none"/>
        </w:rPr>
        <w:t>开启时间：</w:t>
      </w:r>
      <w:r>
        <w:rPr>
          <w:rFonts w:hint="eastAsia"/>
          <w:color w:val="auto"/>
          <w:kern w:val="0"/>
          <w:szCs w:val="21"/>
          <w:highlight w:val="none"/>
        </w:rPr>
        <w:t>2026年</w:t>
      </w:r>
      <w:r>
        <w:rPr>
          <w:rFonts w:hint="eastAsia"/>
          <w:color w:val="auto"/>
          <w:kern w:val="0"/>
          <w:szCs w:val="21"/>
          <w:highlight w:val="none"/>
          <w:lang w:val="en-US" w:eastAsia="zh-CN"/>
        </w:rPr>
        <w:t>8</w:t>
      </w:r>
      <w:r>
        <w:rPr>
          <w:rFonts w:hint="eastAsia"/>
          <w:color w:val="auto"/>
          <w:kern w:val="0"/>
          <w:szCs w:val="21"/>
          <w:highlight w:val="none"/>
        </w:rPr>
        <w:t>月</w:t>
      </w:r>
      <w:r>
        <w:rPr>
          <w:rFonts w:hint="eastAsia"/>
          <w:color w:val="auto"/>
          <w:kern w:val="0"/>
          <w:szCs w:val="21"/>
          <w:highlight w:val="none"/>
          <w:lang w:val="en-US" w:eastAsia="zh-CN"/>
        </w:rPr>
        <w:t>3</w:t>
      </w:r>
      <w:r>
        <w:rPr>
          <w:rFonts w:hint="eastAsia"/>
          <w:color w:val="auto"/>
          <w:kern w:val="0"/>
          <w:szCs w:val="21"/>
          <w:highlight w:val="none"/>
        </w:rPr>
        <w:t>日</w:t>
      </w:r>
      <w:r>
        <w:rPr>
          <w:rFonts w:hint="eastAsia"/>
          <w:color w:val="auto"/>
          <w:kern w:val="0"/>
          <w:szCs w:val="21"/>
          <w:highlight w:val="none"/>
          <w:lang w:val="en-US" w:eastAsia="zh-CN"/>
        </w:rPr>
        <w:t>09：30</w:t>
      </w:r>
      <w:r>
        <w:rPr>
          <w:rFonts w:hint="eastAsia" w:ascii="宋体" w:hAnsi="宋体" w:eastAsia="宋体" w:cs="宋体"/>
          <w:color w:val="auto"/>
          <w:sz w:val="21"/>
          <w:szCs w:val="21"/>
          <w:highlight w:val="none"/>
        </w:rPr>
        <w:t>（北京时间）。</w:t>
      </w:r>
    </w:p>
    <w:p w14:paraId="5B959BAF">
      <w:pPr>
        <w:shd w:val="clea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地点：</w:t>
      </w:r>
      <w:r>
        <w:rPr>
          <w:rFonts w:hint="eastAsia"/>
          <w:color w:val="auto"/>
          <w:szCs w:val="21"/>
          <w:highlight w:val="none"/>
        </w:rPr>
        <w:t>供应商登录广西政府采购云平台电子开标大厅截标。</w:t>
      </w:r>
    </w:p>
    <w:p w14:paraId="6A97BBBA">
      <w:pPr>
        <w:shd w:val="clea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六、公告期限</w:t>
      </w:r>
    </w:p>
    <w:p w14:paraId="21B0C422">
      <w:pPr>
        <w:shd w:val="clear"/>
        <w:spacing w:line="312" w:lineRule="auto"/>
        <w:ind w:firstLine="420" w:firstLineChars="200"/>
        <w:jc w:val="left"/>
        <w:rPr>
          <w:color w:val="auto"/>
          <w:kern w:val="0"/>
          <w:szCs w:val="21"/>
          <w:highlight w:val="none"/>
        </w:rPr>
      </w:pPr>
      <w:r>
        <w:rPr>
          <w:rFonts w:hint="eastAsia"/>
          <w:color w:val="auto"/>
          <w:kern w:val="0"/>
          <w:szCs w:val="21"/>
          <w:highlight w:val="none"/>
        </w:rPr>
        <w:t>自本公告发布之日起5个工作日。</w:t>
      </w:r>
    </w:p>
    <w:p w14:paraId="04236D47">
      <w:pPr>
        <w:shd w:val="clear"/>
        <w:spacing w:line="312" w:lineRule="auto"/>
        <w:ind w:firstLine="442" w:firstLineChars="200"/>
        <w:jc w:val="left"/>
        <w:rPr>
          <w:rFonts w:hint="default" w:eastAsia="宋体"/>
          <w:b/>
          <w:bCs/>
          <w:color w:val="auto"/>
          <w:kern w:val="0"/>
          <w:sz w:val="22"/>
          <w:szCs w:val="22"/>
          <w:highlight w:val="none"/>
          <w:lang w:val="en-US" w:eastAsia="zh-CN"/>
        </w:rPr>
      </w:pPr>
      <w:r>
        <w:rPr>
          <w:rFonts w:hint="eastAsia"/>
          <w:b/>
          <w:bCs/>
          <w:color w:val="auto"/>
          <w:kern w:val="0"/>
          <w:sz w:val="22"/>
          <w:szCs w:val="22"/>
          <w:highlight w:val="none"/>
        </w:rPr>
        <w:t>七、其他补充事宜</w:t>
      </w:r>
      <w:r>
        <w:rPr>
          <w:rFonts w:hint="eastAsia"/>
          <w:color w:val="auto"/>
          <w:highlight w:val="none"/>
          <w:lang w:eastAsia="zh-CN"/>
        </w:rPr>
        <w:t>：</w:t>
      </w:r>
    </w:p>
    <w:p w14:paraId="5E23EF25">
      <w:pPr>
        <w:shd w:val="clear"/>
        <w:spacing w:line="312" w:lineRule="auto"/>
        <w:ind w:firstLine="420" w:firstLineChars="200"/>
        <w:jc w:val="left"/>
        <w:rPr>
          <w:color w:val="auto"/>
          <w:kern w:val="0"/>
          <w:szCs w:val="21"/>
          <w:highlight w:val="none"/>
        </w:rPr>
      </w:pPr>
      <w:r>
        <w:rPr>
          <w:rFonts w:hint="eastAsia"/>
          <w:color w:val="auto"/>
          <w:kern w:val="0"/>
          <w:szCs w:val="21"/>
          <w:highlight w:val="none"/>
        </w:rPr>
        <w:t>1.公告发布媒体：广西壮族自治区政府采购网、中国政府采购网</w:t>
      </w:r>
    </w:p>
    <w:p w14:paraId="239A3AAE">
      <w:pPr>
        <w:shd w:val="clear"/>
        <w:spacing w:line="312" w:lineRule="auto"/>
        <w:ind w:firstLine="420" w:firstLineChars="200"/>
        <w:jc w:val="left"/>
        <w:rPr>
          <w:color w:val="auto"/>
          <w:kern w:val="0"/>
          <w:szCs w:val="21"/>
          <w:highlight w:val="none"/>
        </w:rPr>
      </w:pPr>
      <w:r>
        <w:rPr>
          <w:rFonts w:hint="eastAsia"/>
          <w:color w:val="auto"/>
          <w:kern w:val="0"/>
          <w:szCs w:val="21"/>
          <w:highlight w:val="none"/>
        </w:rPr>
        <w:t>2.需落实的政府采购政策：政府采购促进中小企业、监狱企业发展、促进残疾人就业、节能环保、对本国产品的支持等有关政策，具体详见采购文件。</w:t>
      </w:r>
    </w:p>
    <w:p w14:paraId="6EC9EFB0">
      <w:pPr>
        <w:shd w:val="clear"/>
        <w:spacing w:line="312" w:lineRule="auto"/>
        <w:ind w:firstLine="420" w:firstLineChars="200"/>
        <w:jc w:val="left"/>
        <w:rPr>
          <w:color w:val="auto"/>
          <w:kern w:val="0"/>
          <w:szCs w:val="21"/>
          <w:highlight w:val="none"/>
        </w:rPr>
      </w:pPr>
      <w:r>
        <w:rPr>
          <w:rFonts w:hint="eastAsia"/>
          <w:color w:val="auto"/>
          <w:kern w:val="0"/>
          <w:szCs w:val="21"/>
          <w:highlight w:val="none"/>
        </w:rPr>
        <w:t>3.本项目供应商的产生方式：发布公告征集</w:t>
      </w:r>
    </w:p>
    <w:p w14:paraId="53FD21E8">
      <w:pPr>
        <w:shd w:val="clear"/>
        <w:spacing w:line="312" w:lineRule="auto"/>
        <w:ind w:firstLine="420" w:firstLineChars="200"/>
        <w:jc w:val="left"/>
        <w:rPr>
          <w:color w:val="auto"/>
          <w:kern w:val="0"/>
          <w:szCs w:val="21"/>
          <w:highlight w:val="none"/>
        </w:rPr>
      </w:pPr>
      <w:r>
        <w:rPr>
          <w:rFonts w:hint="eastAsia"/>
          <w:color w:val="auto"/>
          <w:kern w:val="0"/>
          <w:szCs w:val="21"/>
          <w:highlight w:val="none"/>
        </w:rPr>
        <w:t>4.注意事项：</w:t>
      </w:r>
    </w:p>
    <w:p w14:paraId="310A9B92">
      <w:pPr>
        <w:shd w:val="clear"/>
        <w:spacing w:line="312" w:lineRule="auto"/>
        <w:ind w:firstLine="420" w:firstLineChars="200"/>
        <w:jc w:val="left"/>
        <w:rPr>
          <w:color w:val="auto"/>
          <w:kern w:val="0"/>
          <w:szCs w:val="21"/>
          <w:highlight w:val="none"/>
        </w:rPr>
      </w:pPr>
      <w:r>
        <w:rPr>
          <w:rFonts w:hint="eastAsia"/>
          <w:color w:val="auto"/>
          <w:kern w:val="0"/>
          <w:szCs w:val="21"/>
          <w:highlight w:val="none"/>
        </w:rPr>
        <w:t>（1）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EFF0527">
      <w:pPr>
        <w:shd w:val="clear"/>
        <w:spacing w:line="312" w:lineRule="auto"/>
        <w:ind w:firstLine="420" w:firstLineChars="200"/>
        <w:jc w:val="left"/>
        <w:rPr>
          <w:color w:val="auto"/>
          <w:kern w:val="0"/>
          <w:szCs w:val="21"/>
          <w:highlight w:val="none"/>
        </w:rPr>
      </w:pPr>
      <w:r>
        <w:rPr>
          <w:rFonts w:hint="eastAsia"/>
          <w:color w:val="auto"/>
          <w:kern w:val="0"/>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1875B68F">
      <w:pPr>
        <w:shd w:val="clear"/>
        <w:spacing w:line="312" w:lineRule="auto"/>
        <w:ind w:firstLine="420" w:firstLineChars="200"/>
        <w:jc w:val="left"/>
        <w:rPr>
          <w:color w:val="auto"/>
          <w:kern w:val="0"/>
          <w:szCs w:val="21"/>
          <w:highlight w:val="none"/>
        </w:rPr>
      </w:pPr>
      <w:r>
        <w:rPr>
          <w:rFonts w:hint="eastAsia"/>
          <w:color w:val="auto"/>
          <w:kern w:val="0"/>
          <w:szCs w:val="21"/>
          <w:highlight w:val="none"/>
        </w:rPr>
        <w:t>（3）若对项目采购电子交易系统操作有疑问，可登录广西政府采购云平台（https://www.gcy.zfcg.gxzf.gov.cn/），点击右侧咨询小采或帮助文档或拨打客服热线95763</w:t>
      </w:r>
    </w:p>
    <w:p w14:paraId="76E95C7E">
      <w:pPr>
        <w:shd w:val="clear"/>
        <w:spacing w:line="312" w:lineRule="auto"/>
        <w:ind w:firstLine="420" w:firstLineChars="200"/>
        <w:jc w:val="left"/>
        <w:rPr>
          <w:color w:val="auto"/>
          <w:kern w:val="0"/>
          <w:szCs w:val="21"/>
          <w:highlight w:val="none"/>
        </w:rPr>
      </w:pPr>
      <w:r>
        <w:rPr>
          <w:rFonts w:hint="eastAsia"/>
          <w:color w:val="auto"/>
          <w:kern w:val="0"/>
          <w:szCs w:val="21"/>
          <w:highlight w:val="none"/>
        </w:rPr>
        <w:t>5. 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p w14:paraId="718E5817">
      <w:pPr>
        <w:shd w:val="clear"/>
        <w:spacing w:line="312" w:lineRule="auto"/>
        <w:ind w:firstLine="420" w:firstLineChars="200"/>
        <w:jc w:val="left"/>
        <w:rPr>
          <w:color w:val="auto"/>
          <w:kern w:val="0"/>
          <w:szCs w:val="21"/>
          <w:highlight w:val="none"/>
        </w:rPr>
      </w:pPr>
      <w:r>
        <w:rPr>
          <w:rFonts w:hint="eastAsia"/>
          <w:color w:val="auto"/>
          <w:kern w:val="0"/>
          <w:szCs w:val="21"/>
          <w:highlight w:val="none"/>
        </w:rPr>
        <w:t>6. 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其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7CD6502E">
      <w:pPr>
        <w:shd w:val="clea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7. 本项目采用远程异地评审，主会场在广西机电设备招标有限公司崇左分公司评标室（广西崇左市德天路28号），副会场在广西机电设备招标有限公司（广西南宁市金湖路63号金源CBD现代城B座7层）。</w:t>
      </w:r>
    </w:p>
    <w:p w14:paraId="6878B3A1">
      <w:pPr>
        <w:shd w:val="clear"/>
        <w:spacing w:line="312" w:lineRule="auto"/>
        <w:ind w:firstLine="420" w:firstLineChars="200"/>
        <w:jc w:val="left"/>
        <w:rPr>
          <w:rFonts w:hint="eastAsia"/>
          <w:color w:val="auto"/>
          <w:kern w:val="0"/>
          <w:szCs w:val="21"/>
          <w:highlight w:val="none"/>
          <w:lang w:val="en-US" w:eastAsia="zh-CN"/>
        </w:rPr>
      </w:pPr>
      <w:r>
        <w:rPr>
          <w:rFonts w:hint="eastAsia"/>
          <w:color w:val="auto"/>
          <w:kern w:val="0"/>
          <w:szCs w:val="21"/>
          <w:highlight w:val="none"/>
          <w:lang w:val="en-US" w:eastAsia="zh-CN"/>
        </w:rPr>
        <w:t>8.供应商可以对所有标项进行响应，也可以选择某个标项进行响应，但同一个供应商只能成交其中一个标项（即成交标项一后不能再成交标项二或标项三）。</w:t>
      </w:r>
    </w:p>
    <w:p w14:paraId="43376548">
      <w:pPr>
        <w:shd w:val="clear"/>
        <w:spacing w:line="312" w:lineRule="auto"/>
        <w:ind w:firstLine="420" w:firstLineChars="200"/>
        <w:jc w:val="left"/>
        <w:rPr>
          <w:rFonts w:hint="default"/>
          <w:color w:val="auto"/>
          <w:kern w:val="0"/>
          <w:szCs w:val="21"/>
          <w:highlight w:val="none"/>
          <w:lang w:val="en-US" w:eastAsia="zh-CN"/>
        </w:rPr>
      </w:pPr>
      <w:r>
        <w:rPr>
          <w:rFonts w:hint="eastAsia"/>
          <w:color w:val="auto"/>
          <w:kern w:val="0"/>
          <w:szCs w:val="21"/>
          <w:highlight w:val="none"/>
          <w:lang w:val="en-US" w:eastAsia="zh-CN"/>
        </w:rPr>
        <w:t>9.各标项的成交供应商之间不能存在隶属关系。</w:t>
      </w:r>
    </w:p>
    <w:p w14:paraId="44CEEF38">
      <w:pPr>
        <w:shd w:val="clear"/>
        <w:spacing w:line="276" w:lineRule="auto"/>
        <w:ind w:firstLine="442" w:firstLineChars="200"/>
        <w:rPr>
          <w:b/>
          <w:bCs/>
          <w:color w:val="auto"/>
          <w:kern w:val="0"/>
          <w:sz w:val="22"/>
          <w:szCs w:val="22"/>
          <w:highlight w:val="none"/>
        </w:rPr>
      </w:pPr>
      <w:r>
        <w:rPr>
          <w:rFonts w:hint="eastAsia"/>
          <w:b/>
          <w:bCs/>
          <w:color w:val="auto"/>
          <w:kern w:val="0"/>
          <w:sz w:val="22"/>
          <w:szCs w:val="22"/>
          <w:highlight w:val="none"/>
        </w:rPr>
        <w:t>八、对本次采购提出询问，请按以下方式联系</w:t>
      </w:r>
    </w:p>
    <w:p w14:paraId="51BC1095">
      <w:pPr>
        <w:shd w:val="clear"/>
        <w:spacing w:line="312" w:lineRule="auto"/>
        <w:ind w:firstLine="420" w:firstLineChars="200"/>
        <w:jc w:val="left"/>
        <w:rPr>
          <w:color w:val="auto"/>
          <w:kern w:val="0"/>
          <w:szCs w:val="21"/>
          <w:highlight w:val="none"/>
        </w:rPr>
      </w:pPr>
      <w:bookmarkStart w:id="11" w:name="_Hlk19048373"/>
      <w:r>
        <w:rPr>
          <w:rFonts w:hint="eastAsia"/>
          <w:color w:val="auto"/>
          <w:kern w:val="0"/>
          <w:szCs w:val="21"/>
          <w:highlight w:val="none"/>
        </w:rPr>
        <w:t>1.采购人信息</w:t>
      </w:r>
    </w:p>
    <w:p w14:paraId="36D50AC8">
      <w:pPr>
        <w:shd w:val="clear"/>
        <w:spacing w:line="312" w:lineRule="auto"/>
        <w:ind w:firstLine="420" w:firstLineChars="200"/>
        <w:jc w:val="left"/>
        <w:rPr>
          <w:rFonts w:hint="eastAsia" w:eastAsia="宋体"/>
          <w:color w:val="auto"/>
          <w:kern w:val="0"/>
          <w:szCs w:val="21"/>
          <w:highlight w:val="none"/>
          <w:lang w:eastAsia="zh-CN"/>
        </w:rPr>
      </w:pPr>
      <w:r>
        <w:rPr>
          <w:rFonts w:hint="eastAsia"/>
          <w:color w:val="auto"/>
          <w:kern w:val="0"/>
          <w:szCs w:val="21"/>
          <w:highlight w:val="none"/>
        </w:rPr>
        <w:t>名  称：</w:t>
      </w:r>
      <w:r>
        <w:rPr>
          <w:rFonts w:hint="eastAsia"/>
          <w:color w:val="auto"/>
          <w:kern w:val="0"/>
          <w:szCs w:val="21"/>
          <w:highlight w:val="none"/>
          <w:lang w:eastAsia="zh-CN"/>
        </w:rPr>
        <w:t>大新县农业农村局</w:t>
      </w:r>
    </w:p>
    <w:p w14:paraId="260B6EA7">
      <w:pPr>
        <w:shd w:val="clear"/>
        <w:spacing w:line="312" w:lineRule="auto"/>
        <w:ind w:firstLine="420" w:firstLineChars="200"/>
        <w:jc w:val="left"/>
        <w:rPr>
          <w:color w:val="auto"/>
          <w:kern w:val="0"/>
          <w:szCs w:val="21"/>
          <w:highlight w:val="none"/>
        </w:rPr>
      </w:pPr>
      <w:r>
        <w:rPr>
          <w:rFonts w:hint="eastAsia"/>
          <w:color w:val="auto"/>
          <w:kern w:val="0"/>
          <w:szCs w:val="21"/>
          <w:highlight w:val="none"/>
        </w:rPr>
        <w:t>地  址：</w:t>
      </w:r>
      <w:r>
        <w:rPr>
          <w:rFonts w:hint="eastAsia"/>
          <w:color w:val="auto"/>
          <w:kern w:val="0"/>
          <w:szCs w:val="21"/>
          <w:highlight w:val="none"/>
          <w:lang w:val="en-US" w:eastAsia="zh-CN"/>
        </w:rPr>
        <w:t xml:space="preserve">崇左市大新县桃城镇养利中路 450 </w:t>
      </w:r>
      <w:r>
        <w:rPr>
          <w:rFonts w:hint="eastAsia"/>
          <w:color w:val="auto"/>
          <w:kern w:val="0"/>
          <w:szCs w:val="21"/>
          <w:highlight w:val="none"/>
        </w:rPr>
        <w:t>号</w:t>
      </w:r>
    </w:p>
    <w:p w14:paraId="58E19EDF">
      <w:pPr>
        <w:keepNext w:val="0"/>
        <w:keepLines w:val="0"/>
        <w:pageBreakBefore w:val="0"/>
        <w:shd w:val="clear"/>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eastAsia="zh-CN"/>
        </w:rPr>
        <w:t>联系人及电</w:t>
      </w:r>
      <w:r>
        <w:rPr>
          <w:rFonts w:hint="eastAsia" w:ascii="宋体" w:hAnsi="宋体" w:eastAsia="宋体" w:cs="宋体"/>
          <w:bCs w:val="0"/>
          <w:color w:val="auto"/>
          <w:spacing w:val="0"/>
          <w:sz w:val="21"/>
          <w:szCs w:val="21"/>
          <w:highlight w:val="none"/>
          <w:lang w:val="en-US" w:eastAsia="zh-CN"/>
        </w:rPr>
        <w:t>话: 农工  0771-3630922</w:t>
      </w:r>
    </w:p>
    <w:p w14:paraId="7ED64A43">
      <w:pPr>
        <w:shd w:val="clear"/>
        <w:spacing w:line="312" w:lineRule="auto"/>
        <w:ind w:firstLine="420" w:firstLineChars="200"/>
        <w:jc w:val="left"/>
        <w:rPr>
          <w:color w:val="auto"/>
          <w:kern w:val="0"/>
          <w:szCs w:val="21"/>
          <w:highlight w:val="none"/>
        </w:rPr>
      </w:pPr>
      <w:r>
        <w:rPr>
          <w:rFonts w:hint="eastAsia"/>
          <w:color w:val="auto"/>
          <w:kern w:val="0"/>
          <w:szCs w:val="21"/>
          <w:highlight w:val="none"/>
        </w:rPr>
        <w:t>2.采购代理机构信息</w:t>
      </w:r>
    </w:p>
    <w:p w14:paraId="7DEBE4BF">
      <w:pPr>
        <w:shd w:val="clear"/>
        <w:spacing w:line="312" w:lineRule="auto"/>
        <w:ind w:firstLine="420" w:firstLineChars="200"/>
        <w:jc w:val="left"/>
        <w:rPr>
          <w:color w:val="auto"/>
          <w:kern w:val="0"/>
          <w:szCs w:val="21"/>
          <w:highlight w:val="none"/>
        </w:rPr>
      </w:pPr>
      <w:r>
        <w:rPr>
          <w:rFonts w:hint="eastAsia"/>
          <w:color w:val="auto"/>
          <w:kern w:val="0"/>
          <w:szCs w:val="21"/>
          <w:highlight w:val="none"/>
        </w:rPr>
        <w:t>名称</w:t>
      </w:r>
      <w:r>
        <w:rPr>
          <w:color w:val="auto"/>
          <w:kern w:val="0"/>
          <w:szCs w:val="21"/>
          <w:highlight w:val="none"/>
        </w:rPr>
        <w:t>：广西机电设备招标有限公司</w:t>
      </w:r>
    </w:p>
    <w:p w14:paraId="5DB36FB1">
      <w:pPr>
        <w:shd w:val="clear"/>
        <w:spacing w:line="312" w:lineRule="auto"/>
        <w:ind w:firstLine="420" w:firstLineChars="200"/>
        <w:jc w:val="left"/>
        <w:rPr>
          <w:color w:val="auto"/>
          <w:kern w:val="0"/>
          <w:szCs w:val="21"/>
          <w:highlight w:val="none"/>
        </w:rPr>
      </w:pPr>
      <w:r>
        <w:rPr>
          <w:color w:val="auto"/>
          <w:kern w:val="0"/>
          <w:szCs w:val="21"/>
          <w:highlight w:val="none"/>
        </w:rPr>
        <w:t>地址：</w:t>
      </w:r>
      <w:bookmarkStart w:id="12" w:name="_Hlk43198245"/>
      <w:r>
        <w:rPr>
          <w:color w:val="auto"/>
          <w:highlight w:val="none"/>
        </w:rPr>
        <w:t>广西南宁市金湖路63号金源CBD现代城B座7层</w:t>
      </w:r>
      <w:bookmarkEnd w:id="12"/>
    </w:p>
    <w:bookmarkEnd w:id="11"/>
    <w:p w14:paraId="47D0C054">
      <w:pPr>
        <w:shd w:val="clear"/>
        <w:spacing w:line="312" w:lineRule="auto"/>
        <w:ind w:firstLine="420" w:firstLineChars="200"/>
        <w:jc w:val="left"/>
        <w:rPr>
          <w:color w:val="auto"/>
          <w:highlight w:val="none"/>
        </w:rPr>
      </w:pPr>
      <w:r>
        <w:rPr>
          <w:rFonts w:hint="eastAsia"/>
          <w:color w:val="auto"/>
          <w:kern w:val="0"/>
          <w:szCs w:val="21"/>
          <w:highlight w:val="none"/>
        </w:rPr>
        <w:t>项目联系人：</w:t>
      </w:r>
      <w:r>
        <w:rPr>
          <w:rFonts w:hint="eastAsia"/>
          <w:color w:val="auto"/>
          <w:highlight w:val="none"/>
        </w:rPr>
        <w:t>梁艳冰、梁耿高、陆丽春</w:t>
      </w:r>
    </w:p>
    <w:p w14:paraId="2E6F26FD">
      <w:pPr>
        <w:shd w:val="clear"/>
        <w:spacing w:line="312" w:lineRule="auto"/>
        <w:ind w:right="420" w:firstLine="420" w:firstLineChars="200"/>
        <w:rPr>
          <w:color w:val="auto"/>
          <w:kern w:val="0"/>
          <w:szCs w:val="21"/>
          <w:highlight w:val="none"/>
        </w:rPr>
      </w:pPr>
      <w:r>
        <w:rPr>
          <w:rFonts w:hint="eastAsia"/>
          <w:color w:val="auto"/>
          <w:kern w:val="0"/>
          <w:szCs w:val="21"/>
          <w:highlight w:val="none"/>
        </w:rPr>
        <w:t>项目联系方式：</w:t>
      </w:r>
      <w:r>
        <w:rPr>
          <w:rFonts w:hint="eastAsia"/>
          <w:color w:val="auto"/>
          <w:highlight w:val="none"/>
        </w:rPr>
        <w:t>0771-2808981</w:t>
      </w:r>
      <w:r>
        <w:rPr>
          <w:color w:val="auto"/>
          <w:kern w:val="0"/>
          <w:szCs w:val="21"/>
          <w:highlight w:val="none"/>
        </w:rPr>
        <w:t xml:space="preserve"> </w:t>
      </w:r>
    </w:p>
    <w:p w14:paraId="06CB379B">
      <w:pPr>
        <w:shd w:val="clear"/>
        <w:spacing w:line="312" w:lineRule="auto"/>
        <w:ind w:firstLine="420" w:firstLineChars="200"/>
        <w:jc w:val="right"/>
        <w:rPr>
          <w:color w:val="auto"/>
          <w:kern w:val="0"/>
          <w:szCs w:val="21"/>
          <w:highlight w:val="none"/>
        </w:rPr>
      </w:pPr>
      <w:r>
        <w:rPr>
          <w:color w:val="auto"/>
          <w:kern w:val="0"/>
          <w:szCs w:val="21"/>
          <w:highlight w:val="none"/>
        </w:rPr>
        <w:t>广西机电设备招标有限公司</w:t>
      </w:r>
    </w:p>
    <w:p w14:paraId="44820431">
      <w:pPr>
        <w:shd w:val="clear"/>
        <w:spacing w:line="312" w:lineRule="auto"/>
        <w:ind w:firstLine="420" w:firstLineChars="200"/>
        <w:jc w:val="right"/>
        <w:rPr>
          <w:color w:val="auto"/>
          <w:kern w:val="0"/>
          <w:szCs w:val="21"/>
          <w:highlight w:val="none"/>
        </w:rPr>
      </w:pPr>
      <w:r>
        <w:rPr>
          <w:color w:val="auto"/>
          <w:kern w:val="0"/>
          <w:szCs w:val="21"/>
          <w:highlight w:val="none"/>
        </w:rPr>
        <w:t>20</w:t>
      </w:r>
      <w:r>
        <w:rPr>
          <w:rFonts w:hint="eastAsia"/>
          <w:color w:val="auto"/>
          <w:kern w:val="0"/>
          <w:szCs w:val="21"/>
          <w:highlight w:val="none"/>
        </w:rPr>
        <w:t>26</w:t>
      </w:r>
      <w:r>
        <w:rPr>
          <w:color w:val="auto"/>
          <w:kern w:val="0"/>
          <w:szCs w:val="21"/>
          <w:highlight w:val="none"/>
        </w:rPr>
        <w:t>年</w:t>
      </w:r>
      <w:r>
        <w:rPr>
          <w:rFonts w:hint="eastAsia"/>
          <w:color w:val="auto"/>
          <w:kern w:val="0"/>
          <w:szCs w:val="21"/>
          <w:highlight w:val="none"/>
          <w:lang w:val="en-US" w:eastAsia="zh-CN"/>
        </w:rPr>
        <w:t>7</w:t>
      </w:r>
      <w:r>
        <w:rPr>
          <w:color w:val="auto"/>
          <w:kern w:val="0"/>
          <w:szCs w:val="21"/>
          <w:highlight w:val="none"/>
        </w:rPr>
        <w:t>月</w:t>
      </w:r>
      <w:r>
        <w:rPr>
          <w:rFonts w:hint="eastAsia"/>
          <w:color w:val="auto"/>
          <w:kern w:val="0"/>
          <w:szCs w:val="21"/>
          <w:highlight w:val="none"/>
          <w:lang w:val="en-US" w:eastAsia="zh-CN"/>
        </w:rPr>
        <w:t>21</w:t>
      </w:r>
      <w:r>
        <w:rPr>
          <w:color w:val="auto"/>
          <w:kern w:val="0"/>
          <w:szCs w:val="21"/>
          <w:highlight w:val="none"/>
        </w:rPr>
        <w:t>日</w:t>
      </w:r>
    </w:p>
    <w:p w14:paraId="77F521AE">
      <w:pPr>
        <w:shd w:val="clear"/>
        <w:rPr>
          <w:color w:val="auto"/>
          <w:kern w:val="0"/>
          <w:szCs w:val="21"/>
          <w:highlight w:val="none"/>
        </w:rPr>
      </w:pPr>
      <w:r>
        <w:rPr>
          <w:color w:val="auto"/>
          <w:kern w:val="0"/>
          <w:szCs w:val="21"/>
          <w:highlight w:val="none"/>
        </w:rPr>
        <w:br w:type="page"/>
      </w:r>
    </w:p>
    <w:p w14:paraId="69D44FC5">
      <w:pPr>
        <w:shd w:val="clear"/>
        <w:spacing w:line="312" w:lineRule="auto"/>
        <w:ind w:firstLine="420" w:firstLineChars="200"/>
        <w:jc w:val="right"/>
        <w:rPr>
          <w:color w:val="auto"/>
          <w:kern w:val="0"/>
          <w:szCs w:val="21"/>
          <w:highlight w:val="none"/>
        </w:rPr>
      </w:pPr>
    </w:p>
    <w:p w14:paraId="121A0B65">
      <w:pPr>
        <w:pStyle w:val="27"/>
        <w:shd w:val="clear"/>
        <w:snapToGrid w:val="0"/>
        <w:spacing w:before="120" w:after="120" w:line="320" w:lineRule="exact"/>
        <w:jc w:val="center"/>
        <w:outlineLvl w:val="0"/>
        <w:rPr>
          <w:rFonts w:hint="eastAsia" w:hAnsi="宋体" w:cs="宋体"/>
          <w:b/>
          <w:bCs/>
          <w:color w:val="auto"/>
          <w:sz w:val="28"/>
          <w:szCs w:val="28"/>
          <w:highlight w:val="none"/>
        </w:rPr>
      </w:pPr>
      <w:bookmarkStart w:id="13" w:name="_Toc11839"/>
      <w:r>
        <w:rPr>
          <w:rFonts w:ascii="Times New Roman" w:hAnsi="Times New Roman" w:cs="Times New Roman"/>
          <w:color w:val="auto"/>
          <w:sz w:val="32"/>
          <w:szCs w:val="32"/>
          <w:highlight w:val="none"/>
        </w:rPr>
        <w:t>第二章  采购需求</w:t>
      </w:r>
      <w:bookmarkEnd w:id="13"/>
      <w:bookmarkStart w:id="14" w:name="_Toc254970631"/>
      <w:bookmarkStart w:id="15" w:name="_Toc254970490"/>
    </w:p>
    <w:p w14:paraId="0C33ECD9">
      <w:pPr>
        <w:shd w:val="clear"/>
        <w:spacing w:line="360" w:lineRule="auto"/>
        <w:rPr>
          <w:rFonts w:hint="eastAsia"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3F11FB6D">
      <w:pPr>
        <w:shd w:val="clea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2FE76016">
      <w:pPr>
        <w:shd w:val="clear"/>
        <w:spacing w:line="360" w:lineRule="auto"/>
        <w:rPr>
          <w:color w:val="auto"/>
          <w:szCs w:val="21"/>
          <w:highlight w:val="none"/>
        </w:rPr>
      </w:pPr>
      <w:r>
        <w:rPr>
          <w:rFonts w:hint="eastAsia"/>
          <w:color w:val="auto"/>
          <w:szCs w:val="21"/>
          <w:highlight w:val="none"/>
        </w:rPr>
        <w:t>详见</w:t>
      </w:r>
      <w:r>
        <w:rPr>
          <w:rFonts w:hint="eastAsia"/>
          <w:color w:val="auto"/>
          <w:szCs w:val="21"/>
          <w:highlight w:val="none"/>
          <w:lang w:eastAsia="zh-CN"/>
        </w:rPr>
        <w:t>采购文件</w:t>
      </w:r>
      <w:r>
        <w:rPr>
          <w:rFonts w:hint="eastAsia"/>
          <w:color w:val="auto"/>
          <w:szCs w:val="21"/>
          <w:highlight w:val="none"/>
        </w:rPr>
        <w:t>“评审方法及标准</w:t>
      </w:r>
      <w:r>
        <w:rPr>
          <w:color w:val="auto"/>
          <w:szCs w:val="21"/>
          <w:highlight w:val="none"/>
        </w:rPr>
        <w:t>/政府采购政策应用说明”。</w:t>
      </w:r>
    </w:p>
    <w:p w14:paraId="5A5DFD83">
      <w:pPr>
        <w:shd w:val="clea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w:t>
      </w:r>
      <w:r>
        <w:rPr>
          <w:rFonts w:hint="eastAsia"/>
          <w:color w:val="auto"/>
          <w:szCs w:val="21"/>
          <w:highlight w:val="none"/>
          <w:lang w:eastAsia="zh-CN"/>
        </w:rPr>
        <w:t>成交</w:t>
      </w:r>
      <w:r>
        <w:rPr>
          <w:rFonts w:hint="eastAsia"/>
          <w:color w:val="auto"/>
          <w:szCs w:val="21"/>
          <w:highlight w:val="none"/>
        </w:rPr>
        <w:t>供应商</w:t>
      </w:r>
      <w:r>
        <w:rPr>
          <w:color w:val="auto"/>
          <w:szCs w:val="21"/>
          <w:highlight w:val="none"/>
        </w:rPr>
        <w:t>在采购合同中约定。</w:t>
      </w:r>
    </w:p>
    <w:p w14:paraId="62D37C67">
      <w:pPr>
        <w:shd w:val="clea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w:t>
      </w:r>
      <w:r>
        <w:rPr>
          <w:rFonts w:hint="eastAsia"/>
          <w:color w:val="auto"/>
          <w:szCs w:val="21"/>
          <w:highlight w:val="none"/>
          <w:lang w:val="en-US" w:eastAsia="zh-CN"/>
        </w:rPr>
        <w:t>响应</w:t>
      </w:r>
      <w:r>
        <w:rPr>
          <w:rFonts w:hint="eastAsia"/>
          <w:color w:val="auto"/>
          <w:szCs w:val="21"/>
          <w:highlight w:val="none"/>
        </w:rPr>
        <w:t>被否决。</w:t>
      </w:r>
    </w:p>
    <w:p w14:paraId="6658783F">
      <w:pPr>
        <w:shd w:val="clear"/>
        <w:spacing w:line="360" w:lineRule="auto"/>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6B09FA40">
      <w:pPr>
        <w:shd w:val="clear"/>
        <w:spacing w:line="360" w:lineRule="auto"/>
        <w:rPr>
          <w:color w:val="auto"/>
          <w:szCs w:val="21"/>
          <w:highlight w:val="none"/>
        </w:rPr>
      </w:pPr>
      <w:r>
        <w:rPr>
          <w:rFonts w:hint="eastAsia"/>
          <w:color w:val="auto"/>
          <w:szCs w:val="21"/>
          <w:highlight w:val="none"/>
        </w:rPr>
        <w:t>1.需实现的功能、目标及应用场景</w:t>
      </w:r>
    </w:p>
    <w:p w14:paraId="78D262A1">
      <w:pPr>
        <w:shd w:val="clear"/>
        <w:spacing w:line="360" w:lineRule="auto"/>
        <w:rPr>
          <w:color w:val="auto"/>
          <w:szCs w:val="21"/>
          <w:highlight w:val="none"/>
        </w:rPr>
      </w:pPr>
      <w:r>
        <w:rPr>
          <w:rFonts w:hint="eastAsia"/>
          <w:color w:val="auto"/>
          <w:szCs w:val="21"/>
          <w:highlight w:val="none"/>
        </w:rPr>
        <w:t>满足</w:t>
      </w:r>
      <w:r>
        <w:rPr>
          <w:rFonts w:hint="eastAsia"/>
          <w:color w:val="auto"/>
          <w:szCs w:val="21"/>
          <w:highlight w:val="none"/>
          <w:lang w:eastAsia="zh-CN"/>
        </w:rPr>
        <w:t>采购文件</w:t>
      </w:r>
      <w:r>
        <w:rPr>
          <w:rFonts w:hint="eastAsia"/>
          <w:color w:val="auto"/>
          <w:szCs w:val="21"/>
          <w:highlight w:val="none"/>
        </w:rPr>
        <w:t>要求，验收达到合格标准。</w:t>
      </w:r>
    </w:p>
    <w:p w14:paraId="3A1EC495">
      <w:pPr>
        <w:shd w:val="clear"/>
        <w:spacing w:line="360" w:lineRule="auto"/>
        <w:rPr>
          <w:color w:val="auto"/>
          <w:szCs w:val="21"/>
          <w:highlight w:val="none"/>
        </w:rPr>
      </w:pPr>
      <w:r>
        <w:rPr>
          <w:rFonts w:hint="eastAsia"/>
          <w:color w:val="auto"/>
          <w:szCs w:val="21"/>
          <w:highlight w:val="none"/>
        </w:rPr>
        <w:t>2.</w:t>
      </w:r>
      <w:r>
        <w:rPr>
          <w:color w:val="auto"/>
          <w:szCs w:val="21"/>
          <w:highlight w:val="none"/>
        </w:rPr>
        <w:t>需执行的国家相关标准、行业标准、地方标准或者其他标准、规范</w:t>
      </w:r>
    </w:p>
    <w:p w14:paraId="496858FA">
      <w:pPr>
        <w:shd w:val="clear"/>
        <w:spacing w:line="360" w:lineRule="auto"/>
        <w:rPr>
          <w:color w:val="auto"/>
          <w:szCs w:val="21"/>
          <w:highlight w:val="non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详见技术指标要求</w:t>
      </w:r>
      <w:r>
        <w:rPr>
          <w:rFonts w:hint="eastAsia"/>
          <w:color w:val="auto"/>
          <w:szCs w:val="21"/>
          <w:highlight w:val="none"/>
        </w:rPr>
        <w:t>.</w:t>
      </w:r>
    </w:p>
    <w:p w14:paraId="432A4849">
      <w:pPr>
        <w:shd w:val="clear"/>
        <w:spacing w:line="360" w:lineRule="auto"/>
        <w:rPr>
          <w:color w:val="auto"/>
          <w:szCs w:val="21"/>
          <w:highlight w:val="none"/>
        </w:rPr>
      </w:pPr>
      <w:r>
        <w:rPr>
          <w:rFonts w:hint="eastAsia"/>
          <w:color w:val="auto"/>
          <w:szCs w:val="21"/>
          <w:highlight w:val="none"/>
        </w:rPr>
        <w:t>3.标的所属行业：</w:t>
      </w:r>
      <w:r>
        <w:rPr>
          <w:rFonts w:hint="eastAsia" w:ascii="宋体" w:hAnsi="宋体" w:cs="宋体"/>
          <w:b/>
          <w:bCs/>
          <w:color w:val="auto"/>
          <w:spacing w:val="-4"/>
          <w:szCs w:val="21"/>
          <w:highlight w:val="none"/>
        </w:rPr>
        <w:t>其他未列明行业</w:t>
      </w:r>
    </w:p>
    <w:p w14:paraId="4823EDB6">
      <w:pPr>
        <w:shd w:val="clear"/>
        <w:spacing w:line="360" w:lineRule="auto"/>
        <w:rPr>
          <w:color w:val="auto"/>
          <w:szCs w:val="21"/>
          <w:highlight w:val="none"/>
        </w:rPr>
      </w:pPr>
      <w:r>
        <w:rPr>
          <w:rFonts w:hint="eastAsia"/>
          <w:color w:val="auto"/>
          <w:szCs w:val="21"/>
          <w:highlight w:val="none"/>
        </w:rPr>
        <w:t>4.核心产品</w:t>
      </w:r>
    </w:p>
    <w:p w14:paraId="25634D1D">
      <w:pPr>
        <w:shd w:val="clear"/>
        <w:spacing w:line="360" w:lineRule="auto"/>
        <w:rPr>
          <w:color w:val="auto"/>
          <w:szCs w:val="21"/>
          <w:highlight w:val="none"/>
        </w:rPr>
      </w:pPr>
      <w:r>
        <w:rPr>
          <w:rFonts w:hint="eastAsia"/>
          <w:color w:val="auto"/>
          <w:szCs w:val="21"/>
          <w:highlight w:val="none"/>
        </w:rPr>
        <w:t>本项目为服务项目，不适用</w:t>
      </w:r>
      <w:r>
        <w:rPr>
          <w:rFonts w:hint="eastAsia"/>
          <w:b w:val="0"/>
          <w:bCs w:val="0"/>
          <w:color w:val="auto"/>
          <w:szCs w:val="21"/>
          <w:highlight w:val="none"/>
        </w:rPr>
        <w:t>核心产</w:t>
      </w:r>
      <w:r>
        <w:rPr>
          <w:rFonts w:hint="eastAsia"/>
          <w:color w:val="auto"/>
          <w:szCs w:val="21"/>
          <w:highlight w:val="none"/>
        </w:rPr>
        <w:t>品规定。</w:t>
      </w:r>
    </w:p>
    <w:p w14:paraId="6D921DE2">
      <w:pPr>
        <w:numPr>
          <w:ilvl w:val="0"/>
          <w:numId w:val="1"/>
        </w:numPr>
        <w:shd w:val="clear"/>
        <w:spacing w:line="360" w:lineRule="auto"/>
        <w:rPr>
          <w:rFonts w:hint="eastAsia"/>
          <w:color w:val="auto"/>
          <w:szCs w:val="21"/>
          <w:highlight w:val="none"/>
        </w:rPr>
      </w:pPr>
      <w:r>
        <w:rPr>
          <w:rFonts w:hint="eastAsia"/>
          <w:color w:val="auto"/>
          <w:szCs w:val="21"/>
          <w:highlight w:val="none"/>
        </w:rPr>
        <w:t>服务内容和标准</w:t>
      </w:r>
      <w:bookmarkStart w:id="16" w:name="_Hlk132788047"/>
      <w:r>
        <w:rPr>
          <w:rFonts w:hint="eastAsia"/>
          <w:color w:val="auto"/>
          <w:szCs w:val="21"/>
          <w:highlight w:val="none"/>
        </w:rPr>
        <w:t>：</w:t>
      </w:r>
    </w:p>
    <w:p w14:paraId="79E159A7">
      <w:pPr>
        <w:pStyle w:val="19"/>
        <w:numPr>
          <w:ilvl w:val="0"/>
          <w:numId w:val="0"/>
        </w:numPr>
        <w:shd w:val="clea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分标1：</w:t>
      </w:r>
    </w:p>
    <w:bookmarkEnd w:id="16"/>
    <w:tbl>
      <w:tblPr>
        <w:tblStyle w:val="52"/>
        <w:tblW w:w="94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4"/>
        <w:gridCol w:w="904"/>
        <w:gridCol w:w="946"/>
        <w:gridCol w:w="6974"/>
      </w:tblGrid>
      <w:tr w14:paraId="1F7FF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19916AD4">
            <w:pPr>
              <w:pStyle w:val="27"/>
              <w:shd w:val="clear"/>
              <w:snapToGrid w:val="0"/>
              <w:spacing w:line="360" w:lineRule="exact"/>
              <w:jc w:val="center"/>
              <w:outlineLvl w:val="0"/>
              <w:rPr>
                <w:rFonts w:hint="eastAsia" w:hAnsi="宋体" w:cs="宋体"/>
                <w:b/>
                <w:bCs/>
                <w:color w:val="auto"/>
                <w:highlight w:val="none"/>
              </w:rPr>
            </w:pPr>
            <w:bookmarkStart w:id="17" w:name="_Toc30454"/>
            <w:r>
              <w:rPr>
                <w:rFonts w:hint="eastAsia" w:hAnsi="宋体" w:cs="宋体"/>
                <w:b/>
                <w:bCs/>
                <w:color w:val="auto"/>
                <w:highlight w:val="none"/>
              </w:rPr>
              <w:t>序号</w:t>
            </w:r>
            <w:bookmarkEnd w:id="17"/>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7ABC0713">
            <w:pPr>
              <w:pStyle w:val="27"/>
              <w:shd w:val="clear"/>
              <w:snapToGrid w:val="0"/>
              <w:spacing w:line="360" w:lineRule="exact"/>
              <w:jc w:val="center"/>
              <w:outlineLvl w:val="0"/>
              <w:rPr>
                <w:rFonts w:hint="eastAsia" w:hAnsi="宋体" w:cs="宋体"/>
                <w:b/>
                <w:bCs/>
                <w:color w:val="auto"/>
                <w:highlight w:val="none"/>
              </w:rPr>
            </w:pPr>
            <w:bookmarkStart w:id="18" w:name="_Toc6539"/>
            <w:r>
              <w:rPr>
                <w:rFonts w:hint="eastAsia" w:hAnsi="宋体" w:cs="宋体"/>
                <w:b/>
                <w:bCs/>
                <w:color w:val="auto"/>
                <w:highlight w:val="none"/>
              </w:rPr>
              <w:t>采购内容</w:t>
            </w:r>
            <w:bookmarkEnd w:id="18"/>
          </w:p>
        </w:tc>
        <w:tc>
          <w:tcPr>
            <w:tcW w:w="6974" w:type="dxa"/>
            <w:tcBorders>
              <w:top w:val="single" w:color="auto" w:sz="4" w:space="0"/>
              <w:left w:val="single" w:color="auto" w:sz="4" w:space="0"/>
              <w:bottom w:val="single" w:color="auto" w:sz="4" w:space="0"/>
              <w:right w:val="single" w:color="auto" w:sz="4" w:space="0"/>
            </w:tcBorders>
            <w:vAlign w:val="center"/>
          </w:tcPr>
          <w:p w14:paraId="3392BD96">
            <w:pPr>
              <w:pStyle w:val="27"/>
              <w:shd w:val="clear"/>
              <w:snapToGrid w:val="0"/>
              <w:spacing w:line="360" w:lineRule="exact"/>
              <w:jc w:val="center"/>
              <w:outlineLvl w:val="0"/>
              <w:rPr>
                <w:rFonts w:hint="eastAsia" w:hAnsi="宋体" w:cs="宋体"/>
                <w:b/>
                <w:bCs/>
                <w:color w:val="auto"/>
                <w:highlight w:val="none"/>
              </w:rPr>
            </w:pPr>
            <w:bookmarkStart w:id="19" w:name="_Toc13911"/>
            <w:r>
              <w:rPr>
                <w:rFonts w:hint="eastAsia" w:hAnsi="宋体" w:cs="宋体"/>
                <w:b/>
                <w:bCs/>
                <w:color w:val="auto"/>
                <w:highlight w:val="none"/>
              </w:rPr>
              <w:t>技术要求</w:t>
            </w:r>
            <w:bookmarkEnd w:id="19"/>
          </w:p>
        </w:tc>
      </w:tr>
      <w:tr w14:paraId="0A5555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right w:val="single" w:color="auto" w:sz="4" w:space="0"/>
            </w:tcBorders>
            <w:vAlign w:val="center"/>
          </w:tcPr>
          <w:p w14:paraId="0A6EAB57">
            <w:pPr>
              <w:shd w:val="clea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850" w:type="dxa"/>
            <w:gridSpan w:val="2"/>
            <w:tcBorders>
              <w:top w:val="single" w:color="auto" w:sz="4" w:space="0"/>
              <w:left w:val="single" w:color="auto" w:sz="4" w:space="0"/>
              <w:right w:val="single" w:color="auto" w:sz="4" w:space="0"/>
            </w:tcBorders>
            <w:vAlign w:val="center"/>
          </w:tcPr>
          <w:p w14:paraId="52AFEC57">
            <w:pPr>
              <w:shd w:val="clea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生产障碍耕地治理项目实施“叶面阻隔+”技术措施模式面积3200亩和“镉低积累品种替代+”技术措施模式面积1000亩。</w:t>
            </w:r>
          </w:p>
        </w:tc>
        <w:tc>
          <w:tcPr>
            <w:tcW w:w="6974" w:type="dxa"/>
            <w:tcBorders>
              <w:top w:val="single" w:color="auto" w:sz="4" w:space="0"/>
              <w:left w:val="single" w:color="auto" w:sz="4" w:space="0"/>
              <w:right w:val="single" w:color="auto" w:sz="4" w:space="0"/>
            </w:tcBorders>
            <w:vAlign w:val="center"/>
          </w:tcPr>
          <w:p w14:paraId="66ADB70D">
            <w:pPr>
              <w:shd w:val="clear"/>
              <w:spacing w:line="360" w:lineRule="exact"/>
              <w:rPr>
                <w:rFonts w:hint="default" w:ascii="宋体" w:hAnsi="宋体" w:cs="Times New Roman"/>
                <w:b/>
                <w:bCs/>
                <w:color w:val="auto"/>
                <w:kern w:val="0"/>
                <w:szCs w:val="21"/>
                <w:highlight w:val="none"/>
                <w:lang w:val="en-US" w:eastAsia="zh-CN"/>
              </w:rPr>
            </w:pPr>
            <w:r>
              <w:rPr>
                <w:rFonts w:hint="eastAsia" w:ascii="宋体" w:hAnsi="宋体" w:cs="Times New Roman"/>
                <w:b/>
                <w:bCs/>
                <w:color w:val="auto"/>
                <w:kern w:val="0"/>
                <w:szCs w:val="21"/>
                <w:highlight w:val="none"/>
                <w:lang w:val="en-US" w:eastAsia="zh-CN"/>
              </w:rPr>
              <w:t>一</w:t>
            </w:r>
            <w:r>
              <w:rPr>
                <w:rFonts w:hint="default" w:ascii="宋体" w:hAnsi="宋体" w:cs="Times New Roman"/>
                <w:b/>
                <w:bCs/>
                <w:color w:val="auto"/>
                <w:kern w:val="0"/>
                <w:szCs w:val="21"/>
                <w:highlight w:val="none"/>
                <w:lang w:eastAsia="zh-CN"/>
              </w:rPr>
              <w:t>、</w:t>
            </w:r>
            <w:r>
              <w:rPr>
                <w:rFonts w:hint="eastAsia" w:ascii="宋体" w:hAnsi="宋体" w:cs="Times New Roman"/>
                <w:b/>
                <w:bCs/>
                <w:color w:val="auto"/>
                <w:kern w:val="0"/>
                <w:szCs w:val="21"/>
                <w:highlight w:val="none"/>
                <w:lang w:val="en-US" w:eastAsia="zh-CN"/>
              </w:rPr>
              <w:t>项目</w:t>
            </w:r>
            <w:r>
              <w:rPr>
                <w:rFonts w:hint="default" w:ascii="宋体" w:hAnsi="宋体" w:cs="Times New Roman"/>
                <w:b/>
                <w:bCs/>
                <w:color w:val="auto"/>
                <w:kern w:val="0"/>
                <w:szCs w:val="21"/>
                <w:highlight w:val="none"/>
              </w:rPr>
              <w:t>实施内容及方式</w:t>
            </w:r>
          </w:p>
          <w:p w14:paraId="66C381F1">
            <w:pPr>
              <w:shd w:val="clear"/>
              <w:spacing w:line="360" w:lineRule="exact"/>
              <w:ind w:firstLine="420" w:firstLineChars="200"/>
              <w:rPr>
                <w:rFonts w:hint="default" w:ascii="宋体" w:hAnsi="宋体" w:cs="Times New Roman"/>
                <w:color w:val="auto"/>
                <w:kern w:val="0"/>
                <w:szCs w:val="21"/>
                <w:highlight w:val="none"/>
                <w:lang w:eastAsia="zh-CN"/>
              </w:rPr>
            </w:pPr>
            <w:r>
              <w:rPr>
                <w:rFonts w:hint="default" w:ascii="宋体" w:hAnsi="宋体" w:cs="Times New Roman"/>
                <w:color w:val="auto"/>
                <w:kern w:val="0"/>
                <w:szCs w:val="21"/>
                <w:highlight w:val="none"/>
                <w:lang w:eastAsia="zh-CN"/>
              </w:rPr>
              <w:t>（一）实施内容</w:t>
            </w:r>
          </w:p>
          <w:p w14:paraId="735AEC3A">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eastAsia="zh-CN"/>
              </w:rPr>
              <w:t>根据</w:t>
            </w:r>
            <w:r>
              <w:rPr>
                <w:rFonts w:hint="eastAsia" w:ascii="宋体" w:hAnsi="宋体" w:cs="Times New Roman"/>
                <w:color w:val="auto"/>
                <w:kern w:val="0"/>
                <w:szCs w:val="21"/>
                <w:highlight w:val="none"/>
              </w:rPr>
              <w:t>《</w:t>
            </w:r>
            <w:r>
              <w:rPr>
                <w:rFonts w:hint="eastAsia" w:ascii="宋体" w:hAnsi="宋体" w:cs="Times New Roman"/>
                <w:color w:val="auto"/>
                <w:kern w:val="0"/>
                <w:szCs w:val="21"/>
                <w:highlight w:val="none"/>
                <w:lang w:val="en-US" w:eastAsia="zh-CN"/>
              </w:rPr>
              <w:t>耕地土壤污染治理规范</w:t>
            </w:r>
            <w:r>
              <w:rPr>
                <w:rFonts w:hint="eastAsia" w:ascii="宋体" w:hAnsi="宋体" w:cs="Times New Roman"/>
                <w:color w:val="auto"/>
                <w:kern w:val="0"/>
                <w:szCs w:val="21"/>
                <w:highlight w:val="none"/>
              </w:rPr>
              <w:t>》（NY/T</w:t>
            </w:r>
            <w:r>
              <w:rPr>
                <w:rFonts w:hint="eastAsia" w:ascii="宋体" w:hAnsi="宋体" w:cs="Times New Roman"/>
                <w:color w:val="auto"/>
                <w:kern w:val="0"/>
                <w:szCs w:val="21"/>
                <w:highlight w:val="none"/>
                <w:lang w:val="en-US" w:eastAsia="zh-CN"/>
              </w:rPr>
              <w:t xml:space="preserve"> 4600</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2025</w:t>
            </w:r>
            <w:r>
              <w:rPr>
                <w:rFonts w:hint="eastAsia" w:ascii="宋体" w:hAnsi="宋体" w:cs="Times New Roman"/>
                <w:color w:val="auto"/>
                <w:kern w:val="0"/>
                <w:szCs w:val="21"/>
                <w:highlight w:val="none"/>
              </w:rPr>
              <w:t>）、《农业农村部办公厅关于印发〈轻中度污染耕地安全利用与治理修复推荐技术名录（2019年版）〉的通知》（农办科〔2019〕14号），结合广西水稻产地安全利用“GTP+”技术模式，因地制宜</w:t>
            </w:r>
            <w:r>
              <w:rPr>
                <w:rFonts w:hint="eastAsia" w:ascii="宋体" w:hAnsi="宋体" w:cs="Times New Roman"/>
                <w:color w:val="auto"/>
                <w:kern w:val="0"/>
                <w:szCs w:val="21"/>
                <w:highlight w:val="none"/>
                <w:lang w:val="en-US" w:eastAsia="zh-CN"/>
              </w:rPr>
              <w:t>选取“叶面阻隔+”或者“镉低积累品种替代+”技术措施模式来进行项目实施，全县项目实施面积4200亩，其中：实施“叶面阻隔+”技术措施模式面积3200亩（详见附件1）；实施“镉低积累品种替代+”技术措施模式面积1000亩（详见附件2）。</w:t>
            </w:r>
            <w:r>
              <w:rPr>
                <w:rFonts w:hint="eastAsia" w:ascii="宋体" w:hAnsi="宋体" w:cs="Times New Roman"/>
                <w:color w:val="auto"/>
                <w:kern w:val="0"/>
                <w:szCs w:val="21"/>
                <w:highlight w:val="none"/>
              </w:rPr>
              <w:t>其中</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“叶面阻隔+”技术措施模式主要包括以下实施内容：1.喷施叶面阻隔剂两次；2.土壤pH调节（</w:t>
            </w:r>
            <w:r>
              <w:rPr>
                <w:rFonts w:hint="eastAsia" w:ascii="宋体" w:hAnsi="宋体" w:cs="Times New Roman"/>
                <w:color w:val="auto"/>
                <w:kern w:val="0"/>
                <w:szCs w:val="21"/>
                <w:highlight w:val="none"/>
              </w:rPr>
              <w:t>在土壤pH值低于6.5的地块实施土壤pH调节</w:t>
            </w:r>
            <w:r>
              <w:rPr>
                <w:rFonts w:hint="eastAsia" w:ascii="宋体" w:hAnsi="宋体" w:cs="Times New Roman"/>
                <w:color w:val="auto"/>
                <w:kern w:val="0"/>
                <w:szCs w:val="21"/>
                <w:highlight w:val="none"/>
                <w:lang w:val="en-US" w:eastAsia="zh-CN"/>
              </w:rPr>
              <w:t>）；3.</w:t>
            </w:r>
            <w:r>
              <w:rPr>
                <w:rFonts w:hint="eastAsia" w:ascii="宋体" w:hAnsi="宋体" w:cs="Times New Roman"/>
                <w:color w:val="auto"/>
                <w:kern w:val="0"/>
                <w:szCs w:val="21"/>
                <w:highlight w:val="none"/>
              </w:rPr>
              <w:t>开展技术宣传指导</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镉低积累品种替代+”技术措施模式主要包括以下实施内容：1.镉低积累水稻品种替代；2.增施锰肥；3.开展技术宣传指导。项目实施过程注意做好项目农业投入品质量管控，严禁使用不合格投入品，避免造成人为污染。并实现</w:t>
            </w:r>
            <w:r>
              <w:rPr>
                <w:rFonts w:hint="eastAsia" w:ascii="宋体" w:hAnsi="宋体" w:cs="Times New Roman"/>
                <w:color w:val="auto"/>
                <w:kern w:val="0"/>
                <w:szCs w:val="21"/>
                <w:highlight w:val="none"/>
              </w:rPr>
              <w:t>项目实施区域</w:t>
            </w:r>
            <w:r>
              <w:rPr>
                <w:rFonts w:hint="eastAsia" w:ascii="宋体" w:hAnsi="宋体" w:cs="Times New Roman"/>
                <w:color w:val="auto"/>
                <w:kern w:val="0"/>
                <w:szCs w:val="21"/>
                <w:highlight w:val="none"/>
                <w:lang w:val="en-US" w:eastAsia="zh-CN"/>
              </w:rPr>
              <w:t>农用地（受污染耕地）安全利用率大</w:t>
            </w:r>
            <w:r>
              <w:rPr>
                <w:rFonts w:hint="eastAsia" w:ascii="宋体" w:hAnsi="宋体" w:cs="Times New Roman"/>
                <w:color w:val="auto"/>
                <w:kern w:val="0"/>
                <w:szCs w:val="21"/>
                <w:highlight w:val="none"/>
              </w:rPr>
              <w:t>于9</w:t>
            </w:r>
            <w:r>
              <w:rPr>
                <w:rFonts w:hint="eastAsia" w:ascii="宋体" w:hAnsi="宋体" w:cs="Times New Roman"/>
                <w:color w:val="auto"/>
                <w:kern w:val="0"/>
                <w:szCs w:val="21"/>
                <w:highlight w:val="none"/>
                <w:lang w:val="en-US" w:eastAsia="zh-CN"/>
              </w:rPr>
              <w:t>3</w:t>
            </w:r>
            <w:r>
              <w:rPr>
                <w:rFonts w:hint="eastAsia" w:ascii="宋体" w:hAnsi="宋体" w:cs="Times New Roman"/>
                <w:color w:val="auto"/>
                <w:kern w:val="0"/>
                <w:szCs w:val="21"/>
                <w:highlight w:val="none"/>
              </w:rPr>
              <w:t>%</w:t>
            </w:r>
            <w:r>
              <w:rPr>
                <w:rFonts w:hint="eastAsia" w:ascii="宋体" w:hAnsi="宋体" w:cs="Times New Roman"/>
                <w:color w:val="auto"/>
                <w:kern w:val="0"/>
                <w:szCs w:val="21"/>
                <w:highlight w:val="none"/>
                <w:lang w:val="en-US" w:eastAsia="zh-CN"/>
              </w:rPr>
              <w:t>的</w:t>
            </w:r>
            <w:r>
              <w:rPr>
                <w:rFonts w:hint="eastAsia" w:ascii="宋体" w:hAnsi="宋体" w:cs="Times New Roman"/>
                <w:color w:val="auto"/>
                <w:kern w:val="0"/>
                <w:szCs w:val="21"/>
                <w:highlight w:val="none"/>
              </w:rPr>
              <w:t>绩效目标</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推动</w:t>
            </w:r>
            <w:r>
              <w:rPr>
                <w:rFonts w:hint="eastAsia" w:ascii="宋体" w:hAnsi="宋体" w:cs="Times New Roman"/>
                <w:color w:val="auto"/>
                <w:kern w:val="0"/>
                <w:szCs w:val="21"/>
                <w:highlight w:val="none"/>
              </w:rPr>
              <w:t>提</w:t>
            </w:r>
            <w:r>
              <w:rPr>
                <w:rFonts w:hint="eastAsia" w:ascii="宋体" w:hAnsi="宋体" w:cs="Times New Roman"/>
                <w:color w:val="auto"/>
                <w:kern w:val="0"/>
                <w:szCs w:val="21"/>
                <w:highlight w:val="none"/>
                <w:lang w:eastAsia="zh-CN"/>
              </w:rPr>
              <w:t>高</w:t>
            </w:r>
            <w:r>
              <w:rPr>
                <w:rFonts w:hint="eastAsia" w:ascii="宋体" w:hAnsi="宋体" w:cs="Times New Roman"/>
                <w:color w:val="auto"/>
                <w:kern w:val="0"/>
                <w:szCs w:val="21"/>
                <w:highlight w:val="none"/>
                <w:lang w:val="en-US" w:eastAsia="zh-CN"/>
              </w:rPr>
              <w:t>全县</w:t>
            </w:r>
            <w:r>
              <w:rPr>
                <w:rFonts w:hint="eastAsia" w:ascii="宋体" w:hAnsi="宋体" w:cs="Times New Roman"/>
                <w:color w:val="auto"/>
                <w:kern w:val="0"/>
                <w:szCs w:val="21"/>
                <w:highlight w:val="none"/>
              </w:rPr>
              <w:t>稻谷重金属质量安全水平。</w:t>
            </w:r>
          </w:p>
          <w:p w14:paraId="1AACB0E0">
            <w:pPr>
              <w:shd w:val="clear"/>
              <w:spacing w:line="360" w:lineRule="exact"/>
              <w:ind w:firstLine="420" w:firstLineChars="200"/>
              <w:rPr>
                <w:rFonts w:hint="default"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二</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实施措施</w:t>
            </w:r>
          </w:p>
          <w:p w14:paraId="2BF17592">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val="en-US" w:eastAsia="zh-CN"/>
              </w:rPr>
              <w:t>1</w:t>
            </w:r>
            <w:r>
              <w:rPr>
                <w:rFonts w:hint="eastAsia" w:ascii="宋体" w:hAnsi="宋体" w:cs="Times New Roman"/>
                <w:color w:val="auto"/>
                <w:kern w:val="0"/>
                <w:szCs w:val="21"/>
                <w:highlight w:val="none"/>
              </w:rPr>
              <w:t>.叶面</w:t>
            </w:r>
            <w:r>
              <w:rPr>
                <w:rFonts w:hint="eastAsia" w:ascii="宋体" w:hAnsi="宋体" w:cs="Times New Roman"/>
                <w:color w:val="auto"/>
                <w:kern w:val="0"/>
                <w:szCs w:val="21"/>
                <w:highlight w:val="none"/>
                <w:lang w:val="en-US" w:eastAsia="zh-CN"/>
              </w:rPr>
              <w:t>阻隔</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喷施两次</w:t>
            </w:r>
            <w:r>
              <w:rPr>
                <w:rFonts w:hint="eastAsia" w:ascii="宋体" w:hAnsi="宋体" w:cs="Times New Roman"/>
                <w:color w:val="auto"/>
                <w:kern w:val="0"/>
                <w:szCs w:val="21"/>
                <w:highlight w:val="none"/>
                <w:lang w:val="en-US" w:eastAsia="zh-CN"/>
              </w:rPr>
              <w:t>及以上</w:t>
            </w:r>
            <w:r>
              <w:rPr>
                <w:rFonts w:hint="eastAsia" w:ascii="宋体" w:hAnsi="宋体" w:cs="Times New Roman"/>
                <w:color w:val="auto"/>
                <w:kern w:val="0"/>
                <w:szCs w:val="21"/>
                <w:highlight w:val="none"/>
              </w:rPr>
              <w:t>叶面</w:t>
            </w:r>
            <w:r>
              <w:rPr>
                <w:rFonts w:hint="eastAsia" w:ascii="宋体" w:hAnsi="宋体" w:cs="Times New Roman"/>
                <w:color w:val="auto"/>
                <w:kern w:val="0"/>
                <w:szCs w:val="21"/>
                <w:highlight w:val="none"/>
                <w:lang w:eastAsia="zh-CN"/>
              </w:rPr>
              <w:t>阻隔</w:t>
            </w:r>
            <w:r>
              <w:rPr>
                <w:rFonts w:hint="eastAsia" w:ascii="宋体" w:hAnsi="宋体" w:cs="Times New Roman"/>
                <w:color w:val="auto"/>
                <w:kern w:val="0"/>
                <w:szCs w:val="21"/>
                <w:highlight w:val="none"/>
              </w:rPr>
              <w:t>剂</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获得相应肥料登记的产品</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。根据项目实施区域当地稻谷重金属超标程度</w:t>
            </w:r>
            <w:r>
              <w:rPr>
                <w:rFonts w:hint="eastAsia" w:ascii="宋体" w:hAnsi="宋体" w:cs="Times New Roman"/>
                <w:color w:val="auto"/>
                <w:kern w:val="0"/>
                <w:szCs w:val="21"/>
                <w:highlight w:val="none"/>
                <w:lang w:val="en-US" w:eastAsia="zh-CN"/>
              </w:rPr>
              <w:t>，参照国家标准文件《稻田重金属治理第3部分：生理阻隔》（GB/T 43419.3—2023）规范要求</w:t>
            </w:r>
            <w:r>
              <w:rPr>
                <w:rFonts w:hint="eastAsia" w:ascii="宋体" w:hAnsi="宋体" w:cs="Times New Roman"/>
                <w:color w:val="auto"/>
                <w:kern w:val="0"/>
                <w:szCs w:val="21"/>
                <w:highlight w:val="none"/>
              </w:rPr>
              <w:t>选择</w:t>
            </w:r>
            <w:r>
              <w:rPr>
                <w:rFonts w:hint="eastAsia" w:ascii="宋体" w:hAnsi="宋体" w:cs="Times New Roman"/>
                <w:color w:val="auto"/>
                <w:kern w:val="0"/>
                <w:szCs w:val="21"/>
                <w:highlight w:val="none"/>
                <w:lang w:val="en-US" w:eastAsia="zh-CN"/>
              </w:rPr>
              <w:t>适配产品</w:t>
            </w:r>
            <w:r>
              <w:rPr>
                <w:rFonts w:hint="eastAsia" w:ascii="宋体" w:hAnsi="宋体" w:cs="Times New Roman"/>
                <w:color w:val="auto"/>
                <w:kern w:val="0"/>
                <w:szCs w:val="21"/>
                <w:highlight w:val="none"/>
              </w:rPr>
              <w:t>[含非金属元素型（主要有硅Si、硒Se、磷P等）、金属元素型（主要有锌Zn、铁Fe、锰Mn、铜Cu、硼B、钼Mo等）、有机型（主要有脯氨酸、谷氨酸、半胱氨酸等氨基酸）</w:t>
            </w:r>
            <w:r>
              <w:rPr>
                <w:rFonts w:hint="eastAsia" w:ascii="宋体" w:hAnsi="宋体" w:cs="Times New Roman"/>
                <w:color w:val="auto"/>
                <w:kern w:val="0"/>
                <w:szCs w:val="21"/>
                <w:highlight w:val="none"/>
                <w:lang w:val="en-US" w:eastAsia="zh-CN"/>
              </w:rPr>
              <w:t>等</w:t>
            </w:r>
            <w:r>
              <w:rPr>
                <w:rFonts w:hint="eastAsia" w:ascii="宋体" w:hAnsi="宋体" w:cs="Times New Roman"/>
                <w:color w:val="auto"/>
                <w:kern w:val="0"/>
                <w:szCs w:val="21"/>
                <w:highlight w:val="none"/>
              </w:rPr>
              <w:t>，且是获得相应肥料登记的产品]，按照各厂家产品说明书推荐的每亩用量和稀释倍数使用。建议在分蘖盛期至齐穗期前喷施，时间间隔至少7天，选择在下午4:00后喷施效果最佳，扬花期喷施则必须</w:t>
            </w:r>
            <w:r>
              <w:rPr>
                <w:rFonts w:hint="eastAsia" w:ascii="宋体" w:hAnsi="宋体" w:cs="Times New Roman"/>
                <w:color w:val="auto"/>
                <w:kern w:val="0"/>
                <w:szCs w:val="21"/>
                <w:highlight w:val="none"/>
                <w:lang w:val="en-US" w:eastAsia="zh-CN"/>
              </w:rPr>
              <w:t>在</w:t>
            </w:r>
            <w:r>
              <w:rPr>
                <w:rFonts w:hint="eastAsia" w:ascii="宋体" w:hAnsi="宋体" w:cs="Times New Roman"/>
                <w:color w:val="auto"/>
                <w:kern w:val="0"/>
                <w:szCs w:val="21"/>
                <w:highlight w:val="none"/>
              </w:rPr>
              <w:t>下午</w:t>
            </w:r>
            <w:r>
              <w:rPr>
                <w:rFonts w:hint="eastAsia" w:ascii="宋体" w:hAnsi="宋体" w:cs="Times New Roman"/>
                <w:color w:val="auto"/>
                <w:kern w:val="0"/>
                <w:szCs w:val="21"/>
                <w:highlight w:val="none"/>
                <w:lang w:val="en-US" w:eastAsia="zh-CN"/>
              </w:rPr>
              <w:t>进行</w:t>
            </w:r>
            <w:r>
              <w:rPr>
                <w:rFonts w:hint="eastAsia" w:ascii="宋体" w:hAnsi="宋体" w:cs="Times New Roman"/>
                <w:color w:val="auto"/>
                <w:kern w:val="0"/>
                <w:szCs w:val="21"/>
                <w:highlight w:val="none"/>
              </w:rPr>
              <w:t>，切忌中午喷施，喷施后如在4小时内遇雨则需重新喷施。</w:t>
            </w:r>
          </w:p>
          <w:p w14:paraId="228DCCC6">
            <w:pPr>
              <w:shd w:val="clea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2.镉低积累水稻品种替代：在尊重农民意愿的基础上，在项目实施区域改种目前已通过审定且适宜广西种植的镉低积累水稻品种（安两优2号、洁两优玉占、洁两优Q3），从源头上降低稻谷镉含量超标风险，保障水稻重金属质量安全。</w:t>
            </w:r>
          </w:p>
          <w:p w14:paraId="121A0E17">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val="en-US" w:eastAsia="zh-CN"/>
              </w:rPr>
              <w:t>3.增施锰肥：对于镉低积累水稻品种替代种植区域，原则上科学补充锰素营养。依据项目</w:t>
            </w:r>
            <w:r>
              <w:rPr>
                <w:rFonts w:hint="eastAsia" w:ascii="宋体" w:hAnsi="宋体" w:cs="Times New Roman"/>
                <w:color w:val="auto"/>
                <w:kern w:val="0"/>
                <w:szCs w:val="21"/>
                <w:highlight w:val="none"/>
              </w:rPr>
              <w:t>实施</w:t>
            </w:r>
            <w:r>
              <w:rPr>
                <w:rFonts w:hint="eastAsia" w:ascii="宋体" w:hAnsi="宋体" w:cs="Times New Roman"/>
                <w:color w:val="auto"/>
                <w:kern w:val="0"/>
                <w:szCs w:val="21"/>
                <w:highlight w:val="none"/>
                <w:lang w:val="en-US" w:eastAsia="zh-CN"/>
              </w:rPr>
              <w:t>区域</w:t>
            </w:r>
            <w:r>
              <w:rPr>
                <w:rFonts w:hint="eastAsia" w:ascii="宋体" w:hAnsi="宋体" w:eastAsia="宋体" w:cs="宋体"/>
                <w:b w:val="0"/>
                <w:bCs/>
                <w:color w:val="auto"/>
                <w:sz w:val="21"/>
                <w:szCs w:val="21"/>
                <w:highlight w:val="none"/>
                <w:lang w:val="en-US" w:eastAsia="zh-CN"/>
              </w:rPr>
              <w:t>土壤</w:t>
            </w:r>
            <w:r>
              <w:rPr>
                <w:rFonts w:hint="eastAsia" w:ascii="宋体" w:hAnsi="宋体" w:eastAsia="宋体" w:cs="宋体"/>
                <w:bCs/>
                <w:i w:val="0"/>
                <w:iCs w:val="0"/>
                <w:caps w:val="0"/>
                <w:color w:val="auto"/>
                <w:spacing w:val="0"/>
                <w:sz w:val="21"/>
                <w:szCs w:val="21"/>
                <w:highlight w:val="none"/>
                <w:shd w:val="clear" w:color="auto" w:fill="auto"/>
              </w:rPr>
              <w:t>有效锰含量</w:t>
            </w:r>
            <w:r>
              <w:rPr>
                <w:rFonts w:hint="eastAsia" w:ascii="宋体" w:hAnsi="宋体" w:cs="Times New Roman"/>
                <w:color w:val="auto"/>
                <w:kern w:val="0"/>
                <w:szCs w:val="21"/>
                <w:highlight w:val="none"/>
                <w:lang w:val="en-US" w:eastAsia="zh-CN"/>
              </w:rPr>
              <w:t>及田间养分状况，</w:t>
            </w:r>
            <w:r>
              <w:rPr>
                <w:rFonts w:hint="eastAsia" w:ascii="宋体" w:hAnsi="宋体" w:cs="Times New Roman"/>
                <w:color w:val="auto"/>
                <w:kern w:val="0"/>
                <w:szCs w:val="21"/>
                <w:highlight w:val="none"/>
              </w:rPr>
              <w:t>因地制宜选配适宜锰肥产品，可选用氨基酸锰、</w:t>
            </w:r>
            <w:r>
              <w:rPr>
                <w:rFonts w:hint="eastAsia" w:ascii="宋体" w:hAnsi="宋体" w:cs="Times New Roman"/>
                <w:color w:val="auto"/>
                <w:kern w:val="0"/>
                <w:szCs w:val="21"/>
                <w:highlight w:val="none"/>
                <w:lang w:val="en-US" w:eastAsia="zh-CN"/>
              </w:rPr>
              <w:t>复合螯合锰肥</w:t>
            </w:r>
            <w:r>
              <w:rPr>
                <w:rFonts w:hint="eastAsia" w:ascii="宋体" w:hAnsi="宋体" w:cs="Times New Roman"/>
                <w:color w:val="auto"/>
                <w:kern w:val="0"/>
                <w:szCs w:val="21"/>
                <w:highlight w:val="none"/>
              </w:rPr>
              <w:t>、含锰叶面阻隔剂等，按照各厂家产品说明书推荐的每亩用量和稀释倍数使用，每亩每次折合纯锰10～</w:t>
            </w:r>
            <w:r>
              <w:rPr>
                <w:rFonts w:hint="eastAsia" w:ascii="宋体" w:hAnsi="宋体" w:cs="Times New Roman"/>
                <w:color w:val="auto"/>
                <w:kern w:val="0"/>
                <w:szCs w:val="21"/>
                <w:highlight w:val="none"/>
                <w:lang w:val="en-US" w:eastAsia="zh-CN"/>
              </w:rPr>
              <w:t>3</w:t>
            </w:r>
            <w:r>
              <w:rPr>
                <w:rFonts w:hint="eastAsia" w:ascii="宋体" w:hAnsi="宋体" w:cs="Times New Roman"/>
                <w:color w:val="auto"/>
                <w:kern w:val="0"/>
                <w:szCs w:val="21"/>
                <w:highlight w:val="none"/>
              </w:rPr>
              <w:t>0g，喷施浓度以纯锰计不宜超过0.5%，避免叶片灼伤。</w:t>
            </w:r>
            <w:r>
              <w:rPr>
                <w:rFonts w:hint="eastAsia" w:ascii="宋体" w:hAnsi="宋体" w:eastAsia="宋体" w:cs="宋体"/>
                <w:bCs/>
                <w:i w:val="0"/>
                <w:iCs w:val="0"/>
                <w:caps w:val="0"/>
                <w:color w:val="auto"/>
                <w:spacing w:val="0"/>
                <w:sz w:val="21"/>
                <w:szCs w:val="21"/>
                <w:highlight w:val="none"/>
                <w:shd w:val="clear" w:color="auto" w:fill="auto"/>
              </w:rPr>
              <w:t>在分蘖盛期</w:t>
            </w:r>
            <w:r>
              <w:rPr>
                <w:rFonts w:hint="eastAsia" w:ascii="宋体" w:hAnsi="宋体" w:eastAsia="宋体" w:cs="宋体"/>
                <w:bCs/>
                <w:i w:val="0"/>
                <w:iCs w:val="0"/>
                <w:caps w:val="0"/>
                <w:color w:val="auto"/>
                <w:spacing w:val="0"/>
                <w:sz w:val="21"/>
                <w:szCs w:val="21"/>
                <w:highlight w:val="none"/>
                <w:shd w:val="clear" w:color="auto" w:fill="auto"/>
                <w:lang w:eastAsia="zh-CN"/>
              </w:rPr>
              <w:t>或</w:t>
            </w:r>
            <w:r>
              <w:rPr>
                <w:rFonts w:hint="eastAsia" w:ascii="宋体" w:hAnsi="宋体" w:eastAsia="宋体" w:cs="宋体"/>
                <w:bCs/>
                <w:i w:val="0"/>
                <w:iCs w:val="0"/>
                <w:caps w:val="0"/>
                <w:color w:val="auto"/>
                <w:spacing w:val="0"/>
                <w:sz w:val="21"/>
                <w:szCs w:val="21"/>
                <w:highlight w:val="none"/>
                <w:shd w:val="clear" w:color="auto" w:fill="auto"/>
              </w:rPr>
              <w:t>孕穗期</w:t>
            </w:r>
            <w:r>
              <w:rPr>
                <w:rFonts w:hint="eastAsia" w:ascii="宋体" w:hAnsi="宋体" w:eastAsia="宋体" w:cs="宋体"/>
                <w:bCs/>
                <w:i w:val="0"/>
                <w:iCs w:val="0"/>
                <w:caps w:val="0"/>
                <w:color w:val="auto"/>
                <w:spacing w:val="0"/>
                <w:sz w:val="21"/>
                <w:szCs w:val="21"/>
                <w:highlight w:val="none"/>
                <w:shd w:val="clear" w:color="auto" w:fill="auto"/>
                <w:lang w:eastAsia="zh-CN"/>
              </w:rPr>
              <w:t>至少</w:t>
            </w:r>
            <w:r>
              <w:rPr>
                <w:rFonts w:hint="eastAsia" w:ascii="宋体" w:hAnsi="宋体" w:eastAsia="宋体" w:cs="宋体"/>
                <w:bCs/>
                <w:i w:val="0"/>
                <w:iCs w:val="0"/>
                <w:caps w:val="0"/>
                <w:color w:val="auto"/>
                <w:spacing w:val="0"/>
                <w:sz w:val="21"/>
                <w:szCs w:val="21"/>
                <w:highlight w:val="none"/>
                <w:shd w:val="clear" w:color="auto" w:fill="auto"/>
              </w:rPr>
              <w:t>喷施1次</w:t>
            </w:r>
            <w:r>
              <w:rPr>
                <w:rFonts w:hint="eastAsia" w:ascii="宋体" w:hAnsi="宋体" w:eastAsia="宋体" w:cs="宋体"/>
                <w:bCs/>
                <w:i w:val="0"/>
                <w:iCs w:val="0"/>
                <w:caps w:val="0"/>
                <w:color w:val="auto"/>
                <w:spacing w:val="0"/>
                <w:sz w:val="21"/>
                <w:szCs w:val="21"/>
                <w:highlight w:val="none"/>
                <w:shd w:val="clear" w:color="auto" w:fill="auto"/>
                <w:lang w:eastAsia="zh-CN"/>
              </w:rPr>
              <w:t>以上，</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严禁与碱性农药或碱性肥料混用，避免与磷肥同期叶面施用。</w:t>
            </w:r>
          </w:p>
          <w:p w14:paraId="1C610EE7">
            <w:pPr>
              <w:shd w:val="clear"/>
              <w:spacing w:line="360" w:lineRule="exact"/>
              <w:ind w:firstLine="420" w:firstLineChars="200"/>
              <w:rPr>
                <w:rFonts w:hint="eastAsia" w:ascii="宋体" w:hAnsi="宋体" w:cs="Times New Roman"/>
                <w:color w:val="auto"/>
                <w:kern w:val="0"/>
                <w:szCs w:val="21"/>
                <w:highlight w:val="none"/>
                <w:lang w:eastAsia="zh-CN"/>
              </w:rPr>
            </w:pPr>
            <w:r>
              <w:rPr>
                <w:rFonts w:hint="eastAsia" w:ascii="宋体" w:hAnsi="宋体" w:cs="Times New Roman"/>
                <w:color w:val="auto"/>
                <w:kern w:val="0"/>
                <w:szCs w:val="21"/>
                <w:highlight w:val="none"/>
                <w:lang w:val="en-US" w:eastAsia="zh-CN"/>
              </w:rPr>
              <w:t>4</w:t>
            </w:r>
            <w:r>
              <w:rPr>
                <w:rFonts w:hint="eastAsia" w:ascii="宋体" w:hAnsi="宋体" w:cs="Times New Roman"/>
                <w:color w:val="auto"/>
                <w:kern w:val="0"/>
                <w:szCs w:val="21"/>
                <w:highlight w:val="none"/>
              </w:rPr>
              <w:t>.土壤pH调节</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在</w:t>
            </w:r>
            <w:r>
              <w:rPr>
                <w:rFonts w:hint="eastAsia" w:ascii="宋体" w:hAnsi="宋体" w:cs="Times New Roman"/>
                <w:color w:val="auto"/>
                <w:kern w:val="0"/>
                <w:szCs w:val="21"/>
                <w:highlight w:val="none"/>
              </w:rPr>
              <w:t>pH值低于6.5的区域</w:t>
            </w:r>
            <w:r>
              <w:rPr>
                <w:rFonts w:hint="eastAsia" w:ascii="宋体" w:hAnsi="宋体" w:cs="Times New Roman"/>
                <w:color w:val="auto"/>
                <w:kern w:val="0"/>
                <w:szCs w:val="21"/>
                <w:highlight w:val="none"/>
                <w:lang w:val="en-US" w:eastAsia="zh-CN"/>
              </w:rPr>
              <w:t>应采取施用碱性肥料或土壤调理剂等方式开展</w:t>
            </w:r>
            <w:r>
              <w:rPr>
                <w:rFonts w:hint="eastAsia" w:ascii="宋体" w:hAnsi="宋体" w:cs="Times New Roman"/>
                <w:color w:val="auto"/>
                <w:kern w:val="0"/>
                <w:szCs w:val="21"/>
                <w:highlight w:val="none"/>
              </w:rPr>
              <w:t>土壤pH调节</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建议施用获得登记的钙镁磷肥、硅钙肥</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碱性有机肥</w:t>
            </w:r>
            <w:r>
              <w:rPr>
                <w:rFonts w:hint="eastAsia" w:ascii="宋体" w:hAnsi="宋体" w:cs="Times New Roman"/>
                <w:color w:val="auto"/>
                <w:kern w:val="0"/>
                <w:szCs w:val="21"/>
                <w:highlight w:val="none"/>
              </w:rPr>
              <w:t>及其他碱性肥料调节土壤pH（</w:t>
            </w:r>
            <w:r>
              <w:rPr>
                <w:rFonts w:hint="eastAsia" w:ascii="宋体" w:hAnsi="宋体" w:cs="Times New Roman"/>
                <w:color w:val="auto"/>
                <w:kern w:val="0"/>
                <w:szCs w:val="21"/>
                <w:highlight w:val="none"/>
                <w:lang w:val="en-US" w:eastAsia="zh-CN"/>
              </w:rPr>
              <w:t>优先选择</w:t>
            </w:r>
            <w:r>
              <w:rPr>
                <w:rFonts w:hint="eastAsia" w:ascii="宋体" w:hAnsi="宋体" w:cs="Times New Roman"/>
                <w:color w:val="auto"/>
                <w:kern w:val="0"/>
                <w:szCs w:val="21"/>
                <w:highlight w:val="none"/>
              </w:rPr>
              <w:t>在犁耙田前</w:t>
            </w:r>
            <w:r>
              <w:rPr>
                <w:rFonts w:hint="eastAsia" w:ascii="宋体" w:hAnsi="宋体" w:cs="Times New Roman"/>
                <w:color w:val="auto"/>
                <w:kern w:val="0"/>
                <w:szCs w:val="21"/>
                <w:highlight w:val="none"/>
                <w:lang w:val="en-US" w:eastAsia="zh-CN"/>
              </w:rPr>
              <w:t>结合基肥</w:t>
            </w:r>
            <w:r>
              <w:rPr>
                <w:rFonts w:hint="eastAsia" w:ascii="宋体" w:hAnsi="宋体" w:cs="Times New Roman"/>
                <w:color w:val="auto"/>
                <w:kern w:val="0"/>
                <w:szCs w:val="21"/>
                <w:highlight w:val="none"/>
              </w:rPr>
              <w:t>撒施，</w:t>
            </w:r>
            <w:r>
              <w:rPr>
                <w:rFonts w:hint="eastAsia" w:ascii="宋体" w:hAnsi="宋体" w:cs="Times New Roman"/>
                <w:color w:val="auto"/>
                <w:kern w:val="0"/>
                <w:szCs w:val="21"/>
                <w:highlight w:val="none"/>
                <w:lang w:val="en-US" w:eastAsia="zh-CN"/>
              </w:rPr>
              <w:t>确因客观因素无法在犁耙田前施用的，也可在</w:t>
            </w:r>
            <w:r>
              <w:rPr>
                <w:rFonts w:hint="eastAsia" w:ascii="宋体" w:hAnsi="宋体" w:cs="Times New Roman"/>
                <w:color w:val="auto"/>
                <w:kern w:val="0"/>
                <w:szCs w:val="21"/>
                <w:highlight w:val="none"/>
              </w:rPr>
              <w:t>孕穗期</w:t>
            </w:r>
            <w:r>
              <w:rPr>
                <w:rFonts w:hint="eastAsia" w:ascii="宋体" w:hAnsi="宋体" w:cs="Times New Roman"/>
                <w:color w:val="auto"/>
                <w:kern w:val="0"/>
                <w:szCs w:val="21"/>
                <w:highlight w:val="none"/>
                <w:lang w:val="en-US" w:eastAsia="zh-CN"/>
              </w:rPr>
              <w:t>前施用</w:t>
            </w:r>
            <w:r>
              <w:rPr>
                <w:rFonts w:hint="eastAsia" w:ascii="宋体" w:hAnsi="宋体" w:cs="Times New Roman"/>
                <w:color w:val="auto"/>
                <w:kern w:val="0"/>
                <w:szCs w:val="21"/>
                <w:highlight w:val="none"/>
              </w:rPr>
              <w:t>）</w:t>
            </w:r>
            <w:r>
              <w:rPr>
                <w:rFonts w:hint="eastAsia" w:ascii="宋体" w:hAnsi="宋体" w:cs="Times New Roman"/>
                <w:color w:val="auto"/>
                <w:kern w:val="0"/>
                <w:szCs w:val="21"/>
                <w:highlight w:val="none"/>
                <w:lang w:eastAsia="zh-CN"/>
              </w:rPr>
              <w:t>。土壤pH</w:t>
            </w:r>
            <w:r>
              <w:rPr>
                <w:rFonts w:hint="eastAsia" w:ascii="宋体" w:hAnsi="宋体" w:cs="Times New Roman"/>
                <w:color w:val="auto"/>
                <w:kern w:val="0"/>
                <w:szCs w:val="21"/>
                <w:highlight w:val="none"/>
                <w:lang w:val="en-US" w:eastAsia="zh-CN"/>
              </w:rPr>
              <w:t>值</w:t>
            </w:r>
            <w:r>
              <w:rPr>
                <w:rFonts w:hint="eastAsia" w:ascii="宋体" w:hAnsi="宋体" w:cs="Times New Roman"/>
                <w:color w:val="auto"/>
                <w:kern w:val="0"/>
                <w:szCs w:val="21"/>
                <w:highlight w:val="none"/>
                <w:lang w:eastAsia="zh-CN"/>
              </w:rPr>
              <w:t>为5</w:t>
            </w:r>
            <w:r>
              <w:rPr>
                <w:rFonts w:hint="eastAsia" w:ascii="宋体" w:hAnsi="宋体" w:cs="Times New Roman"/>
                <w:color w:val="auto"/>
                <w:kern w:val="0"/>
                <w:szCs w:val="21"/>
                <w:highlight w:val="none"/>
                <w:lang w:val="en-US" w:eastAsia="zh-CN"/>
              </w:rPr>
              <w:t>.</w:t>
            </w:r>
            <w:r>
              <w:rPr>
                <w:rFonts w:hint="eastAsia" w:ascii="宋体" w:hAnsi="宋体" w:cs="Times New Roman"/>
                <w:color w:val="auto"/>
                <w:kern w:val="0"/>
                <w:szCs w:val="21"/>
                <w:highlight w:val="none"/>
                <w:lang w:eastAsia="zh-CN"/>
              </w:rPr>
              <w:t>5-6.0的每亩施用钙镁磷肥50公斤(或其他同等效果的土壤pH调理剂 )；土壤pH</w:t>
            </w:r>
            <w:r>
              <w:rPr>
                <w:rFonts w:hint="eastAsia" w:ascii="宋体" w:hAnsi="宋体" w:cs="Times New Roman"/>
                <w:color w:val="auto"/>
                <w:kern w:val="0"/>
                <w:szCs w:val="21"/>
                <w:highlight w:val="none"/>
                <w:lang w:val="en-US" w:eastAsia="zh-CN"/>
              </w:rPr>
              <w:t>值</w:t>
            </w:r>
            <w:r>
              <w:rPr>
                <w:rFonts w:hint="eastAsia" w:ascii="宋体" w:hAnsi="宋体" w:cs="Times New Roman"/>
                <w:color w:val="auto"/>
                <w:kern w:val="0"/>
                <w:szCs w:val="21"/>
                <w:highlight w:val="none"/>
                <w:lang w:eastAsia="zh-CN"/>
              </w:rPr>
              <w:t>小于5.5 的每亩施用钙镁磷肥 75 公斤(或其他同等效果的土壤调理剂)。</w:t>
            </w:r>
          </w:p>
          <w:p w14:paraId="67C6DEC1">
            <w:pPr>
              <w:shd w:val="clea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5</w:t>
            </w:r>
            <w:r>
              <w:rPr>
                <w:rFonts w:hint="eastAsia" w:ascii="宋体" w:hAnsi="宋体" w:cs="Times New Roman"/>
                <w:color w:val="auto"/>
                <w:kern w:val="0"/>
                <w:szCs w:val="21"/>
                <w:highlight w:val="none"/>
              </w:rPr>
              <w:t>.技术宣传指导</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依托农用地安全利用村级服务站加强</w:t>
            </w:r>
            <w:r>
              <w:rPr>
                <w:rFonts w:hint="eastAsia" w:ascii="宋体" w:hAnsi="宋体" w:cs="Times New Roman"/>
                <w:color w:val="auto"/>
                <w:kern w:val="0"/>
                <w:szCs w:val="21"/>
                <w:highlight w:val="none"/>
                <w:lang w:eastAsia="zh-CN"/>
              </w:rPr>
              <w:t>对</w:t>
            </w:r>
            <w:r>
              <w:rPr>
                <w:rFonts w:hint="eastAsia" w:ascii="宋体" w:hAnsi="宋体" w:cs="Times New Roman"/>
                <w:color w:val="auto"/>
                <w:kern w:val="0"/>
                <w:szCs w:val="21"/>
                <w:highlight w:val="none"/>
              </w:rPr>
              <w:t>项目实施区域内</w:t>
            </w:r>
            <w:r>
              <w:rPr>
                <w:rFonts w:hint="eastAsia" w:ascii="宋体" w:hAnsi="宋体" w:cs="Times New Roman"/>
                <w:color w:val="auto"/>
                <w:kern w:val="0"/>
                <w:szCs w:val="21"/>
                <w:highlight w:val="none"/>
                <w:lang w:val="en-US" w:eastAsia="zh-CN"/>
              </w:rPr>
              <w:t>及周边安全利用类、严格管控类耕地区域涉及的</w:t>
            </w:r>
            <w:r>
              <w:rPr>
                <w:rFonts w:hint="eastAsia" w:ascii="宋体" w:hAnsi="宋体" w:cs="Times New Roman"/>
                <w:color w:val="auto"/>
                <w:kern w:val="0"/>
                <w:szCs w:val="21"/>
                <w:highlight w:val="none"/>
              </w:rPr>
              <w:t>农户进行技术宣传指导，</w:t>
            </w:r>
            <w:r>
              <w:rPr>
                <w:rFonts w:hint="eastAsia" w:ascii="宋体" w:hAnsi="宋体" w:cs="Times New Roman"/>
                <w:color w:val="auto"/>
                <w:kern w:val="0"/>
                <w:szCs w:val="21"/>
                <w:highlight w:val="none"/>
                <w:lang w:val="en-US" w:eastAsia="zh-CN"/>
              </w:rPr>
              <w:t>有针对性的</w:t>
            </w:r>
            <w:r>
              <w:rPr>
                <w:rFonts w:hint="eastAsia" w:ascii="宋体" w:hAnsi="宋体" w:cs="Times New Roman"/>
                <w:color w:val="auto"/>
                <w:kern w:val="0"/>
                <w:szCs w:val="21"/>
                <w:highlight w:val="none"/>
              </w:rPr>
              <w:t>为农业生产从业者提供农用地安全利用技术落地需要的</w:t>
            </w:r>
            <w:r>
              <w:rPr>
                <w:rFonts w:hint="eastAsia" w:ascii="宋体" w:hAnsi="宋体" w:cs="Times New Roman"/>
                <w:color w:val="auto"/>
                <w:kern w:val="0"/>
                <w:szCs w:val="21"/>
                <w:highlight w:val="none"/>
                <w:lang w:val="en-US" w:eastAsia="zh-CN"/>
              </w:rPr>
              <w:t>指导、</w:t>
            </w:r>
            <w:r>
              <w:rPr>
                <w:rFonts w:hint="eastAsia" w:ascii="宋体" w:hAnsi="宋体" w:cs="Times New Roman"/>
                <w:color w:val="auto"/>
                <w:kern w:val="0"/>
                <w:szCs w:val="21"/>
                <w:highlight w:val="none"/>
              </w:rPr>
              <w:t>宣传及物资等服务</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项目实施区域内涉及的水稻生产经营主体基本要接受技术指导，项目区域外的</w:t>
            </w:r>
            <w:r>
              <w:rPr>
                <w:rFonts w:hint="eastAsia" w:ascii="宋体" w:hAnsi="宋体" w:cs="Times New Roman"/>
                <w:color w:val="auto"/>
                <w:kern w:val="0"/>
                <w:szCs w:val="21"/>
                <w:highlight w:val="none"/>
              </w:rPr>
              <w:t>优先</w:t>
            </w:r>
            <w:r>
              <w:rPr>
                <w:rFonts w:hint="eastAsia" w:ascii="宋体" w:hAnsi="宋体" w:cs="Times New Roman"/>
                <w:color w:val="auto"/>
                <w:kern w:val="0"/>
                <w:szCs w:val="21"/>
                <w:highlight w:val="none"/>
                <w:lang w:val="en-US" w:eastAsia="zh-CN"/>
              </w:rPr>
              <w:t>对</w:t>
            </w:r>
            <w:r>
              <w:rPr>
                <w:rFonts w:hint="eastAsia" w:ascii="宋体" w:hAnsi="宋体" w:cs="Times New Roman"/>
                <w:color w:val="auto"/>
                <w:kern w:val="0"/>
                <w:szCs w:val="21"/>
                <w:highlight w:val="none"/>
              </w:rPr>
              <w:t>科技示范户、种植大户、家庭农场等人员</w:t>
            </w:r>
            <w:r>
              <w:rPr>
                <w:rFonts w:hint="eastAsia" w:ascii="宋体" w:hAnsi="宋体" w:cs="Times New Roman"/>
                <w:color w:val="auto"/>
                <w:kern w:val="0"/>
                <w:szCs w:val="21"/>
                <w:highlight w:val="none"/>
                <w:lang w:val="en-US" w:eastAsia="zh-CN"/>
              </w:rPr>
              <w:t>进行指导</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重点指导</w:t>
            </w:r>
            <w:r>
              <w:rPr>
                <w:rFonts w:hint="eastAsia" w:ascii="宋体" w:hAnsi="宋体" w:cs="Times New Roman"/>
                <w:color w:val="auto"/>
                <w:kern w:val="0"/>
                <w:szCs w:val="21"/>
                <w:highlight w:val="none"/>
                <w:lang w:val="en-US" w:eastAsia="zh-CN"/>
              </w:rPr>
              <w:t>水稻种植户</w:t>
            </w:r>
            <w:r>
              <w:rPr>
                <w:rFonts w:hint="eastAsia" w:ascii="宋体" w:hAnsi="宋体" w:cs="Times New Roman"/>
                <w:color w:val="auto"/>
                <w:kern w:val="0"/>
                <w:szCs w:val="21"/>
                <w:highlight w:val="none"/>
              </w:rPr>
              <w:t>推广</w:t>
            </w:r>
            <w:r>
              <w:rPr>
                <w:rFonts w:hint="eastAsia" w:ascii="宋体" w:hAnsi="宋体" w:cs="Times New Roman"/>
                <w:color w:val="auto"/>
                <w:kern w:val="0"/>
                <w:szCs w:val="21"/>
                <w:highlight w:val="none"/>
                <w:lang w:val="en-US" w:eastAsia="zh-CN"/>
              </w:rPr>
              <w:t>镉低积累水稻品种替代、土壤调理、</w:t>
            </w:r>
            <w:r>
              <w:rPr>
                <w:rFonts w:hint="eastAsia" w:ascii="宋体" w:hAnsi="宋体" w:cs="Times New Roman"/>
                <w:color w:val="auto"/>
                <w:kern w:val="0"/>
                <w:szCs w:val="21"/>
                <w:highlight w:val="none"/>
              </w:rPr>
              <w:t>水分管理、</w:t>
            </w:r>
            <w:r>
              <w:rPr>
                <w:rFonts w:hint="eastAsia" w:ascii="宋体" w:hAnsi="宋体" w:cs="Times New Roman"/>
                <w:color w:val="auto"/>
                <w:kern w:val="0"/>
                <w:szCs w:val="21"/>
                <w:highlight w:val="none"/>
                <w:lang w:eastAsia="zh-CN"/>
              </w:rPr>
              <w:t>叶面阻隔</w:t>
            </w:r>
            <w:r>
              <w:rPr>
                <w:rFonts w:hint="eastAsia" w:ascii="宋体" w:hAnsi="宋体" w:cs="Times New Roman"/>
                <w:color w:val="auto"/>
                <w:kern w:val="0"/>
                <w:szCs w:val="21"/>
                <w:highlight w:val="none"/>
              </w:rPr>
              <w:t>等农用地安全利用技术，使农业生产者掌握技术并能自行实施</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对接受指导的农户要进行登记造册。同时，</w:t>
            </w:r>
            <w:r>
              <w:rPr>
                <w:rFonts w:hint="eastAsia" w:ascii="宋体" w:hAnsi="宋体" w:cs="Times New Roman"/>
                <w:color w:val="auto"/>
                <w:kern w:val="0"/>
                <w:szCs w:val="21"/>
                <w:highlight w:val="none"/>
              </w:rPr>
              <w:t>根据项目</w:t>
            </w:r>
            <w:r>
              <w:rPr>
                <w:rFonts w:hint="eastAsia" w:ascii="宋体" w:hAnsi="宋体" w:cs="Times New Roman"/>
                <w:color w:val="auto"/>
                <w:kern w:val="0"/>
                <w:szCs w:val="21"/>
                <w:highlight w:val="none"/>
                <w:lang w:val="en-US" w:eastAsia="zh-CN"/>
              </w:rPr>
              <w:t>实施进度</w:t>
            </w:r>
            <w:r>
              <w:rPr>
                <w:rFonts w:hint="eastAsia" w:ascii="宋体" w:hAnsi="宋体" w:cs="Times New Roman"/>
                <w:color w:val="auto"/>
                <w:kern w:val="0"/>
                <w:szCs w:val="21"/>
                <w:highlight w:val="none"/>
              </w:rPr>
              <w:t>合理安排在水稻生产各个环节采取相应技术措施的时间，相应时间节点需在现场设置专人讲解采取措施的作用和意义，保证有一定数量的农民群众到</w:t>
            </w:r>
            <w:r>
              <w:rPr>
                <w:rFonts w:hint="eastAsia" w:ascii="宋体" w:hAnsi="宋体" w:cs="Times New Roman"/>
                <w:color w:val="auto"/>
                <w:kern w:val="0"/>
                <w:szCs w:val="21"/>
                <w:highlight w:val="none"/>
                <w:lang w:eastAsia="zh-CN"/>
              </w:rPr>
              <w:t>现</w:t>
            </w:r>
            <w:r>
              <w:rPr>
                <w:rFonts w:hint="eastAsia" w:ascii="宋体" w:hAnsi="宋体" w:cs="Times New Roman"/>
                <w:color w:val="auto"/>
                <w:kern w:val="0"/>
                <w:szCs w:val="21"/>
                <w:highlight w:val="none"/>
              </w:rPr>
              <w:t>场学习实操。</w:t>
            </w:r>
            <w:r>
              <w:rPr>
                <w:rFonts w:hint="default" w:ascii="宋体" w:hAnsi="宋体" w:cs="Times New Roman"/>
                <w:color w:val="auto"/>
                <w:kern w:val="0"/>
                <w:szCs w:val="21"/>
                <w:highlight w:val="none"/>
                <w:lang w:val="en-US" w:eastAsia="zh-CN"/>
              </w:rPr>
              <w:t>本项目计划</w:t>
            </w:r>
            <w:r>
              <w:rPr>
                <w:rFonts w:hint="eastAsia" w:ascii="宋体" w:hAnsi="宋体" w:cs="Times New Roman"/>
                <w:color w:val="auto"/>
                <w:kern w:val="0"/>
                <w:szCs w:val="21"/>
                <w:highlight w:val="none"/>
                <w:lang w:val="en-US" w:eastAsia="zh-CN"/>
              </w:rPr>
              <w:t>技术宣传</w:t>
            </w:r>
            <w:r>
              <w:rPr>
                <w:rFonts w:hint="default" w:ascii="宋体" w:hAnsi="宋体" w:cs="Times New Roman"/>
                <w:color w:val="auto"/>
                <w:kern w:val="0"/>
                <w:szCs w:val="21"/>
                <w:highlight w:val="none"/>
                <w:lang w:val="en-US" w:eastAsia="zh-CN"/>
              </w:rPr>
              <w:t>指导人数</w:t>
            </w:r>
            <w:r>
              <w:rPr>
                <w:rFonts w:hint="eastAsia" w:ascii="宋体" w:hAnsi="宋体" w:cs="Times New Roman"/>
                <w:color w:val="auto"/>
                <w:kern w:val="0"/>
                <w:szCs w:val="21"/>
                <w:highlight w:val="none"/>
                <w:lang w:val="en-US" w:eastAsia="zh-CN"/>
              </w:rPr>
              <w:t>1050</w:t>
            </w:r>
            <w:r>
              <w:rPr>
                <w:rFonts w:hint="default" w:ascii="宋体" w:hAnsi="宋体" w:cs="Times New Roman"/>
                <w:color w:val="auto"/>
                <w:kern w:val="0"/>
                <w:szCs w:val="21"/>
                <w:highlight w:val="none"/>
                <w:lang w:val="en-US" w:eastAsia="zh-CN"/>
              </w:rPr>
              <w:t>人。</w:t>
            </w:r>
            <w:r>
              <w:rPr>
                <w:rFonts w:hint="eastAsia" w:ascii="宋体" w:hAnsi="宋体" w:cs="Times New Roman"/>
                <w:color w:val="auto"/>
                <w:kern w:val="0"/>
                <w:szCs w:val="21"/>
                <w:highlight w:val="none"/>
              </w:rPr>
              <w:t>其中</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“叶面阻隔+”技术措施模式800人，镉低积累品种替代+”技术措施模式250人。</w:t>
            </w:r>
          </w:p>
          <w:p w14:paraId="659169BC">
            <w:pPr>
              <w:shd w:val="clear"/>
              <w:spacing w:line="360" w:lineRule="exact"/>
              <w:rPr>
                <w:rFonts w:hint="default" w:ascii="宋体" w:hAnsi="宋体" w:cs="Times New Roman"/>
                <w:b/>
                <w:bCs/>
                <w:color w:val="auto"/>
                <w:kern w:val="0"/>
                <w:szCs w:val="21"/>
                <w:highlight w:val="none"/>
                <w:lang w:val="en-US" w:eastAsia="zh-CN"/>
              </w:rPr>
            </w:pPr>
            <w:r>
              <w:rPr>
                <w:rFonts w:hint="eastAsia" w:ascii="宋体" w:hAnsi="宋体" w:cs="Times New Roman"/>
                <w:b/>
                <w:bCs/>
                <w:color w:val="auto"/>
                <w:kern w:val="0"/>
                <w:szCs w:val="21"/>
                <w:highlight w:val="none"/>
                <w:lang w:val="en-US" w:eastAsia="zh-CN"/>
              </w:rPr>
              <w:t>二</w:t>
            </w:r>
            <w:r>
              <w:rPr>
                <w:rFonts w:hint="default" w:ascii="宋体" w:hAnsi="宋体" w:cs="Times New Roman"/>
                <w:b/>
                <w:bCs/>
                <w:color w:val="auto"/>
                <w:kern w:val="0"/>
                <w:szCs w:val="21"/>
                <w:highlight w:val="none"/>
                <w:lang w:eastAsia="zh-CN"/>
              </w:rPr>
              <w:t>、</w:t>
            </w:r>
            <w:r>
              <w:rPr>
                <w:rFonts w:hint="default" w:ascii="宋体" w:hAnsi="宋体" w:cs="Times New Roman"/>
                <w:b/>
                <w:bCs/>
                <w:color w:val="auto"/>
                <w:kern w:val="0"/>
                <w:szCs w:val="21"/>
                <w:highlight w:val="none"/>
              </w:rPr>
              <w:t>项目验收</w:t>
            </w:r>
          </w:p>
          <w:p w14:paraId="5619F5E1">
            <w:pPr>
              <w:shd w:val="clear"/>
              <w:spacing w:line="360" w:lineRule="exact"/>
              <w:ind w:firstLine="422" w:firstLineChars="200"/>
              <w:rPr>
                <w:rFonts w:hint="eastAsia" w:ascii="宋体" w:hAnsi="宋体" w:cs="Times New Roman"/>
                <w:b/>
                <w:bCs/>
                <w:color w:val="auto"/>
                <w:kern w:val="0"/>
                <w:szCs w:val="21"/>
                <w:highlight w:val="none"/>
                <w:lang w:val="en-US" w:eastAsia="zh-CN"/>
              </w:rPr>
            </w:pPr>
            <w:r>
              <w:rPr>
                <w:rFonts w:hint="eastAsia" w:ascii="宋体" w:hAnsi="宋体" w:cs="Times New Roman"/>
                <w:b/>
                <w:bCs/>
                <w:color w:val="auto"/>
                <w:kern w:val="0"/>
                <w:szCs w:val="21"/>
                <w:highlight w:val="none"/>
              </w:rPr>
              <w:t>（一）项目</w:t>
            </w:r>
            <w:r>
              <w:rPr>
                <w:rFonts w:hint="eastAsia" w:ascii="宋体" w:hAnsi="宋体" w:cs="Times New Roman"/>
                <w:b/>
                <w:bCs/>
                <w:color w:val="auto"/>
                <w:kern w:val="0"/>
                <w:szCs w:val="21"/>
                <w:highlight w:val="none"/>
                <w:lang w:eastAsia="zh-CN"/>
              </w:rPr>
              <w:t>规模</w:t>
            </w:r>
            <w:r>
              <w:rPr>
                <w:rFonts w:hint="eastAsia" w:ascii="宋体" w:hAnsi="宋体" w:cs="Times New Roman"/>
                <w:b/>
                <w:bCs/>
                <w:color w:val="auto"/>
                <w:kern w:val="0"/>
                <w:szCs w:val="21"/>
                <w:highlight w:val="none"/>
              </w:rPr>
              <w:t>验收</w:t>
            </w:r>
            <w:r>
              <w:rPr>
                <w:rFonts w:hint="eastAsia" w:ascii="宋体" w:hAnsi="宋体" w:cs="Times New Roman"/>
                <w:b/>
                <w:bCs/>
                <w:color w:val="auto"/>
                <w:kern w:val="0"/>
                <w:szCs w:val="21"/>
                <w:highlight w:val="none"/>
                <w:lang w:val="en-US" w:eastAsia="zh-CN"/>
              </w:rPr>
              <w:t xml:space="preserve"> </w:t>
            </w:r>
          </w:p>
          <w:p w14:paraId="592B6D7C">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（1）</w:t>
            </w:r>
            <w:r>
              <w:rPr>
                <w:rFonts w:hint="eastAsia" w:ascii="宋体" w:hAnsi="宋体" w:cs="Times New Roman"/>
                <w:color w:val="auto"/>
                <w:kern w:val="0"/>
                <w:szCs w:val="21"/>
                <w:highlight w:val="none"/>
                <w:lang w:val="en-US" w:eastAsia="zh-CN"/>
              </w:rPr>
              <w:t>实施</w:t>
            </w:r>
            <w:r>
              <w:rPr>
                <w:rFonts w:hint="eastAsia" w:ascii="宋体" w:hAnsi="宋体" w:cs="Times New Roman"/>
                <w:color w:val="auto"/>
                <w:kern w:val="0"/>
                <w:szCs w:val="21"/>
                <w:highlight w:val="none"/>
              </w:rPr>
              <w:t>面积验收</w:t>
            </w:r>
          </w:p>
          <w:p w14:paraId="178BE98E">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val="en-US" w:eastAsia="zh-CN"/>
              </w:rPr>
              <w:t>“叶面阻隔+”或者“镉低积累品种替代+”技术措施</w:t>
            </w:r>
            <w:r>
              <w:rPr>
                <w:rFonts w:hint="eastAsia" w:ascii="宋体" w:hAnsi="宋体" w:cs="Times New Roman"/>
                <w:color w:val="auto"/>
                <w:kern w:val="0"/>
                <w:szCs w:val="21"/>
                <w:highlight w:val="none"/>
              </w:rPr>
              <w:t>实际实施</w:t>
            </w:r>
            <w:r>
              <w:rPr>
                <w:rFonts w:hint="eastAsia" w:ascii="宋体" w:hAnsi="宋体" w:cs="Times New Roman"/>
                <w:color w:val="auto"/>
                <w:kern w:val="0"/>
                <w:szCs w:val="21"/>
                <w:highlight w:val="none"/>
                <w:lang w:val="en-US" w:eastAsia="zh-CN"/>
              </w:rPr>
              <w:t>的</w:t>
            </w:r>
            <w:r>
              <w:rPr>
                <w:rFonts w:hint="eastAsia" w:ascii="宋体" w:hAnsi="宋体" w:cs="Times New Roman"/>
                <w:color w:val="auto"/>
                <w:kern w:val="0"/>
                <w:szCs w:val="21"/>
                <w:highlight w:val="none"/>
              </w:rPr>
              <w:t>具体地块及面积，由监理单位或者实施方、采购单位、农业生产者三方确认</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同时</w:t>
            </w:r>
            <w:r>
              <w:rPr>
                <w:rFonts w:hint="eastAsia" w:ascii="宋体" w:hAnsi="宋体" w:cs="Times New Roman"/>
                <w:color w:val="auto"/>
                <w:kern w:val="0"/>
                <w:szCs w:val="21"/>
                <w:highlight w:val="none"/>
              </w:rPr>
              <w:t>由市级农业农村局</w:t>
            </w:r>
            <w:r>
              <w:rPr>
                <w:rFonts w:hint="eastAsia" w:ascii="宋体" w:hAnsi="宋体" w:cs="Times New Roman"/>
                <w:color w:val="auto"/>
                <w:kern w:val="0"/>
                <w:szCs w:val="21"/>
                <w:highlight w:val="none"/>
                <w:lang w:val="en-US" w:eastAsia="zh-CN"/>
              </w:rPr>
              <w:t>监督指导项目县（市、区）做好项目</w:t>
            </w:r>
            <w:r>
              <w:rPr>
                <w:rFonts w:hint="eastAsia" w:ascii="宋体" w:hAnsi="宋体" w:cs="Times New Roman"/>
                <w:color w:val="auto"/>
                <w:kern w:val="0"/>
                <w:szCs w:val="21"/>
                <w:highlight w:val="none"/>
              </w:rPr>
              <w:t>实施所到具体地块及面积</w:t>
            </w:r>
            <w:r>
              <w:rPr>
                <w:rFonts w:hint="eastAsia" w:ascii="宋体" w:hAnsi="宋体" w:cs="Times New Roman"/>
                <w:color w:val="auto"/>
                <w:kern w:val="0"/>
                <w:szCs w:val="21"/>
                <w:highlight w:val="none"/>
                <w:lang w:val="en-US" w:eastAsia="zh-CN"/>
              </w:rPr>
              <w:t>与受污染耕地比对</w:t>
            </w:r>
            <w:r>
              <w:rPr>
                <w:rFonts w:hint="eastAsia" w:ascii="宋体" w:hAnsi="宋体" w:cs="Times New Roman"/>
                <w:color w:val="auto"/>
                <w:kern w:val="0"/>
                <w:szCs w:val="21"/>
                <w:highlight w:val="none"/>
              </w:rPr>
              <w:t>符合度核验确认</w:t>
            </w:r>
            <w:r>
              <w:rPr>
                <w:rFonts w:hint="eastAsia" w:ascii="宋体" w:hAnsi="宋体" w:cs="Times New Roman"/>
                <w:color w:val="auto"/>
                <w:kern w:val="0"/>
                <w:szCs w:val="21"/>
                <w:highlight w:val="none"/>
                <w:lang w:val="en-US" w:eastAsia="zh-CN"/>
              </w:rPr>
              <w:t>有关工作</w:t>
            </w:r>
            <w:r>
              <w:rPr>
                <w:rFonts w:hint="eastAsia" w:ascii="宋体" w:hAnsi="宋体" w:cs="Times New Roman"/>
                <w:color w:val="auto"/>
                <w:kern w:val="0"/>
                <w:szCs w:val="21"/>
                <w:highlight w:val="none"/>
              </w:rPr>
              <w:t>。</w:t>
            </w:r>
          </w:p>
          <w:p w14:paraId="1B797D61">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a</w:t>
            </w:r>
            <w:r>
              <w:rPr>
                <w:rFonts w:hint="eastAsia" w:ascii="宋体" w:hAnsi="宋体" w:cs="Times New Roman"/>
                <w:color w:val="auto"/>
                <w:kern w:val="0"/>
                <w:szCs w:val="21"/>
                <w:highlight w:val="none"/>
                <w:lang w:val="en-US" w:eastAsia="zh-CN"/>
              </w:rPr>
              <w:t>.</w:t>
            </w:r>
            <w:r>
              <w:rPr>
                <w:rFonts w:hint="eastAsia" w:ascii="宋体" w:hAnsi="宋体" w:cs="Times New Roman"/>
                <w:color w:val="auto"/>
                <w:kern w:val="0"/>
                <w:szCs w:val="21"/>
                <w:highlight w:val="none"/>
              </w:rPr>
              <w:t>面积核验确认办法</w:t>
            </w:r>
          </w:p>
          <w:p w14:paraId="7C3F739E">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对</w:t>
            </w:r>
            <w:r>
              <w:rPr>
                <w:rFonts w:hint="eastAsia" w:ascii="宋体" w:hAnsi="宋体" w:cs="Times New Roman"/>
                <w:color w:val="auto"/>
                <w:kern w:val="0"/>
                <w:szCs w:val="21"/>
                <w:highlight w:val="none"/>
                <w:lang w:val="en-US" w:eastAsia="zh-CN"/>
              </w:rPr>
              <w:t>措施</w:t>
            </w:r>
            <w:r>
              <w:rPr>
                <w:rFonts w:hint="eastAsia" w:ascii="宋体" w:hAnsi="宋体" w:cs="Times New Roman"/>
                <w:color w:val="auto"/>
                <w:kern w:val="0"/>
                <w:szCs w:val="21"/>
                <w:highlight w:val="none"/>
              </w:rPr>
              <w:t>实际实施</w:t>
            </w:r>
            <w:r>
              <w:rPr>
                <w:rFonts w:hint="eastAsia" w:ascii="宋体" w:hAnsi="宋体" w:cs="Times New Roman"/>
                <w:color w:val="auto"/>
                <w:kern w:val="0"/>
                <w:szCs w:val="21"/>
                <w:highlight w:val="none"/>
                <w:lang w:val="en-US" w:eastAsia="zh-CN"/>
              </w:rPr>
              <w:t>的</w:t>
            </w:r>
            <w:r>
              <w:rPr>
                <w:rFonts w:hint="eastAsia" w:ascii="宋体" w:hAnsi="宋体" w:cs="Times New Roman"/>
                <w:color w:val="auto"/>
                <w:kern w:val="0"/>
                <w:szCs w:val="21"/>
                <w:highlight w:val="none"/>
              </w:rPr>
              <w:t>具体地块及面积进行确认，即采取的技术措施覆盖到的地块（</w:t>
            </w:r>
            <w:r>
              <w:rPr>
                <w:rFonts w:hint="eastAsia" w:ascii="宋体" w:hAnsi="宋体" w:cs="Times New Roman"/>
                <w:color w:val="auto"/>
                <w:kern w:val="0"/>
                <w:szCs w:val="21"/>
                <w:highlight w:val="none"/>
                <w:lang w:val="en-US" w:eastAsia="zh-CN"/>
              </w:rPr>
              <w:t>属于受污染耕地范围</w:t>
            </w:r>
            <w:r>
              <w:rPr>
                <w:rFonts w:hint="eastAsia" w:ascii="宋体" w:hAnsi="宋体" w:cs="Times New Roman"/>
                <w:color w:val="auto"/>
                <w:kern w:val="0"/>
                <w:szCs w:val="21"/>
                <w:highlight w:val="none"/>
              </w:rPr>
              <w:t>且</w:t>
            </w:r>
            <w:r>
              <w:rPr>
                <w:rFonts w:hint="eastAsia" w:ascii="宋体" w:hAnsi="宋体" w:cs="Times New Roman"/>
                <w:color w:val="auto"/>
                <w:kern w:val="0"/>
                <w:szCs w:val="21"/>
                <w:highlight w:val="none"/>
                <w:lang w:eastAsia="zh-CN"/>
              </w:rPr>
              <w:t>目前</w:t>
            </w:r>
            <w:r>
              <w:rPr>
                <w:rFonts w:hint="eastAsia" w:ascii="宋体" w:hAnsi="宋体" w:cs="Times New Roman"/>
                <w:color w:val="auto"/>
                <w:kern w:val="0"/>
                <w:szCs w:val="21"/>
                <w:highlight w:val="none"/>
              </w:rPr>
              <w:t>继续种植水稻的地块，才能算为实施所到地块）及面积，即为核验确认面积。</w:t>
            </w:r>
          </w:p>
          <w:p w14:paraId="4483E423">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b</w:t>
            </w:r>
            <w:r>
              <w:rPr>
                <w:rFonts w:hint="eastAsia" w:ascii="宋体" w:hAnsi="宋体" w:cs="Times New Roman"/>
                <w:color w:val="auto"/>
                <w:kern w:val="0"/>
                <w:szCs w:val="21"/>
                <w:highlight w:val="none"/>
                <w:lang w:val="en-US" w:eastAsia="zh-CN"/>
              </w:rPr>
              <w:t>.</w:t>
            </w:r>
            <w:r>
              <w:rPr>
                <w:rFonts w:hint="eastAsia" w:ascii="宋体" w:hAnsi="宋体" w:cs="Times New Roman"/>
                <w:color w:val="auto"/>
                <w:kern w:val="0"/>
                <w:szCs w:val="21"/>
                <w:highlight w:val="none"/>
              </w:rPr>
              <w:t>符合度核验办法</w:t>
            </w:r>
          </w:p>
          <w:p w14:paraId="1B96D689">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实施方通过</w:t>
            </w:r>
            <w:r>
              <w:rPr>
                <w:rFonts w:hint="eastAsia" w:ascii="宋体" w:hAnsi="宋体" w:cs="Times New Roman"/>
                <w:color w:val="auto"/>
                <w:kern w:val="0"/>
                <w:szCs w:val="21"/>
                <w:highlight w:val="none"/>
                <w:lang w:val="en-US" w:eastAsia="zh-CN"/>
              </w:rPr>
              <w:t>技术措施落实过程中，由</w:t>
            </w:r>
            <w:r>
              <w:rPr>
                <w:rFonts w:hint="eastAsia" w:ascii="宋体" w:hAnsi="宋体" w:cs="Times New Roman"/>
                <w:color w:val="auto"/>
                <w:kern w:val="0"/>
                <w:szCs w:val="21"/>
                <w:highlight w:val="none"/>
              </w:rPr>
              <w:t>监理</w:t>
            </w:r>
            <w:r>
              <w:rPr>
                <w:rFonts w:hint="eastAsia" w:ascii="宋体" w:hAnsi="宋体" w:cs="Times New Roman"/>
                <w:color w:val="auto"/>
                <w:kern w:val="0"/>
                <w:szCs w:val="21"/>
                <w:highlight w:val="none"/>
                <w:lang w:val="en-US" w:eastAsia="zh-CN"/>
              </w:rPr>
              <w:t>方或</w:t>
            </w:r>
            <w:r>
              <w:rPr>
                <w:rFonts w:hint="eastAsia" w:ascii="宋体" w:hAnsi="宋体" w:cs="Times New Roman"/>
                <w:color w:val="auto"/>
                <w:kern w:val="0"/>
                <w:szCs w:val="21"/>
                <w:highlight w:val="none"/>
              </w:rPr>
              <w:t>实施方、采购单位、农业生产者确认的地块，</w:t>
            </w:r>
            <w:r>
              <w:rPr>
                <w:rFonts w:hint="eastAsia" w:ascii="宋体" w:hAnsi="宋体" w:cs="Times New Roman"/>
                <w:color w:val="auto"/>
                <w:kern w:val="0"/>
                <w:szCs w:val="21"/>
                <w:highlight w:val="none"/>
                <w:lang w:val="en-US" w:eastAsia="zh-CN"/>
              </w:rPr>
              <w:t>并对确认地块的信息数据</w:t>
            </w:r>
            <w:r>
              <w:rPr>
                <w:rFonts w:hint="eastAsia" w:ascii="宋体" w:hAnsi="宋体" w:cs="Times New Roman"/>
                <w:color w:val="auto"/>
                <w:kern w:val="0"/>
                <w:szCs w:val="21"/>
                <w:highlight w:val="none"/>
              </w:rPr>
              <w:t>进行矢量化（大地2000坐标系）</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市级农业农村局</w:t>
            </w:r>
            <w:r>
              <w:rPr>
                <w:rFonts w:hint="eastAsia" w:ascii="宋体" w:hAnsi="宋体" w:cs="Times New Roman"/>
                <w:color w:val="auto"/>
                <w:kern w:val="0"/>
                <w:szCs w:val="21"/>
                <w:highlight w:val="none"/>
                <w:lang w:val="en-US" w:eastAsia="zh-CN"/>
              </w:rPr>
              <w:t>指导监督所辖项目县（市、区）农业农村局做好项目实施</w:t>
            </w:r>
            <w:r>
              <w:rPr>
                <w:rFonts w:hint="eastAsia" w:ascii="宋体" w:hAnsi="宋体" w:cs="Times New Roman"/>
                <w:color w:val="auto"/>
                <w:kern w:val="0"/>
                <w:szCs w:val="21"/>
                <w:highlight w:val="none"/>
              </w:rPr>
              <w:t>矢量数据与</w:t>
            </w:r>
            <w:r>
              <w:rPr>
                <w:rFonts w:hint="eastAsia" w:ascii="宋体" w:hAnsi="宋体" w:cs="Times New Roman"/>
                <w:color w:val="auto"/>
                <w:kern w:val="0"/>
                <w:szCs w:val="21"/>
                <w:highlight w:val="none"/>
                <w:lang w:val="en-US" w:eastAsia="zh-CN"/>
              </w:rPr>
              <w:t>受污染耕地</w:t>
            </w:r>
            <w:r>
              <w:rPr>
                <w:rFonts w:hint="eastAsia" w:ascii="宋体" w:hAnsi="宋体" w:cs="Times New Roman"/>
                <w:color w:val="auto"/>
                <w:kern w:val="0"/>
                <w:szCs w:val="21"/>
                <w:highlight w:val="none"/>
              </w:rPr>
              <w:t>矢量数据进行叠加分析，计算确认符合要求的地块并统计面积。</w:t>
            </w:r>
          </w:p>
          <w:p w14:paraId="519326E3">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（2）</w:t>
            </w:r>
            <w:r>
              <w:rPr>
                <w:rFonts w:hint="eastAsia" w:ascii="宋体" w:hAnsi="宋体" w:cs="Times New Roman"/>
                <w:color w:val="auto"/>
                <w:kern w:val="0"/>
                <w:szCs w:val="21"/>
                <w:highlight w:val="none"/>
                <w:lang w:val="en-US" w:eastAsia="zh-CN"/>
              </w:rPr>
              <w:t>镉低积累水稻种子</w:t>
            </w:r>
            <w:r>
              <w:rPr>
                <w:rFonts w:hint="eastAsia" w:ascii="宋体" w:hAnsi="宋体" w:cs="Times New Roman"/>
                <w:color w:val="auto"/>
                <w:kern w:val="0"/>
                <w:szCs w:val="21"/>
                <w:highlight w:val="none"/>
              </w:rPr>
              <w:t>质量</w:t>
            </w:r>
            <w:r>
              <w:rPr>
                <w:rFonts w:hint="eastAsia" w:ascii="宋体" w:hAnsi="宋体" w:cs="Times New Roman"/>
                <w:color w:val="auto"/>
                <w:kern w:val="0"/>
                <w:szCs w:val="21"/>
                <w:highlight w:val="none"/>
                <w:lang w:val="en-US" w:eastAsia="zh-CN"/>
              </w:rPr>
              <w:t>及真实性</w:t>
            </w:r>
            <w:r>
              <w:rPr>
                <w:rFonts w:hint="eastAsia" w:ascii="宋体" w:hAnsi="宋体" w:cs="Times New Roman"/>
                <w:color w:val="auto"/>
                <w:kern w:val="0"/>
                <w:szCs w:val="21"/>
                <w:highlight w:val="none"/>
              </w:rPr>
              <w:t>验收</w:t>
            </w:r>
          </w:p>
          <w:p w14:paraId="315B302B">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val="en-US" w:eastAsia="zh-CN"/>
              </w:rPr>
              <w:t>采取“镉低积累品种替代+”技术措施模式的须开展镉低积累水稻种子质量及真实性验收。相关验收办法如下：由农业农村部门、供种企业、项目实施第三方或种植主体共同确认抽样，并送至有资质的机构进行检测。每批次、每个品种至少抽取2个样品（含1个备份样，每个样品重量不少于2斤），参照GB/T3543-2025《农作物种子检验规程》、GB 4404.1-2024《粮食作物种子第1部分：禾谷类》检测发芽率、净度、水分等指标，检测结果达标；参照GB/T39917-2021《主要农作物品种真实性和纯度SSR分子标记检测稻》或NY/T1433-2014《水稻品种鉴定技术规程SSR标记法》开展品种真实性鉴定，确认品种真实，抽样记录、检测报告完整留存。</w:t>
            </w:r>
          </w:p>
          <w:p w14:paraId="0FEEB449">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w:t>
            </w:r>
            <w:r>
              <w:rPr>
                <w:rFonts w:hint="eastAsia" w:ascii="宋体" w:hAnsi="宋体" w:cs="Times New Roman"/>
                <w:color w:val="auto"/>
                <w:kern w:val="0"/>
                <w:szCs w:val="21"/>
                <w:highlight w:val="none"/>
                <w:lang w:val="en-US" w:eastAsia="zh-CN"/>
              </w:rPr>
              <w:t>3</w:t>
            </w:r>
            <w:r>
              <w:rPr>
                <w:rFonts w:hint="eastAsia" w:ascii="宋体" w:hAnsi="宋体" w:cs="Times New Roman"/>
                <w:color w:val="auto"/>
                <w:kern w:val="0"/>
                <w:szCs w:val="21"/>
                <w:highlight w:val="none"/>
              </w:rPr>
              <w:t>）</w:t>
            </w:r>
            <w:r>
              <w:rPr>
                <w:rFonts w:hint="eastAsia" w:ascii="宋体" w:hAnsi="宋体" w:eastAsia="宋体" w:cs="宋体"/>
                <w:bCs/>
                <w:color w:val="auto"/>
                <w:sz w:val="21"/>
                <w:szCs w:val="21"/>
                <w:highlight w:val="none"/>
                <w:lang w:eastAsia="zh-CN"/>
              </w:rPr>
              <w:t>水稻产量测定及</w:t>
            </w:r>
            <w:r>
              <w:rPr>
                <w:rFonts w:hint="eastAsia" w:ascii="宋体" w:hAnsi="宋体" w:cs="Times New Roman"/>
                <w:color w:val="auto"/>
                <w:kern w:val="0"/>
                <w:szCs w:val="21"/>
                <w:highlight w:val="none"/>
              </w:rPr>
              <w:t>稻谷质量验收</w:t>
            </w:r>
          </w:p>
          <w:p w14:paraId="2925F022">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项目区</w:t>
            </w:r>
            <w:r>
              <w:rPr>
                <w:rFonts w:hint="eastAsia" w:ascii="宋体" w:hAnsi="宋体" w:eastAsia="宋体" w:cs="宋体"/>
                <w:b w:val="0"/>
                <w:bCs/>
                <w:color w:val="auto"/>
                <w:sz w:val="21"/>
                <w:szCs w:val="21"/>
                <w:highlight w:val="none"/>
                <w:lang w:val="en-US" w:eastAsia="zh-CN"/>
              </w:rPr>
              <w:t>“镉低积累品种替代+”技术措施模式</w:t>
            </w:r>
            <w:r>
              <w:rPr>
                <w:rFonts w:hint="eastAsia" w:ascii="宋体" w:hAnsi="宋体" w:eastAsia="宋体" w:cs="宋体"/>
                <w:color w:val="auto"/>
                <w:sz w:val="21"/>
                <w:szCs w:val="21"/>
                <w:highlight w:val="none"/>
                <w:lang w:val="en-US" w:eastAsia="zh-CN"/>
              </w:rPr>
              <w:t>应开展水稻产量测定和质量检测工作；项目区</w:t>
            </w:r>
            <w:r>
              <w:rPr>
                <w:rFonts w:hint="eastAsia" w:ascii="宋体" w:hAnsi="宋体" w:eastAsia="宋体" w:cs="宋体"/>
                <w:b w:val="0"/>
                <w:bCs/>
                <w:color w:val="auto"/>
                <w:sz w:val="21"/>
                <w:szCs w:val="21"/>
                <w:highlight w:val="none"/>
                <w:lang w:val="en-US" w:eastAsia="zh-CN"/>
              </w:rPr>
              <w:t>“叶面阻隔+”技术措施模式主要开展</w:t>
            </w:r>
            <w:r>
              <w:rPr>
                <w:rFonts w:hint="eastAsia" w:ascii="宋体" w:hAnsi="宋体" w:eastAsia="宋体" w:cs="宋体"/>
                <w:color w:val="auto"/>
                <w:sz w:val="21"/>
                <w:szCs w:val="21"/>
                <w:highlight w:val="none"/>
                <w:lang w:val="en-US" w:eastAsia="zh-CN"/>
              </w:rPr>
              <w:t>质量检测工作。</w:t>
            </w:r>
          </w:p>
          <w:p w14:paraId="09D3ADA2">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水稻测产方法参照</w:t>
            </w:r>
            <w:r>
              <w:rPr>
                <w:rFonts w:hint="eastAsia" w:ascii="宋体" w:hAnsi="宋体" w:eastAsia="宋体" w:cs="宋体"/>
                <w:color w:val="auto"/>
                <w:sz w:val="21"/>
                <w:szCs w:val="21"/>
                <w:highlight w:val="none"/>
              </w:rPr>
              <w:t>《全国粮食高产创建测产验收办法（试行）》（农办农〔2008〕82号）</w:t>
            </w:r>
            <w:r>
              <w:rPr>
                <w:rFonts w:hint="eastAsia" w:ascii="宋体" w:hAnsi="宋体" w:eastAsia="宋体" w:cs="宋体"/>
                <w:color w:val="auto"/>
                <w:sz w:val="21"/>
                <w:szCs w:val="21"/>
                <w:highlight w:val="none"/>
                <w:lang w:eastAsia="zh-CN"/>
              </w:rPr>
              <w:t>实收测产方法</w:t>
            </w:r>
            <w:r>
              <w:rPr>
                <w:rFonts w:hint="eastAsia" w:ascii="宋体" w:hAnsi="宋体" w:eastAsia="宋体" w:cs="宋体"/>
                <w:color w:val="auto"/>
                <w:sz w:val="21"/>
                <w:szCs w:val="21"/>
                <w:highlight w:val="none"/>
                <w:lang w:val="en-US" w:eastAsia="zh-CN"/>
              </w:rPr>
              <w:t>进行（一般抽取3个片区测产）。</w:t>
            </w:r>
          </w:p>
          <w:p w14:paraId="21D74B1B">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稻谷</w:t>
            </w:r>
            <w:r>
              <w:rPr>
                <w:rFonts w:hint="eastAsia" w:ascii="宋体" w:hAnsi="宋体" w:eastAsia="宋体" w:cs="宋体"/>
                <w:color w:val="auto"/>
                <w:sz w:val="21"/>
                <w:szCs w:val="21"/>
                <w:highlight w:val="none"/>
              </w:rPr>
              <w:t>质量验收合格标准，以实施区域稻谷质量符合国家食品卫生为标准。相关稻谷质量验收办法</w:t>
            </w:r>
            <w:r>
              <w:rPr>
                <w:rFonts w:hint="eastAsia" w:ascii="宋体" w:hAnsi="宋体" w:eastAsia="宋体" w:cs="宋体"/>
                <w:color w:val="auto"/>
                <w:sz w:val="21"/>
                <w:szCs w:val="21"/>
                <w:highlight w:val="none"/>
                <w:lang w:val="en-US" w:eastAsia="zh-CN"/>
              </w:rPr>
              <w:t>如下：</w:t>
            </w:r>
          </w:p>
          <w:p w14:paraId="2C798AFE">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稻谷样品采集及检测：</w:t>
            </w:r>
            <w:r>
              <w:rPr>
                <w:rFonts w:hint="eastAsia" w:ascii="宋体" w:hAnsi="宋体" w:eastAsia="宋体" w:cs="宋体"/>
                <w:color w:val="auto"/>
                <w:sz w:val="21"/>
                <w:szCs w:val="21"/>
                <w:highlight w:val="none"/>
                <w:lang w:val="en-US" w:eastAsia="zh-CN"/>
              </w:rPr>
              <w:t>参照</w:t>
            </w:r>
            <w:r>
              <w:rPr>
                <w:rFonts w:hint="eastAsia" w:ascii="宋体" w:hAnsi="宋体" w:eastAsia="宋体" w:cs="宋体"/>
                <w:color w:val="auto"/>
                <w:sz w:val="21"/>
                <w:szCs w:val="21"/>
                <w:highlight w:val="none"/>
              </w:rPr>
              <w:t>《中华人民共和国农业行业标准耕地污染治理效果评价准则》（NY/T3343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2018）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按照15—50亩/个样品的布点密度</w:t>
            </w:r>
            <w:r>
              <w:rPr>
                <w:rFonts w:hint="eastAsia" w:ascii="宋体" w:hAnsi="宋体" w:eastAsia="宋体" w:cs="宋体"/>
                <w:color w:val="auto"/>
                <w:sz w:val="21"/>
                <w:szCs w:val="21"/>
                <w:highlight w:val="none"/>
              </w:rPr>
              <w:t>进行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涉及严格管控类耕地区域的，应适当加密布点，做好稻谷重金属质量检测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由检测评估第三方按规定采集样品，与</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实施第三方、监理单位（方法一）或者采购单位（方法二）人员</w:t>
            </w:r>
            <w:r>
              <w:rPr>
                <w:rFonts w:hint="eastAsia" w:ascii="宋体" w:hAnsi="宋体" w:eastAsia="宋体" w:cs="宋体"/>
                <w:color w:val="auto"/>
                <w:sz w:val="21"/>
                <w:szCs w:val="21"/>
                <w:highlight w:val="none"/>
                <w:lang w:val="en-US" w:eastAsia="zh-CN"/>
              </w:rPr>
              <w:t>三方</w:t>
            </w:r>
            <w:r>
              <w:rPr>
                <w:rFonts w:hint="eastAsia" w:ascii="宋体" w:hAnsi="宋体" w:eastAsia="宋体" w:cs="宋体"/>
                <w:color w:val="auto"/>
                <w:sz w:val="21"/>
                <w:szCs w:val="21"/>
                <w:highlight w:val="none"/>
              </w:rPr>
              <w:t>一起</w:t>
            </w:r>
            <w:r>
              <w:rPr>
                <w:rFonts w:hint="eastAsia" w:ascii="宋体" w:hAnsi="宋体" w:eastAsia="宋体" w:cs="宋体"/>
                <w:color w:val="auto"/>
                <w:sz w:val="21"/>
                <w:szCs w:val="21"/>
                <w:highlight w:val="none"/>
                <w:lang w:val="en-US" w:eastAsia="zh-CN"/>
              </w:rPr>
              <w:t>确认后进行</w:t>
            </w:r>
            <w:r>
              <w:rPr>
                <w:rFonts w:hint="eastAsia" w:ascii="宋体" w:hAnsi="宋体" w:eastAsia="宋体" w:cs="宋体"/>
                <w:color w:val="auto"/>
                <w:sz w:val="21"/>
                <w:szCs w:val="21"/>
                <w:highlight w:val="none"/>
              </w:rPr>
              <w:t>现场封样。农产品检测项目为</w:t>
            </w:r>
            <w:r>
              <w:rPr>
                <w:rFonts w:hint="eastAsia" w:ascii="宋体" w:hAnsi="宋体" w:eastAsia="宋体" w:cs="宋体"/>
                <w:b w:val="0"/>
                <w:bCs w:val="0"/>
                <w:color w:val="auto"/>
                <w:sz w:val="21"/>
                <w:szCs w:val="21"/>
                <w:highlight w:val="none"/>
                <w:lang w:val="en-US" w:eastAsia="zh-CN"/>
              </w:rPr>
              <w:t>总镉、总汞、总砷（稻谷测总砷超0.35mg/kg时必须测无机砷）、总铅、总铬检测</w:t>
            </w:r>
            <w:r>
              <w:rPr>
                <w:rFonts w:hint="eastAsia" w:ascii="宋体" w:hAnsi="宋体" w:eastAsia="宋体" w:cs="宋体"/>
                <w:color w:val="auto"/>
                <w:sz w:val="21"/>
                <w:szCs w:val="21"/>
                <w:highlight w:val="none"/>
                <w:lang w:val="en-US" w:eastAsia="zh-CN"/>
              </w:rPr>
              <w:t>5项</w:t>
            </w:r>
            <w:r>
              <w:rPr>
                <w:rFonts w:hint="eastAsia" w:ascii="宋体" w:hAnsi="宋体" w:eastAsia="宋体" w:cs="宋体"/>
                <w:color w:val="auto"/>
                <w:sz w:val="21"/>
                <w:szCs w:val="21"/>
                <w:highlight w:val="none"/>
              </w:rPr>
              <w:t>重金属</w:t>
            </w:r>
            <w:r>
              <w:rPr>
                <w:rFonts w:hint="eastAsia" w:ascii="宋体" w:hAnsi="宋体" w:eastAsia="宋体" w:cs="宋体"/>
                <w:color w:val="auto"/>
                <w:sz w:val="21"/>
                <w:szCs w:val="21"/>
                <w:highlight w:val="none"/>
                <w:lang w:val="en-US" w:eastAsia="zh-CN"/>
              </w:rPr>
              <w:t>指标</w:t>
            </w:r>
            <w:r>
              <w:rPr>
                <w:rFonts w:hint="eastAsia" w:ascii="宋体" w:hAnsi="宋体" w:eastAsia="宋体" w:cs="宋体"/>
                <w:color w:val="auto"/>
                <w:sz w:val="21"/>
                <w:szCs w:val="21"/>
                <w:highlight w:val="none"/>
              </w:rPr>
              <w:t>。样品备份、检测、保存样的管理及效果判定按照《食品安全国家标准食品中污染物限量》（GB2762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）规定进行，并协同现场测定样品采集地块土壤pH值。样品信息至少含水稻品种及带经纬度的采样地块位置的正东、正南、正西、正北等方向相片和工作相片，带经纬度的现场测定土壤pH值相片</w:t>
            </w:r>
            <w:r>
              <w:rPr>
                <w:rFonts w:hint="eastAsia" w:ascii="宋体" w:hAnsi="宋体" w:eastAsia="宋体" w:cs="宋体"/>
                <w:color w:val="auto"/>
                <w:sz w:val="21"/>
                <w:szCs w:val="21"/>
                <w:highlight w:val="none"/>
                <w:lang w:eastAsia="zh-CN"/>
              </w:rPr>
              <w:t>。如</w:t>
            </w:r>
            <w:r>
              <w:rPr>
                <w:rFonts w:hint="eastAsia" w:ascii="宋体" w:hAnsi="宋体" w:eastAsia="宋体" w:cs="宋体"/>
                <w:color w:val="auto"/>
                <w:sz w:val="21"/>
                <w:szCs w:val="21"/>
                <w:highlight w:val="none"/>
              </w:rPr>
              <w:t>信息不全、无法证明采集样地及pH仪校正与现场测定土壤pH值的，将视为无效样品。样品</w:t>
            </w:r>
            <w:r>
              <w:rPr>
                <w:rFonts w:hint="eastAsia" w:ascii="宋体" w:hAnsi="宋体" w:eastAsia="宋体" w:cs="宋体"/>
                <w:color w:val="auto"/>
                <w:sz w:val="21"/>
                <w:szCs w:val="21"/>
                <w:highlight w:val="none"/>
                <w:lang w:val="en-US" w:eastAsia="zh-CN"/>
              </w:rPr>
              <w:t>采样</w:t>
            </w:r>
            <w:r>
              <w:rPr>
                <w:rFonts w:hint="eastAsia" w:ascii="宋体" w:hAnsi="宋体" w:eastAsia="宋体" w:cs="宋体"/>
                <w:color w:val="auto"/>
                <w:sz w:val="21"/>
                <w:szCs w:val="21"/>
                <w:highlight w:val="none"/>
              </w:rPr>
              <w:t>信息、土壤pH值测定及数据传输方式，按自治区农业生态与资源保护站要求进行。</w:t>
            </w:r>
          </w:p>
          <w:p w14:paraId="27549CA0">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b</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抽样检测及效果评估第三方：</w:t>
            </w:r>
            <w:r>
              <w:rPr>
                <w:rFonts w:hint="eastAsia" w:ascii="宋体" w:hAnsi="宋体" w:eastAsia="宋体" w:cs="宋体"/>
                <w:color w:val="auto"/>
                <w:sz w:val="21"/>
                <w:szCs w:val="21"/>
                <w:highlight w:val="none"/>
                <w:lang w:val="en-US" w:eastAsia="zh-CN"/>
              </w:rPr>
              <w:t>项目业主</w:t>
            </w:r>
            <w:r>
              <w:rPr>
                <w:rFonts w:hint="eastAsia" w:ascii="宋体" w:hAnsi="宋体" w:eastAsia="宋体" w:cs="宋体"/>
                <w:color w:val="auto"/>
                <w:sz w:val="21"/>
                <w:szCs w:val="21"/>
                <w:highlight w:val="none"/>
              </w:rPr>
              <w:t>通过</w:t>
            </w:r>
            <w:r>
              <w:rPr>
                <w:rFonts w:hint="eastAsia" w:ascii="宋体" w:hAnsi="宋体" w:eastAsia="宋体" w:cs="宋体"/>
                <w:color w:val="auto"/>
                <w:sz w:val="21"/>
                <w:szCs w:val="21"/>
                <w:highlight w:val="none"/>
                <w:lang w:val="en-US" w:eastAsia="zh-CN"/>
              </w:rPr>
              <w:t>政府采购方式确定采样检</w:t>
            </w:r>
            <w:r>
              <w:rPr>
                <w:rFonts w:hint="eastAsia" w:ascii="宋体" w:hAnsi="宋体" w:eastAsia="宋体" w:cs="宋体"/>
                <w:color w:val="auto"/>
                <w:sz w:val="21"/>
                <w:szCs w:val="21"/>
                <w:highlight w:val="none"/>
              </w:rPr>
              <w:t>测服务机构，完成样品</w:t>
            </w:r>
            <w:r>
              <w:rPr>
                <w:rFonts w:hint="eastAsia" w:ascii="宋体" w:hAnsi="宋体" w:eastAsia="宋体" w:cs="宋体"/>
                <w:color w:val="auto"/>
                <w:sz w:val="21"/>
                <w:szCs w:val="21"/>
                <w:highlight w:val="none"/>
                <w:lang w:val="en-US" w:eastAsia="zh-CN"/>
              </w:rPr>
              <w:t>采</w:t>
            </w:r>
            <w:r>
              <w:rPr>
                <w:rFonts w:hint="eastAsia" w:ascii="宋体" w:hAnsi="宋体" w:eastAsia="宋体" w:cs="宋体"/>
                <w:color w:val="auto"/>
                <w:sz w:val="21"/>
                <w:szCs w:val="21"/>
                <w:highlight w:val="none"/>
              </w:rPr>
              <w:t>样、检测及效果判定评价工作。抽样检测及效果评估第三方</w:t>
            </w:r>
            <w:r>
              <w:rPr>
                <w:rFonts w:hint="eastAsia" w:ascii="宋体" w:hAnsi="宋体" w:eastAsia="宋体" w:cs="宋体"/>
                <w:color w:val="auto"/>
                <w:sz w:val="21"/>
                <w:szCs w:val="21"/>
                <w:highlight w:val="none"/>
                <w:lang w:val="en-US" w:eastAsia="zh-CN"/>
              </w:rPr>
              <w:t>不能是项目实施方，不能是与项目实施方有利害关系的企业。</w:t>
            </w:r>
          </w:p>
          <w:p w14:paraId="627BF386">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抽样时间：水稻成熟度80%至收割前。</w:t>
            </w:r>
          </w:p>
          <w:p w14:paraId="2ED5F4A1">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样品类型：实施季稻谷样品。</w:t>
            </w:r>
          </w:p>
          <w:p w14:paraId="6E37323A">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纠纷处理：</w:t>
            </w:r>
            <w:r>
              <w:rPr>
                <w:rFonts w:hint="eastAsia" w:ascii="宋体" w:hAnsi="宋体" w:eastAsia="宋体" w:cs="宋体"/>
                <w:color w:val="auto"/>
                <w:sz w:val="21"/>
                <w:szCs w:val="21"/>
                <w:highlight w:val="none"/>
                <w:lang w:val="en-US" w:eastAsia="zh-CN"/>
              </w:rPr>
              <w:t>2026年度实施的同类项目（2026年以前顺延至2026年实施的项目除外），</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val="en-US" w:eastAsia="zh-CN"/>
              </w:rPr>
              <w:t>有一方</w:t>
            </w:r>
            <w:r>
              <w:rPr>
                <w:rFonts w:hint="eastAsia" w:ascii="宋体" w:hAnsi="宋体" w:eastAsia="宋体" w:cs="宋体"/>
                <w:color w:val="auto"/>
                <w:sz w:val="21"/>
                <w:szCs w:val="21"/>
                <w:highlight w:val="none"/>
                <w:lang w:eastAsia="zh-CN"/>
              </w:rPr>
              <w:t>对</w:t>
            </w:r>
            <w:r>
              <w:rPr>
                <w:rFonts w:hint="eastAsia" w:ascii="宋体" w:hAnsi="宋体" w:eastAsia="宋体" w:cs="宋体"/>
                <w:color w:val="auto"/>
                <w:sz w:val="21"/>
                <w:szCs w:val="21"/>
                <w:highlight w:val="none"/>
              </w:rPr>
              <w:t>检测结果及效果评估</w:t>
            </w:r>
            <w:r>
              <w:rPr>
                <w:rFonts w:hint="eastAsia" w:ascii="宋体" w:hAnsi="宋体" w:eastAsia="宋体" w:cs="宋体"/>
                <w:color w:val="auto"/>
                <w:sz w:val="21"/>
                <w:szCs w:val="21"/>
                <w:highlight w:val="none"/>
                <w:lang w:val="en-US" w:eastAsia="zh-CN"/>
              </w:rPr>
              <w:t>结果</w:t>
            </w:r>
            <w:r>
              <w:rPr>
                <w:rFonts w:hint="eastAsia" w:ascii="宋体" w:hAnsi="宋体" w:eastAsia="宋体" w:cs="宋体"/>
                <w:color w:val="auto"/>
                <w:sz w:val="21"/>
                <w:szCs w:val="21"/>
                <w:highlight w:val="none"/>
              </w:rPr>
              <w:t>存疑，实施方与检测方协商确定重新检测费用来源之后，</w:t>
            </w:r>
            <w:r>
              <w:rPr>
                <w:rFonts w:hint="eastAsia" w:ascii="宋体" w:hAnsi="宋体" w:eastAsia="宋体" w:cs="宋体"/>
                <w:color w:val="auto"/>
                <w:sz w:val="21"/>
                <w:szCs w:val="21"/>
                <w:highlight w:val="none"/>
                <w:lang w:val="en-US" w:eastAsia="zh-CN"/>
              </w:rPr>
              <w:t>可向自治区农业生态与资源保护站提出申诉，由自治区农业生态与资源保护站组织协调，一同协商委托其他有资质的检测单位</w:t>
            </w:r>
            <w:r>
              <w:rPr>
                <w:rFonts w:hint="eastAsia" w:ascii="宋体" w:hAnsi="宋体" w:eastAsia="宋体" w:cs="宋体"/>
                <w:color w:val="auto"/>
                <w:sz w:val="21"/>
                <w:szCs w:val="21"/>
                <w:highlight w:val="none"/>
              </w:rPr>
              <w:t>对保存样进行重新检测（</w:t>
            </w:r>
            <w:r>
              <w:rPr>
                <w:rFonts w:hint="eastAsia" w:ascii="宋体" w:hAnsi="宋体" w:eastAsia="宋体" w:cs="宋体"/>
                <w:color w:val="auto"/>
                <w:sz w:val="21"/>
                <w:szCs w:val="21"/>
                <w:highlight w:val="none"/>
                <w:lang w:val="en-US" w:eastAsia="zh-CN"/>
              </w:rPr>
              <w:t>合同约定</w:t>
            </w:r>
            <w:r>
              <w:rPr>
                <w:rFonts w:hint="eastAsia" w:ascii="宋体" w:hAnsi="宋体" w:eastAsia="宋体" w:cs="宋体"/>
                <w:color w:val="auto"/>
                <w:sz w:val="21"/>
                <w:szCs w:val="21"/>
                <w:highlight w:val="none"/>
              </w:rPr>
              <w:t>所有</w:t>
            </w:r>
            <w:r>
              <w:rPr>
                <w:rFonts w:hint="eastAsia" w:ascii="宋体" w:hAnsi="宋体" w:eastAsia="宋体" w:cs="宋体"/>
                <w:color w:val="auto"/>
                <w:sz w:val="21"/>
                <w:szCs w:val="21"/>
                <w:highlight w:val="none"/>
                <w:lang w:val="en-US" w:eastAsia="zh-CN"/>
              </w:rPr>
              <w:t>检测</w:t>
            </w:r>
            <w:r>
              <w:rPr>
                <w:rFonts w:hint="eastAsia" w:ascii="宋体" w:hAnsi="宋体" w:eastAsia="宋体" w:cs="宋体"/>
                <w:color w:val="auto"/>
                <w:sz w:val="21"/>
                <w:szCs w:val="21"/>
                <w:highlight w:val="none"/>
              </w:rPr>
              <w:t>指标）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或者直接向当地司法部门申请司法处理。</w:t>
            </w:r>
          </w:p>
          <w:p w14:paraId="21400606">
            <w:pPr>
              <w:shd w:val="clear"/>
              <w:spacing w:line="360" w:lineRule="exact"/>
              <w:ind w:firstLine="422" w:firstLineChars="200"/>
              <w:rPr>
                <w:rFonts w:hint="eastAsia" w:ascii="宋体" w:hAnsi="宋体" w:cs="Times New Roman"/>
                <w:color w:val="auto"/>
                <w:kern w:val="0"/>
                <w:szCs w:val="21"/>
                <w:highlight w:val="none"/>
                <w:lang w:eastAsia="zh-CN"/>
              </w:rPr>
            </w:pPr>
            <w:r>
              <w:rPr>
                <w:rFonts w:hint="eastAsia" w:ascii="宋体" w:hAnsi="宋体" w:cs="Times New Roman"/>
                <w:b/>
                <w:bCs/>
                <w:color w:val="auto"/>
                <w:kern w:val="0"/>
                <w:szCs w:val="21"/>
                <w:highlight w:val="none"/>
              </w:rPr>
              <w:t>（</w:t>
            </w:r>
            <w:r>
              <w:rPr>
                <w:rFonts w:hint="eastAsia" w:ascii="宋体" w:hAnsi="宋体" w:cs="Times New Roman"/>
                <w:b/>
                <w:bCs/>
                <w:color w:val="auto"/>
                <w:kern w:val="0"/>
                <w:szCs w:val="21"/>
                <w:highlight w:val="none"/>
                <w:lang w:val="en-US" w:eastAsia="zh-CN"/>
              </w:rPr>
              <w:t>二</w:t>
            </w:r>
            <w:r>
              <w:rPr>
                <w:rFonts w:hint="eastAsia" w:ascii="宋体" w:hAnsi="宋体" w:cs="Times New Roman"/>
                <w:b/>
                <w:bCs/>
                <w:color w:val="auto"/>
                <w:kern w:val="0"/>
                <w:szCs w:val="21"/>
                <w:highlight w:val="none"/>
              </w:rPr>
              <w:t>）</w:t>
            </w:r>
            <w:r>
              <w:rPr>
                <w:rFonts w:hint="eastAsia" w:ascii="宋体" w:hAnsi="宋体" w:cs="Times New Roman"/>
                <w:b/>
                <w:bCs/>
                <w:color w:val="auto"/>
                <w:kern w:val="0"/>
                <w:szCs w:val="21"/>
                <w:highlight w:val="none"/>
                <w:lang w:val="en-US" w:eastAsia="zh-CN"/>
              </w:rPr>
              <w:t>项目整体</w:t>
            </w:r>
            <w:r>
              <w:rPr>
                <w:rFonts w:hint="eastAsia" w:ascii="宋体" w:hAnsi="宋体" w:cs="Times New Roman"/>
                <w:b/>
                <w:bCs/>
                <w:color w:val="auto"/>
                <w:kern w:val="0"/>
                <w:szCs w:val="21"/>
                <w:highlight w:val="none"/>
              </w:rPr>
              <w:t>验收</w:t>
            </w:r>
          </w:p>
          <w:p w14:paraId="7CC2C5B3">
            <w:pPr>
              <w:shd w:val="clea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项目完成规模验收后，由</w:t>
            </w:r>
            <w:r>
              <w:rPr>
                <w:rFonts w:hint="eastAsia" w:ascii="宋体" w:hAnsi="宋体" w:cs="Times New Roman"/>
                <w:color w:val="auto"/>
                <w:kern w:val="0"/>
                <w:szCs w:val="21"/>
                <w:highlight w:val="none"/>
                <w:lang w:val="en-US" w:eastAsia="zh-CN"/>
              </w:rPr>
              <w:t>县级</w:t>
            </w:r>
            <w:r>
              <w:rPr>
                <w:rFonts w:hint="eastAsia" w:ascii="宋体" w:hAnsi="宋体" w:cs="Times New Roman"/>
                <w:color w:val="auto"/>
                <w:kern w:val="0"/>
                <w:szCs w:val="21"/>
                <w:highlight w:val="none"/>
              </w:rPr>
              <w:t>农业农村局组织</w:t>
            </w:r>
            <w:r>
              <w:rPr>
                <w:rFonts w:hint="eastAsia" w:ascii="宋体" w:hAnsi="宋体" w:cs="Times New Roman"/>
                <w:color w:val="auto"/>
                <w:kern w:val="0"/>
                <w:szCs w:val="21"/>
                <w:highlight w:val="none"/>
                <w:lang w:val="en-US" w:eastAsia="zh-CN"/>
              </w:rPr>
              <w:t>市</w:t>
            </w:r>
            <w:r>
              <w:rPr>
                <w:rFonts w:hint="eastAsia" w:ascii="宋体" w:hAnsi="宋体" w:cs="Times New Roman"/>
                <w:color w:val="auto"/>
                <w:kern w:val="0"/>
                <w:szCs w:val="21"/>
                <w:highlight w:val="none"/>
              </w:rPr>
              <w:t>级农业农村部门</w:t>
            </w:r>
            <w:r>
              <w:rPr>
                <w:rFonts w:hint="eastAsia" w:ascii="宋体" w:hAnsi="宋体" w:cs="Times New Roman"/>
                <w:color w:val="auto"/>
                <w:kern w:val="0"/>
                <w:szCs w:val="21"/>
                <w:highlight w:val="none"/>
                <w:lang w:eastAsia="zh-CN"/>
              </w:rPr>
              <w:t>审核</w:t>
            </w:r>
            <w:r>
              <w:rPr>
                <w:rFonts w:hint="eastAsia" w:ascii="宋体" w:hAnsi="宋体" w:cs="Times New Roman"/>
                <w:color w:val="auto"/>
                <w:kern w:val="0"/>
                <w:szCs w:val="21"/>
                <w:highlight w:val="none"/>
              </w:rPr>
              <w:t>同意</w:t>
            </w:r>
            <w:r>
              <w:rPr>
                <w:rFonts w:hint="eastAsia" w:ascii="宋体" w:hAnsi="宋体" w:cs="Times New Roman"/>
                <w:color w:val="auto"/>
                <w:kern w:val="0"/>
                <w:szCs w:val="21"/>
                <w:highlight w:val="none"/>
                <w:lang w:eastAsia="zh-CN"/>
              </w:rPr>
              <w:t>的</w:t>
            </w:r>
            <w:r>
              <w:rPr>
                <w:rFonts w:hint="eastAsia" w:ascii="宋体" w:hAnsi="宋体" w:cs="Times New Roman"/>
                <w:color w:val="auto"/>
                <w:kern w:val="0"/>
                <w:szCs w:val="21"/>
                <w:highlight w:val="none"/>
              </w:rPr>
              <w:t>相关单位或者专家</w:t>
            </w:r>
            <w:r>
              <w:rPr>
                <w:rFonts w:hint="eastAsia" w:ascii="宋体" w:hAnsi="宋体" w:cs="Times New Roman"/>
                <w:color w:val="auto"/>
                <w:kern w:val="0"/>
                <w:szCs w:val="21"/>
                <w:highlight w:val="none"/>
                <w:lang w:eastAsia="zh-CN"/>
              </w:rPr>
              <w:t>，召开</w:t>
            </w:r>
            <w:r>
              <w:rPr>
                <w:rFonts w:hint="eastAsia" w:ascii="宋体" w:hAnsi="宋体" w:cs="Times New Roman"/>
                <w:color w:val="auto"/>
                <w:kern w:val="0"/>
                <w:szCs w:val="21"/>
                <w:highlight w:val="none"/>
              </w:rPr>
              <w:t>合同（工作）验收会，核验检测结果</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确认</w:t>
            </w:r>
            <w:r>
              <w:rPr>
                <w:rFonts w:hint="eastAsia" w:ascii="宋体" w:hAnsi="宋体" w:cs="Times New Roman"/>
                <w:color w:val="auto"/>
                <w:kern w:val="0"/>
                <w:szCs w:val="21"/>
                <w:highlight w:val="none"/>
                <w:lang w:val="en-US" w:eastAsia="zh-CN"/>
              </w:rPr>
              <w:t>项目实施</w:t>
            </w:r>
            <w:r>
              <w:rPr>
                <w:rFonts w:hint="eastAsia" w:ascii="宋体" w:hAnsi="宋体" w:cs="Times New Roman"/>
                <w:color w:val="auto"/>
                <w:kern w:val="0"/>
                <w:szCs w:val="21"/>
                <w:highlight w:val="none"/>
              </w:rPr>
              <w:t>面积</w:t>
            </w:r>
            <w:r>
              <w:rPr>
                <w:rFonts w:hint="eastAsia" w:ascii="宋体" w:hAnsi="宋体" w:cs="Times New Roman"/>
                <w:color w:val="auto"/>
                <w:kern w:val="0"/>
                <w:szCs w:val="21"/>
                <w:highlight w:val="none"/>
                <w:lang w:val="en-US" w:eastAsia="zh-CN"/>
              </w:rPr>
              <w:t>和</w:t>
            </w:r>
            <w:r>
              <w:rPr>
                <w:rFonts w:hint="eastAsia" w:ascii="宋体" w:hAnsi="宋体" w:cs="Times New Roman"/>
                <w:color w:val="auto"/>
                <w:kern w:val="0"/>
                <w:szCs w:val="21"/>
                <w:highlight w:val="none"/>
              </w:rPr>
              <w:t>培训人员数量</w:t>
            </w:r>
            <w:r>
              <w:rPr>
                <w:rFonts w:hint="eastAsia" w:ascii="宋体" w:hAnsi="宋体" w:cs="Times New Roman"/>
                <w:color w:val="auto"/>
                <w:kern w:val="0"/>
                <w:szCs w:val="21"/>
                <w:highlight w:val="none"/>
                <w:lang w:val="en-US" w:eastAsia="zh-CN"/>
              </w:rPr>
              <w:t>造册情况，</w:t>
            </w:r>
            <w:r>
              <w:rPr>
                <w:rFonts w:hint="eastAsia" w:ascii="宋体" w:hAnsi="宋体" w:cs="Times New Roman"/>
                <w:color w:val="auto"/>
                <w:kern w:val="0"/>
                <w:szCs w:val="21"/>
                <w:highlight w:val="none"/>
              </w:rPr>
              <w:t>照合同逐个指标进行验收。</w:t>
            </w:r>
          </w:p>
          <w:p w14:paraId="203B88E0">
            <w:pPr>
              <w:shd w:val="clear"/>
              <w:spacing w:line="360" w:lineRule="exact"/>
              <w:ind w:firstLine="420" w:firstLineChars="200"/>
              <w:rPr>
                <w:rFonts w:hint="eastAsia" w:ascii="宋体" w:hAnsi="宋体" w:cs="Times New Roman"/>
                <w:color w:val="auto"/>
                <w:kern w:val="0"/>
                <w:szCs w:val="21"/>
                <w:highlight w:val="none"/>
                <w:lang w:val="en-US" w:eastAsia="zh-CN"/>
              </w:rPr>
            </w:pPr>
          </w:p>
        </w:tc>
      </w:tr>
      <w:tr w14:paraId="19D7E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468" w:type="dxa"/>
            <w:gridSpan w:val="4"/>
            <w:tcBorders>
              <w:top w:val="single" w:color="auto" w:sz="4" w:space="0"/>
              <w:left w:val="single" w:color="auto" w:sz="4" w:space="0"/>
              <w:bottom w:val="single" w:color="auto" w:sz="4" w:space="0"/>
              <w:right w:val="single" w:color="auto" w:sz="4" w:space="0"/>
            </w:tcBorders>
          </w:tcPr>
          <w:p w14:paraId="06B99D65">
            <w:pPr>
              <w:pStyle w:val="27"/>
              <w:shd w:val="clear"/>
              <w:snapToGrid w:val="0"/>
              <w:spacing w:line="360" w:lineRule="exact"/>
              <w:outlineLvl w:val="0"/>
              <w:rPr>
                <w:rFonts w:hint="eastAsia" w:hAnsi="宋体" w:cs="宋体"/>
                <w:b/>
                <w:color w:val="auto"/>
                <w:highlight w:val="none"/>
              </w:rPr>
            </w:pPr>
            <w:bookmarkStart w:id="20" w:name="_Toc13417"/>
            <w:r>
              <w:rPr>
                <w:rFonts w:hint="eastAsia" w:hAnsi="宋体" w:cs="宋体"/>
                <w:b/>
                <w:color w:val="auto"/>
                <w:highlight w:val="none"/>
              </w:rPr>
              <w:t>二、商务要求表</w:t>
            </w:r>
            <w:bookmarkEnd w:id="20"/>
          </w:p>
        </w:tc>
      </w:tr>
      <w:tr w14:paraId="7163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0B56D240">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7920" w:type="dxa"/>
            <w:gridSpan w:val="2"/>
            <w:tcBorders>
              <w:top w:val="single" w:color="auto" w:sz="4" w:space="0"/>
              <w:left w:val="single" w:color="auto" w:sz="4" w:space="0"/>
              <w:bottom w:val="single" w:color="auto" w:sz="4" w:space="0"/>
              <w:right w:val="single" w:color="auto" w:sz="4" w:space="0"/>
            </w:tcBorders>
            <w:vAlign w:val="top"/>
          </w:tcPr>
          <w:p w14:paraId="1CCCA1B1">
            <w:pPr>
              <w:shd w:val="clea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响应报价包括采购项目需求及合同条款中的所有内容、应交纳的各种税费等及为满足采购人项目要求所需服务的全部费用，包括但不限于样品制备费、保存费、转运及处理、差旅费、邮寄费、人工费、 税金、业务培训、代理费等一切费用，费用包干。</w:t>
            </w:r>
          </w:p>
        </w:tc>
      </w:tr>
      <w:tr w14:paraId="5E0E4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1A9E3400">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合同签订时间</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5227DB20">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自成交通知书发出之日起 15 日内。</w:t>
            </w:r>
          </w:p>
        </w:tc>
      </w:tr>
      <w:tr w14:paraId="41821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64E52989">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服务期限及服务地点：</w:t>
            </w:r>
          </w:p>
        </w:tc>
        <w:tc>
          <w:tcPr>
            <w:tcW w:w="7920" w:type="dxa"/>
            <w:gridSpan w:val="2"/>
            <w:tcBorders>
              <w:top w:val="single" w:color="auto" w:sz="4" w:space="0"/>
              <w:left w:val="single" w:color="auto" w:sz="4" w:space="0"/>
              <w:bottom w:val="single" w:color="auto" w:sz="4" w:space="0"/>
              <w:right w:val="single" w:color="auto" w:sz="4" w:space="0"/>
            </w:tcBorders>
            <w:vAlign w:val="top"/>
          </w:tcPr>
          <w:p w14:paraId="1ED10ACA">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（1）服务期限：</w:t>
            </w:r>
            <w:r>
              <w:rPr>
                <w:rFonts w:hint="eastAsia" w:ascii="宋体" w:hAnsi="宋体" w:cs="宋体"/>
                <w:color w:val="auto"/>
                <w:kern w:val="0"/>
                <w:szCs w:val="21"/>
                <w:highlight w:val="none"/>
                <w:lang w:val="en-US" w:eastAsia="zh-CN"/>
              </w:rPr>
              <w:t>自签订合同之日起至 2026年 12 月20日前完成</w:t>
            </w:r>
            <w:r>
              <w:rPr>
                <w:rFonts w:hint="eastAsia" w:ascii="宋体" w:hAnsi="宋体" w:cs="宋体"/>
                <w:color w:val="auto"/>
                <w:szCs w:val="21"/>
                <w:highlight w:val="none"/>
                <w:lang w:val="en-US" w:eastAsia="zh-CN"/>
              </w:rPr>
              <w:t xml:space="preserve">。 </w:t>
            </w:r>
          </w:p>
          <w:p w14:paraId="2F9DBC11">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（2）服务地点：采购人指定地点。</w:t>
            </w:r>
          </w:p>
        </w:tc>
      </w:tr>
      <w:tr w14:paraId="3E304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35FB5909">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付款方式</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397292A3">
            <w:pPr>
              <w:shd w:val="clear"/>
              <w:spacing w:line="360" w:lineRule="exact"/>
              <w:ind w:firstLine="422" w:firstLineChars="200"/>
              <w:rPr>
                <w:rFonts w:hint="eastAsia" w:ascii="宋体" w:hAnsi="宋体" w:cs="宋体"/>
                <w:color w:val="auto"/>
                <w:szCs w:val="21"/>
                <w:highlight w:val="none"/>
                <w:lang w:val="en-US" w:eastAsia="zh-CN"/>
              </w:rPr>
            </w:pPr>
            <w:r>
              <w:rPr>
                <w:rFonts w:hint="default" w:ascii="宋体" w:hAnsi="宋体" w:cs="宋体"/>
                <w:b/>
                <w:bCs/>
                <w:color w:val="auto"/>
                <w:szCs w:val="21"/>
                <w:highlight w:val="none"/>
                <w:lang w:val="en-US" w:eastAsia="zh-CN"/>
              </w:rPr>
              <w:t>项目款结算办法</w:t>
            </w:r>
            <w:r>
              <w:rPr>
                <w:rFonts w:hint="eastAsia" w:ascii="宋体" w:hAnsi="宋体" w:cs="宋体"/>
                <w:b/>
                <w:bCs/>
                <w:color w:val="auto"/>
                <w:szCs w:val="21"/>
                <w:highlight w:val="none"/>
                <w:lang w:val="en-US" w:eastAsia="zh-CN"/>
              </w:rPr>
              <w:t>：</w:t>
            </w:r>
          </w:p>
          <w:p w14:paraId="6B9A60C9">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按照《广西壮族自治区财政厅关于持续优化政府采购营商环境推动高质量发展的通知》（桂财采〔2024〕55号）精神要求，项目款结算可采取拨付预付款</w:t>
            </w:r>
            <w:r>
              <w:rPr>
                <w:rFonts w:hint="eastAsia" w:eastAsia="仿宋_GB2312" w:cs="CESI仿宋-GB2312"/>
                <w:b w:val="0"/>
                <w:bCs/>
                <w:color w:val="auto"/>
                <w:sz w:val="32"/>
                <w:szCs w:val="32"/>
                <w:highlight w:val="none"/>
                <w:lang w:val="en-US" w:eastAsia="zh-CN"/>
              </w:rPr>
              <w:t>[</w:t>
            </w:r>
            <w:r>
              <w:rPr>
                <w:rFonts w:hint="eastAsia" w:ascii="宋体" w:hAnsi="宋体" w:cs="宋体"/>
                <w:color w:val="auto"/>
                <w:szCs w:val="21"/>
                <w:highlight w:val="none"/>
                <w:lang w:val="en-US" w:eastAsia="zh-CN"/>
              </w:rPr>
              <w:t>在签订委托合同（协议）并进场实际开工后，可拨付不超过合同金额40%的预付款</w:t>
            </w:r>
            <w:r>
              <w:rPr>
                <w:rFonts w:hint="eastAsia" w:eastAsia="仿宋_GB2312" w:cs="CESI仿宋-GB2312"/>
                <w:b w:val="0"/>
                <w:bCs/>
                <w:color w:val="auto"/>
                <w:sz w:val="32"/>
                <w:szCs w:val="32"/>
                <w:highlight w:val="none"/>
                <w:lang w:val="en-US" w:eastAsia="zh-CN"/>
              </w:rPr>
              <w:t>]</w:t>
            </w:r>
            <w:r>
              <w:rPr>
                <w:rFonts w:hint="eastAsia" w:ascii="宋体" w:hAnsi="宋体" w:cs="宋体"/>
                <w:color w:val="auto"/>
                <w:szCs w:val="21"/>
                <w:highlight w:val="none"/>
                <w:lang w:val="en-US" w:eastAsia="zh-CN"/>
              </w:rPr>
              <w:t>及分段验收、分批支付的方式，加快资金拨付。</w:t>
            </w:r>
          </w:p>
          <w:p w14:paraId="02167B3F">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1.“叶面阻隔+”技术措施模式：</w:t>
            </w:r>
          </w:p>
          <w:p w14:paraId="279557FD">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按合同完成各项措施落地及面积确认和宣传指导目标任务，并完成阶段性验收核验的，可拨付至项目合同金额的70%。</w:t>
            </w:r>
          </w:p>
          <w:p w14:paraId="124E834C">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项目区产品（稻谷）质量（重金属）合格率结果出来后，并完成项目整体验收，按以下规则拨付剩余项目资金：</w:t>
            </w:r>
          </w:p>
          <w:p w14:paraId="6F2233E6">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（1）产品合格率：≥93%，可以结算全部剩余项目资金（项目合同金额的30%）。</w:t>
            </w:r>
          </w:p>
          <w:p w14:paraId="72095544">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（2）产品合格率：60%（含）—93%（不含），可以结算30%项目合同金额×实际产品合格率÷93%的款项。</w:t>
            </w:r>
          </w:p>
          <w:p w14:paraId="5DD73841">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（3）产品合格率：小于60%（不含），不再支付剩余款额。</w:t>
            </w:r>
          </w:p>
          <w:p w14:paraId="0D5BE3B7">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2.“镉低积累品种替代+”技术措施模式：</w:t>
            </w:r>
          </w:p>
          <w:p w14:paraId="60AD2BF9">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按照合同完成镉低积累水稻种植面积，镉低积累水稻种子质量和真实性（提供相关检测报告）检测符合要求，并完成阶段性验收的，拨付至项目合同金额的60%。检测发现提供的种子不是指定的镉低积累水稻品种或种子质量不达标的，不再拨付项目剩余资金，该项目终止。</w:t>
            </w:r>
          </w:p>
          <w:p w14:paraId="1C32FA94">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在完成前款条件下，按合同完成相关措施落地及面积确认和宣传指导任务目标，并完成阶段性验收的，拨付至项目合同金额的90%。</w:t>
            </w:r>
          </w:p>
          <w:p w14:paraId="39D1B423">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项目区产品（稻谷）质量（重金属）合格率结果出来后，并完成项目整体验收的，按以下规则拨付剩余项目资金：</w:t>
            </w:r>
          </w:p>
          <w:p w14:paraId="4F1537C3">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（1）产品合格率：≥93%，可以结算全部剩余项目资金（项目合同金额的10%）。</w:t>
            </w:r>
          </w:p>
          <w:p w14:paraId="0A490E7F">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（2）产品合格率：60%（含）—93%（不含），结算10%项目合同金额款项×实际产品合格率÷93%的款项。</w:t>
            </w:r>
          </w:p>
          <w:p w14:paraId="0A4DECBC">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（3）产品合格率：小于60%（不含），不再支付剩余款项。</w:t>
            </w:r>
          </w:p>
        </w:tc>
      </w:tr>
      <w:tr w14:paraId="7702F5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5C4A01AE">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售后技术服务要求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35039816">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不得将服务转包或委托给其他单位，一经发现并查实，取消合作并追回资金，由此产生的一切费用由成交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负责。 </w:t>
            </w:r>
          </w:p>
          <w:p w14:paraId="78D03772">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（2）处理问题响应时间：接到采购人处理问题通知后 24 小时内到达采购人指定现场。</w:t>
            </w:r>
          </w:p>
          <w:p w14:paraId="76B470FC">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（3）成交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必须配合采购人完成整体项目的验收。</w:t>
            </w:r>
          </w:p>
        </w:tc>
      </w:tr>
    </w:tbl>
    <w:p w14:paraId="746093E4">
      <w:pPr>
        <w:shd w:val="clear"/>
        <w:rPr>
          <w:rFonts w:ascii="黑体" w:hAnsi="黑体" w:eastAsia="黑体"/>
          <w:bCs/>
          <w:color w:val="auto"/>
          <w:kern w:val="32"/>
          <w:sz w:val="24"/>
          <w:szCs w:val="24"/>
          <w:highlight w:val="none"/>
        </w:rPr>
      </w:pPr>
      <w:r>
        <w:rPr>
          <w:rFonts w:hint="eastAsia"/>
          <w:color w:val="auto"/>
          <w:szCs w:val="21"/>
          <w:highlight w:val="none"/>
          <w:lang w:val="en-US" w:eastAsia="zh-CN"/>
        </w:rPr>
        <w:br w:type="page"/>
      </w:r>
      <w:r>
        <w:rPr>
          <w:rFonts w:hint="eastAsia" w:ascii="黑体" w:hAnsi="黑体" w:eastAsia="黑体"/>
          <w:bCs/>
          <w:color w:val="auto"/>
          <w:kern w:val="32"/>
          <w:sz w:val="24"/>
          <w:szCs w:val="24"/>
          <w:highlight w:val="none"/>
        </w:rPr>
        <w:t>附</w:t>
      </w:r>
      <w:r>
        <w:rPr>
          <w:rFonts w:hint="eastAsia" w:ascii="黑体" w:hAnsi="黑体" w:eastAsia="黑体"/>
          <w:bCs/>
          <w:color w:val="auto"/>
          <w:kern w:val="32"/>
          <w:sz w:val="24"/>
          <w:szCs w:val="24"/>
          <w:highlight w:val="none"/>
          <w:lang w:val="en-US" w:eastAsia="zh-CN"/>
        </w:rPr>
        <w:t>件1</w:t>
      </w:r>
      <w:r>
        <w:rPr>
          <w:rFonts w:hint="eastAsia" w:ascii="黑体" w:hAnsi="黑体" w:eastAsia="黑体"/>
          <w:bCs/>
          <w:color w:val="auto"/>
          <w:kern w:val="32"/>
          <w:sz w:val="24"/>
          <w:szCs w:val="24"/>
          <w:highlight w:val="none"/>
        </w:rPr>
        <w:t>：</w:t>
      </w:r>
    </w:p>
    <w:p w14:paraId="30CDEDD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rPr>
      </w:pPr>
      <w:r>
        <w:rPr>
          <w:rFonts w:hint="eastAsia" w:ascii="仿宋_GB2312" w:eastAsia="仿宋_GB2312"/>
          <w:bCs/>
          <w:color w:val="auto"/>
          <w:kern w:val="32"/>
          <w:sz w:val="32"/>
          <w:szCs w:val="32"/>
          <w:highlight w:val="none"/>
          <w:lang w:val="en-US" w:eastAsia="zh-CN"/>
        </w:rPr>
        <w:t xml:space="preserve"> </w:t>
      </w:r>
      <w:r>
        <w:rPr>
          <w:rFonts w:hint="eastAsia" w:ascii="仿宋_GB2312" w:eastAsia="仿宋_GB2312"/>
          <w:bCs/>
          <w:color w:val="auto"/>
          <w:kern w:val="32"/>
          <w:sz w:val="21"/>
          <w:szCs w:val="21"/>
          <w:highlight w:val="none"/>
          <w:lang w:val="en-US" w:eastAsia="zh-CN"/>
        </w:rPr>
        <w:t xml:space="preserve"> </w:t>
      </w:r>
      <w:r>
        <w:rPr>
          <w:rFonts w:hint="eastAsia" w:ascii="宋体" w:hAnsi="宋体" w:eastAsia="宋体" w:cs="宋体"/>
          <w:bCs/>
          <w:color w:val="auto"/>
          <w:kern w:val="32"/>
          <w:sz w:val="21"/>
          <w:szCs w:val="21"/>
          <w:highlight w:val="none"/>
          <w:lang w:val="en-US" w:eastAsia="zh-CN"/>
        </w:rPr>
        <w:t>2026</w:t>
      </w:r>
      <w:r>
        <w:rPr>
          <w:rFonts w:hint="eastAsia" w:ascii="宋体" w:hAnsi="宋体" w:eastAsia="宋体" w:cs="宋体"/>
          <w:bCs/>
          <w:color w:val="auto"/>
          <w:kern w:val="32"/>
          <w:sz w:val="21"/>
          <w:szCs w:val="21"/>
          <w:highlight w:val="none"/>
        </w:rPr>
        <w:t>年</w:t>
      </w:r>
      <w:r>
        <w:rPr>
          <w:rFonts w:hint="eastAsia" w:ascii="宋体" w:hAnsi="宋体" w:eastAsia="宋体" w:cs="宋体"/>
          <w:bCs/>
          <w:color w:val="auto"/>
          <w:kern w:val="32"/>
          <w:sz w:val="21"/>
          <w:szCs w:val="21"/>
          <w:highlight w:val="none"/>
          <w:lang w:val="en-GB" w:eastAsia="zh-CN"/>
        </w:rPr>
        <w:t>大新县</w:t>
      </w:r>
      <w:r>
        <w:rPr>
          <w:rFonts w:hint="eastAsia" w:ascii="宋体" w:hAnsi="宋体" w:eastAsia="宋体" w:cs="宋体"/>
          <w:bCs/>
          <w:color w:val="auto"/>
          <w:kern w:val="32"/>
          <w:sz w:val="21"/>
          <w:szCs w:val="21"/>
          <w:highlight w:val="none"/>
          <w:lang w:val="en-US" w:eastAsia="zh-CN"/>
        </w:rPr>
        <w:t>生产障碍耕地治理项目</w:t>
      </w:r>
      <w:r>
        <w:rPr>
          <w:rFonts w:hint="eastAsia" w:ascii="宋体" w:hAnsi="宋体" w:eastAsia="宋体" w:cs="宋体"/>
          <w:b w:val="0"/>
          <w:bCs/>
          <w:color w:val="auto"/>
          <w:sz w:val="21"/>
          <w:szCs w:val="21"/>
          <w:highlight w:val="none"/>
          <w:lang w:val="en-US" w:eastAsia="zh-CN"/>
        </w:rPr>
        <w:t>“叶面阻隔+”技术措施模式</w:t>
      </w:r>
      <w:r>
        <w:rPr>
          <w:rFonts w:hint="eastAsia" w:ascii="宋体" w:hAnsi="宋体" w:eastAsia="宋体" w:cs="宋体"/>
          <w:bCs/>
          <w:color w:val="auto"/>
          <w:kern w:val="32"/>
          <w:sz w:val="21"/>
          <w:szCs w:val="21"/>
          <w:highlight w:val="none"/>
        </w:rPr>
        <w:t>实施分布情况表</w:t>
      </w:r>
    </w:p>
    <w:tbl>
      <w:tblPr>
        <w:tblStyle w:val="52"/>
        <w:tblpPr w:leftFromText="180" w:rightFromText="180" w:vertAnchor="text" w:horzAnchor="page" w:tblpX="1995" w:tblpY="374"/>
        <w:tblOverlap w:val="never"/>
        <w:tblW w:w="9396" w:type="dxa"/>
        <w:tblInd w:w="0" w:type="dxa"/>
        <w:tblLayout w:type="fixed"/>
        <w:tblCellMar>
          <w:top w:w="0" w:type="dxa"/>
          <w:left w:w="108" w:type="dxa"/>
          <w:bottom w:w="0" w:type="dxa"/>
          <w:right w:w="108" w:type="dxa"/>
        </w:tblCellMar>
      </w:tblPr>
      <w:tblGrid>
        <w:gridCol w:w="566"/>
        <w:gridCol w:w="2021"/>
        <w:gridCol w:w="1389"/>
        <w:gridCol w:w="1522"/>
        <w:gridCol w:w="1302"/>
        <w:gridCol w:w="912"/>
        <w:gridCol w:w="886"/>
        <w:gridCol w:w="798"/>
      </w:tblGrid>
      <w:tr w14:paraId="6959AF4F">
        <w:tblPrEx>
          <w:tblCellMar>
            <w:top w:w="0" w:type="dxa"/>
            <w:left w:w="108" w:type="dxa"/>
            <w:bottom w:w="0" w:type="dxa"/>
            <w:right w:w="108" w:type="dxa"/>
          </w:tblCellMar>
        </w:tblPrEx>
        <w:trPr>
          <w:trHeight w:val="1089" w:hRule="atLeast"/>
        </w:trPr>
        <w:tc>
          <w:tcPr>
            <w:tcW w:w="566" w:type="dxa"/>
            <w:tcBorders>
              <w:top w:val="single" w:color="auto" w:sz="4" w:space="0"/>
              <w:left w:val="single" w:color="auto" w:sz="4" w:space="0"/>
              <w:bottom w:val="single" w:color="auto" w:sz="4" w:space="0"/>
              <w:right w:val="single" w:color="auto" w:sz="4" w:space="0"/>
            </w:tcBorders>
            <w:noWrap/>
            <w:vAlign w:val="center"/>
          </w:tcPr>
          <w:p w14:paraId="2D0331A2">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序号</w:t>
            </w:r>
          </w:p>
        </w:tc>
        <w:tc>
          <w:tcPr>
            <w:tcW w:w="2021" w:type="dxa"/>
            <w:tcBorders>
              <w:top w:val="single" w:color="auto" w:sz="4" w:space="0"/>
              <w:left w:val="nil"/>
              <w:bottom w:val="single" w:color="auto" w:sz="4" w:space="0"/>
              <w:right w:val="single" w:color="auto" w:sz="4" w:space="0"/>
            </w:tcBorders>
            <w:noWrap/>
            <w:vAlign w:val="center"/>
          </w:tcPr>
          <w:p w14:paraId="5410753E">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区  域</w:t>
            </w:r>
          </w:p>
        </w:tc>
        <w:tc>
          <w:tcPr>
            <w:tcW w:w="1389" w:type="dxa"/>
            <w:tcBorders>
              <w:top w:val="single" w:color="auto" w:sz="4" w:space="0"/>
              <w:left w:val="nil"/>
              <w:bottom w:val="single" w:color="auto" w:sz="4" w:space="0"/>
              <w:right w:val="single" w:color="auto" w:sz="4" w:space="0"/>
            </w:tcBorders>
            <w:noWrap/>
            <w:vAlign w:val="center"/>
          </w:tcPr>
          <w:p w14:paraId="470ADB00">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面积（亩）</w:t>
            </w:r>
          </w:p>
        </w:tc>
        <w:tc>
          <w:tcPr>
            <w:tcW w:w="1522" w:type="dxa"/>
            <w:tcBorders>
              <w:top w:val="single" w:color="auto" w:sz="4" w:space="0"/>
              <w:left w:val="nil"/>
              <w:bottom w:val="single" w:color="auto" w:sz="4" w:space="0"/>
              <w:right w:val="single" w:color="auto" w:sz="4" w:space="0"/>
            </w:tcBorders>
            <w:noWrap/>
            <w:vAlign w:val="center"/>
          </w:tcPr>
          <w:p w14:paraId="7B2BFB91">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土壤环境质量类别</w:t>
            </w:r>
          </w:p>
        </w:tc>
        <w:tc>
          <w:tcPr>
            <w:tcW w:w="1302" w:type="dxa"/>
            <w:tcBorders>
              <w:top w:val="single" w:color="auto" w:sz="4" w:space="0"/>
              <w:left w:val="nil"/>
              <w:bottom w:val="single" w:color="auto" w:sz="4" w:space="0"/>
              <w:right w:val="single" w:color="auto" w:sz="4" w:space="0"/>
            </w:tcBorders>
            <w:noWrap/>
            <w:vAlign w:val="center"/>
          </w:tcPr>
          <w:p w14:paraId="1AF1BFD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土壤pH值（中间值）</w:t>
            </w:r>
          </w:p>
        </w:tc>
        <w:tc>
          <w:tcPr>
            <w:tcW w:w="912" w:type="dxa"/>
            <w:tcBorders>
              <w:top w:val="single" w:color="auto" w:sz="4" w:space="0"/>
              <w:left w:val="nil"/>
              <w:bottom w:val="single" w:color="auto" w:sz="4" w:space="0"/>
              <w:right w:val="single" w:color="auto" w:sz="4" w:space="0"/>
            </w:tcBorders>
            <w:noWrap/>
            <w:vAlign w:val="center"/>
          </w:tcPr>
          <w:p w14:paraId="22BF5032">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产品主要超标元素</w:t>
            </w:r>
          </w:p>
        </w:tc>
        <w:tc>
          <w:tcPr>
            <w:tcW w:w="886" w:type="dxa"/>
            <w:tcBorders>
              <w:top w:val="single" w:color="auto" w:sz="4" w:space="0"/>
              <w:left w:val="nil"/>
              <w:bottom w:val="single" w:color="auto" w:sz="4" w:space="0"/>
              <w:right w:val="single" w:color="auto" w:sz="4" w:space="0"/>
            </w:tcBorders>
            <w:noWrap/>
            <w:vAlign w:val="center"/>
          </w:tcPr>
          <w:p w14:paraId="097CCE4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产品超标个数</w:t>
            </w:r>
          </w:p>
        </w:tc>
        <w:tc>
          <w:tcPr>
            <w:tcW w:w="798" w:type="dxa"/>
            <w:tcBorders>
              <w:top w:val="single" w:color="auto" w:sz="4" w:space="0"/>
              <w:left w:val="nil"/>
              <w:bottom w:val="single" w:color="auto" w:sz="4" w:space="0"/>
              <w:right w:val="single" w:color="auto" w:sz="4" w:space="0"/>
            </w:tcBorders>
            <w:noWrap/>
            <w:vAlign w:val="center"/>
          </w:tcPr>
          <w:p w14:paraId="268841C1">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备注</w:t>
            </w:r>
          </w:p>
        </w:tc>
      </w:tr>
      <w:tr w14:paraId="010DD231">
        <w:tblPrEx>
          <w:tblCellMar>
            <w:top w:w="0" w:type="dxa"/>
            <w:left w:w="108" w:type="dxa"/>
            <w:bottom w:w="0" w:type="dxa"/>
            <w:right w:w="108" w:type="dxa"/>
          </w:tblCellMar>
        </w:tblPrEx>
        <w:trPr>
          <w:trHeight w:val="1055"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237ED465">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1</w:t>
            </w:r>
          </w:p>
        </w:tc>
        <w:tc>
          <w:tcPr>
            <w:tcW w:w="2021" w:type="dxa"/>
            <w:tcBorders>
              <w:top w:val="nil"/>
              <w:left w:val="nil"/>
              <w:bottom w:val="single" w:color="auto" w:sz="4" w:space="0"/>
              <w:right w:val="single" w:color="auto" w:sz="4" w:space="0"/>
            </w:tcBorders>
            <w:noWrap/>
            <w:vAlign w:val="center"/>
          </w:tcPr>
          <w:p w14:paraId="2BD028EB">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龙门乡</w:t>
            </w:r>
          </w:p>
          <w:p w14:paraId="1372FEB7">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龙门社区</w:t>
            </w:r>
          </w:p>
        </w:tc>
        <w:tc>
          <w:tcPr>
            <w:tcW w:w="1389" w:type="dxa"/>
            <w:tcBorders>
              <w:top w:val="nil"/>
              <w:left w:val="nil"/>
              <w:bottom w:val="single" w:color="auto" w:sz="4" w:space="0"/>
              <w:right w:val="single" w:color="auto" w:sz="4" w:space="0"/>
            </w:tcBorders>
            <w:noWrap/>
            <w:vAlign w:val="center"/>
          </w:tcPr>
          <w:p w14:paraId="52EA7FC7">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1300</w:t>
            </w:r>
          </w:p>
        </w:tc>
        <w:tc>
          <w:tcPr>
            <w:tcW w:w="1522" w:type="dxa"/>
            <w:tcBorders>
              <w:top w:val="nil"/>
              <w:left w:val="nil"/>
              <w:bottom w:val="single" w:color="000000" w:sz="4" w:space="0"/>
              <w:right w:val="single" w:color="auto" w:sz="4" w:space="0"/>
            </w:tcBorders>
            <w:noWrap w:val="0"/>
            <w:vAlign w:val="center"/>
          </w:tcPr>
          <w:p w14:paraId="4FB4CB2B">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000000" w:sz="4" w:space="0"/>
              <w:right w:val="single" w:color="auto" w:sz="4" w:space="0"/>
            </w:tcBorders>
            <w:noWrap w:val="0"/>
            <w:vAlign w:val="center"/>
          </w:tcPr>
          <w:p w14:paraId="197178E9">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5.50</w:t>
            </w:r>
          </w:p>
        </w:tc>
        <w:tc>
          <w:tcPr>
            <w:tcW w:w="912" w:type="dxa"/>
            <w:tcBorders>
              <w:top w:val="nil"/>
              <w:left w:val="nil"/>
              <w:bottom w:val="single" w:color="000000" w:sz="4" w:space="0"/>
              <w:right w:val="single" w:color="auto" w:sz="4" w:space="0"/>
            </w:tcBorders>
            <w:noWrap w:val="0"/>
            <w:vAlign w:val="center"/>
          </w:tcPr>
          <w:p w14:paraId="39D4D39A">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nil"/>
              <w:left w:val="nil"/>
              <w:bottom w:val="single" w:color="000000" w:sz="4" w:space="0"/>
              <w:right w:val="single" w:color="auto" w:sz="4" w:space="0"/>
            </w:tcBorders>
            <w:noWrap w:val="0"/>
            <w:vAlign w:val="center"/>
          </w:tcPr>
          <w:p w14:paraId="29ACF76A">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9</w:t>
            </w:r>
          </w:p>
        </w:tc>
        <w:tc>
          <w:tcPr>
            <w:tcW w:w="798" w:type="dxa"/>
            <w:tcBorders>
              <w:top w:val="nil"/>
              <w:left w:val="nil"/>
              <w:bottom w:val="single" w:color="000000" w:sz="4" w:space="0"/>
              <w:right w:val="single" w:color="auto" w:sz="4" w:space="0"/>
            </w:tcBorders>
            <w:noWrap w:val="0"/>
            <w:vAlign w:val="center"/>
          </w:tcPr>
          <w:p w14:paraId="6F7A88B5">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1B7FC568">
        <w:tblPrEx>
          <w:tblCellMar>
            <w:top w:w="0" w:type="dxa"/>
            <w:left w:w="108" w:type="dxa"/>
            <w:bottom w:w="0" w:type="dxa"/>
            <w:right w:w="108" w:type="dxa"/>
          </w:tblCellMar>
        </w:tblPrEx>
        <w:trPr>
          <w:trHeight w:val="925"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0A3164C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2</w:t>
            </w:r>
          </w:p>
        </w:tc>
        <w:tc>
          <w:tcPr>
            <w:tcW w:w="2021" w:type="dxa"/>
            <w:tcBorders>
              <w:top w:val="nil"/>
              <w:left w:val="nil"/>
              <w:bottom w:val="single" w:color="auto" w:sz="4" w:space="0"/>
              <w:right w:val="single" w:color="auto" w:sz="4" w:space="0"/>
            </w:tcBorders>
            <w:noWrap/>
            <w:vAlign w:val="center"/>
          </w:tcPr>
          <w:p w14:paraId="0DD263E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龙门乡</w:t>
            </w:r>
          </w:p>
          <w:p w14:paraId="43107F1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西宁村</w:t>
            </w:r>
          </w:p>
        </w:tc>
        <w:tc>
          <w:tcPr>
            <w:tcW w:w="1389" w:type="dxa"/>
            <w:tcBorders>
              <w:top w:val="nil"/>
              <w:left w:val="nil"/>
              <w:bottom w:val="single" w:color="auto" w:sz="4" w:space="0"/>
              <w:right w:val="single" w:color="auto" w:sz="4" w:space="0"/>
            </w:tcBorders>
            <w:noWrap/>
            <w:vAlign w:val="center"/>
          </w:tcPr>
          <w:p w14:paraId="64268B4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490</w:t>
            </w:r>
          </w:p>
        </w:tc>
        <w:tc>
          <w:tcPr>
            <w:tcW w:w="1522" w:type="dxa"/>
            <w:tcBorders>
              <w:top w:val="nil"/>
              <w:left w:val="nil"/>
              <w:bottom w:val="single" w:color="000000" w:sz="4" w:space="0"/>
              <w:right w:val="single" w:color="auto" w:sz="4" w:space="0"/>
            </w:tcBorders>
            <w:noWrap w:val="0"/>
            <w:vAlign w:val="center"/>
          </w:tcPr>
          <w:p w14:paraId="06D079A6">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000000" w:sz="4" w:space="0"/>
              <w:right w:val="single" w:color="auto" w:sz="4" w:space="0"/>
            </w:tcBorders>
            <w:noWrap w:val="0"/>
            <w:vAlign w:val="center"/>
          </w:tcPr>
          <w:p w14:paraId="237D28DF">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5.70</w:t>
            </w:r>
          </w:p>
        </w:tc>
        <w:tc>
          <w:tcPr>
            <w:tcW w:w="912" w:type="dxa"/>
            <w:tcBorders>
              <w:top w:val="nil"/>
              <w:left w:val="nil"/>
              <w:bottom w:val="single" w:color="000000" w:sz="4" w:space="0"/>
              <w:right w:val="single" w:color="auto" w:sz="4" w:space="0"/>
            </w:tcBorders>
            <w:noWrap w:val="0"/>
            <w:vAlign w:val="center"/>
          </w:tcPr>
          <w:p w14:paraId="056FA0AE">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nil"/>
              <w:left w:val="nil"/>
              <w:bottom w:val="single" w:color="000000" w:sz="4" w:space="0"/>
              <w:right w:val="single" w:color="auto" w:sz="4" w:space="0"/>
            </w:tcBorders>
            <w:noWrap w:val="0"/>
            <w:vAlign w:val="center"/>
          </w:tcPr>
          <w:p w14:paraId="02BD8F6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3</w:t>
            </w:r>
          </w:p>
        </w:tc>
        <w:tc>
          <w:tcPr>
            <w:tcW w:w="798" w:type="dxa"/>
            <w:tcBorders>
              <w:top w:val="nil"/>
              <w:left w:val="nil"/>
              <w:bottom w:val="single" w:color="000000" w:sz="4" w:space="0"/>
              <w:right w:val="single" w:color="auto" w:sz="4" w:space="0"/>
            </w:tcBorders>
            <w:noWrap w:val="0"/>
            <w:vAlign w:val="center"/>
          </w:tcPr>
          <w:p w14:paraId="3DB69090">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53062470">
        <w:tblPrEx>
          <w:tblCellMar>
            <w:top w:w="0" w:type="dxa"/>
            <w:left w:w="108" w:type="dxa"/>
            <w:bottom w:w="0" w:type="dxa"/>
            <w:right w:w="108" w:type="dxa"/>
          </w:tblCellMar>
        </w:tblPrEx>
        <w:trPr>
          <w:trHeight w:val="1174"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0A570479">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3</w:t>
            </w:r>
          </w:p>
        </w:tc>
        <w:tc>
          <w:tcPr>
            <w:tcW w:w="2021" w:type="dxa"/>
            <w:tcBorders>
              <w:top w:val="nil"/>
              <w:left w:val="nil"/>
              <w:bottom w:val="single" w:color="auto" w:sz="4" w:space="0"/>
              <w:right w:val="single" w:color="auto" w:sz="4" w:space="0"/>
            </w:tcBorders>
            <w:noWrap/>
            <w:vAlign w:val="center"/>
          </w:tcPr>
          <w:p w14:paraId="1853F33A">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全茗镇</w:t>
            </w:r>
          </w:p>
          <w:p w14:paraId="357FA000">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配偶村</w:t>
            </w:r>
          </w:p>
        </w:tc>
        <w:tc>
          <w:tcPr>
            <w:tcW w:w="1389" w:type="dxa"/>
            <w:tcBorders>
              <w:top w:val="nil"/>
              <w:left w:val="nil"/>
              <w:bottom w:val="single" w:color="auto" w:sz="4" w:space="0"/>
              <w:right w:val="single" w:color="auto" w:sz="4" w:space="0"/>
            </w:tcBorders>
            <w:noWrap/>
            <w:vAlign w:val="center"/>
          </w:tcPr>
          <w:p w14:paraId="15A0A149">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200</w:t>
            </w:r>
          </w:p>
        </w:tc>
        <w:tc>
          <w:tcPr>
            <w:tcW w:w="1522" w:type="dxa"/>
            <w:tcBorders>
              <w:top w:val="nil"/>
              <w:left w:val="nil"/>
              <w:bottom w:val="single" w:color="000000" w:sz="4" w:space="0"/>
              <w:right w:val="single" w:color="auto" w:sz="4" w:space="0"/>
            </w:tcBorders>
            <w:noWrap/>
            <w:vAlign w:val="center"/>
          </w:tcPr>
          <w:p w14:paraId="3A4B68D5">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000000" w:sz="4" w:space="0"/>
              <w:right w:val="single" w:color="auto" w:sz="4" w:space="0"/>
            </w:tcBorders>
            <w:noWrap/>
            <w:vAlign w:val="center"/>
          </w:tcPr>
          <w:p w14:paraId="4DDF4D2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5.54</w:t>
            </w:r>
          </w:p>
        </w:tc>
        <w:tc>
          <w:tcPr>
            <w:tcW w:w="912" w:type="dxa"/>
            <w:tcBorders>
              <w:top w:val="nil"/>
              <w:left w:val="nil"/>
              <w:bottom w:val="single" w:color="auto" w:sz="4" w:space="0"/>
              <w:right w:val="single" w:color="auto" w:sz="4" w:space="0"/>
            </w:tcBorders>
            <w:noWrap/>
            <w:vAlign w:val="center"/>
          </w:tcPr>
          <w:p w14:paraId="4B48A4CB">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nil"/>
              <w:left w:val="nil"/>
              <w:bottom w:val="single" w:color="auto" w:sz="4" w:space="0"/>
              <w:right w:val="single" w:color="auto" w:sz="4" w:space="0"/>
            </w:tcBorders>
            <w:noWrap/>
            <w:vAlign w:val="center"/>
          </w:tcPr>
          <w:p w14:paraId="1849E156">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2</w:t>
            </w:r>
          </w:p>
        </w:tc>
        <w:tc>
          <w:tcPr>
            <w:tcW w:w="798" w:type="dxa"/>
            <w:tcBorders>
              <w:top w:val="nil"/>
              <w:left w:val="nil"/>
              <w:bottom w:val="single" w:color="auto" w:sz="4" w:space="0"/>
              <w:right w:val="single" w:color="auto" w:sz="4" w:space="0"/>
            </w:tcBorders>
            <w:noWrap/>
            <w:vAlign w:val="center"/>
          </w:tcPr>
          <w:p w14:paraId="5A4A0D6F">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3F714A39">
        <w:tblPrEx>
          <w:tblCellMar>
            <w:top w:w="0" w:type="dxa"/>
            <w:left w:w="108" w:type="dxa"/>
            <w:bottom w:w="0" w:type="dxa"/>
            <w:right w:w="108" w:type="dxa"/>
          </w:tblCellMar>
        </w:tblPrEx>
        <w:trPr>
          <w:trHeight w:val="966"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144E0675">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4</w:t>
            </w:r>
          </w:p>
        </w:tc>
        <w:tc>
          <w:tcPr>
            <w:tcW w:w="2021" w:type="dxa"/>
            <w:tcBorders>
              <w:top w:val="nil"/>
              <w:left w:val="nil"/>
              <w:bottom w:val="single" w:color="auto" w:sz="4" w:space="0"/>
              <w:right w:val="single" w:color="auto" w:sz="4" w:space="0"/>
            </w:tcBorders>
            <w:noWrap/>
            <w:vAlign w:val="center"/>
          </w:tcPr>
          <w:p w14:paraId="410B032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全茗镇</w:t>
            </w:r>
          </w:p>
          <w:p w14:paraId="54DECA50">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政教村</w:t>
            </w:r>
          </w:p>
        </w:tc>
        <w:tc>
          <w:tcPr>
            <w:tcW w:w="1389" w:type="dxa"/>
            <w:tcBorders>
              <w:top w:val="nil"/>
              <w:left w:val="nil"/>
              <w:bottom w:val="single" w:color="auto" w:sz="4" w:space="0"/>
              <w:right w:val="single" w:color="auto" w:sz="4" w:space="0"/>
            </w:tcBorders>
            <w:noWrap/>
            <w:vAlign w:val="center"/>
          </w:tcPr>
          <w:p w14:paraId="003217F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900</w:t>
            </w:r>
          </w:p>
        </w:tc>
        <w:tc>
          <w:tcPr>
            <w:tcW w:w="1522" w:type="dxa"/>
            <w:tcBorders>
              <w:top w:val="nil"/>
              <w:left w:val="nil"/>
              <w:bottom w:val="single" w:color="auto" w:sz="4" w:space="0"/>
              <w:right w:val="single" w:color="auto" w:sz="4" w:space="0"/>
            </w:tcBorders>
            <w:noWrap w:val="0"/>
            <w:vAlign w:val="center"/>
          </w:tcPr>
          <w:p w14:paraId="253DC1C8">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auto" w:sz="4" w:space="0"/>
              <w:right w:val="single" w:color="auto" w:sz="4" w:space="0"/>
            </w:tcBorders>
            <w:noWrap w:val="0"/>
            <w:vAlign w:val="center"/>
          </w:tcPr>
          <w:p w14:paraId="6A23852B">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5.66</w:t>
            </w:r>
          </w:p>
        </w:tc>
        <w:tc>
          <w:tcPr>
            <w:tcW w:w="912" w:type="dxa"/>
            <w:tcBorders>
              <w:top w:val="single" w:color="auto" w:sz="4" w:space="0"/>
              <w:left w:val="nil"/>
              <w:bottom w:val="single" w:color="auto" w:sz="4" w:space="0"/>
              <w:right w:val="single" w:color="auto" w:sz="4" w:space="0"/>
            </w:tcBorders>
            <w:noWrap w:val="0"/>
            <w:vAlign w:val="center"/>
          </w:tcPr>
          <w:p w14:paraId="45B2DCF4">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25767B07">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8</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3E90E0D1">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2559D3A8">
        <w:tblPrEx>
          <w:tblCellMar>
            <w:top w:w="0" w:type="dxa"/>
            <w:left w:w="108" w:type="dxa"/>
            <w:bottom w:w="0" w:type="dxa"/>
            <w:right w:w="108" w:type="dxa"/>
          </w:tblCellMar>
        </w:tblPrEx>
        <w:trPr>
          <w:trHeight w:val="1069"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153C4A67">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w:t>
            </w:r>
          </w:p>
        </w:tc>
        <w:tc>
          <w:tcPr>
            <w:tcW w:w="2021" w:type="dxa"/>
            <w:tcBorders>
              <w:top w:val="nil"/>
              <w:left w:val="nil"/>
              <w:bottom w:val="single" w:color="auto" w:sz="4" w:space="0"/>
              <w:right w:val="single" w:color="auto" w:sz="4" w:space="0"/>
            </w:tcBorders>
            <w:noWrap/>
            <w:vAlign w:val="center"/>
          </w:tcPr>
          <w:p w14:paraId="308C65E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桃城镇</w:t>
            </w:r>
          </w:p>
          <w:p w14:paraId="4586E9A0">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万礼村</w:t>
            </w:r>
          </w:p>
        </w:tc>
        <w:tc>
          <w:tcPr>
            <w:tcW w:w="1389" w:type="dxa"/>
            <w:tcBorders>
              <w:top w:val="nil"/>
              <w:left w:val="nil"/>
              <w:bottom w:val="single" w:color="auto" w:sz="4" w:space="0"/>
              <w:right w:val="single" w:color="auto" w:sz="4" w:space="0"/>
            </w:tcBorders>
            <w:noWrap/>
            <w:vAlign w:val="center"/>
          </w:tcPr>
          <w:p w14:paraId="18C05E48">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310</w:t>
            </w:r>
          </w:p>
        </w:tc>
        <w:tc>
          <w:tcPr>
            <w:tcW w:w="1522" w:type="dxa"/>
            <w:tcBorders>
              <w:top w:val="nil"/>
              <w:left w:val="nil"/>
              <w:bottom w:val="single" w:color="000000" w:sz="4" w:space="0"/>
              <w:right w:val="single" w:color="auto" w:sz="4" w:space="0"/>
            </w:tcBorders>
            <w:noWrap w:val="0"/>
            <w:vAlign w:val="center"/>
          </w:tcPr>
          <w:p w14:paraId="53C9F9F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000000" w:sz="4" w:space="0"/>
              <w:right w:val="single" w:color="auto" w:sz="4" w:space="0"/>
            </w:tcBorders>
            <w:noWrap w:val="0"/>
            <w:vAlign w:val="center"/>
          </w:tcPr>
          <w:p w14:paraId="3BC35C70">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6.23</w:t>
            </w:r>
          </w:p>
        </w:tc>
        <w:tc>
          <w:tcPr>
            <w:tcW w:w="912" w:type="dxa"/>
            <w:tcBorders>
              <w:top w:val="nil"/>
              <w:left w:val="nil"/>
              <w:bottom w:val="single" w:color="000000" w:sz="4" w:space="0"/>
              <w:right w:val="single" w:color="auto" w:sz="4" w:space="0"/>
            </w:tcBorders>
            <w:noWrap w:val="0"/>
            <w:vAlign w:val="center"/>
          </w:tcPr>
          <w:p w14:paraId="6535B23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0D068D35">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63195B33">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27B9F2DC">
        <w:tblPrEx>
          <w:tblCellMar>
            <w:top w:w="0" w:type="dxa"/>
            <w:left w:w="108" w:type="dxa"/>
            <w:bottom w:w="0" w:type="dxa"/>
            <w:right w:w="108" w:type="dxa"/>
          </w:tblCellMar>
        </w:tblPrEx>
        <w:trPr>
          <w:trHeight w:val="802" w:hRule="atLeast"/>
        </w:trPr>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41F002C4">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合  计</w:t>
            </w:r>
          </w:p>
        </w:tc>
        <w:tc>
          <w:tcPr>
            <w:tcW w:w="1389" w:type="dxa"/>
            <w:tcBorders>
              <w:top w:val="single" w:color="auto" w:sz="4" w:space="0"/>
              <w:left w:val="single" w:color="auto" w:sz="4" w:space="0"/>
              <w:bottom w:val="single" w:color="auto" w:sz="4" w:space="0"/>
              <w:right w:val="single" w:color="auto" w:sz="4" w:space="0"/>
            </w:tcBorders>
            <w:noWrap/>
            <w:vAlign w:val="center"/>
          </w:tcPr>
          <w:p w14:paraId="492FFCB2">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3200</w:t>
            </w:r>
          </w:p>
        </w:tc>
        <w:tc>
          <w:tcPr>
            <w:tcW w:w="1522" w:type="dxa"/>
            <w:tcBorders>
              <w:top w:val="single" w:color="auto" w:sz="4" w:space="0"/>
              <w:left w:val="single" w:color="auto" w:sz="4" w:space="0"/>
              <w:bottom w:val="single" w:color="auto" w:sz="4" w:space="0"/>
              <w:right w:val="single" w:color="auto" w:sz="4" w:space="0"/>
            </w:tcBorders>
            <w:noWrap/>
            <w:vAlign w:val="center"/>
          </w:tcPr>
          <w:p w14:paraId="354CC56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1302" w:type="dxa"/>
            <w:tcBorders>
              <w:top w:val="single" w:color="auto" w:sz="4" w:space="0"/>
              <w:left w:val="single" w:color="auto" w:sz="4" w:space="0"/>
              <w:bottom w:val="single" w:color="auto" w:sz="4" w:space="0"/>
              <w:right w:val="single" w:color="auto" w:sz="4" w:space="0"/>
            </w:tcBorders>
            <w:noWrap/>
            <w:vAlign w:val="center"/>
          </w:tcPr>
          <w:p w14:paraId="04A2660E">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912" w:type="dxa"/>
            <w:tcBorders>
              <w:top w:val="single" w:color="auto" w:sz="4" w:space="0"/>
              <w:left w:val="single" w:color="auto" w:sz="4" w:space="0"/>
              <w:bottom w:val="single" w:color="auto" w:sz="4" w:space="0"/>
              <w:right w:val="single" w:color="auto" w:sz="4" w:space="0"/>
            </w:tcBorders>
            <w:noWrap/>
            <w:vAlign w:val="center"/>
          </w:tcPr>
          <w:p w14:paraId="7DBA0364">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886" w:type="dxa"/>
            <w:tcBorders>
              <w:top w:val="single" w:color="auto" w:sz="4" w:space="0"/>
              <w:left w:val="single" w:color="auto" w:sz="4" w:space="0"/>
              <w:bottom w:val="single" w:color="auto" w:sz="4" w:space="0"/>
              <w:right w:val="single" w:color="auto" w:sz="4" w:space="0"/>
            </w:tcBorders>
            <w:noWrap/>
            <w:vAlign w:val="center"/>
          </w:tcPr>
          <w:p w14:paraId="3ED5A787">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798" w:type="dxa"/>
            <w:tcBorders>
              <w:top w:val="single" w:color="auto" w:sz="4" w:space="0"/>
              <w:left w:val="single" w:color="auto" w:sz="4" w:space="0"/>
              <w:bottom w:val="single" w:color="auto" w:sz="4" w:space="0"/>
              <w:right w:val="single" w:color="auto" w:sz="4" w:space="0"/>
            </w:tcBorders>
            <w:noWrap/>
            <w:vAlign w:val="center"/>
          </w:tcPr>
          <w:p w14:paraId="5702B185">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bl>
    <w:tbl>
      <w:tblPr>
        <w:tblStyle w:val="53"/>
        <w:tblpPr w:leftFromText="180" w:rightFromText="180" w:vertAnchor="text" w:tblpX="10483" w:tblpY="-48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7"/>
      </w:tblGrid>
      <w:tr w14:paraId="102D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737" w:type="dxa"/>
            <w:noWrap w:val="0"/>
            <w:vAlign w:val="top"/>
          </w:tcPr>
          <w:p w14:paraId="2292D06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bCs/>
                <w:color w:val="auto"/>
                <w:kern w:val="32"/>
                <w:sz w:val="28"/>
                <w:szCs w:val="28"/>
                <w:highlight w:val="none"/>
                <w:vertAlign w:val="baseline"/>
                <w:lang w:val="en-GB" w:eastAsia="zh-CN"/>
              </w:rPr>
            </w:pPr>
          </w:p>
        </w:tc>
      </w:tr>
    </w:tbl>
    <w:p w14:paraId="4793C7DE">
      <w:pPr>
        <w:keepNext w:val="0"/>
        <w:keepLines w:val="0"/>
        <w:pageBreakBefore w:val="0"/>
        <w:widowControl w:val="0"/>
        <w:shd w:val="clear"/>
        <w:kinsoku/>
        <w:wordWrap/>
        <w:overflowPunct/>
        <w:topLinePunct w:val="0"/>
        <w:autoSpaceDE/>
        <w:autoSpaceDN/>
        <w:bidi w:val="0"/>
        <w:adjustRightInd/>
        <w:snapToGrid/>
        <w:spacing w:line="520" w:lineRule="exact"/>
        <w:ind w:left="319" w:leftChars="152" w:firstLine="420" w:firstLineChars="200"/>
        <w:textAlignment w:val="auto"/>
        <w:rPr>
          <w:rFonts w:hint="eastAsia" w:ascii="宋体" w:hAnsi="宋体" w:eastAsia="宋体" w:cs="宋体"/>
          <w:bCs/>
          <w:color w:val="auto"/>
          <w:kern w:val="32"/>
          <w:sz w:val="21"/>
          <w:szCs w:val="21"/>
          <w:highlight w:val="none"/>
          <w:lang w:val="en" w:eastAsia="zh-CN"/>
        </w:rPr>
      </w:pPr>
      <w:r>
        <w:rPr>
          <w:rFonts w:hint="eastAsia" w:ascii="宋体" w:hAnsi="宋体" w:eastAsia="宋体" w:cs="宋体"/>
          <w:bCs/>
          <w:color w:val="auto"/>
          <w:kern w:val="32"/>
          <w:sz w:val="21"/>
          <w:szCs w:val="21"/>
          <w:highlight w:val="none"/>
          <w:lang w:val="en-GB" w:eastAsia="zh-CN"/>
        </w:rPr>
        <w:t>备注：具体面积以</w:t>
      </w:r>
      <w:r>
        <w:rPr>
          <w:rFonts w:hint="eastAsia" w:ascii="宋体" w:hAnsi="宋体" w:eastAsia="宋体" w:cs="宋体"/>
          <w:bCs/>
          <w:color w:val="auto"/>
          <w:kern w:val="32"/>
          <w:sz w:val="21"/>
          <w:szCs w:val="21"/>
          <w:highlight w:val="none"/>
          <w:lang w:val="en" w:eastAsia="zh-CN"/>
        </w:rPr>
        <w:t>实际实施的面积为准。如果以上区域水稻实际种植面积不够可以灵活从其他符合区域</w:t>
      </w:r>
      <w:r>
        <w:rPr>
          <w:rFonts w:hint="eastAsia" w:ascii="宋体" w:hAnsi="宋体" w:eastAsia="宋体" w:cs="宋体"/>
          <w:bCs/>
          <w:color w:val="auto"/>
          <w:kern w:val="32"/>
          <w:sz w:val="21"/>
          <w:szCs w:val="21"/>
          <w:highlight w:val="none"/>
          <w:lang w:val="en-US" w:eastAsia="zh-CN"/>
        </w:rPr>
        <w:t>的</w:t>
      </w:r>
      <w:r>
        <w:rPr>
          <w:rFonts w:hint="eastAsia" w:ascii="宋体" w:hAnsi="宋体" w:eastAsia="宋体" w:cs="宋体"/>
          <w:bCs/>
          <w:color w:val="auto"/>
          <w:kern w:val="32"/>
          <w:sz w:val="21"/>
          <w:szCs w:val="21"/>
          <w:highlight w:val="none"/>
          <w:lang w:val="en" w:eastAsia="zh-CN"/>
        </w:rPr>
        <w:t>种植面积予以补充。</w:t>
      </w:r>
    </w:p>
    <w:p w14:paraId="54BE1345">
      <w:pPr>
        <w:keepNext w:val="0"/>
        <w:keepLines w:val="0"/>
        <w:pageBreakBefore w:val="0"/>
        <w:widowControl w:val="0"/>
        <w:shd w:val="clear"/>
        <w:kinsoku/>
        <w:wordWrap/>
        <w:overflowPunct/>
        <w:topLinePunct w:val="0"/>
        <w:autoSpaceDE/>
        <w:autoSpaceDN/>
        <w:bidi w:val="0"/>
        <w:adjustRightInd/>
        <w:snapToGrid/>
        <w:spacing w:line="520" w:lineRule="exact"/>
        <w:ind w:left="319" w:leftChars="152" w:firstLine="210" w:firstLineChars="100"/>
        <w:textAlignment w:val="auto"/>
        <w:rPr>
          <w:rFonts w:hint="eastAsia" w:ascii="宋体" w:hAnsi="宋体" w:eastAsia="宋体" w:cs="宋体"/>
          <w:bCs/>
          <w:color w:val="auto"/>
          <w:kern w:val="32"/>
          <w:sz w:val="21"/>
          <w:szCs w:val="21"/>
          <w:highlight w:val="none"/>
          <w:lang w:val="en" w:eastAsia="zh-CN"/>
        </w:rPr>
      </w:pPr>
    </w:p>
    <w:p w14:paraId="1F06FD43">
      <w:pPr>
        <w:keepNext w:val="0"/>
        <w:keepLines w:val="0"/>
        <w:pageBreakBefore w:val="0"/>
        <w:widowControl w:val="0"/>
        <w:shd w:val="clear"/>
        <w:kinsoku/>
        <w:wordWrap/>
        <w:overflowPunct/>
        <w:topLinePunct w:val="0"/>
        <w:autoSpaceDE/>
        <w:autoSpaceDN/>
        <w:bidi w:val="0"/>
        <w:adjustRightInd/>
        <w:snapToGrid/>
        <w:spacing w:line="520" w:lineRule="exact"/>
        <w:ind w:left="319" w:leftChars="152" w:firstLine="280" w:firstLineChars="100"/>
        <w:textAlignment w:val="auto"/>
        <w:rPr>
          <w:rFonts w:hint="eastAsia" w:ascii="仿宋_GB2312" w:hAnsi="仿宋_GB2312" w:eastAsia="仿宋_GB2312" w:cs="仿宋_GB2312"/>
          <w:bCs/>
          <w:color w:val="auto"/>
          <w:kern w:val="32"/>
          <w:sz w:val="28"/>
          <w:szCs w:val="28"/>
          <w:highlight w:val="none"/>
          <w:lang w:val="en" w:eastAsia="zh-CN"/>
        </w:rPr>
      </w:pPr>
    </w:p>
    <w:p w14:paraId="396F50AD">
      <w:pPr>
        <w:shd w:val="clear"/>
        <w:rPr>
          <w:rFonts w:hint="eastAsia" w:ascii="仿宋_GB2312" w:hAnsi="仿宋_GB2312" w:eastAsia="仿宋_GB2312" w:cs="仿宋_GB2312"/>
          <w:bCs/>
          <w:color w:val="auto"/>
          <w:kern w:val="32"/>
          <w:sz w:val="28"/>
          <w:szCs w:val="28"/>
          <w:highlight w:val="none"/>
          <w:lang w:val="en" w:eastAsia="zh-CN"/>
        </w:rPr>
      </w:pPr>
      <w:r>
        <w:rPr>
          <w:rFonts w:hint="eastAsia" w:ascii="仿宋_GB2312" w:hAnsi="仿宋_GB2312" w:eastAsia="仿宋_GB2312" w:cs="仿宋_GB2312"/>
          <w:bCs/>
          <w:color w:val="auto"/>
          <w:kern w:val="32"/>
          <w:sz w:val="28"/>
          <w:szCs w:val="28"/>
          <w:highlight w:val="none"/>
          <w:lang w:val="en" w:eastAsia="zh-CN"/>
        </w:rPr>
        <w:br w:type="page"/>
      </w:r>
    </w:p>
    <w:p w14:paraId="21AF6836">
      <w:pPr>
        <w:shd w:val="clear"/>
        <w:rPr>
          <w:rFonts w:hint="eastAsia" w:ascii="黑体" w:hAnsi="黑体" w:eastAsia="黑体" w:cs="黑体"/>
          <w:bCs/>
          <w:color w:val="auto"/>
          <w:kern w:val="32"/>
          <w:sz w:val="24"/>
          <w:szCs w:val="24"/>
          <w:highlight w:val="none"/>
          <w:lang w:val="en-GB"/>
        </w:rPr>
      </w:pPr>
      <w:r>
        <w:rPr>
          <w:rFonts w:hint="eastAsia" w:ascii="黑体" w:hAnsi="黑体" w:eastAsia="黑体" w:cs="黑体"/>
          <w:bCs/>
          <w:color w:val="auto"/>
          <w:kern w:val="32"/>
          <w:sz w:val="24"/>
          <w:szCs w:val="24"/>
          <w:highlight w:val="none"/>
          <w:lang w:val="en-US" w:eastAsia="zh-CN"/>
        </w:rPr>
        <w:t>附件2：</w:t>
      </w:r>
    </w:p>
    <w:p w14:paraId="70EC76BD">
      <w:pPr>
        <w:keepNext w:val="0"/>
        <w:keepLines w:val="0"/>
        <w:pageBreakBefore w:val="0"/>
        <w:widowControl w:val="0"/>
        <w:shd w:val="clear"/>
        <w:kinsoku/>
        <w:wordWrap/>
        <w:overflowPunct/>
        <w:topLinePunct w:val="0"/>
        <w:autoSpaceDE/>
        <w:autoSpaceDN/>
        <w:bidi w:val="0"/>
        <w:adjustRightInd/>
        <w:snapToGrid/>
        <w:spacing w:line="560" w:lineRule="exact"/>
        <w:ind w:firstLine="420" w:firstLineChars="200"/>
        <w:jc w:val="center"/>
        <w:textAlignment w:val="auto"/>
        <w:rPr>
          <w:rFonts w:hint="eastAsia" w:ascii="宋体" w:hAnsi="宋体" w:eastAsia="宋体" w:cs="宋体"/>
          <w:bCs/>
          <w:color w:val="auto"/>
          <w:kern w:val="32"/>
          <w:sz w:val="21"/>
          <w:szCs w:val="21"/>
          <w:highlight w:val="none"/>
          <w:lang w:val="en-GB"/>
        </w:rPr>
      </w:pPr>
      <w:r>
        <w:rPr>
          <w:rFonts w:hint="eastAsia" w:ascii="宋体" w:hAnsi="宋体" w:eastAsia="宋体" w:cs="宋体"/>
          <w:bCs/>
          <w:color w:val="auto"/>
          <w:kern w:val="32"/>
          <w:sz w:val="21"/>
          <w:szCs w:val="21"/>
          <w:highlight w:val="none"/>
          <w:lang w:val="en-US" w:eastAsia="zh-CN"/>
        </w:rPr>
        <w:t>2026年</w:t>
      </w:r>
      <w:r>
        <w:rPr>
          <w:rFonts w:hint="eastAsia" w:ascii="宋体" w:hAnsi="宋体" w:eastAsia="宋体" w:cs="宋体"/>
          <w:bCs/>
          <w:color w:val="auto"/>
          <w:kern w:val="32"/>
          <w:sz w:val="21"/>
          <w:szCs w:val="21"/>
          <w:highlight w:val="none"/>
          <w:lang w:val="en-GB" w:eastAsia="zh-CN"/>
        </w:rPr>
        <w:t>大新县</w:t>
      </w:r>
      <w:r>
        <w:rPr>
          <w:rFonts w:hint="eastAsia" w:ascii="宋体" w:hAnsi="宋体" w:eastAsia="宋体" w:cs="宋体"/>
          <w:bCs/>
          <w:color w:val="auto"/>
          <w:kern w:val="32"/>
          <w:sz w:val="21"/>
          <w:szCs w:val="21"/>
          <w:highlight w:val="none"/>
          <w:lang w:val="en-US" w:eastAsia="zh-CN"/>
        </w:rPr>
        <w:t>生产障碍耕地治理项目</w:t>
      </w:r>
      <w:r>
        <w:rPr>
          <w:rFonts w:hint="eastAsia" w:ascii="宋体" w:hAnsi="宋体" w:eastAsia="宋体" w:cs="宋体"/>
          <w:b w:val="0"/>
          <w:bCs w:val="0"/>
          <w:color w:val="auto"/>
          <w:sz w:val="21"/>
          <w:szCs w:val="21"/>
          <w:highlight w:val="none"/>
          <w:lang w:val="en-US" w:eastAsia="zh-CN"/>
        </w:rPr>
        <w:t>“镉低积累品种替代+”技术措施</w:t>
      </w:r>
      <w:r>
        <w:rPr>
          <w:rFonts w:hint="eastAsia" w:ascii="宋体" w:hAnsi="宋体" w:eastAsia="宋体" w:cs="宋体"/>
          <w:b w:val="0"/>
          <w:bCs/>
          <w:color w:val="auto"/>
          <w:sz w:val="21"/>
          <w:szCs w:val="21"/>
          <w:highlight w:val="none"/>
          <w:lang w:val="en-US" w:eastAsia="zh-CN"/>
        </w:rPr>
        <w:t>模式</w:t>
      </w:r>
      <w:r>
        <w:rPr>
          <w:rFonts w:hint="eastAsia" w:ascii="宋体" w:hAnsi="宋体" w:eastAsia="宋体" w:cs="宋体"/>
          <w:bCs/>
          <w:color w:val="auto"/>
          <w:kern w:val="32"/>
          <w:sz w:val="21"/>
          <w:szCs w:val="21"/>
          <w:highlight w:val="none"/>
          <w:lang w:val="en-GB" w:eastAsia="zh-CN"/>
        </w:rPr>
        <w:t>实施分布</w:t>
      </w:r>
      <w:r>
        <w:rPr>
          <w:rFonts w:hint="eastAsia" w:ascii="宋体" w:hAnsi="宋体" w:eastAsia="宋体" w:cs="宋体"/>
          <w:bCs/>
          <w:color w:val="auto"/>
          <w:kern w:val="32"/>
          <w:sz w:val="21"/>
          <w:szCs w:val="21"/>
          <w:highlight w:val="none"/>
          <w:lang w:val="en-GB"/>
        </w:rPr>
        <w:t>情况表</w:t>
      </w:r>
    </w:p>
    <w:tbl>
      <w:tblPr>
        <w:tblStyle w:val="52"/>
        <w:tblpPr w:leftFromText="180" w:rightFromText="180" w:vertAnchor="text" w:horzAnchor="page" w:tblpX="1650" w:tblpY="351"/>
        <w:tblOverlap w:val="never"/>
        <w:tblW w:w="9055" w:type="dxa"/>
        <w:tblInd w:w="0" w:type="dxa"/>
        <w:tblLayout w:type="fixed"/>
        <w:tblCellMar>
          <w:top w:w="0" w:type="dxa"/>
          <w:left w:w="108" w:type="dxa"/>
          <w:bottom w:w="0" w:type="dxa"/>
          <w:right w:w="108" w:type="dxa"/>
        </w:tblCellMar>
      </w:tblPr>
      <w:tblGrid>
        <w:gridCol w:w="677"/>
        <w:gridCol w:w="1977"/>
        <w:gridCol w:w="1101"/>
        <w:gridCol w:w="1366"/>
        <w:gridCol w:w="1366"/>
        <w:gridCol w:w="856"/>
        <w:gridCol w:w="796"/>
        <w:gridCol w:w="916"/>
      </w:tblGrid>
      <w:tr w14:paraId="25CB6BEE">
        <w:tblPrEx>
          <w:tblCellMar>
            <w:top w:w="0" w:type="dxa"/>
            <w:left w:w="108" w:type="dxa"/>
            <w:bottom w:w="0" w:type="dxa"/>
            <w:right w:w="108" w:type="dxa"/>
          </w:tblCellMar>
        </w:tblPrEx>
        <w:trPr>
          <w:trHeight w:val="1585" w:hRule="atLeast"/>
        </w:trPr>
        <w:tc>
          <w:tcPr>
            <w:tcW w:w="6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6CD789">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977" w:type="dxa"/>
            <w:tcBorders>
              <w:top w:val="single" w:color="auto" w:sz="4" w:space="0"/>
              <w:left w:val="nil"/>
              <w:bottom w:val="single" w:color="auto" w:sz="4" w:space="0"/>
              <w:right w:val="single" w:color="auto" w:sz="4" w:space="0"/>
            </w:tcBorders>
            <w:shd w:val="clear" w:color="auto" w:fill="auto"/>
            <w:noWrap/>
            <w:vAlign w:val="center"/>
          </w:tcPr>
          <w:p w14:paraId="15DA55F1">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区域</w:t>
            </w:r>
          </w:p>
        </w:tc>
        <w:tc>
          <w:tcPr>
            <w:tcW w:w="1101" w:type="dxa"/>
            <w:tcBorders>
              <w:top w:val="single" w:color="auto" w:sz="4" w:space="0"/>
              <w:left w:val="nil"/>
              <w:bottom w:val="single" w:color="auto" w:sz="4" w:space="0"/>
              <w:right w:val="single" w:color="auto" w:sz="4" w:space="0"/>
            </w:tcBorders>
            <w:shd w:val="clear" w:color="auto" w:fill="auto"/>
            <w:noWrap/>
            <w:vAlign w:val="center"/>
          </w:tcPr>
          <w:p w14:paraId="591B7821">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面积（亩）</w:t>
            </w:r>
          </w:p>
        </w:tc>
        <w:tc>
          <w:tcPr>
            <w:tcW w:w="1366" w:type="dxa"/>
            <w:tcBorders>
              <w:top w:val="single" w:color="auto" w:sz="4" w:space="0"/>
              <w:left w:val="nil"/>
              <w:bottom w:val="single" w:color="auto" w:sz="4" w:space="0"/>
              <w:right w:val="single" w:color="auto" w:sz="4" w:space="0"/>
            </w:tcBorders>
            <w:shd w:val="clear" w:color="auto" w:fill="auto"/>
            <w:noWrap/>
            <w:vAlign w:val="center"/>
          </w:tcPr>
          <w:p w14:paraId="2603E2C8">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土壤环境质量类别</w:t>
            </w:r>
          </w:p>
        </w:tc>
        <w:tc>
          <w:tcPr>
            <w:tcW w:w="1366" w:type="dxa"/>
            <w:tcBorders>
              <w:top w:val="single" w:color="auto" w:sz="4" w:space="0"/>
              <w:left w:val="nil"/>
              <w:bottom w:val="single" w:color="auto" w:sz="4" w:space="0"/>
              <w:right w:val="single" w:color="auto" w:sz="4" w:space="0"/>
            </w:tcBorders>
            <w:shd w:val="clear" w:color="auto" w:fill="auto"/>
            <w:noWrap/>
            <w:vAlign w:val="center"/>
          </w:tcPr>
          <w:p w14:paraId="502352A1">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土壤pH值</w:t>
            </w:r>
            <w:r>
              <w:rPr>
                <w:rFonts w:hint="eastAsia" w:ascii="宋体" w:hAnsi="宋体" w:eastAsia="宋体" w:cs="宋体"/>
                <w:color w:val="auto"/>
                <w:kern w:val="0"/>
                <w:sz w:val="21"/>
                <w:szCs w:val="21"/>
                <w:highlight w:val="none"/>
                <w:lang w:eastAsia="zh-CN"/>
              </w:rPr>
              <w:t>（中间</w:t>
            </w:r>
            <w:r>
              <w:rPr>
                <w:rFonts w:hint="eastAsia" w:ascii="宋体" w:hAnsi="宋体" w:eastAsia="宋体" w:cs="宋体"/>
                <w:color w:val="auto"/>
                <w:kern w:val="0"/>
                <w:sz w:val="21"/>
                <w:szCs w:val="21"/>
                <w:highlight w:val="none"/>
                <w:lang w:val="en-US" w:eastAsia="zh-CN"/>
              </w:rPr>
              <w:t>值</w:t>
            </w:r>
            <w:r>
              <w:rPr>
                <w:rFonts w:hint="eastAsia" w:ascii="宋体" w:hAnsi="宋体" w:eastAsia="宋体" w:cs="宋体"/>
                <w:color w:val="auto"/>
                <w:kern w:val="0"/>
                <w:sz w:val="21"/>
                <w:szCs w:val="21"/>
                <w:highlight w:val="none"/>
                <w:lang w:eastAsia="zh-CN"/>
              </w:rPr>
              <w:t>）</w:t>
            </w:r>
          </w:p>
        </w:tc>
        <w:tc>
          <w:tcPr>
            <w:tcW w:w="856" w:type="dxa"/>
            <w:tcBorders>
              <w:top w:val="single" w:color="auto" w:sz="4" w:space="0"/>
              <w:left w:val="nil"/>
              <w:bottom w:val="single" w:color="auto" w:sz="4" w:space="0"/>
              <w:right w:val="single" w:color="auto" w:sz="4" w:space="0"/>
            </w:tcBorders>
            <w:shd w:val="clear" w:color="auto" w:fill="auto"/>
            <w:noWrap/>
            <w:vAlign w:val="center"/>
          </w:tcPr>
          <w:p w14:paraId="284ADA33">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产品主要超标元素</w:t>
            </w:r>
          </w:p>
        </w:tc>
        <w:tc>
          <w:tcPr>
            <w:tcW w:w="796" w:type="dxa"/>
            <w:tcBorders>
              <w:top w:val="single" w:color="auto" w:sz="4" w:space="0"/>
              <w:left w:val="nil"/>
              <w:bottom w:val="single" w:color="auto" w:sz="4" w:space="0"/>
              <w:right w:val="single" w:color="auto" w:sz="4" w:space="0"/>
            </w:tcBorders>
            <w:shd w:val="clear" w:color="auto" w:fill="auto"/>
            <w:noWrap/>
            <w:vAlign w:val="center"/>
          </w:tcPr>
          <w:p w14:paraId="1B9B33B8">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产品超标个数</w:t>
            </w:r>
          </w:p>
        </w:tc>
        <w:tc>
          <w:tcPr>
            <w:tcW w:w="916" w:type="dxa"/>
            <w:tcBorders>
              <w:top w:val="single" w:color="auto" w:sz="4" w:space="0"/>
              <w:left w:val="nil"/>
              <w:bottom w:val="single" w:color="auto" w:sz="4" w:space="0"/>
              <w:right w:val="single" w:color="auto" w:sz="4" w:space="0"/>
            </w:tcBorders>
            <w:shd w:val="clear" w:color="auto" w:fill="auto"/>
            <w:noWrap/>
            <w:vAlign w:val="center"/>
          </w:tcPr>
          <w:p w14:paraId="51B458E1">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备注</w:t>
            </w:r>
          </w:p>
        </w:tc>
      </w:tr>
      <w:tr w14:paraId="4AE6E8A8">
        <w:tblPrEx>
          <w:tblCellMar>
            <w:top w:w="0" w:type="dxa"/>
            <w:left w:w="108" w:type="dxa"/>
            <w:bottom w:w="0" w:type="dxa"/>
            <w:right w:w="108" w:type="dxa"/>
          </w:tblCellMar>
        </w:tblPrEx>
        <w:trPr>
          <w:trHeight w:val="1001" w:hRule="atLeast"/>
        </w:trPr>
        <w:tc>
          <w:tcPr>
            <w:tcW w:w="6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FF7AD0">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2CC439C2">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龙门乡龙门社区、武安村</w:t>
            </w:r>
          </w:p>
        </w:tc>
        <w:tc>
          <w:tcPr>
            <w:tcW w:w="1101" w:type="dxa"/>
            <w:tcBorders>
              <w:top w:val="nil"/>
              <w:left w:val="nil"/>
              <w:bottom w:val="single" w:color="auto" w:sz="4" w:space="0"/>
              <w:right w:val="single" w:color="auto" w:sz="4" w:space="0"/>
            </w:tcBorders>
            <w:shd w:val="clear" w:color="auto" w:fill="auto"/>
            <w:noWrap/>
            <w:vAlign w:val="center"/>
          </w:tcPr>
          <w:p w14:paraId="6488330B">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365</w:t>
            </w:r>
          </w:p>
        </w:tc>
        <w:tc>
          <w:tcPr>
            <w:tcW w:w="1366" w:type="dxa"/>
            <w:tcBorders>
              <w:top w:val="nil"/>
              <w:left w:val="single" w:color="auto" w:sz="4" w:space="0"/>
              <w:bottom w:val="single" w:color="000000" w:sz="4" w:space="0"/>
              <w:right w:val="single" w:color="auto" w:sz="4" w:space="0"/>
            </w:tcBorders>
            <w:shd w:val="clear" w:color="auto" w:fill="auto"/>
            <w:noWrap/>
            <w:vAlign w:val="center"/>
          </w:tcPr>
          <w:p w14:paraId="489C5E91">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二类地</w:t>
            </w:r>
          </w:p>
        </w:tc>
        <w:tc>
          <w:tcPr>
            <w:tcW w:w="1366" w:type="dxa"/>
            <w:tcBorders>
              <w:top w:val="nil"/>
              <w:left w:val="single" w:color="auto" w:sz="4" w:space="0"/>
              <w:bottom w:val="single" w:color="000000" w:sz="4" w:space="0"/>
              <w:right w:val="single" w:color="auto" w:sz="4" w:space="0"/>
            </w:tcBorders>
            <w:shd w:val="clear" w:color="auto" w:fill="auto"/>
            <w:noWrap/>
            <w:vAlign w:val="center"/>
          </w:tcPr>
          <w:p w14:paraId="4155A153">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5.94</w:t>
            </w:r>
          </w:p>
        </w:tc>
        <w:tc>
          <w:tcPr>
            <w:tcW w:w="856" w:type="dxa"/>
            <w:tcBorders>
              <w:top w:val="nil"/>
              <w:left w:val="single" w:color="auto" w:sz="4" w:space="0"/>
              <w:bottom w:val="single" w:color="000000" w:sz="4" w:space="0"/>
              <w:right w:val="single" w:color="auto" w:sz="4" w:space="0"/>
            </w:tcBorders>
            <w:shd w:val="clear" w:color="auto" w:fill="auto"/>
            <w:noWrap/>
            <w:vAlign w:val="center"/>
          </w:tcPr>
          <w:p w14:paraId="7C7CEDD1">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shd w:val="clear" w:color="auto" w:fill="auto"/>
            <w:noWrap/>
            <w:vAlign w:val="center"/>
          </w:tcPr>
          <w:p w14:paraId="13BF6C96">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916" w:type="dxa"/>
            <w:tcBorders>
              <w:top w:val="nil"/>
              <w:left w:val="single" w:color="auto" w:sz="4" w:space="0"/>
              <w:bottom w:val="single" w:color="000000" w:sz="4" w:space="0"/>
              <w:right w:val="single" w:color="auto" w:sz="4" w:space="0"/>
            </w:tcBorders>
            <w:shd w:val="clear" w:color="auto" w:fill="auto"/>
            <w:noWrap/>
            <w:vAlign w:val="center"/>
          </w:tcPr>
          <w:p w14:paraId="1D1A23B6">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p>
        </w:tc>
      </w:tr>
      <w:tr w14:paraId="6F9AFFE9">
        <w:tblPrEx>
          <w:tblCellMar>
            <w:top w:w="0" w:type="dxa"/>
            <w:left w:w="108" w:type="dxa"/>
            <w:bottom w:w="0" w:type="dxa"/>
            <w:right w:w="108" w:type="dxa"/>
          </w:tblCellMar>
        </w:tblPrEx>
        <w:trPr>
          <w:trHeight w:val="1001" w:hRule="atLeast"/>
        </w:trPr>
        <w:tc>
          <w:tcPr>
            <w:tcW w:w="677" w:type="dxa"/>
            <w:tcBorders>
              <w:top w:val="single" w:color="auto" w:sz="4" w:space="0"/>
              <w:left w:val="single" w:color="auto" w:sz="4" w:space="0"/>
              <w:bottom w:val="single" w:color="auto" w:sz="4" w:space="0"/>
              <w:right w:val="single" w:color="auto" w:sz="4" w:space="0"/>
            </w:tcBorders>
            <w:vAlign w:val="center"/>
          </w:tcPr>
          <w:p w14:paraId="78A11DFE">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001AB392">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全茗镇政教村</w:t>
            </w:r>
          </w:p>
        </w:tc>
        <w:tc>
          <w:tcPr>
            <w:tcW w:w="1101" w:type="dxa"/>
            <w:tcBorders>
              <w:top w:val="nil"/>
              <w:left w:val="nil"/>
              <w:bottom w:val="single" w:color="auto" w:sz="4" w:space="0"/>
              <w:right w:val="nil"/>
            </w:tcBorders>
            <w:shd w:val="clear" w:color="auto" w:fill="auto"/>
            <w:noWrap/>
            <w:vAlign w:val="center"/>
          </w:tcPr>
          <w:p w14:paraId="246CA559">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129</w:t>
            </w:r>
          </w:p>
        </w:tc>
        <w:tc>
          <w:tcPr>
            <w:tcW w:w="1366" w:type="dxa"/>
            <w:tcBorders>
              <w:top w:val="nil"/>
              <w:left w:val="single" w:color="auto" w:sz="4" w:space="0"/>
              <w:bottom w:val="single" w:color="000000" w:sz="4" w:space="0"/>
              <w:right w:val="single" w:color="auto" w:sz="4" w:space="0"/>
            </w:tcBorders>
            <w:vAlign w:val="center"/>
          </w:tcPr>
          <w:p w14:paraId="5E1A7E65">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二类地</w:t>
            </w:r>
          </w:p>
        </w:tc>
        <w:tc>
          <w:tcPr>
            <w:tcW w:w="1366" w:type="dxa"/>
            <w:tcBorders>
              <w:top w:val="nil"/>
              <w:left w:val="single" w:color="auto" w:sz="4" w:space="0"/>
              <w:bottom w:val="single" w:color="000000" w:sz="4" w:space="0"/>
              <w:right w:val="single" w:color="auto" w:sz="4" w:space="0"/>
            </w:tcBorders>
            <w:vAlign w:val="center"/>
          </w:tcPr>
          <w:p w14:paraId="6CDC47AC">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5.66</w:t>
            </w:r>
          </w:p>
        </w:tc>
        <w:tc>
          <w:tcPr>
            <w:tcW w:w="856" w:type="dxa"/>
            <w:tcBorders>
              <w:top w:val="nil"/>
              <w:left w:val="single" w:color="auto" w:sz="4" w:space="0"/>
              <w:bottom w:val="single" w:color="000000" w:sz="4" w:space="0"/>
              <w:right w:val="single" w:color="auto" w:sz="4" w:space="0"/>
            </w:tcBorders>
            <w:vAlign w:val="center"/>
          </w:tcPr>
          <w:p w14:paraId="430A0866">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vAlign w:val="center"/>
          </w:tcPr>
          <w:p w14:paraId="64B9329D">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p>
        </w:tc>
        <w:tc>
          <w:tcPr>
            <w:tcW w:w="916" w:type="dxa"/>
            <w:tcBorders>
              <w:top w:val="nil"/>
              <w:left w:val="single" w:color="auto" w:sz="4" w:space="0"/>
              <w:bottom w:val="single" w:color="000000" w:sz="4" w:space="0"/>
              <w:right w:val="single" w:color="auto" w:sz="4" w:space="0"/>
            </w:tcBorders>
            <w:vAlign w:val="center"/>
          </w:tcPr>
          <w:p w14:paraId="5EDFBF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highlight w:val="none"/>
                <w:lang w:val="en-US" w:eastAsia="zh-CN"/>
              </w:rPr>
            </w:pPr>
          </w:p>
        </w:tc>
      </w:tr>
      <w:tr w14:paraId="1F7EA482">
        <w:tblPrEx>
          <w:tblCellMar>
            <w:top w:w="0" w:type="dxa"/>
            <w:left w:w="108" w:type="dxa"/>
            <w:bottom w:w="0" w:type="dxa"/>
            <w:right w:w="108" w:type="dxa"/>
          </w:tblCellMar>
        </w:tblPrEx>
        <w:trPr>
          <w:trHeight w:val="1194" w:hRule="atLeast"/>
        </w:trPr>
        <w:tc>
          <w:tcPr>
            <w:tcW w:w="677" w:type="dxa"/>
            <w:tcBorders>
              <w:top w:val="single" w:color="auto" w:sz="4" w:space="0"/>
              <w:left w:val="single" w:color="auto" w:sz="4" w:space="0"/>
              <w:bottom w:val="single" w:color="auto" w:sz="4" w:space="0"/>
              <w:right w:val="single" w:color="auto" w:sz="4" w:space="0"/>
            </w:tcBorders>
            <w:vAlign w:val="center"/>
          </w:tcPr>
          <w:p w14:paraId="648A7064">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2F3C0797">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堪圩</w:t>
            </w:r>
            <w:r>
              <w:rPr>
                <w:rFonts w:hint="eastAsia" w:ascii="宋体" w:hAnsi="宋体" w:eastAsia="宋体" w:cs="宋体"/>
                <w:color w:val="auto"/>
                <w:kern w:val="0"/>
                <w:sz w:val="21"/>
                <w:szCs w:val="21"/>
                <w:highlight w:val="none"/>
                <w:lang w:eastAsia="zh-CN" w:bidi="ar"/>
              </w:rPr>
              <w:t>乡</w:t>
            </w:r>
            <w:r>
              <w:rPr>
                <w:rFonts w:hint="eastAsia" w:ascii="宋体" w:hAnsi="宋体" w:eastAsia="宋体" w:cs="宋体"/>
                <w:color w:val="auto"/>
                <w:kern w:val="0"/>
                <w:sz w:val="21"/>
                <w:szCs w:val="21"/>
                <w:highlight w:val="none"/>
                <w:lang w:val="en-US" w:eastAsia="zh-CN" w:bidi="ar"/>
              </w:rPr>
              <w:t>拨浪村</w:t>
            </w:r>
          </w:p>
        </w:tc>
        <w:tc>
          <w:tcPr>
            <w:tcW w:w="1101" w:type="dxa"/>
            <w:tcBorders>
              <w:top w:val="nil"/>
              <w:left w:val="nil"/>
              <w:bottom w:val="single" w:color="auto" w:sz="4" w:space="0"/>
              <w:right w:val="nil"/>
            </w:tcBorders>
            <w:shd w:val="clear" w:color="auto" w:fill="auto"/>
            <w:noWrap/>
            <w:vAlign w:val="center"/>
          </w:tcPr>
          <w:p w14:paraId="2CF07CD0">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w:t>
            </w:r>
          </w:p>
        </w:tc>
        <w:tc>
          <w:tcPr>
            <w:tcW w:w="1366" w:type="dxa"/>
            <w:tcBorders>
              <w:top w:val="nil"/>
              <w:left w:val="single" w:color="auto" w:sz="4" w:space="0"/>
              <w:bottom w:val="single" w:color="000000" w:sz="4" w:space="0"/>
              <w:right w:val="single" w:color="auto" w:sz="4" w:space="0"/>
            </w:tcBorders>
            <w:vAlign w:val="center"/>
          </w:tcPr>
          <w:p w14:paraId="40E867E9">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二类地  三类地</w:t>
            </w:r>
          </w:p>
        </w:tc>
        <w:tc>
          <w:tcPr>
            <w:tcW w:w="1366" w:type="dxa"/>
            <w:tcBorders>
              <w:top w:val="nil"/>
              <w:left w:val="single" w:color="auto" w:sz="4" w:space="0"/>
              <w:bottom w:val="single" w:color="000000" w:sz="4" w:space="0"/>
              <w:right w:val="single" w:color="auto" w:sz="4" w:space="0"/>
            </w:tcBorders>
            <w:vAlign w:val="center"/>
          </w:tcPr>
          <w:p w14:paraId="11306631">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6.20</w:t>
            </w:r>
          </w:p>
        </w:tc>
        <w:tc>
          <w:tcPr>
            <w:tcW w:w="856" w:type="dxa"/>
            <w:tcBorders>
              <w:top w:val="nil"/>
              <w:left w:val="single" w:color="auto" w:sz="4" w:space="0"/>
              <w:bottom w:val="single" w:color="000000" w:sz="4" w:space="0"/>
              <w:right w:val="single" w:color="auto" w:sz="4" w:space="0"/>
            </w:tcBorders>
            <w:vAlign w:val="center"/>
          </w:tcPr>
          <w:p w14:paraId="57DE7F90">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vAlign w:val="center"/>
          </w:tcPr>
          <w:p w14:paraId="61800298">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p>
        </w:tc>
        <w:tc>
          <w:tcPr>
            <w:tcW w:w="916" w:type="dxa"/>
            <w:tcBorders>
              <w:top w:val="nil"/>
              <w:left w:val="single" w:color="auto" w:sz="4" w:space="0"/>
              <w:bottom w:val="single" w:color="000000" w:sz="4" w:space="0"/>
              <w:right w:val="single" w:color="auto" w:sz="4" w:space="0"/>
            </w:tcBorders>
            <w:vAlign w:val="center"/>
          </w:tcPr>
          <w:p w14:paraId="6393B2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highlight w:val="none"/>
                <w:lang w:val="en-US" w:eastAsia="zh-CN"/>
              </w:rPr>
            </w:pPr>
          </w:p>
        </w:tc>
      </w:tr>
      <w:tr w14:paraId="033833B5">
        <w:tblPrEx>
          <w:tblCellMar>
            <w:top w:w="0" w:type="dxa"/>
            <w:left w:w="108" w:type="dxa"/>
            <w:bottom w:w="0" w:type="dxa"/>
            <w:right w:w="108" w:type="dxa"/>
          </w:tblCellMar>
        </w:tblPrEx>
        <w:trPr>
          <w:trHeight w:val="851" w:hRule="atLeast"/>
        </w:trPr>
        <w:tc>
          <w:tcPr>
            <w:tcW w:w="677" w:type="dxa"/>
            <w:tcBorders>
              <w:top w:val="single" w:color="auto" w:sz="4" w:space="0"/>
              <w:left w:val="single" w:color="auto" w:sz="4" w:space="0"/>
              <w:bottom w:val="single" w:color="auto" w:sz="4" w:space="0"/>
              <w:right w:val="single" w:color="auto" w:sz="4" w:space="0"/>
            </w:tcBorders>
            <w:vAlign w:val="center"/>
          </w:tcPr>
          <w:p w14:paraId="32AF448C">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30386844">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榄圩乡上吉村</w:t>
            </w:r>
          </w:p>
        </w:tc>
        <w:tc>
          <w:tcPr>
            <w:tcW w:w="1101" w:type="dxa"/>
            <w:tcBorders>
              <w:top w:val="nil"/>
              <w:left w:val="nil"/>
              <w:bottom w:val="single" w:color="auto" w:sz="4" w:space="0"/>
              <w:right w:val="single" w:color="auto" w:sz="4" w:space="0"/>
            </w:tcBorders>
            <w:shd w:val="clear" w:color="auto" w:fill="auto"/>
            <w:noWrap/>
            <w:vAlign w:val="center"/>
          </w:tcPr>
          <w:p w14:paraId="6A6E1A30">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174.3</w:t>
            </w:r>
          </w:p>
        </w:tc>
        <w:tc>
          <w:tcPr>
            <w:tcW w:w="1366" w:type="dxa"/>
            <w:tcBorders>
              <w:top w:val="nil"/>
              <w:left w:val="single" w:color="auto" w:sz="4" w:space="0"/>
              <w:bottom w:val="single" w:color="000000" w:sz="4" w:space="0"/>
              <w:right w:val="single" w:color="auto" w:sz="4" w:space="0"/>
            </w:tcBorders>
            <w:vAlign w:val="center"/>
          </w:tcPr>
          <w:p w14:paraId="10E74FE5">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三类地</w:t>
            </w:r>
          </w:p>
        </w:tc>
        <w:tc>
          <w:tcPr>
            <w:tcW w:w="1366" w:type="dxa"/>
            <w:tcBorders>
              <w:top w:val="nil"/>
              <w:left w:val="single" w:color="auto" w:sz="4" w:space="0"/>
              <w:bottom w:val="single" w:color="000000" w:sz="4" w:space="0"/>
              <w:right w:val="single" w:color="auto" w:sz="4" w:space="0"/>
            </w:tcBorders>
            <w:vAlign w:val="center"/>
          </w:tcPr>
          <w:p w14:paraId="0B9B116D">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6.25</w:t>
            </w:r>
          </w:p>
        </w:tc>
        <w:tc>
          <w:tcPr>
            <w:tcW w:w="856" w:type="dxa"/>
            <w:tcBorders>
              <w:top w:val="nil"/>
              <w:left w:val="single" w:color="auto" w:sz="4" w:space="0"/>
              <w:bottom w:val="single" w:color="000000" w:sz="4" w:space="0"/>
              <w:right w:val="single" w:color="auto" w:sz="4" w:space="0"/>
            </w:tcBorders>
            <w:vAlign w:val="center"/>
          </w:tcPr>
          <w:p w14:paraId="7E4BA8F6">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vAlign w:val="center"/>
          </w:tcPr>
          <w:p w14:paraId="220E0FD4">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p>
        </w:tc>
        <w:tc>
          <w:tcPr>
            <w:tcW w:w="916" w:type="dxa"/>
            <w:tcBorders>
              <w:top w:val="nil"/>
              <w:left w:val="single" w:color="auto" w:sz="4" w:space="0"/>
              <w:bottom w:val="single" w:color="000000" w:sz="4" w:space="0"/>
              <w:right w:val="single" w:color="auto" w:sz="4" w:space="0"/>
            </w:tcBorders>
            <w:vAlign w:val="center"/>
          </w:tcPr>
          <w:p w14:paraId="25759EFB">
            <w:pPr>
              <w:keepNext w:val="0"/>
              <w:keepLines w:val="0"/>
              <w:widowControl/>
              <w:suppressLineNumbers w:val="0"/>
              <w:shd w:val="clear"/>
              <w:spacing w:before="0" w:beforeAutospacing="0" w:after="0" w:afterAutospacing="0"/>
              <w:ind w:left="0" w:right="0"/>
              <w:jc w:val="both"/>
              <w:rPr>
                <w:rFonts w:hint="eastAsia" w:ascii="宋体" w:hAnsi="宋体" w:eastAsia="宋体" w:cs="宋体"/>
                <w:color w:val="auto"/>
                <w:kern w:val="0"/>
                <w:sz w:val="21"/>
                <w:szCs w:val="21"/>
                <w:highlight w:val="none"/>
                <w:lang w:val="en-US" w:eastAsia="zh-CN"/>
              </w:rPr>
            </w:pPr>
          </w:p>
        </w:tc>
      </w:tr>
      <w:tr w14:paraId="47321D56">
        <w:tblPrEx>
          <w:tblCellMar>
            <w:top w:w="0" w:type="dxa"/>
            <w:left w:w="108" w:type="dxa"/>
            <w:bottom w:w="0" w:type="dxa"/>
            <w:right w:w="108" w:type="dxa"/>
          </w:tblCellMar>
        </w:tblPrEx>
        <w:trPr>
          <w:trHeight w:val="868" w:hRule="atLeast"/>
        </w:trPr>
        <w:tc>
          <w:tcPr>
            <w:tcW w:w="677" w:type="dxa"/>
            <w:tcBorders>
              <w:top w:val="single" w:color="auto" w:sz="4" w:space="0"/>
              <w:left w:val="single" w:color="auto" w:sz="4" w:space="0"/>
              <w:bottom w:val="single" w:color="auto" w:sz="4" w:space="0"/>
              <w:right w:val="single" w:color="auto" w:sz="4" w:space="0"/>
            </w:tcBorders>
            <w:vAlign w:val="center"/>
          </w:tcPr>
          <w:p w14:paraId="6B4BE00B">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3C72B340">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硕龙镇门</w:t>
            </w:r>
            <w:r>
              <w:rPr>
                <w:rFonts w:hint="eastAsia" w:ascii="宋体" w:hAnsi="宋体" w:eastAsia="宋体" w:cs="宋体"/>
                <w:color w:val="auto"/>
                <w:kern w:val="0"/>
                <w:sz w:val="21"/>
                <w:szCs w:val="21"/>
                <w:highlight w:val="none"/>
                <w:lang w:eastAsia="zh-CN" w:bidi="ar"/>
              </w:rPr>
              <w:t>村</w:t>
            </w:r>
          </w:p>
        </w:tc>
        <w:tc>
          <w:tcPr>
            <w:tcW w:w="1101" w:type="dxa"/>
            <w:tcBorders>
              <w:top w:val="nil"/>
              <w:left w:val="nil"/>
              <w:bottom w:val="single" w:color="auto" w:sz="4" w:space="0"/>
              <w:right w:val="single" w:color="auto" w:sz="4" w:space="0"/>
            </w:tcBorders>
            <w:shd w:val="clear" w:color="auto" w:fill="auto"/>
            <w:noWrap/>
            <w:vAlign w:val="center"/>
          </w:tcPr>
          <w:p w14:paraId="03D10E9E">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211.7</w:t>
            </w:r>
          </w:p>
        </w:tc>
        <w:tc>
          <w:tcPr>
            <w:tcW w:w="1366" w:type="dxa"/>
            <w:tcBorders>
              <w:top w:val="nil"/>
              <w:left w:val="single" w:color="auto" w:sz="4" w:space="0"/>
              <w:bottom w:val="single" w:color="000000" w:sz="4" w:space="0"/>
              <w:right w:val="single" w:color="auto" w:sz="4" w:space="0"/>
            </w:tcBorders>
            <w:vAlign w:val="center"/>
          </w:tcPr>
          <w:p w14:paraId="7EB32513">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三类地</w:t>
            </w:r>
          </w:p>
        </w:tc>
        <w:tc>
          <w:tcPr>
            <w:tcW w:w="1366" w:type="dxa"/>
            <w:tcBorders>
              <w:top w:val="nil"/>
              <w:left w:val="single" w:color="auto" w:sz="4" w:space="0"/>
              <w:bottom w:val="single" w:color="000000" w:sz="4" w:space="0"/>
              <w:right w:val="single" w:color="auto" w:sz="4" w:space="0"/>
            </w:tcBorders>
            <w:vAlign w:val="center"/>
          </w:tcPr>
          <w:p w14:paraId="2699DC5B">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5.55</w:t>
            </w:r>
          </w:p>
        </w:tc>
        <w:tc>
          <w:tcPr>
            <w:tcW w:w="856" w:type="dxa"/>
            <w:tcBorders>
              <w:top w:val="nil"/>
              <w:left w:val="single" w:color="auto" w:sz="4" w:space="0"/>
              <w:bottom w:val="single" w:color="000000" w:sz="4" w:space="0"/>
              <w:right w:val="single" w:color="auto" w:sz="4" w:space="0"/>
            </w:tcBorders>
            <w:vAlign w:val="center"/>
          </w:tcPr>
          <w:p w14:paraId="5E5A2203">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vAlign w:val="center"/>
          </w:tcPr>
          <w:p w14:paraId="148526F1">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p>
        </w:tc>
        <w:tc>
          <w:tcPr>
            <w:tcW w:w="916" w:type="dxa"/>
            <w:tcBorders>
              <w:top w:val="nil"/>
              <w:left w:val="single" w:color="auto" w:sz="4" w:space="0"/>
              <w:bottom w:val="single" w:color="000000" w:sz="4" w:space="0"/>
              <w:right w:val="single" w:color="auto" w:sz="4" w:space="0"/>
            </w:tcBorders>
            <w:vAlign w:val="center"/>
          </w:tcPr>
          <w:p w14:paraId="4384F26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auto"/>
                <w:kern w:val="0"/>
                <w:sz w:val="21"/>
                <w:szCs w:val="21"/>
                <w:highlight w:val="none"/>
                <w:lang w:val="en-US" w:eastAsia="zh-CN" w:bidi="ar-SA"/>
              </w:rPr>
            </w:pPr>
          </w:p>
        </w:tc>
      </w:tr>
      <w:tr w14:paraId="6ECDCC42">
        <w:tblPrEx>
          <w:tblCellMar>
            <w:top w:w="0" w:type="dxa"/>
            <w:left w:w="108" w:type="dxa"/>
            <w:bottom w:w="0" w:type="dxa"/>
            <w:right w:w="108" w:type="dxa"/>
          </w:tblCellMar>
        </w:tblPrEx>
        <w:trPr>
          <w:trHeight w:val="843" w:hRule="atLeast"/>
        </w:trPr>
        <w:tc>
          <w:tcPr>
            <w:tcW w:w="2654" w:type="dxa"/>
            <w:gridSpan w:val="2"/>
            <w:tcBorders>
              <w:top w:val="single" w:color="auto" w:sz="4" w:space="0"/>
              <w:left w:val="single" w:color="auto" w:sz="4" w:space="0"/>
              <w:bottom w:val="single" w:color="auto" w:sz="4" w:space="0"/>
              <w:right w:val="nil"/>
            </w:tcBorders>
            <w:shd w:val="clear" w:color="auto" w:fill="auto"/>
            <w:noWrap/>
            <w:vAlign w:val="center"/>
          </w:tcPr>
          <w:p w14:paraId="642BDF88">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计</w:t>
            </w:r>
          </w:p>
        </w:tc>
        <w:tc>
          <w:tcPr>
            <w:tcW w:w="1101" w:type="dxa"/>
            <w:tcBorders>
              <w:top w:val="nil"/>
              <w:left w:val="single" w:color="auto" w:sz="4" w:space="0"/>
              <w:bottom w:val="single" w:color="auto" w:sz="4" w:space="0"/>
              <w:right w:val="single" w:color="auto" w:sz="4" w:space="0"/>
            </w:tcBorders>
            <w:shd w:val="clear" w:color="auto" w:fill="auto"/>
            <w:noWrap/>
            <w:vAlign w:val="center"/>
          </w:tcPr>
          <w:p w14:paraId="7F3B2667">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1000</w:t>
            </w:r>
          </w:p>
        </w:tc>
        <w:tc>
          <w:tcPr>
            <w:tcW w:w="1366" w:type="dxa"/>
            <w:tcBorders>
              <w:top w:val="nil"/>
              <w:left w:val="nil"/>
              <w:bottom w:val="single" w:color="auto" w:sz="4" w:space="0"/>
              <w:right w:val="single" w:color="auto" w:sz="4" w:space="0"/>
            </w:tcBorders>
            <w:shd w:val="clear" w:color="auto" w:fill="auto"/>
            <w:noWrap/>
            <w:vAlign w:val="center"/>
          </w:tcPr>
          <w:p w14:paraId="5AC0988F">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366" w:type="dxa"/>
            <w:tcBorders>
              <w:top w:val="nil"/>
              <w:left w:val="nil"/>
              <w:bottom w:val="single" w:color="auto" w:sz="4" w:space="0"/>
              <w:right w:val="single" w:color="auto" w:sz="4" w:space="0"/>
            </w:tcBorders>
            <w:shd w:val="clear" w:color="auto" w:fill="auto"/>
            <w:noWrap/>
            <w:vAlign w:val="center"/>
          </w:tcPr>
          <w:p w14:paraId="5F7AC175">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856" w:type="dxa"/>
            <w:tcBorders>
              <w:top w:val="nil"/>
              <w:left w:val="nil"/>
              <w:bottom w:val="single" w:color="auto" w:sz="4" w:space="0"/>
              <w:right w:val="single" w:color="auto" w:sz="4" w:space="0"/>
            </w:tcBorders>
            <w:shd w:val="clear" w:color="auto" w:fill="auto"/>
            <w:noWrap/>
            <w:vAlign w:val="center"/>
          </w:tcPr>
          <w:p w14:paraId="754507BF">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796" w:type="dxa"/>
            <w:tcBorders>
              <w:top w:val="nil"/>
              <w:left w:val="nil"/>
              <w:bottom w:val="single" w:color="auto" w:sz="4" w:space="0"/>
              <w:right w:val="single" w:color="auto" w:sz="4" w:space="0"/>
            </w:tcBorders>
            <w:shd w:val="clear" w:color="auto" w:fill="auto"/>
            <w:noWrap/>
            <w:vAlign w:val="center"/>
          </w:tcPr>
          <w:p w14:paraId="42724DCC">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p>
        </w:tc>
        <w:tc>
          <w:tcPr>
            <w:tcW w:w="916" w:type="dxa"/>
            <w:tcBorders>
              <w:top w:val="nil"/>
              <w:left w:val="nil"/>
              <w:bottom w:val="single" w:color="auto" w:sz="4" w:space="0"/>
              <w:right w:val="single" w:color="auto" w:sz="4" w:space="0"/>
            </w:tcBorders>
            <w:shd w:val="clear" w:color="auto" w:fill="auto"/>
            <w:noWrap/>
            <w:vAlign w:val="center"/>
          </w:tcPr>
          <w:p w14:paraId="10D7E260">
            <w:pPr>
              <w:keepNext w:val="0"/>
              <w:keepLines w:val="0"/>
              <w:widowControl/>
              <w:suppressLineNumbers w:val="0"/>
              <w:shd w:val="clear"/>
              <w:spacing w:before="0" w:beforeAutospacing="0" w:after="0" w:afterAutospacing="0"/>
              <w:ind w:left="0" w:right="0"/>
              <w:jc w:val="center"/>
              <w:rPr>
                <w:rFonts w:hint="eastAsia" w:ascii="宋体" w:hAnsi="宋体" w:eastAsia="宋体" w:cs="宋体"/>
                <w:color w:val="auto"/>
                <w:kern w:val="0"/>
                <w:sz w:val="21"/>
                <w:szCs w:val="21"/>
                <w:highlight w:val="none"/>
              </w:rPr>
            </w:pPr>
          </w:p>
        </w:tc>
      </w:tr>
    </w:tbl>
    <w:p w14:paraId="2E88578D">
      <w:pPr>
        <w:keepNext w:val="0"/>
        <w:keepLines w:val="0"/>
        <w:pageBreakBefore w:val="0"/>
        <w:widowControl w:val="0"/>
        <w:shd w:val="clear"/>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bCs/>
          <w:color w:val="auto"/>
          <w:kern w:val="32"/>
          <w:sz w:val="21"/>
          <w:szCs w:val="21"/>
          <w:highlight w:val="none"/>
          <w:lang w:val="en" w:eastAsia="zh-CN"/>
        </w:rPr>
      </w:pPr>
      <w:r>
        <w:rPr>
          <w:rFonts w:hint="eastAsia" w:ascii="宋体" w:hAnsi="宋体" w:eastAsia="宋体" w:cs="宋体"/>
          <w:bCs/>
          <w:color w:val="auto"/>
          <w:kern w:val="32"/>
          <w:sz w:val="21"/>
          <w:szCs w:val="21"/>
          <w:highlight w:val="none"/>
          <w:lang w:val="en-GB" w:eastAsia="zh-CN"/>
        </w:rPr>
        <w:t>备注：具体面积以</w:t>
      </w:r>
      <w:r>
        <w:rPr>
          <w:rFonts w:hint="eastAsia" w:ascii="宋体" w:hAnsi="宋体" w:eastAsia="宋体" w:cs="宋体"/>
          <w:bCs/>
          <w:color w:val="auto"/>
          <w:kern w:val="32"/>
          <w:sz w:val="21"/>
          <w:szCs w:val="21"/>
          <w:highlight w:val="none"/>
          <w:lang w:val="en" w:eastAsia="zh-CN"/>
        </w:rPr>
        <w:t>实际实施的面积为准。如果以上区域水稻实际种植面积不够可以灵活从其他符合区域</w:t>
      </w:r>
      <w:r>
        <w:rPr>
          <w:rFonts w:hint="eastAsia" w:ascii="宋体" w:hAnsi="宋体" w:eastAsia="宋体" w:cs="宋体"/>
          <w:bCs/>
          <w:color w:val="auto"/>
          <w:kern w:val="32"/>
          <w:sz w:val="21"/>
          <w:szCs w:val="21"/>
          <w:highlight w:val="none"/>
          <w:lang w:val="en-US" w:eastAsia="zh-CN"/>
        </w:rPr>
        <w:t>的</w:t>
      </w:r>
      <w:r>
        <w:rPr>
          <w:rFonts w:hint="eastAsia" w:ascii="宋体" w:hAnsi="宋体" w:eastAsia="宋体" w:cs="宋体"/>
          <w:bCs/>
          <w:color w:val="auto"/>
          <w:kern w:val="32"/>
          <w:sz w:val="21"/>
          <w:szCs w:val="21"/>
          <w:highlight w:val="none"/>
          <w:lang w:val="en" w:eastAsia="zh-CN"/>
        </w:rPr>
        <w:t>种植面积予以补充。</w:t>
      </w:r>
    </w:p>
    <w:p w14:paraId="66C97403">
      <w:pPr>
        <w:shd w:val="clear"/>
        <w:rPr>
          <w:rFonts w:hint="eastAsia"/>
          <w:color w:val="auto"/>
          <w:szCs w:val="21"/>
          <w:highlight w:val="none"/>
          <w:lang w:val="en-US" w:eastAsia="zh-CN"/>
        </w:rPr>
      </w:pPr>
      <w:r>
        <w:rPr>
          <w:rFonts w:hint="eastAsia"/>
          <w:color w:val="auto"/>
          <w:szCs w:val="21"/>
          <w:highlight w:val="none"/>
          <w:lang w:val="en-US" w:eastAsia="zh-CN"/>
        </w:rPr>
        <w:br w:type="page"/>
      </w:r>
    </w:p>
    <w:p w14:paraId="35556B26">
      <w:pPr>
        <w:shd w:val="clear"/>
        <w:rPr>
          <w:rFonts w:hint="default"/>
          <w:color w:val="auto"/>
          <w:szCs w:val="21"/>
          <w:highlight w:val="none"/>
          <w:lang w:val="en-US" w:eastAsia="zh-CN"/>
        </w:rPr>
      </w:pPr>
    </w:p>
    <w:p w14:paraId="5F887EE1">
      <w:pPr>
        <w:shd w:val="clear"/>
        <w:rPr>
          <w:rFonts w:hint="eastAsia"/>
          <w:color w:val="auto"/>
          <w:sz w:val="22"/>
          <w:szCs w:val="22"/>
          <w:highlight w:val="none"/>
          <w:lang w:val="en-US" w:eastAsia="zh-CN"/>
        </w:rPr>
      </w:pPr>
      <w:r>
        <w:rPr>
          <w:rFonts w:hint="eastAsia"/>
          <w:color w:val="auto"/>
          <w:sz w:val="22"/>
          <w:szCs w:val="22"/>
          <w:highlight w:val="none"/>
          <w:lang w:val="en-US" w:eastAsia="zh-CN"/>
        </w:rPr>
        <w:t>分标2:</w:t>
      </w:r>
    </w:p>
    <w:tbl>
      <w:tblPr>
        <w:tblStyle w:val="52"/>
        <w:tblW w:w="94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4"/>
        <w:gridCol w:w="904"/>
        <w:gridCol w:w="946"/>
        <w:gridCol w:w="6974"/>
      </w:tblGrid>
      <w:tr w14:paraId="04F6C8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674E4253">
            <w:pPr>
              <w:pStyle w:val="27"/>
              <w:shd w:val="clear"/>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序号</w:t>
            </w:r>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6AD307A5">
            <w:pPr>
              <w:pStyle w:val="27"/>
              <w:shd w:val="clear"/>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采购内容</w:t>
            </w:r>
          </w:p>
        </w:tc>
        <w:tc>
          <w:tcPr>
            <w:tcW w:w="6974" w:type="dxa"/>
            <w:tcBorders>
              <w:top w:val="single" w:color="auto" w:sz="4" w:space="0"/>
              <w:left w:val="single" w:color="auto" w:sz="4" w:space="0"/>
              <w:bottom w:val="single" w:color="auto" w:sz="4" w:space="0"/>
              <w:right w:val="single" w:color="auto" w:sz="4" w:space="0"/>
            </w:tcBorders>
            <w:vAlign w:val="center"/>
          </w:tcPr>
          <w:p w14:paraId="0B38CB91">
            <w:pPr>
              <w:pStyle w:val="27"/>
              <w:shd w:val="clear"/>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技术要求</w:t>
            </w:r>
          </w:p>
        </w:tc>
      </w:tr>
      <w:tr w14:paraId="32F8E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right w:val="single" w:color="auto" w:sz="4" w:space="0"/>
            </w:tcBorders>
            <w:vAlign w:val="center"/>
          </w:tcPr>
          <w:p w14:paraId="7A312E6A">
            <w:pPr>
              <w:shd w:val="clea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850" w:type="dxa"/>
            <w:gridSpan w:val="2"/>
            <w:tcBorders>
              <w:top w:val="single" w:color="auto" w:sz="4" w:space="0"/>
              <w:left w:val="single" w:color="auto" w:sz="4" w:space="0"/>
              <w:right w:val="single" w:color="auto" w:sz="4" w:space="0"/>
            </w:tcBorders>
            <w:vAlign w:val="center"/>
          </w:tcPr>
          <w:p w14:paraId="5A2463B9">
            <w:pPr>
              <w:shd w:val="clear"/>
              <w:spacing w:line="36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稻谷样品采集及检测</w:t>
            </w:r>
          </w:p>
        </w:tc>
        <w:tc>
          <w:tcPr>
            <w:tcW w:w="6974" w:type="dxa"/>
            <w:tcBorders>
              <w:top w:val="single" w:color="auto" w:sz="4" w:space="0"/>
              <w:left w:val="single" w:color="auto" w:sz="4" w:space="0"/>
              <w:right w:val="single" w:color="auto" w:sz="4" w:space="0"/>
            </w:tcBorders>
            <w:vAlign w:val="center"/>
          </w:tcPr>
          <w:p w14:paraId="6D15E74C">
            <w:pPr>
              <w:numPr>
                <w:ilvl w:val="0"/>
                <w:numId w:val="0"/>
              </w:numPr>
              <w:shd w:val="clea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1、主要实施内容：(1)项目区域内按25亩/个样品的布点密度进行，约采集检测168个样；(2)严格管控类耕地水稻稻谷采集定量检测25个样；(3)严格管控类耕地水稻稻谷采集CMA检测63个样；(4)严格管控类耕地水稻稻谷样品快速检测试剂600份。</w:t>
            </w:r>
          </w:p>
          <w:p w14:paraId="3D42659D">
            <w:pPr>
              <w:numPr>
                <w:ilvl w:val="0"/>
                <w:numId w:val="0"/>
              </w:numPr>
              <w:shd w:val="clea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2、稻谷样品采集：参照《中华人民共和国农业行业标准耕地污染治理效果评价准则》（NY/T3343—2018），按照15—50亩/个样品的布点密度进行，涉及严格管控类耕地区域的，应适当加密布点，做好稻谷重金属质量检测。由检测评估第三方按规定采集样品，与项目实施第三方、监理单位（方法一）或者采购单位（方法二）人员三方一起确认后进行现场封样。农产品检测项目为总镉、总汞、总砷（稻谷测总砷超0.35mg/kg时必须测无机砷）、总铅、总铬检测5项重金属指标。样品备份、检测、保存样的管理及效果判定按照《食品安全国家标准食品中污染物限量》（GB2762—2022）规定进行，并协同现场测定样品采集地块土壤pH值。样品信息至少含水稻品种及带经纬度的采样地块位置的正东、正南、正西、正北等方向相片和工作相片，带经纬度的现场测定土壤pH值相片。如信息不全、无法证明采集样地及pH仪校正与现场测定土壤pH值的，将视为无效样品。样品采样信息、土壤pH值测定及数据传输方式，按自治区农业生态与资源保护站要求进行。</w:t>
            </w:r>
          </w:p>
          <w:p w14:paraId="06B75018">
            <w:pPr>
              <w:numPr>
                <w:ilvl w:val="0"/>
                <w:numId w:val="0"/>
              </w:numPr>
              <w:shd w:val="clea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3、样品检测：</w:t>
            </w:r>
          </w:p>
          <w:p w14:paraId="5D115184">
            <w:pPr>
              <w:widowControl/>
              <w:numPr>
                <w:ilvl w:val="0"/>
                <w:numId w:val="0"/>
              </w:numPr>
              <w:shd w:val="clear"/>
              <w:spacing w:line="360" w:lineRule="auto"/>
              <w:jc w:val="left"/>
              <w:textAlignment w:val="center"/>
              <w:rPr>
                <w:rFonts w:hint="default"/>
                <w:color w:val="auto"/>
                <w:highlight w:val="none"/>
                <w:lang w:val="en-US" w:eastAsia="zh-CN"/>
              </w:rPr>
            </w:pP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sz w:val="21"/>
                <w:szCs w:val="21"/>
                <w:highlight w:val="none"/>
              </w:rPr>
              <w:t>完成样品</w:t>
            </w:r>
            <w:r>
              <w:rPr>
                <w:rFonts w:hint="eastAsia" w:ascii="宋体" w:hAnsi="宋体" w:eastAsia="宋体" w:cs="宋体"/>
                <w:color w:val="auto"/>
                <w:sz w:val="21"/>
                <w:szCs w:val="21"/>
                <w:highlight w:val="none"/>
                <w:lang w:val="en-US" w:eastAsia="zh-CN"/>
              </w:rPr>
              <w:t>采</w:t>
            </w:r>
            <w:r>
              <w:rPr>
                <w:rFonts w:hint="eastAsia" w:ascii="宋体" w:hAnsi="宋体" w:eastAsia="宋体" w:cs="宋体"/>
                <w:color w:val="auto"/>
                <w:sz w:val="21"/>
                <w:szCs w:val="21"/>
                <w:highlight w:val="none"/>
              </w:rPr>
              <w:t>样检测及效果判定评价工作</w:t>
            </w:r>
            <w:r>
              <w:rPr>
                <w:rFonts w:hint="eastAsia" w:ascii="宋体" w:hAnsi="宋体" w:eastAsia="宋体" w:cs="宋体"/>
                <w:color w:val="auto"/>
                <w:sz w:val="21"/>
                <w:szCs w:val="21"/>
                <w:highlight w:val="none"/>
                <w:lang w:eastAsia="zh-CN"/>
              </w:rPr>
              <w:t>，并提供检测结果及效果评估结果报告。</w:t>
            </w:r>
          </w:p>
          <w:p w14:paraId="7554DB93">
            <w:pPr>
              <w:widowControl/>
              <w:numPr>
                <w:ilvl w:val="0"/>
                <w:numId w:val="0"/>
              </w:numPr>
              <w:shd w:val="clear"/>
              <w:spacing w:line="360" w:lineRule="auto"/>
              <w:jc w:val="left"/>
              <w:textAlignment w:val="center"/>
              <w:rPr>
                <w:rFonts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抽样时间：水稻成熟度80%至收割前。</w:t>
            </w:r>
            <w:r>
              <w:rPr>
                <w:rFonts w:hint="eastAsia" w:ascii="宋体" w:hAnsi="宋体" w:eastAsia="宋体" w:cs="宋体"/>
                <w:color w:val="auto"/>
                <w:kern w:val="0"/>
                <w:sz w:val="21"/>
                <w:szCs w:val="21"/>
                <w:highlight w:val="none"/>
                <w:lang w:bidi="ar"/>
              </w:rPr>
              <w:br w:type="textWrapping"/>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3</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样品类型：实施季稻谷样品。</w:t>
            </w:r>
          </w:p>
          <w:p w14:paraId="54418E76">
            <w:pPr>
              <w:numPr>
                <w:ilvl w:val="0"/>
                <w:numId w:val="0"/>
              </w:numPr>
              <w:shd w:val="clea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4）纠纷处理：2026年度实施的同类项目（2026年以前顺延至2026年实施的项目除外），如有一方对检测结果及效果评估结果存疑，实施方与检测方协商确定重新检测费用来源之后，可向自治区农业生态与资源保护站提出申诉，由自治区农业生态与资源保护站组织协调，一同协商委托其他有资质的检测单位对保存样进行重新检测（合同约定所有检测指标），或者直接向当地司法部门申请司法处理。</w:t>
            </w:r>
          </w:p>
        </w:tc>
      </w:tr>
      <w:tr w14:paraId="4F7E5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468" w:type="dxa"/>
            <w:gridSpan w:val="4"/>
            <w:tcBorders>
              <w:top w:val="single" w:color="auto" w:sz="4" w:space="0"/>
              <w:left w:val="single" w:color="auto" w:sz="4" w:space="0"/>
              <w:bottom w:val="single" w:color="auto" w:sz="4" w:space="0"/>
              <w:right w:val="single" w:color="auto" w:sz="4" w:space="0"/>
            </w:tcBorders>
          </w:tcPr>
          <w:p w14:paraId="6D05CAB9">
            <w:pPr>
              <w:pStyle w:val="27"/>
              <w:shd w:val="clear"/>
              <w:snapToGrid w:val="0"/>
              <w:spacing w:line="360" w:lineRule="exact"/>
              <w:outlineLvl w:val="0"/>
              <w:rPr>
                <w:rFonts w:hint="eastAsia" w:hAnsi="宋体" w:cs="宋体"/>
                <w:b/>
                <w:color w:val="auto"/>
                <w:highlight w:val="none"/>
              </w:rPr>
            </w:pPr>
            <w:r>
              <w:rPr>
                <w:rFonts w:hint="eastAsia" w:hAnsi="宋体" w:cs="宋体"/>
                <w:b/>
                <w:color w:val="auto"/>
                <w:highlight w:val="none"/>
              </w:rPr>
              <w:t>二、商务要求表</w:t>
            </w:r>
          </w:p>
        </w:tc>
      </w:tr>
      <w:tr w14:paraId="15D6D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76A496EA">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7920" w:type="dxa"/>
            <w:gridSpan w:val="2"/>
            <w:tcBorders>
              <w:top w:val="single" w:color="auto" w:sz="4" w:space="0"/>
              <w:left w:val="single" w:color="auto" w:sz="4" w:space="0"/>
              <w:bottom w:val="single" w:color="auto" w:sz="4" w:space="0"/>
              <w:right w:val="single" w:color="auto" w:sz="4" w:space="0"/>
            </w:tcBorders>
            <w:vAlign w:val="top"/>
          </w:tcPr>
          <w:p w14:paraId="11F5CB1D">
            <w:pPr>
              <w:shd w:val="clea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响应报价包括采购项目需求及合同条款中的所有内容、应交纳的各种税费等及为满足采购人项目要求所需服务的全部费用，包括但不限于样品制备费、保存费、转运及处理、差旅费、邮寄费、人工费、 税金、业务培训、代理费等一切费用，费用包干。</w:t>
            </w:r>
          </w:p>
        </w:tc>
      </w:tr>
      <w:tr w14:paraId="6FBE6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7AE7085A">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合同签订时间</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7E17DF27">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自成交通知书发出之日起 15 日内。</w:t>
            </w:r>
          </w:p>
        </w:tc>
      </w:tr>
      <w:tr w14:paraId="7D2D48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0EFCE4EB">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服务期限及服务地点：</w:t>
            </w:r>
          </w:p>
        </w:tc>
        <w:tc>
          <w:tcPr>
            <w:tcW w:w="7920" w:type="dxa"/>
            <w:gridSpan w:val="2"/>
            <w:tcBorders>
              <w:top w:val="single" w:color="auto" w:sz="4" w:space="0"/>
              <w:left w:val="single" w:color="auto" w:sz="4" w:space="0"/>
              <w:bottom w:val="single" w:color="auto" w:sz="4" w:space="0"/>
              <w:right w:val="single" w:color="auto" w:sz="4" w:space="0"/>
            </w:tcBorders>
            <w:vAlign w:val="top"/>
          </w:tcPr>
          <w:p w14:paraId="2CB8C287">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（1）服务期限：</w:t>
            </w:r>
            <w:r>
              <w:rPr>
                <w:rFonts w:hint="eastAsia" w:ascii="宋体" w:hAnsi="宋体" w:cs="宋体"/>
                <w:color w:val="auto"/>
                <w:kern w:val="0"/>
                <w:szCs w:val="21"/>
                <w:highlight w:val="none"/>
                <w:lang w:val="en-US" w:eastAsia="zh-CN"/>
              </w:rPr>
              <w:t>自签订合同之日起至 2026年 12 月20日前完成</w:t>
            </w:r>
            <w:r>
              <w:rPr>
                <w:rFonts w:hint="eastAsia" w:ascii="宋体" w:hAnsi="宋体" w:cs="宋体"/>
                <w:color w:val="auto"/>
                <w:szCs w:val="21"/>
                <w:highlight w:val="none"/>
                <w:lang w:val="en-US" w:eastAsia="zh-CN"/>
              </w:rPr>
              <w:t xml:space="preserve">。 </w:t>
            </w:r>
          </w:p>
          <w:p w14:paraId="52062FC0">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（2）服务地点：采购人指定地点。</w:t>
            </w:r>
          </w:p>
        </w:tc>
      </w:tr>
      <w:tr w14:paraId="3C6B3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7C1790F8">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付款方式</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0E5A9E6A">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项目完成后，根据合同约定内容与项目验收结果，按时向采购人提供水稻稻谷快速检测试剂及电极卡600份，货到并实际使用无问题后验收通过；快速检测超标样品开展定量检测和涉及严格管控类耕地稻谷 CMA 检测评价；按实际开展完成数量，出具检测评价报告后，按合同约定与实际完成数量计算支付。 成交供应商向采购人出具符合要求的发票，待申请财政及县政府同意后支付全部合同金额。</w:t>
            </w:r>
          </w:p>
        </w:tc>
      </w:tr>
      <w:tr w14:paraId="786A0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600D7A8A">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售后技术服务要求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1139785C">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不得将服务转包或委托给其他单位，一经发现并查实，取消合作并追回资金，由此产生的一切费用由成交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负责。 </w:t>
            </w:r>
          </w:p>
          <w:p w14:paraId="33613F04">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（2）处理问题响应时间：接到采购人处理问题通知后 24 小时内到达采购人指定现场。</w:t>
            </w:r>
          </w:p>
          <w:p w14:paraId="1721B2A1">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（3）成交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必须配合采购人完成整体项目的验收。</w:t>
            </w:r>
          </w:p>
        </w:tc>
      </w:tr>
      <w:tr w14:paraId="4702F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5F3E2879">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其他要求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61389C4C">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供应商承诺成交后能提供固定的检验工作场所以及检测所需的检测设备等工作条件。</w:t>
            </w:r>
          </w:p>
        </w:tc>
      </w:tr>
    </w:tbl>
    <w:p w14:paraId="046E7EEA">
      <w:pPr>
        <w:shd w:val="clear"/>
        <w:rPr>
          <w:color w:val="auto"/>
          <w:szCs w:val="21"/>
          <w:highlight w:val="none"/>
        </w:rPr>
      </w:pPr>
      <w:r>
        <w:rPr>
          <w:color w:val="auto"/>
          <w:szCs w:val="21"/>
          <w:highlight w:val="none"/>
        </w:rPr>
        <w:br w:type="page"/>
      </w:r>
    </w:p>
    <w:p w14:paraId="25A208A1">
      <w:pPr>
        <w:shd w:val="clear"/>
        <w:rPr>
          <w:rFonts w:hint="eastAsia"/>
          <w:color w:val="auto"/>
          <w:szCs w:val="21"/>
          <w:highlight w:val="none"/>
          <w:lang w:val="en-US" w:eastAsia="zh-CN"/>
        </w:rPr>
      </w:pPr>
      <w:r>
        <w:rPr>
          <w:rFonts w:hint="eastAsia"/>
          <w:color w:val="auto"/>
          <w:szCs w:val="21"/>
          <w:highlight w:val="none"/>
          <w:lang w:val="en-US" w:eastAsia="zh-CN"/>
        </w:rPr>
        <w:t>分标3:</w:t>
      </w:r>
    </w:p>
    <w:tbl>
      <w:tblPr>
        <w:tblStyle w:val="52"/>
        <w:tblW w:w="94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4"/>
        <w:gridCol w:w="904"/>
        <w:gridCol w:w="946"/>
        <w:gridCol w:w="6974"/>
      </w:tblGrid>
      <w:tr w14:paraId="39ECB1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354F89BD">
            <w:pPr>
              <w:pStyle w:val="27"/>
              <w:shd w:val="clear"/>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序号</w:t>
            </w:r>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4C86F7C5">
            <w:pPr>
              <w:pStyle w:val="27"/>
              <w:shd w:val="clear"/>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采购内容</w:t>
            </w:r>
          </w:p>
        </w:tc>
        <w:tc>
          <w:tcPr>
            <w:tcW w:w="6974" w:type="dxa"/>
            <w:tcBorders>
              <w:top w:val="single" w:color="auto" w:sz="4" w:space="0"/>
              <w:left w:val="single" w:color="auto" w:sz="4" w:space="0"/>
              <w:bottom w:val="single" w:color="auto" w:sz="4" w:space="0"/>
              <w:right w:val="single" w:color="auto" w:sz="4" w:space="0"/>
            </w:tcBorders>
            <w:vAlign w:val="center"/>
          </w:tcPr>
          <w:p w14:paraId="5DF75D17">
            <w:pPr>
              <w:pStyle w:val="27"/>
              <w:shd w:val="clear"/>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技术要求</w:t>
            </w:r>
          </w:p>
        </w:tc>
      </w:tr>
      <w:tr w14:paraId="17582A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right w:val="single" w:color="auto" w:sz="4" w:space="0"/>
            </w:tcBorders>
            <w:vAlign w:val="center"/>
          </w:tcPr>
          <w:p w14:paraId="6F23D08B">
            <w:pPr>
              <w:shd w:val="clea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850" w:type="dxa"/>
            <w:gridSpan w:val="2"/>
            <w:tcBorders>
              <w:top w:val="single" w:color="auto" w:sz="4" w:space="0"/>
              <w:left w:val="single" w:color="auto" w:sz="4" w:space="0"/>
              <w:right w:val="single" w:color="auto" w:sz="4" w:space="0"/>
            </w:tcBorders>
            <w:vAlign w:val="center"/>
          </w:tcPr>
          <w:p w14:paraId="249EBEBF">
            <w:pPr>
              <w:shd w:val="clear"/>
              <w:spacing w:line="36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项目监理</w:t>
            </w:r>
          </w:p>
        </w:tc>
        <w:tc>
          <w:tcPr>
            <w:tcW w:w="6974" w:type="dxa"/>
            <w:tcBorders>
              <w:top w:val="single" w:color="auto" w:sz="4" w:space="0"/>
              <w:left w:val="single" w:color="auto" w:sz="4" w:space="0"/>
              <w:right w:val="single" w:color="auto" w:sz="4" w:space="0"/>
            </w:tcBorders>
            <w:vAlign w:val="center"/>
          </w:tcPr>
          <w:p w14:paraId="05A77A0E">
            <w:pPr>
              <w:numPr>
                <w:ilvl w:val="0"/>
                <w:numId w:val="0"/>
              </w:numPr>
              <w:shd w:val="clea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（1）目标任务：为开展2026年大新县生产障碍耕地治理项目实施进行监理，确保2026年大新县生产障碍耕地治理项目按时按质按量完成并通过项目竣工验收。</w:t>
            </w:r>
          </w:p>
          <w:p w14:paraId="33DED03A">
            <w:pPr>
              <w:numPr>
                <w:ilvl w:val="0"/>
                <w:numId w:val="0"/>
              </w:numPr>
              <w:shd w:val="clea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2）服务内容：对项目实施全程监理。包括但不限于监督实施方面积落实率及符合度、技术措施落实率、农时符合度、投入品质量、镉低积累水稻品种质量及真实性，实现项目区农用地安全利用率大于93%的绩效目标等。</w:t>
            </w:r>
          </w:p>
          <w:p w14:paraId="42918435">
            <w:pPr>
              <w:numPr>
                <w:ilvl w:val="0"/>
                <w:numId w:val="0"/>
              </w:numPr>
              <w:shd w:val="clea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3）服务要求：包括但不限于对投入品（实物）的入库及出库进行造册登记，项目实施前、中、后等相关佐证图片收集，实施方出勤记录，宣传技术指导现场、样品采集过程跟踪监督等。按《2026年大新县生产障碍耕地治理项目实施方案》中相关要求对大新县2026年生产障碍耕地治理项目全程实施进行监督。</w:t>
            </w:r>
          </w:p>
          <w:p w14:paraId="0992FCF0">
            <w:pPr>
              <w:numPr>
                <w:ilvl w:val="0"/>
                <w:numId w:val="0"/>
              </w:numPr>
              <w:shd w:val="clea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（4）成果要求：分标段项目提供监理报告。</w:t>
            </w:r>
          </w:p>
          <w:p w14:paraId="1979007E">
            <w:pPr>
              <w:numPr>
                <w:ilvl w:val="0"/>
                <w:numId w:val="0"/>
              </w:numPr>
              <w:shd w:val="clea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（5）保密要求：鉴于本项目内容涉及敏感，所有接触项目内容的人员必须对信息、结果数据等按保密要求进行保密；对泄漏秘密造成影响的，要追究当事人及责任人的责任。</w:t>
            </w:r>
          </w:p>
        </w:tc>
      </w:tr>
      <w:tr w14:paraId="110BD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468" w:type="dxa"/>
            <w:gridSpan w:val="4"/>
            <w:tcBorders>
              <w:top w:val="single" w:color="auto" w:sz="4" w:space="0"/>
              <w:left w:val="single" w:color="auto" w:sz="4" w:space="0"/>
              <w:bottom w:val="single" w:color="auto" w:sz="4" w:space="0"/>
              <w:right w:val="single" w:color="auto" w:sz="4" w:space="0"/>
            </w:tcBorders>
          </w:tcPr>
          <w:p w14:paraId="0A92C1A5">
            <w:pPr>
              <w:pStyle w:val="27"/>
              <w:shd w:val="clear"/>
              <w:snapToGrid w:val="0"/>
              <w:spacing w:line="360" w:lineRule="exact"/>
              <w:outlineLvl w:val="0"/>
              <w:rPr>
                <w:rFonts w:hint="eastAsia" w:hAnsi="宋体" w:cs="宋体"/>
                <w:b/>
                <w:color w:val="auto"/>
                <w:highlight w:val="none"/>
              </w:rPr>
            </w:pPr>
            <w:r>
              <w:rPr>
                <w:rFonts w:hint="eastAsia" w:hAnsi="宋体" w:cs="宋体"/>
                <w:b/>
                <w:color w:val="auto"/>
                <w:highlight w:val="none"/>
              </w:rPr>
              <w:t>二、商务要求表</w:t>
            </w:r>
          </w:p>
        </w:tc>
      </w:tr>
      <w:tr w14:paraId="3AD94C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2DAF3097">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7920" w:type="dxa"/>
            <w:gridSpan w:val="2"/>
            <w:tcBorders>
              <w:top w:val="single" w:color="auto" w:sz="4" w:space="0"/>
              <w:left w:val="single" w:color="auto" w:sz="4" w:space="0"/>
              <w:bottom w:val="single" w:color="auto" w:sz="4" w:space="0"/>
              <w:right w:val="single" w:color="auto" w:sz="4" w:space="0"/>
            </w:tcBorders>
          </w:tcPr>
          <w:p w14:paraId="627A56E7">
            <w:pPr>
              <w:shd w:val="clea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响应报价包括采购项目需求及合同条款中的所有内容、应交纳的各种税费等及为满足采购人项目要求所需服务的全部费用，包括但不限于样品制备费、保存费、转运及处理、差旅费、邮寄费、人工费、 税金、业务培训、代理费等一切费用，费用包干。</w:t>
            </w:r>
          </w:p>
        </w:tc>
      </w:tr>
      <w:tr w14:paraId="39ECA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6E1C40E1">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合同签订时间</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4A288147">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自成交通知书发出之日起 15 日内。</w:t>
            </w:r>
          </w:p>
        </w:tc>
      </w:tr>
      <w:tr w14:paraId="6480B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5CD0AF59">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服务期限及服务地点：</w:t>
            </w:r>
          </w:p>
        </w:tc>
        <w:tc>
          <w:tcPr>
            <w:tcW w:w="7920" w:type="dxa"/>
            <w:gridSpan w:val="2"/>
            <w:tcBorders>
              <w:top w:val="single" w:color="auto" w:sz="4" w:space="0"/>
              <w:left w:val="single" w:color="auto" w:sz="4" w:space="0"/>
              <w:bottom w:val="single" w:color="auto" w:sz="4" w:space="0"/>
              <w:right w:val="single" w:color="auto" w:sz="4" w:space="0"/>
            </w:tcBorders>
          </w:tcPr>
          <w:p w14:paraId="4DAB7386">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（1）服务期限：</w:t>
            </w:r>
            <w:r>
              <w:rPr>
                <w:rFonts w:hint="eastAsia" w:ascii="宋体" w:hAnsi="宋体" w:cs="宋体"/>
                <w:color w:val="auto"/>
                <w:kern w:val="0"/>
                <w:szCs w:val="21"/>
                <w:highlight w:val="none"/>
                <w:lang w:val="en-US" w:eastAsia="zh-CN"/>
              </w:rPr>
              <w:t>自签订合同之日起至 2026年 12 月20日前完成</w:t>
            </w:r>
            <w:r>
              <w:rPr>
                <w:rFonts w:hint="eastAsia" w:ascii="宋体" w:hAnsi="宋体" w:cs="宋体"/>
                <w:color w:val="auto"/>
                <w:szCs w:val="21"/>
                <w:highlight w:val="none"/>
                <w:lang w:val="en-US" w:eastAsia="zh-CN"/>
              </w:rPr>
              <w:t xml:space="preserve">。 </w:t>
            </w:r>
          </w:p>
          <w:p w14:paraId="07EE9FBB">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（2）服务地点：采购人指定地点。</w:t>
            </w:r>
          </w:p>
        </w:tc>
      </w:tr>
      <w:tr w14:paraId="11DE7E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426C2C08">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付款方式</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64C71E2C">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本项目无预付款，合同签订后成交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按服务项目进度支付不超过 </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0％的进度款；剩余款待服务项目整体通过验收申请财政及县政府同意后支付。</w:t>
            </w:r>
          </w:p>
        </w:tc>
      </w:tr>
      <w:tr w14:paraId="4F867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6F692933">
            <w:pPr>
              <w:shd w:val="clea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售后技术服务要求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1BFF1F53">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不得将服务转包或委托给其他单位，一经发现并查实，取消合作并追回资金，由此产生的一切费用由成交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负责。 </w:t>
            </w:r>
          </w:p>
          <w:p w14:paraId="4F8BA1D8">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（2）处理问题响应时间：接到采购人处理问题通知后 24 小时内到达采购人指定现场。</w:t>
            </w:r>
          </w:p>
          <w:p w14:paraId="38E30849">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rPr>
              <w:t>（3）质量保证期为一年（相关标准大于一年，须按相关标准执行），质保期自项目成果经国家或自治区验收合格之日起计算。质保期内发生质量问题由成交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负责，产生的一切费用均由</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供应商承担。</w:t>
            </w:r>
          </w:p>
        </w:tc>
      </w:tr>
      <w:tr w14:paraId="58C7A9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089ABEF8">
            <w:pPr>
              <w:shd w:val="clear"/>
              <w:snapToGrid w:val="0"/>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其他要求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6260E9B2">
            <w:pPr>
              <w:shd w:val="clear"/>
              <w:spacing w:line="36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本项目采购标的需执行的国家相关标准、行业标准、地方标准或其他强制性标准、 </w:t>
            </w:r>
          </w:p>
          <w:p w14:paraId="4E8763D9">
            <w:pPr>
              <w:shd w:val="clea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规范等要求。</w:t>
            </w:r>
          </w:p>
        </w:tc>
      </w:tr>
    </w:tbl>
    <w:p w14:paraId="78F858A6">
      <w:pPr>
        <w:shd w:val="clear"/>
        <w:rPr>
          <w:color w:val="auto"/>
          <w:szCs w:val="21"/>
          <w:highlight w:val="none"/>
        </w:rPr>
      </w:pPr>
      <w:r>
        <w:rPr>
          <w:color w:val="auto"/>
          <w:szCs w:val="21"/>
          <w:highlight w:val="none"/>
        </w:rPr>
        <w:br w:type="page"/>
      </w:r>
    </w:p>
    <w:p w14:paraId="2099A61D">
      <w:pPr>
        <w:shd w:val="clear"/>
        <w:spacing w:line="528" w:lineRule="exact"/>
        <w:ind w:firstLine="280" w:firstLineChars="100"/>
        <w:rPr>
          <w:color w:val="auto"/>
          <w:sz w:val="28"/>
          <w:szCs w:val="28"/>
          <w:highlight w:val="none"/>
        </w:rPr>
      </w:pPr>
      <w:bookmarkStart w:id="21" w:name="_Hlk132878602"/>
      <w:r>
        <w:rPr>
          <w:rFonts w:hint="eastAsia"/>
          <w:color w:val="auto"/>
          <w:sz w:val="28"/>
          <w:szCs w:val="28"/>
          <w:highlight w:val="none"/>
        </w:rPr>
        <w:t>附件</w:t>
      </w:r>
      <w:r>
        <w:rPr>
          <w:rFonts w:hint="eastAsia"/>
          <w:color w:val="auto"/>
          <w:sz w:val="28"/>
          <w:szCs w:val="28"/>
          <w:highlight w:val="none"/>
          <w:lang w:val="en-US" w:eastAsia="zh-CN"/>
        </w:rPr>
        <w:t>3</w:t>
      </w:r>
      <w:r>
        <w:rPr>
          <w:rFonts w:hint="eastAsia"/>
          <w:color w:val="auto"/>
          <w:sz w:val="28"/>
          <w:szCs w:val="28"/>
          <w:highlight w:val="none"/>
        </w:rPr>
        <w:t xml:space="preserve">： </w:t>
      </w:r>
      <w:r>
        <w:rPr>
          <w:color w:val="auto"/>
          <w:sz w:val="28"/>
          <w:szCs w:val="28"/>
          <w:highlight w:val="none"/>
        </w:rPr>
        <w:t xml:space="preserve">               </w:t>
      </w:r>
    </w:p>
    <w:p w14:paraId="032FE764">
      <w:pPr>
        <w:shd w:val="clea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2"/>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42E052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392919C9">
            <w:pPr>
              <w:widowControl/>
              <w:shd w:val="clear"/>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7E5E0E39">
            <w:pPr>
              <w:widowControl/>
              <w:shd w:val="clear"/>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5B7E9E53">
            <w:pPr>
              <w:widowControl/>
              <w:shd w:val="clear"/>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6364F2D0">
            <w:pPr>
              <w:widowControl/>
              <w:shd w:val="clear"/>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5DCB64DD">
            <w:pPr>
              <w:widowControl/>
              <w:shd w:val="clear"/>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076AD890">
            <w:pPr>
              <w:widowControl/>
              <w:shd w:val="clear"/>
              <w:jc w:val="left"/>
              <w:rPr>
                <w:color w:val="auto"/>
                <w:szCs w:val="21"/>
                <w:highlight w:val="none"/>
              </w:rPr>
            </w:pPr>
            <w:r>
              <w:rPr>
                <w:rFonts w:hint="eastAsia"/>
                <w:color w:val="auto"/>
                <w:szCs w:val="21"/>
                <w:highlight w:val="none"/>
              </w:rPr>
              <w:t>微型</w:t>
            </w:r>
          </w:p>
        </w:tc>
      </w:tr>
      <w:tr w14:paraId="34815D60">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5E52A822">
            <w:pPr>
              <w:widowControl/>
              <w:shd w:val="clear"/>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34F55CA3">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1D5841C">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6B3C02">
            <w:pPr>
              <w:widowControl/>
              <w:shd w:val="clear"/>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2DA1FF93">
            <w:pPr>
              <w:widowControl/>
              <w:shd w:val="clear"/>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2AD09DE0">
            <w:pPr>
              <w:widowControl/>
              <w:shd w:val="clear"/>
              <w:jc w:val="left"/>
              <w:rPr>
                <w:color w:val="auto"/>
                <w:szCs w:val="21"/>
                <w:highlight w:val="none"/>
              </w:rPr>
            </w:pPr>
            <w:r>
              <w:rPr>
                <w:rFonts w:hint="eastAsia"/>
                <w:color w:val="auto"/>
                <w:szCs w:val="21"/>
                <w:highlight w:val="none"/>
              </w:rPr>
              <w:t>Y＜50</w:t>
            </w:r>
          </w:p>
        </w:tc>
      </w:tr>
      <w:tr w14:paraId="00C83EA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4AAD49D">
            <w:pPr>
              <w:widowControl/>
              <w:shd w:val="clear"/>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416AB595">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272340F">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F3474B6">
            <w:pPr>
              <w:widowControl/>
              <w:shd w:val="clear"/>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26EA98">
            <w:pPr>
              <w:widowControl/>
              <w:shd w:val="clear"/>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A00A45E">
            <w:pPr>
              <w:widowControl/>
              <w:shd w:val="clear"/>
              <w:jc w:val="left"/>
              <w:rPr>
                <w:color w:val="auto"/>
                <w:szCs w:val="21"/>
                <w:highlight w:val="none"/>
              </w:rPr>
            </w:pPr>
            <w:r>
              <w:rPr>
                <w:rFonts w:hint="eastAsia"/>
                <w:color w:val="auto"/>
                <w:szCs w:val="21"/>
                <w:highlight w:val="none"/>
              </w:rPr>
              <w:t>X＜20</w:t>
            </w:r>
          </w:p>
        </w:tc>
      </w:tr>
      <w:tr w14:paraId="5BE104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2BA33C7">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14792A4">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5C91269">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06E2445">
            <w:pPr>
              <w:widowControl/>
              <w:shd w:val="clear"/>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73F699B3">
            <w:pPr>
              <w:widowControl/>
              <w:shd w:val="clear"/>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44917483">
            <w:pPr>
              <w:widowControl/>
              <w:shd w:val="clear"/>
              <w:jc w:val="left"/>
              <w:rPr>
                <w:color w:val="auto"/>
                <w:szCs w:val="21"/>
                <w:highlight w:val="none"/>
              </w:rPr>
            </w:pPr>
            <w:r>
              <w:rPr>
                <w:rFonts w:hint="eastAsia"/>
                <w:color w:val="auto"/>
                <w:szCs w:val="21"/>
                <w:highlight w:val="none"/>
              </w:rPr>
              <w:t>Y＜300</w:t>
            </w:r>
          </w:p>
        </w:tc>
      </w:tr>
      <w:tr w14:paraId="764AA14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704EBED">
            <w:pPr>
              <w:widowControl/>
              <w:shd w:val="clear"/>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11C82B46">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4AE03D">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DC74E66">
            <w:pPr>
              <w:widowControl/>
              <w:shd w:val="clear"/>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7D27E4BA">
            <w:pPr>
              <w:widowControl/>
              <w:shd w:val="clear"/>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0C0FC333">
            <w:pPr>
              <w:widowControl/>
              <w:shd w:val="clear"/>
              <w:jc w:val="left"/>
              <w:rPr>
                <w:color w:val="auto"/>
                <w:szCs w:val="21"/>
                <w:highlight w:val="none"/>
              </w:rPr>
            </w:pPr>
            <w:r>
              <w:rPr>
                <w:rFonts w:hint="eastAsia"/>
                <w:color w:val="auto"/>
                <w:szCs w:val="21"/>
                <w:highlight w:val="none"/>
              </w:rPr>
              <w:t>Y＜300</w:t>
            </w:r>
          </w:p>
        </w:tc>
      </w:tr>
      <w:tr w14:paraId="597CEA7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334F997">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EF0F110">
            <w:pPr>
              <w:widowControl/>
              <w:shd w:val="clear"/>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1A5E424">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EC38B5A">
            <w:pPr>
              <w:widowControl/>
              <w:shd w:val="clear"/>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07CA26C4">
            <w:pPr>
              <w:widowControl/>
              <w:shd w:val="clear"/>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5DE0860C">
            <w:pPr>
              <w:widowControl/>
              <w:shd w:val="clear"/>
              <w:jc w:val="left"/>
              <w:rPr>
                <w:color w:val="auto"/>
                <w:szCs w:val="21"/>
                <w:highlight w:val="none"/>
              </w:rPr>
            </w:pPr>
            <w:r>
              <w:rPr>
                <w:rFonts w:hint="eastAsia"/>
                <w:color w:val="auto"/>
                <w:szCs w:val="21"/>
                <w:highlight w:val="none"/>
              </w:rPr>
              <w:t>Z＜300</w:t>
            </w:r>
          </w:p>
        </w:tc>
      </w:tr>
      <w:tr w14:paraId="1444C6D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E312E96">
            <w:pPr>
              <w:widowControl/>
              <w:shd w:val="clear"/>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441110FB">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05822D8">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DD524F7">
            <w:pPr>
              <w:widowControl/>
              <w:shd w:val="clear"/>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46D17F16">
            <w:pPr>
              <w:widowControl/>
              <w:shd w:val="clear"/>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69B78AF3">
            <w:pPr>
              <w:widowControl/>
              <w:shd w:val="clear"/>
              <w:jc w:val="left"/>
              <w:rPr>
                <w:color w:val="auto"/>
                <w:szCs w:val="21"/>
                <w:highlight w:val="none"/>
              </w:rPr>
            </w:pPr>
            <w:r>
              <w:rPr>
                <w:rFonts w:hint="eastAsia"/>
                <w:color w:val="auto"/>
                <w:szCs w:val="21"/>
                <w:highlight w:val="none"/>
              </w:rPr>
              <w:t>X＜5</w:t>
            </w:r>
          </w:p>
        </w:tc>
      </w:tr>
      <w:tr w14:paraId="08967CC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4C419C0">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18F4E9">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60539FB">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C05ADD6">
            <w:pPr>
              <w:widowControl/>
              <w:shd w:val="clear"/>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834383F">
            <w:pPr>
              <w:widowControl/>
              <w:shd w:val="clear"/>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74486796">
            <w:pPr>
              <w:widowControl/>
              <w:shd w:val="clear"/>
              <w:jc w:val="left"/>
              <w:rPr>
                <w:color w:val="auto"/>
                <w:szCs w:val="21"/>
                <w:highlight w:val="none"/>
              </w:rPr>
            </w:pPr>
            <w:r>
              <w:rPr>
                <w:rFonts w:hint="eastAsia"/>
                <w:color w:val="auto"/>
                <w:szCs w:val="21"/>
                <w:highlight w:val="none"/>
              </w:rPr>
              <w:t>Y＜1000</w:t>
            </w:r>
          </w:p>
        </w:tc>
      </w:tr>
      <w:tr w14:paraId="7E217D0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E2D5E57">
            <w:pPr>
              <w:widowControl/>
              <w:shd w:val="clear"/>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72D0A4A7">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D7F938B">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4222B0A">
            <w:pPr>
              <w:widowControl/>
              <w:shd w:val="clear"/>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48A7BD6D">
            <w:pPr>
              <w:widowControl/>
              <w:shd w:val="clear"/>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4A648938">
            <w:pPr>
              <w:widowControl/>
              <w:shd w:val="clear"/>
              <w:jc w:val="left"/>
              <w:rPr>
                <w:color w:val="auto"/>
                <w:szCs w:val="21"/>
                <w:highlight w:val="none"/>
              </w:rPr>
            </w:pPr>
            <w:r>
              <w:rPr>
                <w:rFonts w:hint="eastAsia"/>
                <w:color w:val="auto"/>
                <w:szCs w:val="21"/>
                <w:highlight w:val="none"/>
              </w:rPr>
              <w:t>X＜10</w:t>
            </w:r>
          </w:p>
        </w:tc>
      </w:tr>
      <w:tr w14:paraId="60B9F2A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9E846E0">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CF2E2B6">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155A5C">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602E5B8">
            <w:pPr>
              <w:widowControl/>
              <w:shd w:val="clear"/>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5E14EF1F">
            <w:pPr>
              <w:widowControl/>
              <w:shd w:val="clear"/>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4C2918F0">
            <w:pPr>
              <w:widowControl/>
              <w:shd w:val="clear"/>
              <w:jc w:val="left"/>
              <w:rPr>
                <w:color w:val="auto"/>
                <w:szCs w:val="21"/>
                <w:highlight w:val="none"/>
              </w:rPr>
            </w:pPr>
            <w:r>
              <w:rPr>
                <w:rFonts w:hint="eastAsia"/>
                <w:color w:val="auto"/>
                <w:szCs w:val="21"/>
                <w:highlight w:val="none"/>
              </w:rPr>
              <w:t>Y＜100</w:t>
            </w:r>
          </w:p>
        </w:tc>
      </w:tr>
      <w:tr w14:paraId="56400B1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9A38DA2">
            <w:pPr>
              <w:widowControl/>
              <w:shd w:val="clear"/>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60C1EAB">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824AF57">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6A0D9A8">
            <w:pPr>
              <w:widowControl/>
              <w:shd w:val="clear"/>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96BD644">
            <w:pPr>
              <w:widowControl/>
              <w:shd w:val="clear"/>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0F59354F">
            <w:pPr>
              <w:widowControl/>
              <w:shd w:val="clear"/>
              <w:jc w:val="left"/>
              <w:rPr>
                <w:color w:val="auto"/>
                <w:szCs w:val="21"/>
                <w:highlight w:val="none"/>
              </w:rPr>
            </w:pPr>
            <w:r>
              <w:rPr>
                <w:rFonts w:hint="eastAsia"/>
                <w:color w:val="auto"/>
                <w:szCs w:val="21"/>
                <w:highlight w:val="none"/>
              </w:rPr>
              <w:t>X＜20</w:t>
            </w:r>
          </w:p>
        </w:tc>
      </w:tr>
      <w:tr w14:paraId="637A4A8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2475A2B">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2CBA4AC">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B4ADFDA">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BF8DAE9">
            <w:pPr>
              <w:widowControl/>
              <w:shd w:val="clear"/>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5EBE2527">
            <w:pPr>
              <w:widowControl/>
              <w:shd w:val="clear"/>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29704335">
            <w:pPr>
              <w:widowControl/>
              <w:shd w:val="clear"/>
              <w:jc w:val="left"/>
              <w:rPr>
                <w:color w:val="auto"/>
                <w:szCs w:val="21"/>
                <w:highlight w:val="none"/>
              </w:rPr>
            </w:pPr>
            <w:r>
              <w:rPr>
                <w:rFonts w:hint="eastAsia"/>
                <w:color w:val="auto"/>
                <w:szCs w:val="21"/>
                <w:highlight w:val="none"/>
              </w:rPr>
              <w:t>Y＜200</w:t>
            </w:r>
          </w:p>
        </w:tc>
      </w:tr>
      <w:tr w14:paraId="1D67ABC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CEF55C4">
            <w:pPr>
              <w:widowControl/>
              <w:shd w:val="clear"/>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0A4BF9A">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BBF7A6">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4E89611">
            <w:pPr>
              <w:widowControl/>
              <w:shd w:val="clear"/>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688F4D50">
            <w:pPr>
              <w:widowControl/>
              <w:shd w:val="clear"/>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FC23978">
            <w:pPr>
              <w:widowControl/>
              <w:shd w:val="clear"/>
              <w:jc w:val="left"/>
              <w:rPr>
                <w:color w:val="auto"/>
                <w:szCs w:val="21"/>
                <w:highlight w:val="none"/>
              </w:rPr>
            </w:pPr>
            <w:r>
              <w:rPr>
                <w:rFonts w:hint="eastAsia"/>
                <w:color w:val="auto"/>
                <w:szCs w:val="21"/>
                <w:highlight w:val="none"/>
              </w:rPr>
              <w:t>X＜20</w:t>
            </w:r>
          </w:p>
        </w:tc>
      </w:tr>
      <w:tr w14:paraId="5A3DC5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120F61E">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5F93C16">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580CF5A">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F80E21">
            <w:pPr>
              <w:widowControl/>
              <w:shd w:val="clear"/>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23DCBC20">
            <w:pPr>
              <w:widowControl/>
              <w:shd w:val="clear"/>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7D42E107">
            <w:pPr>
              <w:widowControl/>
              <w:shd w:val="clear"/>
              <w:jc w:val="left"/>
              <w:rPr>
                <w:color w:val="auto"/>
                <w:szCs w:val="21"/>
                <w:highlight w:val="none"/>
              </w:rPr>
            </w:pPr>
            <w:r>
              <w:rPr>
                <w:rFonts w:hint="eastAsia"/>
                <w:color w:val="auto"/>
                <w:szCs w:val="21"/>
                <w:highlight w:val="none"/>
              </w:rPr>
              <w:t>Y＜100</w:t>
            </w:r>
          </w:p>
        </w:tc>
      </w:tr>
      <w:tr w14:paraId="1DE2286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3364AC9">
            <w:pPr>
              <w:widowControl/>
              <w:shd w:val="clear"/>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37F22372">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0600F42">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7ED77F9">
            <w:pPr>
              <w:widowControl/>
              <w:shd w:val="clear"/>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309080D">
            <w:pPr>
              <w:widowControl/>
              <w:shd w:val="clear"/>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0F15B17C">
            <w:pPr>
              <w:widowControl/>
              <w:shd w:val="clear"/>
              <w:jc w:val="left"/>
              <w:rPr>
                <w:color w:val="auto"/>
                <w:szCs w:val="21"/>
                <w:highlight w:val="none"/>
              </w:rPr>
            </w:pPr>
            <w:r>
              <w:rPr>
                <w:rFonts w:hint="eastAsia"/>
                <w:color w:val="auto"/>
                <w:szCs w:val="21"/>
                <w:highlight w:val="none"/>
              </w:rPr>
              <w:t>X＜20</w:t>
            </w:r>
          </w:p>
        </w:tc>
      </w:tr>
      <w:tr w14:paraId="5B741DD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9CD01EB">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1A818F7">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71618E1">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4DAD31C">
            <w:pPr>
              <w:widowControl/>
              <w:shd w:val="clear"/>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0B471E6F">
            <w:pPr>
              <w:widowControl/>
              <w:shd w:val="clear"/>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E4BCD36">
            <w:pPr>
              <w:widowControl/>
              <w:shd w:val="clear"/>
              <w:jc w:val="left"/>
              <w:rPr>
                <w:color w:val="auto"/>
                <w:szCs w:val="21"/>
                <w:highlight w:val="none"/>
              </w:rPr>
            </w:pPr>
            <w:r>
              <w:rPr>
                <w:rFonts w:hint="eastAsia"/>
                <w:color w:val="auto"/>
                <w:szCs w:val="21"/>
                <w:highlight w:val="none"/>
              </w:rPr>
              <w:t>Y＜100</w:t>
            </w:r>
          </w:p>
        </w:tc>
      </w:tr>
      <w:tr w14:paraId="3614D2A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957D1AD">
            <w:pPr>
              <w:widowControl/>
              <w:shd w:val="clear"/>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4AF2877B">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F88E787">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7A7CF3F">
            <w:pPr>
              <w:widowControl/>
              <w:shd w:val="clear"/>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2A17DC52">
            <w:pPr>
              <w:widowControl/>
              <w:shd w:val="clear"/>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1333C61">
            <w:pPr>
              <w:widowControl/>
              <w:shd w:val="clear"/>
              <w:jc w:val="left"/>
              <w:rPr>
                <w:color w:val="auto"/>
                <w:szCs w:val="21"/>
                <w:highlight w:val="none"/>
              </w:rPr>
            </w:pPr>
            <w:r>
              <w:rPr>
                <w:rFonts w:hint="eastAsia"/>
                <w:color w:val="auto"/>
                <w:szCs w:val="21"/>
                <w:highlight w:val="none"/>
              </w:rPr>
              <w:t>X＜10</w:t>
            </w:r>
          </w:p>
        </w:tc>
      </w:tr>
      <w:tr w14:paraId="34882D4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AEA6759">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AF75EB0">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DD3E740">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776E691">
            <w:pPr>
              <w:widowControl/>
              <w:shd w:val="clear"/>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60E37A0">
            <w:pPr>
              <w:widowControl/>
              <w:shd w:val="clear"/>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0300328C">
            <w:pPr>
              <w:widowControl/>
              <w:shd w:val="clear"/>
              <w:jc w:val="left"/>
              <w:rPr>
                <w:color w:val="auto"/>
                <w:szCs w:val="21"/>
                <w:highlight w:val="none"/>
              </w:rPr>
            </w:pPr>
            <w:r>
              <w:rPr>
                <w:rFonts w:hint="eastAsia"/>
                <w:color w:val="auto"/>
                <w:szCs w:val="21"/>
                <w:highlight w:val="none"/>
              </w:rPr>
              <w:t>Y＜100</w:t>
            </w:r>
          </w:p>
        </w:tc>
      </w:tr>
      <w:tr w14:paraId="7E7E3C0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96F07F7">
            <w:pPr>
              <w:widowControl/>
              <w:shd w:val="clear"/>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5D676BA5">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0CD6B0A">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7669F45">
            <w:pPr>
              <w:widowControl/>
              <w:shd w:val="clear"/>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8517004">
            <w:pPr>
              <w:widowControl/>
              <w:shd w:val="clear"/>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56067A48">
            <w:pPr>
              <w:widowControl/>
              <w:shd w:val="clear"/>
              <w:jc w:val="left"/>
              <w:rPr>
                <w:color w:val="auto"/>
                <w:szCs w:val="21"/>
                <w:highlight w:val="none"/>
              </w:rPr>
            </w:pPr>
            <w:r>
              <w:rPr>
                <w:rFonts w:hint="eastAsia"/>
                <w:color w:val="auto"/>
                <w:szCs w:val="21"/>
                <w:highlight w:val="none"/>
              </w:rPr>
              <w:t>X＜10</w:t>
            </w:r>
          </w:p>
        </w:tc>
      </w:tr>
      <w:tr w14:paraId="42EB278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774110B">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54BAF17">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5B68CD0">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7EC50F1">
            <w:pPr>
              <w:widowControl/>
              <w:shd w:val="clear"/>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6E25FBA9">
            <w:pPr>
              <w:widowControl/>
              <w:shd w:val="clear"/>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C1B54E1">
            <w:pPr>
              <w:widowControl/>
              <w:shd w:val="clear"/>
              <w:jc w:val="left"/>
              <w:rPr>
                <w:color w:val="auto"/>
                <w:szCs w:val="21"/>
                <w:highlight w:val="none"/>
              </w:rPr>
            </w:pPr>
            <w:r>
              <w:rPr>
                <w:rFonts w:hint="eastAsia"/>
                <w:color w:val="auto"/>
                <w:szCs w:val="21"/>
                <w:highlight w:val="none"/>
              </w:rPr>
              <w:t>Y＜100</w:t>
            </w:r>
          </w:p>
        </w:tc>
      </w:tr>
      <w:tr w14:paraId="2CF295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02FF1D0">
            <w:pPr>
              <w:widowControl/>
              <w:shd w:val="clear"/>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5367F080">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9E76E5">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FD9B74C">
            <w:pPr>
              <w:widowControl/>
              <w:shd w:val="clear"/>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0859CA63">
            <w:pPr>
              <w:widowControl/>
              <w:shd w:val="clear"/>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89E11C0">
            <w:pPr>
              <w:widowControl/>
              <w:shd w:val="clear"/>
              <w:jc w:val="left"/>
              <w:rPr>
                <w:color w:val="auto"/>
                <w:szCs w:val="21"/>
                <w:highlight w:val="none"/>
              </w:rPr>
            </w:pPr>
            <w:r>
              <w:rPr>
                <w:rFonts w:hint="eastAsia"/>
                <w:color w:val="auto"/>
                <w:szCs w:val="21"/>
                <w:highlight w:val="none"/>
              </w:rPr>
              <w:t>X＜10</w:t>
            </w:r>
          </w:p>
        </w:tc>
      </w:tr>
      <w:tr w14:paraId="77F11AD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C9BEBD3">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73DA493">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555B46F">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B3956BF">
            <w:pPr>
              <w:widowControl/>
              <w:shd w:val="clear"/>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47F52305">
            <w:pPr>
              <w:widowControl/>
              <w:shd w:val="clear"/>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69C20FC6">
            <w:pPr>
              <w:widowControl/>
              <w:shd w:val="clear"/>
              <w:jc w:val="left"/>
              <w:rPr>
                <w:color w:val="auto"/>
                <w:szCs w:val="21"/>
                <w:highlight w:val="none"/>
              </w:rPr>
            </w:pPr>
            <w:r>
              <w:rPr>
                <w:rFonts w:hint="eastAsia"/>
                <w:color w:val="auto"/>
                <w:szCs w:val="21"/>
                <w:highlight w:val="none"/>
              </w:rPr>
              <w:t>Y＜100</w:t>
            </w:r>
          </w:p>
        </w:tc>
      </w:tr>
      <w:tr w14:paraId="21A1DD0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A6E4220">
            <w:pPr>
              <w:widowControl/>
              <w:shd w:val="clear"/>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7DA29023">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DF9E2DB">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62ADF20">
            <w:pPr>
              <w:widowControl/>
              <w:shd w:val="clear"/>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2710C14">
            <w:pPr>
              <w:widowControl/>
              <w:shd w:val="clear"/>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23B4C8E">
            <w:pPr>
              <w:widowControl/>
              <w:shd w:val="clear"/>
              <w:jc w:val="left"/>
              <w:rPr>
                <w:color w:val="auto"/>
                <w:szCs w:val="21"/>
                <w:highlight w:val="none"/>
              </w:rPr>
            </w:pPr>
            <w:r>
              <w:rPr>
                <w:rFonts w:hint="eastAsia"/>
                <w:color w:val="auto"/>
                <w:szCs w:val="21"/>
                <w:highlight w:val="none"/>
              </w:rPr>
              <w:t>X＜10</w:t>
            </w:r>
          </w:p>
        </w:tc>
      </w:tr>
      <w:tr w14:paraId="7634F9F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15B2EE">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832B481">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0E3935F">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8788E94">
            <w:pPr>
              <w:widowControl/>
              <w:shd w:val="clear"/>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0DA42DEE">
            <w:pPr>
              <w:widowControl/>
              <w:shd w:val="clear"/>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1B6362AA">
            <w:pPr>
              <w:widowControl/>
              <w:shd w:val="clear"/>
              <w:jc w:val="left"/>
              <w:rPr>
                <w:color w:val="auto"/>
                <w:szCs w:val="21"/>
                <w:highlight w:val="none"/>
              </w:rPr>
            </w:pPr>
            <w:r>
              <w:rPr>
                <w:rFonts w:hint="eastAsia"/>
                <w:color w:val="auto"/>
                <w:szCs w:val="21"/>
                <w:highlight w:val="none"/>
              </w:rPr>
              <w:t>Y＜50</w:t>
            </w:r>
          </w:p>
        </w:tc>
      </w:tr>
      <w:tr w14:paraId="735B070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04D1B41">
            <w:pPr>
              <w:widowControl/>
              <w:shd w:val="clear"/>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621767AE">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E1EE89D">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4CB91F6">
            <w:pPr>
              <w:widowControl/>
              <w:shd w:val="clear"/>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0A43BD9C">
            <w:pPr>
              <w:widowControl/>
              <w:shd w:val="clear"/>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0F41081E">
            <w:pPr>
              <w:widowControl/>
              <w:shd w:val="clear"/>
              <w:jc w:val="left"/>
              <w:rPr>
                <w:color w:val="auto"/>
                <w:szCs w:val="21"/>
                <w:highlight w:val="none"/>
              </w:rPr>
            </w:pPr>
            <w:r>
              <w:rPr>
                <w:rFonts w:hint="eastAsia"/>
                <w:color w:val="auto"/>
                <w:szCs w:val="21"/>
                <w:highlight w:val="none"/>
              </w:rPr>
              <w:t>X＜100</w:t>
            </w:r>
          </w:p>
        </w:tc>
      </w:tr>
      <w:tr w14:paraId="4C3AFD5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9DD95FB">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6439143">
            <w:pPr>
              <w:widowControl/>
              <w:shd w:val="clear"/>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0AFA081B">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A6A8D69">
            <w:pPr>
              <w:widowControl/>
              <w:shd w:val="clear"/>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21107ED6">
            <w:pPr>
              <w:widowControl/>
              <w:shd w:val="clear"/>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16AAEA1">
            <w:pPr>
              <w:widowControl/>
              <w:shd w:val="clear"/>
              <w:jc w:val="left"/>
              <w:rPr>
                <w:color w:val="auto"/>
                <w:szCs w:val="21"/>
                <w:highlight w:val="none"/>
              </w:rPr>
            </w:pPr>
            <w:r>
              <w:rPr>
                <w:rFonts w:hint="eastAsia"/>
                <w:color w:val="auto"/>
                <w:szCs w:val="21"/>
                <w:highlight w:val="none"/>
              </w:rPr>
              <w:t>Y＜2000</w:t>
            </w:r>
          </w:p>
        </w:tc>
      </w:tr>
      <w:tr w14:paraId="4D3E03B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4505A82">
            <w:pPr>
              <w:widowControl/>
              <w:shd w:val="clear"/>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0D914D4">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4321DD8">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39EDCA2">
            <w:pPr>
              <w:widowControl/>
              <w:shd w:val="clear"/>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B057A69">
            <w:pPr>
              <w:widowControl/>
              <w:shd w:val="clear"/>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4A530371">
            <w:pPr>
              <w:widowControl/>
              <w:shd w:val="clear"/>
              <w:jc w:val="left"/>
              <w:rPr>
                <w:color w:val="auto"/>
                <w:szCs w:val="21"/>
                <w:highlight w:val="none"/>
              </w:rPr>
            </w:pPr>
            <w:r>
              <w:rPr>
                <w:rFonts w:hint="eastAsia"/>
                <w:color w:val="auto"/>
                <w:szCs w:val="21"/>
                <w:highlight w:val="none"/>
              </w:rPr>
              <w:t>X＜100</w:t>
            </w:r>
          </w:p>
        </w:tc>
      </w:tr>
      <w:tr w14:paraId="74A9D26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10E8CE5">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A9FA178">
            <w:pPr>
              <w:widowControl/>
              <w:shd w:val="clear"/>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45C4E4D">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2498B7B">
            <w:pPr>
              <w:widowControl/>
              <w:shd w:val="clear"/>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1C8A831">
            <w:pPr>
              <w:widowControl/>
              <w:shd w:val="clear"/>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356FF3AB">
            <w:pPr>
              <w:widowControl/>
              <w:shd w:val="clear"/>
              <w:jc w:val="left"/>
              <w:rPr>
                <w:color w:val="auto"/>
                <w:szCs w:val="21"/>
                <w:highlight w:val="none"/>
              </w:rPr>
            </w:pPr>
            <w:r>
              <w:rPr>
                <w:rFonts w:hint="eastAsia"/>
                <w:color w:val="auto"/>
                <w:szCs w:val="21"/>
                <w:highlight w:val="none"/>
              </w:rPr>
              <w:t>Y＜500</w:t>
            </w:r>
          </w:p>
        </w:tc>
      </w:tr>
      <w:tr w14:paraId="6469A54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E733029">
            <w:pPr>
              <w:widowControl/>
              <w:shd w:val="clear"/>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795F55CB">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AE8846">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CADD34E">
            <w:pPr>
              <w:widowControl/>
              <w:shd w:val="clear"/>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425C65A">
            <w:pPr>
              <w:widowControl/>
              <w:shd w:val="clear"/>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088C08F">
            <w:pPr>
              <w:widowControl/>
              <w:shd w:val="clear"/>
              <w:jc w:val="left"/>
              <w:rPr>
                <w:color w:val="auto"/>
                <w:szCs w:val="21"/>
                <w:highlight w:val="none"/>
              </w:rPr>
            </w:pPr>
            <w:r>
              <w:rPr>
                <w:rFonts w:hint="eastAsia"/>
                <w:color w:val="auto"/>
                <w:szCs w:val="21"/>
                <w:highlight w:val="none"/>
              </w:rPr>
              <w:t>X＜10</w:t>
            </w:r>
          </w:p>
        </w:tc>
      </w:tr>
      <w:tr w14:paraId="7BFB903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853507C">
            <w:pPr>
              <w:widowControl/>
              <w:shd w:val="clear"/>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024AF3F">
            <w:pPr>
              <w:widowControl/>
              <w:shd w:val="clear"/>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74CC849E">
            <w:pPr>
              <w:widowControl/>
              <w:shd w:val="clear"/>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3734CC3">
            <w:pPr>
              <w:widowControl/>
              <w:shd w:val="clear"/>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24832FC7">
            <w:pPr>
              <w:widowControl/>
              <w:shd w:val="clear"/>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5B7A0846">
            <w:pPr>
              <w:widowControl/>
              <w:shd w:val="clear"/>
              <w:jc w:val="left"/>
              <w:rPr>
                <w:color w:val="auto"/>
                <w:szCs w:val="21"/>
                <w:highlight w:val="none"/>
              </w:rPr>
            </w:pPr>
            <w:r>
              <w:rPr>
                <w:rFonts w:hint="eastAsia"/>
                <w:color w:val="auto"/>
                <w:szCs w:val="21"/>
                <w:highlight w:val="none"/>
              </w:rPr>
              <w:t>Y＜100</w:t>
            </w:r>
          </w:p>
        </w:tc>
      </w:tr>
      <w:tr w14:paraId="0624D16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112A65C">
            <w:pPr>
              <w:widowControl/>
              <w:shd w:val="clear"/>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590D95EC">
            <w:pPr>
              <w:widowControl/>
              <w:shd w:val="clear"/>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5D098A5">
            <w:pPr>
              <w:widowControl/>
              <w:shd w:val="clear"/>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5C21BEE">
            <w:pPr>
              <w:widowControl/>
              <w:shd w:val="clear"/>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1119A97">
            <w:pPr>
              <w:widowControl/>
              <w:shd w:val="clear"/>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0DCA1704">
            <w:pPr>
              <w:widowControl/>
              <w:shd w:val="clear"/>
              <w:jc w:val="left"/>
              <w:rPr>
                <w:color w:val="auto"/>
                <w:szCs w:val="21"/>
                <w:highlight w:val="none"/>
              </w:rPr>
            </w:pPr>
            <w:r>
              <w:rPr>
                <w:rFonts w:hint="eastAsia"/>
                <w:color w:val="auto"/>
                <w:szCs w:val="21"/>
                <w:highlight w:val="none"/>
              </w:rPr>
              <w:t>X＜10</w:t>
            </w:r>
          </w:p>
        </w:tc>
      </w:tr>
    </w:tbl>
    <w:p w14:paraId="10B0057D">
      <w:pPr>
        <w:shd w:val="clea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w:t>
      </w:r>
      <w:r>
        <w:rPr>
          <w:rFonts w:hint="eastAsia"/>
          <w:color w:val="auto"/>
          <w:szCs w:val="21"/>
          <w:highlight w:val="none"/>
          <w:lang w:eastAsia="zh-CN"/>
        </w:rPr>
        <w:t>〔2011〕300号</w:t>
      </w:r>
      <w:r>
        <w:rPr>
          <w:rFonts w:hint="eastAsia"/>
          <w:color w:val="auto"/>
          <w:szCs w:val="21"/>
          <w:highlight w:val="none"/>
        </w:rPr>
        <w:t>），大型、中型和小型企业须同时满足所列指标的下限，否则下划一档；微型企业只须满足所列指标中的一项即可。</w:t>
      </w:r>
    </w:p>
    <w:bookmarkEnd w:id="21"/>
    <w:p w14:paraId="61D3E5E3">
      <w:pPr>
        <w:shd w:val="clear"/>
        <w:spacing w:line="360" w:lineRule="auto"/>
        <w:outlineLvl w:val="0"/>
        <w:rPr>
          <w:color w:val="auto"/>
          <w:szCs w:val="21"/>
          <w:highlight w:val="none"/>
        </w:rPr>
        <w:sectPr>
          <w:headerReference r:id="rId9" w:type="first"/>
          <w:footerReference r:id="rId11" w:type="first"/>
          <w:headerReference r:id="rId8" w:type="default"/>
          <w:footerReference r:id="rId10" w:type="default"/>
          <w:pgSz w:w="11906" w:h="16838"/>
          <w:pgMar w:top="993" w:right="1133" w:bottom="1246" w:left="1418" w:header="851" w:footer="992" w:gutter="0"/>
          <w:cols w:space="720" w:num="1"/>
          <w:titlePg/>
          <w:docGrid w:linePitch="312" w:charSpace="0"/>
        </w:sectPr>
      </w:pPr>
    </w:p>
    <w:bookmarkEnd w:id="14"/>
    <w:bookmarkEnd w:id="15"/>
    <w:p w14:paraId="35617CC6">
      <w:pPr>
        <w:shd w:val="clear"/>
        <w:ind w:firstLine="320" w:firstLineChars="100"/>
        <w:jc w:val="center"/>
        <w:rPr>
          <w:rFonts w:ascii="Times New Roman" w:hAnsi="Times New Roman" w:cs="Times New Roman"/>
          <w:color w:val="auto"/>
          <w:sz w:val="32"/>
          <w:szCs w:val="32"/>
          <w:highlight w:val="none"/>
        </w:rPr>
      </w:pPr>
      <w:bookmarkStart w:id="22" w:name="_Toc31810"/>
      <w:r>
        <w:rPr>
          <w:rFonts w:ascii="Times New Roman" w:hAnsi="Times New Roman" w:cs="Times New Roman"/>
          <w:color w:val="auto"/>
          <w:sz w:val="32"/>
          <w:szCs w:val="32"/>
          <w:highlight w:val="none"/>
        </w:rPr>
        <w:t>第三章  供应商须知</w:t>
      </w:r>
      <w:bookmarkEnd w:id="22"/>
      <w:bookmarkStart w:id="23" w:name="_Toc254970667"/>
      <w:bookmarkStart w:id="24" w:name="_Toc254970526"/>
    </w:p>
    <w:p w14:paraId="77FC87A6">
      <w:pPr>
        <w:pStyle w:val="3"/>
        <w:shd w:val="clear"/>
        <w:spacing w:before="40" w:after="40"/>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供应商须知前附表</w:t>
      </w:r>
      <w:bookmarkEnd w:id="23"/>
      <w:bookmarkEnd w:id="24"/>
      <w:bookmarkStart w:id="25" w:name="_投标人须知前附表"/>
      <w:bookmarkEnd w:id="25"/>
      <w:bookmarkStart w:id="26" w:name="_Hlk19088833"/>
    </w:p>
    <w:tbl>
      <w:tblPr>
        <w:tblStyle w:val="52"/>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36C26A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2DECF5B3">
            <w:pPr>
              <w:shd w:val="clear"/>
              <w:jc w:val="center"/>
              <w:rPr>
                <w:b/>
                <w:color w:val="auto"/>
                <w:szCs w:val="21"/>
                <w:highlight w:val="none"/>
              </w:rPr>
            </w:pPr>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769A9A62">
            <w:pPr>
              <w:shd w:val="clea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242190F2">
            <w:pPr>
              <w:shd w:val="clear"/>
              <w:jc w:val="center"/>
              <w:rPr>
                <w:b/>
                <w:color w:val="auto"/>
                <w:szCs w:val="21"/>
                <w:highlight w:val="none"/>
              </w:rPr>
            </w:pPr>
            <w:r>
              <w:rPr>
                <w:b/>
                <w:color w:val="auto"/>
                <w:szCs w:val="21"/>
                <w:highlight w:val="none"/>
              </w:rPr>
              <w:t>内容、要求</w:t>
            </w:r>
          </w:p>
        </w:tc>
      </w:tr>
      <w:tr w14:paraId="140389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5B865BF5">
            <w:pPr>
              <w:shd w:val="clea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4C82AAC8">
            <w:pPr>
              <w:shd w:val="clea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4BDEA042">
            <w:pPr>
              <w:shd w:val="clear"/>
              <w:spacing w:line="300" w:lineRule="exact"/>
              <w:jc w:val="left"/>
              <w:rPr>
                <w:rFonts w:hint="eastAsia"/>
                <w:color w:val="auto"/>
                <w:szCs w:val="21"/>
                <w:highlight w:val="none"/>
                <w:lang w:eastAsia="zh-CN"/>
              </w:rPr>
            </w:pPr>
            <w:r>
              <w:rPr>
                <w:rFonts w:hint="eastAsia"/>
                <w:color w:val="auto"/>
                <w:szCs w:val="21"/>
                <w:highlight w:val="none"/>
              </w:rPr>
              <w:t>项目名称：</w:t>
            </w:r>
            <w:r>
              <w:rPr>
                <w:rFonts w:hint="eastAsia"/>
                <w:color w:val="auto"/>
                <w:szCs w:val="21"/>
                <w:highlight w:val="none"/>
                <w:lang w:eastAsia="zh-CN"/>
              </w:rPr>
              <w:t>2026年大新县生产障碍耕地治理项目（重）</w:t>
            </w:r>
          </w:p>
          <w:p w14:paraId="730FF3FA">
            <w:pPr>
              <w:shd w:val="clear"/>
              <w:spacing w:line="300" w:lineRule="exact"/>
              <w:jc w:val="left"/>
              <w:rPr>
                <w:rFonts w:hint="eastAsia"/>
                <w:color w:val="auto"/>
                <w:szCs w:val="21"/>
                <w:highlight w:val="none"/>
                <w:lang w:val="en-US" w:eastAsia="zh-CN"/>
              </w:rPr>
            </w:pPr>
            <w:r>
              <w:rPr>
                <w:rFonts w:hint="eastAsia"/>
                <w:color w:val="auto"/>
                <w:szCs w:val="21"/>
                <w:highlight w:val="none"/>
              </w:rPr>
              <w:t>项目编号：</w:t>
            </w:r>
            <w:r>
              <w:rPr>
                <w:rFonts w:hint="eastAsia"/>
                <w:color w:val="auto"/>
                <w:szCs w:val="21"/>
                <w:highlight w:val="none"/>
                <w:lang w:eastAsia="zh-CN"/>
              </w:rPr>
              <w:t>CZZC2026-C3-240094-JDZB</w:t>
            </w:r>
          </w:p>
          <w:p w14:paraId="2228D86D">
            <w:pPr>
              <w:shd w:val="clear"/>
              <w:spacing w:line="300" w:lineRule="exact"/>
              <w:jc w:val="left"/>
              <w:rPr>
                <w:rFonts w:hint="eastAsia"/>
                <w:color w:val="auto"/>
                <w:szCs w:val="21"/>
                <w:highlight w:val="none"/>
                <w:lang w:val="en-US" w:eastAsia="zh-CN"/>
              </w:rPr>
            </w:pPr>
            <w:r>
              <w:rPr>
                <w:rFonts w:hint="eastAsia"/>
                <w:color w:val="auto"/>
                <w:szCs w:val="21"/>
                <w:highlight w:val="none"/>
              </w:rPr>
              <w:t>采购计划号：DXZC2026-C3-00747-001</w:t>
            </w:r>
            <w:r>
              <w:rPr>
                <w:rFonts w:hint="eastAsia"/>
                <w:color w:val="auto"/>
                <w:szCs w:val="21"/>
                <w:highlight w:val="none"/>
                <w:lang w:eastAsia="zh-CN"/>
              </w:rPr>
              <w:t>、DXZC2026-C3-00747-00</w:t>
            </w:r>
            <w:r>
              <w:rPr>
                <w:rFonts w:hint="eastAsia"/>
                <w:color w:val="auto"/>
                <w:szCs w:val="21"/>
                <w:highlight w:val="none"/>
                <w:lang w:val="en-US" w:eastAsia="zh-CN"/>
              </w:rPr>
              <w:t>2、</w:t>
            </w:r>
            <w:r>
              <w:rPr>
                <w:rFonts w:hint="eastAsia"/>
                <w:color w:val="auto"/>
                <w:szCs w:val="21"/>
                <w:highlight w:val="none"/>
              </w:rPr>
              <w:t>DXZC2026-C3-00747-00</w:t>
            </w:r>
            <w:r>
              <w:rPr>
                <w:rFonts w:hint="eastAsia"/>
                <w:color w:val="auto"/>
                <w:szCs w:val="21"/>
                <w:highlight w:val="none"/>
                <w:lang w:val="en-US" w:eastAsia="zh-CN"/>
              </w:rPr>
              <w:t>3</w:t>
            </w:r>
          </w:p>
        </w:tc>
      </w:tr>
      <w:tr w14:paraId="622299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66CEB850">
            <w:pPr>
              <w:shd w:val="clea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2381BAE4">
            <w:pPr>
              <w:shd w:val="clea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42EB90E6">
            <w:pPr>
              <w:shd w:val="clear"/>
              <w:spacing w:line="300" w:lineRule="exact"/>
              <w:jc w:val="left"/>
              <w:rPr>
                <w:rFonts w:hint="eastAsia"/>
                <w:color w:val="auto"/>
                <w:szCs w:val="21"/>
                <w:highlight w:val="none"/>
              </w:rPr>
            </w:pPr>
            <w:r>
              <w:rPr>
                <w:rFonts w:hint="eastAsia"/>
                <w:color w:val="auto"/>
                <w:szCs w:val="21"/>
                <w:highlight w:val="none"/>
              </w:rPr>
              <w:t>竞争性磋商。</w:t>
            </w:r>
          </w:p>
        </w:tc>
      </w:tr>
      <w:tr w14:paraId="6093E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64713E8D">
            <w:pPr>
              <w:shd w:val="clear"/>
              <w:spacing w:line="300" w:lineRule="exact"/>
              <w:jc w:val="center"/>
              <w:rPr>
                <w:b/>
                <w:color w:val="auto"/>
                <w:szCs w:val="21"/>
                <w:highlight w:val="none"/>
              </w:rPr>
            </w:pPr>
            <w:r>
              <w:rPr>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vAlign w:val="center"/>
          </w:tcPr>
          <w:p w14:paraId="6779A553">
            <w:pPr>
              <w:shd w:val="clea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40C855E4">
            <w:pPr>
              <w:shd w:val="clear"/>
              <w:spacing w:line="300" w:lineRule="exact"/>
              <w:jc w:val="left"/>
              <w:rPr>
                <w:color w:val="auto"/>
                <w:szCs w:val="21"/>
                <w:highlight w:val="none"/>
              </w:rPr>
            </w:pPr>
            <w:r>
              <w:rPr>
                <w:rFonts w:hint="eastAsia" w:ascii="宋体" w:hAnsi="宋体" w:cs="宋体"/>
                <w:color w:val="auto"/>
                <w:szCs w:val="21"/>
                <w:highlight w:val="none"/>
              </w:rPr>
              <w:t>专门面向中小企业采购的项目</w:t>
            </w:r>
          </w:p>
        </w:tc>
      </w:tr>
      <w:tr w14:paraId="0018ED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4D8E30E">
            <w:pPr>
              <w:shd w:val="clea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2F8B4B5B">
            <w:pPr>
              <w:shd w:val="clear"/>
              <w:spacing w:line="300" w:lineRule="exact"/>
              <w:jc w:val="center"/>
              <w:rPr>
                <w:color w:val="auto"/>
                <w:szCs w:val="21"/>
                <w:highlight w:val="none"/>
              </w:rPr>
            </w:pPr>
            <w:r>
              <w:rPr>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0DD6AF8A">
            <w:pPr>
              <w:shd w:val="clear"/>
              <w:spacing w:line="300" w:lineRule="exact"/>
              <w:jc w:val="left"/>
              <w:rPr>
                <w:color w:val="auto"/>
                <w:szCs w:val="21"/>
                <w:highlight w:val="none"/>
              </w:rPr>
            </w:pPr>
            <w:r>
              <w:rPr>
                <w:rFonts w:hint="eastAsia"/>
                <w:color w:val="auto"/>
                <w:szCs w:val="21"/>
                <w:highlight w:val="none"/>
              </w:rPr>
              <w:t>详</w:t>
            </w:r>
            <w:r>
              <w:rPr>
                <w:color w:val="auto"/>
                <w:szCs w:val="21"/>
                <w:highlight w:val="none"/>
              </w:rPr>
              <w:t>见</w:t>
            </w:r>
            <w:r>
              <w:rPr>
                <w:rFonts w:hint="eastAsia"/>
                <w:color w:val="auto"/>
                <w:szCs w:val="21"/>
                <w:highlight w:val="none"/>
              </w:rPr>
              <w:t>磋商</w:t>
            </w:r>
            <w:r>
              <w:rPr>
                <w:color w:val="auto"/>
                <w:szCs w:val="21"/>
                <w:highlight w:val="none"/>
              </w:rPr>
              <w:t>公告</w:t>
            </w:r>
            <w:r>
              <w:rPr>
                <w:rFonts w:hint="eastAsia"/>
                <w:color w:val="auto"/>
                <w:szCs w:val="21"/>
                <w:highlight w:val="none"/>
              </w:rPr>
              <w:t>。</w:t>
            </w:r>
          </w:p>
        </w:tc>
      </w:tr>
      <w:tr w14:paraId="539AD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575EA280">
            <w:pPr>
              <w:shd w:val="clear"/>
              <w:spacing w:line="300" w:lineRule="exact"/>
              <w:jc w:val="center"/>
              <w:rPr>
                <w:b/>
                <w:color w:val="auto"/>
                <w:szCs w:val="21"/>
                <w:highlight w:val="none"/>
              </w:rPr>
            </w:pPr>
            <w:bookmarkStart w:id="27" w:name="_Hlk85555568"/>
            <w:r>
              <w:rPr>
                <w:b/>
                <w:color w:val="auto"/>
                <w:szCs w:val="21"/>
                <w:highlight w:val="none"/>
              </w:rPr>
              <w:t>1.5.3</w:t>
            </w:r>
          </w:p>
        </w:tc>
        <w:tc>
          <w:tcPr>
            <w:tcW w:w="1248" w:type="dxa"/>
            <w:tcBorders>
              <w:top w:val="single" w:color="auto" w:sz="4" w:space="0"/>
              <w:left w:val="single" w:color="auto" w:sz="4" w:space="0"/>
              <w:right w:val="single" w:color="auto" w:sz="4" w:space="0"/>
            </w:tcBorders>
            <w:vAlign w:val="center"/>
          </w:tcPr>
          <w:p w14:paraId="648CE5A3">
            <w:pPr>
              <w:shd w:val="clea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vAlign w:val="center"/>
          </w:tcPr>
          <w:p w14:paraId="0C527D3A">
            <w:pPr>
              <w:shd w:val="clear"/>
              <w:spacing w:line="300" w:lineRule="exact"/>
              <w:jc w:val="left"/>
              <w:rPr>
                <w:color w:val="auto"/>
                <w:szCs w:val="21"/>
                <w:highlight w:val="none"/>
              </w:rPr>
            </w:pPr>
            <w:r>
              <w:rPr>
                <w:rFonts w:hint="eastAsia"/>
                <w:color w:val="auto"/>
                <w:szCs w:val="21"/>
                <w:highlight w:val="none"/>
              </w:rPr>
              <w:t>是否接受联合体详见磋商公告</w:t>
            </w:r>
          </w:p>
        </w:tc>
      </w:tr>
      <w:bookmarkEnd w:id="27"/>
      <w:tr w14:paraId="03906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6A3B052">
            <w:pPr>
              <w:shd w:val="clear"/>
              <w:spacing w:line="300" w:lineRule="exact"/>
              <w:jc w:val="center"/>
              <w:rPr>
                <w:b/>
                <w:color w:val="auto"/>
                <w:szCs w:val="21"/>
                <w:highlight w:val="none"/>
              </w:rPr>
            </w:pPr>
            <w:r>
              <w:rPr>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vAlign w:val="center"/>
          </w:tcPr>
          <w:p w14:paraId="00B021DE">
            <w:pPr>
              <w:shd w:val="clea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001000AB">
            <w:pPr>
              <w:pStyle w:val="17"/>
              <w:shd w:val="clear"/>
              <w:rPr>
                <w:color w:val="auto"/>
                <w:szCs w:val="21"/>
                <w:highlight w:val="none"/>
              </w:rPr>
            </w:pPr>
            <w:r>
              <w:rPr>
                <w:color w:val="auto"/>
                <w:szCs w:val="21"/>
                <w:highlight w:val="none"/>
              </w:rPr>
              <w:sym w:font="Wingdings 2" w:char="0052"/>
            </w:r>
            <w:r>
              <w:rPr>
                <w:rFonts w:hint="eastAsia"/>
                <w:color w:val="auto"/>
                <w:szCs w:val="21"/>
                <w:highlight w:val="none"/>
              </w:rPr>
              <w:t xml:space="preserve">不组织 </w:t>
            </w:r>
          </w:p>
          <w:p w14:paraId="00F64A63">
            <w:pPr>
              <w:pStyle w:val="17"/>
              <w:shd w:val="clear"/>
              <w:rPr>
                <w:color w:val="auto"/>
                <w:szCs w:val="21"/>
                <w:highlight w:val="none"/>
              </w:rPr>
            </w:pPr>
            <w:r>
              <w:rPr>
                <w:rFonts w:hint="eastAsia"/>
                <w:color w:val="auto"/>
                <w:szCs w:val="21"/>
                <w:highlight w:val="none"/>
              </w:rPr>
              <w:t xml:space="preserve">☑自行踏勘   </w:t>
            </w:r>
          </w:p>
        </w:tc>
      </w:tr>
      <w:tr w14:paraId="1CCEFC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vAlign w:val="center"/>
          </w:tcPr>
          <w:p w14:paraId="54FF6BC2">
            <w:pPr>
              <w:shd w:val="clea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65D5E2D5">
            <w:pPr>
              <w:shd w:val="clea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596BEF7A">
            <w:pPr>
              <w:shd w:val="clear"/>
              <w:spacing w:line="300" w:lineRule="exact"/>
              <w:jc w:val="left"/>
              <w:rPr>
                <w:color w:val="auto"/>
                <w:szCs w:val="21"/>
                <w:highlight w:val="none"/>
              </w:rPr>
            </w:pPr>
            <w:r>
              <w:rPr>
                <w:rFonts w:hint="eastAsia"/>
                <w:color w:val="auto"/>
                <w:szCs w:val="21"/>
                <w:highlight w:val="none"/>
              </w:rPr>
              <w:t>是否接受分包详见磋商公告</w:t>
            </w:r>
          </w:p>
        </w:tc>
      </w:tr>
      <w:tr w14:paraId="79683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4BCAEA1E">
            <w:pPr>
              <w:shd w:val="clear"/>
              <w:spacing w:line="300" w:lineRule="exact"/>
              <w:jc w:val="center"/>
              <w:rPr>
                <w:b/>
                <w:color w:val="auto"/>
                <w:szCs w:val="21"/>
                <w:highlight w:val="none"/>
              </w:rPr>
            </w:pPr>
            <w:r>
              <w:rPr>
                <w:rFonts w:hint="eastAsia"/>
                <w:b/>
                <w:color w:val="auto"/>
                <w:szCs w:val="21"/>
                <w:highlight w:val="none"/>
              </w:rPr>
              <w:t>1.9</w:t>
            </w:r>
          </w:p>
        </w:tc>
        <w:tc>
          <w:tcPr>
            <w:tcW w:w="1248" w:type="dxa"/>
            <w:tcBorders>
              <w:top w:val="single" w:color="auto" w:sz="4" w:space="0"/>
              <w:left w:val="single" w:color="auto" w:sz="4" w:space="0"/>
              <w:bottom w:val="single" w:color="auto" w:sz="4" w:space="0"/>
              <w:right w:val="single" w:color="auto" w:sz="4" w:space="0"/>
            </w:tcBorders>
            <w:vAlign w:val="center"/>
          </w:tcPr>
          <w:p w14:paraId="428453B2">
            <w:pPr>
              <w:shd w:val="clear"/>
              <w:spacing w:line="300" w:lineRule="exact"/>
              <w:jc w:val="center"/>
              <w:rPr>
                <w:color w:val="auto"/>
                <w:szCs w:val="21"/>
                <w:highlight w:val="none"/>
              </w:rPr>
            </w:pPr>
            <w:r>
              <w:rPr>
                <w:rFonts w:hint="eastAsia"/>
                <w:color w:val="auto"/>
                <w:szCs w:val="21"/>
                <w:highlight w:val="none"/>
              </w:rPr>
              <w:t>对本国产品的支持政策</w:t>
            </w:r>
          </w:p>
        </w:tc>
        <w:tc>
          <w:tcPr>
            <w:tcW w:w="7229" w:type="dxa"/>
            <w:tcBorders>
              <w:top w:val="single" w:color="auto" w:sz="4" w:space="0"/>
              <w:left w:val="single" w:color="auto" w:sz="4" w:space="0"/>
              <w:bottom w:val="single" w:color="auto" w:sz="4" w:space="0"/>
              <w:right w:val="single" w:color="auto" w:sz="4" w:space="0"/>
            </w:tcBorders>
            <w:vAlign w:val="center"/>
          </w:tcPr>
          <w:p w14:paraId="698BA27D">
            <w:pPr>
              <w:shd w:val="clear"/>
              <w:spacing w:line="300" w:lineRule="exact"/>
              <w:jc w:val="left"/>
              <w:rPr>
                <w:color w:val="auto"/>
                <w:szCs w:val="21"/>
                <w:highlight w:val="none"/>
              </w:rPr>
            </w:pPr>
            <w:r>
              <w:rPr>
                <w:rFonts w:hint="eastAsia"/>
                <w:color w:val="auto"/>
                <w:szCs w:val="21"/>
                <w:highlight w:val="none"/>
              </w:rPr>
              <w:t>□适用</w:t>
            </w:r>
          </w:p>
          <w:p w14:paraId="2CE5728C">
            <w:pPr>
              <w:shd w:val="clear"/>
              <w:spacing w:line="300" w:lineRule="exact"/>
              <w:jc w:val="left"/>
              <w:rPr>
                <w:color w:val="auto"/>
                <w:szCs w:val="21"/>
                <w:highlight w:val="none"/>
              </w:rPr>
            </w:pPr>
            <w:r>
              <w:rPr>
                <w:rFonts w:hint="eastAsia"/>
                <w:color w:val="auto"/>
                <w:szCs w:val="21"/>
                <w:highlight w:val="none"/>
              </w:rPr>
              <w:t>☑不适用</w:t>
            </w:r>
          </w:p>
        </w:tc>
      </w:tr>
      <w:tr w14:paraId="28D0DD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DF55950">
            <w:pPr>
              <w:shd w:val="clea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387030D9">
            <w:pPr>
              <w:shd w:val="clear"/>
              <w:spacing w:line="300" w:lineRule="exact"/>
              <w:jc w:val="center"/>
              <w:rPr>
                <w:color w:val="auto"/>
                <w:szCs w:val="21"/>
                <w:highlight w:val="none"/>
              </w:rPr>
            </w:pPr>
            <w:r>
              <w:rPr>
                <w:rFonts w:hint="eastAsia"/>
                <w:color w:val="auto"/>
                <w:szCs w:val="21"/>
                <w:highlight w:val="none"/>
              </w:rPr>
              <w:t>采购文件</w:t>
            </w:r>
            <w:r>
              <w:rPr>
                <w:color w:val="auto"/>
                <w:szCs w:val="21"/>
                <w:highlight w:val="none"/>
              </w:rPr>
              <w:t>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430EC60E">
            <w:pPr>
              <w:shd w:val="clear"/>
              <w:spacing w:line="300" w:lineRule="exact"/>
              <w:jc w:val="left"/>
              <w:rPr>
                <w:color w:val="auto"/>
                <w:szCs w:val="21"/>
                <w:highlight w:val="none"/>
              </w:rPr>
            </w:pPr>
            <w:r>
              <w:rPr>
                <w:color w:val="auto"/>
                <w:szCs w:val="21"/>
                <w:highlight w:val="none"/>
              </w:rPr>
              <w:t>在</w:t>
            </w:r>
            <w:r>
              <w:rPr>
                <w:rFonts w:hint="eastAsia"/>
                <w:color w:val="auto"/>
                <w:szCs w:val="21"/>
                <w:highlight w:val="none"/>
              </w:rPr>
              <w:t>磋商</w:t>
            </w:r>
            <w:r>
              <w:rPr>
                <w:color w:val="auto"/>
                <w:szCs w:val="21"/>
                <w:highlight w:val="none"/>
              </w:rPr>
              <w:t>公告发布媒介发布</w:t>
            </w:r>
            <w:r>
              <w:rPr>
                <w:rFonts w:hint="eastAsia"/>
                <w:color w:val="auto"/>
                <w:szCs w:val="21"/>
                <w:highlight w:val="none"/>
              </w:rPr>
              <w:t>。</w:t>
            </w:r>
          </w:p>
        </w:tc>
      </w:tr>
      <w:tr w14:paraId="70D26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6FBC3C7E">
            <w:pPr>
              <w:shd w:val="clea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23699DA5">
            <w:pPr>
              <w:shd w:val="clea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25D17DC3">
            <w:pPr>
              <w:shd w:val="clea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自磋商</w:t>
            </w:r>
            <w:r>
              <w:rPr>
                <w:color w:val="auto"/>
                <w:szCs w:val="21"/>
                <w:highlight w:val="none"/>
              </w:rPr>
              <w:t>公告发布媒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磋商</w:t>
            </w:r>
            <w:r>
              <w:rPr>
                <w:color w:val="auto"/>
                <w:szCs w:val="21"/>
                <w:highlight w:val="none"/>
              </w:rPr>
              <w:t>公告发布媒</w:t>
            </w:r>
            <w:r>
              <w:rPr>
                <w:rFonts w:hint="eastAsia"/>
                <w:color w:val="auto"/>
                <w:szCs w:val="21"/>
                <w:highlight w:val="none"/>
              </w:rPr>
              <w:t>体</w:t>
            </w:r>
            <w:r>
              <w:rPr>
                <w:color w:val="auto"/>
                <w:szCs w:val="21"/>
                <w:highlight w:val="none"/>
              </w:rPr>
              <w:t>造成的损失，由供应商自行负责。</w:t>
            </w:r>
          </w:p>
        </w:tc>
      </w:tr>
      <w:tr w14:paraId="00633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53810F2B">
            <w:pPr>
              <w:shd w:val="clea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192FD7A4">
            <w:pPr>
              <w:shd w:val="clear"/>
              <w:spacing w:line="300" w:lineRule="exact"/>
              <w:jc w:val="center"/>
              <w:rPr>
                <w:color w:val="auto"/>
                <w:szCs w:val="21"/>
                <w:highlight w:val="none"/>
              </w:rPr>
            </w:pPr>
            <w:r>
              <w:rPr>
                <w:rFonts w:hint="eastAsia"/>
                <w:color w:val="auto"/>
                <w:szCs w:val="21"/>
                <w:highlight w:val="none"/>
              </w:rPr>
              <w:t>响应</w:t>
            </w:r>
            <w:r>
              <w:rPr>
                <w:color w:val="auto"/>
                <w:szCs w:val="21"/>
                <w:highlight w:val="none"/>
              </w:rPr>
              <w:t>有效期</w:t>
            </w:r>
          </w:p>
        </w:tc>
        <w:tc>
          <w:tcPr>
            <w:tcW w:w="7229" w:type="dxa"/>
            <w:tcBorders>
              <w:top w:val="single" w:color="auto" w:sz="4" w:space="0"/>
              <w:left w:val="single" w:color="auto" w:sz="4" w:space="0"/>
              <w:bottom w:val="single" w:color="auto" w:sz="4" w:space="0"/>
              <w:right w:val="single" w:color="auto" w:sz="4" w:space="0"/>
            </w:tcBorders>
            <w:vAlign w:val="center"/>
          </w:tcPr>
          <w:p w14:paraId="5B705B16">
            <w:pPr>
              <w:shd w:val="clear"/>
              <w:spacing w:line="300" w:lineRule="exact"/>
              <w:jc w:val="left"/>
              <w:rPr>
                <w:color w:val="auto"/>
                <w:szCs w:val="21"/>
                <w:highlight w:val="none"/>
              </w:rPr>
            </w:pPr>
            <w:r>
              <w:rPr>
                <w:color w:val="auto"/>
                <w:szCs w:val="21"/>
                <w:highlight w:val="none"/>
              </w:rPr>
              <w:t>响应截止之日起90天。</w:t>
            </w:r>
          </w:p>
        </w:tc>
      </w:tr>
      <w:tr w14:paraId="74F17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8536808">
            <w:pPr>
              <w:shd w:val="clea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vAlign w:val="center"/>
          </w:tcPr>
          <w:p w14:paraId="32CAF305">
            <w:pPr>
              <w:shd w:val="clear"/>
              <w:spacing w:line="300" w:lineRule="exact"/>
              <w:jc w:val="center"/>
              <w:rPr>
                <w:color w:val="auto"/>
                <w:szCs w:val="21"/>
                <w:highlight w:val="none"/>
              </w:rPr>
            </w:pPr>
            <w:r>
              <w:rPr>
                <w:rFonts w:hint="eastAsia"/>
                <w:color w:val="auto"/>
                <w:szCs w:val="21"/>
                <w:highlight w:val="none"/>
              </w:rPr>
              <w:t>磋商</w:t>
            </w:r>
            <w:r>
              <w:rPr>
                <w:color w:val="auto"/>
                <w:szCs w:val="21"/>
                <w:highlight w:val="none"/>
              </w:rPr>
              <w:t>保证金</w:t>
            </w:r>
          </w:p>
        </w:tc>
        <w:tc>
          <w:tcPr>
            <w:tcW w:w="7229" w:type="dxa"/>
            <w:tcBorders>
              <w:top w:val="single" w:color="auto" w:sz="4" w:space="0"/>
              <w:left w:val="single" w:color="auto" w:sz="4" w:space="0"/>
              <w:bottom w:val="single" w:color="auto" w:sz="4" w:space="0"/>
              <w:right w:val="single" w:color="auto" w:sz="4" w:space="0"/>
            </w:tcBorders>
            <w:vAlign w:val="center"/>
          </w:tcPr>
          <w:p w14:paraId="2ED9CF46">
            <w:pPr>
              <w:shd w:val="clear"/>
              <w:spacing w:line="312" w:lineRule="auto"/>
              <w:jc w:val="left"/>
              <w:rPr>
                <w:b/>
                <w:bCs/>
                <w:color w:val="auto"/>
                <w:szCs w:val="21"/>
                <w:highlight w:val="none"/>
              </w:rPr>
            </w:pPr>
            <w:r>
              <w:rPr>
                <w:rFonts w:hint="eastAsia"/>
                <w:color w:val="auto"/>
                <w:szCs w:val="21"/>
                <w:highlight w:val="none"/>
              </w:rPr>
              <w:t>磋商</w:t>
            </w:r>
            <w:r>
              <w:rPr>
                <w:color w:val="auto"/>
                <w:szCs w:val="21"/>
                <w:highlight w:val="none"/>
              </w:rPr>
              <w:t>保证</w:t>
            </w:r>
            <w:r>
              <w:rPr>
                <w:rFonts w:hint="eastAsia"/>
                <w:color w:val="auto"/>
                <w:szCs w:val="21"/>
                <w:highlight w:val="none"/>
              </w:rPr>
              <w:t>金金额：无</w:t>
            </w:r>
          </w:p>
        </w:tc>
      </w:tr>
      <w:tr w14:paraId="69D8F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6F4A0225">
            <w:pPr>
              <w:shd w:val="clea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vAlign w:val="center"/>
          </w:tcPr>
          <w:p w14:paraId="05412FEB">
            <w:pPr>
              <w:shd w:val="clear"/>
              <w:spacing w:line="300" w:lineRule="exact"/>
              <w:jc w:val="center"/>
              <w:rPr>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vAlign w:val="center"/>
          </w:tcPr>
          <w:p w14:paraId="30D80232">
            <w:pPr>
              <w:shd w:val="clear"/>
              <w:spacing w:line="300" w:lineRule="exact"/>
              <w:jc w:val="left"/>
              <w:rPr>
                <w:color w:val="auto"/>
                <w:szCs w:val="21"/>
                <w:highlight w:val="none"/>
              </w:rPr>
            </w:pPr>
            <w:r>
              <w:rPr>
                <w:rFonts w:hint="eastAsia" w:hAnsi="宋体"/>
                <w:color w:val="auto"/>
                <w:szCs w:val="21"/>
                <w:highlight w:val="none"/>
              </w:rPr>
              <w:t>响应文件应按第六章响应文件格式分别编制并使用下载的广西政府采购云平台新版客户端制作并上传。</w:t>
            </w:r>
          </w:p>
        </w:tc>
      </w:tr>
      <w:tr w14:paraId="3D667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43AF0EE9">
            <w:pPr>
              <w:shd w:val="clea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vAlign w:val="center"/>
          </w:tcPr>
          <w:p w14:paraId="2DDBE49A">
            <w:pPr>
              <w:shd w:val="clear"/>
              <w:spacing w:line="300" w:lineRule="exact"/>
              <w:jc w:val="center"/>
              <w:rPr>
                <w:color w:val="auto"/>
                <w:szCs w:val="21"/>
                <w:highlight w:val="none"/>
              </w:rPr>
            </w:pPr>
            <w:r>
              <w:rPr>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vAlign w:val="center"/>
          </w:tcPr>
          <w:p w14:paraId="67DDA742">
            <w:pPr>
              <w:shd w:val="clear"/>
              <w:spacing w:line="300" w:lineRule="exact"/>
              <w:jc w:val="left"/>
              <w:rPr>
                <w:color w:val="auto"/>
                <w:szCs w:val="21"/>
                <w:highlight w:val="none"/>
              </w:rPr>
            </w:pPr>
            <w:r>
              <w:rPr>
                <w:rFonts w:hint="eastAsia"/>
                <w:color w:val="auto"/>
                <w:kern w:val="0"/>
                <w:szCs w:val="21"/>
                <w:highlight w:val="none"/>
              </w:rPr>
              <w:t>见磋商公告要求</w:t>
            </w:r>
            <w:r>
              <w:rPr>
                <w:rFonts w:hint="eastAsia"/>
                <w:color w:val="auto"/>
                <w:szCs w:val="21"/>
                <w:highlight w:val="none"/>
              </w:rPr>
              <w:t>。</w:t>
            </w:r>
          </w:p>
        </w:tc>
      </w:tr>
      <w:tr w14:paraId="24A98E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F9BAB66">
            <w:pPr>
              <w:shd w:val="clea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vAlign w:val="center"/>
          </w:tcPr>
          <w:p w14:paraId="320B24BF">
            <w:pPr>
              <w:shd w:val="clear"/>
              <w:spacing w:line="300" w:lineRule="exact"/>
              <w:jc w:val="center"/>
              <w:rPr>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vAlign w:val="center"/>
          </w:tcPr>
          <w:p w14:paraId="708D922B">
            <w:pPr>
              <w:shd w:val="clear"/>
              <w:spacing w:line="276" w:lineRule="auto"/>
              <w:rPr>
                <w:rFonts w:hint="eastAsia" w:ascii="宋体" w:hAnsi="宋体"/>
                <w:color w:val="auto"/>
                <w:szCs w:val="21"/>
                <w:highlight w:val="none"/>
              </w:rPr>
            </w:pPr>
            <w:r>
              <w:rPr>
                <w:rFonts w:hint="eastAsia" w:ascii="宋体" w:hAnsi="宋体"/>
                <w:color w:val="auto"/>
                <w:szCs w:val="21"/>
                <w:highlight w:val="none"/>
              </w:rPr>
              <w:t>本项目</w:t>
            </w:r>
            <w:r>
              <w:rPr>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备份响应文件</w:t>
            </w:r>
          </w:p>
          <w:p w14:paraId="022D7336">
            <w:pPr>
              <w:shd w:val="clear"/>
              <w:spacing w:line="276" w:lineRule="auto"/>
              <w:rPr>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3D5179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7C0FB1F">
            <w:pPr>
              <w:shd w:val="clea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vAlign w:val="center"/>
          </w:tcPr>
          <w:p w14:paraId="616E8E68">
            <w:pPr>
              <w:shd w:val="clea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695A03D2">
            <w:pPr>
              <w:shd w:val="clear"/>
              <w:spacing w:line="276" w:lineRule="auto"/>
              <w:rPr>
                <w:color w:val="auto"/>
                <w:szCs w:val="21"/>
                <w:highlight w:val="none"/>
              </w:rPr>
            </w:pPr>
            <w:r>
              <w:rPr>
                <w:rFonts w:hint="eastAsia"/>
                <w:color w:val="auto"/>
                <w:szCs w:val="21"/>
                <w:highlight w:val="none"/>
              </w:rPr>
              <w:t>否</w:t>
            </w:r>
          </w:p>
        </w:tc>
      </w:tr>
      <w:tr w14:paraId="694FA7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79B06C56">
            <w:pPr>
              <w:shd w:val="clea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vAlign w:val="center"/>
          </w:tcPr>
          <w:p w14:paraId="00390AD8">
            <w:pPr>
              <w:shd w:val="clea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2761ADA7">
            <w:pPr>
              <w:shd w:val="clear"/>
              <w:spacing w:line="276" w:lineRule="auto"/>
              <w:rPr>
                <w:color w:val="auto"/>
                <w:szCs w:val="21"/>
                <w:highlight w:val="none"/>
              </w:rPr>
            </w:pPr>
            <w:r>
              <w:rPr>
                <w:rFonts w:hint="eastAsia"/>
                <w:color w:val="auto"/>
                <w:szCs w:val="21"/>
                <w:highlight w:val="none"/>
              </w:rPr>
              <w:t>否</w:t>
            </w:r>
          </w:p>
        </w:tc>
      </w:tr>
      <w:tr w14:paraId="06337B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2FD7CF74">
            <w:pPr>
              <w:shd w:val="clear"/>
              <w:spacing w:line="300" w:lineRule="exact"/>
              <w:jc w:val="center"/>
              <w:rPr>
                <w:b/>
                <w:color w:val="auto"/>
                <w:szCs w:val="21"/>
                <w:highlight w:val="none"/>
              </w:rPr>
            </w:pPr>
            <w:r>
              <w:rPr>
                <w:rFonts w:hint="eastAsia"/>
                <w:b/>
                <w:color w:val="auto"/>
                <w:szCs w:val="21"/>
                <w:highlight w:val="none"/>
              </w:rPr>
              <w:t>5.3.1</w:t>
            </w:r>
          </w:p>
        </w:tc>
        <w:tc>
          <w:tcPr>
            <w:tcW w:w="1248" w:type="dxa"/>
            <w:tcBorders>
              <w:top w:val="single" w:color="auto" w:sz="4" w:space="0"/>
              <w:left w:val="single" w:color="auto" w:sz="4" w:space="0"/>
              <w:bottom w:val="single" w:color="auto" w:sz="4" w:space="0"/>
              <w:right w:val="single" w:color="auto" w:sz="4" w:space="0"/>
            </w:tcBorders>
            <w:vAlign w:val="center"/>
          </w:tcPr>
          <w:p w14:paraId="053E6578">
            <w:pPr>
              <w:shd w:val="clear"/>
              <w:spacing w:line="300" w:lineRule="exact"/>
              <w:jc w:val="center"/>
              <w:rPr>
                <w:color w:val="auto"/>
                <w:szCs w:val="21"/>
                <w:highlight w:val="none"/>
              </w:rPr>
            </w:pPr>
            <w:r>
              <w:rPr>
                <w:rFonts w:hint="eastAsia"/>
                <w:color w:val="auto"/>
                <w:szCs w:val="21"/>
                <w:highlight w:val="none"/>
              </w:rPr>
              <w:t>信用查询</w:t>
            </w:r>
            <w:r>
              <w:rPr>
                <w:rFonts w:hint="eastAsia"/>
                <w:color w:val="auto"/>
                <w:highlight w:val="none"/>
              </w:rPr>
              <w:t>规则</w:t>
            </w:r>
          </w:p>
        </w:tc>
        <w:tc>
          <w:tcPr>
            <w:tcW w:w="7229" w:type="dxa"/>
            <w:tcBorders>
              <w:top w:val="single" w:color="auto" w:sz="4" w:space="0"/>
              <w:left w:val="single" w:color="auto" w:sz="4" w:space="0"/>
              <w:bottom w:val="single" w:color="auto" w:sz="4" w:space="0"/>
              <w:right w:val="single" w:color="auto" w:sz="4" w:space="0"/>
            </w:tcBorders>
            <w:vAlign w:val="center"/>
          </w:tcPr>
          <w:p w14:paraId="45C75548">
            <w:pPr>
              <w:shd w:val="clear"/>
              <w:snapToGrid w:val="0"/>
              <w:spacing w:line="380" w:lineRule="exact"/>
              <w:rPr>
                <w:rFonts w:hint="eastAsia" w:ascii="宋体" w:hAnsi="宋体"/>
                <w:color w:val="auto"/>
                <w:szCs w:val="21"/>
                <w:highlight w:val="none"/>
              </w:rPr>
            </w:pPr>
            <w:r>
              <w:rPr>
                <w:rFonts w:hint="eastAsia" w:ascii="宋体" w:hAnsi="宋体"/>
                <w:color w:val="auto"/>
                <w:szCs w:val="21"/>
                <w:highlight w:val="none"/>
              </w:rPr>
              <w:t>磋商小组在资格审查结束前，对供应商进行信用查询。</w:t>
            </w:r>
          </w:p>
          <w:p w14:paraId="0B1F76D6">
            <w:pPr>
              <w:shd w:val="clear"/>
              <w:snapToGrid w:val="0"/>
              <w:spacing w:line="380" w:lineRule="exact"/>
              <w:rPr>
                <w:rFonts w:hint="eastAsia" w:ascii="宋体" w:hAnsi="宋体"/>
                <w:color w:val="auto"/>
                <w:szCs w:val="21"/>
                <w:highlight w:val="none"/>
              </w:rPr>
            </w:pPr>
            <w:r>
              <w:rPr>
                <w:rFonts w:hint="eastAsia" w:ascii="宋体" w:hAnsi="宋体"/>
                <w:color w:val="auto"/>
                <w:szCs w:val="21"/>
                <w:highlight w:val="none"/>
              </w:rPr>
              <w:t>（1）查询渠道：广西政府采购云平台“信用中国”网站(www.creditchina.gov.cn) 、中国政府采购网(www.ccgp.gov.cn)链接入口。</w:t>
            </w:r>
          </w:p>
          <w:p w14:paraId="511EB4C0">
            <w:pPr>
              <w:shd w:val="clear"/>
              <w:snapToGrid w:val="0"/>
              <w:spacing w:line="380" w:lineRule="exact"/>
              <w:rPr>
                <w:rFonts w:hint="eastAsia" w:ascii="宋体" w:hAnsi="宋体"/>
                <w:color w:val="auto"/>
                <w:szCs w:val="21"/>
                <w:highlight w:val="none"/>
              </w:rPr>
            </w:pPr>
            <w:r>
              <w:rPr>
                <w:rFonts w:hint="eastAsia" w:ascii="宋体" w:hAnsi="宋体"/>
                <w:color w:val="auto"/>
                <w:szCs w:val="21"/>
                <w:highlight w:val="none"/>
              </w:rPr>
              <w:t>（2）信用查询截止时点：资格审查结束前</w:t>
            </w:r>
          </w:p>
          <w:p w14:paraId="22090EC1">
            <w:pPr>
              <w:shd w:val="clear"/>
              <w:snapToGrid w:val="0"/>
              <w:spacing w:line="380" w:lineRule="exact"/>
              <w:rPr>
                <w:rFonts w:hint="eastAsia" w:ascii="宋体" w:hAnsi="宋体"/>
                <w:color w:val="auto"/>
                <w:szCs w:val="21"/>
                <w:highlight w:val="none"/>
              </w:rPr>
            </w:pPr>
            <w:r>
              <w:rPr>
                <w:rFonts w:hint="eastAsia" w:ascii="宋体" w:hAnsi="宋体"/>
                <w:color w:val="auto"/>
                <w:szCs w:val="21"/>
                <w:highlight w:val="none"/>
              </w:rPr>
              <w:t>（3）查询记录和证据留存方式：在查询网站中直接截图查询记录，截图作为在“广西政府采购云”平台作为附件上传保存。</w:t>
            </w:r>
          </w:p>
          <w:p w14:paraId="5087D642">
            <w:pPr>
              <w:shd w:val="clear"/>
              <w:snapToGrid w:val="0"/>
              <w:spacing w:line="380" w:lineRule="exact"/>
              <w:rPr>
                <w:rFonts w:hint="eastAsia" w:ascii="宋体" w:hAnsi="宋体"/>
                <w:color w:val="auto"/>
                <w:szCs w:val="21"/>
                <w:highlight w:val="none"/>
              </w:rPr>
            </w:pPr>
            <w:r>
              <w:rPr>
                <w:rFonts w:hint="eastAsia" w:ascii="宋体" w:hAnsi="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47A4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007F3C4">
            <w:pPr>
              <w:shd w:val="clear"/>
              <w:spacing w:line="300" w:lineRule="exact"/>
              <w:jc w:val="center"/>
              <w:rPr>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vAlign w:val="center"/>
          </w:tcPr>
          <w:p w14:paraId="4C1F57F5">
            <w:pPr>
              <w:shd w:val="clear"/>
              <w:spacing w:line="300" w:lineRule="exact"/>
              <w:jc w:val="center"/>
              <w:rPr>
                <w:color w:val="auto"/>
                <w:szCs w:val="21"/>
                <w:highlight w:val="none"/>
              </w:rPr>
            </w:pPr>
            <w:r>
              <w:rPr>
                <w:rFonts w:hint="eastAsia"/>
                <w:color w:val="auto"/>
                <w:szCs w:val="21"/>
                <w:highlight w:val="none"/>
              </w:rPr>
              <w:t>异常低价审查</w:t>
            </w:r>
          </w:p>
          <w:p w14:paraId="697E1CDB">
            <w:pPr>
              <w:shd w:val="clear"/>
              <w:spacing w:line="300" w:lineRule="exact"/>
              <w:jc w:val="center"/>
              <w:rPr>
                <w:color w:val="auto"/>
                <w:szCs w:val="21"/>
                <w:highlight w:val="none"/>
              </w:rPr>
            </w:pPr>
          </w:p>
        </w:tc>
        <w:tc>
          <w:tcPr>
            <w:tcW w:w="7229" w:type="dxa"/>
            <w:tcBorders>
              <w:top w:val="single" w:color="auto" w:sz="4" w:space="0"/>
              <w:left w:val="single" w:color="auto" w:sz="4" w:space="0"/>
              <w:bottom w:val="single" w:color="auto" w:sz="4" w:space="0"/>
              <w:right w:val="single" w:color="auto" w:sz="4" w:space="0"/>
            </w:tcBorders>
            <w:vAlign w:val="center"/>
          </w:tcPr>
          <w:p w14:paraId="2625F6A5">
            <w:pPr>
              <w:shd w:val="clear"/>
              <w:spacing w:line="300" w:lineRule="exact"/>
              <w:jc w:val="left"/>
              <w:rPr>
                <w:color w:val="auto"/>
                <w:szCs w:val="21"/>
                <w:highlight w:val="none"/>
              </w:rPr>
            </w:pPr>
            <w:r>
              <w:rPr>
                <w:rFonts w:hint="eastAsia"/>
                <w:color w:val="auto"/>
                <w:szCs w:val="21"/>
                <w:highlight w:val="none"/>
              </w:rPr>
              <w:t>☑评审中出现下列情形之一的，评审委员会应当启动异常低价响应审查程序：</w:t>
            </w:r>
          </w:p>
          <w:p w14:paraId="1973DFCD">
            <w:pPr>
              <w:shd w:val="clear"/>
              <w:spacing w:line="276" w:lineRule="auto"/>
              <w:rPr>
                <w:color w:val="auto"/>
                <w:szCs w:val="21"/>
                <w:highlight w:val="none"/>
              </w:rPr>
            </w:pPr>
            <w:r>
              <w:rPr>
                <w:rFonts w:hint="eastAsia"/>
                <w:color w:val="auto"/>
                <w:szCs w:val="21"/>
                <w:highlight w:val="none"/>
              </w:rPr>
              <w:t>（1）投标（响应）报价低于全部通过符合性审查供应商投标（响应）报价平均值50%的，即投标（响应）报价&lt;全部通过符合性审查供应商投标（响应）报价平均值×50%；</w:t>
            </w:r>
          </w:p>
          <w:p w14:paraId="0D5D765F">
            <w:pPr>
              <w:shd w:val="clear"/>
              <w:spacing w:line="276" w:lineRule="auto"/>
              <w:rPr>
                <w:color w:val="auto"/>
                <w:szCs w:val="21"/>
                <w:highlight w:val="none"/>
              </w:rPr>
            </w:pPr>
            <w:r>
              <w:rPr>
                <w:rFonts w:hint="eastAsia"/>
                <w:color w:val="auto"/>
                <w:szCs w:val="21"/>
                <w:highlight w:val="none"/>
              </w:rPr>
              <w:t>（2）投标（响应）报价低于通过符合性审查的次低报价供应商投标（响应）报价50%的，即投标（响应）报价&lt;通过符合性审查的次低报价供应商投标（响应）报价×50%；</w:t>
            </w:r>
          </w:p>
          <w:p w14:paraId="5592C525">
            <w:pPr>
              <w:shd w:val="clear"/>
              <w:spacing w:line="276" w:lineRule="auto"/>
              <w:rPr>
                <w:color w:val="auto"/>
                <w:szCs w:val="21"/>
                <w:highlight w:val="none"/>
              </w:rPr>
            </w:pPr>
            <w:r>
              <w:rPr>
                <w:rFonts w:hint="eastAsia"/>
                <w:color w:val="auto"/>
                <w:szCs w:val="21"/>
                <w:highlight w:val="none"/>
              </w:rPr>
              <w:t>（3）投标（响应）报价低于采购项目最高限价45%的，即投标（响应）报价&lt;采购项目最高限价×45%；</w:t>
            </w:r>
          </w:p>
          <w:p w14:paraId="7AA203D7">
            <w:pPr>
              <w:shd w:val="clear"/>
              <w:spacing w:line="276" w:lineRule="auto"/>
              <w:rPr>
                <w:color w:val="auto"/>
                <w:sz w:val="22"/>
                <w:szCs w:val="22"/>
                <w:highlight w:val="none"/>
              </w:rPr>
            </w:pPr>
            <w:r>
              <w:rPr>
                <w:rFonts w:hint="eastAsia"/>
                <w:color w:val="auto"/>
                <w:szCs w:val="21"/>
                <w:highlight w:val="none"/>
              </w:rPr>
              <w:t>（4）评审委员会基于专业判断，认为供应商报价过低，有可能影响产品质量或者不能诚信履约的其他情形。</w:t>
            </w:r>
          </w:p>
        </w:tc>
      </w:tr>
      <w:tr w14:paraId="36B37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152F1B0">
            <w:pPr>
              <w:shd w:val="clea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vAlign w:val="center"/>
          </w:tcPr>
          <w:p w14:paraId="760EDF93">
            <w:pPr>
              <w:shd w:val="clea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vAlign w:val="center"/>
          </w:tcPr>
          <w:p w14:paraId="33A40729">
            <w:pPr>
              <w:shd w:val="clear"/>
              <w:spacing w:line="300" w:lineRule="exact"/>
              <w:jc w:val="left"/>
              <w:rPr>
                <w:color w:val="auto"/>
                <w:szCs w:val="21"/>
                <w:highlight w:val="none"/>
              </w:rPr>
            </w:pPr>
            <w:r>
              <w:rPr>
                <w:color w:val="auto"/>
                <w:szCs w:val="21"/>
                <w:highlight w:val="none"/>
              </w:rPr>
              <w:t>采购代理机构在采购人依法确认成交供应商后2个工作日内在磋商公告发布的媒体上发布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30A8BD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D76287A">
            <w:pPr>
              <w:shd w:val="clea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58FB8931">
            <w:pPr>
              <w:shd w:val="clear"/>
              <w:spacing w:line="300" w:lineRule="exact"/>
              <w:jc w:val="center"/>
              <w:rPr>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vAlign w:val="center"/>
          </w:tcPr>
          <w:p w14:paraId="44CAF178">
            <w:pPr>
              <w:shd w:val="clea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成交通知书。</w:t>
            </w:r>
          </w:p>
          <w:p w14:paraId="389E6C2D">
            <w:pPr>
              <w:shd w:val="clear"/>
              <w:spacing w:line="300" w:lineRule="exact"/>
              <w:jc w:val="left"/>
              <w:rPr>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7B796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46E8ED0">
            <w:pPr>
              <w:shd w:val="clea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vAlign w:val="center"/>
          </w:tcPr>
          <w:p w14:paraId="30699A21">
            <w:pPr>
              <w:shd w:val="clea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5E4AB249">
            <w:pPr>
              <w:shd w:val="clea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w:t>
            </w:r>
            <w:r>
              <w:rPr>
                <w:rFonts w:hint="eastAsia"/>
                <w:color w:val="auto"/>
                <w:szCs w:val="21"/>
                <w:highlight w:val="none"/>
              </w:rPr>
              <w:t>中标或者成交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72A6939A">
            <w:pPr>
              <w:shd w:val="clear"/>
              <w:spacing w:line="300" w:lineRule="exact"/>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，供应商可通过现场或邮寄方式递交书面质疑材料。供应商应于质疑有效期内将质疑函原件递交或邮寄至磋商公告中采购代理机构信息中的联系人。</w:t>
            </w:r>
          </w:p>
        </w:tc>
      </w:tr>
      <w:tr w14:paraId="1B69EA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37" w:type="dxa"/>
            <w:tcBorders>
              <w:top w:val="single" w:color="auto" w:sz="4" w:space="0"/>
              <w:left w:val="single" w:color="auto" w:sz="4" w:space="0"/>
              <w:bottom w:val="single" w:color="auto" w:sz="4" w:space="0"/>
              <w:right w:val="single" w:color="auto" w:sz="4" w:space="0"/>
            </w:tcBorders>
            <w:vAlign w:val="center"/>
          </w:tcPr>
          <w:p w14:paraId="7BC45196">
            <w:pPr>
              <w:shd w:val="clea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vAlign w:val="center"/>
          </w:tcPr>
          <w:p w14:paraId="357AE5E6">
            <w:pPr>
              <w:shd w:val="clea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46D26C84">
            <w:pPr>
              <w:shd w:val="clear"/>
              <w:rPr>
                <w:color w:val="auto"/>
                <w:szCs w:val="21"/>
                <w:highlight w:val="none"/>
              </w:rPr>
            </w:pPr>
            <w:r>
              <w:rPr>
                <w:color w:val="auto"/>
                <w:szCs w:val="21"/>
                <w:highlight w:val="none"/>
              </w:rPr>
              <w:t>（1）</w:t>
            </w:r>
            <w:r>
              <w:rPr>
                <w:color w:val="auto"/>
                <w:szCs w:val="20"/>
                <w:highlight w:val="none"/>
              </w:rPr>
              <w:t>代理服务费</w:t>
            </w:r>
          </w:p>
          <w:p w14:paraId="1199D421">
            <w:pPr>
              <w:shd w:val="clear"/>
              <w:spacing w:line="300" w:lineRule="exact"/>
              <w:jc w:val="left"/>
              <w:rPr>
                <w:color w:val="auto"/>
                <w:szCs w:val="21"/>
                <w:highlight w:val="none"/>
              </w:rPr>
            </w:pPr>
            <w:r>
              <w:rPr>
                <w:color w:val="auto"/>
                <w:szCs w:val="21"/>
                <w:highlight w:val="none"/>
              </w:rPr>
              <w:sym w:font="Wingdings 2" w:char="F052"/>
            </w:r>
            <w:r>
              <w:rPr>
                <w:color w:val="auto"/>
                <w:szCs w:val="21"/>
                <w:highlight w:val="none"/>
              </w:rPr>
              <w:t>采购代理机构向成交供应商收取代理服务费。本项目代理服务费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(计价格﹝2002﹞1980号)、《国家发展改革委关于降低部分建设项目收费标准规范收费行为等有关问题的通知》(发改价格﹝2011﹞534号)</w:t>
            </w:r>
            <w:r>
              <w:rPr>
                <w:rFonts w:hint="eastAsia"/>
                <w:color w:val="auto"/>
                <w:szCs w:val="21"/>
                <w:highlight w:val="none"/>
              </w:rPr>
              <w:t>的</w:t>
            </w:r>
            <w:r>
              <w:rPr>
                <w:color w:val="auto"/>
                <w:szCs w:val="21"/>
                <w:highlight w:val="none"/>
              </w:rPr>
              <w:t>规定</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lang w:eastAsia="zh-CN"/>
              </w:rPr>
              <w:t>，单个标项不足</w:t>
            </w:r>
            <w:r>
              <w:rPr>
                <w:rFonts w:hint="eastAsia"/>
                <w:color w:val="auto"/>
                <w:szCs w:val="21"/>
                <w:highlight w:val="none"/>
                <w:lang w:val="en-US" w:eastAsia="zh-CN"/>
              </w:rPr>
              <w:t>20</w:t>
            </w:r>
            <w:r>
              <w:rPr>
                <w:rFonts w:hint="eastAsia"/>
                <w:color w:val="auto"/>
                <w:szCs w:val="21"/>
                <w:highlight w:val="none"/>
                <w:lang w:eastAsia="zh-CN"/>
              </w:rPr>
              <w:t>00元的，按</w:t>
            </w:r>
            <w:r>
              <w:rPr>
                <w:rFonts w:hint="eastAsia"/>
                <w:color w:val="auto"/>
                <w:szCs w:val="21"/>
                <w:highlight w:val="none"/>
                <w:lang w:val="en-US" w:eastAsia="zh-CN"/>
              </w:rPr>
              <w:t>20</w:t>
            </w:r>
            <w:r>
              <w:rPr>
                <w:rFonts w:hint="eastAsia"/>
                <w:color w:val="auto"/>
                <w:szCs w:val="21"/>
                <w:highlight w:val="none"/>
                <w:lang w:eastAsia="zh-CN"/>
              </w:rPr>
              <w:t>00元收取代理服务费。</w:t>
            </w:r>
            <w:r>
              <w:rPr>
                <w:color w:val="auto"/>
                <w:szCs w:val="21"/>
                <w:highlight w:val="none"/>
              </w:rPr>
              <w:t>具体费率</w:t>
            </w:r>
            <w:r>
              <w:rPr>
                <w:rFonts w:hint="eastAsia"/>
                <w:color w:val="auto"/>
                <w:szCs w:val="21"/>
                <w:highlight w:val="none"/>
              </w:rPr>
              <w:t>如下：</w:t>
            </w:r>
          </w:p>
          <w:p w14:paraId="556BB71A">
            <w:pPr>
              <w:shd w:val="clear"/>
              <w:spacing w:line="300" w:lineRule="exact"/>
              <w:jc w:val="left"/>
              <w:rPr>
                <w:color w:val="auto"/>
                <w:szCs w:val="21"/>
                <w:highlight w:val="none"/>
              </w:rPr>
            </w:pPr>
            <w:r>
              <w:rPr>
                <w:rFonts w:hint="eastAsia"/>
                <w:color w:val="auto"/>
                <w:szCs w:val="21"/>
                <w:highlight w:val="none"/>
              </w:rPr>
              <w:t>①成交金额在1</w:t>
            </w:r>
            <w:r>
              <w:rPr>
                <w:color w:val="auto"/>
                <w:szCs w:val="21"/>
                <w:highlight w:val="none"/>
              </w:rPr>
              <w:t>00</w:t>
            </w:r>
            <w:r>
              <w:rPr>
                <w:rFonts w:hint="eastAsia"/>
                <w:color w:val="auto"/>
                <w:szCs w:val="21"/>
                <w:highlight w:val="none"/>
              </w:rPr>
              <w:t>万元以下的：</w:t>
            </w:r>
          </w:p>
          <w:p w14:paraId="205C345E">
            <w:pPr>
              <w:shd w:val="clea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0C51BE69">
            <w:pPr>
              <w:shd w:val="clear"/>
              <w:spacing w:line="300" w:lineRule="exact"/>
              <w:jc w:val="left"/>
              <w:rPr>
                <w:color w:val="auto"/>
                <w:szCs w:val="21"/>
                <w:highlight w:val="none"/>
              </w:rPr>
            </w:pPr>
            <w:r>
              <w:rPr>
                <w:rFonts w:hint="eastAsia"/>
                <w:color w:val="auto"/>
                <w:szCs w:val="21"/>
                <w:highlight w:val="none"/>
              </w:rPr>
              <w:t>②成交金额在</w:t>
            </w:r>
            <w:r>
              <w:rPr>
                <w:color w:val="auto"/>
                <w:szCs w:val="21"/>
                <w:highlight w:val="none"/>
              </w:rPr>
              <w:t>100-500</w:t>
            </w:r>
            <w:r>
              <w:rPr>
                <w:rFonts w:hint="eastAsia"/>
                <w:color w:val="auto"/>
                <w:szCs w:val="21"/>
                <w:highlight w:val="none"/>
              </w:rPr>
              <w:t>万元之间：</w:t>
            </w:r>
          </w:p>
          <w:p w14:paraId="370287D4">
            <w:pPr>
              <w:shd w:val="clea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7721A701">
            <w:pPr>
              <w:shd w:val="clear"/>
              <w:spacing w:line="300" w:lineRule="exact"/>
              <w:jc w:val="left"/>
              <w:rPr>
                <w:color w:val="auto"/>
                <w:szCs w:val="21"/>
                <w:highlight w:val="none"/>
              </w:rPr>
            </w:pPr>
            <w:r>
              <w:rPr>
                <w:rFonts w:hint="eastAsia"/>
                <w:color w:val="auto"/>
                <w:szCs w:val="21"/>
                <w:highlight w:val="none"/>
              </w:rPr>
              <w:t>③成交金额在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6110CD25">
            <w:pPr>
              <w:shd w:val="clea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5C9AE0FA">
            <w:pPr>
              <w:shd w:val="clear"/>
              <w:spacing w:line="300" w:lineRule="exact"/>
              <w:jc w:val="left"/>
              <w:rPr>
                <w:color w:val="auto"/>
                <w:szCs w:val="21"/>
                <w:highlight w:val="none"/>
              </w:rPr>
            </w:pPr>
            <w:r>
              <w:rPr>
                <w:rFonts w:hint="eastAsia"/>
                <w:color w:val="auto"/>
                <w:szCs w:val="21"/>
                <w:highlight w:val="none"/>
              </w:rPr>
              <w:t>④成交金额在</w:t>
            </w:r>
            <w:r>
              <w:rPr>
                <w:color w:val="auto"/>
                <w:szCs w:val="21"/>
                <w:highlight w:val="none"/>
              </w:rPr>
              <w:t>1000-5000</w:t>
            </w:r>
            <w:r>
              <w:rPr>
                <w:rFonts w:hint="eastAsia"/>
                <w:color w:val="auto"/>
                <w:szCs w:val="21"/>
                <w:highlight w:val="none"/>
              </w:rPr>
              <w:t>万元之间：</w:t>
            </w:r>
          </w:p>
          <w:p w14:paraId="3CB5BD2C">
            <w:pPr>
              <w:shd w:val="clea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23271F79">
            <w:pPr>
              <w:shd w:val="clear"/>
              <w:spacing w:line="300" w:lineRule="exact"/>
              <w:jc w:val="left"/>
              <w:rPr>
                <w:color w:val="auto"/>
                <w:szCs w:val="21"/>
                <w:highlight w:val="none"/>
              </w:rPr>
            </w:pPr>
            <w:r>
              <w:rPr>
                <w:rFonts w:hint="eastAsia"/>
                <w:color w:val="auto"/>
                <w:szCs w:val="21"/>
                <w:highlight w:val="none"/>
              </w:rPr>
              <w:t>……</w:t>
            </w:r>
          </w:p>
          <w:p w14:paraId="2EEF1A4F">
            <w:pPr>
              <w:shd w:val="clea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25D108C4">
            <w:pPr>
              <w:shd w:val="clea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5F4A064B">
            <w:pPr>
              <w:shd w:val="clear"/>
              <w:spacing w:line="300" w:lineRule="exact"/>
              <w:jc w:val="left"/>
              <w:rPr>
                <w:color w:val="auto"/>
                <w:szCs w:val="21"/>
                <w:highlight w:val="none"/>
              </w:rPr>
            </w:pPr>
            <w:r>
              <w:rPr>
                <w:color w:val="auto"/>
                <w:szCs w:val="21"/>
                <w:highlight w:val="none"/>
              </w:rPr>
              <w:t>100万元×1.5%＝1.5万元</w:t>
            </w:r>
          </w:p>
          <w:p w14:paraId="35E042D7">
            <w:pPr>
              <w:shd w:val="clear"/>
              <w:spacing w:line="300" w:lineRule="exact"/>
              <w:jc w:val="left"/>
              <w:rPr>
                <w:color w:val="auto"/>
                <w:szCs w:val="21"/>
                <w:highlight w:val="none"/>
              </w:rPr>
            </w:pPr>
            <w:r>
              <w:rPr>
                <w:color w:val="auto"/>
                <w:szCs w:val="21"/>
                <w:highlight w:val="none"/>
              </w:rPr>
              <w:t>（300－100）万元×1.1%＝2.2万元</w:t>
            </w:r>
          </w:p>
          <w:p w14:paraId="7770F28A">
            <w:pPr>
              <w:shd w:val="clear"/>
              <w:spacing w:line="300" w:lineRule="exact"/>
              <w:jc w:val="left"/>
              <w:rPr>
                <w:color w:val="auto"/>
                <w:szCs w:val="21"/>
                <w:highlight w:val="none"/>
              </w:rPr>
            </w:pPr>
            <w:r>
              <w:rPr>
                <w:color w:val="auto"/>
                <w:szCs w:val="21"/>
                <w:highlight w:val="none"/>
              </w:rPr>
              <w:t>合计收费＝1.5＋2.2=3.7万元</w:t>
            </w:r>
          </w:p>
          <w:p w14:paraId="4315A06D">
            <w:pPr>
              <w:shd w:val="clear"/>
              <w:spacing w:line="300" w:lineRule="exact"/>
              <w:jc w:val="left"/>
              <w:rPr>
                <w:color w:val="auto"/>
                <w:szCs w:val="21"/>
                <w:highlight w:val="none"/>
                <w:u w:val="single"/>
              </w:rPr>
            </w:pPr>
            <w:r>
              <w:rPr>
                <w:color w:val="auto"/>
                <w:szCs w:val="21"/>
                <w:highlight w:val="none"/>
              </w:rPr>
              <w:sym w:font="Wingdings 2" w:char="F0A3"/>
            </w:r>
            <w:r>
              <w:rPr>
                <w:color w:val="auto"/>
                <w:szCs w:val="21"/>
                <w:highlight w:val="none"/>
              </w:rPr>
              <w:t>采购代理机构</w:t>
            </w:r>
            <w:r>
              <w:rPr>
                <w:color w:val="auto"/>
                <w:szCs w:val="20"/>
                <w:highlight w:val="none"/>
              </w:rPr>
              <w:t>向成交供应商收取代理服务费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rFonts w:hint="eastAsia"/>
                <w:color w:val="auto"/>
                <w:szCs w:val="20"/>
                <w:highlight w:val="none"/>
              </w:rPr>
              <w:t>。</w:t>
            </w:r>
          </w:p>
          <w:p w14:paraId="2FB85F06">
            <w:pPr>
              <w:shd w:val="clear"/>
              <w:spacing w:line="300" w:lineRule="exact"/>
              <w:jc w:val="left"/>
              <w:rPr>
                <w:color w:val="auto"/>
                <w:szCs w:val="21"/>
                <w:highlight w:val="none"/>
              </w:rPr>
            </w:pPr>
            <w:r>
              <w:rPr>
                <w:color w:val="auto"/>
                <w:szCs w:val="21"/>
                <w:highlight w:val="none"/>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4F223275">
            <w:pPr>
              <w:shd w:val="clear"/>
              <w:spacing w:line="300" w:lineRule="exact"/>
              <w:jc w:val="left"/>
              <w:rPr>
                <w:color w:val="auto"/>
                <w:kern w:val="0"/>
                <w:szCs w:val="21"/>
                <w:highlight w:val="none"/>
              </w:rPr>
            </w:pPr>
            <w:r>
              <w:rPr>
                <w:rFonts w:hint="eastAsia"/>
                <w:color w:val="auto"/>
                <w:kern w:val="0"/>
                <w:szCs w:val="21"/>
                <w:highlight w:val="none"/>
              </w:rPr>
              <w:t>开户银行：广西北部湾银行南宁市金湖支行</w:t>
            </w:r>
          </w:p>
          <w:p w14:paraId="6DF6A511">
            <w:pPr>
              <w:shd w:val="clear"/>
              <w:spacing w:line="300" w:lineRule="exact"/>
              <w:jc w:val="left"/>
              <w:rPr>
                <w:color w:val="auto"/>
                <w:kern w:val="0"/>
                <w:szCs w:val="21"/>
                <w:highlight w:val="none"/>
              </w:rPr>
            </w:pPr>
            <w:r>
              <w:rPr>
                <w:rFonts w:hint="eastAsia"/>
                <w:color w:val="auto"/>
                <w:kern w:val="0"/>
                <w:szCs w:val="21"/>
                <w:highlight w:val="none"/>
              </w:rPr>
              <w:t>（银行地址：南宁市金湖路57号文德大厦1楼）</w:t>
            </w:r>
          </w:p>
          <w:p w14:paraId="2A2772F7">
            <w:pPr>
              <w:shd w:val="clear"/>
              <w:spacing w:line="300" w:lineRule="exact"/>
              <w:jc w:val="left"/>
              <w:rPr>
                <w:color w:val="auto"/>
                <w:kern w:val="0"/>
                <w:szCs w:val="21"/>
                <w:highlight w:val="none"/>
              </w:rPr>
            </w:pPr>
            <w:r>
              <w:rPr>
                <w:rFonts w:hint="eastAsia"/>
                <w:color w:val="auto"/>
                <w:kern w:val="0"/>
                <w:szCs w:val="21"/>
                <w:highlight w:val="none"/>
              </w:rPr>
              <w:t>开户名称：广西机电设备招标有限公司</w:t>
            </w:r>
          </w:p>
          <w:p w14:paraId="467235E3">
            <w:pPr>
              <w:shd w:val="clear"/>
              <w:spacing w:line="300" w:lineRule="exact"/>
              <w:jc w:val="left"/>
              <w:rPr>
                <w:color w:val="auto"/>
                <w:kern w:val="0"/>
                <w:szCs w:val="21"/>
                <w:highlight w:val="none"/>
              </w:rPr>
            </w:pPr>
            <w:r>
              <w:rPr>
                <w:rFonts w:hint="eastAsia"/>
                <w:color w:val="auto"/>
                <w:kern w:val="0"/>
                <w:szCs w:val="21"/>
                <w:highlight w:val="none"/>
              </w:rPr>
              <w:t>银行账号：1705012090027723 (联行号 313611017053)</w:t>
            </w:r>
          </w:p>
          <w:p w14:paraId="268A1C3C">
            <w:pPr>
              <w:shd w:val="clear"/>
              <w:spacing w:line="300" w:lineRule="exact"/>
              <w:jc w:val="left"/>
              <w:rPr>
                <w:color w:val="auto"/>
                <w:kern w:val="0"/>
                <w:szCs w:val="21"/>
                <w:highlight w:val="none"/>
              </w:rPr>
            </w:pPr>
            <w:r>
              <w:rPr>
                <w:rFonts w:hint="eastAsia"/>
                <w:color w:val="auto"/>
                <w:kern w:val="0"/>
                <w:szCs w:val="21"/>
                <w:highlight w:val="none"/>
              </w:rPr>
              <w:t>财务联系人：吴茜（电话：0771-2821398）</w:t>
            </w:r>
          </w:p>
        </w:tc>
      </w:tr>
      <w:tr w14:paraId="76DB8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494EC199">
            <w:pPr>
              <w:shd w:val="clea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6D65EFCF">
            <w:pPr>
              <w:shd w:val="clea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7AADC13F">
            <w:pPr>
              <w:shd w:val="clear"/>
              <w:spacing w:line="276" w:lineRule="auto"/>
              <w:rPr>
                <w:color w:val="auto"/>
                <w:szCs w:val="21"/>
                <w:highlight w:val="none"/>
                <w:u w:val="single"/>
              </w:rPr>
            </w:pPr>
            <w:r>
              <w:rPr>
                <w:rFonts w:hint="eastAsia"/>
                <w:color w:val="auto"/>
                <w:szCs w:val="21"/>
                <w:highlight w:val="none"/>
              </w:rPr>
              <w:t>无</w:t>
            </w:r>
          </w:p>
        </w:tc>
      </w:tr>
      <w:tr w14:paraId="73A097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5DF87058">
            <w:pPr>
              <w:shd w:val="clea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1EFAD2B0">
            <w:pPr>
              <w:shd w:val="clea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177160F0">
            <w:pPr>
              <w:shd w:val="clear"/>
              <w:spacing w:line="276" w:lineRule="auto"/>
              <w:rPr>
                <w:color w:val="auto"/>
                <w:szCs w:val="21"/>
                <w:highlight w:val="none"/>
                <w:u w:val="single"/>
              </w:rPr>
            </w:pPr>
            <w:r>
              <w:rPr>
                <w:rFonts w:hint="eastAsia"/>
                <w:color w:val="auto"/>
                <w:szCs w:val="21"/>
                <w:highlight w:val="none"/>
              </w:rPr>
              <w:t>无</w:t>
            </w:r>
          </w:p>
        </w:tc>
      </w:tr>
      <w:tr w14:paraId="18F5D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72D197F5">
            <w:pPr>
              <w:shd w:val="clea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vAlign w:val="center"/>
          </w:tcPr>
          <w:p w14:paraId="6DBF9833">
            <w:pPr>
              <w:shd w:val="clea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6A3EC2A7">
            <w:pPr>
              <w:shd w:val="clear"/>
              <w:spacing w:line="276" w:lineRule="auto"/>
              <w:rPr>
                <w:color w:val="auto"/>
                <w:szCs w:val="21"/>
                <w:highlight w:val="none"/>
              </w:rPr>
            </w:pPr>
            <w:r>
              <w:rPr>
                <w:rFonts w:hint="eastAsia"/>
                <w:color w:val="auto"/>
                <w:szCs w:val="21"/>
                <w:highlight w:val="none"/>
              </w:rPr>
              <w:t>构成本采购文件的各个组成文件应互为解释，互为说明：</w:t>
            </w:r>
          </w:p>
          <w:p w14:paraId="04BE70B1">
            <w:pPr>
              <w:shd w:val="clear"/>
              <w:spacing w:line="276" w:lineRule="auto"/>
              <w:rPr>
                <w:color w:val="auto"/>
                <w:sz w:val="24"/>
                <w:highlight w:val="none"/>
              </w:rPr>
            </w:pPr>
            <w:r>
              <w:rPr>
                <w:rFonts w:hint="eastAsia"/>
                <w:color w:val="auto"/>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2A840695">
      <w:pPr>
        <w:shd w:val="clear"/>
        <w:rPr>
          <w:color w:val="auto"/>
          <w:highlight w:val="none"/>
        </w:rPr>
      </w:pPr>
    </w:p>
    <w:bookmarkEnd w:id="26"/>
    <w:p w14:paraId="25FD4C29">
      <w:pPr>
        <w:shd w:val="clear"/>
        <w:rPr>
          <w:color w:val="auto"/>
          <w:szCs w:val="21"/>
          <w:highlight w:val="none"/>
        </w:rPr>
      </w:pPr>
      <w:r>
        <w:rPr>
          <w:color w:val="auto"/>
          <w:szCs w:val="21"/>
          <w:highlight w:val="none"/>
        </w:rPr>
        <w:br w:type="page"/>
      </w:r>
    </w:p>
    <w:p w14:paraId="015F860F">
      <w:pPr>
        <w:widowControl/>
        <w:shd w:val="clear"/>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48A693AA">
      <w:pPr>
        <w:shd w:val="clear"/>
        <w:suppressAutoHyphens/>
        <w:rPr>
          <w:rFonts w:ascii="Calibri" w:hAnsi="Calibri"/>
          <w:color w:val="auto"/>
          <w:highlight w:val="none"/>
        </w:rPr>
      </w:pPr>
    </w:p>
    <w:p w14:paraId="397BACA9">
      <w:pPr>
        <w:shd w:val="clea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589BB4C5">
      <w:pPr>
        <w:shd w:val="clear"/>
        <w:spacing w:line="580" w:lineRule="exact"/>
        <w:ind w:firstLine="640" w:firstLineChars="200"/>
        <w:rPr>
          <w:rFonts w:hint="eastAsia" w:ascii="宋体" w:hAnsi="宋体" w:eastAsia="华文仿宋"/>
          <w:color w:val="auto"/>
          <w:sz w:val="32"/>
          <w:szCs w:val="32"/>
          <w:highlight w:val="none"/>
        </w:rPr>
      </w:pPr>
    </w:p>
    <w:p w14:paraId="6872E08D">
      <w:pPr>
        <w:shd w:val="clea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1A1D6C26">
      <w:pPr>
        <w:shd w:val="clea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75CAA8FF">
      <w:pPr>
        <w:shd w:val="clea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7AC22B81">
      <w:pPr>
        <w:shd w:val="clea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58"/>
          <w:rFonts w:hint="eastAsia" w:ascii="仿宋_GB2312" w:hAnsi="仿宋_GB2312" w:eastAsia="仿宋_GB2312" w:cs="仿宋_GB2312"/>
          <w:color w:val="auto"/>
          <w:sz w:val="32"/>
          <w:szCs w:val="32"/>
          <w:highlight w:val="none"/>
        </w:rPr>
        <w:t>https://www.crcrfsp.com/</w:t>
      </w:r>
      <w:r>
        <w:rPr>
          <w:rStyle w:val="58"/>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060BF139">
      <w:pPr>
        <w:shd w:val="clear"/>
        <w:suppressAutoHyphens/>
        <w:rPr>
          <w:rFonts w:hint="eastAsia" w:ascii="仿宋_GB2312" w:hAnsi="仿宋_GB2312" w:eastAsia="仿宋_GB2312" w:cs="仿宋_GB2312"/>
          <w:color w:val="auto"/>
          <w:szCs w:val="32"/>
          <w:highlight w:val="none"/>
        </w:rPr>
      </w:pPr>
    </w:p>
    <w:p w14:paraId="1331C6D7">
      <w:pPr>
        <w:shd w:val="clear"/>
        <w:rPr>
          <w:rFonts w:hint="eastAsia" w:ascii="仿宋_GB2312" w:hAnsi="仿宋_GB2312" w:eastAsia="华文仿宋" w:cs="仿宋_GB2312"/>
          <w:color w:val="auto"/>
          <w:sz w:val="32"/>
          <w:szCs w:val="32"/>
          <w:highlight w:val="none"/>
        </w:rPr>
      </w:pPr>
    </w:p>
    <w:p w14:paraId="77A5E33E">
      <w:pPr>
        <w:shd w:val="clear"/>
        <w:suppressAutoHyphens/>
        <w:rPr>
          <w:rFonts w:hint="eastAsia" w:ascii="仿宋_GB2312" w:hAnsi="仿宋_GB2312" w:cs="仿宋_GB2312"/>
          <w:color w:val="auto"/>
          <w:szCs w:val="32"/>
          <w:highlight w:val="none"/>
        </w:rPr>
      </w:pPr>
    </w:p>
    <w:p w14:paraId="320BCA1E">
      <w:pPr>
        <w:shd w:val="clear"/>
        <w:rPr>
          <w:rFonts w:hint="eastAsia" w:ascii="仿宋_GB2312" w:hAnsi="仿宋_GB2312" w:eastAsia="华文仿宋" w:cs="仿宋_GB2312"/>
          <w:color w:val="auto"/>
          <w:sz w:val="32"/>
          <w:szCs w:val="32"/>
          <w:highlight w:val="none"/>
        </w:rPr>
      </w:pPr>
    </w:p>
    <w:p w14:paraId="0955BFD6">
      <w:pPr>
        <w:shd w:val="clear"/>
        <w:rPr>
          <w:rFonts w:hint="eastAsia" w:ascii="仿宋_GB2312" w:hAnsi="仿宋_GB2312" w:eastAsia="华文仿宋" w:cs="仿宋_GB2312"/>
          <w:color w:val="auto"/>
          <w:sz w:val="32"/>
          <w:szCs w:val="32"/>
          <w:highlight w:val="none"/>
        </w:rPr>
      </w:pPr>
    </w:p>
    <w:p w14:paraId="39AD2D8A">
      <w:pPr>
        <w:shd w:val="clear"/>
        <w:suppressAutoHyphens/>
        <w:rPr>
          <w:rFonts w:hint="eastAsia" w:ascii="仿宋_GB2312" w:hAnsi="仿宋_GB2312" w:cs="仿宋_GB2312"/>
          <w:color w:val="auto"/>
          <w:szCs w:val="32"/>
          <w:highlight w:val="none"/>
        </w:rPr>
      </w:pPr>
    </w:p>
    <w:p w14:paraId="43B8D4D5">
      <w:pPr>
        <w:shd w:val="clear"/>
        <w:spacing w:line="540" w:lineRule="exact"/>
        <w:rPr>
          <w:rFonts w:hint="eastAsia" w:ascii="黑体" w:hAnsi="黑体" w:eastAsia="黑体" w:cs="黑体"/>
          <w:color w:val="auto"/>
          <w:sz w:val="32"/>
          <w:szCs w:val="32"/>
          <w:highlight w:val="none"/>
        </w:rPr>
      </w:pPr>
    </w:p>
    <w:p w14:paraId="24C9D715">
      <w:pPr>
        <w:shd w:val="clea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6E4D0316">
      <w:pPr>
        <w:shd w:val="clear"/>
        <w:suppressAutoHyphens/>
        <w:rPr>
          <w:rFonts w:ascii="Calibri" w:hAnsi="Calibri"/>
          <w:color w:val="auto"/>
          <w:highlight w:val="none"/>
        </w:rPr>
      </w:pPr>
    </w:p>
    <w:p w14:paraId="1B7C679E">
      <w:pPr>
        <w:shd w:val="clea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E9FDF5C">
      <w:pPr>
        <w:shd w:val="clea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6"/>
                    <a:stretch>
                      <a:fillRect/>
                    </a:stretch>
                  </pic:blipFill>
                  <pic:spPr>
                    <a:xfrm>
                      <a:off x="0" y="0"/>
                      <a:ext cx="4924425" cy="7000875"/>
                    </a:xfrm>
                    <a:prstGeom prst="rect">
                      <a:avLst/>
                    </a:prstGeom>
                    <a:noFill/>
                    <a:ln>
                      <a:noFill/>
                    </a:ln>
                  </pic:spPr>
                </pic:pic>
              </a:graphicData>
            </a:graphic>
          </wp:inline>
        </w:drawing>
      </w:r>
    </w:p>
    <w:p w14:paraId="2648806D">
      <w:pPr>
        <w:widowControl/>
        <w:shd w:val="clear"/>
        <w:ind w:firstLine="640" w:firstLineChars="200"/>
        <w:rPr>
          <w:rFonts w:hint="eastAsia" w:ascii="宋体" w:hAnsi="宋体" w:eastAsia="华文仿宋"/>
          <w:color w:val="auto"/>
          <w:sz w:val="32"/>
          <w:szCs w:val="32"/>
          <w:highlight w:val="none"/>
        </w:rPr>
      </w:pPr>
    </w:p>
    <w:p w14:paraId="46738B52">
      <w:pPr>
        <w:widowControl/>
        <w:shd w:val="clear"/>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59B4ABB1">
      <w:pPr>
        <w:shd w:val="clear"/>
        <w:suppressAutoHyphens/>
        <w:rPr>
          <w:rFonts w:ascii="Calibri" w:hAnsi="Calibri"/>
          <w:color w:val="auto"/>
          <w:highlight w:val="none"/>
        </w:rPr>
      </w:pPr>
    </w:p>
    <w:p w14:paraId="032B9C84">
      <w:pPr>
        <w:shd w:val="clea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2"/>
        <w:tblW w:w="8310" w:type="dxa"/>
        <w:tblInd w:w="96" w:type="dxa"/>
        <w:tblLayout w:type="fixed"/>
        <w:tblCellMar>
          <w:top w:w="0" w:type="dxa"/>
          <w:left w:w="108" w:type="dxa"/>
          <w:bottom w:w="0" w:type="dxa"/>
          <w:right w:w="108" w:type="dxa"/>
        </w:tblCellMar>
      </w:tblPr>
      <w:tblGrid>
        <w:gridCol w:w="2673"/>
        <w:gridCol w:w="3513"/>
        <w:gridCol w:w="2124"/>
      </w:tblGrid>
      <w:tr w14:paraId="373AD808">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20270E">
            <w:pPr>
              <w:widowControl/>
              <w:shd w:val="clear"/>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5B871948">
            <w:pPr>
              <w:widowControl/>
              <w:shd w:val="clear"/>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68E1BDCA">
            <w:pPr>
              <w:widowControl/>
              <w:shd w:val="clear"/>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7C5E1D8E">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677E8917">
            <w:pPr>
              <w:widowControl/>
              <w:shd w:val="clear"/>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53CB04C">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A0C77F">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12372A">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65DB32E7">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3B0CA1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440810">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0F606F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976BBBA">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283342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A2E174">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B01227">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B55B79">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444AA6E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74BE77">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BBD69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4232B8E">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1CA861F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F0B35E">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1E0EBD">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63285095">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1F31964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C1E6B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3BBD81C">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5E92C6">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1C6C22A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5F5EFD">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CBDC0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4C53418">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2D78612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798E3C">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528C40">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56DB1318">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311BC9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32F305">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A20453">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798CA137">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4E0C653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7D696F">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842D37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6B6634D">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32E1B34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943D68">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04A8BA">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3C9E1A1">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9F0585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7A7AA2D">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6382BBC">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3F2854C">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4115A71C">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647A40D2">
            <w:pPr>
              <w:widowControl/>
              <w:shd w:val="clear"/>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1D4A51D5">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B8A972">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49772C">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6D9719">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A621D7A">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321140">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6CC98E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1352F3">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3F9C5DD6">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11AC0F">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E029405">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F52BC2">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7E76B99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C8A299">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12A8D6">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2EE41141">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7E01CAC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BA9A9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0C875E2">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55F2457">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0FD59CA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CD6F2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52E78B2">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D927B7">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BE0643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0E69DCA">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4004ED">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50A014C">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7E62685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70DD15">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6DE3F79">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473604C9">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60D60BF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4A8D5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1DA05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69C2F78">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35F6CF6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953EC6">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E95EF13">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290167C6">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7757C353">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8060C9">
            <w:pPr>
              <w:widowControl/>
              <w:shd w:val="clear"/>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500DF734">
            <w:pPr>
              <w:widowControl/>
              <w:shd w:val="clear"/>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42D16D38">
            <w:pPr>
              <w:widowControl/>
              <w:shd w:val="clear"/>
              <w:jc w:val="center"/>
              <w:textAlignment w:val="center"/>
              <w:rPr>
                <w:rFonts w:hint="eastAsia" w:ascii="宋体" w:hAnsi="宋体" w:cs="宋体"/>
                <w:color w:val="auto"/>
                <w:szCs w:val="21"/>
                <w:highlight w:val="none"/>
              </w:rPr>
            </w:pPr>
          </w:p>
        </w:tc>
      </w:tr>
      <w:tr w14:paraId="5DC93E0B">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ED3A04">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D796D4">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C201BA">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2580E39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5E2768">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1A7A7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9D96EE9">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6DE24F82">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A911B8">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199A35">
            <w:pPr>
              <w:widowControl/>
              <w:shd w:val="clear"/>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3DBF57">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7F3E54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11257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2D6133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9AC743C">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3F689FD0">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B0D46D">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D2336F">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F0C215B">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4AA15E6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C7BCDD">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A53D02">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66223D95">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6BF9E0C4">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BAECCF7">
            <w:pPr>
              <w:widowControl/>
              <w:shd w:val="clear"/>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62659F84">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30B284">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3D60C6">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B65849">
            <w:pPr>
              <w:widowControl/>
              <w:shd w:val="clear"/>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5F3CD39">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A5713A">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8F5BBF3">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638391C">
            <w:pPr>
              <w:widowControl/>
              <w:shd w:val="clear"/>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0F8CA23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14ECAF">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C8BB7C">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5CD4994">
            <w:pPr>
              <w:widowControl/>
              <w:shd w:val="clear"/>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3C77C0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36C2BD">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CD98215">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F604D06">
            <w:pPr>
              <w:widowControl/>
              <w:shd w:val="clear"/>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5B777FAE">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1398E">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AA9DFDD">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FE14FA">
            <w:pPr>
              <w:widowControl/>
              <w:shd w:val="clear"/>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6B791C5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6A0D48">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8C392F">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637A7220">
            <w:pPr>
              <w:widowControl/>
              <w:shd w:val="clear"/>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3660571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4183A9">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C64B1A8">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00238B">
            <w:pPr>
              <w:widowControl/>
              <w:shd w:val="clear"/>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482CCBC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FA3E7D">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3C042C">
            <w:pPr>
              <w:widowControl/>
              <w:shd w:val="clea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78DFC1">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062161CC">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934565">
            <w:pPr>
              <w:widowControl/>
              <w:shd w:val="clear"/>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21DA304D">
            <w:pPr>
              <w:widowControl/>
              <w:shd w:val="clear"/>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4A7BB025">
            <w:pPr>
              <w:widowControl/>
              <w:shd w:val="clear"/>
              <w:jc w:val="center"/>
              <w:textAlignment w:val="center"/>
              <w:rPr>
                <w:rFonts w:hint="eastAsia" w:ascii="宋体" w:hAnsi="宋体" w:cs="宋体"/>
                <w:color w:val="auto"/>
                <w:szCs w:val="21"/>
                <w:highlight w:val="none"/>
              </w:rPr>
            </w:pPr>
          </w:p>
        </w:tc>
      </w:tr>
      <w:tr w14:paraId="6AC76519">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B1873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A9DBE25">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9477DE">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19E158B5">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7E6E08">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503625">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73A126A">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0C20698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14D65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6ED4F7">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5ECE52B">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65B88CAD">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7C4D42">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5ACBD30">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EE2969B">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72B37FC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F9B6EA">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EB28B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78A">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077080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3A1603">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6B62C2">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68B87514">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2301C484">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0BACA0">
            <w:pPr>
              <w:widowControl/>
              <w:shd w:val="clear"/>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4EA148D">
            <w:pPr>
              <w:widowControl/>
              <w:shd w:val="clear"/>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73230EF5">
            <w:pPr>
              <w:widowControl/>
              <w:shd w:val="clear"/>
              <w:jc w:val="center"/>
              <w:textAlignment w:val="center"/>
              <w:rPr>
                <w:rFonts w:hint="eastAsia" w:ascii="宋体" w:hAnsi="宋体" w:cs="宋体"/>
                <w:color w:val="auto"/>
                <w:szCs w:val="21"/>
                <w:highlight w:val="none"/>
              </w:rPr>
            </w:pPr>
          </w:p>
        </w:tc>
      </w:tr>
      <w:tr w14:paraId="29E7E35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DCCB0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264B10A">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BE8B800">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AB61721">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0A614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435369">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6E3C2D4">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79B1C6E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A23E35">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9393C6B">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3CF7B15">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4FB030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28192E">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5AD966">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552CFCF">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186B5420">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B100AC">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D739ABE">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7043B80">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0F31293">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6887130F">
            <w:pPr>
              <w:widowControl/>
              <w:shd w:val="clear"/>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3B629726">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1C4900">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029564C">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CE07E86">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76169A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D56AF">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2035529">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4E6DAB7">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7AFB570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1E4CCE">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8757CD5">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E42FD46">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7CFC1DF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747416D">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A5B2F7">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6CF6255">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5BC2AA8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1734D8">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533CAD">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C4B9C93">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766819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1542A1">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9F3CE">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FAED17">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239B9AC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866FFA">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A826F6E">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8F9D635">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550ABE94">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8D90F2">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FE66CA">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2BA02D1">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6093C1B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3E0584">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6652F3">
            <w:pPr>
              <w:widowControl/>
              <w:shd w:val="clear"/>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688FE61">
            <w:pPr>
              <w:widowControl/>
              <w:shd w:val="clear"/>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1F7BEB64">
      <w:pPr>
        <w:shd w:val="clear"/>
        <w:spacing w:before="120" w:line="320" w:lineRule="atLeast"/>
        <w:outlineLvl w:val="1"/>
        <w:rPr>
          <w:b/>
          <w:bCs/>
          <w:color w:val="auto"/>
          <w:kern w:val="0"/>
          <w:szCs w:val="21"/>
          <w:highlight w:val="none"/>
        </w:rPr>
      </w:pPr>
      <w:r>
        <w:rPr>
          <w:color w:val="auto"/>
          <w:szCs w:val="21"/>
          <w:highlight w:val="none"/>
        </w:rPr>
        <w:br w:type="page"/>
      </w:r>
      <w:r>
        <w:rPr>
          <w:b/>
          <w:bCs/>
          <w:color w:val="auto"/>
          <w:kern w:val="0"/>
          <w:szCs w:val="21"/>
          <w:highlight w:val="none"/>
        </w:rPr>
        <w:t>1．总则</w:t>
      </w:r>
    </w:p>
    <w:p w14:paraId="7002279A">
      <w:pPr>
        <w:shd w:val="clear"/>
        <w:spacing w:before="120" w:line="320" w:lineRule="atLeast"/>
        <w:ind w:firstLine="422" w:firstLineChars="200"/>
        <w:outlineLvl w:val="2"/>
        <w:rPr>
          <w:b/>
          <w:bCs/>
          <w:color w:val="auto"/>
          <w:kern w:val="0"/>
          <w:szCs w:val="21"/>
          <w:highlight w:val="none"/>
        </w:rPr>
      </w:pPr>
      <w:bookmarkStart w:id="28" w:name="_Toc254970668"/>
      <w:bookmarkStart w:id="29" w:name="_Toc254970527"/>
      <w:r>
        <w:rPr>
          <w:b/>
          <w:bCs/>
          <w:color w:val="auto"/>
          <w:kern w:val="0"/>
          <w:szCs w:val="21"/>
          <w:highlight w:val="none"/>
        </w:rPr>
        <w:t>1.1适用范围</w:t>
      </w:r>
      <w:bookmarkEnd w:id="28"/>
      <w:bookmarkEnd w:id="29"/>
    </w:p>
    <w:p w14:paraId="1DB63BB4">
      <w:pPr>
        <w:shd w:val="clea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731D2C7F">
      <w:pPr>
        <w:shd w:val="clear"/>
        <w:spacing w:before="120" w:line="320" w:lineRule="atLeast"/>
        <w:ind w:firstLine="422" w:firstLineChars="200"/>
        <w:outlineLvl w:val="2"/>
        <w:rPr>
          <w:b/>
          <w:bCs/>
          <w:color w:val="auto"/>
          <w:kern w:val="0"/>
          <w:szCs w:val="21"/>
          <w:highlight w:val="none"/>
        </w:rPr>
      </w:pPr>
      <w:bookmarkStart w:id="30" w:name="_Toc254970528"/>
      <w:bookmarkStart w:id="31" w:name="_Toc254970669"/>
      <w:r>
        <w:rPr>
          <w:b/>
          <w:bCs/>
          <w:color w:val="auto"/>
          <w:kern w:val="0"/>
          <w:szCs w:val="21"/>
          <w:highlight w:val="none"/>
        </w:rPr>
        <w:t>1.2定义</w:t>
      </w:r>
      <w:bookmarkEnd w:id="30"/>
      <w:bookmarkEnd w:id="31"/>
    </w:p>
    <w:p w14:paraId="4141089C">
      <w:pPr>
        <w:shd w:val="clea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76F427E7">
      <w:pPr>
        <w:shd w:val="clea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指响应招标、参加投标竞争的法人、其他组织或者自然人</w:t>
      </w:r>
      <w:r>
        <w:rPr>
          <w:color w:val="auto"/>
          <w:szCs w:val="21"/>
          <w:highlight w:val="none"/>
        </w:rPr>
        <w:t>。</w:t>
      </w:r>
    </w:p>
    <w:p w14:paraId="0FABC3F4">
      <w:pPr>
        <w:shd w:val="clear"/>
        <w:spacing w:before="120" w:line="360" w:lineRule="auto"/>
        <w:ind w:firstLine="420" w:firstLineChars="200"/>
        <w:rPr>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color w:val="auto"/>
          <w:highlight w:val="none"/>
        </w:rPr>
        <w:t xml:space="preserve">    </w:t>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4B892502">
      <w:pPr>
        <w:widowControl/>
        <w:shd w:val="clear"/>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采购文件如有特殊规定，以采购文件规定为准。 </w:t>
      </w:r>
    </w:p>
    <w:p w14:paraId="675D8E7F">
      <w:pPr>
        <w:shd w:val="clea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6本项目的技术商务要求重要性分为“▲”（如有）、“#”（如有）和一般无标识指标。▲代表实质性要求指标，</w:t>
      </w:r>
      <w:r>
        <w:rPr>
          <w:rFonts w:hint="eastAsia"/>
          <w:b/>
          <w:bCs/>
          <w:color w:val="auto"/>
          <w:szCs w:val="21"/>
          <w:highlight w:val="none"/>
        </w:rPr>
        <w:t>不满足该指标项将导致响应被否决</w:t>
      </w:r>
      <w:r>
        <w:rPr>
          <w:rFonts w:hint="eastAsia"/>
          <w:color w:val="auto"/>
          <w:szCs w:val="21"/>
          <w:highlight w:val="none"/>
        </w:rPr>
        <w:t>，#代表重要指标，无标识则表示一般指标项。</w:t>
      </w:r>
    </w:p>
    <w:p w14:paraId="0B309700">
      <w:pPr>
        <w:shd w:val="clea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621D8DF3">
      <w:pPr>
        <w:shd w:val="clea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22DB90E6">
      <w:pPr>
        <w:shd w:val="clea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5C52976D">
      <w:pPr>
        <w:shd w:val="clea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67882290">
      <w:pPr>
        <w:shd w:val="clea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6CA2D2B7">
      <w:pPr>
        <w:shd w:val="clea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.4</w:t>
      </w:r>
      <w:r>
        <w:rPr>
          <w:rFonts w:hint="eastAsia"/>
          <w:b/>
          <w:bCs/>
          <w:color w:val="auto"/>
          <w:kern w:val="0"/>
          <w:szCs w:val="21"/>
          <w:highlight w:val="none"/>
        </w:rPr>
        <w:t>促进中小企业发展政策</w:t>
      </w:r>
    </w:p>
    <w:p w14:paraId="3D7A9F9B">
      <w:pPr>
        <w:shd w:val="clear"/>
        <w:spacing w:before="120" w:line="320" w:lineRule="atLeast"/>
        <w:ind w:left="2" w:leftChars="1" w:firstLine="420" w:firstLineChars="200"/>
        <w:rPr>
          <w:color w:val="auto"/>
          <w:szCs w:val="21"/>
          <w:highlight w:val="none"/>
        </w:rPr>
      </w:pPr>
      <w:r>
        <w:rPr>
          <w:color w:val="auto"/>
          <w:szCs w:val="21"/>
          <w:highlight w:val="none"/>
        </w:rPr>
        <w:t>1.4.1</w:t>
      </w:r>
      <w:r>
        <w:rPr>
          <w:rFonts w:hint="eastAsia"/>
          <w:color w:val="auto"/>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2449D128">
      <w:pPr>
        <w:shd w:val="clear"/>
        <w:spacing w:before="120" w:line="320" w:lineRule="atLeast"/>
        <w:ind w:left="2" w:leftChars="1" w:firstLine="420" w:firstLineChars="200"/>
        <w:rPr>
          <w:color w:val="auto"/>
          <w:szCs w:val="21"/>
          <w:highlight w:val="none"/>
        </w:rPr>
      </w:pPr>
      <w:bookmarkStart w:id="32" w:name="_Hlk92205820"/>
      <w:r>
        <w:rPr>
          <w:rFonts w:hint="eastAsia"/>
          <w:color w:val="auto"/>
          <w:szCs w:val="21"/>
          <w:highlight w:val="none"/>
        </w:rPr>
        <w:t>根 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3EE9A8D3">
      <w:pPr>
        <w:shd w:val="clear"/>
        <w:spacing w:before="120" w:line="320" w:lineRule="atLeast"/>
        <w:ind w:left="2" w:leftChars="1" w:firstLine="420" w:firstLineChars="200"/>
        <w:rPr>
          <w:color w:val="auto"/>
          <w:szCs w:val="21"/>
          <w:highlight w:val="none"/>
        </w:rPr>
      </w:pPr>
      <w:r>
        <w:rPr>
          <w:color w:val="auto"/>
          <w:szCs w:val="21"/>
          <w:highlight w:val="none"/>
        </w:rPr>
        <w:t>1.4.2</w:t>
      </w:r>
      <w:r>
        <w:rPr>
          <w:rFonts w:hint="eastAsia"/>
          <w:color w:val="auto"/>
          <w:szCs w:val="21"/>
          <w:highlight w:val="none"/>
        </w:rPr>
        <w:t>中小企业定义</w:t>
      </w:r>
    </w:p>
    <w:p w14:paraId="24FE7075">
      <w:pPr>
        <w:shd w:val="clear"/>
        <w:spacing w:before="120" w:line="320" w:lineRule="atLeast"/>
        <w:ind w:firstLine="420" w:firstLineChars="200"/>
        <w:rPr>
          <w:color w:val="auto"/>
          <w:szCs w:val="21"/>
          <w:highlight w:val="none"/>
        </w:rPr>
      </w:pPr>
      <w:r>
        <w:rPr>
          <w:color w:val="auto"/>
          <w:szCs w:val="21"/>
          <w:highlight w:val="none"/>
        </w:rPr>
        <w:t>1.4.2.1</w:t>
      </w:r>
      <w:r>
        <w:rPr>
          <w:rFonts w:hint="eastAsia"/>
          <w:color w:val="auto"/>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502D0F1F">
      <w:pPr>
        <w:shd w:val="clear"/>
        <w:spacing w:before="120" w:line="320" w:lineRule="atLeast"/>
        <w:ind w:left="2" w:leftChars="1" w:firstLine="420" w:firstLineChars="200"/>
        <w:rPr>
          <w:color w:val="auto"/>
          <w:szCs w:val="21"/>
          <w:highlight w:val="none"/>
        </w:rPr>
      </w:pPr>
      <w:r>
        <w:rPr>
          <w:color w:val="auto"/>
          <w:szCs w:val="21"/>
          <w:highlight w:val="none"/>
        </w:rPr>
        <w:t>1.4.2.2</w:t>
      </w:r>
      <w:r>
        <w:rPr>
          <w:rFonts w:hint="eastAsia"/>
          <w:color w:val="auto"/>
          <w:szCs w:val="21"/>
          <w:highlight w:val="none"/>
        </w:rPr>
        <w:t>供应商提供的货物、工程或者服务符合下列情形的，享受本款规定的促进中小企业发展政策：</w:t>
      </w:r>
    </w:p>
    <w:p w14:paraId="6BA9F133">
      <w:pPr>
        <w:shd w:val="clear"/>
        <w:spacing w:before="120" w:line="320" w:lineRule="atLeast"/>
        <w:ind w:left="2" w:leftChars="1" w:firstLine="420" w:firstLineChars="20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719722AB">
      <w:pPr>
        <w:shd w:val="clear"/>
        <w:spacing w:before="120" w:line="320" w:lineRule="atLeast"/>
        <w:ind w:left="2" w:leftChars="1" w:firstLine="420" w:firstLineChars="200"/>
        <w:rPr>
          <w:color w:val="auto"/>
          <w:szCs w:val="21"/>
          <w:highlight w:val="none"/>
        </w:rPr>
      </w:pPr>
      <w:r>
        <w:rPr>
          <w:rFonts w:hint="eastAsia"/>
          <w:color w:val="auto"/>
          <w:szCs w:val="21"/>
          <w:highlight w:val="none"/>
        </w:rPr>
        <w:t>在工程采购项目中，工程由中小企业承建，即工程施工单位为中小企业；</w:t>
      </w:r>
    </w:p>
    <w:p w14:paraId="4E19DEC0">
      <w:pPr>
        <w:shd w:val="clear"/>
        <w:spacing w:before="120" w:line="320" w:lineRule="atLeast"/>
        <w:ind w:left="2" w:leftChars="1" w:firstLine="420" w:firstLineChars="20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5183437E">
      <w:pPr>
        <w:shd w:val="clear"/>
        <w:spacing w:before="120" w:line="320" w:lineRule="atLeast"/>
        <w:ind w:left="2" w:leftChars="1" w:firstLine="420" w:firstLineChars="20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33C10726">
      <w:pPr>
        <w:shd w:val="clear"/>
        <w:spacing w:before="120" w:line="320" w:lineRule="atLeast"/>
        <w:ind w:firstLine="420" w:firstLineChars="200"/>
        <w:rPr>
          <w:color w:val="auto"/>
          <w:szCs w:val="21"/>
          <w:highlight w:val="none"/>
        </w:rPr>
      </w:pPr>
      <w:r>
        <w:rPr>
          <w:color w:val="auto"/>
          <w:szCs w:val="21"/>
          <w:highlight w:val="none"/>
        </w:rPr>
        <w:t>1.4.2</w:t>
      </w:r>
      <w:r>
        <w:rPr>
          <w:rFonts w:hint="eastAsia"/>
          <w:color w:val="auto"/>
          <w:szCs w:val="21"/>
          <w:highlight w:val="none"/>
        </w:rPr>
        <w:t>.</w:t>
      </w:r>
      <w:r>
        <w:rPr>
          <w:color w:val="auto"/>
          <w:szCs w:val="21"/>
          <w:highlight w:val="none"/>
        </w:rPr>
        <w:t>3</w:t>
      </w:r>
      <w:r>
        <w:rPr>
          <w:rFonts w:hint="eastAsia"/>
          <w:color w:val="auto"/>
          <w:szCs w:val="21"/>
          <w:highlight w:val="none"/>
        </w:rPr>
        <w:t>本项目标的所属行业在第二章采购需求中规定。供应商根据中小企业划分标准（《关于印发中小企业划型标准规定的通知》（工信部联企业〔2011〕300号）判断是否为中小企业。（见附件）</w:t>
      </w:r>
    </w:p>
    <w:p w14:paraId="0F3C167F">
      <w:pPr>
        <w:shd w:val="clea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0F37C9E0">
      <w:pPr>
        <w:shd w:val="clear"/>
        <w:spacing w:before="120" w:line="320" w:lineRule="atLeast"/>
        <w:ind w:firstLine="420" w:firstLineChars="200"/>
        <w:rPr>
          <w:color w:val="auto"/>
          <w:szCs w:val="21"/>
          <w:highlight w:val="none"/>
        </w:rPr>
      </w:pPr>
      <w:r>
        <w:rPr>
          <w:color w:val="auto"/>
          <w:szCs w:val="21"/>
          <w:highlight w:val="none"/>
        </w:rPr>
        <w:t>1.4</w:t>
      </w: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视同中小企业情形</w:t>
      </w:r>
    </w:p>
    <w:p w14:paraId="6A4851A4">
      <w:pPr>
        <w:shd w:val="clear"/>
        <w:spacing w:before="120" w:line="320" w:lineRule="atLeast"/>
        <w:ind w:firstLine="420" w:firstLineChars="200"/>
        <w:rPr>
          <w:color w:val="auto"/>
          <w:szCs w:val="21"/>
          <w:highlight w:val="none"/>
        </w:rPr>
      </w:pPr>
      <w:r>
        <w:rPr>
          <w:rFonts w:hint="eastAsia"/>
          <w:color w:val="auto"/>
          <w:szCs w:val="21"/>
          <w:highlight w:val="none"/>
        </w:rPr>
        <w:t>（1）符合中小企业划分标准的个体工商户，视同中小企业。</w:t>
      </w:r>
    </w:p>
    <w:p w14:paraId="7370F46A">
      <w:pPr>
        <w:shd w:val="clear"/>
        <w:spacing w:before="120" w:line="320" w:lineRule="atLeast"/>
        <w:ind w:firstLine="420" w:firstLineChars="20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4F5D7FAB">
      <w:pPr>
        <w:shd w:val="clear"/>
        <w:spacing w:before="120" w:line="320" w:lineRule="atLeast"/>
        <w:ind w:firstLine="420" w:firstLineChars="20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0F79205">
      <w:pPr>
        <w:shd w:val="clear"/>
        <w:spacing w:before="120" w:line="320" w:lineRule="atLeast"/>
        <w:ind w:left="2" w:leftChars="1" w:firstLine="420" w:firstLineChars="200"/>
        <w:rPr>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bookmarkEnd w:id="32"/>
    </w:p>
    <w:p w14:paraId="44A9ADEC">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3C8203FC">
      <w:pPr>
        <w:shd w:val="clea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62DFBECD">
      <w:pPr>
        <w:shd w:val="clear"/>
        <w:spacing w:before="120" w:line="320" w:lineRule="atLeast"/>
        <w:ind w:firstLine="420" w:firstLineChars="200"/>
        <w:rPr>
          <w:color w:val="auto"/>
          <w:szCs w:val="21"/>
          <w:highlight w:val="none"/>
        </w:rPr>
      </w:pPr>
      <w:r>
        <w:rPr>
          <w:color w:val="auto"/>
          <w:szCs w:val="21"/>
          <w:highlight w:val="none"/>
        </w:rPr>
        <w:t>1.5.2按照磋商公告的规定获得采购文件。</w:t>
      </w:r>
    </w:p>
    <w:p w14:paraId="3CA799A9">
      <w:pPr>
        <w:shd w:val="clea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04BEC469">
      <w:pPr>
        <w:shd w:val="clear"/>
        <w:spacing w:before="120" w:line="320" w:lineRule="atLeast"/>
        <w:ind w:firstLine="420" w:firstLineChars="200"/>
        <w:rPr>
          <w:color w:val="auto"/>
          <w:szCs w:val="21"/>
          <w:highlight w:val="none"/>
        </w:rPr>
      </w:pPr>
      <w:r>
        <w:rPr>
          <w:rFonts w:hint="eastAsia"/>
          <w:color w:val="auto"/>
          <w:szCs w:val="21"/>
          <w:highlight w:val="none"/>
        </w:rPr>
        <w:t xml:space="preserve">如接受联合体响应，联合体响应要求如下： </w:t>
      </w:r>
    </w:p>
    <w:p w14:paraId="2581A5B8">
      <w:pPr>
        <w:shd w:val="clear"/>
        <w:spacing w:before="120" w:line="320" w:lineRule="atLeast"/>
        <w:ind w:firstLine="420" w:firstLineChars="200"/>
        <w:rPr>
          <w:color w:val="auto"/>
          <w:szCs w:val="21"/>
          <w:highlight w:val="none"/>
        </w:rPr>
      </w:pPr>
      <w:r>
        <w:rPr>
          <w:rFonts w:hint="eastAsia"/>
          <w:color w:val="auto"/>
          <w:szCs w:val="21"/>
          <w:highlight w:val="none"/>
        </w:rPr>
        <w:t>（1）供应商可以组成一个响应联合体，以一个供应商的身份共同参加响应。联合体响应的，须提供《联合体协议书》（格式后附）</w:t>
      </w:r>
    </w:p>
    <w:p w14:paraId="79BF58CF">
      <w:pPr>
        <w:shd w:val="clea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CBEFCA7">
      <w:pPr>
        <w:shd w:val="clea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05EF6B76">
      <w:pPr>
        <w:shd w:val="clea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4CFA4AB5">
      <w:pPr>
        <w:shd w:val="clea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3910EE7A">
      <w:pPr>
        <w:shd w:val="clea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5999874D">
      <w:pPr>
        <w:shd w:val="clea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（7）供应商为联合体的，可以由联合体中的一方或者多方共同交纳磋商保证金，其交纳的保证金对联合体各方均具有约束力。</w:t>
      </w:r>
    </w:p>
    <w:p w14:paraId="71E86BA9">
      <w:pPr>
        <w:shd w:val="clea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7C7738AA">
      <w:pPr>
        <w:shd w:val="clear"/>
        <w:spacing w:before="120" w:line="320" w:lineRule="atLeast"/>
        <w:ind w:firstLine="422" w:firstLineChars="200"/>
        <w:outlineLvl w:val="2"/>
        <w:rPr>
          <w:b/>
          <w:bCs/>
          <w:color w:val="auto"/>
          <w:kern w:val="0"/>
          <w:szCs w:val="21"/>
          <w:highlight w:val="none"/>
        </w:rPr>
      </w:pPr>
      <w:bookmarkStart w:id="33" w:name="_Toc254970672"/>
      <w:bookmarkStart w:id="34" w:name="_Toc254970531"/>
      <w:r>
        <w:rPr>
          <w:b/>
          <w:bCs/>
          <w:color w:val="auto"/>
          <w:kern w:val="0"/>
          <w:szCs w:val="21"/>
          <w:highlight w:val="none"/>
        </w:rPr>
        <w:t>1.6现场踏勘及响应费用</w:t>
      </w:r>
      <w:bookmarkEnd w:id="33"/>
      <w:bookmarkEnd w:id="34"/>
    </w:p>
    <w:p w14:paraId="04C5BEC8">
      <w:pPr>
        <w:shd w:val="clea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3134BD39">
      <w:pPr>
        <w:shd w:val="clea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4F4C00E2">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31CABB63">
      <w:pPr>
        <w:shd w:val="clea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4983A446">
      <w:pPr>
        <w:shd w:val="clea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5A41ED11">
      <w:pPr>
        <w:shd w:val="clear"/>
        <w:spacing w:before="120" w:line="276" w:lineRule="auto"/>
        <w:ind w:firstLine="422" w:firstLineChars="200"/>
        <w:outlineLvl w:val="2"/>
        <w:rPr>
          <w:b/>
          <w:bCs/>
          <w:color w:val="auto"/>
          <w:kern w:val="0"/>
          <w:szCs w:val="21"/>
          <w:highlight w:val="none"/>
        </w:rPr>
      </w:pPr>
      <w:bookmarkStart w:id="35" w:name="_Toc254970532"/>
      <w:bookmarkStart w:id="36" w:name="_Toc254970673"/>
      <w:r>
        <w:rPr>
          <w:b/>
          <w:bCs/>
          <w:color w:val="auto"/>
          <w:kern w:val="0"/>
          <w:szCs w:val="21"/>
          <w:highlight w:val="none"/>
        </w:rPr>
        <w:t>1.8特别说明</w:t>
      </w:r>
      <w:bookmarkEnd w:id="35"/>
      <w:bookmarkEnd w:id="36"/>
    </w:p>
    <w:p w14:paraId="2E3084A3">
      <w:pPr>
        <w:shd w:val="clear"/>
        <w:spacing w:line="276" w:lineRule="auto"/>
        <w:ind w:firstLine="420" w:firstLineChars="20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165D246E">
      <w:pPr>
        <w:shd w:val="clea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0E4B40D1">
      <w:pPr>
        <w:shd w:val="clea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 xml:space="preserve">报监管部门查处； </w:t>
      </w:r>
    </w:p>
    <w:p w14:paraId="780255E2">
      <w:pPr>
        <w:shd w:val="clea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rPr>
        <w:t>9 对本国产品的支持政策</w:t>
      </w:r>
    </w:p>
    <w:p w14:paraId="0CA5B5A4">
      <w:pPr>
        <w:shd w:val="clear"/>
        <w:spacing w:before="120" w:line="360" w:lineRule="auto"/>
        <w:ind w:left="819" w:leftChars="190" w:hanging="420" w:hangingChars="200"/>
        <w:rPr>
          <w:color w:val="auto"/>
          <w:szCs w:val="21"/>
          <w:highlight w:val="none"/>
        </w:rPr>
      </w:pPr>
      <w:r>
        <w:rPr>
          <w:rFonts w:hint="eastAsia"/>
          <w:color w:val="auto"/>
          <w:szCs w:val="21"/>
          <w:highlight w:val="none"/>
        </w:rPr>
        <w:t>1.9.1</w:t>
      </w:r>
      <w:r>
        <w:rPr>
          <w:color w:val="auto"/>
          <w:szCs w:val="21"/>
          <w:highlight w:val="none"/>
        </w:rPr>
        <w:t>本国产品标准</w:t>
      </w:r>
    </w:p>
    <w:p w14:paraId="4C3615D7">
      <w:pPr>
        <w:shd w:val="clear"/>
        <w:spacing w:line="276" w:lineRule="auto"/>
        <w:ind w:firstLine="420" w:firstLineChars="200"/>
        <w:rPr>
          <w:color w:val="auto"/>
          <w:szCs w:val="21"/>
          <w:highlight w:val="none"/>
        </w:rPr>
      </w:pPr>
      <w:r>
        <w:rPr>
          <w:rFonts w:hint="eastAsia"/>
          <w:color w:val="auto"/>
          <w:szCs w:val="21"/>
          <w:highlight w:val="none"/>
        </w:rPr>
        <w:t>“本国产品标准的产品”是指：符合《国务院办公厅关于在政府采购中实施本国产品标准及相关政策的通知》（国办发〔2025〕34号）规定的本国产品标准的产品。</w:t>
      </w:r>
    </w:p>
    <w:p w14:paraId="51F0BAF6">
      <w:pPr>
        <w:shd w:val="clear"/>
        <w:spacing w:line="276" w:lineRule="auto"/>
        <w:ind w:firstLine="420" w:firstLineChars="200"/>
        <w:rPr>
          <w:color w:val="auto"/>
          <w:szCs w:val="21"/>
          <w:highlight w:val="none"/>
        </w:rPr>
      </w:pPr>
      <w:r>
        <w:rPr>
          <w:rFonts w:hint="eastAsia"/>
          <w:color w:val="auto"/>
          <w:szCs w:val="21"/>
          <w:highlight w:val="none"/>
        </w:rPr>
        <w:t>本国产品标准的产品应当符合以下条件：</w:t>
      </w:r>
    </w:p>
    <w:p w14:paraId="1B4151C0">
      <w:pPr>
        <w:shd w:val="clear"/>
        <w:spacing w:line="276" w:lineRule="auto"/>
        <w:ind w:firstLine="420" w:firstLineChars="200"/>
        <w:rPr>
          <w:color w:val="auto"/>
          <w:szCs w:val="21"/>
          <w:highlight w:val="none"/>
        </w:rPr>
      </w:pPr>
      <w:r>
        <w:rPr>
          <w:rFonts w:hint="eastAsia"/>
          <w:color w:val="auto"/>
          <w:szCs w:val="21"/>
          <w:highlight w:val="none"/>
        </w:rPr>
        <w:t>（1）</w:t>
      </w:r>
      <w:r>
        <w:rPr>
          <w:color w:val="auto"/>
          <w:szCs w:val="21"/>
          <w:highlight w:val="none"/>
        </w:rPr>
        <w:t>在中国境内生产</w:t>
      </w:r>
      <w:r>
        <w:rPr>
          <w:rFonts w:hint="eastAsia"/>
          <w:color w:val="auto"/>
          <w:szCs w:val="21"/>
          <w:highlight w:val="none"/>
        </w:rPr>
        <w:t>。</w:t>
      </w:r>
      <w:r>
        <w:rPr>
          <w:color w:val="auto"/>
          <w:szCs w:val="21"/>
          <w:highlight w:val="none"/>
        </w:rPr>
        <w:t>产品应当在中国境内生产，即在中华人民共和国关境内</w:t>
      </w:r>
      <w:r>
        <w:rPr>
          <w:rFonts w:hint="eastAsia"/>
          <w:color w:val="auto"/>
          <w:szCs w:val="21"/>
          <w:highlight w:val="none"/>
        </w:rPr>
        <w:t>（含保税区、综合保税区等海关特殊监管区域）</w:t>
      </w:r>
      <w:r>
        <w:rPr>
          <w:color w:val="auto"/>
          <w:szCs w:val="21"/>
          <w:highlight w:val="none"/>
        </w:rPr>
        <w:t>实现从原材料、组件到产品的属性改变；属性改变是指经过制造、加工或者组装等工序，产生完全不同于原材料、组件的新产品，并具有新的名称和特征（用途），属性改变不包括以下细微操作：</w:t>
      </w:r>
    </w:p>
    <w:p w14:paraId="33E9F92F">
      <w:pPr>
        <w:shd w:val="clear"/>
        <w:spacing w:line="276" w:lineRule="auto"/>
        <w:ind w:firstLine="420" w:firstLineChars="200"/>
        <w:rPr>
          <w:color w:val="auto"/>
          <w:szCs w:val="21"/>
          <w:highlight w:val="none"/>
        </w:rPr>
      </w:pPr>
      <w:r>
        <w:rPr>
          <w:color w:val="auto"/>
          <w:szCs w:val="21"/>
          <w:highlight w:val="none"/>
        </w:rPr>
        <w:t>①为确保产品在运输或者储存期间保持某种状态而进行的操作；</w:t>
      </w:r>
    </w:p>
    <w:p w14:paraId="32095006">
      <w:pPr>
        <w:shd w:val="clear"/>
        <w:spacing w:line="276" w:lineRule="auto"/>
        <w:ind w:firstLine="420" w:firstLineChars="200"/>
        <w:rPr>
          <w:color w:val="auto"/>
          <w:szCs w:val="21"/>
          <w:highlight w:val="none"/>
        </w:rPr>
      </w:pPr>
      <w:r>
        <w:rPr>
          <w:color w:val="auto"/>
          <w:szCs w:val="21"/>
          <w:highlight w:val="none"/>
        </w:rPr>
        <w:t>②为产品运输或者销售进行的包装或者展示；</w:t>
      </w:r>
    </w:p>
    <w:p w14:paraId="2A4FC8C1">
      <w:pPr>
        <w:shd w:val="clear"/>
        <w:spacing w:line="276" w:lineRule="auto"/>
        <w:ind w:firstLine="420" w:firstLineChars="200"/>
        <w:rPr>
          <w:color w:val="auto"/>
          <w:szCs w:val="21"/>
          <w:highlight w:val="none"/>
        </w:rPr>
      </w:pPr>
      <w:r>
        <w:rPr>
          <w:color w:val="auto"/>
          <w:szCs w:val="21"/>
          <w:highlight w:val="none"/>
        </w:rPr>
        <w:t>③在产品或者其包装上粘贴或者印刷品牌、标志、标识以及其他用于区别的标记；</w:t>
      </w:r>
    </w:p>
    <w:p w14:paraId="51D54E08">
      <w:pPr>
        <w:shd w:val="clear"/>
        <w:spacing w:line="276" w:lineRule="auto"/>
        <w:ind w:firstLine="420" w:firstLineChars="200"/>
        <w:rPr>
          <w:color w:val="auto"/>
          <w:szCs w:val="21"/>
          <w:highlight w:val="none"/>
        </w:rPr>
      </w:pPr>
      <w:r>
        <w:rPr>
          <w:color w:val="auto"/>
          <w:szCs w:val="21"/>
          <w:highlight w:val="none"/>
        </w:rPr>
        <w:t>④简单的上漆、磨光和分装；</w:t>
      </w:r>
    </w:p>
    <w:p w14:paraId="7F1F7267">
      <w:pPr>
        <w:shd w:val="clear"/>
        <w:spacing w:line="276" w:lineRule="auto"/>
        <w:ind w:firstLine="420" w:firstLineChars="200"/>
        <w:rPr>
          <w:color w:val="auto"/>
          <w:szCs w:val="21"/>
          <w:highlight w:val="none"/>
        </w:rPr>
      </w:pPr>
      <w:r>
        <w:rPr>
          <w:color w:val="auto"/>
          <w:szCs w:val="21"/>
          <w:highlight w:val="none"/>
        </w:rPr>
        <w:t>⑤其他不属于属性改变的情形；</w:t>
      </w:r>
    </w:p>
    <w:p w14:paraId="7474D007">
      <w:pPr>
        <w:shd w:val="clear"/>
        <w:spacing w:line="276" w:lineRule="auto"/>
        <w:ind w:firstLine="420" w:firstLineChars="200"/>
        <w:rPr>
          <w:color w:val="auto"/>
          <w:szCs w:val="21"/>
          <w:highlight w:val="none"/>
        </w:rPr>
      </w:pPr>
      <w:r>
        <w:rPr>
          <w:rFonts w:hint="eastAsia"/>
          <w:color w:val="auto"/>
          <w:szCs w:val="21"/>
          <w:highlight w:val="none"/>
        </w:rPr>
        <w:t>（2）</w:t>
      </w:r>
      <w:r>
        <w:rPr>
          <w:color w:val="auto"/>
          <w:szCs w:val="21"/>
          <w:highlight w:val="none"/>
        </w:rPr>
        <w:t>中国境内生产的组件成本占比达到规定比例</w:t>
      </w:r>
      <w:r>
        <w:rPr>
          <w:rFonts w:hint="eastAsia"/>
          <w:color w:val="auto"/>
          <w:szCs w:val="21"/>
          <w:highlight w:val="none"/>
        </w:rPr>
        <w:t>。</w:t>
      </w:r>
    </w:p>
    <w:p w14:paraId="405D8B10">
      <w:pPr>
        <w:shd w:val="clear"/>
        <w:spacing w:line="276" w:lineRule="auto"/>
        <w:ind w:firstLine="420" w:firstLineChars="200"/>
        <w:rPr>
          <w:color w:val="auto"/>
          <w:szCs w:val="21"/>
          <w:highlight w:val="none"/>
        </w:rPr>
      </w:pPr>
      <w:r>
        <w:rPr>
          <w:rFonts w:hint="eastAsia"/>
          <w:color w:val="auto"/>
          <w:szCs w:val="21"/>
          <w:highlight w:val="none"/>
        </w:rPr>
        <w:t>①产品在中国境内生产的组件成本占比应当达到规定比例，计算公式为：产品在中国境内生产的组件成本/产品总成本≥规定比例；</w:t>
      </w:r>
    </w:p>
    <w:p w14:paraId="5FACBBA7">
      <w:pPr>
        <w:shd w:val="clear"/>
        <w:spacing w:line="276" w:lineRule="auto"/>
        <w:ind w:firstLine="420" w:firstLineChars="200"/>
        <w:rPr>
          <w:color w:val="auto"/>
          <w:szCs w:val="21"/>
          <w:highlight w:val="none"/>
        </w:rPr>
      </w:pPr>
      <w:r>
        <w:rPr>
          <w:rFonts w:hint="eastAsia"/>
          <w:color w:val="auto"/>
          <w:szCs w:val="21"/>
          <w:highlight w:val="none"/>
        </w:rPr>
        <w:t>②产品在中国境内生产的组件成本，按照《中国境内生产的组件成本核算基本规则》计算；</w:t>
      </w:r>
    </w:p>
    <w:p w14:paraId="00A7E384">
      <w:pPr>
        <w:shd w:val="clear"/>
        <w:spacing w:line="276" w:lineRule="auto"/>
        <w:ind w:firstLine="420" w:firstLineChars="200"/>
        <w:rPr>
          <w:color w:val="auto"/>
          <w:szCs w:val="21"/>
          <w:highlight w:val="none"/>
        </w:rPr>
      </w:pPr>
      <w:r>
        <w:rPr>
          <w:rFonts w:hint="eastAsia"/>
          <w:color w:val="auto"/>
          <w:szCs w:val="21"/>
          <w:highlight w:val="none"/>
        </w:rPr>
        <w:t>③中国境内生产的组件成本占比相关要求实施前，符合第（1）项条件的产品在政府采购活动中视同本国产品。</w:t>
      </w:r>
    </w:p>
    <w:p w14:paraId="43CFFD5E">
      <w:pPr>
        <w:shd w:val="clear"/>
        <w:spacing w:line="276" w:lineRule="auto"/>
        <w:ind w:firstLine="420" w:firstLineChars="200"/>
        <w:rPr>
          <w:color w:val="auto"/>
          <w:szCs w:val="21"/>
          <w:highlight w:val="none"/>
        </w:rPr>
      </w:pPr>
      <w:r>
        <w:rPr>
          <w:rFonts w:hint="eastAsia"/>
          <w:color w:val="auto"/>
          <w:szCs w:val="21"/>
          <w:highlight w:val="none"/>
        </w:rPr>
        <w:t>（3）</w:t>
      </w:r>
      <w:r>
        <w:rPr>
          <w:color w:val="auto"/>
          <w:szCs w:val="21"/>
          <w:highlight w:val="none"/>
        </w:rPr>
        <w:t>特定产品的关键组件和工序在中国境内完成。</w:t>
      </w:r>
    </w:p>
    <w:p w14:paraId="1D37E4C1">
      <w:pPr>
        <w:shd w:val="clear"/>
        <w:spacing w:line="276" w:lineRule="auto"/>
        <w:ind w:firstLine="420" w:firstLineChars="200"/>
        <w:rPr>
          <w:color w:val="auto"/>
          <w:szCs w:val="21"/>
          <w:highlight w:val="none"/>
        </w:rPr>
      </w:pPr>
      <w:r>
        <w:rPr>
          <w:rFonts w:hint="eastAsia"/>
          <w:color w:val="auto"/>
          <w:szCs w:val="21"/>
          <w:highlight w:val="none"/>
        </w:rPr>
        <w:t>①对特定产品，在符合第（1）项和第（2）项条件的基础上，应当符合财政部会同有关行业主管部门确定的其关键组件、关键工序在中国境内生产、完成等要求；</w:t>
      </w:r>
    </w:p>
    <w:p w14:paraId="044F8ABF">
      <w:pPr>
        <w:shd w:val="clear"/>
        <w:spacing w:line="276" w:lineRule="auto"/>
        <w:ind w:firstLine="420" w:firstLineChars="200"/>
        <w:rPr>
          <w:color w:val="auto"/>
          <w:szCs w:val="21"/>
          <w:highlight w:val="none"/>
        </w:rPr>
      </w:pPr>
      <w:r>
        <w:rPr>
          <w:rFonts w:hint="eastAsia"/>
          <w:color w:val="auto"/>
          <w:szCs w:val="21"/>
          <w:highlight w:val="none"/>
        </w:rPr>
        <w:t>②特定产品的关键组件、关键工序符合相关要求实施前，符合第（1）项和第（2）项条件的产品在政府采购活动中视同本国产品。</w:t>
      </w:r>
    </w:p>
    <w:p w14:paraId="7A8A7190">
      <w:pPr>
        <w:shd w:val="clear"/>
        <w:spacing w:before="120" w:line="360" w:lineRule="auto"/>
        <w:ind w:left="819" w:leftChars="190" w:hanging="420" w:hangingChars="200"/>
        <w:rPr>
          <w:color w:val="auto"/>
          <w:szCs w:val="21"/>
          <w:highlight w:val="none"/>
        </w:rPr>
      </w:pPr>
      <w:r>
        <w:rPr>
          <w:rFonts w:hint="eastAsia"/>
          <w:color w:val="auto"/>
          <w:szCs w:val="21"/>
          <w:highlight w:val="none"/>
        </w:rPr>
        <w:t>1.9.2 本国产品标准的适用范围</w:t>
      </w:r>
    </w:p>
    <w:p w14:paraId="2C3399A6">
      <w:pPr>
        <w:shd w:val="clear"/>
        <w:spacing w:line="276" w:lineRule="auto"/>
        <w:ind w:firstLine="420" w:firstLineChars="200"/>
        <w:rPr>
          <w:color w:val="auto"/>
          <w:szCs w:val="21"/>
          <w:highlight w:val="none"/>
        </w:rPr>
      </w:pPr>
      <w:r>
        <w:rPr>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rPr>
        <w:t>本项目是否适用对本国产品的支持政策详见供应商须知前附表。</w:t>
      </w:r>
    </w:p>
    <w:p w14:paraId="529A445A">
      <w:pPr>
        <w:shd w:val="clear"/>
        <w:spacing w:line="276" w:lineRule="auto"/>
        <w:ind w:firstLine="420" w:firstLineChars="200"/>
        <w:rPr>
          <w:color w:val="auto"/>
          <w:szCs w:val="21"/>
          <w:highlight w:val="none"/>
        </w:rPr>
      </w:pPr>
      <w:r>
        <w:rPr>
          <w:color w:val="auto"/>
          <w:szCs w:val="21"/>
          <w:highlight w:val="none"/>
        </w:rPr>
        <w:t>中华人民共和国缔结或者共同参加的国际条约、协定对政府采购中本国产品政策另有规定的，按照有关条约、协定执行。</w:t>
      </w:r>
    </w:p>
    <w:p w14:paraId="033D22BD">
      <w:pPr>
        <w:shd w:val="clear"/>
        <w:spacing w:before="120" w:line="320" w:lineRule="atLeast"/>
        <w:ind w:firstLine="420" w:firstLineChars="200"/>
        <w:rPr>
          <w:color w:val="auto"/>
          <w:szCs w:val="21"/>
          <w:highlight w:val="none"/>
        </w:rPr>
      </w:pPr>
      <w:r>
        <w:rPr>
          <w:rFonts w:hint="eastAsia"/>
          <w:color w:val="auto"/>
          <w:szCs w:val="21"/>
          <w:highlight w:val="none"/>
        </w:rPr>
        <w:t>1.9.3 价格评审优惠</w:t>
      </w:r>
    </w:p>
    <w:p w14:paraId="5B6A71AB">
      <w:pPr>
        <w:shd w:val="clear"/>
        <w:spacing w:before="120" w:line="320" w:lineRule="atLeast"/>
        <w:ind w:firstLine="420" w:firstLineChars="200"/>
        <w:rPr>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1D979221">
      <w:pPr>
        <w:shd w:val="clear"/>
        <w:spacing w:before="120" w:line="320" w:lineRule="atLeast"/>
        <w:ind w:firstLine="420" w:firstLineChars="200"/>
        <w:rPr>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ACDC0C5">
      <w:pPr>
        <w:shd w:val="clear"/>
        <w:spacing w:before="120" w:line="320" w:lineRule="atLeast"/>
        <w:ind w:firstLine="420" w:firstLineChars="200"/>
        <w:rPr>
          <w:color w:val="auto"/>
          <w:szCs w:val="21"/>
          <w:highlight w:val="none"/>
        </w:rPr>
      </w:pPr>
      <w:r>
        <w:rPr>
          <w:rFonts w:hint="eastAsia"/>
          <w:color w:val="auto"/>
          <w:szCs w:val="21"/>
          <w:highlight w:val="none"/>
        </w:rPr>
        <w:t>价格扣除比例在第四章评审方法及标准中规定。</w:t>
      </w:r>
    </w:p>
    <w:p w14:paraId="22693C08">
      <w:pPr>
        <w:shd w:val="clear"/>
        <w:spacing w:before="120" w:line="320" w:lineRule="atLeast"/>
        <w:ind w:firstLine="420" w:firstLineChars="200"/>
        <w:rPr>
          <w:color w:val="auto"/>
          <w:szCs w:val="21"/>
          <w:highlight w:val="none"/>
        </w:rPr>
      </w:pPr>
      <w:r>
        <w:rPr>
          <w:rFonts w:hint="eastAsia"/>
          <w:color w:val="auto"/>
          <w:szCs w:val="21"/>
          <w:highlight w:val="none"/>
        </w:rPr>
        <w:t>1.9.4政策执行要求</w:t>
      </w:r>
    </w:p>
    <w:p w14:paraId="3A30B90D">
      <w:pPr>
        <w:shd w:val="clea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lang w:val="en-US" w:eastAsia="zh-CN"/>
        </w:rPr>
        <w:t>.</w:t>
      </w:r>
      <w:r>
        <w:rPr>
          <w:rFonts w:hint="eastAsia"/>
          <w:color w:val="auto"/>
          <w:szCs w:val="21"/>
          <w:highlight w:val="none"/>
        </w:rPr>
        <w:t>9.4.1产品在中国境内生产的组件成本核算规则：产品在中国境内生产的组件成本，按照《中国境内生产的组件成本核算基本规则》计算。</w:t>
      </w:r>
    </w:p>
    <w:p w14:paraId="7A37FFC3">
      <w:pPr>
        <w:shd w:val="clear"/>
        <w:spacing w:before="120" w:line="360" w:lineRule="auto"/>
        <w:ind w:firstLine="2520" w:firstLineChars="1200"/>
        <w:rPr>
          <w:color w:val="auto"/>
          <w:szCs w:val="21"/>
          <w:highlight w:val="none"/>
        </w:rPr>
      </w:pPr>
      <w:r>
        <w:rPr>
          <w:rFonts w:hint="eastAsia"/>
          <w:color w:val="auto"/>
          <w:szCs w:val="21"/>
          <w:highlight w:val="none"/>
        </w:rPr>
        <w:t>《中国境内生产的组件成本核算基本规则》</w:t>
      </w:r>
    </w:p>
    <w:p w14:paraId="515BC616">
      <w:pPr>
        <w:shd w:val="clear"/>
        <w:spacing w:before="120"/>
        <w:ind w:firstLine="420" w:firstLineChars="200"/>
        <w:rPr>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8CB29B6">
      <w:pPr>
        <w:shd w:val="clear"/>
        <w:spacing w:before="120"/>
        <w:ind w:firstLine="420" w:firstLineChars="200"/>
        <w:rPr>
          <w:color w:val="auto"/>
          <w:szCs w:val="21"/>
          <w:highlight w:val="none"/>
        </w:rPr>
      </w:pPr>
      <w:r>
        <w:rPr>
          <w:rFonts w:hint="eastAsia"/>
          <w:color w:val="auto"/>
          <w:szCs w:val="21"/>
          <w:highlight w:val="none"/>
        </w:rPr>
        <w:t>1.产品的一级组件是指直接组成产品的组件。产品的二级组件是指直接组成产品一级组件的组件。一级组件不可分解的，视同二级组件。</w:t>
      </w:r>
    </w:p>
    <w:p w14:paraId="350BFE4A">
      <w:pPr>
        <w:shd w:val="clear"/>
        <w:spacing w:before="120"/>
        <w:ind w:firstLine="420" w:firstLineChars="200"/>
        <w:rPr>
          <w:color w:val="auto"/>
          <w:szCs w:val="21"/>
          <w:highlight w:val="none"/>
        </w:rPr>
      </w:pPr>
      <w:r>
        <w:rPr>
          <w:rFonts w:hint="eastAsia"/>
          <w:color w:val="auto"/>
          <w:szCs w:val="21"/>
          <w:highlight w:val="none"/>
        </w:rPr>
        <w:t>2.二级组件在中国境内生产的，其全部成本计入中国境内生产的组件成本；二级组件不在中国境内生产的，其成本不计入中国境内生产的组件成本。</w:t>
      </w:r>
    </w:p>
    <w:p w14:paraId="28272830">
      <w:pPr>
        <w:shd w:val="clear"/>
        <w:spacing w:before="120"/>
        <w:ind w:firstLine="420" w:firstLineChars="200"/>
        <w:rPr>
          <w:color w:val="auto"/>
          <w:szCs w:val="21"/>
          <w:highlight w:val="none"/>
        </w:rPr>
      </w:pPr>
      <w:r>
        <w:rPr>
          <w:rFonts w:hint="eastAsia"/>
          <w:color w:val="auto"/>
          <w:szCs w:val="21"/>
          <w:highlight w:val="none"/>
        </w:rPr>
        <w:t>3.产品总成本和组件成本以相关会计核算数据、采购合同、进货记录等为基础进行计算。</w:t>
      </w:r>
    </w:p>
    <w:p w14:paraId="013D81F9">
      <w:pPr>
        <w:shd w:val="clear"/>
        <w:spacing w:before="120"/>
        <w:ind w:firstLine="420" w:firstLineChars="200"/>
        <w:rPr>
          <w:color w:val="auto"/>
          <w:szCs w:val="21"/>
          <w:highlight w:val="none"/>
        </w:rPr>
      </w:pPr>
      <w:r>
        <w:rPr>
          <w:rFonts w:hint="eastAsia"/>
          <w:color w:val="auto"/>
          <w:szCs w:val="21"/>
          <w:highlight w:val="none"/>
        </w:rPr>
        <w:t>4.需要对成本核算规则予以进一步明确的其他有关事项，由财政部会同有关部门另行规定。</w:t>
      </w:r>
    </w:p>
    <w:p w14:paraId="2FAFDA57">
      <w:pPr>
        <w:shd w:val="clear"/>
        <w:spacing w:before="120" w:line="320" w:lineRule="atLeast"/>
        <w:ind w:firstLine="420" w:firstLineChars="200"/>
        <w:rPr>
          <w:color w:val="auto"/>
          <w:szCs w:val="21"/>
          <w:highlight w:val="none"/>
        </w:rPr>
      </w:pPr>
      <w:r>
        <w:rPr>
          <w:rFonts w:hint="eastAsia"/>
          <w:color w:val="auto"/>
          <w:szCs w:val="21"/>
          <w:highlight w:val="none"/>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rPr>
        <w:t>医疗器械产品凭药品监督管理部门授予的准字号注册证直接认定属于在中国境内生产的产品。</w:t>
      </w:r>
      <w:r>
        <w:rPr>
          <w:rFonts w:hint="eastAsia"/>
          <w:color w:val="auto"/>
          <w:szCs w:val="21"/>
          <w:highlight w:val="none"/>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08580DE2">
      <w:pPr>
        <w:pStyle w:val="19"/>
        <w:shd w:val="clear"/>
        <w:ind w:firstLine="420" w:firstLineChars="200"/>
        <w:rPr>
          <w:color w:val="auto"/>
          <w:sz w:val="21"/>
          <w:szCs w:val="21"/>
          <w:highlight w:val="none"/>
        </w:rPr>
      </w:pPr>
      <w:r>
        <w:rPr>
          <w:rFonts w:hint="eastAsia"/>
          <w:color w:val="auto"/>
          <w:sz w:val="21"/>
          <w:szCs w:val="21"/>
          <w:highlight w:val="none"/>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351940A6">
      <w:pPr>
        <w:pStyle w:val="19"/>
        <w:shd w:val="clear"/>
        <w:ind w:firstLine="420" w:firstLineChars="200"/>
        <w:rPr>
          <w:color w:val="auto"/>
          <w:sz w:val="21"/>
          <w:szCs w:val="21"/>
          <w:highlight w:val="none"/>
        </w:rPr>
      </w:pPr>
      <w:r>
        <w:rPr>
          <w:rFonts w:hint="eastAsia"/>
          <w:color w:val="auto"/>
          <w:sz w:val="21"/>
          <w:szCs w:val="21"/>
          <w:highlight w:val="none"/>
        </w:rPr>
        <w:t>澄清补正应当按照“6.3.3澄清、说明或补正”的规定提交。</w:t>
      </w:r>
    </w:p>
    <w:p w14:paraId="24D20293">
      <w:pPr>
        <w:pStyle w:val="19"/>
        <w:shd w:val="clear"/>
        <w:ind w:firstLine="420" w:firstLineChars="200"/>
        <w:rPr>
          <w:color w:val="auto"/>
          <w:sz w:val="21"/>
          <w:szCs w:val="21"/>
          <w:highlight w:val="none"/>
        </w:rPr>
      </w:pPr>
      <w:r>
        <w:rPr>
          <w:rFonts w:hint="eastAsia"/>
          <w:color w:val="auto"/>
          <w:sz w:val="21"/>
          <w:szCs w:val="21"/>
          <w:highlight w:val="none"/>
        </w:rPr>
        <w:t>1.9.4.3成本核算与承诺</w:t>
      </w:r>
    </w:p>
    <w:p w14:paraId="27B99091">
      <w:pPr>
        <w:pStyle w:val="19"/>
        <w:shd w:val="clear"/>
        <w:ind w:firstLine="420" w:firstLineChars="200"/>
        <w:rPr>
          <w:color w:val="auto"/>
          <w:sz w:val="21"/>
          <w:szCs w:val="21"/>
          <w:highlight w:val="none"/>
        </w:rPr>
      </w:pPr>
      <w:r>
        <w:rPr>
          <w:color w:val="auto"/>
          <w:sz w:val="21"/>
          <w:szCs w:val="21"/>
          <w:highlight w:val="none"/>
        </w:rPr>
        <w:t>供应商应依据《中国境内生产的组件成本核算基本规则》核算产品成本占比，并对核算结果负责，按要求提交《</w:t>
      </w:r>
      <w:r>
        <w:rPr>
          <w:rFonts w:hint="eastAsia"/>
          <w:color w:val="auto"/>
          <w:sz w:val="21"/>
          <w:szCs w:val="21"/>
          <w:highlight w:val="none"/>
        </w:rPr>
        <w:t>关于符合</w:t>
      </w:r>
      <w:r>
        <w:rPr>
          <w:color w:val="auto"/>
          <w:sz w:val="21"/>
          <w:szCs w:val="21"/>
          <w:highlight w:val="none"/>
        </w:rPr>
        <w:t>本国产品</w:t>
      </w:r>
      <w:r>
        <w:rPr>
          <w:rFonts w:hint="eastAsia"/>
          <w:color w:val="auto"/>
          <w:sz w:val="21"/>
          <w:szCs w:val="21"/>
          <w:highlight w:val="none"/>
        </w:rPr>
        <w:t>标准的</w:t>
      </w:r>
      <w:r>
        <w:rPr>
          <w:color w:val="auto"/>
          <w:sz w:val="21"/>
          <w:szCs w:val="21"/>
          <w:highlight w:val="none"/>
        </w:rPr>
        <w:t>成本占比承诺函》</w:t>
      </w:r>
      <w:r>
        <w:rPr>
          <w:rFonts w:hint="eastAsia"/>
          <w:color w:val="auto"/>
          <w:sz w:val="21"/>
          <w:szCs w:val="21"/>
          <w:highlight w:val="none"/>
        </w:rPr>
        <w:t>（如适用）</w:t>
      </w:r>
      <w:r>
        <w:rPr>
          <w:color w:val="auto"/>
          <w:sz w:val="21"/>
          <w:szCs w:val="21"/>
          <w:highlight w:val="none"/>
        </w:rPr>
        <w:t>（参考模板</w:t>
      </w:r>
      <w:r>
        <w:rPr>
          <w:rFonts w:hint="eastAsia"/>
          <w:color w:val="auto"/>
          <w:sz w:val="21"/>
          <w:szCs w:val="21"/>
          <w:highlight w:val="none"/>
        </w:rPr>
        <w:t>详见响应文件格式</w:t>
      </w:r>
      <w:r>
        <w:rPr>
          <w:color w:val="auto"/>
          <w:sz w:val="21"/>
          <w:szCs w:val="21"/>
          <w:highlight w:val="none"/>
        </w:rPr>
        <w:t>）。相关成本核算的原始凭证应妥善留存，以备核查。采购人可在履约验收环节对相关材料进行抽查。</w:t>
      </w:r>
    </w:p>
    <w:p w14:paraId="14EBCDA1">
      <w:pPr>
        <w:shd w:val="clear"/>
        <w:spacing w:before="120" w:line="320" w:lineRule="atLeast"/>
        <w:ind w:firstLine="420" w:firstLineChars="200"/>
        <w:rPr>
          <w:color w:val="auto"/>
          <w:szCs w:val="21"/>
          <w:highlight w:val="none"/>
        </w:rPr>
      </w:pPr>
      <w:r>
        <w:rPr>
          <w:rFonts w:hint="eastAsia"/>
          <w:color w:val="auto"/>
          <w:szCs w:val="21"/>
          <w:highlight w:val="none"/>
        </w:rPr>
        <w:t>1.9.5 争议处理</w:t>
      </w:r>
    </w:p>
    <w:p w14:paraId="353C4523">
      <w:pPr>
        <w:shd w:val="clear"/>
        <w:spacing w:before="120" w:line="360" w:lineRule="auto"/>
        <w:ind w:firstLine="420" w:firstLineChars="200"/>
        <w:rPr>
          <w:color w:val="auto"/>
          <w:szCs w:val="21"/>
          <w:highlight w:val="none"/>
        </w:rPr>
      </w:pPr>
      <w:r>
        <w:rPr>
          <w:rFonts w:hint="eastAsia"/>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64350EEA">
      <w:pPr>
        <w:shd w:val="clear"/>
        <w:spacing w:before="120" w:line="320" w:lineRule="atLeast"/>
        <w:ind w:left="2" w:leftChars="1" w:firstLine="422" w:firstLineChars="200"/>
        <w:outlineLvl w:val="1"/>
        <w:rPr>
          <w:b/>
          <w:bCs/>
          <w:color w:val="auto"/>
          <w:kern w:val="0"/>
          <w:szCs w:val="21"/>
          <w:highlight w:val="none"/>
        </w:rPr>
      </w:pPr>
      <w:bookmarkStart w:id="37" w:name="_Toc254970534"/>
      <w:bookmarkStart w:id="38" w:name="_Toc254970675"/>
      <w:r>
        <w:rPr>
          <w:b/>
          <w:bCs/>
          <w:color w:val="auto"/>
          <w:kern w:val="0"/>
          <w:szCs w:val="21"/>
          <w:highlight w:val="none"/>
        </w:rPr>
        <w:t>2．采购文件</w:t>
      </w:r>
      <w:bookmarkEnd w:id="37"/>
      <w:bookmarkEnd w:id="38"/>
    </w:p>
    <w:p w14:paraId="628A1C3B">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6769F745">
      <w:pPr>
        <w:shd w:val="clear"/>
        <w:spacing w:before="120" w:line="320" w:lineRule="atLeast"/>
        <w:ind w:firstLine="420" w:firstLineChars="200"/>
        <w:rPr>
          <w:color w:val="auto"/>
          <w:szCs w:val="21"/>
          <w:highlight w:val="none"/>
        </w:rPr>
      </w:pPr>
      <w:r>
        <w:rPr>
          <w:color w:val="auto"/>
          <w:szCs w:val="21"/>
          <w:highlight w:val="none"/>
        </w:rPr>
        <w:t>第一章 磋商公告</w:t>
      </w:r>
    </w:p>
    <w:p w14:paraId="67400B39">
      <w:pPr>
        <w:shd w:val="clear"/>
        <w:spacing w:before="120" w:line="320" w:lineRule="atLeast"/>
        <w:ind w:firstLine="420" w:firstLineChars="200"/>
        <w:rPr>
          <w:color w:val="auto"/>
          <w:szCs w:val="21"/>
          <w:highlight w:val="none"/>
        </w:rPr>
      </w:pPr>
      <w:r>
        <w:rPr>
          <w:color w:val="auto"/>
          <w:szCs w:val="21"/>
          <w:highlight w:val="none"/>
        </w:rPr>
        <w:t>第二章 采购需求</w:t>
      </w:r>
    </w:p>
    <w:p w14:paraId="1EFB7EE6">
      <w:pPr>
        <w:shd w:val="clear"/>
        <w:spacing w:before="120" w:line="320" w:lineRule="atLeast"/>
        <w:ind w:firstLine="420" w:firstLineChars="200"/>
        <w:rPr>
          <w:color w:val="auto"/>
          <w:szCs w:val="21"/>
          <w:highlight w:val="none"/>
        </w:rPr>
      </w:pPr>
      <w:r>
        <w:rPr>
          <w:color w:val="auto"/>
          <w:szCs w:val="21"/>
          <w:highlight w:val="none"/>
        </w:rPr>
        <w:t>第三章 供应商须知</w:t>
      </w:r>
    </w:p>
    <w:p w14:paraId="313FF454">
      <w:pPr>
        <w:shd w:val="clear"/>
        <w:spacing w:before="120" w:line="320" w:lineRule="atLeast"/>
        <w:ind w:firstLine="420" w:firstLineChars="200"/>
        <w:rPr>
          <w:color w:val="auto"/>
          <w:szCs w:val="21"/>
          <w:highlight w:val="none"/>
        </w:rPr>
      </w:pPr>
      <w:r>
        <w:rPr>
          <w:color w:val="auto"/>
          <w:szCs w:val="21"/>
          <w:highlight w:val="none"/>
        </w:rPr>
        <w:t>第四章 评审方法及标准</w:t>
      </w:r>
    </w:p>
    <w:p w14:paraId="7D8D0BE2">
      <w:pPr>
        <w:shd w:val="clear"/>
        <w:spacing w:before="120" w:line="320" w:lineRule="atLeast"/>
        <w:ind w:firstLine="420" w:firstLineChars="200"/>
        <w:rPr>
          <w:color w:val="auto"/>
          <w:szCs w:val="21"/>
          <w:highlight w:val="none"/>
        </w:rPr>
      </w:pPr>
      <w:r>
        <w:rPr>
          <w:color w:val="auto"/>
          <w:szCs w:val="21"/>
          <w:highlight w:val="none"/>
        </w:rPr>
        <w:t>第五章 合同主要条款格式</w:t>
      </w:r>
    </w:p>
    <w:p w14:paraId="270DE759">
      <w:pPr>
        <w:shd w:val="clear"/>
        <w:spacing w:before="120" w:line="320" w:lineRule="atLeast"/>
        <w:ind w:firstLine="420" w:firstLineChars="200"/>
        <w:rPr>
          <w:color w:val="auto"/>
          <w:szCs w:val="21"/>
          <w:highlight w:val="none"/>
        </w:rPr>
      </w:pPr>
      <w:r>
        <w:rPr>
          <w:color w:val="auto"/>
          <w:szCs w:val="21"/>
          <w:highlight w:val="none"/>
        </w:rPr>
        <w:t>第六章 响应文件格式</w:t>
      </w:r>
    </w:p>
    <w:p w14:paraId="5B70F9C0">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182A3257">
      <w:pPr>
        <w:shd w:val="clea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25D9E330">
      <w:pPr>
        <w:shd w:val="clea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32ED6907">
      <w:pPr>
        <w:shd w:val="clea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58E2FB0C">
      <w:pPr>
        <w:shd w:val="clear"/>
        <w:spacing w:before="120" w:line="320" w:lineRule="atLeast"/>
        <w:ind w:firstLine="420" w:firstLineChars="200"/>
        <w:rPr>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Pr>
          <w:color w:val="auto"/>
          <w:szCs w:val="21"/>
          <w:highlight w:val="none"/>
        </w:rPr>
        <w:t xml:space="preserve"> </w:t>
      </w:r>
    </w:p>
    <w:p w14:paraId="16C5DC78">
      <w:pPr>
        <w:shd w:val="clea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FA7AAA8">
      <w:pPr>
        <w:shd w:val="clear"/>
        <w:spacing w:before="120" w:line="320" w:lineRule="atLeast"/>
        <w:ind w:left="2" w:leftChars="1" w:firstLine="422" w:firstLineChars="200"/>
        <w:outlineLvl w:val="1"/>
        <w:rPr>
          <w:b/>
          <w:bCs/>
          <w:color w:val="auto"/>
          <w:kern w:val="0"/>
          <w:szCs w:val="21"/>
          <w:highlight w:val="none"/>
        </w:rPr>
      </w:pPr>
      <w:bookmarkStart w:id="39" w:name="_Toc254970535"/>
      <w:bookmarkStart w:id="40" w:name="_Toc254970676"/>
      <w:r>
        <w:rPr>
          <w:b/>
          <w:bCs/>
          <w:color w:val="auto"/>
          <w:kern w:val="0"/>
          <w:szCs w:val="21"/>
          <w:highlight w:val="none"/>
        </w:rPr>
        <w:t>3．响应文件</w:t>
      </w:r>
      <w:bookmarkEnd w:id="39"/>
      <w:bookmarkEnd w:id="40"/>
    </w:p>
    <w:p w14:paraId="1E4AB850">
      <w:pPr>
        <w:shd w:val="clear"/>
        <w:spacing w:before="120" w:line="320" w:lineRule="atLeast"/>
        <w:ind w:firstLine="422" w:firstLineChars="200"/>
        <w:outlineLvl w:val="2"/>
        <w:rPr>
          <w:b/>
          <w:bCs/>
          <w:color w:val="auto"/>
          <w:kern w:val="0"/>
          <w:szCs w:val="21"/>
          <w:highlight w:val="none"/>
        </w:rPr>
      </w:pPr>
      <w:bookmarkStart w:id="41" w:name="_Toc254970536"/>
      <w:bookmarkStart w:id="42" w:name="_Toc254970677"/>
      <w:r>
        <w:rPr>
          <w:b/>
          <w:bCs/>
          <w:color w:val="auto"/>
          <w:kern w:val="0"/>
          <w:szCs w:val="21"/>
          <w:highlight w:val="none"/>
        </w:rPr>
        <w:t>3.1响应文件的组成</w:t>
      </w:r>
      <w:bookmarkEnd w:id="41"/>
      <w:bookmarkEnd w:id="42"/>
    </w:p>
    <w:p w14:paraId="338DA144">
      <w:pPr>
        <w:shd w:val="clea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5B707D20">
      <w:pPr>
        <w:shd w:val="clear"/>
        <w:spacing w:before="120" w:line="320" w:lineRule="atLeast"/>
        <w:ind w:firstLine="422" w:firstLineChars="200"/>
        <w:outlineLvl w:val="2"/>
        <w:rPr>
          <w:b/>
          <w:bCs/>
          <w:color w:val="auto"/>
          <w:kern w:val="0"/>
          <w:szCs w:val="21"/>
          <w:highlight w:val="none"/>
        </w:rPr>
      </w:pPr>
      <w:bookmarkStart w:id="43" w:name="_Toc254970678"/>
      <w:bookmarkStart w:id="44" w:name="_Toc254970537"/>
      <w:r>
        <w:rPr>
          <w:b/>
          <w:color w:val="auto"/>
          <w:szCs w:val="21"/>
          <w:highlight w:val="none"/>
        </w:rPr>
        <w:t>3.2</w:t>
      </w:r>
      <w:r>
        <w:rPr>
          <w:b/>
          <w:bCs/>
          <w:color w:val="auto"/>
          <w:kern w:val="0"/>
          <w:szCs w:val="21"/>
          <w:highlight w:val="none"/>
        </w:rPr>
        <w:t>响应文件的语言及计量</w:t>
      </w:r>
      <w:bookmarkEnd w:id="43"/>
      <w:bookmarkEnd w:id="44"/>
    </w:p>
    <w:p w14:paraId="057D2326">
      <w:pPr>
        <w:shd w:val="clea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CBA1936">
      <w:pPr>
        <w:shd w:val="clea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7A65ED21">
      <w:pPr>
        <w:shd w:val="clear"/>
        <w:spacing w:before="120" w:line="320" w:lineRule="atLeast"/>
        <w:ind w:firstLine="422" w:firstLineChars="200"/>
        <w:outlineLvl w:val="2"/>
        <w:rPr>
          <w:b/>
          <w:bCs/>
          <w:color w:val="auto"/>
          <w:kern w:val="0"/>
          <w:szCs w:val="21"/>
          <w:highlight w:val="none"/>
        </w:rPr>
      </w:pPr>
      <w:bookmarkStart w:id="45" w:name="_Toc254970679"/>
      <w:bookmarkStart w:id="46" w:name="_Toc254970538"/>
      <w:r>
        <w:rPr>
          <w:b/>
          <w:bCs/>
          <w:color w:val="auto"/>
          <w:kern w:val="0"/>
          <w:szCs w:val="21"/>
          <w:highlight w:val="none"/>
        </w:rPr>
        <w:t>3.3响应报价</w:t>
      </w:r>
      <w:bookmarkEnd w:id="45"/>
      <w:bookmarkEnd w:id="46"/>
    </w:p>
    <w:p w14:paraId="3346F3E4">
      <w:pPr>
        <w:shd w:val="clea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440730B1">
      <w:pPr>
        <w:shd w:val="clea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62E3DF59">
      <w:pPr>
        <w:shd w:val="clea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5AFC4C7F">
      <w:pPr>
        <w:shd w:val="clea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1C0F84F2">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1A6C0578">
      <w:pPr>
        <w:shd w:val="clea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响应有效期则为响应截止之日起90天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3D1A7FFF">
      <w:pPr>
        <w:shd w:val="clea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3CAD2457">
      <w:pPr>
        <w:shd w:val="clea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5957FB1D">
      <w:pPr>
        <w:shd w:val="clear"/>
        <w:spacing w:before="120" w:line="320" w:lineRule="atLeast"/>
        <w:ind w:firstLine="422" w:firstLineChars="200"/>
        <w:outlineLvl w:val="2"/>
        <w:rPr>
          <w:b/>
          <w:bCs/>
          <w:color w:val="auto"/>
          <w:kern w:val="0"/>
          <w:szCs w:val="21"/>
          <w:highlight w:val="none"/>
        </w:rPr>
      </w:pPr>
      <w:bookmarkStart w:id="47" w:name="_Toc254970541"/>
      <w:bookmarkStart w:id="48" w:name="_Toc254970682"/>
      <w:r>
        <w:rPr>
          <w:b/>
          <w:bCs/>
          <w:color w:val="auto"/>
          <w:kern w:val="0"/>
          <w:szCs w:val="21"/>
          <w:highlight w:val="none"/>
        </w:rPr>
        <w:t>3.5磋商保证金</w:t>
      </w:r>
      <w:bookmarkEnd w:id="47"/>
      <w:bookmarkEnd w:id="48"/>
    </w:p>
    <w:p w14:paraId="1F497BC0">
      <w:pPr>
        <w:shd w:val="clear"/>
        <w:spacing w:before="120" w:line="320" w:lineRule="atLeast"/>
        <w:ind w:firstLine="420" w:firstLineChars="200"/>
        <w:rPr>
          <w:color w:val="auto"/>
          <w:szCs w:val="21"/>
          <w:highlight w:val="none"/>
        </w:rPr>
      </w:pPr>
      <w:r>
        <w:rPr>
          <w:color w:val="auto"/>
          <w:szCs w:val="21"/>
          <w:highlight w:val="none"/>
        </w:rPr>
        <w:t>3.5.1供应商须按须知前附表规定提交磋商保证金，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611D4406">
      <w:pPr>
        <w:shd w:val="clear"/>
        <w:spacing w:before="120" w:line="320" w:lineRule="atLeast"/>
        <w:ind w:firstLine="420" w:firstLineChars="200"/>
        <w:rPr>
          <w:color w:val="auto"/>
          <w:szCs w:val="21"/>
          <w:highlight w:val="none"/>
        </w:rPr>
      </w:pPr>
      <w:r>
        <w:rPr>
          <w:color w:val="auto"/>
          <w:szCs w:val="21"/>
          <w:highlight w:val="none"/>
        </w:rPr>
        <w:t>3.5.2磋商保证金币种应与响应报价币种相同。</w:t>
      </w:r>
    </w:p>
    <w:p w14:paraId="3AC77AC3">
      <w:pPr>
        <w:shd w:val="clear"/>
        <w:spacing w:before="120" w:line="320" w:lineRule="atLeast"/>
        <w:ind w:firstLine="420" w:firstLineChars="200"/>
        <w:rPr>
          <w:color w:val="auto"/>
          <w:szCs w:val="21"/>
          <w:highlight w:val="none"/>
        </w:rPr>
      </w:pPr>
      <w:r>
        <w:rPr>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11BD69DA">
      <w:pPr>
        <w:shd w:val="clear"/>
        <w:spacing w:before="120" w:line="320" w:lineRule="atLeast"/>
        <w:ind w:firstLine="420" w:firstLineChars="200"/>
        <w:rPr>
          <w:color w:val="auto"/>
          <w:szCs w:val="21"/>
          <w:highlight w:val="none"/>
        </w:rPr>
      </w:pPr>
      <w:r>
        <w:rPr>
          <w:color w:val="auto"/>
          <w:szCs w:val="21"/>
          <w:highlight w:val="none"/>
        </w:rPr>
        <w:t>3.5.4供应商有下列情形之一的，磋商保证金将不予退还：</w:t>
      </w:r>
    </w:p>
    <w:p w14:paraId="2A928FF6">
      <w:pPr>
        <w:numPr>
          <w:ilvl w:val="0"/>
          <w:numId w:val="2"/>
        </w:numPr>
        <w:shd w:val="clear"/>
        <w:spacing w:before="120" w:line="320" w:lineRule="atLeast"/>
        <w:rPr>
          <w:color w:val="auto"/>
          <w:szCs w:val="21"/>
          <w:highlight w:val="none"/>
        </w:rPr>
      </w:pPr>
      <w:r>
        <w:rPr>
          <w:color w:val="auto"/>
          <w:szCs w:val="21"/>
          <w:highlight w:val="none"/>
        </w:rPr>
        <w:t>供应商在响应有效期内撤销响应文件的；</w:t>
      </w:r>
    </w:p>
    <w:p w14:paraId="53A999F2">
      <w:pPr>
        <w:numPr>
          <w:ilvl w:val="0"/>
          <w:numId w:val="2"/>
        </w:numPr>
        <w:shd w:val="clear"/>
        <w:spacing w:before="120" w:line="320" w:lineRule="atLeast"/>
        <w:rPr>
          <w:color w:val="auto"/>
          <w:szCs w:val="21"/>
          <w:highlight w:val="none"/>
        </w:rPr>
      </w:pPr>
      <w:r>
        <w:rPr>
          <w:color w:val="auto"/>
          <w:szCs w:val="21"/>
          <w:highlight w:val="none"/>
        </w:rPr>
        <w:t>供应商在响应过程中弄虚作假，提供虚假材料的；</w:t>
      </w:r>
    </w:p>
    <w:p w14:paraId="2C83C0FE">
      <w:pPr>
        <w:numPr>
          <w:ilvl w:val="0"/>
          <w:numId w:val="2"/>
        </w:numPr>
        <w:shd w:val="clear"/>
        <w:spacing w:before="120" w:line="320" w:lineRule="atLeast"/>
        <w:rPr>
          <w:color w:val="auto"/>
          <w:szCs w:val="21"/>
          <w:highlight w:val="none"/>
        </w:rPr>
      </w:pPr>
      <w:r>
        <w:rPr>
          <w:color w:val="auto"/>
          <w:szCs w:val="21"/>
          <w:highlight w:val="none"/>
        </w:rPr>
        <w:t>成交供应商无正当理由不与采购人签订合同的；</w:t>
      </w:r>
    </w:p>
    <w:p w14:paraId="558F8F36">
      <w:pPr>
        <w:numPr>
          <w:ilvl w:val="0"/>
          <w:numId w:val="2"/>
        </w:numPr>
        <w:shd w:val="clear"/>
        <w:spacing w:before="120" w:line="320" w:lineRule="atLeast"/>
        <w:rPr>
          <w:color w:val="auto"/>
          <w:szCs w:val="21"/>
          <w:highlight w:val="none"/>
        </w:rPr>
      </w:pPr>
      <w:r>
        <w:rPr>
          <w:color w:val="auto"/>
          <w:szCs w:val="21"/>
          <w:highlight w:val="none"/>
        </w:rPr>
        <w:t>将成交项目转让给他人或者在响应文件中未说明且未经采购人同意，将成交项目分包给他人的；</w:t>
      </w:r>
    </w:p>
    <w:p w14:paraId="7F75FAA2">
      <w:pPr>
        <w:numPr>
          <w:ilvl w:val="0"/>
          <w:numId w:val="2"/>
        </w:numPr>
        <w:shd w:val="clea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6C1D07E5">
      <w:pPr>
        <w:numPr>
          <w:ilvl w:val="0"/>
          <w:numId w:val="2"/>
        </w:numPr>
        <w:shd w:val="clear"/>
        <w:spacing w:before="120" w:line="320" w:lineRule="atLeast"/>
        <w:rPr>
          <w:color w:val="auto"/>
          <w:szCs w:val="21"/>
          <w:highlight w:val="none"/>
        </w:rPr>
      </w:pPr>
      <w:r>
        <w:rPr>
          <w:color w:val="auto"/>
          <w:szCs w:val="21"/>
          <w:highlight w:val="none"/>
        </w:rPr>
        <w:t>拒绝履行合同义务的；</w:t>
      </w:r>
    </w:p>
    <w:p w14:paraId="30C4BD86">
      <w:pPr>
        <w:numPr>
          <w:ilvl w:val="0"/>
          <w:numId w:val="2"/>
        </w:numPr>
        <w:shd w:val="clear"/>
        <w:spacing w:before="120" w:line="320" w:lineRule="atLeast"/>
        <w:rPr>
          <w:color w:val="auto"/>
          <w:szCs w:val="21"/>
          <w:highlight w:val="none"/>
        </w:rPr>
      </w:pPr>
      <w:r>
        <w:rPr>
          <w:color w:val="auto"/>
          <w:szCs w:val="21"/>
          <w:highlight w:val="none"/>
        </w:rPr>
        <w:t>其他严重扰乱招</w:t>
      </w:r>
      <w:r>
        <w:rPr>
          <w:rFonts w:hint="eastAsia"/>
          <w:color w:val="auto"/>
          <w:szCs w:val="21"/>
          <w:highlight w:val="none"/>
        </w:rPr>
        <w:t>投标</w:t>
      </w:r>
      <w:r>
        <w:rPr>
          <w:color w:val="auto"/>
          <w:szCs w:val="21"/>
          <w:highlight w:val="none"/>
        </w:rPr>
        <w:t>程序的</w:t>
      </w:r>
      <w:r>
        <w:rPr>
          <w:rFonts w:hint="eastAsia"/>
          <w:color w:val="auto"/>
          <w:szCs w:val="21"/>
          <w:highlight w:val="none"/>
        </w:rPr>
        <w:t>。</w:t>
      </w:r>
    </w:p>
    <w:p w14:paraId="06A795B9">
      <w:pPr>
        <w:shd w:val="clear"/>
        <w:spacing w:before="120" w:line="320" w:lineRule="atLeast"/>
        <w:ind w:firstLine="422" w:firstLineChars="200"/>
        <w:outlineLvl w:val="2"/>
        <w:rPr>
          <w:b/>
          <w:bCs/>
          <w:color w:val="auto"/>
          <w:kern w:val="0"/>
          <w:szCs w:val="21"/>
          <w:highlight w:val="none"/>
        </w:rPr>
      </w:pPr>
      <w:bookmarkStart w:id="49" w:name="_Toc254970683"/>
      <w:bookmarkStart w:id="50" w:name="_Toc254970542"/>
      <w:r>
        <w:rPr>
          <w:b/>
          <w:bCs/>
          <w:color w:val="auto"/>
          <w:kern w:val="0"/>
          <w:szCs w:val="21"/>
          <w:highlight w:val="none"/>
        </w:rPr>
        <w:t>3.6响应文件的</w:t>
      </w:r>
      <w:bookmarkEnd w:id="49"/>
      <w:bookmarkEnd w:id="50"/>
      <w:r>
        <w:rPr>
          <w:b/>
          <w:bCs/>
          <w:color w:val="auto"/>
          <w:kern w:val="0"/>
          <w:szCs w:val="21"/>
          <w:highlight w:val="none"/>
        </w:rPr>
        <w:t>编制要求</w:t>
      </w:r>
    </w:p>
    <w:p w14:paraId="66279E17">
      <w:pPr>
        <w:shd w:val="clea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18E8C7ED">
      <w:pPr>
        <w:shd w:val="clear"/>
        <w:spacing w:before="120" w:line="320" w:lineRule="atLeast"/>
        <w:ind w:firstLine="420" w:firstLineChars="200"/>
        <w:rPr>
          <w:color w:val="auto"/>
          <w:szCs w:val="21"/>
          <w:highlight w:val="none"/>
        </w:rPr>
      </w:pPr>
      <w:r>
        <w:rPr>
          <w:color w:val="auto"/>
          <w:szCs w:val="21"/>
          <w:highlight w:val="none"/>
        </w:rPr>
        <w:t>3.6.2</w:t>
      </w:r>
      <w:r>
        <w:rPr>
          <w:rFonts w:hint="eastAsia"/>
          <w:color w:val="auto"/>
          <w:szCs w:val="21"/>
          <w:highlight w:val="none"/>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354A9455">
      <w:pPr>
        <w:shd w:val="clear"/>
        <w:spacing w:before="120" w:line="320" w:lineRule="atLeast"/>
        <w:ind w:firstLine="420" w:firstLineChars="200"/>
        <w:rPr>
          <w:color w:val="auto"/>
          <w:szCs w:val="21"/>
          <w:highlight w:val="none"/>
        </w:rPr>
      </w:pPr>
      <w:r>
        <w:rPr>
          <w:color w:val="auto"/>
          <w:szCs w:val="21"/>
          <w:highlight w:val="none"/>
        </w:rPr>
        <w:t xml:space="preserve">3.6.3 </w:t>
      </w:r>
      <w:r>
        <w:rPr>
          <w:rFonts w:hint="eastAsia"/>
          <w:color w:val="auto"/>
          <w:szCs w:val="21"/>
          <w:highlight w:val="none"/>
        </w:rPr>
        <w:t>供应商的响应文件未按照采购文件要求签署、盖章的，其响应无效。</w:t>
      </w:r>
    </w:p>
    <w:p w14:paraId="0929546D">
      <w:pPr>
        <w:shd w:val="clea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1198A162">
      <w:pPr>
        <w:shd w:val="clea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2773E087">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2379702A">
      <w:pPr>
        <w:shd w:val="clea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04D0BBED">
      <w:pPr>
        <w:shd w:val="clea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未在规定时间内提交或者未按照采购文件要求签章、加密的电子响应文件，广西政府采购云平台将拒收。 </w:t>
      </w:r>
    </w:p>
    <w:p w14:paraId="56C61D35">
      <w:pPr>
        <w:shd w:val="clear"/>
        <w:spacing w:before="120" w:line="320" w:lineRule="atLeast"/>
        <w:ind w:left="2" w:leftChars="1" w:firstLine="420" w:firstLineChars="200"/>
        <w:rPr>
          <w:color w:val="auto"/>
          <w:szCs w:val="21"/>
          <w:highlight w:val="none"/>
        </w:rPr>
      </w:pPr>
      <w:bookmarkStart w:id="51" w:name="_Toc254970685"/>
      <w:bookmarkStart w:id="52" w:name="_Toc254970544"/>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095B573E">
      <w:pPr>
        <w:shd w:val="clea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102EA8F6">
      <w:pPr>
        <w:shd w:val="clea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6914AB20">
      <w:pPr>
        <w:shd w:val="clear"/>
        <w:spacing w:before="120" w:line="320" w:lineRule="atLeast"/>
        <w:ind w:left="2" w:leftChars="1" w:firstLine="420" w:firstLineChars="200"/>
        <w:rPr>
          <w:color w:val="auto"/>
          <w:szCs w:val="21"/>
          <w:highlight w:val="none"/>
        </w:rPr>
      </w:pPr>
      <w:bookmarkStart w:id="53"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w:t>
      </w:r>
      <w:bookmarkStart w:id="54" w:name="_Hlk106638610"/>
      <w:r>
        <w:rPr>
          <w:rFonts w:hint="eastAsia"/>
          <w:color w:val="auto"/>
          <w:szCs w:val="21"/>
          <w:highlight w:val="none"/>
        </w:rPr>
        <w:t>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bookmarkEnd w:id="54"/>
      <w:r>
        <w:rPr>
          <w:rFonts w:hint="eastAsia"/>
          <w:color w:val="auto"/>
          <w:szCs w:val="21"/>
          <w:highlight w:val="none"/>
        </w:rPr>
        <w:t>，</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53"/>
    </w:p>
    <w:p w14:paraId="58F5C895">
      <w:pPr>
        <w:shd w:val="clea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51"/>
      <w:bookmarkEnd w:id="52"/>
    </w:p>
    <w:p w14:paraId="681CF3CA">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39C1694B">
      <w:pPr>
        <w:shd w:val="clea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4BF14513">
      <w:pPr>
        <w:shd w:val="clea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01F3DA26">
      <w:pPr>
        <w:shd w:val="clear"/>
        <w:spacing w:before="120" w:line="276" w:lineRule="auto"/>
        <w:ind w:firstLine="420" w:firstLineChars="200"/>
        <w:rPr>
          <w:color w:val="auto"/>
          <w:szCs w:val="21"/>
          <w:highlight w:val="none"/>
        </w:rPr>
      </w:pPr>
      <w:r>
        <w:rPr>
          <w:rFonts w:hint="eastAsia"/>
          <w:color w:val="auto"/>
          <w:szCs w:val="21"/>
          <w:highlight w:val="none"/>
        </w:rPr>
        <w:t xml:space="preserve">如供应商成功解密响应文件，但未在广西政府采购云平台电子开标大厅参加截标的，视同认可截标过程和结果，由此产生的后果由供应商自行负责。 </w:t>
      </w:r>
    </w:p>
    <w:p w14:paraId="03049B08">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62BC305D">
      <w:pPr>
        <w:shd w:val="clea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689841EF">
      <w:pPr>
        <w:shd w:val="clea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5" w:name="_Hlk106639817"/>
      <w:r>
        <w:rPr>
          <w:rFonts w:hint="eastAsia"/>
          <w:color w:val="auto"/>
          <w:highlight w:val="none"/>
        </w:rPr>
        <w:t>通知后供应商仍未在上述规定时间内解密响应文件</w:t>
      </w:r>
      <w:bookmarkEnd w:id="55"/>
      <w:r>
        <w:rPr>
          <w:rFonts w:hint="eastAsia"/>
          <w:color w:val="auto"/>
          <w:szCs w:val="21"/>
          <w:highlight w:val="none"/>
        </w:rPr>
        <w:t>，或者供应商没预留联系方式或预留联系方式无效导致代理机构无法联系到供应商进行解密的，均视为无效响应。</w:t>
      </w:r>
    </w:p>
    <w:p w14:paraId="34266470">
      <w:pPr>
        <w:shd w:val="clea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.2.3</w:t>
      </w:r>
      <w:bookmarkStart w:id="56"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6"/>
    <w:p w14:paraId="3FE7E4C5">
      <w:pPr>
        <w:shd w:val="clea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3E40295E">
      <w:pPr>
        <w:shd w:val="clear"/>
        <w:spacing w:before="120" w:line="320" w:lineRule="atLeast"/>
        <w:ind w:firstLine="420" w:firstLineChars="200"/>
        <w:rPr>
          <w:color w:val="auto"/>
          <w:szCs w:val="21"/>
          <w:highlight w:val="none"/>
        </w:rPr>
      </w:pPr>
      <w:r>
        <w:rPr>
          <w:color w:val="auto"/>
          <w:szCs w:val="21"/>
          <w:highlight w:val="none"/>
        </w:rPr>
        <w:t>4.2.5截标结束。</w:t>
      </w:r>
    </w:p>
    <w:p w14:paraId="3E7FBFC8">
      <w:pPr>
        <w:pStyle w:val="27"/>
        <w:shd w:val="clear"/>
        <w:snapToGrid w:val="0"/>
        <w:spacing w:line="440" w:lineRule="exact"/>
        <w:ind w:firstLine="422" w:firstLineChars="200"/>
        <w:rPr>
          <w:rFonts w:hint="eastAsia"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45ED442E">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3A5D8176">
      <w:pPr>
        <w:shd w:val="clea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303C6329">
      <w:pPr>
        <w:shd w:val="clea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17B4E6D3">
      <w:pPr>
        <w:shd w:val="clea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1207F8B5">
      <w:pPr>
        <w:shd w:val="clea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56DCF93D">
      <w:pPr>
        <w:shd w:val="clea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76528FEB">
      <w:pPr>
        <w:shd w:val="clear"/>
        <w:spacing w:before="120" w:line="320" w:lineRule="atLeast"/>
        <w:ind w:firstLine="420" w:firstLineChars="200"/>
        <w:rPr>
          <w:color w:val="auto"/>
          <w:szCs w:val="21"/>
          <w:highlight w:val="none"/>
        </w:rPr>
      </w:pPr>
      <w:bookmarkStart w:id="57" w:name="_Toc254970545"/>
      <w:bookmarkStart w:id="58" w:name="_Toc254970686"/>
      <w:r>
        <w:rPr>
          <w:color w:val="auto"/>
          <w:szCs w:val="21"/>
          <w:highlight w:val="none"/>
        </w:rPr>
        <w:t>4.4.3样品封存或退还的说明请见第六章响应文件格式所附样品递交表。</w:t>
      </w:r>
    </w:p>
    <w:p w14:paraId="586826C0">
      <w:pPr>
        <w:shd w:val="clea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2EA381AC">
      <w:pPr>
        <w:shd w:val="clea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磋商小组通过电子交易平台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51B268DE">
      <w:pPr>
        <w:shd w:val="clea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446DEE21">
      <w:pPr>
        <w:shd w:val="clea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48554DE4">
      <w:pPr>
        <w:shd w:val="clear"/>
        <w:spacing w:line="276" w:lineRule="auto"/>
        <w:ind w:firstLine="420" w:firstLineChars="200"/>
        <w:rPr>
          <w:rFonts w:hint="eastAsia" w:hAnsi="宋体"/>
          <w:color w:val="auto"/>
          <w:szCs w:val="21"/>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（注：其中信用查询规则见“供应商须知前附表”，广西政府采购云平台已与“信用中国”平台做接口，可直接在线查询）</w:t>
      </w:r>
    </w:p>
    <w:p w14:paraId="0B99FEDF">
      <w:pPr>
        <w:shd w:val="clear"/>
        <w:spacing w:before="120" w:line="276" w:lineRule="auto"/>
        <w:ind w:firstLine="420" w:firstLineChars="20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p w14:paraId="2DD358BA">
      <w:pPr>
        <w:shd w:val="clea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6．评审</w:t>
      </w:r>
    </w:p>
    <w:bookmarkEnd w:id="57"/>
    <w:bookmarkEnd w:id="58"/>
    <w:p w14:paraId="1FFF9563">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6.1组建磋商小组</w:t>
      </w:r>
    </w:p>
    <w:p w14:paraId="2B12CB30">
      <w:pPr>
        <w:shd w:val="clea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w:t>
      </w:r>
      <w:r>
        <w:rPr>
          <w:color w:val="auto"/>
          <w:szCs w:val="21"/>
          <w:highlight w:val="none"/>
        </w:rPr>
        <w:t>磋商小组</w:t>
      </w:r>
      <w:r>
        <w:rPr>
          <w:rFonts w:hint="eastAsia"/>
          <w:color w:val="auto"/>
          <w:szCs w:val="21"/>
          <w:highlight w:val="none"/>
        </w:rPr>
        <w:t>负责，磋商小组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0B09AA36">
      <w:pPr>
        <w:shd w:val="clear"/>
        <w:spacing w:before="120" w:line="320" w:lineRule="atLeast"/>
        <w:ind w:firstLine="420" w:firstLineChars="200"/>
        <w:rPr>
          <w:color w:val="auto"/>
          <w:szCs w:val="21"/>
          <w:highlight w:val="none"/>
        </w:rPr>
      </w:pPr>
      <w:r>
        <w:rPr>
          <w:rFonts w:hint="eastAsia"/>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CD38ED2">
      <w:pPr>
        <w:shd w:val="clea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2B1AC06B">
      <w:pPr>
        <w:shd w:val="clea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3C549034">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132CF1BC">
      <w:pPr>
        <w:shd w:val="clea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3E4280C7">
      <w:pPr>
        <w:shd w:val="clea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磋商小组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18533713">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4B749324">
      <w:pPr>
        <w:shd w:val="clear"/>
        <w:spacing w:before="120" w:line="320" w:lineRule="atLeast"/>
        <w:ind w:firstLine="420" w:firstLineChars="200"/>
        <w:rPr>
          <w:color w:val="auto"/>
          <w:highlight w:val="none"/>
        </w:rPr>
      </w:pPr>
      <w:r>
        <w:rPr>
          <w:color w:val="auto"/>
          <w:highlight w:val="none"/>
        </w:rPr>
        <w:t>6.</w:t>
      </w:r>
      <w:bookmarkStart w:id="59" w:name="_Hlk19175507"/>
      <w:bookmarkStart w:id="60" w:name="_Hlk80956880"/>
      <w:r>
        <w:rPr>
          <w:color w:val="auto"/>
          <w:highlight w:val="none"/>
        </w:rPr>
        <w:t>3.1</w:t>
      </w:r>
      <w:r>
        <w:rPr>
          <w:rFonts w:hint="eastAsia"/>
          <w:color w:val="auto"/>
          <w:highlight w:val="none"/>
        </w:rPr>
        <w:t>符合性审查</w:t>
      </w:r>
    </w:p>
    <w:p w14:paraId="523DB19B">
      <w:pPr>
        <w:shd w:val="clea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磋商小组对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59"/>
    <w:bookmarkEnd w:id="60"/>
    <w:p w14:paraId="23D365DF">
      <w:pPr>
        <w:shd w:val="clea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7FF7D853">
      <w:pPr>
        <w:shd w:val="clear"/>
        <w:suppressAutoHyphens/>
        <w:spacing w:before="120" w:line="320" w:lineRule="atLeast"/>
        <w:ind w:firstLine="422" w:firstLineChars="201"/>
        <w:rPr>
          <w:color w:val="auto"/>
          <w:szCs w:val="21"/>
          <w:highlight w:val="none"/>
        </w:rPr>
      </w:pPr>
      <w:bookmarkStart w:id="61" w:name="_Hlk47714684"/>
      <w:r>
        <w:rPr>
          <w:rFonts w:hint="eastAsia"/>
          <w:color w:val="auto"/>
          <w:szCs w:val="21"/>
          <w:highlight w:val="none"/>
        </w:rPr>
        <w:t>（1）</w:t>
      </w:r>
      <w:bookmarkEnd w:id="61"/>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6232F0D2">
      <w:pPr>
        <w:shd w:val="clear"/>
        <w:spacing w:before="120" w:line="276" w:lineRule="auto"/>
        <w:ind w:firstLine="420" w:firstLineChars="200"/>
        <w:rPr>
          <w:color w:val="auto"/>
          <w:szCs w:val="21"/>
          <w:highlight w:val="none"/>
        </w:rPr>
      </w:pPr>
      <w:bookmarkStart w:id="62" w:name="_Hlk19176155"/>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574D8E1E">
      <w:pPr>
        <w:shd w:val="clear"/>
        <w:spacing w:before="120" w:line="276" w:lineRule="auto"/>
        <w:ind w:firstLine="420" w:firstLineChars="200"/>
        <w:rPr>
          <w:color w:val="auto"/>
          <w:szCs w:val="21"/>
          <w:highlight w:val="none"/>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rPr>
        <w:t>“网络安全专用产品”内“产品类别”共34类：数据备份与恢复产品、防火墙、入侵检测系统（I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5551E8F8">
      <w:pPr>
        <w:shd w:val="clear"/>
        <w:spacing w:before="120" w:line="320" w:lineRule="atLeast"/>
        <w:ind w:firstLine="420" w:firstLineChars="200"/>
        <w:rPr>
          <w:color w:val="auto"/>
          <w:highlight w:val="none"/>
        </w:rPr>
      </w:pPr>
      <w:r>
        <w:rPr>
          <w:color w:val="auto"/>
          <w:highlight w:val="none"/>
        </w:rPr>
        <w:t>6.3.3澄清、说明或补正</w:t>
      </w:r>
    </w:p>
    <w:p w14:paraId="4263444A">
      <w:pPr>
        <w:shd w:val="clea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753FAEAF">
      <w:pPr>
        <w:shd w:val="clea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271D6DAE">
      <w:pPr>
        <w:shd w:val="clea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2F057AAA">
      <w:pPr>
        <w:shd w:val="clea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003F860E">
      <w:pPr>
        <w:shd w:val="clea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200686B4">
      <w:pPr>
        <w:shd w:val="clea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356A6309">
      <w:pPr>
        <w:shd w:val="clea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4D66289C">
      <w:pPr>
        <w:shd w:val="clea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6330C86E">
      <w:pPr>
        <w:shd w:val="clea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6186030B">
      <w:pPr>
        <w:shd w:val="clea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）经供应商确认修正后的报价若超过采购预算金额或者最高限价，其响应文件作无效响应处理。</w:t>
      </w:r>
    </w:p>
    <w:p w14:paraId="6D2FAA17">
      <w:pPr>
        <w:shd w:val="clea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）经供应商确认修正后的报价作为签订合同的依据，并以此报价计算价格分。</w:t>
      </w:r>
    </w:p>
    <w:p w14:paraId="589D202D">
      <w:pPr>
        <w:shd w:val="clea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）如磋商过程中有多轮报价的，磋商小组在每一轮报价均应按上述规则修正报价。</w:t>
      </w:r>
    </w:p>
    <w:p w14:paraId="1EE846E0">
      <w:pPr>
        <w:shd w:val="clear"/>
        <w:spacing w:before="120" w:line="320" w:lineRule="atLeast"/>
        <w:ind w:firstLine="420" w:firstLineChars="200"/>
        <w:rPr>
          <w:color w:val="auto"/>
          <w:szCs w:val="21"/>
          <w:highlight w:val="none"/>
        </w:rPr>
      </w:pPr>
      <w:r>
        <w:rPr>
          <w:rFonts w:hint="eastAsia"/>
          <w:color w:val="auto"/>
          <w:szCs w:val="21"/>
          <w:highlight w:val="none"/>
        </w:rPr>
        <w:t>6.3.5异常低价审查</w:t>
      </w:r>
    </w:p>
    <w:p w14:paraId="4FF3C1C3">
      <w:pPr>
        <w:shd w:val="clea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rPr>
        <w:t>异常低价审查情形见</w:t>
      </w:r>
      <w:r>
        <w:rPr>
          <w:color w:val="auto"/>
          <w:szCs w:val="21"/>
          <w:highlight w:val="none"/>
        </w:rPr>
        <w:t>“</w:t>
      </w:r>
      <w:r>
        <w:rPr>
          <w:rFonts w:hint="eastAsia"/>
          <w:color w:val="auto"/>
          <w:szCs w:val="21"/>
          <w:highlight w:val="none"/>
        </w:rPr>
        <w:t>供应商须知</w:t>
      </w:r>
      <w:r>
        <w:rPr>
          <w:color w:val="auto"/>
          <w:szCs w:val="21"/>
          <w:highlight w:val="none"/>
        </w:rPr>
        <w:t>前附表”规定。</w:t>
      </w:r>
    </w:p>
    <w:p w14:paraId="555D2D21">
      <w:pPr>
        <w:shd w:val="clear"/>
        <w:spacing w:before="120" w:line="320" w:lineRule="atLeast"/>
        <w:ind w:firstLine="420" w:firstLineChars="200"/>
        <w:rPr>
          <w:color w:val="auto"/>
          <w:szCs w:val="21"/>
          <w:highlight w:val="none"/>
        </w:rPr>
      </w:pPr>
      <w:r>
        <w:rPr>
          <w:rFonts w:hint="eastAsia"/>
          <w:color w:val="auto"/>
          <w:szCs w:val="21"/>
          <w:highlight w:val="none"/>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2993C47">
      <w:pPr>
        <w:shd w:val="clear"/>
        <w:spacing w:before="120" w:line="320" w:lineRule="atLeast"/>
        <w:ind w:firstLine="420" w:firstLineChars="200"/>
        <w:rPr>
          <w:strike/>
          <w:color w:val="auto"/>
          <w:szCs w:val="21"/>
          <w:highlight w:val="none"/>
        </w:rPr>
      </w:pPr>
      <w:r>
        <w:rPr>
          <w:rFonts w:hint="eastAsia"/>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BAA6235">
      <w:pPr>
        <w:shd w:val="clear"/>
        <w:spacing w:before="120" w:line="320" w:lineRule="atLeast"/>
        <w:ind w:firstLine="420" w:firstLineChars="200"/>
        <w:rPr>
          <w:color w:val="auto"/>
          <w:szCs w:val="21"/>
          <w:highlight w:val="none"/>
        </w:rPr>
      </w:pPr>
      <w:r>
        <w:rPr>
          <w:rFonts w:hint="eastAsia"/>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286732E">
      <w:pPr>
        <w:shd w:val="clear"/>
        <w:spacing w:before="120" w:line="320" w:lineRule="atLeast"/>
        <w:ind w:firstLine="420" w:firstLineChars="200"/>
        <w:rPr>
          <w:color w:val="auto"/>
          <w:szCs w:val="21"/>
          <w:highlight w:val="none"/>
        </w:rPr>
      </w:pPr>
      <w:r>
        <w:rPr>
          <w:rFonts w:hint="eastAsia"/>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0AFD8328">
      <w:pPr>
        <w:shd w:val="clear"/>
        <w:spacing w:before="120" w:line="320" w:lineRule="atLeast"/>
        <w:ind w:firstLine="420" w:firstLineChars="200"/>
        <w:rPr>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p>
    <w:p w14:paraId="3A9D4809">
      <w:pPr>
        <w:shd w:val="clea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rPr>
        <w:t>6相同品牌认定（仅适用于货物采购项目）</w:t>
      </w:r>
    </w:p>
    <w:p w14:paraId="3EE14514">
      <w:pPr>
        <w:shd w:val="clea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62"/>
    <w:p w14:paraId="6323F8DD">
      <w:pPr>
        <w:shd w:val="clear"/>
        <w:spacing w:before="120" w:line="320" w:lineRule="atLeast"/>
        <w:ind w:firstLine="420" w:firstLineChars="200"/>
        <w:rPr>
          <w:color w:val="auto"/>
          <w:szCs w:val="21"/>
          <w:highlight w:val="none"/>
        </w:rPr>
      </w:pPr>
      <w:r>
        <w:rPr>
          <w:rFonts w:hint="eastAsia"/>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760F2600">
      <w:pPr>
        <w:shd w:val="clea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3E31C789">
      <w:pPr>
        <w:shd w:val="clear"/>
        <w:spacing w:before="120" w:line="320" w:lineRule="atLeast"/>
        <w:ind w:firstLine="420" w:firstLineChars="200"/>
        <w:rPr>
          <w:color w:val="auto"/>
          <w:highlight w:val="none"/>
        </w:rPr>
      </w:pPr>
      <w:r>
        <w:rPr>
          <w:color w:val="auto"/>
          <w:highlight w:val="none"/>
        </w:rPr>
        <w:t>6.3.</w:t>
      </w:r>
      <w:r>
        <w:rPr>
          <w:rFonts w:hint="eastAsia"/>
          <w:color w:val="auto"/>
          <w:highlight w:val="none"/>
        </w:rPr>
        <w:t>7磋商</w:t>
      </w:r>
    </w:p>
    <w:p w14:paraId="16C09E3A">
      <w:pPr>
        <w:shd w:val="clear"/>
        <w:spacing w:before="120" w:line="320" w:lineRule="atLeast"/>
        <w:ind w:firstLine="420" w:firstLineChars="200"/>
        <w:rPr>
          <w:color w:val="auto"/>
          <w:highlight w:val="none"/>
        </w:rPr>
      </w:pPr>
      <w:r>
        <w:rPr>
          <w:rFonts w:hint="eastAsia"/>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682C72C">
      <w:pPr>
        <w:shd w:val="clear"/>
        <w:spacing w:before="120" w:line="320" w:lineRule="atLeast"/>
        <w:ind w:firstLine="420" w:firstLineChars="200"/>
        <w:rPr>
          <w:color w:val="auto"/>
          <w:highlight w:val="none"/>
        </w:rPr>
      </w:pPr>
      <w:r>
        <w:rPr>
          <w:rFonts w:hint="eastAsia"/>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21FD45B">
      <w:pPr>
        <w:shd w:val="clea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对采购文件作出的实质性变动是采购文件的有效组成部分，由磋商小组通过广西政府采购云平台以书面形式同时通知所有参加磋商的供应商。</w:t>
      </w:r>
    </w:p>
    <w:p w14:paraId="6A2253CA">
      <w:pPr>
        <w:shd w:val="clear"/>
        <w:spacing w:before="120" w:line="320" w:lineRule="atLeast"/>
        <w:ind w:firstLine="420" w:firstLineChars="200"/>
        <w:rPr>
          <w:color w:val="auto"/>
          <w:highlight w:val="none"/>
        </w:rPr>
      </w:pPr>
      <w:r>
        <w:rPr>
          <w:rFonts w:hint="eastAsia"/>
          <w:color w:val="auto"/>
          <w:highlight w:val="none"/>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41F55715">
      <w:pPr>
        <w:shd w:val="clear"/>
        <w:spacing w:before="120" w:line="320" w:lineRule="atLeast"/>
        <w:ind w:firstLine="420" w:firstLineChars="200"/>
        <w:rPr>
          <w:color w:val="auto"/>
          <w:highlight w:val="none"/>
        </w:rPr>
      </w:pPr>
      <w:r>
        <w:rPr>
          <w:rFonts w:hint="eastAsia"/>
          <w:color w:val="auto"/>
          <w:highlight w:val="none"/>
        </w:rPr>
        <w:t>（4）供应商的法定代表人或其授权代表无须到现场参加磋商，提问及回答/响应均通过广西政府采购云平台进行。磋商过程中使用的电子签章应为供应商上传响应文件的同一签章。</w:t>
      </w:r>
    </w:p>
    <w:p w14:paraId="7C1A8D47">
      <w:pPr>
        <w:shd w:val="clea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rPr>
        <w:t>8最后报价</w:t>
      </w:r>
    </w:p>
    <w:p w14:paraId="21AAD607">
      <w:pPr>
        <w:shd w:val="clear"/>
        <w:spacing w:before="120" w:line="320" w:lineRule="atLeast"/>
        <w:ind w:firstLine="420" w:firstLineChars="200"/>
        <w:rPr>
          <w:color w:val="auto"/>
          <w:highlight w:val="none"/>
        </w:rPr>
      </w:pPr>
      <w:r>
        <w:rPr>
          <w:rFonts w:hint="eastAsia"/>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1E1A07D">
      <w:pPr>
        <w:shd w:val="clear"/>
        <w:spacing w:before="120" w:line="320" w:lineRule="atLeast"/>
        <w:ind w:firstLine="420" w:firstLineChars="200"/>
        <w:rPr>
          <w:color w:val="auto"/>
          <w:highlight w:val="none"/>
        </w:rPr>
      </w:pPr>
      <w:r>
        <w:rPr>
          <w:rFonts w:hint="eastAsia"/>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7D69C00">
      <w:pPr>
        <w:shd w:val="clea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3F2B7581">
      <w:pPr>
        <w:shd w:val="clear"/>
        <w:spacing w:before="120" w:line="320" w:lineRule="atLeast"/>
        <w:ind w:firstLine="420" w:firstLineChars="200"/>
        <w:rPr>
          <w:color w:val="auto"/>
          <w:highlight w:val="none"/>
        </w:rPr>
      </w:pPr>
      <w:r>
        <w:rPr>
          <w:rFonts w:hint="eastAsia"/>
          <w:color w:val="auto"/>
          <w:highlight w:val="none"/>
        </w:rPr>
        <w:t>（2）如符合“市场竞争不充分的科研项目、需要扶持的科技成果转化项目、政府购买服务项目（含政府和社会资本合作项目）的，提交最后报价的供应商可以为2家。</w:t>
      </w:r>
    </w:p>
    <w:p w14:paraId="0147B6F9">
      <w:pPr>
        <w:shd w:val="clear"/>
        <w:spacing w:before="120" w:line="320" w:lineRule="atLeast"/>
        <w:ind w:firstLine="420" w:firstLineChars="200"/>
        <w:rPr>
          <w:color w:val="auto"/>
          <w:highlight w:val="none"/>
        </w:rPr>
      </w:pPr>
      <w:r>
        <w:rPr>
          <w:rFonts w:hint="eastAsia"/>
          <w:color w:val="auto"/>
          <w:highlight w:val="none"/>
        </w:rPr>
        <w:t>（3）最后报价要求通过广西政府采购云平台发出，供应商需在广西政府采购云平台设置的时间内报价，最后报价不得超过采购预算金额且具有唯一性，否则否决其响应。</w:t>
      </w:r>
    </w:p>
    <w:p w14:paraId="37433185">
      <w:pPr>
        <w:shd w:val="clear"/>
        <w:spacing w:before="120" w:line="320" w:lineRule="atLeast"/>
        <w:ind w:firstLine="420" w:firstLineChars="200"/>
        <w:rPr>
          <w:color w:val="auto"/>
          <w:highlight w:val="none"/>
        </w:rPr>
      </w:pPr>
      <w:r>
        <w:rPr>
          <w:rFonts w:hint="eastAsia"/>
          <w:color w:val="auto"/>
          <w:highlight w:val="none"/>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27CF8499">
      <w:pPr>
        <w:shd w:val="clear"/>
        <w:spacing w:before="120" w:line="320" w:lineRule="atLeast"/>
        <w:ind w:firstLine="420" w:firstLineChars="200"/>
        <w:rPr>
          <w:color w:val="auto"/>
          <w:highlight w:val="none"/>
        </w:rPr>
      </w:pPr>
      <w:r>
        <w:rPr>
          <w:rFonts w:hint="eastAsia"/>
          <w:color w:val="auto"/>
          <w:highlight w:val="none"/>
        </w:rPr>
        <w:t>（5）供应商未在规定时间内提交最后报价的，视同退出磋商。</w:t>
      </w:r>
    </w:p>
    <w:p w14:paraId="5F1EB93F">
      <w:pPr>
        <w:shd w:val="clear"/>
        <w:spacing w:before="120" w:line="320" w:lineRule="atLeast"/>
        <w:ind w:firstLine="420" w:firstLineChars="200"/>
        <w:rPr>
          <w:color w:val="auto"/>
          <w:highlight w:val="none"/>
        </w:rPr>
      </w:pPr>
      <w:r>
        <w:rPr>
          <w:rFonts w:hint="eastAsia"/>
          <w:color w:val="auto"/>
          <w:highlight w:val="none"/>
        </w:rPr>
        <w:t>（6）最后报价结束后，磋商小组不得再与供应商进行任何形式的商谈。</w:t>
      </w:r>
    </w:p>
    <w:p w14:paraId="38B593A8">
      <w:pPr>
        <w:shd w:val="clea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9</w:t>
      </w:r>
      <w:r>
        <w:rPr>
          <w:color w:val="auto"/>
          <w:szCs w:val="21"/>
          <w:highlight w:val="none"/>
        </w:rPr>
        <w:t>串通投标认定</w:t>
      </w:r>
    </w:p>
    <w:p w14:paraId="28EE71D8">
      <w:pPr>
        <w:shd w:val="clear"/>
        <w:spacing w:before="120" w:line="320" w:lineRule="atLeast"/>
        <w:ind w:firstLine="420" w:firstLineChars="200"/>
        <w:rPr>
          <w:color w:val="auto"/>
          <w:highlight w:val="none"/>
        </w:rPr>
      </w:pPr>
      <w:r>
        <w:rPr>
          <w:color w:val="auto"/>
          <w:szCs w:val="21"/>
          <w:highlight w:val="none"/>
        </w:rPr>
        <w:t>磋商小组须根据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5E922ED4">
      <w:pPr>
        <w:shd w:val="clear"/>
        <w:spacing w:before="120" w:line="320" w:lineRule="atLeast"/>
        <w:ind w:firstLine="420" w:firstLineChars="200"/>
        <w:rPr>
          <w:color w:val="auto"/>
          <w:szCs w:val="21"/>
          <w:highlight w:val="none"/>
        </w:rPr>
      </w:pPr>
      <w:bookmarkStart w:id="63" w:name="_Hlk19122026"/>
      <w:r>
        <w:rPr>
          <w:rFonts w:hint="eastAsia"/>
          <w:color w:val="auto"/>
          <w:szCs w:val="21"/>
          <w:highlight w:val="none"/>
        </w:rPr>
        <w:t>（1）</w:t>
      </w:r>
      <w:bookmarkEnd w:id="63"/>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规定，出现下述情况的，相关供应商的投标作无效投标处理。</w:t>
      </w:r>
    </w:p>
    <w:p w14:paraId="291B602C">
      <w:pPr>
        <w:shd w:val="clear"/>
        <w:spacing w:before="120" w:line="320" w:lineRule="atLeast"/>
        <w:ind w:firstLine="420" w:firstLineChars="200"/>
        <w:rPr>
          <w:color w:val="auto"/>
          <w:szCs w:val="21"/>
          <w:highlight w:val="none"/>
        </w:rPr>
      </w:pPr>
      <w:bookmarkStart w:id="64"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1A4533B4">
      <w:pPr>
        <w:shd w:val="clea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6BDD5150">
      <w:pPr>
        <w:shd w:val="clea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64"/>
    <w:p w14:paraId="24854A7F">
      <w:pPr>
        <w:shd w:val="clear"/>
        <w:spacing w:before="120" w:line="320" w:lineRule="atLeast"/>
        <w:ind w:firstLine="420" w:firstLineChars="200"/>
        <w:rPr>
          <w:color w:val="auto"/>
          <w:szCs w:val="21"/>
          <w:highlight w:val="none"/>
        </w:rPr>
      </w:pPr>
      <w:bookmarkStart w:id="65" w:name="_Hlk19122058"/>
      <w:r>
        <w:rPr>
          <w:rFonts w:hint="eastAsia"/>
          <w:color w:val="auto"/>
          <w:szCs w:val="21"/>
          <w:highlight w:val="none"/>
        </w:rPr>
        <w:t>（2）</w:t>
      </w:r>
      <w:bookmarkEnd w:id="65"/>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规定，有下列情形之一的视为供应商相互串通投标，响应文件将被视为无效。</w:t>
      </w:r>
    </w:p>
    <w:p w14:paraId="2887BB49">
      <w:pPr>
        <w:shd w:val="clear"/>
        <w:spacing w:before="120" w:line="320" w:lineRule="atLeast"/>
        <w:ind w:firstLine="420" w:firstLineChars="200"/>
        <w:rPr>
          <w:color w:val="auto"/>
          <w:szCs w:val="21"/>
          <w:highlight w:val="none"/>
        </w:rPr>
      </w:pPr>
      <w:bookmarkStart w:id="66"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7A28AE7E">
      <w:pPr>
        <w:shd w:val="clea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05BB02DA">
      <w:pPr>
        <w:shd w:val="clea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72690809">
      <w:pPr>
        <w:shd w:val="clea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42662CDE">
      <w:pPr>
        <w:shd w:val="clea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64D41431">
      <w:pPr>
        <w:shd w:val="clea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66"/>
    <w:p w14:paraId="371789F2">
      <w:pPr>
        <w:shd w:val="clear"/>
        <w:spacing w:before="120" w:line="320" w:lineRule="atLeast"/>
        <w:ind w:firstLine="420" w:firstLineChars="200"/>
        <w:rPr>
          <w:color w:val="auto"/>
          <w:szCs w:val="21"/>
          <w:highlight w:val="none"/>
        </w:rPr>
      </w:pPr>
      <w:bookmarkStart w:id="67" w:name="_Hlk19122102"/>
      <w:r>
        <w:rPr>
          <w:rFonts w:hint="eastAsia"/>
          <w:color w:val="auto"/>
          <w:szCs w:val="21"/>
          <w:highlight w:val="none"/>
        </w:rPr>
        <w:t>（3）</w:t>
      </w:r>
      <w:bookmarkEnd w:id="67"/>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规定，供应商有下列情形之一的，属于恶意串通行为，响应文件将被视为无效。</w:t>
      </w:r>
    </w:p>
    <w:p w14:paraId="1D13E335">
      <w:pPr>
        <w:shd w:val="clear"/>
        <w:spacing w:before="120" w:line="320" w:lineRule="atLeast"/>
        <w:ind w:firstLine="420" w:firstLineChars="200"/>
        <w:rPr>
          <w:color w:val="auto"/>
          <w:szCs w:val="21"/>
          <w:highlight w:val="none"/>
        </w:rPr>
      </w:pPr>
      <w:bookmarkStart w:id="68"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1F001703">
      <w:pPr>
        <w:shd w:val="clea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r>
        <w:rPr>
          <w:rFonts w:hint="eastAsia"/>
          <w:color w:val="auto"/>
          <w:szCs w:val="21"/>
          <w:highlight w:val="none"/>
        </w:rPr>
        <w:t>;</w:t>
      </w:r>
    </w:p>
    <w:p w14:paraId="617F8EC0">
      <w:pPr>
        <w:shd w:val="clea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75945295">
      <w:pPr>
        <w:shd w:val="clea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5631217A">
      <w:pPr>
        <w:shd w:val="clea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35DE2F32">
      <w:pPr>
        <w:shd w:val="clea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27C55DE4">
      <w:pPr>
        <w:shd w:val="clea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68"/>
    <w:p w14:paraId="59AFCDAA">
      <w:pPr>
        <w:shd w:val="clea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4871EACB">
      <w:pPr>
        <w:shd w:val="clea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55494722">
      <w:pPr>
        <w:shd w:val="clea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773AD7F0">
      <w:pPr>
        <w:shd w:val="clea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277B044E">
      <w:pPr>
        <w:shd w:val="clear"/>
        <w:spacing w:before="120" w:line="320" w:lineRule="atLeast"/>
        <w:ind w:firstLine="420" w:firstLineChars="200"/>
        <w:rPr>
          <w:color w:val="auto"/>
          <w:szCs w:val="21"/>
          <w:highlight w:val="none"/>
        </w:rPr>
      </w:pPr>
      <w:bookmarkStart w:id="69"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9"/>
    <w:p w14:paraId="3560F064">
      <w:pPr>
        <w:shd w:val="clear"/>
        <w:spacing w:before="120" w:line="320" w:lineRule="atLeast"/>
        <w:ind w:firstLine="420" w:firstLineChars="200"/>
        <w:rPr>
          <w:color w:val="auto"/>
          <w:szCs w:val="21"/>
          <w:highlight w:val="none"/>
        </w:rPr>
      </w:pPr>
      <w:bookmarkStart w:id="70" w:name="_Hlk19113363"/>
      <w:r>
        <w:rPr>
          <w:color w:val="auto"/>
          <w:szCs w:val="21"/>
          <w:highlight w:val="none"/>
        </w:rPr>
        <w:t>6.3.1</w:t>
      </w:r>
      <w:r>
        <w:rPr>
          <w:rFonts w:hint="eastAsia"/>
          <w:color w:val="auto"/>
          <w:szCs w:val="21"/>
          <w:highlight w:val="none"/>
        </w:rPr>
        <w:t>1</w:t>
      </w:r>
      <w:r>
        <w:rPr>
          <w:color w:val="auto"/>
          <w:szCs w:val="21"/>
          <w:highlight w:val="none"/>
        </w:rPr>
        <w:t>比较与评价</w:t>
      </w:r>
    </w:p>
    <w:p w14:paraId="62F2EDD0">
      <w:pPr>
        <w:shd w:val="clear"/>
        <w:spacing w:before="120" w:line="320" w:lineRule="atLeast"/>
        <w:ind w:firstLine="420" w:firstLineChars="200"/>
        <w:rPr>
          <w:color w:val="auto"/>
          <w:szCs w:val="21"/>
          <w:highlight w:val="none"/>
        </w:rPr>
      </w:pPr>
      <w:r>
        <w:rPr>
          <w:rFonts w:hint="eastAsia"/>
          <w:color w:val="auto"/>
          <w:szCs w:val="21"/>
          <w:highlight w:val="none"/>
        </w:rPr>
        <w:t>（1）磋商小组</w:t>
      </w:r>
      <w:r>
        <w:rPr>
          <w:color w:val="auto"/>
          <w:szCs w:val="21"/>
          <w:highlight w:val="none"/>
        </w:rPr>
        <w:t>按采购文件中规定的评审方法和标准，</w:t>
      </w:r>
      <w:r>
        <w:rPr>
          <w:rFonts w:hint="eastAsia"/>
          <w:color w:val="auto"/>
          <w:szCs w:val="21"/>
          <w:highlight w:val="none"/>
        </w:rPr>
        <w:t>对提交最后报价的供应商的响应文件和最后报价进行综合评分。</w:t>
      </w:r>
    </w:p>
    <w:p w14:paraId="1C9A3B54">
      <w:pPr>
        <w:shd w:val="clear"/>
        <w:spacing w:before="120" w:line="320" w:lineRule="atLeast"/>
        <w:ind w:firstLine="420" w:firstLineChars="200"/>
        <w:rPr>
          <w:color w:val="auto"/>
          <w:szCs w:val="21"/>
          <w:highlight w:val="none"/>
        </w:rPr>
      </w:pPr>
      <w:r>
        <w:rPr>
          <w:rFonts w:hint="eastAsia"/>
          <w:color w:val="auto"/>
          <w:szCs w:val="21"/>
          <w:highlight w:val="none"/>
        </w:rPr>
        <w:t>（2）</w:t>
      </w:r>
      <w:r>
        <w:rPr>
          <w:color w:val="auto"/>
          <w:szCs w:val="21"/>
          <w:highlight w:val="none"/>
        </w:rPr>
        <w:t>磋商小组各成员独立对每个有效供应商的响应文件进行评价</w:t>
      </w:r>
      <w:r>
        <w:rPr>
          <w:rFonts w:hint="eastAsia"/>
          <w:color w:val="auto"/>
          <w:szCs w:val="21"/>
          <w:highlight w:val="none"/>
        </w:rPr>
        <w:t>、打分。评价打分</w:t>
      </w:r>
      <w:r>
        <w:rPr>
          <w:color w:val="auto"/>
          <w:szCs w:val="21"/>
          <w:highlight w:val="none"/>
        </w:rPr>
        <w:t>有误的应及时进行修正。</w:t>
      </w:r>
      <w:r>
        <w:rPr>
          <w:rFonts w:hint="eastAsia"/>
          <w:color w:val="auto"/>
          <w:szCs w:val="21"/>
          <w:highlight w:val="none"/>
        </w:rPr>
        <w:t>评分</w:t>
      </w:r>
      <w:r>
        <w:rPr>
          <w:color w:val="auto"/>
          <w:szCs w:val="21"/>
          <w:highlight w:val="none"/>
        </w:rPr>
        <w:t>标准如有客观分定义，磋商小组所有成员的客观分</w:t>
      </w:r>
      <w:r>
        <w:rPr>
          <w:rFonts w:hint="eastAsia"/>
          <w:color w:val="auto"/>
          <w:szCs w:val="21"/>
          <w:highlight w:val="none"/>
        </w:rPr>
        <w:t>评分分值</w:t>
      </w:r>
      <w:r>
        <w:rPr>
          <w:color w:val="auto"/>
          <w:szCs w:val="21"/>
          <w:highlight w:val="none"/>
        </w:rPr>
        <w:t>应当一致。</w:t>
      </w:r>
    </w:p>
    <w:p w14:paraId="63E2B52B">
      <w:pPr>
        <w:shd w:val="clear"/>
        <w:spacing w:before="120" w:line="320" w:lineRule="atLeast"/>
        <w:ind w:firstLine="420" w:firstLineChars="200"/>
        <w:rPr>
          <w:color w:val="auto"/>
          <w:szCs w:val="21"/>
          <w:highlight w:val="none"/>
        </w:rPr>
      </w:pPr>
      <w:r>
        <w:rPr>
          <w:rFonts w:hint="eastAsia"/>
          <w:color w:val="auto"/>
          <w:szCs w:val="21"/>
          <w:highlight w:val="none"/>
        </w:rPr>
        <w:t>（3）磋商小组按综合评分由高到低的排列顺序推荐</w:t>
      </w:r>
      <w:r>
        <w:rPr>
          <w:color w:val="auto"/>
          <w:szCs w:val="21"/>
          <w:highlight w:val="none"/>
        </w:rPr>
        <w:t>3</w:t>
      </w:r>
      <w:r>
        <w:rPr>
          <w:rFonts w:hint="eastAsia"/>
          <w:color w:val="auto"/>
          <w:szCs w:val="21"/>
          <w:highlight w:val="none"/>
        </w:rPr>
        <w:t>名以上成交候选供应商，排名第一的为第一成交候选供应商。</w:t>
      </w:r>
      <w:r>
        <w:rPr>
          <w:color w:val="auto"/>
          <w:szCs w:val="21"/>
          <w:highlight w:val="none"/>
        </w:rPr>
        <w:t>若</w:t>
      </w:r>
      <w:r>
        <w:rPr>
          <w:rFonts w:hint="eastAsia"/>
          <w:color w:val="auto"/>
          <w:szCs w:val="21"/>
          <w:highlight w:val="none"/>
        </w:rPr>
        <w:t>成交</w:t>
      </w:r>
      <w:r>
        <w:rPr>
          <w:color w:val="auto"/>
          <w:szCs w:val="21"/>
          <w:highlight w:val="none"/>
        </w:rPr>
        <w:t>候选人综合</w:t>
      </w:r>
      <w:r>
        <w:rPr>
          <w:rFonts w:hint="eastAsia"/>
          <w:color w:val="auto"/>
          <w:szCs w:val="21"/>
          <w:highlight w:val="none"/>
        </w:rPr>
        <w:t>评</w:t>
      </w:r>
      <w:r>
        <w:rPr>
          <w:color w:val="auto"/>
          <w:szCs w:val="21"/>
          <w:highlight w:val="none"/>
        </w:rPr>
        <w:t>分相同的，按</w:t>
      </w:r>
      <w:r>
        <w:rPr>
          <w:rFonts w:hint="eastAsia"/>
          <w:color w:val="auto"/>
          <w:szCs w:val="21"/>
          <w:highlight w:val="none"/>
        </w:rPr>
        <w:t>最后</w:t>
      </w:r>
      <w:r>
        <w:rPr>
          <w:color w:val="auto"/>
          <w:szCs w:val="21"/>
          <w:highlight w:val="none"/>
        </w:rPr>
        <w:t>报价由低到高顺序排列；综合</w:t>
      </w:r>
      <w:r>
        <w:rPr>
          <w:rFonts w:hint="eastAsia"/>
          <w:color w:val="auto"/>
          <w:szCs w:val="21"/>
          <w:highlight w:val="none"/>
        </w:rPr>
        <w:t>评</w:t>
      </w:r>
      <w:r>
        <w:rPr>
          <w:color w:val="auto"/>
          <w:szCs w:val="21"/>
          <w:highlight w:val="none"/>
        </w:rPr>
        <w:t>分且</w:t>
      </w:r>
      <w:r>
        <w:rPr>
          <w:rFonts w:hint="eastAsia"/>
          <w:color w:val="auto"/>
          <w:szCs w:val="21"/>
          <w:highlight w:val="none"/>
        </w:rPr>
        <w:t>最后</w:t>
      </w:r>
      <w:r>
        <w:rPr>
          <w:color w:val="auto"/>
          <w:szCs w:val="21"/>
          <w:highlight w:val="none"/>
        </w:rPr>
        <w:t>报价相同的</w:t>
      </w:r>
      <w:r>
        <w:rPr>
          <w:color w:val="auto"/>
          <w:highlight w:val="none"/>
        </w:rPr>
        <w:t>并列</w:t>
      </w:r>
      <w:r>
        <w:rPr>
          <w:color w:val="auto"/>
          <w:szCs w:val="21"/>
          <w:highlight w:val="none"/>
        </w:rPr>
        <w:t>；</w:t>
      </w:r>
      <w:r>
        <w:rPr>
          <w:rFonts w:hint="eastAsia"/>
          <w:color w:val="auto"/>
          <w:szCs w:val="21"/>
          <w:highlight w:val="none"/>
        </w:rPr>
        <w:t>成交</w:t>
      </w:r>
      <w:r>
        <w:rPr>
          <w:color w:val="auto"/>
          <w:szCs w:val="21"/>
          <w:highlight w:val="none"/>
        </w:rPr>
        <w:t>候选人并列的，按技术部分</w:t>
      </w:r>
      <w:r>
        <w:rPr>
          <w:rFonts w:hint="eastAsia"/>
          <w:color w:val="auto"/>
          <w:szCs w:val="21"/>
          <w:highlight w:val="none"/>
        </w:rPr>
        <w:t>评</w:t>
      </w:r>
      <w:r>
        <w:rPr>
          <w:color w:val="auto"/>
          <w:szCs w:val="21"/>
          <w:highlight w:val="none"/>
        </w:rPr>
        <w:t>分由高到低顺序排列，若综合评分、</w:t>
      </w:r>
      <w:r>
        <w:rPr>
          <w:rFonts w:hint="eastAsia"/>
          <w:color w:val="auto"/>
          <w:szCs w:val="21"/>
          <w:highlight w:val="none"/>
        </w:rPr>
        <w:t>最后</w:t>
      </w:r>
      <w:r>
        <w:rPr>
          <w:color w:val="auto"/>
          <w:szCs w:val="21"/>
          <w:highlight w:val="none"/>
        </w:rPr>
        <w:t>报价、技术部分</w:t>
      </w:r>
      <w:r>
        <w:rPr>
          <w:rFonts w:hint="eastAsia"/>
          <w:color w:val="auto"/>
          <w:szCs w:val="21"/>
          <w:highlight w:val="none"/>
        </w:rPr>
        <w:t>评分</w:t>
      </w:r>
      <w:r>
        <w:rPr>
          <w:color w:val="auto"/>
          <w:szCs w:val="21"/>
          <w:highlight w:val="none"/>
        </w:rPr>
        <w:t>均相同的，按商务</w:t>
      </w:r>
      <w:r>
        <w:rPr>
          <w:rFonts w:hint="eastAsia"/>
          <w:color w:val="auto"/>
          <w:szCs w:val="21"/>
          <w:highlight w:val="none"/>
        </w:rPr>
        <w:t>资信</w:t>
      </w:r>
      <w:r>
        <w:rPr>
          <w:color w:val="auto"/>
          <w:szCs w:val="21"/>
          <w:highlight w:val="none"/>
        </w:rPr>
        <w:t>部分</w:t>
      </w:r>
      <w:r>
        <w:rPr>
          <w:rFonts w:hint="eastAsia"/>
          <w:color w:val="auto"/>
          <w:szCs w:val="21"/>
          <w:highlight w:val="none"/>
        </w:rPr>
        <w:t>评</w:t>
      </w:r>
      <w:r>
        <w:rPr>
          <w:color w:val="auto"/>
          <w:szCs w:val="21"/>
          <w:highlight w:val="none"/>
        </w:rPr>
        <w:t>分由高到低顺序排列。</w:t>
      </w:r>
      <w:r>
        <w:rPr>
          <w:rFonts w:hint="eastAsia"/>
          <w:color w:val="auto"/>
          <w:szCs w:val="21"/>
          <w:highlight w:val="none"/>
        </w:rPr>
        <w:t>若综合评分、最后报价、技术部分评分、商务资信部分评分均相同的，由采购人自行决定。</w:t>
      </w:r>
    </w:p>
    <w:p w14:paraId="0B4D208B">
      <w:pPr>
        <w:shd w:val="clear"/>
        <w:spacing w:before="120" w:line="320" w:lineRule="atLeast"/>
        <w:ind w:firstLine="420" w:firstLineChars="200"/>
        <w:rPr>
          <w:color w:val="auto"/>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）磋商小组根据评审记录及评审结果编写评审报告，磋商小组成员均应当在评审报告上签字，对自己的评审意见承担法律责任。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情形之一的，磋商小组应当当场修改评审结果，并在评审报告中记载；评审报告签署后，采购人或者采购代理机构发现存在以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情形之一的，应当组织原磋商小组进行重新评审。</w:t>
      </w:r>
    </w:p>
    <w:p w14:paraId="28E639E2">
      <w:pPr>
        <w:shd w:val="clear"/>
        <w:spacing w:before="120" w:line="320" w:lineRule="atLeast"/>
        <w:ind w:firstLine="420" w:firstLineChars="200"/>
        <w:rPr>
          <w:color w:val="auto"/>
          <w:highlight w:val="none"/>
        </w:rPr>
      </w:pPr>
      <w:r>
        <w:rPr>
          <w:rFonts w:hint="eastAsia"/>
          <w:color w:val="auto"/>
          <w:highlight w:val="none"/>
        </w:rPr>
        <w:t>资格性检查认定错误、分值汇总计算错误、分项评分超出评分标准范围、客观分评分不一致、经磋商小组一致认定评分畸高、畸低。</w:t>
      </w:r>
    </w:p>
    <w:bookmarkEnd w:id="70"/>
    <w:p w14:paraId="23474E39">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0190A040">
      <w:pPr>
        <w:shd w:val="clear"/>
        <w:spacing w:before="120" w:line="276" w:lineRule="auto"/>
        <w:ind w:firstLine="420" w:firstLineChars="200"/>
        <w:rPr>
          <w:color w:val="auto"/>
          <w:szCs w:val="21"/>
          <w:highlight w:val="none"/>
        </w:rPr>
      </w:pPr>
      <w:r>
        <w:rPr>
          <w:rFonts w:hint="eastAsia"/>
          <w:color w:val="auto"/>
          <w:szCs w:val="21"/>
          <w:highlight w:val="none"/>
        </w:rPr>
        <w:t>6.4</w:t>
      </w:r>
      <w:r>
        <w:rPr>
          <w:color w:val="auto"/>
          <w:szCs w:val="21"/>
          <w:highlight w:val="none"/>
        </w:rPr>
        <w:t>.1采购代理机构在评审结束后2个工作日内将评审报告送采购人，采购人在5个工作日内按照评审报告中推荐的成交候选供应商顺序确定成交供应商。</w:t>
      </w:r>
    </w:p>
    <w:p w14:paraId="24606BED">
      <w:pPr>
        <w:shd w:val="clea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219312D">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3B8054AA">
      <w:pPr>
        <w:shd w:val="clea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r>
        <w:rPr>
          <w:rFonts w:hint="eastAsia"/>
          <w:color w:val="auto"/>
          <w:szCs w:val="21"/>
          <w:highlight w:val="none"/>
        </w:rPr>
        <w:t>，成交结果公告期限为1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供应商，以此类推。以上信息查询记录及相关证据与采购文件一并保存。</w:t>
      </w:r>
    </w:p>
    <w:p w14:paraId="453CE0A0">
      <w:pPr>
        <w:shd w:val="clea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4B823AA2">
      <w:pPr>
        <w:shd w:val="clea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5E1030E4">
      <w:pPr>
        <w:shd w:val="clea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2E308514">
      <w:pPr>
        <w:shd w:val="clea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166E1979">
      <w:pPr>
        <w:shd w:val="clea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18D3FC32">
      <w:pPr>
        <w:shd w:val="clea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177EB759">
      <w:pPr>
        <w:shd w:val="clea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734C991C">
      <w:pPr>
        <w:shd w:val="clea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5C9AC7D3">
      <w:pPr>
        <w:shd w:val="clea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38F0BED9">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06D65278">
      <w:pPr>
        <w:shd w:val="clea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合同将授予被确定实质上响应采购文件要求，具备履行合同能力，综合评分排名第一的供应商。在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 ，应在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没收磋商保证金</w:t>
      </w:r>
      <w:r>
        <w:rPr>
          <w:rFonts w:hint="eastAsia"/>
          <w:color w:val="auto"/>
          <w:szCs w:val="21"/>
          <w:highlight w:val="none"/>
        </w:rPr>
        <w:t>。</w:t>
      </w:r>
    </w:p>
    <w:p w14:paraId="67266B95">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47FA107D">
      <w:pPr>
        <w:shd w:val="clea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5F5771B0">
      <w:pPr>
        <w:shd w:val="clea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38B14474">
      <w:pPr>
        <w:shd w:val="clea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其磋商保证金将不予退还，并报由同级政府采购监督管理部门处理。</w:t>
      </w:r>
    </w:p>
    <w:p w14:paraId="039BF5FA">
      <w:pPr>
        <w:shd w:val="clea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11383783">
      <w:pPr>
        <w:shd w:val="clear"/>
        <w:spacing w:before="120" w:line="320" w:lineRule="atLeast"/>
        <w:ind w:firstLine="420" w:firstLineChars="200"/>
        <w:rPr>
          <w:color w:val="auto"/>
          <w:szCs w:val="21"/>
          <w:highlight w:val="none"/>
        </w:rPr>
      </w:pPr>
      <w:bookmarkStart w:id="71"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71"/>
    </w:p>
    <w:p w14:paraId="34B65F34">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536F13B9">
      <w:pPr>
        <w:shd w:val="clea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67548522">
      <w:pPr>
        <w:shd w:val="clea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30845CE4">
      <w:pPr>
        <w:shd w:val="clear"/>
        <w:spacing w:before="120" w:line="320" w:lineRule="atLeast"/>
        <w:ind w:firstLine="420" w:firstLineChars="200"/>
        <w:rPr>
          <w:color w:val="auto"/>
          <w:szCs w:val="21"/>
          <w:highlight w:val="none"/>
        </w:rPr>
      </w:pPr>
      <w:bookmarkStart w:id="72"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2"/>
    </w:p>
    <w:p w14:paraId="60EC741D">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7.4 履行合同</w:t>
      </w:r>
    </w:p>
    <w:p w14:paraId="6A2F5BD7">
      <w:pPr>
        <w:shd w:val="clear"/>
        <w:spacing w:before="120" w:line="320" w:lineRule="atLeast"/>
        <w:ind w:firstLine="420" w:firstLineChars="200"/>
        <w:rPr>
          <w:color w:val="auto"/>
          <w:szCs w:val="21"/>
          <w:highlight w:val="none"/>
        </w:rPr>
      </w:pPr>
      <w:bookmarkStart w:id="73" w:name="_Toc217446070"/>
      <w:bookmarkStart w:id="74" w:name="_Toc308164814"/>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35E3491B">
      <w:pPr>
        <w:shd w:val="clea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73"/>
      <w:bookmarkEnd w:id="74"/>
    </w:p>
    <w:p w14:paraId="6B787044">
      <w:pPr>
        <w:shd w:val="clea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0677CA48">
      <w:pPr>
        <w:shd w:val="clea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3C97DD16">
      <w:pPr>
        <w:shd w:val="clea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29095FEC">
      <w:pPr>
        <w:shd w:val="clea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67B1ACC9">
      <w:pPr>
        <w:shd w:val="clear"/>
        <w:spacing w:before="120" w:line="320" w:lineRule="atLeast"/>
        <w:ind w:left="2" w:leftChars="1" w:firstLine="422" w:firstLineChars="200"/>
        <w:outlineLvl w:val="1"/>
        <w:rPr>
          <w:b/>
          <w:bCs/>
          <w:color w:val="auto"/>
          <w:kern w:val="0"/>
          <w:szCs w:val="21"/>
          <w:highlight w:val="none"/>
        </w:rPr>
      </w:pPr>
      <w:bookmarkStart w:id="75" w:name="_Toc254970533"/>
      <w:bookmarkStart w:id="76" w:name="_Toc254970674"/>
      <w:r>
        <w:rPr>
          <w:b/>
          <w:bCs/>
          <w:color w:val="auto"/>
          <w:kern w:val="0"/>
          <w:szCs w:val="21"/>
          <w:highlight w:val="none"/>
        </w:rPr>
        <w:t>8．质疑和投诉</w:t>
      </w:r>
      <w:bookmarkEnd w:id="75"/>
      <w:bookmarkEnd w:id="76"/>
    </w:p>
    <w:p w14:paraId="263E82DF">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472F7569">
      <w:pPr>
        <w:shd w:val="clear"/>
        <w:spacing w:before="120" w:line="320" w:lineRule="atLeast"/>
        <w:ind w:firstLine="420" w:firstLineChars="200"/>
        <w:rPr>
          <w:color w:val="auto"/>
          <w:szCs w:val="21"/>
          <w:highlight w:val="none"/>
        </w:rPr>
      </w:pPr>
      <w:r>
        <w:rPr>
          <w:color w:val="auto"/>
          <w:szCs w:val="21"/>
          <w:highlight w:val="none"/>
        </w:rPr>
        <w:t>8.1.1质疑内容、时限</w:t>
      </w:r>
    </w:p>
    <w:p w14:paraId="02B8132B">
      <w:pPr>
        <w:shd w:val="clea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6AC3F9D0">
      <w:pPr>
        <w:shd w:val="clear"/>
        <w:spacing w:before="120" w:line="320" w:lineRule="atLeast"/>
        <w:ind w:firstLine="420" w:firstLineChars="200"/>
        <w:rPr>
          <w:color w:val="auto"/>
          <w:szCs w:val="21"/>
          <w:highlight w:val="none"/>
        </w:rPr>
      </w:pPr>
      <w:r>
        <w:rPr>
          <w:rFonts w:hint="eastAsia"/>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7B538C4F">
      <w:pPr>
        <w:shd w:val="clear"/>
        <w:spacing w:before="120" w:line="320" w:lineRule="atLeast"/>
        <w:ind w:firstLine="420" w:firstLineChars="200"/>
        <w:rPr>
          <w:color w:val="auto"/>
          <w:szCs w:val="21"/>
          <w:highlight w:val="none"/>
        </w:rPr>
      </w:pPr>
      <w:r>
        <w:rPr>
          <w:color w:val="auto"/>
          <w:szCs w:val="21"/>
          <w:highlight w:val="none"/>
        </w:rPr>
        <w:t>8.1.2质疑形式</w:t>
      </w:r>
    </w:p>
    <w:p w14:paraId="4F3AAB2F">
      <w:pPr>
        <w:shd w:val="clea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18C606EA">
      <w:pPr>
        <w:shd w:val="clea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0003F483">
      <w:pPr>
        <w:shd w:val="clea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32C7ED3A">
      <w:pPr>
        <w:shd w:val="clea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3AE4A748">
      <w:pPr>
        <w:shd w:val="clea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70F25B51">
      <w:pPr>
        <w:shd w:val="clea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1CA63900">
      <w:pPr>
        <w:shd w:val="clea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2FE5712B">
      <w:pPr>
        <w:shd w:val="clea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103352FE">
      <w:pPr>
        <w:shd w:val="clea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1C03A1FB">
      <w:pPr>
        <w:shd w:val="clea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5269ED81">
      <w:pPr>
        <w:shd w:val="clea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44C9471A">
      <w:pPr>
        <w:shd w:val="clea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78B99718">
      <w:pPr>
        <w:shd w:val="clear"/>
        <w:spacing w:before="120" w:line="320" w:lineRule="atLeast"/>
        <w:ind w:firstLine="422" w:firstLineChars="200"/>
        <w:outlineLvl w:val="1"/>
        <w:rPr>
          <w:b/>
          <w:bCs/>
          <w:color w:val="auto"/>
          <w:kern w:val="0"/>
          <w:szCs w:val="21"/>
          <w:highlight w:val="none"/>
        </w:rPr>
      </w:pPr>
      <w:r>
        <w:rPr>
          <w:b/>
          <w:bCs/>
          <w:color w:val="auto"/>
          <w:kern w:val="0"/>
          <w:szCs w:val="21"/>
          <w:highlight w:val="none"/>
        </w:rPr>
        <w:t>9．其他事项</w:t>
      </w:r>
    </w:p>
    <w:p w14:paraId="02E66E15">
      <w:pPr>
        <w:shd w:val="clea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5D19C091">
      <w:pPr>
        <w:shd w:val="clea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3FFD6993">
      <w:pPr>
        <w:shd w:val="clea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77C7F049">
      <w:pPr>
        <w:shd w:val="clea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4C5A1016">
      <w:pPr>
        <w:shd w:val="clea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362807AA">
      <w:pPr>
        <w:shd w:val="clea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38BADF46">
      <w:pPr>
        <w:shd w:val="clea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74144416">
      <w:pPr>
        <w:shd w:val="clea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48850105">
      <w:pPr>
        <w:shd w:val="clea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3184EE90">
      <w:pPr>
        <w:shd w:val="clea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53C0EAAB">
      <w:pPr>
        <w:shd w:val="clea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2AF79297">
      <w:pPr>
        <w:shd w:val="clea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76BF76FB">
      <w:pPr>
        <w:shd w:val="clear"/>
        <w:spacing w:before="120" w:line="320" w:lineRule="atLeast"/>
        <w:ind w:left="2" w:leftChars="1" w:firstLine="422" w:firstLineChars="200"/>
        <w:outlineLvl w:val="1"/>
        <w:rPr>
          <w:color w:val="auto"/>
          <w:sz w:val="32"/>
          <w:szCs w:val="32"/>
          <w:highlight w:val="none"/>
        </w:rPr>
        <w:sectPr>
          <w:headerReference r:id="rId13" w:type="first"/>
          <w:footerReference r:id="rId14" w:type="first"/>
          <w:headerReference r:id="rId12" w:type="default"/>
          <w:pgSz w:w="11906" w:h="16838"/>
          <w:pgMar w:top="993" w:right="1133" w:bottom="1246" w:left="1418" w:header="851" w:footer="992" w:gutter="0"/>
          <w:cols w:space="720" w:num="1"/>
          <w:titlePg/>
          <w:docGrid w:linePitch="312" w:charSpace="0"/>
        </w:sect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p>
    <w:p w14:paraId="2A446A01">
      <w:pPr>
        <w:pStyle w:val="27"/>
        <w:shd w:val="clear"/>
        <w:snapToGrid w:val="0"/>
        <w:spacing w:before="120" w:after="120" w:line="320" w:lineRule="exact"/>
        <w:jc w:val="center"/>
        <w:outlineLvl w:val="0"/>
        <w:rPr>
          <w:rFonts w:ascii="Times New Roman" w:hAnsi="Times New Roman" w:cs="Times New Roman"/>
          <w:color w:val="auto"/>
          <w:sz w:val="32"/>
          <w:szCs w:val="32"/>
          <w:highlight w:val="none"/>
        </w:rPr>
      </w:pPr>
      <w:bookmarkStart w:id="77" w:name="_Toc17847"/>
      <w:bookmarkStart w:id="78" w:name="_Toc254970690"/>
      <w:bookmarkStart w:id="79" w:name="_Toc254970549"/>
      <w:r>
        <w:rPr>
          <w:rFonts w:ascii="Times New Roman" w:hAnsi="Times New Roman" w:cs="Times New Roman"/>
          <w:color w:val="auto"/>
          <w:sz w:val="32"/>
          <w:szCs w:val="32"/>
          <w:highlight w:val="none"/>
        </w:rPr>
        <w:t>第四章  评审方法及标准</w:t>
      </w:r>
      <w:bookmarkEnd w:id="77"/>
    </w:p>
    <w:p w14:paraId="1DA374B8">
      <w:pPr>
        <w:shd w:val="clea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22C16DD8">
      <w:pPr>
        <w:shd w:val="clear"/>
        <w:suppressAutoHyphens/>
        <w:spacing w:before="120" w:line="320" w:lineRule="atLeast"/>
        <w:ind w:firstLine="420" w:firstLineChars="200"/>
        <w:rPr>
          <w:color w:val="auto"/>
          <w:kern w:val="1"/>
          <w:szCs w:val="21"/>
          <w:highlight w:val="none"/>
        </w:rPr>
      </w:pPr>
      <w:r>
        <w:rPr>
          <w:color w:val="auto"/>
          <w:szCs w:val="21"/>
          <w:highlight w:val="none"/>
        </w:rPr>
        <w:t>本项目采用</w:t>
      </w:r>
      <w:r>
        <w:rPr>
          <w:bCs/>
          <w:color w:val="auto"/>
          <w:kern w:val="1"/>
          <w:szCs w:val="21"/>
          <w:highlight w:val="none"/>
        </w:rPr>
        <w:t>综合评分法</w:t>
      </w:r>
      <w:r>
        <w:rPr>
          <w:color w:val="auto"/>
          <w:szCs w:val="21"/>
          <w:highlight w:val="none"/>
        </w:rPr>
        <w:t>进行评审</w:t>
      </w:r>
      <w:r>
        <w:rPr>
          <w:bCs/>
          <w:color w:val="auto"/>
          <w:kern w:val="1"/>
          <w:szCs w:val="21"/>
          <w:highlight w:val="none"/>
        </w:rPr>
        <w:t>。</w:t>
      </w:r>
      <w:r>
        <w:rPr>
          <w:color w:val="auto"/>
          <w:szCs w:val="21"/>
          <w:highlight w:val="none"/>
        </w:rPr>
        <w:t>综合评分法，是指响应文件满足采购文件全部实质性要求且按照评审因素的量化指标评审得分最高的</w:t>
      </w:r>
      <w:r>
        <w:rPr>
          <w:rFonts w:hint="eastAsia"/>
          <w:color w:val="auto"/>
          <w:szCs w:val="21"/>
          <w:highlight w:val="none"/>
        </w:rPr>
        <w:t>供应商</w:t>
      </w:r>
      <w:r>
        <w:rPr>
          <w:color w:val="auto"/>
          <w:szCs w:val="21"/>
          <w:highlight w:val="none"/>
        </w:rPr>
        <w:t>为</w:t>
      </w:r>
      <w:r>
        <w:rPr>
          <w:rFonts w:hint="eastAsia"/>
          <w:color w:val="auto"/>
          <w:szCs w:val="21"/>
          <w:highlight w:val="none"/>
        </w:rPr>
        <w:t>成交</w:t>
      </w:r>
      <w:r>
        <w:rPr>
          <w:color w:val="auto"/>
          <w:szCs w:val="21"/>
          <w:highlight w:val="none"/>
        </w:rPr>
        <w:t>候选人的评审方法。</w:t>
      </w:r>
    </w:p>
    <w:p w14:paraId="719FB761">
      <w:pPr>
        <w:shd w:val="clea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174B021F">
      <w:pPr>
        <w:shd w:val="clear"/>
        <w:spacing w:before="120" w:line="320" w:lineRule="atLeast"/>
        <w:ind w:firstLine="413" w:firstLineChars="196"/>
        <w:outlineLvl w:val="1"/>
        <w:rPr>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80" w:name="_Hlk160525103"/>
      <w:r>
        <w:rPr>
          <w:rFonts w:hint="eastAsia"/>
          <w:b/>
          <w:bCs/>
          <w:color w:val="auto"/>
          <w:kern w:val="0"/>
          <w:szCs w:val="21"/>
          <w:highlight w:val="none"/>
        </w:rPr>
        <w:t>联合体投标的，联合体各方均应提交第一项基本资格要求的资格证明文件）</w:t>
      </w:r>
      <w:bookmarkEnd w:id="80"/>
    </w:p>
    <w:tbl>
      <w:tblPr>
        <w:tblStyle w:val="52"/>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6482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trPr>
        <w:tc>
          <w:tcPr>
            <w:tcW w:w="846" w:type="dxa"/>
            <w:vAlign w:val="center"/>
          </w:tcPr>
          <w:p w14:paraId="339D18BC">
            <w:pPr>
              <w:shd w:val="clea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因素</w:t>
            </w:r>
          </w:p>
        </w:tc>
        <w:tc>
          <w:tcPr>
            <w:tcW w:w="1843" w:type="dxa"/>
            <w:vAlign w:val="center"/>
          </w:tcPr>
          <w:p w14:paraId="2CCAA3FD">
            <w:pPr>
              <w:shd w:val="clea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vAlign w:val="center"/>
          </w:tcPr>
          <w:p w14:paraId="7501E385">
            <w:pPr>
              <w:shd w:val="clear"/>
              <w:spacing w:line="240" w:lineRule="exact"/>
              <w:jc w:val="center"/>
              <w:rPr>
                <w:b/>
                <w:color w:val="auto"/>
                <w:kern w:val="0"/>
                <w:szCs w:val="21"/>
                <w:highlight w:val="none"/>
              </w:rPr>
            </w:pPr>
            <w:r>
              <w:rPr>
                <w:rFonts w:hint="eastAsia"/>
                <w:b/>
                <w:color w:val="auto"/>
                <w:kern w:val="0"/>
                <w:szCs w:val="21"/>
                <w:highlight w:val="none"/>
              </w:rPr>
              <w:t>说明</w:t>
            </w:r>
          </w:p>
        </w:tc>
      </w:tr>
      <w:tr w14:paraId="2706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46" w:type="dxa"/>
            <w:vMerge w:val="restart"/>
            <w:vAlign w:val="center"/>
          </w:tcPr>
          <w:p w14:paraId="767DF384">
            <w:pPr>
              <w:shd w:val="clea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vAlign w:val="center"/>
          </w:tcPr>
          <w:p w14:paraId="58F4027E">
            <w:pPr>
              <w:shd w:val="clear"/>
              <w:spacing w:line="240" w:lineRule="exact"/>
              <w:jc w:val="left"/>
              <w:rPr>
                <w:color w:val="auto"/>
                <w:szCs w:val="21"/>
                <w:highlight w:val="none"/>
              </w:rPr>
            </w:pPr>
            <w:r>
              <w:rPr>
                <w:color w:val="auto"/>
                <w:szCs w:val="21"/>
                <w:highlight w:val="none"/>
              </w:rPr>
              <w:t>（1）具有独立承担民事责任的能力</w:t>
            </w:r>
          </w:p>
        </w:tc>
        <w:tc>
          <w:tcPr>
            <w:tcW w:w="6242" w:type="dxa"/>
          </w:tcPr>
          <w:p w14:paraId="24107936">
            <w:pPr>
              <w:shd w:val="clear"/>
              <w:spacing w:line="240" w:lineRule="exact"/>
              <w:rPr>
                <w:color w:val="auto"/>
                <w:szCs w:val="21"/>
                <w:highlight w:val="none"/>
              </w:rPr>
            </w:pPr>
            <w:r>
              <w:rPr>
                <w:rFonts w:hint="eastAsia" w:ascii="Arial" w:hAnsi="Arial" w:cs="Arial"/>
                <w:color w:val="auto"/>
                <w:szCs w:val="21"/>
                <w:highlight w:val="none"/>
              </w:rPr>
              <w:t>供应商以“信用承诺函”</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tc>
      </w:tr>
      <w:tr w14:paraId="37DA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4BECA8E5">
            <w:pPr>
              <w:shd w:val="clear"/>
              <w:spacing w:line="240" w:lineRule="exact"/>
              <w:rPr>
                <w:color w:val="auto"/>
                <w:szCs w:val="21"/>
                <w:highlight w:val="none"/>
                <w:lang w:val="zh-CN"/>
              </w:rPr>
            </w:pPr>
          </w:p>
        </w:tc>
        <w:tc>
          <w:tcPr>
            <w:tcW w:w="1843" w:type="dxa"/>
            <w:vAlign w:val="center"/>
          </w:tcPr>
          <w:p w14:paraId="51183966">
            <w:pPr>
              <w:shd w:val="clea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tcPr>
          <w:p w14:paraId="295EE096">
            <w:pPr>
              <w:shd w:val="clear"/>
              <w:spacing w:line="240" w:lineRule="exact"/>
              <w:jc w:val="left"/>
              <w:rPr>
                <w:color w:val="auto"/>
                <w:szCs w:val="21"/>
                <w:highlight w:val="none"/>
              </w:rPr>
            </w:pPr>
            <w:r>
              <w:rPr>
                <w:rFonts w:hint="eastAsia" w:ascii="Arial" w:hAnsi="Arial" w:cs="Arial"/>
                <w:color w:val="auto"/>
                <w:szCs w:val="21"/>
                <w:highlight w:val="none"/>
              </w:rPr>
              <w:t>供应商以“信用承诺函”</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tc>
      </w:tr>
      <w:tr w14:paraId="01B2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5B731BFD">
            <w:pPr>
              <w:shd w:val="clear"/>
              <w:spacing w:line="240" w:lineRule="exact"/>
              <w:rPr>
                <w:color w:val="auto"/>
                <w:szCs w:val="21"/>
                <w:highlight w:val="none"/>
                <w:lang w:val="zh-CN"/>
              </w:rPr>
            </w:pPr>
          </w:p>
        </w:tc>
        <w:tc>
          <w:tcPr>
            <w:tcW w:w="1843" w:type="dxa"/>
            <w:vAlign w:val="center"/>
          </w:tcPr>
          <w:p w14:paraId="6A05B297">
            <w:pPr>
              <w:shd w:val="clea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tcPr>
          <w:p w14:paraId="77A14A75">
            <w:pPr>
              <w:shd w:val="clear"/>
              <w:spacing w:line="240" w:lineRule="exact"/>
              <w:jc w:val="left"/>
              <w:rPr>
                <w:color w:val="auto"/>
                <w:szCs w:val="21"/>
                <w:highlight w:val="none"/>
              </w:rPr>
            </w:pPr>
            <w:r>
              <w:rPr>
                <w:rFonts w:hint="eastAsia" w:ascii="Arial" w:hAnsi="Arial" w:cs="Arial"/>
                <w:color w:val="auto"/>
                <w:szCs w:val="21"/>
                <w:highlight w:val="none"/>
              </w:rPr>
              <w:t>供应商以“信用承诺函”</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tc>
      </w:tr>
      <w:tr w14:paraId="2AD8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30E03FAD">
            <w:pPr>
              <w:shd w:val="clear"/>
              <w:spacing w:line="240" w:lineRule="exact"/>
              <w:rPr>
                <w:color w:val="auto"/>
                <w:szCs w:val="21"/>
                <w:highlight w:val="none"/>
                <w:lang w:val="zh-CN"/>
              </w:rPr>
            </w:pPr>
          </w:p>
        </w:tc>
        <w:tc>
          <w:tcPr>
            <w:tcW w:w="1843" w:type="dxa"/>
            <w:vAlign w:val="center"/>
          </w:tcPr>
          <w:p w14:paraId="25F7A904">
            <w:pPr>
              <w:shd w:val="clea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tcPr>
          <w:p w14:paraId="291BCEC7">
            <w:pPr>
              <w:shd w:val="clear"/>
              <w:spacing w:line="240" w:lineRule="exact"/>
              <w:jc w:val="left"/>
              <w:rPr>
                <w:color w:val="auto"/>
                <w:szCs w:val="21"/>
                <w:highlight w:val="none"/>
              </w:rPr>
            </w:pPr>
            <w:r>
              <w:rPr>
                <w:rFonts w:hint="eastAsia" w:ascii="Arial" w:hAnsi="Arial" w:cs="Arial"/>
                <w:color w:val="auto"/>
                <w:szCs w:val="21"/>
                <w:highlight w:val="none"/>
              </w:rPr>
              <w:t>供应商以“信用承诺函”</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tc>
      </w:tr>
      <w:tr w14:paraId="0239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4D6736A5">
            <w:pPr>
              <w:shd w:val="clear"/>
              <w:spacing w:line="240" w:lineRule="exact"/>
              <w:rPr>
                <w:color w:val="auto"/>
                <w:szCs w:val="21"/>
                <w:highlight w:val="none"/>
                <w:lang w:val="zh-CN"/>
              </w:rPr>
            </w:pPr>
          </w:p>
        </w:tc>
        <w:tc>
          <w:tcPr>
            <w:tcW w:w="1843" w:type="dxa"/>
            <w:vAlign w:val="center"/>
          </w:tcPr>
          <w:p w14:paraId="0BA84351">
            <w:pPr>
              <w:shd w:val="clear"/>
              <w:spacing w:line="240" w:lineRule="exact"/>
              <w:jc w:val="left"/>
              <w:rPr>
                <w:color w:val="auto"/>
                <w:szCs w:val="21"/>
                <w:highlight w:val="none"/>
              </w:rPr>
            </w:pPr>
            <w:r>
              <w:rPr>
                <w:color w:val="auto"/>
                <w:szCs w:val="21"/>
                <w:highlight w:val="none"/>
              </w:rPr>
              <w:t>（5）参加政府采购活动前三年内，在经营活动中没有重大违法记录</w:t>
            </w:r>
          </w:p>
        </w:tc>
        <w:tc>
          <w:tcPr>
            <w:tcW w:w="6242" w:type="dxa"/>
            <w:vAlign w:val="center"/>
          </w:tcPr>
          <w:p w14:paraId="512B3911">
            <w:pPr>
              <w:shd w:val="clear"/>
              <w:spacing w:line="240" w:lineRule="exact"/>
              <w:jc w:val="left"/>
              <w:rPr>
                <w:color w:val="auto"/>
                <w:szCs w:val="21"/>
                <w:highlight w:val="none"/>
              </w:rPr>
            </w:pPr>
            <w:r>
              <w:rPr>
                <w:color w:val="auto"/>
                <w:szCs w:val="21"/>
                <w:highlight w:val="none"/>
              </w:rPr>
              <w:t>审查无重大违法记录声明。须提供，格式见第六章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 xml:space="preserve">声明书”。 </w:t>
            </w:r>
          </w:p>
        </w:tc>
      </w:tr>
      <w:tr w14:paraId="3904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846" w:type="dxa"/>
            <w:vMerge w:val="continue"/>
            <w:vAlign w:val="center"/>
          </w:tcPr>
          <w:p w14:paraId="62F3C3F4">
            <w:pPr>
              <w:shd w:val="clear"/>
              <w:spacing w:line="240" w:lineRule="exact"/>
              <w:rPr>
                <w:color w:val="auto"/>
                <w:szCs w:val="21"/>
                <w:highlight w:val="none"/>
                <w:lang w:val="zh-CN"/>
              </w:rPr>
            </w:pPr>
          </w:p>
        </w:tc>
        <w:tc>
          <w:tcPr>
            <w:tcW w:w="1843" w:type="dxa"/>
            <w:vAlign w:val="center"/>
          </w:tcPr>
          <w:p w14:paraId="3CB14754">
            <w:pPr>
              <w:shd w:val="clear"/>
              <w:spacing w:line="240" w:lineRule="exact"/>
              <w:jc w:val="left"/>
              <w:rPr>
                <w:color w:val="auto"/>
                <w:szCs w:val="21"/>
                <w:highlight w:val="none"/>
              </w:rPr>
            </w:pPr>
            <w:r>
              <w:rPr>
                <w:color w:val="auto"/>
                <w:szCs w:val="21"/>
                <w:highlight w:val="none"/>
              </w:rPr>
              <w:t>（6）具备法律、行政法规规定的其他要求</w:t>
            </w:r>
          </w:p>
        </w:tc>
        <w:tc>
          <w:tcPr>
            <w:tcW w:w="6242" w:type="dxa"/>
            <w:vAlign w:val="center"/>
          </w:tcPr>
          <w:p w14:paraId="780A2A45">
            <w:pPr>
              <w:shd w:val="clear"/>
              <w:spacing w:line="240" w:lineRule="exact"/>
              <w:jc w:val="left"/>
              <w:rPr>
                <w:color w:val="auto"/>
                <w:szCs w:val="21"/>
                <w:highlight w:val="none"/>
              </w:rPr>
            </w:pPr>
            <w:r>
              <w:rPr>
                <w:color w:val="auto"/>
                <w:szCs w:val="21"/>
                <w:highlight w:val="none"/>
              </w:rPr>
              <w:t>无。</w:t>
            </w:r>
          </w:p>
        </w:tc>
      </w:tr>
      <w:tr w14:paraId="00D0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846" w:type="dxa"/>
            <w:vAlign w:val="center"/>
          </w:tcPr>
          <w:p w14:paraId="7CDE0766">
            <w:pPr>
              <w:shd w:val="clear"/>
              <w:spacing w:line="240" w:lineRule="exact"/>
              <w:rPr>
                <w:color w:val="auto"/>
                <w:szCs w:val="21"/>
                <w:highlight w:val="none"/>
                <w:lang w:val="zh-CN"/>
              </w:rPr>
            </w:pPr>
            <w:r>
              <w:rPr>
                <w:rFonts w:hint="eastAsia"/>
                <w:color w:val="auto"/>
                <w:kern w:val="0"/>
                <w:szCs w:val="21"/>
                <w:highlight w:val="none"/>
              </w:rPr>
              <w:t>采购政策</w:t>
            </w:r>
          </w:p>
        </w:tc>
        <w:tc>
          <w:tcPr>
            <w:tcW w:w="1843" w:type="dxa"/>
            <w:vAlign w:val="center"/>
          </w:tcPr>
          <w:p w14:paraId="6CCECDE3">
            <w:pPr>
              <w:shd w:val="clea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vAlign w:val="center"/>
          </w:tcPr>
          <w:p w14:paraId="54BD64CA">
            <w:pPr>
              <w:shd w:val="clear"/>
              <w:spacing w:line="240" w:lineRule="exact"/>
              <w:jc w:val="left"/>
              <w:rPr>
                <w:color w:val="auto"/>
                <w:szCs w:val="21"/>
                <w:highlight w:val="none"/>
              </w:rPr>
            </w:pPr>
            <w:r>
              <w:rPr>
                <w:rFonts w:hint="eastAsia"/>
                <w:color w:val="auto"/>
                <w:szCs w:val="21"/>
                <w:highlight w:val="none"/>
              </w:rPr>
              <w:t>提供《中小企业声明函》或《残疾人福利性单位声明函》或属于监狱企业的证明文件。</w:t>
            </w:r>
          </w:p>
        </w:tc>
      </w:tr>
      <w:tr w14:paraId="7206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46" w:type="dxa"/>
            <w:vMerge w:val="restart"/>
            <w:vAlign w:val="center"/>
          </w:tcPr>
          <w:p w14:paraId="5AAA034E">
            <w:pPr>
              <w:shd w:val="clear"/>
              <w:spacing w:line="240" w:lineRule="exact"/>
              <w:rPr>
                <w:color w:val="auto"/>
                <w:szCs w:val="21"/>
                <w:highlight w:val="none"/>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vAlign w:val="center"/>
          </w:tcPr>
          <w:p w14:paraId="474DAE83">
            <w:pPr>
              <w:shd w:val="clear"/>
              <w:spacing w:line="240" w:lineRule="exact"/>
              <w:jc w:val="left"/>
              <w:rPr>
                <w:color w:val="auto"/>
                <w:szCs w:val="21"/>
                <w:highlight w:val="none"/>
              </w:rPr>
            </w:pPr>
            <w:r>
              <w:rPr>
                <w:color w:val="auto"/>
                <w:szCs w:val="21"/>
                <w:highlight w:val="none"/>
              </w:rPr>
              <w:t>（1）资质</w:t>
            </w:r>
            <w:r>
              <w:rPr>
                <w:rFonts w:hint="eastAsia"/>
                <w:color w:val="auto"/>
                <w:szCs w:val="21"/>
                <w:highlight w:val="none"/>
              </w:rPr>
              <w:t>要求</w:t>
            </w:r>
          </w:p>
        </w:tc>
        <w:tc>
          <w:tcPr>
            <w:tcW w:w="6242" w:type="dxa"/>
            <w:vAlign w:val="center"/>
          </w:tcPr>
          <w:p w14:paraId="0A2CC178">
            <w:pPr>
              <w:shd w:val="clear"/>
              <w:spacing w:line="240" w:lineRule="exact"/>
              <w:jc w:val="left"/>
              <w:rPr>
                <w:color w:val="auto"/>
                <w:szCs w:val="21"/>
                <w:highlight w:val="none"/>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158F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07D896D9">
            <w:pPr>
              <w:shd w:val="clear"/>
              <w:spacing w:line="240" w:lineRule="exact"/>
              <w:rPr>
                <w:color w:val="auto"/>
                <w:szCs w:val="21"/>
                <w:highlight w:val="none"/>
              </w:rPr>
            </w:pPr>
          </w:p>
        </w:tc>
        <w:tc>
          <w:tcPr>
            <w:tcW w:w="1843" w:type="dxa"/>
            <w:vAlign w:val="center"/>
          </w:tcPr>
          <w:p w14:paraId="1B1FAE38">
            <w:pPr>
              <w:shd w:val="clear"/>
              <w:spacing w:line="240" w:lineRule="exact"/>
              <w:jc w:val="left"/>
              <w:rPr>
                <w:color w:val="auto"/>
                <w:szCs w:val="21"/>
                <w:highlight w:val="none"/>
              </w:rPr>
            </w:pPr>
            <w:r>
              <w:rPr>
                <w:color w:val="auto"/>
                <w:szCs w:val="21"/>
                <w:highlight w:val="none"/>
              </w:rPr>
              <w:t>（2）业绩要求</w:t>
            </w:r>
          </w:p>
        </w:tc>
        <w:tc>
          <w:tcPr>
            <w:tcW w:w="6242" w:type="dxa"/>
            <w:vAlign w:val="center"/>
          </w:tcPr>
          <w:p w14:paraId="296B5457">
            <w:pPr>
              <w:shd w:val="clear"/>
              <w:spacing w:line="240" w:lineRule="exact"/>
              <w:jc w:val="left"/>
              <w:rPr>
                <w:color w:val="auto"/>
                <w:szCs w:val="21"/>
                <w:highlight w:val="none"/>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00AF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846" w:type="dxa"/>
            <w:vMerge w:val="continue"/>
            <w:vAlign w:val="center"/>
          </w:tcPr>
          <w:p w14:paraId="3724AD3F">
            <w:pPr>
              <w:shd w:val="clear"/>
              <w:spacing w:line="240" w:lineRule="exact"/>
              <w:jc w:val="left"/>
              <w:rPr>
                <w:color w:val="auto"/>
                <w:szCs w:val="21"/>
                <w:highlight w:val="none"/>
              </w:rPr>
            </w:pPr>
          </w:p>
        </w:tc>
        <w:tc>
          <w:tcPr>
            <w:tcW w:w="1843" w:type="dxa"/>
            <w:vAlign w:val="center"/>
          </w:tcPr>
          <w:p w14:paraId="15171258">
            <w:pPr>
              <w:shd w:val="clear"/>
              <w:spacing w:line="24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）供应商不得参加响应的情形</w:t>
            </w:r>
          </w:p>
        </w:tc>
        <w:tc>
          <w:tcPr>
            <w:tcW w:w="6242" w:type="dxa"/>
            <w:vAlign w:val="center"/>
          </w:tcPr>
          <w:p w14:paraId="3127863F">
            <w:pPr>
              <w:shd w:val="clea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5455F547">
            <w:pPr>
              <w:shd w:val="clear"/>
              <w:spacing w:line="240" w:lineRule="exact"/>
              <w:jc w:val="left"/>
              <w:rPr>
                <w:color w:val="auto"/>
                <w:szCs w:val="21"/>
                <w:highlight w:val="none"/>
              </w:rPr>
            </w:pPr>
            <w:r>
              <w:rPr>
                <w:color w:val="auto"/>
                <w:szCs w:val="21"/>
                <w:highlight w:val="none"/>
              </w:rPr>
              <w:t>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供应商直接控股股东、管理关系信息表</w:t>
            </w:r>
            <w:r>
              <w:rPr>
                <w:color w:val="auto"/>
                <w:szCs w:val="21"/>
                <w:highlight w:val="none"/>
              </w:rPr>
              <w:t>”。</w:t>
            </w:r>
          </w:p>
        </w:tc>
      </w:tr>
      <w:tr w14:paraId="5B5F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6A1521F1">
            <w:pPr>
              <w:shd w:val="clear"/>
              <w:spacing w:line="240" w:lineRule="exact"/>
              <w:jc w:val="left"/>
              <w:rPr>
                <w:color w:val="auto"/>
                <w:kern w:val="0"/>
                <w:szCs w:val="21"/>
                <w:highlight w:val="none"/>
              </w:rPr>
            </w:pPr>
          </w:p>
        </w:tc>
        <w:tc>
          <w:tcPr>
            <w:tcW w:w="1843" w:type="dxa"/>
            <w:vAlign w:val="center"/>
          </w:tcPr>
          <w:p w14:paraId="47C3FDE8">
            <w:pPr>
              <w:shd w:val="clea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tcPr>
          <w:p w14:paraId="44F08D0A">
            <w:pPr>
              <w:shd w:val="clear"/>
              <w:spacing w:line="240" w:lineRule="exact"/>
              <w:jc w:val="left"/>
              <w:rPr>
                <w:color w:val="auto"/>
                <w:kern w:val="0"/>
                <w:szCs w:val="21"/>
                <w:highlight w:val="none"/>
              </w:rPr>
            </w:pPr>
            <w:r>
              <w:rPr>
                <w:rFonts w:hint="eastAsia"/>
                <w:color w:val="auto"/>
                <w:szCs w:val="21"/>
                <w:highlight w:val="none"/>
              </w:rPr>
              <w:t>未被列入失信被执行人、</w:t>
            </w:r>
            <w:r>
              <w:rPr>
                <w:color w:val="auto"/>
                <w:szCs w:val="21"/>
                <w:highlight w:val="none"/>
              </w:rPr>
              <w:t>重大税收违法失信主体、政府采购严重违法失信行为记录名单</w:t>
            </w:r>
            <w:r>
              <w:rPr>
                <w:rFonts w:hint="eastAsia"/>
                <w:color w:val="auto"/>
                <w:szCs w:val="21"/>
                <w:highlight w:val="none"/>
              </w:rPr>
              <w:t>。</w:t>
            </w:r>
          </w:p>
        </w:tc>
      </w:tr>
      <w:tr w14:paraId="60E7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7D4C3493">
            <w:pPr>
              <w:shd w:val="clear"/>
              <w:spacing w:line="240" w:lineRule="exact"/>
              <w:jc w:val="left"/>
              <w:rPr>
                <w:color w:val="auto"/>
                <w:kern w:val="0"/>
                <w:szCs w:val="21"/>
                <w:highlight w:val="none"/>
              </w:rPr>
            </w:pPr>
          </w:p>
        </w:tc>
        <w:tc>
          <w:tcPr>
            <w:tcW w:w="1843" w:type="dxa"/>
            <w:vAlign w:val="center"/>
          </w:tcPr>
          <w:p w14:paraId="6F89D739">
            <w:pPr>
              <w:shd w:val="clear"/>
              <w:spacing w:line="240" w:lineRule="exact"/>
              <w:jc w:val="left"/>
              <w:rPr>
                <w:color w:val="auto"/>
                <w:szCs w:val="21"/>
                <w:highlight w:val="none"/>
              </w:rPr>
            </w:pPr>
            <w:r>
              <w:rPr>
                <w:rFonts w:hint="eastAsia"/>
                <w:color w:val="auto"/>
                <w:szCs w:val="21"/>
                <w:highlight w:val="none"/>
              </w:rPr>
              <w:t>（5）分公司</w:t>
            </w:r>
          </w:p>
        </w:tc>
        <w:tc>
          <w:tcPr>
            <w:tcW w:w="6242" w:type="dxa"/>
            <w:vAlign w:val="center"/>
          </w:tcPr>
          <w:p w14:paraId="16128E3C">
            <w:pPr>
              <w:shd w:val="clear"/>
              <w:spacing w:line="240" w:lineRule="exact"/>
              <w:rPr>
                <w:color w:val="auto"/>
                <w:szCs w:val="21"/>
                <w:highlight w:val="none"/>
              </w:rPr>
            </w:pPr>
            <w:r>
              <w:rPr>
                <w:rFonts w:hint="eastAsia"/>
                <w:color w:val="auto"/>
                <w:szCs w:val="21"/>
                <w:highlight w:val="none"/>
              </w:rPr>
              <w:t>须符合“磋商公告”的要求。</w:t>
            </w:r>
          </w:p>
        </w:tc>
      </w:tr>
      <w:tr w14:paraId="143A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25E5003D">
            <w:pPr>
              <w:shd w:val="clear"/>
              <w:spacing w:line="240" w:lineRule="exact"/>
              <w:jc w:val="left"/>
              <w:rPr>
                <w:color w:val="auto"/>
                <w:kern w:val="0"/>
                <w:szCs w:val="21"/>
                <w:highlight w:val="none"/>
              </w:rPr>
            </w:pPr>
          </w:p>
        </w:tc>
        <w:tc>
          <w:tcPr>
            <w:tcW w:w="1843" w:type="dxa"/>
            <w:vAlign w:val="center"/>
          </w:tcPr>
          <w:p w14:paraId="5D46EAF7">
            <w:pPr>
              <w:shd w:val="clear"/>
              <w:spacing w:line="240" w:lineRule="exact"/>
              <w:jc w:val="left"/>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vAlign w:val="center"/>
          </w:tcPr>
          <w:p w14:paraId="04B0F886">
            <w:pPr>
              <w:shd w:val="clear"/>
              <w:spacing w:line="240" w:lineRule="exact"/>
              <w:rPr>
                <w:color w:val="auto"/>
                <w:szCs w:val="21"/>
                <w:highlight w:val="none"/>
                <w:lang w:val="zh-CN"/>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4D8B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33489E19">
            <w:pPr>
              <w:shd w:val="clear"/>
              <w:spacing w:line="240" w:lineRule="exact"/>
              <w:jc w:val="left"/>
              <w:rPr>
                <w:color w:val="auto"/>
                <w:kern w:val="0"/>
                <w:szCs w:val="21"/>
                <w:highlight w:val="none"/>
              </w:rPr>
            </w:pPr>
          </w:p>
        </w:tc>
        <w:tc>
          <w:tcPr>
            <w:tcW w:w="1843" w:type="dxa"/>
            <w:vAlign w:val="center"/>
          </w:tcPr>
          <w:p w14:paraId="03E5FCFA">
            <w:pPr>
              <w:shd w:val="clear"/>
              <w:spacing w:line="240" w:lineRule="exact"/>
              <w:jc w:val="left"/>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vAlign w:val="center"/>
          </w:tcPr>
          <w:p w14:paraId="2926B8C5">
            <w:pPr>
              <w:shd w:val="clear"/>
              <w:spacing w:line="240" w:lineRule="exact"/>
              <w:rPr>
                <w:color w:val="auto"/>
                <w:szCs w:val="21"/>
                <w:highlight w:val="none"/>
              </w:rPr>
            </w:pPr>
            <w:r>
              <w:rPr>
                <w:rFonts w:hint="eastAsia"/>
                <w:color w:val="auto"/>
                <w:szCs w:val="21"/>
                <w:highlight w:val="none"/>
                <w:lang w:val="zh-CN"/>
              </w:rPr>
              <w:t>须符合“磋商公告”的要求</w:t>
            </w:r>
          </w:p>
        </w:tc>
      </w:tr>
      <w:tr w14:paraId="6CEC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6F9770EF">
            <w:pPr>
              <w:shd w:val="clear"/>
              <w:spacing w:line="240" w:lineRule="exact"/>
              <w:jc w:val="left"/>
              <w:rPr>
                <w:color w:val="auto"/>
                <w:kern w:val="0"/>
                <w:szCs w:val="21"/>
                <w:highlight w:val="none"/>
              </w:rPr>
            </w:pPr>
          </w:p>
        </w:tc>
        <w:tc>
          <w:tcPr>
            <w:tcW w:w="1843" w:type="dxa"/>
            <w:vAlign w:val="center"/>
          </w:tcPr>
          <w:p w14:paraId="1FD481C7">
            <w:pPr>
              <w:shd w:val="clear"/>
              <w:spacing w:line="240" w:lineRule="exact"/>
              <w:jc w:val="left"/>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tcPr>
          <w:p w14:paraId="368379FF">
            <w:pPr>
              <w:shd w:val="clear"/>
              <w:spacing w:line="312" w:lineRule="auto"/>
              <w:jc w:val="left"/>
              <w:rPr>
                <w:color w:val="auto"/>
                <w:kern w:val="0"/>
                <w:szCs w:val="21"/>
                <w:highlight w:val="none"/>
              </w:rPr>
            </w:pPr>
            <w:r>
              <w:rPr>
                <w:rFonts w:hint="eastAsia"/>
                <w:color w:val="auto"/>
                <w:kern w:val="0"/>
                <w:szCs w:val="21"/>
                <w:highlight w:val="none"/>
              </w:rPr>
              <w:t>按</w:t>
            </w:r>
            <w:r>
              <w:rPr>
                <w:color w:val="auto"/>
                <w:kern w:val="0"/>
                <w:szCs w:val="21"/>
                <w:highlight w:val="none"/>
              </w:rPr>
              <w:t>照</w:t>
            </w:r>
            <w:r>
              <w:rPr>
                <w:rFonts w:hint="eastAsia"/>
                <w:color w:val="auto"/>
                <w:kern w:val="0"/>
                <w:szCs w:val="21"/>
                <w:highlight w:val="none"/>
              </w:rPr>
              <w:t>磋商</w:t>
            </w:r>
            <w:r>
              <w:rPr>
                <w:color w:val="auto"/>
                <w:kern w:val="0"/>
                <w:szCs w:val="21"/>
                <w:highlight w:val="none"/>
              </w:rPr>
              <w:t>公告规定获得</w:t>
            </w:r>
            <w:r>
              <w:rPr>
                <w:rFonts w:hint="eastAsia"/>
                <w:color w:val="auto"/>
                <w:kern w:val="0"/>
                <w:szCs w:val="21"/>
                <w:highlight w:val="none"/>
              </w:rPr>
              <w:t>采购</w:t>
            </w:r>
            <w:r>
              <w:rPr>
                <w:color w:val="auto"/>
                <w:kern w:val="0"/>
                <w:szCs w:val="21"/>
                <w:highlight w:val="none"/>
              </w:rPr>
              <w:t>文件。</w:t>
            </w:r>
            <w:r>
              <w:rPr>
                <w:rFonts w:hint="eastAsia"/>
                <w:color w:val="auto"/>
                <w:kern w:val="0"/>
                <w:szCs w:val="21"/>
                <w:highlight w:val="none"/>
              </w:rPr>
              <w:t>足额、及时缴纳磋商保证金。</w:t>
            </w:r>
          </w:p>
        </w:tc>
      </w:tr>
    </w:tbl>
    <w:p w14:paraId="3627C4A8">
      <w:pPr>
        <w:shd w:val="clear"/>
        <w:spacing w:before="120" w:line="320" w:lineRule="atLeast"/>
        <w:ind w:firstLine="413" w:firstLineChars="196"/>
        <w:outlineLvl w:val="1"/>
        <w:rPr>
          <w:color w:val="auto"/>
          <w:szCs w:val="21"/>
          <w:highlight w:val="none"/>
        </w:rPr>
      </w:pPr>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2"/>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394E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Align w:val="center"/>
          </w:tcPr>
          <w:p w14:paraId="2EB03062">
            <w:pPr>
              <w:shd w:val="clear"/>
              <w:spacing w:line="240" w:lineRule="exact"/>
              <w:jc w:val="center"/>
              <w:rPr>
                <w:b/>
                <w:color w:val="auto"/>
                <w:kern w:val="0"/>
                <w:szCs w:val="21"/>
                <w:highlight w:val="none"/>
              </w:rPr>
            </w:pPr>
            <w:bookmarkStart w:id="81" w:name="_Hlk48146640"/>
            <w:bookmarkStart w:id="82" w:name="_Hlk20388968"/>
            <w:r>
              <w:rPr>
                <w:rFonts w:hint="eastAsia"/>
                <w:b/>
                <w:color w:val="auto"/>
                <w:kern w:val="0"/>
                <w:szCs w:val="21"/>
                <w:highlight w:val="none"/>
              </w:rPr>
              <w:t>审查</w:t>
            </w:r>
            <w:r>
              <w:rPr>
                <w:b/>
                <w:color w:val="auto"/>
                <w:kern w:val="0"/>
                <w:szCs w:val="21"/>
                <w:highlight w:val="none"/>
              </w:rPr>
              <w:t>因素</w:t>
            </w:r>
          </w:p>
        </w:tc>
        <w:tc>
          <w:tcPr>
            <w:tcW w:w="2333" w:type="dxa"/>
            <w:vAlign w:val="center"/>
          </w:tcPr>
          <w:p w14:paraId="383CE0CA">
            <w:pPr>
              <w:shd w:val="clear"/>
              <w:spacing w:line="240" w:lineRule="exact"/>
              <w:jc w:val="center"/>
              <w:rPr>
                <w:b/>
                <w:color w:val="auto"/>
                <w:kern w:val="0"/>
                <w:szCs w:val="21"/>
                <w:highlight w:val="none"/>
              </w:rPr>
            </w:pPr>
            <w:r>
              <w:rPr>
                <w:rFonts w:hint="eastAsia"/>
                <w:b/>
                <w:color w:val="auto"/>
                <w:kern w:val="0"/>
                <w:szCs w:val="21"/>
                <w:highlight w:val="none"/>
              </w:rPr>
              <w:t>审查内容</w:t>
            </w:r>
          </w:p>
        </w:tc>
        <w:tc>
          <w:tcPr>
            <w:tcW w:w="5085" w:type="dxa"/>
          </w:tcPr>
          <w:p w14:paraId="12888046">
            <w:pPr>
              <w:shd w:val="clear"/>
              <w:spacing w:line="240" w:lineRule="exact"/>
              <w:jc w:val="center"/>
              <w:rPr>
                <w:b/>
                <w:color w:val="auto"/>
                <w:kern w:val="0"/>
                <w:szCs w:val="21"/>
                <w:highlight w:val="none"/>
              </w:rPr>
            </w:pPr>
          </w:p>
          <w:p w14:paraId="19ADBD92">
            <w:pPr>
              <w:shd w:val="clear"/>
              <w:spacing w:line="240" w:lineRule="exact"/>
              <w:jc w:val="center"/>
              <w:rPr>
                <w:b/>
                <w:color w:val="auto"/>
                <w:kern w:val="0"/>
                <w:szCs w:val="21"/>
                <w:highlight w:val="none"/>
              </w:rPr>
            </w:pPr>
            <w:r>
              <w:rPr>
                <w:rFonts w:hint="eastAsia"/>
                <w:b/>
                <w:color w:val="auto"/>
                <w:kern w:val="0"/>
                <w:szCs w:val="21"/>
                <w:highlight w:val="none"/>
              </w:rPr>
              <w:t>说明</w:t>
            </w:r>
          </w:p>
        </w:tc>
      </w:tr>
      <w:tr w14:paraId="3820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vAlign w:val="center"/>
          </w:tcPr>
          <w:p w14:paraId="0C63A28E">
            <w:pPr>
              <w:shd w:val="clear"/>
              <w:spacing w:line="240" w:lineRule="exact"/>
              <w:jc w:val="center"/>
              <w:rPr>
                <w:color w:val="auto"/>
                <w:kern w:val="0"/>
                <w:szCs w:val="21"/>
                <w:highlight w:val="none"/>
              </w:rPr>
            </w:pPr>
            <w:r>
              <w:rPr>
                <w:rFonts w:hint="eastAsia"/>
                <w:color w:val="auto"/>
                <w:kern w:val="0"/>
                <w:szCs w:val="21"/>
                <w:highlight w:val="none"/>
              </w:rPr>
              <w:t>商务资信</w:t>
            </w:r>
          </w:p>
        </w:tc>
        <w:tc>
          <w:tcPr>
            <w:tcW w:w="2333" w:type="dxa"/>
            <w:vAlign w:val="center"/>
          </w:tcPr>
          <w:p w14:paraId="655FE266">
            <w:pPr>
              <w:shd w:val="clear"/>
              <w:spacing w:line="240" w:lineRule="exact"/>
              <w:rPr>
                <w:color w:val="auto"/>
                <w:highlight w:val="none"/>
              </w:rPr>
            </w:pPr>
            <w:r>
              <w:rPr>
                <w:rFonts w:hint="eastAsia"/>
                <w:color w:val="auto"/>
                <w:highlight w:val="none"/>
              </w:rPr>
              <w:t>法定代表人身份证明及授权委托书</w:t>
            </w:r>
          </w:p>
        </w:tc>
        <w:tc>
          <w:tcPr>
            <w:tcW w:w="5085" w:type="dxa"/>
            <w:vAlign w:val="center"/>
          </w:tcPr>
          <w:p w14:paraId="2A7D4177">
            <w:pPr>
              <w:shd w:val="clea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参加响应</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224546FA">
            <w:pPr>
              <w:shd w:val="clear"/>
              <w:spacing w:line="240" w:lineRule="exact"/>
              <w:rPr>
                <w:rFonts w:hint="eastAsia" w:ascii="宋体" w:hAnsi="宋体"/>
                <w:color w:val="auto"/>
                <w:szCs w:val="21"/>
                <w:highlight w:val="none"/>
              </w:rPr>
            </w:pPr>
            <w:r>
              <w:rPr>
                <w:rFonts w:hint="eastAsia"/>
                <w:color w:val="auto"/>
                <w:szCs w:val="21"/>
                <w:highlight w:val="none"/>
              </w:rPr>
              <w:t>法定代表人直接参加响应</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56C0A901">
            <w:pPr>
              <w:shd w:val="clear"/>
              <w:spacing w:line="240" w:lineRule="exact"/>
              <w:rPr>
                <w:color w:val="auto"/>
                <w:highlight w:val="none"/>
              </w:rPr>
            </w:pPr>
            <w:r>
              <w:rPr>
                <w:rFonts w:ascii="宋体" w:hAnsi="宋体"/>
                <w:color w:val="auto"/>
                <w:szCs w:val="21"/>
                <w:highlight w:val="none"/>
              </w:rPr>
              <w:t>格式及附件见第六章响应文件格式要求</w:t>
            </w:r>
          </w:p>
        </w:tc>
      </w:tr>
      <w:tr w14:paraId="7E3D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4F867A2A">
            <w:pPr>
              <w:shd w:val="clear"/>
              <w:spacing w:line="240" w:lineRule="exact"/>
              <w:jc w:val="center"/>
              <w:rPr>
                <w:color w:val="auto"/>
                <w:kern w:val="0"/>
                <w:szCs w:val="21"/>
                <w:highlight w:val="none"/>
              </w:rPr>
            </w:pPr>
          </w:p>
        </w:tc>
        <w:tc>
          <w:tcPr>
            <w:tcW w:w="2333" w:type="dxa"/>
            <w:vAlign w:val="center"/>
          </w:tcPr>
          <w:p w14:paraId="7509724C">
            <w:pPr>
              <w:shd w:val="clear"/>
              <w:spacing w:line="240" w:lineRule="exact"/>
              <w:rPr>
                <w:color w:val="auto"/>
                <w:szCs w:val="21"/>
                <w:highlight w:val="none"/>
              </w:rPr>
            </w:pPr>
            <w:r>
              <w:rPr>
                <w:rFonts w:hint="eastAsia"/>
                <w:color w:val="auto"/>
                <w:szCs w:val="21"/>
                <w:highlight w:val="none"/>
              </w:rPr>
              <w:t>实质性条款响应</w:t>
            </w:r>
          </w:p>
        </w:tc>
        <w:tc>
          <w:tcPr>
            <w:tcW w:w="5085" w:type="dxa"/>
            <w:vAlign w:val="center"/>
          </w:tcPr>
          <w:p w14:paraId="0672D409">
            <w:pPr>
              <w:shd w:val="clear"/>
              <w:spacing w:line="240" w:lineRule="exact"/>
              <w:rPr>
                <w:color w:val="auto"/>
                <w:szCs w:val="21"/>
                <w:highlight w:val="none"/>
              </w:rPr>
            </w:pPr>
            <w:r>
              <w:rPr>
                <w:rFonts w:hint="eastAsia" w:ascii="宋体" w:hAnsi="宋体"/>
                <w:color w:val="auto"/>
                <w:szCs w:val="21"/>
                <w:highlight w:val="none"/>
              </w:rPr>
              <w:t>采购文件实质性要求响应均无负偏离</w:t>
            </w:r>
          </w:p>
        </w:tc>
      </w:tr>
      <w:tr w14:paraId="3B1F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06F4C9DB">
            <w:pPr>
              <w:shd w:val="clear"/>
              <w:spacing w:line="240" w:lineRule="exact"/>
              <w:jc w:val="center"/>
              <w:rPr>
                <w:color w:val="auto"/>
                <w:kern w:val="0"/>
                <w:szCs w:val="21"/>
                <w:highlight w:val="none"/>
              </w:rPr>
            </w:pPr>
          </w:p>
        </w:tc>
        <w:tc>
          <w:tcPr>
            <w:tcW w:w="2333" w:type="dxa"/>
            <w:vAlign w:val="center"/>
          </w:tcPr>
          <w:p w14:paraId="77F0956C">
            <w:pPr>
              <w:shd w:val="clear"/>
              <w:spacing w:line="240" w:lineRule="exact"/>
              <w:rPr>
                <w:color w:val="auto"/>
                <w:szCs w:val="21"/>
                <w:highlight w:val="none"/>
              </w:rPr>
            </w:pPr>
            <w:r>
              <w:rPr>
                <w:rFonts w:hint="eastAsia"/>
                <w:color w:val="auto"/>
                <w:szCs w:val="21"/>
                <w:highlight w:val="none"/>
              </w:rPr>
              <w:t>串通投标</w:t>
            </w:r>
          </w:p>
        </w:tc>
        <w:tc>
          <w:tcPr>
            <w:tcW w:w="5085" w:type="dxa"/>
            <w:vAlign w:val="center"/>
          </w:tcPr>
          <w:p w14:paraId="63A13948">
            <w:pPr>
              <w:shd w:val="clear"/>
              <w:spacing w:line="240" w:lineRule="exact"/>
              <w:rPr>
                <w:color w:val="auto"/>
                <w:szCs w:val="21"/>
                <w:highlight w:val="none"/>
              </w:rPr>
            </w:pPr>
            <w:r>
              <w:rPr>
                <w:rFonts w:hint="eastAsia" w:ascii="宋体" w:hAnsi="宋体"/>
                <w:color w:val="auto"/>
                <w:szCs w:val="21"/>
                <w:highlight w:val="none"/>
              </w:rPr>
              <w:t>不属于供应商须知正文第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.9规定的串通投标情形，见</w:t>
            </w:r>
            <w:r>
              <w:rPr>
                <w:rFonts w:ascii="宋体" w:hAnsi="宋体"/>
                <w:color w:val="auto"/>
                <w:szCs w:val="21"/>
                <w:highlight w:val="none"/>
              </w:rPr>
              <w:t>第六章响应文件格式要求</w:t>
            </w:r>
          </w:p>
        </w:tc>
      </w:tr>
      <w:tr w14:paraId="56B8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vAlign w:val="center"/>
          </w:tcPr>
          <w:p w14:paraId="40775457">
            <w:pPr>
              <w:shd w:val="clear"/>
              <w:spacing w:line="240" w:lineRule="exact"/>
              <w:jc w:val="center"/>
              <w:rPr>
                <w:color w:val="auto"/>
                <w:kern w:val="0"/>
                <w:szCs w:val="21"/>
                <w:highlight w:val="none"/>
              </w:rPr>
            </w:pPr>
            <w:r>
              <w:rPr>
                <w:rFonts w:hint="eastAsia"/>
                <w:color w:val="auto"/>
                <w:kern w:val="0"/>
                <w:szCs w:val="21"/>
                <w:highlight w:val="none"/>
              </w:rPr>
              <w:t>报价</w:t>
            </w:r>
          </w:p>
        </w:tc>
        <w:tc>
          <w:tcPr>
            <w:tcW w:w="2333" w:type="dxa"/>
            <w:vAlign w:val="center"/>
          </w:tcPr>
          <w:p w14:paraId="3CEB52EA">
            <w:pPr>
              <w:shd w:val="clear"/>
              <w:spacing w:line="240" w:lineRule="exact"/>
              <w:rPr>
                <w:color w:val="auto"/>
                <w:szCs w:val="21"/>
                <w:highlight w:val="none"/>
              </w:rPr>
            </w:pPr>
            <w:r>
              <w:rPr>
                <w:rFonts w:hint="eastAsia"/>
                <w:color w:val="auto"/>
                <w:szCs w:val="21"/>
                <w:highlight w:val="none"/>
              </w:rPr>
              <w:t>有效报价</w:t>
            </w:r>
          </w:p>
        </w:tc>
        <w:tc>
          <w:tcPr>
            <w:tcW w:w="5085" w:type="dxa"/>
            <w:vAlign w:val="center"/>
          </w:tcPr>
          <w:p w14:paraId="2AD8B586">
            <w:pPr>
              <w:shd w:val="clear"/>
              <w:spacing w:line="240" w:lineRule="exact"/>
              <w:rPr>
                <w:bCs/>
                <w:color w:val="auto"/>
                <w:kern w:val="0"/>
                <w:szCs w:val="21"/>
                <w:highlight w:val="none"/>
              </w:rPr>
            </w:pPr>
            <w:r>
              <w:rPr>
                <w:rFonts w:hint="eastAsia"/>
                <w:color w:val="auto"/>
                <w:highlight w:val="none"/>
              </w:rPr>
              <w:t>报价未超出采购预算金额，也未超出最高限价（如有）</w:t>
            </w:r>
          </w:p>
        </w:tc>
      </w:tr>
      <w:tr w14:paraId="3CE1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02DF7946">
            <w:pPr>
              <w:shd w:val="clear"/>
              <w:spacing w:line="240" w:lineRule="exact"/>
              <w:jc w:val="center"/>
              <w:rPr>
                <w:color w:val="auto"/>
                <w:kern w:val="0"/>
                <w:szCs w:val="21"/>
                <w:highlight w:val="none"/>
              </w:rPr>
            </w:pPr>
          </w:p>
        </w:tc>
        <w:tc>
          <w:tcPr>
            <w:tcW w:w="2333" w:type="dxa"/>
            <w:vAlign w:val="center"/>
          </w:tcPr>
          <w:p w14:paraId="523C1DAA">
            <w:pPr>
              <w:shd w:val="clear"/>
              <w:spacing w:line="240" w:lineRule="exact"/>
              <w:rPr>
                <w:bCs/>
                <w:color w:val="auto"/>
                <w:kern w:val="0"/>
                <w:szCs w:val="21"/>
                <w:highlight w:val="none"/>
              </w:rPr>
            </w:pPr>
            <w:r>
              <w:rPr>
                <w:rFonts w:hint="eastAsia"/>
                <w:bCs/>
                <w:color w:val="auto"/>
                <w:kern w:val="0"/>
                <w:szCs w:val="21"/>
                <w:highlight w:val="none"/>
              </w:rPr>
              <w:t>漏项报价</w:t>
            </w:r>
          </w:p>
        </w:tc>
        <w:tc>
          <w:tcPr>
            <w:tcW w:w="5085" w:type="dxa"/>
            <w:vAlign w:val="center"/>
          </w:tcPr>
          <w:p w14:paraId="674AD52E">
            <w:pPr>
              <w:shd w:val="clear"/>
              <w:spacing w:line="240" w:lineRule="exact"/>
              <w:rPr>
                <w:rFonts w:hint="eastAsia" w:hAnsi="宋体"/>
                <w:color w:val="auto"/>
                <w:szCs w:val="21"/>
                <w:highlight w:val="none"/>
              </w:rPr>
            </w:pPr>
            <w:r>
              <w:rPr>
                <w:rFonts w:hint="eastAsia" w:ascii="宋体" w:hAnsi="宋体"/>
                <w:color w:val="auto"/>
                <w:szCs w:val="21"/>
                <w:highlight w:val="none"/>
              </w:rPr>
              <w:t>未就所投分标进行报价或者存在漏项报价；</w:t>
            </w:r>
          </w:p>
        </w:tc>
      </w:tr>
      <w:tr w14:paraId="33FE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25D73B20">
            <w:pPr>
              <w:shd w:val="clear"/>
              <w:spacing w:line="240" w:lineRule="exact"/>
              <w:jc w:val="center"/>
              <w:rPr>
                <w:color w:val="auto"/>
                <w:kern w:val="0"/>
                <w:szCs w:val="21"/>
                <w:highlight w:val="none"/>
              </w:rPr>
            </w:pPr>
          </w:p>
        </w:tc>
        <w:tc>
          <w:tcPr>
            <w:tcW w:w="2333" w:type="dxa"/>
            <w:vAlign w:val="center"/>
          </w:tcPr>
          <w:p w14:paraId="4D040AF3">
            <w:pPr>
              <w:shd w:val="clear"/>
              <w:spacing w:line="240" w:lineRule="exact"/>
              <w:rPr>
                <w:rFonts w:hint="eastAsia" w:hAnsi="宋体"/>
                <w:color w:val="auto"/>
                <w:szCs w:val="21"/>
                <w:highlight w:val="none"/>
              </w:rPr>
            </w:pPr>
            <w:r>
              <w:rPr>
                <w:rFonts w:hint="eastAsia" w:hAnsi="宋体"/>
                <w:color w:val="auto"/>
                <w:szCs w:val="21"/>
                <w:highlight w:val="none"/>
              </w:rPr>
              <w:t>响应报价唯一性</w:t>
            </w:r>
          </w:p>
        </w:tc>
        <w:tc>
          <w:tcPr>
            <w:tcW w:w="5085" w:type="dxa"/>
            <w:vAlign w:val="center"/>
          </w:tcPr>
          <w:p w14:paraId="2F24DB54">
            <w:pPr>
              <w:shd w:val="clear"/>
              <w:spacing w:line="240" w:lineRule="exact"/>
              <w:rPr>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6861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5677D02C">
            <w:pPr>
              <w:shd w:val="clear"/>
              <w:spacing w:line="240" w:lineRule="exact"/>
              <w:jc w:val="center"/>
              <w:rPr>
                <w:color w:val="auto"/>
                <w:kern w:val="0"/>
                <w:szCs w:val="21"/>
                <w:highlight w:val="none"/>
              </w:rPr>
            </w:pPr>
          </w:p>
        </w:tc>
        <w:tc>
          <w:tcPr>
            <w:tcW w:w="2333" w:type="dxa"/>
            <w:vAlign w:val="center"/>
          </w:tcPr>
          <w:p w14:paraId="4D7A0CFD">
            <w:pPr>
              <w:shd w:val="clear"/>
              <w:spacing w:line="240" w:lineRule="exact"/>
              <w:rPr>
                <w:color w:val="auto"/>
                <w:highlight w:val="none"/>
                <w:lang w:val="zh-CN"/>
              </w:rPr>
            </w:pPr>
            <w:r>
              <w:rPr>
                <w:rFonts w:hint="eastAsia"/>
                <w:color w:val="auto"/>
                <w:szCs w:val="21"/>
                <w:highlight w:val="none"/>
                <w:lang w:val="zh-CN"/>
              </w:rPr>
              <w:t>过低报价合理性</w:t>
            </w:r>
          </w:p>
        </w:tc>
        <w:tc>
          <w:tcPr>
            <w:tcW w:w="5085" w:type="dxa"/>
            <w:vAlign w:val="center"/>
          </w:tcPr>
          <w:p w14:paraId="5E511A0E">
            <w:pPr>
              <w:shd w:val="clear"/>
              <w:spacing w:line="240" w:lineRule="exact"/>
              <w:rPr>
                <w:color w:val="auto"/>
                <w:highlight w:val="none"/>
              </w:rPr>
            </w:pPr>
            <w:r>
              <w:rPr>
                <w:rFonts w:hint="eastAsia"/>
                <w:color w:val="auto"/>
                <w:highlight w:val="none"/>
              </w:rPr>
              <w:t>供应商的报价存在异常低价问题的情形，评审委员会</w:t>
            </w:r>
            <w:r>
              <w:rPr>
                <w:rFonts w:hint="eastAsia"/>
                <w:color w:val="auto"/>
                <w:szCs w:val="21"/>
                <w:highlight w:val="none"/>
              </w:rPr>
              <w:t>应当要求其在评标现场合理的时间内提供报价合理性相关的书面说明及必要的证明材料。</w:t>
            </w:r>
            <w:r>
              <w:rPr>
                <w:rFonts w:hint="eastAsia"/>
                <w:color w:val="auto"/>
                <w:highlight w:val="none"/>
              </w:rPr>
              <w:t>供应商不能证明其报价合理性的，评审委员会应当将其作为无效投标处理。</w:t>
            </w:r>
          </w:p>
        </w:tc>
      </w:tr>
      <w:tr w14:paraId="17EB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7B4FCAEE">
            <w:pPr>
              <w:shd w:val="clear"/>
              <w:spacing w:line="240" w:lineRule="exact"/>
              <w:jc w:val="center"/>
              <w:rPr>
                <w:color w:val="auto"/>
                <w:kern w:val="0"/>
                <w:szCs w:val="21"/>
                <w:highlight w:val="none"/>
              </w:rPr>
            </w:pPr>
          </w:p>
        </w:tc>
        <w:tc>
          <w:tcPr>
            <w:tcW w:w="2333" w:type="dxa"/>
            <w:vAlign w:val="center"/>
          </w:tcPr>
          <w:p w14:paraId="3F290AF1">
            <w:pPr>
              <w:shd w:val="clear"/>
              <w:spacing w:line="240" w:lineRule="exact"/>
              <w:rPr>
                <w:rFonts w:hint="eastAsia" w:ascii="宋体" w:hAnsi="宋体"/>
                <w:color w:val="auto"/>
                <w:szCs w:val="21"/>
                <w:highlight w:val="none"/>
              </w:rPr>
            </w:pPr>
            <w:r>
              <w:rPr>
                <w:rFonts w:hint="eastAsia"/>
                <w:color w:val="auto"/>
                <w:szCs w:val="21"/>
                <w:highlight w:val="none"/>
              </w:rPr>
              <w:t>响应有效期</w:t>
            </w:r>
          </w:p>
        </w:tc>
        <w:tc>
          <w:tcPr>
            <w:tcW w:w="5085" w:type="dxa"/>
            <w:vAlign w:val="center"/>
          </w:tcPr>
          <w:p w14:paraId="24958A68">
            <w:pPr>
              <w:shd w:val="clear"/>
              <w:spacing w:line="240" w:lineRule="exact"/>
              <w:rPr>
                <w:color w:val="auto"/>
                <w:szCs w:val="21"/>
                <w:highlight w:val="none"/>
              </w:rPr>
            </w:pPr>
            <w:r>
              <w:rPr>
                <w:rFonts w:hint="eastAsia" w:ascii="宋体" w:hAnsi="宋体"/>
                <w:color w:val="auto"/>
                <w:szCs w:val="21"/>
                <w:highlight w:val="none"/>
              </w:rPr>
              <w:t>满足采购文件规定</w:t>
            </w:r>
          </w:p>
        </w:tc>
      </w:tr>
      <w:bookmarkEnd w:id="81"/>
      <w:bookmarkEnd w:id="82"/>
    </w:tbl>
    <w:p w14:paraId="40221642">
      <w:pPr>
        <w:shd w:val="clear"/>
        <w:spacing w:before="120" w:line="320" w:lineRule="atLeast"/>
        <w:rPr>
          <w:color w:val="auto"/>
          <w:highlight w:val="none"/>
        </w:rPr>
      </w:pPr>
    </w:p>
    <w:p w14:paraId="76BCB1FF">
      <w:pPr>
        <w:shd w:val="clear"/>
        <w:spacing w:before="120" w:line="320" w:lineRule="atLeast"/>
        <w:rPr>
          <w:color w:val="auto"/>
          <w:highlight w:val="none"/>
        </w:rPr>
      </w:pPr>
    </w:p>
    <w:p w14:paraId="4005838A">
      <w:pPr>
        <w:shd w:val="clear"/>
        <w:tabs>
          <w:tab w:val="left" w:pos="1950"/>
        </w:tabs>
        <w:spacing w:before="120" w:line="320" w:lineRule="atLeast"/>
        <w:jc w:val="left"/>
        <w:outlineLvl w:val="1"/>
        <w:rPr>
          <w:rFonts w:hint="eastAsia"/>
          <w:b/>
          <w:bCs/>
          <w:color w:val="auto"/>
          <w:kern w:val="0"/>
          <w:szCs w:val="21"/>
          <w:highlight w:val="none"/>
        </w:rPr>
      </w:pPr>
      <w:r>
        <w:rPr>
          <w:b/>
          <w:bCs/>
          <w:color w:val="auto"/>
          <w:kern w:val="0"/>
          <w:highlight w:val="none"/>
        </w:rPr>
        <w:br w:type="page"/>
      </w:r>
      <w:r>
        <w:rPr>
          <w:b/>
          <w:bCs/>
          <w:color w:val="auto"/>
          <w:kern w:val="0"/>
          <w:szCs w:val="21"/>
          <w:highlight w:val="none"/>
        </w:rPr>
        <w:t>4.</w:t>
      </w:r>
      <w:r>
        <w:rPr>
          <w:rFonts w:hint="eastAsia"/>
          <w:b/>
          <w:bCs/>
          <w:color w:val="auto"/>
          <w:kern w:val="0"/>
          <w:szCs w:val="21"/>
          <w:highlight w:val="none"/>
        </w:rPr>
        <w:t>评审标准</w:t>
      </w:r>
    </w:p>
    <w:p w14:paraId="10E30710">
      <w:pPr>
        <w:pStyle w:val="19"/>
        <w:shd w:val="clear"/>
        <w:rPr>
          <w:rFonts w:hint="default" w:eastAsia="宋体"/>
          <w:b/>
          <w:bCs/>
          <w:color w:val="auto"/>
          <w:sz w:val="22"/>
          <w:szCs w:val="22"/>
          <w:highlight w:val="none"/>
          <w:lang w:val="en-US" w:eastAsia="zh-CN"/>
        </w:rPr>
      </w:pPr>
      <w:r>
        <w:rPr>
          <w:rFonts w:hint="eastAsia"/>
          <w:b/>
          <w:bCs/>
          <w:color w:val="auto"/>
          <w:sz w:val="22"/>
          <w:szCs w:val="22"/>
          <w:highlight w:val="none"/>
          <w:lang w:val="en-US" w:eastAsia="zh-CN"/>
        </w:rPr>
        <w:t>分标1：</w:t>
      </w:r>
    </w:p>
    <w:tbl>
      <w:tblPr>
        <w:tblStyle w:val="52"/>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356"/>
        <w:gridCol w:w="7761"/>
      </w:tblGrid>
      <w:tr w14:paraId="1409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2E94215F">
            <w:pPr>
              <w:widowControl/>
              <w:shd w:val="clear"/>
              <w:tabs>
                <w:tab w:val="left" w:pos="8460"/>
              </w:tabs>
              <w:adjustRightInd w:val="0"/>
              <w:spacing w:line="360" w:lineRule="auto"/>
              <w:jc w:val="center"/>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356" w:type="dxa"/>
            <w:tcBorders>
              <w:top w:val="single" w:color="auto" w:sz="4" w:space="0"/>
              <w:left w:val="single" w:color="auto" w:sz="4" w:space="0"/>
              <w:bottom w:val="single" w:color="auto" w:sz="4" w:space="0"/>
              <w:right w:val="single" w:color="auto" w:sz="4" w:space="0"/>
            </w:tcBorders>
            <w:noWrap/>
            <w:vAlign w:val="center"/>
          </w:tcPr>
          <w:p w14:paraId="03D103FF">
            <w:pPr>
              <w:widowControl/>
              <w:shd w:val="clear"/>
              <w:tabs>
                <w:tab w:val="left" w:pos="8460"/>
              </w:tabs>
              <w:adjustRightInd w:val="0"/>
              <w:spacing w:line="360" w:lineRule="auto"/>
              <w:jc w:val="center"/>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评分因素</w:t>
            </w:r>
          </w:p>
        </w:tc>
        <w:tc>
          <w:tcPr>
            <w:tcW w:w="7761" w:type="dxa"/>
            <w:tcBorders>
              <w:top w:val="single" w:color="auto" w:sz="4" w:space="0"/>
              <w:left w:val="single" w:color="auto" w:sz="4" w:space="0"/>
              <w:bottom w:val="single" w:color="auto" w:sz="4" w:space="0"/>
              <w:right w:val="single" w:color="auto" w:sz="4" w:space="0"/>
            </w:tcBorders>
            <w:noWrap/>
            <w:vAlign w:val="center"/>
          </w:tcPr>
          <w:p w14:paraId="0492EFE2">
            <w:pPr>
              <w:widowControl/>
              <w:shd w:val="clear"/>
              <w:tabs>
                <w:tab w:val="left" w:pos="8460"/>
              </w:tabs>
              <w:adjustRightInd w:val="0"/>
              <w:spacing w:line="360" w:lineRule="auto"/>
              <w:jc w:val="center"/>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评分标准</w:t>
            </w:r>
          </w:p>
        </w:tc>
      </w:tr>
      <w:tr w14:paraId="383F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1"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4772B2CA">
            <w:pPr>
              <w:widowControl/>
              <w:shd w:val="clear"/>
              <w:tabs>
                <w:tab w:val="left" w:pos="8460"/>
              </w:tabs>
              <w:adjustRightInd w:val="0"/>
              <w:spacing w:line="360" w:lineRule="auto"/>
              <w:jc w:val="center"/>
              <w:textAlignment w:val="baseline"/>
              <w:rPr>
                <w:rFonts w:hint="eastAsia" w:ascii="宋体" w:hAnsi="宋体" w:cs="宋体"/>
                <w:bCs/>
                <w:color w:val="auto"/>
                <w:kern w:val="0"/>
                <w:szCs w:val="21"/>
                <w:highlight w:val="none"/>
              </w:rPr>
            </w:pPr>
            <w:r>
              <w:rPr>
                <w:rFonts w:hint="eastAsia" w:ascii="宋体" w:hAnsi="宋体" w:cs="宋体"/>
                <w:color w:val="auto"/>
                <w:kern w:val="0"/>
                <w:szCs w:val="21"/>
                <w:highlight w:val="none"/>
              </w:rPr>
              <w:t>1</w:t>
            </w:r>
          </w:p>
        </w:tc>
        <w:tc>
          <w:tcPr>
            <w:tcW w:w="1356" w:type="dxa"/>
            <w:tcBorders>
              <w:top w:val="single" w:color="auto" w:sz="4" w:space="0"/>
              <w:left w:val="single" w:color="auto" w:sz="4" w:space="0"/>
              <w:bottom w:val="single" w:color="auto" w:sz="4" w:space="0"/>
              <w:right w:val="single" w:color="auto" w:sz="4" w:space="0"/>
            </w:tcBorders>
            <w:noWrap/>
            <w:vAlign w:val="center"/>
          </w:tcPr>
          <w:p w14:paraId="1641DA88">
            <w:pPr>
              <w:widowControl/>
              <w:shd w:val="clear"/>
              <w:tabs>
                <w:tab w:val="left" w:pos="8460"/>
              </w:tabs>
              <w:adjustRightInd w:val="0"/>
              <w:spacing w:line="360" w:lineRule="auto"/>
              <w:jc w:val="center"/>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价格分</w:t>
            </w:r>
          </w:p>
          <w:p w14:paraId="77696380">
            <w:pPr>
              <w:widowControl/>
              <w:shd w:val="clear"/>
              <w:tabs>
                <w:tab w:val="left" w:pos="8460"/>
              </w:tabs>
              <w:adjustRightInd w:val="0"/>
              <w:spacing w:line="360" w:lineRule="auto"/>
              <w:jc w:val="center"/>
              <w:textAlignment w:val="baseline"/>
              <w:rPr>
                <w:rFonts w:hint="eastAsia" w:ascii="宋体" w:hAnsi="宋体" w:cs="宋体"/>
                <w:color w:val="auto"/>
                <w:kern w:val="0"/>
                <w:szCs w:val="21"/>
                <w:highlight w:val="none"/>
              </w:rPr>
            </w:pP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val="en-US" w:eastAsia="zh-CN"/>
              </w:rPr>
              <w:t>1</w:t>
            </w:r>
            <w:r>
              <w:rPr>
                <w:rFonts w:hint="eastAsia" w:ascii="宋体" w:hAnsi="宋体" w:cs="宋体"/>
                <w:b/>
                <w:color w:val="auto"/>
                <w:kern w:val="0"/>
                <w:szCs w:val="21"/>
                <w:highlight w:val="none"/>
              </w:rPr>
              <w:t>0分）</w:t>
            </w:r>
          </w:p>
        </w:tc>
        <w:tc>
          <w:tcPr>
            <w:tcW w:w="7761" w:type="dxa"/>
            <w:tcBorders>
              <w:top w:val="single" w:color="auto" w:sz="4" w:space="0"/>
              <w:left w:val="single" w:color="auto" w:sz="4" w:space="0"/>
              <w:bottom w:val="single" w:color="auto" w:sz="4" w:space="0"/>
              <w:right w:val="single" w:color="auto" w:sz="4" w:space="0"/>
            </w:tcBorders>
            <w:noWrap/>
            <w:vAlign w:val="center"/>
          </w:tcPr>
          <w:p w14:paraId="211B2C60">
            <w:pPr>
              <w:shd w:val="clea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（1）评审价为供应商的最后报价，最终成交供应商的成交金额等于最后报价（如有修正，以确认修正后的最后报价为准）。</w:t>
            </w:r>
          </w:p>
          <w:p w14:paraId="2A82108E">
            <w:pPr>
              <w:shd w:val="clea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2）本项目为专门面向中小企业采购的项目，参加本项目磋商的供应商必须为中小微企业，或监狱企业，或残疾人福利性单位，否则响应无效。价格评审时，参加本次项目响应的供应商不重复享受政策，其评审价=最后报价。</w:t>
            </w:r>
          </w:p>
          <w:p w14:paraId="79FD8EB3">
            <w:pPr>
              <w:shd w:val="clear"/>
              <w:spacing w:line="36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（3）以进入比较与评价环节的最低的评审价为基准价，基准价得分为</w:t>
            </w:r>
            <w:r>
              <w:rPr>
                <w:rFonts w:hint="eastAsia" w:ascii="宋体" w:hAnsi="宋体" w:cs="宋体"/>
                <w:bCs/>
                <w:color w:val="auto"/>
                <w:kern w:val="2"/>
                <w:sz w:val="21"/>
                <w:szCs w:val="21"/>
                <w:highlight w:val="none"/>
                <w:lang w:val="en-US" w:eastAsia="zh-CN" w:bidi="ar-SA"/>
              </w:rPr>
              <w:t>10</w:t>
            </w:r>
            <w:r>
              <w:rPr>
                <w:rFonts w:hint="eastAsia" w:ascii="宋体" w:hAnsi="宋体" w:eastAsia="宋体" w:cs="宋体"/>
                <w:bCs/>
                <w:color w:val="auto"/>
                <w:kern w:val="2"/>
                <w:sz w:val="21"/>
                <w:szCs w:val="21"/>
                <w:highlight w:val="none"/>
                <w:lang w:val="en-US" w:eastAsia="zh-CN" w:bidi="ar-SA"/>
              </w:rPr>
              <w:t>分。</w:t>
            </w:r>
          </w:p>
          <w:p w14:paraId="46D6C492">
            <w:pPr>
              <w:widowControl/>
              <w:shd w:val="clear"/>
              <w:spacing w:line="420" w:lineRule="exact"/>
              <w:rPr>
                <w:rFonts w:hint="eastAsia" w:ascii="宋体" w:hAnsi="宋体" w:cs="宋体"/>
                <w:bCs/>
                <w:color w:val="auto"/>
                <w:szCs w:val="21"/>
                <w:highlight w:val="none"/>
              </w:rPr>
            </w:pPr>
            <w:r>
              <w:rPr>
                <w:rFonts w:hint="eastAsia" w:ascii="宋体" w:hAnsi="宋体" w:eastAsia="宋体" w:cs="宋体"/>
                <w:bCs/>
                <w:color w:val="auto"/>
                <w:kern w:val="2"/>
                <w:sz w:val="21"/>
                <w:szCs w:val="21"/>
                <w:highlight w:val="none"/>
                <w:lang w:val="en-US" w:eastAsia="zh-CN" w:bidi="ar-SA"/>
              </w:rPr>
              <w:t>（4）价格分计算公式：报价得分=（基准价/最后报价）×</w:t>
            </w:r>
            <w:r>
              <w:rPr>
                <w:rFonts w:hint="eastAsia" w:ascii="宋体" w:hAnsi="宋体" w:cs="宋体"/>
                <w:bCs/>
                <w:color w:val="auto"/>
                <w:kern w:val="2"/>
                <w:sz w:val="21"/>
                <w:szCs w:val="21"/>
                <w:highlight w:val="none"/>
                <w:lang w:val="en-US" w:eastAsia="zh-CN" w:bidi="ar-SA"/>
              </w:rPr>
              <w:t>10</w:t>
            </w:r>
            <w:r>
              <w:rPr>
                <w:rFonts w:hint="eastAsia" w:ascii="宋体" w:hAnsi="宋体" w:eastAsia="宋体" w:cs="宋体"/>
                <w:bCs/>
                <w:color w:val="auto"/>
                <w:kern w:val="2"/>
                <w:sz w:val="21"/>
                <w:szCs w:val="21"/>
                <w:highlight w:val="none"/>
                <w:lang w:val="en-US" w:eastAsia="zh-CN" w:bidi="ar-SA"/>
              </w:rPr>
              <w:t>分</w:t>
            </w:r>
          </w:p>
        </w:tc>
      </w:tr>
      <w:tr w14:paraId="513A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7" w:hRule="atLeast"/>
          <w:jc w:val="center"/>
        </w:trPr>
        <w:tc>
          <w:tcPr>
            <w:tcW w:w="671" w:type="dxa"/>
            <w:vMerge w:val="restart"/>
            <w:tcBorders>
              <w:top w:val="single" w:color="auto" w:sz="4" w:space="0"/>
              <w:left w:val="single" w:color="auto" w:sz="4" w:space="0"/>
              <w:right w:val="single" w:color="auto" w:sz="4" w:space="0"/>
            </w:tcBorders>
            <w:noWrap/>
            <w:vAlign w:val="center"/>
          </w:tcPr>
          <w:p w14:paraId="07D2FE61">
            <w:pPr>
              <w:pStyle w:val="32"/>
              <w:shd w:val="clear"/>
              <w:spacing w:line="360" w:lineRule="auto"/>
              <w:ind w:firstLine="210" w:firstLineChars="100"/>
              <w:rPr>
                <w:rFonts w:hint="eastAsia" w:ascii="宋体" w:hAnsi="宋体"/>
                <w:color w:val="auto"/>
                <w:sz w:val="21"/>
                <w:szCs w:val="21"/>
                <w:highlight w:val="none"/>
              </w:rPr>
            </w:pPr>
            <w:r>
              <w:rPr>
                <w:rFonts w:hint="eastAsia" w:ascii="宋体" w:hAnsi="宋体" w:cs="宋体"/>
                <w:color w:val="auto"/>
                <w:sz w:val="21"/>
                <w:szCs w:val="21"/>
                <w:highlight w:val="none"/>
              </w:rPr>
              <w:t>2</w:t>
            </w:r>
          </w:p>
        </w:tc>
        <w:tc>
          <w:tcPr>
            <w:tcW w:w="1356" w:type="dxa"/>
            <w:vMerge w:val="restart"/>
            <w:tcBorders>
              <w:top w:val="single" w:color="auto" w:sz="4" w:space="0"/>
              <w:left w:val="single" w:color="auto" w:sz="4" w:space="0"/>
              <w:right w:val="single" w:color="auto" w:sz="4" w:space="0"/>
            </w:tcBorders>
            <w:noWrap/>
            <w:vAlign w:val="center"/>
          </w:tcPr>
          <w:p w14:paraId="447587A9">
            <w:pPr>
              <w:widowControl/>
              <w:shd w:val="clear"/>
              <w:tabs>
                <w:tab w:val="left" w:pos="8460"/>
              </w:tabs>
              <w:adjustRightInd w:val="0"/>
              <w:spacing w:line="360" w:lineRule="auto"/>
              <w:jc w:val="center"/>
              <w:textAlignment w:val="baseline"/>
              <w:rPr>
                <w:rFonts w:hint="eastAsia" w:ascii="宋体" w:hAnsi="宋体" w:cs="宋体"/>
                <w:bCs/>
                <w:color w:val="auto"/>
                <w:kern w:val="0"/>
                <w:szCs w:val="21"/>
                <w:highlight w:val="none"/>
              </w:rPr>
            </w:pPr>
            <w:r>
              <w:rPr>
                <w:rFonts w:hint="eastAsia" w:ascii="宋体" w:hAnsi="宋体"/>
                <w:b/>
                <w:color w:val="auto"/>
                <w:szCs w:val="21"/>
                <w:highlight w:val="none"/>
              </w:rPr>
              <w:t>技术分</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8</w:t>
            </w:r>
            <w:r>
              <w:rPr>
                <w:rFonts w:hint="eastAsia" w:ascii="宋体" w:hAnsi="宋体" w:cs="宋体"/>
                <w:b/>
                <w:color w:val="auto"/>
                <w:szCs w:val="21"/>
                <w:highlight w:val="none"/>
              </w:rPr>
              <w:t>0分）</w:t>
            </w:r>
          </w:p>
        </w:tc>
        <w:tc>
          <w:tcPr>
            <w:tcW w:w="7761" w:type="dxa"/>
            <w:tcBorders>
              <w:top w:val="single" w:color="auto" w:sz="4" w:space="0"/>
              <w:left w:val="single" w:color="auto" w:sz="4" w:space="0"/>
              <w:bottom w:val="single" w:color="auto" w:sz="4" w:space="0"/>
              <w:right w:val="single" w:color="auto" w:sz="4" w:space="0"/>
            </w:tcBorders>
            <w:noWrap/>
            <w:vAlign w:val="center"/>
          </w:tcPr>
          <w:p w14:paraId="6BE22F9D">
            <w:pPr>
              <w:shd w:val="clear"/>
              <w:snapToGrid w:val="0"/>
              <w:spacing w:line="360" w:lineRule="auto"/>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1、对项目服务范围的理解认知（</w:t>
            </w:r>
            <w:r>
              <w:rPr>
                <w:rFonts w:hint="eastAsia" w:ascii="宋体" w:hAnsi="宋体" w:cs="宋体"/>
                <w:b/>
                <w:bCs/>
                <w:color w:val="auto"/>
                <w:kern w:val="0"/>
                <w:szCs w:val="21"/>
                <w:highlight w:val="none"/>
                <w:lang w:val="en-US" w:eastAsia="zh-CN" w:bidi="ar"/>
              </w:rPr>
              <w:t>10</w:t>
            </w:r>
            <w:r>
              <w:rPr>
                <w:rFonts w:hint="eastAsia" w:ascii="宋体" w:hAnsi="宋体" w:cs="宋体"/>
                <w:b/>
                <w:bCs/>
                <w:color w:val="auto"/>
                <w:kern w:val="0"/>
                <w:szCs w:val="21"/>
                <w:highlight w:val="none"/>
                <w:lang w:bidi="ar"/>
              </w:rPr>
              <w:t>分）</w:t>
            </w:r>
          </w:p>
          <w:p w14:paraId="4AEE5968">
            <w:pPr>
              <w:shd w:val="clear"/>
              <w:spacing w:line="400" w:lineRule="exact"/>
              <w:ind w:firstLine="420"/>
              <w:rPr>
                <w:rFonts w:hint="eastAsia" w:ascii="宋体" w:hAnsi="宋体" w:cs="宋体"/>
                <w:color w:val="auto"/>
                <w:kern w:val="0"/>
                <w:highlight w:val="none"/>
              </w:rPr>
            </w:pPr>
            <w:r>
              <w:rPr>
                <w:rFonts w:hint="eastAsia" w:ascii="宋体" w:hAnsi="宋体" w:cs="宋体"/>
                <w:color w:val="auto"/>
                <w:kern w:val="0"/>
                <w:highlight w:val="none"/>
              </w:rPr>
              <w:t>一档（</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 xml:space="preserve"> 分）：</w:t>
            </w:r>
            <w:r>
              <w:rPr>
                <w:rFonts w:hint="eastAsia" w:ascii="宋体" w:hAnsi="宋体" w:cs="宋体"/>
                <w:color w:val="auto"/>
                <w:kern w:val="0"/>
                <w:highlight w:val="none"/>
                <w:lang w:val="en-US" w:eastAsia="zh-CN"/>
              </w:rPr>
              <w:t>提供的方案包含有对项目服务范围的理解认知</w:t>
            </w:r>
            <w:r>
              <w:rPr>
                <w:rFonts w:hint="eastAsia" w:ascii="宋体" w:hAnsi="宋体" w:cs="宋体"/>
                <w:color w:val="auto"/>
                <w:kern w:val="0"/>
                <w:highlight w:val="none"/>
              </w:rPr>
              <w:t>。</w:t>
            </w:r>
          </w:p>
          <w:p w14:paraId="4CFE6906">
            <w:pPr>
              <w:shd w:val="clear"/>
              <w:spacing w:line="400" w:lineRule="exact"/>
              <w:ind w:firstLine="420"/>
              <w:rPr>
                <w:rFonts w:hint="eastAsia" w:ascii="宋体" w:hAnsi="宋体" w:cs="宋体"/>
                <w:color w:val="auto"/>
                <w:kern w:val="0"/>
                <w:highlight w:val="none"/>
              </w:rPr>
            </w:pPr>
            <w:r>
              <w:rPr>
                <w:rFonts w:hint="eastAsia" w:ascii="宋体" w:hAnsi="宋体" w:cs="宋体"/>
                <w:color w:val="auto"/>
                <w:kern w:val="0"/>
                <w:highlight w:val="none"/>
              </w:rPr>
              <w:t>二档（</w:t>
            </w:r>
            <w:r>
              <w:rPr>
                <w:rFonts w:hint="eastAsia" w:ascii="宋体" w:hAnsi="宋体" w:cs="宋体"/>
                <w:color w:val="auto"/>
                <w:kern w:val="0"/>
                <w:highlight w:val="none"/>
                <w:lang w:val="en-US" w:eastAsia="zh-CN"/>
              </w:rPr>
              <w:t>7</w:t>
            </w:r>
            <w:r>
              <w:rPr>
                <w:rFonts w:hint="eastAsia" w:ascii="宋体" w:hAnsi="宋体" w:cs="宋体"/>
                <w:color w:val="auto"/>
                <w:kern w:val="0"/>
                <w:highlight w:val="none"/>
              </w:rPr>
              <w:t>分）：</w:t>
            </w:r>
            <w:r>
              <w:rPr>
                <w:rFonts w:hint="eastAsia" w:ascii="宋体" w:hAnsi="宋体" w:cs="宋体"/>
                <w:color w:val="auto"/>
                <w:kern w:val="0"/>
                <w:highlight w:val="none"/>
                <w:lang w:val="en-US" w:eastAsia="zh-CN"/>
              </w:rPr>
              <w:t>在满足一档的基础上，</w:t>
            </w:r>
            <w:r>
              <w:rPr>
                <w:rFonts w:hint="eastAsia" w:ascii="宋体" w:hAnsi="宋体" w:cs="宋体"/>
                <w:color w:val="auto"/>
                <w:kern w:val="0"/>
                <w:highlight w:val="none"/>
              </w:rPr>
              <w:t>具有土壤 PH 值需求分析、叶面阻控需求分析、水分调控需求分析、技术宣传指导需求分析等描述。</w:t>
            </w:r>
          </w:p>
          <w:p w14:paraId="22FE1939">
            <w:pPr>
              <w:shd w:val="clear"/>
              <w:spacing w:line="400" w:lineRule="exact"/>
              <w:ind w:firstLine="420"/>
              <w:rPr>
                <w:rFonts w:hint="eastAsia" w:ascii="宋体" w:hAnsi="宋体" w:cs="宋体"/>
                <w:color w:val="auto"/>
                <w:kern w:val="0"/>
                <w:highlight w:val="none"/>
              </w:rPr>
            </w:pPr>
            <w:r>
              <w:rPr>
                <w:rFonts w:hint="eastAsia" w:ascii="宋体" w:hAnsi="宋体" w:cs="宋体"/>
                <w:color w:val="auto"/>
                <w:kern w:val="0"/>
                <w:highlight w:val="none"/>
              </w:rPr>
              <w:t>三档（</w:t>
            </w:r>
            <w:r>
              <w:rPr>
                <w:rFonts w:hint="eastAsia" w:ascii="宋体" w:hAnsi="宋体" w:cs="宋体"/>
                <w:color w:val="auto"/>
                <w:kern w:val="0"/>
                <w:highlight w:val="none"/>
                <w:lang w:val="en-US" w:eastAsia="zh-CN"/>
              </w:rPr>
              <w:t>10</w:t>
            </w:r>
            <w:r>
              <w:rPr>
                <w:rFonts w:hint="eastAsia" w:ascii="宋体" w:hAnsi="宋体" w:cs="宋体"/>
                <w:color w:val="auto"/>
                <w:kern w:val="0"/>
                <w:highlight w:val="none"/>
              </w:rPr>
              <w:t>分）：</w:t>
            </w:r>
            <w:r>
              <w:rPr>
                <w:rFonts w:hint="eastAsia" w:ascii="宋体" w:hAnsi="宋体" w:cs="宋体"/>
                <w:color w:val="auto"/>
                <w:kern w:val="0"/>
                <w:highlight w:val="none"/>
                <w:lang w:val="en-US" w:eastAsia="zh-CN"/>
              </w:rPr>
              <w:t>在满足二档的基础上</w:t>
            </w:r>
            <w:r>
              <w:rPr>
                <w:rFonts w:hint="eastAsia" w:ascii="宋体" w:hAnsi="宋体" w:cs="宋体"/>
                <w:color w:val="auto"/>
                <w:kern w:val="0"/>
                <w:highlight w:val="none"/>
              </w:rPr>
              <w:t>，</w:t>
            </w:r>
            <w:r>
              <w:rPr>
                <w:rFonts w:hint="eastAsia" w:ascii="宋体" w:hAnsi="宋体" w:cs="宋体"/>
                <w:color w:val="auto"/>
                <w:kern w:val="0"/>
                <w:highlight w:val="none"/>
                <w:lang w:val="en-US" w:eastAsia="zh-CN"/>
              </w:rPr>
              <w:t>提供的</w:t>
            </w:r>
            <w:r>
              <w:rPr>
                <w:rFonts w:hint="eastAsia" w:ascii="宋体" w:hAnsi="宋体" w:cs="宋体"/>
                <w:color w:val="auto"/>
                <w:kern w:val="0"/>
                <w:highlight w:val="none"/>
              </w:rPr>
              <w:t>方案具有一区一策、同区同策的认识与理解，项目目标理解、项目实施的重点和难点及保证措施，</w:t>
            </w:r>
            <w:r>
              <w:rPr>
                <w:rFonts w:hint="eastAsia" w:ascii="宋体" w:hAnsi="宋体" w:cs="宋体"/>
                <w:color w:val="auto"/>
                <w:kern w:val="0"/>
                <w:highlight w:val="none"/>
                <w:lang w:val="en-US" w:eastAsia="zh-CN"/>
              </w:rPr>
              <w:t>有</w:t>
            </w:r>
            <w:r>
              <w:rPr>
                <w:rFonts w:hint="eastAsia" w:ascii="宋体" w:hAnsi="宋体" w:cs="宋体"/>
                <w:color w:val="auto"/>
                <w:kern w:val="0"/>
                <w:highlight w:val="none"/>
              </w:rPr>
              <w:t>项目重难点分析，能提出合理的意见和应对措施的。</w:t>
            </w:r>
          </w:p>
          <w:p w14:paraId="722A0623">
            <w:pPr>
              <w:shd w:val="clear"/>
              <w:spacing w:line="480" w:lineRule="exact"/>
              <w:ind w:firstLine="420" w:firstLineChars="200"/>
              <w:rPr>
                <w:rFonts w:hint="eastAsia" w:hAnsi="宋体" w:cs="宋体"/>
                <w:bCs/>
                <w:color w:val="auto"/>
                <w:highlight w:val="none"/>
              </w:rPr>
            </w:pPr>
            <w:r>
              <w:rPr>
                <w:rFonts w:hint="eastAsia" w:ascii="宋体" w:hAnsi="宋体" w:cs="宋体"/>
                <w:bCs/>
                <w:color w:val="auto"/>
                <w:szCs w:val="21"/>
                <w:highlight w:val="none"/>
              </w:rPr>
              <w:t>注：未提供方案的或经评委评审所提供的方案内容未达一档标准的，得0分。</w:t>
            </w:r>
          </w:p>
        </w:tc>
      </w:tr>
      <w:tr w14:paraId="15F7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left w:val="single" w:color="auto" w:sz="4" w:space="0"/>
              <w:right w:val="single" w:color="auto" w:sz="4" w:space="0"/>
            </w:tcBorders>
            <w:noWrap/>
            <w:vAlign w:val="center"/>
          </w:tcPr>
          <w:p w14:paraId="4615CBB6">
            <w:pPr>
              <w:shd w:val="clear"/>
              <w:adjustRightInd w:val="0"/>
              <w:spacing w:line="360" w:lineRule="auto"/>
              <w:jc w:val="center"/>
              <w:textAlignment w:val="baseline"/>
              <w:rPr>
                <w:rFonts w:hint="eastAsia" w:ascii="宋体" w:hAnsi="宋体" w:cs="宋体"/>
                <w:color w:val="auto"/>
                <w:szCs w:val="21"/>
                <w:highlight w:val="none"/>
              </w:rPr>
            </w:pPr>
          </w:p>
        </w:tc>
        <w:tc>
          <w:tcPr>
            <w:tcW w:w="1356" w:type="dxa"/>
            <w:vMerge w:val="continue"/>
            <w:tcBorders>
              <w:left w:val="single" w:color="auto" w:sz="4" w:space="0"/>
              <w:right w:val="single" w:color="auto" w:sz="4" w:space="0"/>
            </w:tcBorders>
            <w:noWrap/>
            <w:vAlign w:val="center"/>
          </w:tcPr>
          <w:p w14:paraId="4D34E314">
            <w:pPr>
              <w:shd w:val="clear"/>
              <w:spacing w:line="360" w:lineRule="auto"/>
              <w:jc w:val="center"/>
              <w:rPr>
                <w:rFonts w:hint="eastAsia" w:ascii="宋体" w:hAnsi="宋体" w:cs="宋体"/>
                <w:bCs/>
                <w:color w:val="auto"/>
                <w:szCs w:val="21"/>
                <w:highlight w:val="none"/>
              </w:rPr>
            </w:pPr>
          </w:p>
        </w:tc>
        <w:tc>
          <w:tcPr>
            <w:tcW w:w="7761" w:type="dxa"/>
            <w:tcBorders>
              <w:top w:val="single" w:color="auto" w:sz="4" w:space="0"/>
              <w:left w:val="single" w:color="auto" w:sz="4" w:space="0"/>
              <w:bottom w:val="single" w:color="auto" w:sz="4" w:space="0"/>
              <w:right w:val="single" w:color="auto" w:sz="4" w:space="0"/>
            </w:tcBorders>
            <w:noWrap/>
            <w:vAlign w:val="center"/>
          </w:tcPr>
          <w:p w14:paraId="00F84791">
            <w:pPr>
              <w:shd w:val="clear"/>
              <w:spacing w:line="360" w:lineRule="auto"/>
              <w:rPr>
                <w:b/>
                <w:bCs/>
                <w:color w:val="auto"/>
                <w:highlight w:val="none"/>
              </w:rPr>
            </w:pPr>
            <w:r>
              <w:rPr>
                <w:rFonts w:hint="eastAsia"/>
                <w:b/>
                <w:bCs/>
                <w:color w:val="auto"/>
                <w:highlight w:val="none"/>
              </w:rPr>
              <w:t>2、</w:t>
            </w:r>
            <w:r>
              <w:rPr>
                <w:rFonts w:hint="eastAsia" w:ascii="宋体" w:hAnsi="宋体" w:eastAsia="宋体" w:cs="宋体"/>
                <w:b/>
                <w:bCs/>
                <w:color w:val="auto"/>
                <w:spacing w:val="-4"/>
                <w:sz w:val="21"/>
                <w:szCs w:val="21"/>
                <w:highlight w:val="none"/>
                <w:vertAlign w:val="baseline"/>
              </w:rPr>
              <w:t>技术服务方案（满分</w:t>
            </w:r>
            <w:r>
              <w:rPr>
                <w:rFonts w:hint="eastAsia" w:ascii="宋体" w:hAnsi="宋体" w:eastAsia="宋体" w:cs="宋体"/>
                <w:b/>
                <w:bCs/>
                <w:color w:val="auto"/>
                <w:spacing w:val="-4"/>
                <w:sz w:val="21"/>
                <w:szCs w:val="21"/>
                <w:highlight w:val="none"/>
                <w:vertAlign w:val="baseline"/>
                <w:lang w:val="en-US" w:eastAsia="zh-CN"/>
              </w:rPr>
              <w:t>25</w:t>
            </w:r>
            <w:r>
              <w:rPr>
                <w:rFonts w:hint="eastAsia" w:ascii="宋体" w:hAnsi="宋体" w:eastAsia="宋体" w:cs="宋体"/>
                <w:b/>
                <w:bCs/>
                <w:color w:val="auto"/>
                <w:spacing w:val="-4"/>
                <w:sz w:val="21"/>
                <w:szCs w:val="21"/>
                <w:highlight w:val="none"/>
                <w:vertAlign w:val="baseline"/>
              </w:rPr>
              <w:t xml:space="preserve"> 分）</w:t>
            </w:r>
          </w:p>
          <w:p w14:paraId="4AC0D6F6">
            <w:pPr>
              <w:widowControl/>
              <w:shd w:val="clear"/>
              <w:spacing w:line="400" w:lineRule="exact"/>
              <w:ind w:firstLine="420" w:firstLineChars="200"/>
              <w:rPr>
                <w:rFonts w:hint="eastAsia" w:ascii="宋体" w:hAnsi="宋体" w:cs="仿宋"/>
                <w:bCs/>
                <w:color w:val="auto"/>
                <w:szCs w:val="21"/>
                <w:highlight w:val="none"/>
              </w:rPr>
            </w:pPr>
            <w:r>
              <w:rPr>
                <w:rFonts w:hint="eastAsia" w:ascii="宋体" w:hAnsi="宋体" w:cs="仿宋"/>
                <w:bCs/>
                <w:color w:val="auto"/>
                <w:szCs w:val="21"/>
                <w:highlight w:val="none"/>
                <w:lang w:val="en-US" w:eastAsia="zh-CN"/>
              </w:rPr>
              <w:t>一</w:t>
            </w:r>
            <w:r>
              <w:rPr>
                <w:rFonts w:hint="eastAsia" w:ascii="宋体" w:hAnsi="宋体" w:cs="仿宋"/>
                <w:bCs/>
                <w:color w:val="auto"/>
                <w:szCs w:val="21"/>
                <w:highlight w:val="none"/>
              </w:rPr>
              <w:t>档(</w:t>
            </w:r>
            <w:r>
              <w:rPr>
                <w:rFonts w:hint="eastAsia" w:ascii="宋体" w:hAnsi="宋体" w:cs="仿宋"/>
                <w:bCs/>
                <w:color w:val="auto"/>
                <w:szCs w:val="21"/>
                <w:highlight w:val="none"/>
                <w:lang w:val="en-US" w:eastAsia="zh-CN"/>
              </w:rPr>
              <w:t>15</w:t>
            </w:r>
            <w:r>
              <w:rPr>
                <w:rFonts w:hint="eastAsia" w:ascii="宋体" w:hAnsi="宋体" w:cs="仿宋"/>
                <w:bCs/>
                <w:color w:val="auto"/>
                <w:szCs w:val="21"/>
                <w:highlight w:val="none"/>
              </w:rPr>
              <w:t>分):</w:t>
            </w:r>
            <w:r>
              <w:rPr>
                <w:rFonts w:hint="eastAsia" w:ascii="宋体" w:hAnsi="宋体" w:cs="仿宋"/>
                <w:bCs/>
                <w:color w:val="auto"/>
                <w:szCs w:val="21"/>
                <w:highlight w:val="none"/>
                <w:lang w:val="en-US" w:eastAsia="zh-CN"/>
              </w:rPr>
              <w:t>提供的项目技术服务方案具有编制依据、基本原则、安全利用技术措施介绍、农艺调控、土壤改良类技术、综合治理技术、生物业技术等内容，</w:t>
            </w:r>
            <w:r>
              <w:rPr>
                <w:rFonts w:hint="eastAsia" w:ascii="宋体" w:hAnsi="宋体" w:cs="仿宋"/>
                <w:bCs/>
                <w:color w:val="auto"/>
                <w:szCs w:val="21"/>
                <w:highlight w:val="none"/>
              </w:rPr>
              <w:t>技术服务方案符合技术规范要求。</w:t>
            </w:r>
          </w:p>
          <w:p w14:paraId="100A6A72">
            <w:pPr>
              <w:widowControl/>
              <w:shd w:val="clear"/>
              <w:spacing w:line="400" w:lineRule="exact"/>
              <w:ind w:firstLine="420" w:firstLineChars="200"/>
              <w:rPr>
                <w:rFonts w:hint="eastAsia" w:ascii="宋体" w:hAnsi="宋体" w:cs="仿宋"/>
                <w:bCs/>
                <w:color w:val="auto"/>
                <w:szCs w:val="21"/>
                <w:highlight w:val="none"/>
              </w:rPr>
            </w:pPr>
            <w:r>
              <w:rPr>
                <w:rFonts w:hint="eastAsia" w:ascii="宋体" w:hAnsi="宋体" w:cs="仿宋"/>
                <w:bCs/>
                <w:color w:val="auto"/>
                <w:szCs w:val="21"/>
                <w:highlight w:val="none"/>
                <w:lang w:val="en-US" w:eastAsia="zh-CN"/>
              </w:rPr>
              <w:t>二</w:t>
            </w:r>
            <w:r>
              <w:rPr>
                <w:rFonts w:hint="eastAsia" w:ascii="宋体" w:hAnsi="宋体" w:cs="仿宋"/>
                <w:bCs/>
                <w:color w:val="auto"/>
                <w:szCs w:val="21"/>
                <w:highlight w:val="none"/>
              </w:rPr>
              <w:t>档(2</w:t>
            </w:r>
            <w:r>
              <w:rPr>
                <w:rFonts w:hint="eastAsia" w:ascii="宋体" w:hAnsi="宋体" w:cs="仿宋"/>
                <w:bCs/>
                <w:color w:val="auto"/>
                <w:szCs w:val="21"/>
                <w:highlight w:val="none"/>
                <w:lang w:val="en-US" w:eastAsia="zh-CN"/>
              </w:rPr>
              <w:t>0</w:t>
            </w:r>
            <w:r>
              <w:rPr>
                <w:rFonts w:hint="eastAsia" w:ascii="宋体" w:hAnsi="宋体" w:cs="仿宋"/>
                <w:bCs/>
                <w:color w:val="auto"/>
                <w:szCs w:val="21"/>
                <w:highlight w:val="none"/>
              </w:rPr>
              <w:t>分):</w:t>
            </w:r>
            <w:r>
              <w:rPr>
                <w:rFonts w:hint="eastAsia" w:ascii="宋体" w:hAnsi="宋体" w:cs="仿宋"/>
                <w:bCs/>
                <w:color w:val="auto"/>
                <w:szCs w:val="21"/>
                <w:highlight w:val="none"/>
                <w:lang w:val="en-US" w:eastAsia="zh-CN"/>
              </w:rPr>
              <w:t>在满足一档的基础上，</w:t>
            </w:r>
            <w:r>
              <w:rPr>
                <w:rFonts w:hint="eastAsia" w:ascii="宋体" w:hAnsi="宋体" w:cs="仿宋"/>
                <w:bCs/>
                <w:color w:val="auto"/>
                <w:szCs w:val="21"/>
                <w:highlight w:val="none"/>
              </w:rPr>
              <w:t>技术服务方案能基本做到一区一策，一区一策(每区对策)具有操作性，技术服务方案符合技术规范要求，在对项目实施难点分析准确的基础上，提出技术解决方案。</w:t>
            </w:r>
          </w:p>
          <w:p w14:paraId="3883429F">
            <w:pPr>
              <w:widowControl/>
              <w:shd w:val="clear"/>
              <w:spacing w:line="360" w:lineRule="auto"/>
              <w:ind w:firstLine="420" w:firstLineChars="200"/>
              <w:rPr>
                <w:rFonts w:hint="eastAsia" w:ascii="宋体" w:hAnsi="宋体" w:cs="仿宋"/>
                <w:bCs/>
                <w:color w:val="auto"/>
                <w:szCs w:val="21"/>
                <w:highlight w:val="none"/>
              </w:rPr>
            </w:pPr>
            <w:r>
              <w:rPr>
                <w:rFonts w:hint="eastAsia" w:ascii="宋体" w:hAnsi="宋体" w:cs="仿宋"/>
                <w:bCs/>
                <w:color w:val="auto"/>
                <w:szCs w:val="21"/>
                <w:highlight w:val="none"/>
                <w:lang w:val="en-US" w:eastAsia="zh-CN"/>
              </w:rPr>
              <w:t>三</w:t>
            </w:r>
            <w:r>
              <w:rPr>
                <w:rFonts w:hint="eastAsia" w:ascii="宋体" w:hAnsi="宋体" w:cs="仿宋"/>
                <w:bCs/>
                <w:color w:val="auto"/>
                <w:szCs w:val="21"/>
                <w:highlight w:val="none"/>
              </w:rPr>
              <w:t>档(</w:t>
            </w:r>
            <w:r>
              <w:rPr>
                <w:rFonts w:hint="eastAsia" w:ascii="宋体" w:hAnsi="宋体" w:cs="仿宋"/>
                <w:bCs/>
                <w:color w:val="auto"/>
                <w:szCs w:val="21"/>
                <w:highlight w:val="none"/>
                <w:lang w:val="en-US" w:eastAsia="zh-CN"/>
              </w:rPr>
              <w:t>25</w:t>
            </w:r>
            <w:r>
              <w:rPr>
                <w:rFonts w:hint="eastAsia" w:ascii="宋体" w:hAnsi="宋体" w:cs="仿宋"/>
                <w:bCs/>
                <w:color w:val="auto"/>
                <w:szCs w:val="21"/>
                <w:highlight w:val="none"/>
              </w:rPr>
              <w:t>分):</w:t>
            </w:r>
            <w:r>
              <w:rPr>
                <w:rFonts w:hint="eastAsia" w:ascii="宋体" w:hAnsi="宋体" w:cs="仿宋"/>
                <w:bCs/>
                <w:color w:val="auto"/>
                <w:szCs w:val="21"/>
                <w:highlight w:val="none"/>
                <w:lang w:val="en-US" w:eastAsia="zh-CN"/>
              </w:rPr>
              <w:t>在满足二档的基础上，有实现生产障碍耕地治理的具体规划论述，在对项目实施重点分析准确的基础上，提出完善的技术保障措施，在对项目实施难点分析准确的基础上，提出切合实际的技术解决方案。</w:t>
            </w:r>
          </w:p>
          <w:p w14:paraId="7A4075E3">
            <w:pPr>
              <w:pStyle w:val="17"/>
              <w:shd w:val="clea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注：未提供方案的或经评委评审所提供的方案内容未达一档标准的，得0分。</w:t>
            </w:r>
          </w:p>
        </w:tc>
      </w:tr>
      <w:tr w14:paraId="7D65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left w:val="single" w:color="auto" w:sz="4" w:space="0"/>
              <w:right w:val="single" w:color="auto" w:sz="4" w:space="0"/>
            </w:tcBorders>
            <w:noWrap/>
            <w:vAlign w:val="center"/>
          </w:tcPr>
          <w:p w14:paraId="508E285F">
            <w:pPr>
              <w:shd w:val="clear"/>
              <w:adjustRightInd w:val="0"/>
              <w:spacing w:line="360" w:lineRule="auto"/>
              <w:jc w:val="center"/>
              <w:textAlignment w:val="baseline"/>
              <w:rPr>
                <w:rFonts w:hint="eastAsia" w:ascii="宋体" w:hAnsi="宋体" w:cs="宋体"/>
                <w:color w:val="auto"/>
                <w:szCs w:val="21"/>
                <w:highlight w:val="none"/>
              </w:rPr>
            </w:pPr>
          </w:p>
        </w:tc>
        <w:tc>
          <w:tcPr>
            <w:tcW w:w="1356" w:type="dxa"/>
            <w:vMerge w:val="continue"/>
            <w:tcBorders>
              <w:left w:val="single" w:color="auto" w:sz="4" w:space="0"/>
              <w:right w:val="single" w:color="auto" w:sz="4" w:space="0"/>
            </w:tcBorders>
            <w:noWrap/>
            <w:vAlign w:val="center"/>
          </w:tcPr>
          <w:p w14:paraId="78AFAAB6">
            <w:pPr>
              <w:shd w:val="clear"/>
              <w:spacing w:line="360" w:lineRule="auto"/>
              <w:jc w:val="center"/>
              <w:rPr>
                <w:rFonts w:hint="eastAsia" w:ascii="宋体" w:hAnsi="宋体" w:cs="宋体"/>
                <w:bCs/>
                <w:color w:val="auto"/>
                <w:szCs w:val="21"/>
                <w:highlight w:val="none"/>
              </w:rPr>
            </w:pPr>
          </w:p>
        </w:tc>
        <w:tc>
          <w:tcPr>
            <w:tcW w:w="7761" w:type="dxa"/>
            <w:tcBorders>
              <w:top w:val="single" w:color="auto" w:sz="4" w:space="0"/>
              <w:left w:val="single" w:color="auto" w:sz="4" w:space="0"/>
              <w:bottom w:val="single" w:color="auto" w:sz="4" w:space="0"/>
              <w:right w:val="single" w:color="auto" w:sz="4" w:space="0"/>
            </w:tcBorders>
            <w:noWrap/>
          </w:tcPr>
          <w:p w14:paraId="0634FF08">
            <w:pPr>
              <w:shd w:val="clea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3、质量保证措施（满分</w:t>
            </w:r>
            <w:r>
              <w:rPr>
                <w:rFonts w:hint="eastAsia" w:ascii="宋体" w:hAnsi="宋体" w:cs="宋体"/>
                <w:b/>
                <w:bCs/>
                <w:color w:val="auto"/>
                <w:szCs w:val="21"/>
                <w:highlight w:val="none"/>
                <w:lang w:val="en-US" w:eastAsia="zh-CN"/>
              </w:rPr>
              <w:t>15</w:t>
            </w:r>
            <w:r>
              <w:rPr>
                <w:rFonts w:hint="eastAsia" w:ascii="宋体" w:hAnsi="宋体" w:cs="宋体"/>
                <w:b/>
                <w:bCs/>
                <w:color w:val="auto"/>
                <w:szCs w:val="21"/>
                <w:highlight w:val="none"/>
              </w:rPr>
              <w:t>分）</w:t>
            </w:r>
          </w:p>
          <w:p w14:paraId="215FE45D">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一档（</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分）：提供的技术质量控制措施</w:t>
            </w:r>
            <w:r>
              <w:rPr>
                <w:rFonts w:hint="eastAsia" w:ascii="宋体" w:hAnsi="宋体" w:cs="宋体"/>
                <w:bCs/>
                <w:color w:val="auto"/>
                <w:szCs w:val="21"/>
                <w:highlight w:val="none"/>
                <w:lang w:val="en-US" w:eastAsia="zh-CN"/>
              </w:rPr>
              <w:t>能</w:t>
            </w:r>
            <w:r>
              <w:rPr>
                <w:rFonts w:hint="eastAsia" w:ascii="宋体" w:hAnsi="宋体" w:cs="宋体"/>
                <w:bCs/>
                <w:color w:val="auto"/>
                <w:szCs w:val="21"/>
                <w:highlight w:val="none"/>
              </w:rPr>
              <w:t>保证项目成果质量达到验收标准，无具体的保障措施，无项目进度计划安排。</w:t>
            </w:r>
          </w:p>
          <w:p w14:paraId="7E6D7970">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二档（</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r>
              <w:rPr>
                <w:rFonts w:hint="eastAsia" w:ascii="宋体" w:hAnsi="宋体" w:cs="宋体"/>
                <w:bCs/>
                <w:color w:val="auto"/>
                <w:szCs w:val="21"/>
                <w:highlight w:val="none"/>
                <w:lang w:val="en-US" w:eastAsia="zh-CN"/>
              </w:rPr>
              <w:t>在满足一档的基础上，提供的质量保证措施包含</w:t>
            </w:r>
            <w:r>
              <w:rPr>
                <w:rFonts w:hint="eastAsia" w:ascii="宋体" w:hAnsi="宋体" w:cs="宋体"/>
                <w:bCs/>
                <w:color w:val="auto"/>
                <w:szCs w:val="21"/>
                <w:highlight w:val="none"/>
              </w:rPr>
              <w:t>有</w:t>
            </w:r>
            <w:r>
              <w:rPr>
                <w:rFonts w:hint="eastAsia" w:ascii="宋体" w:hAnsi="宋体" w:cs="宋体"/>
                <w:bCs/>
                <w:color w:val="auto"/>
                <w:szCs w:val="21"/>
                <w:highlight w:val="none"/>
                <w:lang w:val="en-US" w:eastAsia="zh-CN"/>
              </w:rPr>
              <w:t>具体的项目</w:t>
            </w:r>
            <w:r>
              <w:rPr>
                <w:rFonts w:hint="eastAsia" w:ascii="宋体" w:hAnsi="宋体" w:cs="宋体"/>
                <w:bCs/>
                <w:color w:val="auto"/>
                <w:szCs w:val="21"/>
                <w:highlight w:val="none"/>
              </w:rPr>
              <w:t>进度计划</w:t>
            </w:r>
            <w:r>
              <w:rPr>
                <w:rFonts w:hint="eastAsia" w:ascii="宋体" w:hAnsi="宋体" w:cs="宋体"/>
                <w:bCs/>
                <w:color w:val="auto"/>
                <w:szCs w:val="21"/>
                <w:highlight w:val="none"/>
                <w:lang w:val="en-US" w:eastAsia="zh-CN"/>
              </w:rPr>
              <w:t>安排</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材料物资投入计划</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安全防护措施</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应急救援预案</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环境保护措施</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保密措施</w:t>
            </w:r>
            <w:r>
              <w:rPr>
                <w:rFonts w:hint="eastAsia" w:ascii="宋体" w:hAnsi="宋体" w:cs="宋体"/>
                <w:bCs/>
                <w:color w:val="auto"/>
                <w:szCs w:val="21"/>
                <w:highlight w:val="none"/>
                <w:lang w:val="en-US" w:eastAsia="zh-CN"/>
              </w:rPr>
              <w:t>等内容</w:t>
            </w:r>
            <w:r>
              <w:rPr>
                <w:rFonts w:hint="eastAsia" w:ascii="宋体" w:hAnsi="宋体" w:cs="宋体"/>
                <w:bCs/>
                <w:color w:val="auto"/>
                <w:szCs w:val="21"/>
                <w:highlight w:val="none"/>
              </w:rPr>
              <w:t>，能满足项目实施需要。</w:t>
            </w:r>
          </w:p>
          <w:p w14:paraId="66B65306">
            <w:pPr>
              <w:shd w:val="clea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三</w:t>
            </w:r>
            <w:r>
              <w:rPr>
                <w:rFonts w:hint="eastAsia" w:ascii="宋体" w:hAnsi="宋体" w:cs="宋体"/>
                <w:bCs/>
                <w:color w:val="auto"/>
                <w:szCs w:val="21"/>
                <w:highlight w:val="none"/>
              </w:rPr>
              <w:t>档（</w:t>
            </w:r>
            <w:r>
              <w:rPr>
                <w:rFonts w:hint="eastAsia" w:ascii="宋体" w:hAnsi="宋体" w:cs="宋体"/>
                <w:bCs/>
                <w:color w:val="auto"/>
                <w:szCs w:val="21"/>
                <w:highlight w:val="none"/>
                <w:lang w:val="en-US" w:eastAsia="zh-CN"/>
              </w:rPr>
              <w:t>15</w:t>
            </w:r>
            <w:r>
              <w:rPr>
                <w:rFonts w:hint="eastAsia" w:ascii="宋体" w:hAnsi="宋体" w:cs="宋体"/>
                <w:bCs/>
                <w:color w:val="auto"/>
                <w:szCs w:val="21"/>
                <w:highlight w:val="none"/>
              </w:rPr>
              <w:t xml:space="preserve"> 分）：</w:t>
            </w:r>
            <w:r>
              <w:rPr>
                <w:rFonts w:hint="eastAsia" w:ascii="宋体" w:hAnsi="宋体" w:cs="宋体"/>
                <w:bCs/>
                <w:color w:val="auto"/>
                <w:szCs w:val="21"/>
                <w:highlight w:val="none"/>
                <w:lang w:val="en-US" w:eastAsia="zh-CN"/>
              </w:rPr>
              <w:t>在满足二档的基础上，</w:t>
            </w:r>
            <w:r>
              <w:rPr>
                <w:rFonts w:hint="eastAsia" w:ascii="宋体" w:hAnsi="宋体" w:cs="宋体"/>
                <w:bCs/>
                <w:color w:val="auto"/>
                <w:szCs w:val="21"/>
                <w:highlight w:val="none"/>
              </w:rPr>
              <w:t>材料物资投入计划与进度计划相呼应，能满足项目实施需要。安全防护措施到位， 应急救援预案科学、有效，能有效防止项目实施的安全隐患。环境保护措施可行，能有效防止二次污染</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保密措施</w:t>
            </w:r>
            <w:r>
              <w:rPr>
                <w:rFonts w:hint="eastAsia" w:ascii="宋体" w:hAnsi="宋体" w:cs="宋体"/>
                <w:bCs/>
                <w:color w:val="auto"/>
                <w:szCs w:val="21"/>
                <w:highlight w:val="none"/>
                <w:lang w:val="en-US" w:eastAsia="zh-CN"/>
              </w:rPr>
              <w:t>能</w:t>
            </w:r>
            <w:r>
              <w:rPr>
                <w:rFonts w:hint="eastAsia" w:ascii="宋体" w:hAnsi="宋体" w:cs="宋体"/>
                <w:bCs/>
                <w:color w:val="auto"/>
                <w:szCs w:val="21"/>
                <w:highlight w:val="none"/>
              </w:rPr>
              <w:t>满足项目的保密要求。</w:t>
            </w:r>
          </w:p>
          <w:p w14:paraId="389D1617">
            <w:pPr>
              <w:shd w:val="clear"/>
              <w:spacing w:line="360" w:lineRule="auto"/>
              <w:ind w:firstLine="420" w:firstLineChars="200"/>
              <w:rPr>
                <w:rFonts w:hint="eastAsia" w:ascii="宋体" w:hAnsi="宋体" w:cs="宋体"/>
                <w:b/>
                <w:bCs/>
                <w:color w:val="auto"/>
                <w:szCs w:val="21"/>
                <w:highlight w:val="none"/>
              </w:rPr>
            </w:pPr>
            <w:r>
              <w:rPr>
                <w:rFonts w:hint="eastAsia" w:ascii="宋体" w:hAnsi="宋体" w:cs="宋体"/>
                <w:bCs/>
                <w:color w:val="auto"/>
                <w:szCs w:val="21"/>
                <w:highlight w:val="none"/>
              </w:rPr>
              <w:t>注：未提供方案的或经评委评审所提供的方案内容未达一档标准的，得0分。</w:t>
            </w:r>
          </w:p>
        </w:tc>
      </w:tr>
      <w:tr w14:paraId="4C7B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left w:val="single" w:color="auto" w:sz="4" w:space="0"/>
              <w:right w:val="single" w:color="auto" w:sz="4" w:space="0"/>
            </w:tcBorders>
            <w:noWrap/>
            <w:vAlign w:val="center"/>
          </w:tcPr>
          <w:p w14:paraId="32B6A802">
            <w:pPr>
              <w:shd w:val="clear"/>
              <w:adjustRightInd w:val="0"/>
              <w:spacing w:line="360" w:lineRule="auto"/>
              <w:jc w:val="center"/>
              <w:textAlignment w:val="baseline"/>
              <w:rPr>
                <w:rFonts w:hint="eastAsia" w:ascii="宋体" w:hAnsi="宋体" w:cs="宋体"/>
                <w:color w:val="auto"/>
                <w:szCs w:val="21"/>
                <w:highlight w:val="none"/>
              </w:rPr>
            </w:pPr>
          </w:p>
        </w:tc>
        <w:tc>
          <w:tcPr>
            <w:tcW w:w="1356" w:type="dxa"/>
            <w:vMerge w:val="continue"/>
            <w:tcBorders>
              <w:left w:val="single" w:color="auto" w:sz="4" w:space="0"/>
              <w:right w:val="single" w:color="auto" w:sz="4" w:space="0"/>
            </w:tcBorders>
            <w:noWrap/>
            <w:vAlign w:val="center"/>
          </w:tcPr>
          <w:p w14:paraId="245827F9">
            <w:pPr>
              <w:shd w:val="clear"/>
              <w:spacing w:line="360" w:lineRule="auto"/>
              <w:jc w:val="center"/>
              <w:rPr>
                <w:rFonts w:hint="eastAsia" w:ascii="宋体" w:hAnsi="宋体" w:cs="宋体"/>
                <w:bCs/>
                <w:color w:val="auto"/>
                <w:szCs w:val="21"/>
                <w:highlight w:val="none"/>
              </w:rPr>
            </w:pPr>
          </w:p>
        </w:tc>
        <w:tc>
          <w:tcPr>
            <w:tcW w:w="7761" w:type="dxa"/>
            <w:tcBorders>
              <w:top w:val="single" w:color="auto" w:sz="4" w:space="0"/>
              <w:left w:val="single" w:color="auto" w:sz="4" w:space="0"/>
              <w:bottom w:val="single" w:color="auto" w:sz="4" w:space="0"/>
              <w:right w:val="single" w:color="auto" w:sz="4" w:space="0"/>
            </w:tcBorders>
            <w:noWrap/>
          </w:tcPr>
          <w:p w14:paraId="2DC30847">
            <w:pPr>
              <w:shd w:val="clear"/>
              <w:spacing w:line="360" w:lineRule="auto"/>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val="en-US" w:eastAsia="zh-CN" w:bidi="ar"/>
              </w:rPr>
              <w:t>4、</w:t>
            </w:r>
            <w:r>
              <w:rPr>
                <w:rFonts w:hint="eastAsia" w:ascii="宋体" w:hAnsi="宋体" w:cs="宋体"/>
                <w:b/>
                <w:bCs/>
                <w:color w:val="auto"/>
                <w:kern w:val="0"/>
                <w:szCs w:val="21"/>
                <w:highlight w:val="none"/>
                <w:lang w:bidi="ar"/>
              </w:rPr>
              <w:t>应急处理方案（满分</w:t>
            </w:r>
            <w:r>
              <w:rPr>
                <w:rFonts w:hint="eastAsia" w:ascii="宋体" w:hAnsi="宋体" w:cs="宋体"/>
                <w:b/>
                <w:bCs/>
                <w:color w:val="auto"/>
                <w:kern w:val="0"/>
                <w:szCs w:val="21"/>
                <w:highlight w:val="none"/>
                <w:lang w:val="en-US" w:eastAsia="zh-CN" w:bidi="ar"/>
              </w:rPr>
              <w:t>15</w:t>
            </w:r>
            <w:r>
              <w:rPr>
                <w:rFonts w:hint="eastAsia" w:ascii="宋体" w:hAnsi="宋体" w:cs="宋体"/>
                <w:b/>
                <w:bCs/>
                <w:color w:val="auto"/>
                <w:kern w:val="0"/>
                <w:szCs w:val="21"/>
                <w:highlight w:val="none"/>
                <w:lang w:bidi="ar"/>
              </w:rPr>
              <w:t xml:space="preserve"> 分）</w:t>
            </w:r>
          </w:p>
          <w:p w14:paraId="7095AE2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04" w:firstLineChars="200"/>
              <w:jc w:val="both"/>
              <w:textAlignment w:val="auto"/>
              <w:rPr>
                <w:rFonts w:hint="eastAsia" w:ascii="宋体" w:hAnsi="宋体" w:eastAsia="宋体" w:cs="宋体"/>
                <w:b w:val="0"/>
                <w:bCs w:val="0"/>
                <w:color w:val="auto"/>
                <w:spacing w:val="-4"/>
                <w:sz w:val="21"/>
                <w:szCs w:val="21"/>
                <w:highlight w:val="none"/>
                <w:vertAlign w:val="baseline"/>
                <w:lang w:eastAsia="zh-CN"/>
              </w:rPr>
            </w:pPr>
            <w:r>
              <w:rPr>
                <w:rFonts w:hint="eastAsia" w:ascii="宋体" w:hAnsi="宋体" w:eastAsia="宋体" w:cs="宋体"/>
                <w:b w:val="0"/>
                <w:bCs w:val="0"/>
                <w:color w:val="auto"/>
                <w:spacing w:val="-4"/>
                <w:sz w:val="21"/>
                <w:szCs w:val="21"/>
                <w:highlight w:val="none"/>
                <w:vertAlign w:val="baseline"/>
              </w:rPr>
              <w:t>一档（</w:t>
            </w:r>
            <w:r>
              <w:rPr>
                <w:rFonts w:hint="eastAsia" w:ascii="宋体" w:hAnsi="宋体" w:cs="宋体"/>
                <w:b w:val="0"/>
                <w:bCs w:val="0"/>
                <w:color w:val="auto"/>
                <w:spacing w:val="-4"/>
                <w:sz w:val="21"/>
                <w:szCs w:val="21"/>
                <w:highlight w:val="none"/>
                <w:vertAlign w:val="baseline"/>
                <w:lang w:val="en-US" w:eastAsia="zh-CN"/>
              </w:rPr>
              <w:t>5</w:t>
            </w:r>
            <w:r>
              <w:rPr>
                <w:rFonts w:hint="eastAsia" w:ascii="宋体" w:hAnsi="宋体" w:eastAsia="宋体" w:cs="宋体"/>
                <w:b w:val="0"/>
                <w:bCs w:val="0"/>
                <w:color w:val="auto"/>
                <w:spacing w:val="-4"/>
                <w:sz w:val="21"/>
                <w:szCs w:val="21"/>
                <w:highlight w:val="none"/>
                <w:vertAlign w:val="baseline"/>
              </w:rPr>
              <w:t>分）：提供</w:t>
            </w:r>
            <w:r>
              <w:rPr>
                <w:rFonts w:hint="eastAsia" w:ascii="宋体" w:hAnsi="宋体" w:cs="宋体"/>
                <w:b w:val="0"/>
                <w:bCs w:val="0"/>
                <w:color w:val="auto"/>
                <w:spacing w:val="-4"/>
                <w:sz w:val="21"/>
                <w:szCs w:val="21"/>
                <w:highlight w:val="none"/>
                <w:vertAlign w:val="baseline"/>
                <w:lang w:val="en-US" w:eastAsia="zh-CN"/>
              </w:rPr>
              <w:t>的</w:t>
            </w:r>
            <w:r>
              <w:rPr>
                <w:rFonts w:hint="eastAsia" w:ascii="宋体" w:hAnsi="宋体" w:eastAsia="宋体" w:cs="宋体"/>
                <w:b w:val="0"/>
                <w:bCs w:val="0"/>
                <w:color w:val="auto"/>
                <w:spacing w:val="-4"/>
                <w:sz w:val="21"/>
                <w:szCs w:val="21"/>
                <w:highlight w:val="none"/>
                <w:vertAlign w:val="baseline"/>
              </w:rPr>
              <w:t>应急处理方案</w:t>
            </w:r>
            <w:r>
              <w:rPr>
                <w:rFonts w:hint="eastAsia" w:ascii="宋体" w:hAnsi="宋体" w:cs="宋体"/>
                <w:b w:val="0"/>
                <w:bCs w:val="0"/>
                <w:color w:val="auto"/>
                <w:spacing w:val="-4"/>
                <w:sz w:val="21"/>
                <w:szCs w:val="21"/>
                <w:highlight w:val="none"/>
                <w:vertAlign w:val="baseline"/>
                <w:lang w:val="en-US" w:eastAsia="zh-CN"/>
              </w:rPr>
              <w:t>包含的突发事件、风险防控等内容</w:t>
            </w:r>
            <w:r>
              <w:rPr>
                <w:rFonts w:hint="eastAsia" w:ascii="宋体" w:hAnsi="宋体" w:cs="宋体"/>
                <w:b w:val="0"/>
                <w:bCs w:val="0"/>
                <w:color w:val="auto"/>
                <w:spacing w:val="-4"/>
                <w:sz w:val="21"/>
                <w:szCs w:val="21"/>
                <w:highlight w:val="none"/>
                <w:vertAlign w:val="baseline"/>
                <w:lang w:eastAsia="zh-CN"/>
              </w:rPr>
              <w:t>。</w:t>
            </w:r>
          </w:p>
          <w:p w14:paraId="0D070AB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04" w:firstLineChars="200"/>
              <w:jc w:val="both"/>
              <w:textAlignment w:val="auto"/>
              <w:rPr>
                <w:rFonts w:hint="eastAsia" w:ascii="宋体" w:hAnsi="宋体" w:eastAsia="宋体" w:cs="宋体"/>
                <w:b w:val="0"/>
                <w:bCs w:val="0"/>
                <w:color w:val="auto"/>
                <w:spacing w:val="-4"/>
                <w:sz w:val="21"/>
                <w:szCs w:val="21"/>
                <w:highlight w:val="none"/>
                <w:vertAlign w:val="baseline"/>
              </w:rPr>
            </w:pPr>
            <w:r>
              <w:rPr>
                <w:rFonts w:hint="eastAsia" w:ascii="宋体" w:hAnsi="宋体" w:cs="宋体"/>
                <w:b w:val="0"/>
                <w:bCs w:val="0"/>
                <w:color w:val="auto"/>
                <w:spacing w:val="-4"/>
                <w:sz w:val="21"/>
                <w:szCs w:val="21"/>
                <w:highlight w:val="none"/>
                <w:vertAlign w:val="baseline"/>
                <w:lang w:val="en-US" w:eastAsia="zh-CN"/>
              </w:rPr>
              <w:t>二</w:t>
            </w:r>
            <w:r>
              <w:rPr>
                <w:rFonts w:hint="eastAsia" w:ascii="宋体" w:hAnsi="宋体" w:eastAsia="宋体" w:cs="宋体"/>
                <w:b w:val="0"/>
                <w:bCs w:val="0"/>
                <w:color w:val="auto"/>
                <w:spacing w:val="-4"/>
                <w:sz w:val="21"/>
                <w:szCs w:val="21"/>
                <w:highlight w:val="none"/>
                <w:vertAlign w:val="baseline"/>
              </w:rPr>
              <w:t>档（</w:t>
            </w:r>
            <w:r>
              <w:rPr>
                <w:rFonts w:hint="eastAsia" w:ascii="宋体" w:hAnsi="宋体" w:cs="宋体"/>
                <w:b w:val="0"/>
                <w:bCs w:val="0"/>
                <w:color w:val="auto"/>
                <w:spacing w:val="-4"/>
                <w:sz w:val="21"/>
                <w:szCs w:val="21"/>
                <w:highlight w:val="none"/>
                <w:vertAlign w:val="baseline"/>
                <w:lang w:val="en-US" w:eastAsia="zh-CN"/>
              </w:rPr>
              <w:t>10</w:t>
            </w:r>
            <w:r>
              <w:rPr>
                <w:rFonts w:hint="eastAsia" w:ascii="宋体" w:hAnsi="宋体" w:eastAsia="宋体" w:cs="宋体"/>
                <w:b w:val="0"/>
                <w:bCs w:val="0"/>
                <w:color w:val="auto"/>
                <w:spacing w:val="-4"/>
                <w:sz w:val="21"/>
                <w:szCs w:val="21"/>
                <w:highlight w:val="none"/>
                <w:vertAlign w:val="baseline"/>
              </w:rPr>
              <w:t>分）：</w:t>
            </w:r>
            <w:r>
              <w:rPr>
                <w:rFonts w:hint="eastAsia" w:ascii="宋体" w:hAnsi="宋体" w:cs="宋体"/>
                <w:b w:val="0"/>
                <w:bCs w:val="0"/>
                <w:color w:val="auto"/>
                <w:spacing w:val="-4"/>
                <w:sz w:val="21"/>
                <w:szCs w:val="21"/>
                <w:highlight w:val="none"/>
                <w:vertAlign w:val="baseline"/>
                <w:lang w:val="en-US" w:eastAsia="zh-CN"/>
              </w:rPr>
              <w:t>在满足一档的基础上，</w:t>
            </w:r>
            <w:r>
              <w:rPr>
                <w:rFonts w:hint="eastAsia" w:ascii="宋体" w:hAnsi="宋体" w:eastAsia="宋体" w:cs="宋体"/>
                <w:b w:val="0"/>
                <w:bCs w:val="0"/>
                <w:color w:val="auto"/>
                <w:spacing w:val="-4"/>
                <w:sz w:val="21"/>
                <w:szCs w:val="21"/>
                <w:highlight w:val="none"/>
                <w:vertAlign w:val="baseline"/>
              </w:rPr>
              <w:t>提供的应急处理方案</w:t>
            </w:r>
            <w:r>
              <w:rPr>
                <w:rFonts w:hint="eastAsia" w:ascii="宋体" w:hAnsi="宋体" w:cs="宋体"/>
                <w:b w:val="0"/>
                <w:bCs w:val="0"/>
                <w:color w:val="auto"/>
                <w:spacing w:val="-4"/>
                <w:sz w:val="21"/>
                <w:szCs w:val="21"/>
                <w:highlight w:val="none"/>
                <w:vertAlign w:val="baseline"/>
                <w:lang w:val="en-US" w:eastAsia="zh-CN"/>
              </w:rPr>
              <w:t>有</w:t>
            </w:r>
            <w:r>
              <w:rPr>
                <w:rFonts w:hint="eastAsia" w:ascii="宋体" w:hAnsi="宋体" w:eastAsia="宋体" w:cs="宋体"/>
                <w:b w:val="0"/>
                <w:bCs w:val="0"/>
                <w:color w:val="auto"/>
                <w:spacing w:val="-4"/>
                <w:sz w:val="21"/>
                <w:szCs w:val="21"/>
                <w:highlight w:val="none"/>
                <w:vertAlign w:val="baseline"/>
                <w:lang w:val="en-US" w:eastAsia="zh-CN"/>
              </w:rPr>
              <w:t>应急预案风险分析、政策风险、技术风险</w:t>
            </w:r>
            <w:r>
              <w:rPr>
                <w:rFonts w:hint="eastAsia" w:ascii="宋体" w:hAnsi="宋体" w:cs="宋体"/>
                <w:b w:val="0"/>
                <w:bCs w:val="0"/>
                <w:color w:val="auto"/>
                <w:spacing w:val="-4"/>
                <w:sz w:val="21"/>
                <w:szCs w:val="21"/>
                <w:highlight w:val="none"/>
                <w:vertAlign w:val="baseline"/>
                <w:lang w:val="en-US" w:eastAsia="zh-CN"/>
              </w:rPr>
              <w:t>等内容，</w:t>
            </w:r>
            <w:r>
              <w:rPr>
                <w:rFonts w:hint="eastAsia" w:ascii="宋体" w:hAnsi="宋体" w:eastAsia="宋体" w:cs="宋体"/>
                <w:b w:val="0"/>
                <w:bCs w:val="0"/>
                <w:color w:val="auto"/>
                <w:spacing w:val="-4"/>
                <w:sz w:val="21"/>
                <w:szCs w:val="21"/>
                <w:highlight w:val="none"/>
                <w:vertAlign w:val="baseline"/>
                <w:lang w:val="en-US" w:eastAsia="zh-CN"/>
              </w:rPr>
              <w:t>社会风险处理方法</w:t>
            </w:r>
            <w:r>
              <w:rPr>
                <w:rFonts w:hint="eastAsia" w:ascii="宋体" w:hAnsi="宋体" w:eastAsia="宋体" w:cs="宋体"/>
                <w:b w:val="0"/>
                <w:bCs w:val="0"/>
                <w:color w:val="auto"/>
                <w:spacing w:val="-4"/>
                <w:sz w:val="21"/>
                <w:szCs w:val="21"/>
                <w:highlight w:val="none"/>
                <w:vertAlign w:val="baseline"/>
              </w:rPr>
              <w:t>能够在保障完成服务需求中的内容的同时也能够应对突发或意外情况。</w:t>
            </w:r>
          </w:p>
          <w:p w14:paraId="66AC5150">
            <w:pPr>
              <w:shd w:val="clear"/>
              <w:spacing w:line="360" w:lineRule="auto"/>
              <w:ind w:firstLine="404" w:firstLineChars="200"/>
              <w:rPr>
                <w:rFonts w:hint="eastAsia" w:ascii="宋体" w:hAnsi="宋体" w:eastAsia="宋体" w:cs="宋体"/>
                <w:b w:val="0"/>
                <w:bCs w:val="0"/>
                <w:color w:val="auto"/>
                <w:spacing w:val="-4"/>
                <w:sz w:val="21"/>
                <w:szCs w:val="21"/>
                <w:highlight w:val="none"/>
                <w:vertAlign w:val="baseline"/>
                <w:lang w:eastAsia="zh-CN"/>
              </w:rPr>
            </w:pPr>
            <w:r>
              <w:rPr>
                <w:rFonts w:hint="eastAsia" w:ascii="宋体" w:hAnsi="宋体" w:cs="宋体"/>
                <w:b w:val="0"/>
                <w:bCs w:val="0"/>
                <w:color w:val="auto"/>
                <w:spacing w:val="-4"/>
                <w:sz w:val="21"/>
                <w:szCs w:val="21"/>
                <w:highlight w:val="none"/>
                <w:vertAlign w:val="baseline"/>
                <w:lang w:val="en-US" w:eastAsia="zh-CN"/>
              </w:rPr>
              <w:t>三</w:t>
            </w:r>
            <w:r>
              <w:rPr>
                <w:rFonts w:hint="eastAsia" w:ascii="宋体" w:hAnsi="宋体" w:eastAsia="宋体" w:cs="宋体"/>
                <w:b w:val="0"/>
                <w:bCs w:val="0"/>
                <w:color w:val="auto"/>
                <w:spacing w:val="-4"/>
                <w:sz w:val="21"/>
                <w:szCs w:val="21"/>
                <w:highlight w:val="none"/>
                <w:vertAlign w:val="baseline"/>
              </w:rPr>
              <w:t>档（</w:t>
            </w:r>
            <w:r>
              <w:rPr>
                <w:rFonts w:hint="eastAsia" w:ascii="宋体" w:hAnsi="宋体" w:cs="宋体"/>
                <w:b w:val="0"/>
                <w:bCs w:val="0"/>
                <w:color w:val="auto"/>
                <w:spacing w:val="-4"/>
                <w:sz w:val="21"/>
                <w:szCs w:val="21"/>
                <w:highlight w:val="none"/>
                <w:vertAlign w:val="baseline"/>
                <w:lang w:val="en-US" w:eastAsia="zh-CN"/>
              </w:rPr>
              <w:t>15</w:t>
            </w:r>
            <w:r>
              <w:rPr>
                <w:rFonts w:hint="eastAsia" w:ascii="宋体" w:hAnsi="宋体" w:eastAsia="宋体" w:cs="宋体"/>
                <w:b w:val="0"/>
                <w:bCs w:val="0"/>
                <w:color w:val="auto"/>
                <w:spacing w:val="-4"/>
                <w:sz w:val="21"/>
                <w:szCs w:val="21"/>
                <w:highlight w:val="none"/>
                <w:vertAlign w:val="baseline"/>
              </w:rPr>
              <w:t>分）</w:t>
            </w:r>
            <w:r>
              <w:rPr>
                <w:rFonts w:hint="eastAsia" w:ascii="宋体" w:hAnsi="宋体" w:cs="宋体"/>
                <w:b w:val="0"/>
                <w:bCs w:val="0"/>
                <w:color w:val="auto"/>
                <w:spacing w:val="-4"/>
                <w:sz w:val="21"/>
                <w:szCs w:val="21"/>
                <w:highlight w:val="none"/>
                <w:vertAlign w:val="baseline"/>
                <w:lang w:eastAsia="zh-CN"/>
              </w:rPr>
              <w:t>：</w:t>
            </w:r>
            <w:r>
              <w:rPr>
                <w:rFonts w:hint="eastAsia" w:ascii="宋体" w:hAnsi="宋体" w:cs="宋体"/>
                <w:b w:val="0"/>
                <w:bCs w:val="0"/>
                <w:color w:val="auto"/>
                <w:spacing w:val="-4"/>
                <w:sz w:val="21"/>
                <w:szCs w:val="21"/>
                <w:highlight w:val="none"/>
                <w:vertAlign w:val="baseline"/>
                <w:lang w:val="en-US" w:eastAsia="zh-CN"/>
              </w:rPr>
              <w:t>在满足二档的基础上，</w:t>
            </w:r>
            <w:r>
              <w:rPr>
                <w:rFonts w:hint="eastAsia" w:ascii="宋体" w:hAnsi="宋体" w:eastAsia="宋体" w:cs="宋体"/>
                <w:b w:val="0"/>
                <w:bCs w:val="0"/>
                <w:color w:val="auto"/>
                <w:spacing w:val="-4"/>
                <w:sz w:val="21"/>
                <w:szCs w:val="21"/>
                <w:highlight w:val="none"/>
                <w:vertAlign w:val="baseline"/>
              </w:rPr>
              <w:t>提供</w:t>
            </w:r>
            <w:r>
              <w:rPr>
                <w:rFonts w:hint="eastAsia" w:ascii="宋体" w:hAnsi="宋体" w:cs="宋体"/>
                <w:b w:val="0"/>
                <w:bCs w:val="0"/>
                <w:color w:val="auto"/>
                <w:spacing w:val="-4"/>
                <w:sz w:val="21"/>
                <w:szCs w:val="21"/>
                <w:highlight w:val="none"/>
                <w:vertAlign w:val="baseline"/>
                <w:lang w:val="en-US" w:eastAsia="zh-CN"/>
              </w:rPr>
              <w:t>有</w:t>
            </w:r>
            <w:r>
              <w:rPr>
                <w:rFonts w:hint="eastAsia" w:ascii="宋体" w:hAnsi="宋体" w:eastAsia="宋体" w:cs="宋体"/>
                <w:b w:val="0"/>
                <w:bCs w:val="0"/>
                <w:color w:val="auto"/>
                <w:spacing w:val="-4"/>
                <w:sz w:val="21"/>
                <w:szCs w:val="21"/>
                <w:highlight w:val="none"/>
                <w:vertAlign w:val="baseline"/>
              </w:rPr>
              <w:t>应急处理及风险管控专项方案，并能</w:t>
            </w:r>
            <w:r>
              <w:rPr>
                <w:rFonts w:hint="eastAsia" w:ascii="宋体" w:hAnsi="宋体" w:cs="宋体"/>
                <w:b w:val="0"/>
                <w:bCs w:val="0"/>
                <w:color w:val="auto"/>
                <w:spacing w:val="-4"/>
                <w:sz w:val="21"/>
                <w:szCs w:val="21"/>
                <w:highlight w:val="none"/>
                <w:vertAlign w:val="baseline"/>
                <w:lang w:val="en-US" w:eastAsia="zh-CN"/>
              </w:rPr>
              <w:t>提出</w:t>
            </w:r>
            <w:r>
              <w:rPr>
                <w:rFonts w:hint="eastAsia" w:ascii="宋体" w:hAnsi="宋体" w:eastAsia="宋体" w:cs="宋体"/>
                <w:b w:val="0"/>
                <w:bCs w:val="0"/>
                <w:color w:val="auto"/>
                <w:spacing w:val="-4"/>
                <w:sz w:val="21"/>
                <w:szCs w:val="21"/>
                <w:highlight w:val="none"/>
                <w:vertAlign w:val="baseline"/>
                <w:lang w:val="en-US" w:eastAsia="zh-CN"/>
              </w:rPr>
              <w:t>项目实施风险</w:t>
            </w:r>
            <w:r>
              <w:rPr>
                <w:rFonts w:hint="eastAsia" w:ascii="宋体" w:hAnsi="宋体" w:cs="宋体"/>
                <w:b w:val="0"/>
                <w:bCs w:val="0"/>
                <w:color w:val="auto"/>
                <w:spacing w:val="-4"/>
                <w:sz w:val="21"/>
                <w:szCs w:val="21"/>
                <w:highlight w:val="none"/>
                <w:vertAlign w:val="baseline"/>
                <w:lang w:val="en-US" w:eastAsia="zh-CN"/>
              </w:rPr>
              <w:t>应对</w:t>
            </w:r>
            <w:r>
              <w:rPr>
                <w:rFonts w:hint="eastAsia" w:ascii="宋体" w:hAnsi="宋体" w:eastAsia="宋体" w:cs="宋体"/>
                <w:b w:val="0"/>
                <w:bCs w:val="0"/>
                <w:color w:val="auto"/>
                <w:spacing w:val="-4"/>
                <w:sz w:val="21"/>
                <w:szCs w:val="21"/>
                <w:highlight w:val="none"/>
                <w:vertAlign w:val="baseline"/>
                <w:lang w:val="en-US" w:eastAsia="zh-CN"/>
              </w:rPr>
              <w:t>措施、作业后风险管控措施</w:t>
            </w:r>
            <w:r>
              <w:rPr>
                <w:rFonts w:hint="eastAsia" w:ascii="宋体" w:hAnsi="宋体" w:cs="宋体"/>
                <w:b w:val="0"/>
                <w:bCs w:val="0"/>
                <w:color w:val="auto"/>
                <w:spacing w:val="-4"/>
                <w:sz w:val="21"/>
                <w:szCs w:val="21"/>
                <w:highlight w:val="none"/>
                <w:vertAlign w:val="baseline"/>
                <w:lang w:val="en-US" w:eastAsia="zh-CN"/>
              </w:rPr>
              <w:t>，有</w:t>
            </w:r>
            <w:r>
              <w:rPr>
                <w:rFonts w:hint="eastAsia" w:ascii="宋体" w:hAnsi="宋体" w:eastAsia="宋体" w:cs="宋体"/>
                <w:b w:val="0"/>
                <w:bCs w:val="0"/>
                <w:color w:val="auto"/>
                <w:spacing w:val="-4"/>
                <w:sz w:val="21"/>
                <w:szCs w:val="21"/>
                <w:highlight w:val="none"/>
                <w:vertAlign w:val="baseline"/>
              </w:rPr>
              <w:t xml:space="preserve">合理的规划安排， </w:t>
            </w:r>
            <w:r>
              <w:rPr>
                <w:rFonts w:hint="eastAsia" w:ascii="宋体" w:hAnsi="宋体" w:cs="宋体"/>
                <w:b w:val="0"/>
                <w:bCs w:val="0"/>
                <w:color w:val="auto"/>
                <w:spacing w:val="-4"/>
                <w:sz w:val="21"/>
                <w:szCs w:val="21"/>
                <w:highlight w:val="none"/>
                <w:vertAlign w:val="baseline"/>
                <w:lang w:val="en-US" w:eastAsia="zh-CN"/>
              </w:rPr>
              <w:t>且</w:t>
            </w:r>
            <w:r>
              <w:rPr>
                <w:rFonts w:hint="eastAsia" w:ascii="宋体" w:hAnsi="宋体" w:eastAsia="宋体" w:cs="宋体"/>
                <w:b w:val="0"/>
                <w:bCs w:val="0"/>
                <w:color w:val="auto"/>
                <w:spacing w:val="-4"/>
                <w:sz w:val="21"/>
                <w:szCs w:val="21"/>
                <w:highlight w:val="none"/>
                <w:vertAlign w:val="baseline"/>
              </w:rPr>
              <w:t>利于提升本项目服务质量</w:t>
            </w:r>
            <w:r>
              <w:rPr>
                <w:rFonts w:hint="eastAsia" w:ascii="宋体" w:hAnsi="宋体" w:cs="宋体"/>
                <w:b w:val="0"/>
                <w:bCs w:val="0"/>
                <w:color w:val="auto"/>
                <w:spacing w:val="-4"/>
                <w:sz w:val="21"/>
                <w:szCs w:val="21"/>
                <w:highlight w:val="none"/>
                <w:vertAlign w:val="baseline"/>
                <w:lang w:eastAsia="zh-CN"/>
              </w:rPr>
              <w:t>。</w:t>
            </w:r>
          </w:p>
          <w:p w14:paraId="59988D8D">
            <w:pPr>
              <w:shd w:val="clear"/>
              <w:spacing w:line="360" w:lineRule="auto"/>
              <w:ind w:firstLine="420" w:firstLineChars="200"/>
              <w:rPr>
                <w:rFonts w:hint="eastAsia" w:hAnsi="宋体" w:cs="宋体"/>
                <w:color w:val="auto"/>
                <w:szCs w:val="21"/>
                <w:highlight w:val="none"/>
              </w:rPr>
            </w:pPr>
            <w:r>
              <w:rPr>
                <w:rFonts w:hint="eastAsia" w:ascii="宋体" w:hAnsi="宋体" w:cs="宋体"/>
                <w:bCs/>
                <w:color w:val="auto"/>
                <w:szCs w:val="21"/>
                <w:highlight w:val="none"/>
              </w:rPr>
              <w:t>注：未提供方案的或经评委评审所提供的方案内容未达一档标准的，得0分。</w:t>
            </w:r>
          </w:p>
        </w:tc>
      </w:tr>
      <w:tr w14:paraId="7D62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left w:val="single" w:color="auto" w:sz="4" w:space="0"/>
              <w:right w:val="single" w:color="auto" w:sz="4" w:space="0"/>
            </w:tcBorders>
            <w:noWrap/>
            <w:vAlign w:val="center"/>
          </w:tcPr>
          <w:p w14:paraId="3D44549C">
            <w:pPr>
              <w:shd w:val="clear"/>
              <w:adjustRightInd w:val="0"/>
              <w:spacing w:line="360" w:lineRule="auto"/>
              <w:jc w:val="center"/>
              <w:textAlignment w:val="baseline"/>
              <w:rPr>
                <w:rFonts w:hint="eastAsia" w:ascii="宋体" w:hAnsi="宋体" w:cs="宋体"/>
                <w:color w:val="auto"/>
                <w:szCs w:val="21"/>
                <w:highlight w:val="none"/>
              </w:rPr>
            </w:pPr>
            <w:bookmarkStart w:id="83" w:name="_Toc4298"/>
          </w:p>
        </w:tc>
        <w:tc>
          <w:tcPr>
            <w:tcW w:w="1356" w:type="dxa"/>
            <w:vMerge w:val="continue"/>
            <w:tcBorders>
              <w:left w:val="single" w:color="auto" w:sz="4" w:space="0"/>
              <w:right w:val="single" w:color="auto" w:sz="4" w:space="0"/>
            </w:tcBorders>
            <w:noWrap/>
            <w:vAlign w:val="center"/>
          </w:tcPr>
          <w:p w14:paraId="5884A59F">
            <w:pPr>
              <w:shd w:val="clear"/>
              <w:spacing w:line="360" w:lineRule="auto"/>
              <w:jc w:val="center"/>
              <w:rPr>
                <w:rFonts w:hint="eastAsia" w:ascii="宋体" w:hAnsi="宋体" w:cs="宋体"/>
                <w:bCs/>
                <w:color w:val="auto"/>
                <w:szCs w:val="21"/>
                <w:highlight w:val="none"/>
              </w:rPr>
            </w:pPr>
          </w:p>
        </w:tc>
        <w:tc>
          <w:tcPr>
            <w:tcW w:w="7761" w:type="dxa"/>
            <w:tcBorders>
              <w:top w:val="single" w:color="auto" w:sz="4" w:space="0"/>
              <w:left w:val="single" w:color="auto" w:sz="4" w:space="0"/>
              <w:bottom w:val="single" w:color="auto" w:sz="4" w:space="0"/>
              <w:right w:val="single" w:color="auto" w:sz="4" w:space="0"/>
            </w:tcBorders>
            <w:noWrap/>
          </w:tcPr>
          <w:p w14:paraId="5CF49F77">
            <w:pPr>
              <w:numPr>
                <w:ilvl w:val="0"/>
                <w:numId w:val="3"/>
              </w:numPr>
              <w:shd w:val="clear"/>
              <w:spacing w:line="360" w:lineRule="auto"/>
              <w:rPr>
                <w:rFonts w:hint="eastAsia" w:ascii="宋体" w:hAnsi="宋体" w:cs="宋体"/>
                <w:b/>
                <w:bCs w:val="0"/>
                <w:color w:val="auto"/>
                <w:szCs w:val="21"/>
                <w:highlight w:val="none"/>
                <w:lang w:val="en-US" w:eastAsia="zh-CN"/>
              </w:rPr>
            </w:pPr>
            <w:r>
              <w:rPr>
                <w:rFonts w:hint="eastAsia" w:ascii="宋体" w:hAnsi="宋体" w:cs="宋体"/>
                <w:b/>
                <w:bCs w:val="0"/>
                <w:color w:val="auto"/>
                <w:szCs w:val="21"/>
                <w:highlight w:val="none"/>
                <w:lang w:val="en-US" w:eastAsia="zh-CN"/>
              </w:rPr>
              <w:t>服务承诺（满分15分）</w:t>
            </w:r>
          </w:p>
          <w:p w14:paraId="03147EBE">
            <w:pPr>
              <w:pStyle w:val="19"/>
              <w:numPr>
                <w:ilvl w:val="0"/>
                <w:numId w:val="0"/>
              </w:numPr>
              <w:shd w:val="clear"/>
              <w:ind w:firstLine="420" w:firstLineChars="200"/>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一</w:t>
            </w:r>
            <w:r>
              <w:rPr>
                <w:rFonts w:hint="default" w:ascii="宋体" w:hAnsi="宋体" w:eastAsia="宋体" w:cs="宋体"/>
                <w:bCs/>
                <w:color w:val="auto"/>
                <w:kern w:val="2"/>
                <w:sz w:val="21"/>
                <w:szCs w:val="21"/>
                <w:highlight w:val="none"/>
                <w:lang w:val="en-US" w:eastAsia="zh-CN" w:bidi="ar-SA"/>
              </w:rPr>
              <w:t>档（</w:t>
            </w:r>
            <w:r>
              <w:rPr>
                <w:rFonts w:hint="eastAsia" w:ascii="宋体" w:hAnsi="宋体" w:cs="宋体"/>
                <w:bCs/>
                <w:color w:val="auto"/>
                <w:kern w:val="2"/>
                <w:sz w:val="21"/>
                <w:szCs w:val="21"/>
                <w:highlight w:val="none"/>
                <w:lang w:val="en-US" w:eastAsia="zh-CN" w:bidi="ar-SA"/>
              </w:rPr>
              <w:t>5</w:t>
            </w:r>
            <w:r>
              <w:rPr>
                <w:rFonts w:hint="default" w:ascii="宋体" w:hAnsi="宋体" w:eastAsia="宋体" w:cs="宋体"/>
                <w:bCs/>
                <w:color w:val="auto"/>
                <w:kern w:val="2"/>
                <w:sz w:val="21"/>
                <w:szCs w:val="21"/>
                <w:highlight w:val="none"/>
                <w:lang w:val="en-US" w:eastAsia="zh-CN" w:bidi="ar-SA"/>
              </w:rPr>
              <w:t>分）：服务承诺内容基本完整，服务承诺有实现功能要求的基本解决方案、措施，能保证项目质量进度，承诺接到采购人处理问题通知后20小时内到达采购人指定现场。</w:t>
            </w:r>
          </w:p>
          <w:p w14:paraId="66CD9D74">
            <w:pPr>
              <w:pStyle w:val="19"/>
              <w:numPr>
                <w:ilvl w:val="0"/>
                <w:numId w:val="0"/>
              </w:numPr>
              <w:shd w:val="clear"/>
              <w:ind w:firstLine="420" w:firstLineChars="200"/>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二</w:t>
            </w:r>
            <w:r>
              <w:rPr>
                <w:rFonts w:hint="default" w:ascii="宋体" w:hAnsi="宋体" w:eastAsia="宋体" w:cs="宋体"/>
                <w:bCs/>
                <w:color w:val="auto"/>
                <w:kern w:val="2"/>
                <w:sz w:val="21"/>
                <w:szCs w:val="21"/>
                <w:highlight w:val="none"/>
                <w:lang w:val="en-US" w:eastAsia="zh-CN" w:bidi="ar-SA"/>
              </w:rPr>
              <w:t>档 （</w:t>
            </w:r>
            <w:r>
              <w:rPr>
                <w:rFonts w:hint="eastAsia" w:ascii="宋体" w:hAnsi="宋体" w:cs="宋体"/>
                <w:bCs/>
                <w:color w:val="auto"/>
                <w:kern w:val="2"/>
                <w:sz w:val="21"/>
                <w:szCs w:val="21"/>
                <w:highlight w:val="none"/>
                <w:lang w:val="en-US" w:eastAsia="zh-CN" w:bidi="ar-SA"/>
              </w:rPr>
              <w:t>10</w:t>
            </w:r>
            <w:r>
              <w:rPr>
                <w:rFonts w:hint="default" w:ascii="宋体" w:hAnsi="宋体" w:eastAsia="宋体" w:cs="宋体"/>
                <w:bCs/>
                <w:color w:val="auto"/>
                <w:kern w:val="2"/>
                <w:sz w:val="21"/>
                <w:szCs w:val="21"/>
                <w:highlight w:val="none"/>
                <w:lang w:val="en-US" w:eastAsia="zh-CN" w:bidi="ar-SA"/>
              </w:rPr>
              <w:t>分）：服务承诺内容具体，服务承诺有实现功能要求的解决方案、措施，能保证项目质量进度，设置有专门的售后服务机构（或承诺成交后成立），承诺接到采购人处理问题通知后16小时内到达采购人指定现场。</w:t>
            </w:r>
          </w:p>
          <w:p w14:paraId="1ACE57F7">
            <w:pPr>
              <w:pStyle w:val="19"/>
              <w:numPr>
                <w:ilvl w:val="0"/>
                <w:numId w:val="0"/>
              </w:numPr>
              <w:shd w:val="clear"/>
              <w:ind w:firstLine="420" w:firstLineChars="200"/>
              <w:rPr>
                <w:rFonts w:hint="default"/>
                <w:color w:val="auto"/>
                <w:highlight w:val="none"/>
                <w:lang w:val="en-US" w:eastAsia="zh-CN"/>
              </w:rPr>
            </w:pPr>
            <w:r>
              <w:rPr>
                <w:rFonts w:hint="eastAsia" w:ascii="宋体" w:hAnsi="宋体" w:cs="宋体"/>
                <w:bCs/>
                <w:color w:val="auto"/>
                <w:kern w:val="2"/>
                <w:sz w:val="21"/>
                <w:szCs w:val="21"/>
                <w:highlight w:val="none"/>
                <w:lang w:val="en-US" w:eastAsia="zh-CN" w:bidi="ar-SA"/>
              </w:rPr>
              <w:t>三</w:t>
            </w:r>
            <w:r>
              <w:rPr>
                <w:rFonts w:hint="default" w:ascii="宋体" w:hAnsi="宋体" w:eastAsia="宋体" w:cs="宋体"/>
                <w:bCs/>
                <w:color w:val="auto"/>
                <w:kern w:val="2"/>
                <w:sz w:val="21"/>
                <w:szCs w:val="21"/>
                <w:highlight w:val="none"/>
                <w:lang w:val="en-US" w:eastAsia="zh-CN" w:bidi="ar-SA"/>
              </w:rPr>
              <w:t>档 （</w:t>
            </w:r>
            <w:r>
              <w:rPr>
                <w:rFonts w:hint="eastAsia" w:ascii="宋体" w:hAnsi="宋体" w:cs="宋体"/>
                <w:bCs/>
                <w:color w:val="auto"/>
                <w:kern w:val="2"/>
                <w:sz w:val="21"/>
                <w:szCs w:val="21"/>
                <w:highlight w:val="none"/>
                <w:lang w:val="en-US" w:eastAsia="zh-CN" w:bidi="ar-SA"/>
              </w:rPr>
              <w:t>15</w:t>
            </w:r>
            <w:r>
              <w:rPr>
                <w:rFonts w:hint="default" w:ascii="宋体" w:hAnsi="宋体" w:eastAsia="宋体" w:cs="宋体"/>
                <w:bCs/>
                <w:color w:val="auto"/>
                <w:kern w:val="2"/>
                <w:sz w:val="21"/>
                <w:szCs w:val="21"/>
                <w:highlight w:val="none"/>
                <w:lang w:val="en-US" w:eastAsia="zh-CN" w:bidi="ar-SA"/>
              </w:rPr>
              <w:t>分）：服务承诺内容详细，服务承诺有实现功能要求的具体解决方案、具体措施，能保证项目质量进度，设置有专门的售后服务机构（或承诺成交后成立），</w:t>
            </w:r>
            <w:r>
              <w:rPr>
                <w:rFonts w:hint="eastAsia" w:ascii="宋体" w:hAnsi="宋体" w:cs="宋体"/>
                <w:bCs/>
                <w:color w:val="auto"/>
                <w:kern w:val="2"/>
                <w:sz w:val="21"/>
                <w:szCs w:val="21"/>
                <w:highlight w:val="none"/>
                <w:lang w:val="en-US" w:eastAsia="zh-CN" w:bidi="ar-SA"/>
              </w:rPr>
              <w:t>承诺</w:t>
            </w:r>
            <w:r>
              <w:rPr>
                <w:rFonts w:hint="default" w:ascii="宋体" w:hAnsi="宋体" w:eastAsia="宋体" w:cs="宋体"/>
                <w:bCs/>
                <w:color w:val="auto"/>
                <w:kern w:val="2"/>
                <w:sz w:val="21"/>
                <w:szCs w:val="21"/>
                <w:highlight w:val="none"/>
                <w:lang w:val="en-US" w:eastAsia="zh-CN" w:bidi="ar-SA"/>
              </w:rPr>
              <w:t>能安排有项目人员常驻项目所在地负责服务工作，承诺接到采购人处理问题通知后12小时内到达采购人指定现场。</w:t>
            </w:r>
          </w:p>
        </w:tc>
      </w:tr>
      <w:tr w14:paraId="5E4E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671" w:type="dxa"/>
            <w:tcBorders>
              <w:top w:val="single" w:color="auto" w:sz="4" w:space="0"/>
              <w:left w:val="single" w:color="auto" w:sz="4" w:space="0"/>
              <w:right w:val="single" w:color="auto" w:sz="4" w:space="0"/>
            </w:tcBorders>
            <w:noWrap/>
            <w:vAlign w:val="center"/>
          </w:tcPr>
          <w:p w14:paraId="2DEDB6F6">
            <w:pPr>
              <w:pStyle w:val="27"/>
              <w:shd w:val="clear"/>
              <w:spacing w:line="360" w:lineRule="auto"/>
              <w:jc w:val="center"/>
              <w:outlineLvl w:val="0"/>
              <w:rPr>
                <w:rFonts w:hint="eastAsia" w:hAnsi="宋体" w:cs="宋体"/>
                <w:color w:val="auto"/>
                <w:highlight w:val="none"/>
              </w:rPr>
            </w:pPr>
            <w:r>
              <w:rPr>
                <w:rFonts w:hint="eastAsia" w:hAnsi="宋体" w:cs="宋体"/>
                <w:color w:val="auto"/>
                <w:highlight w:val="none"/>
              </w:rPr>
              <w:t>3</w:t>
            </w:r>
            <w:bookmarkEnd w:id="83"/>
          </w:p>
        </w:tc>
        <w:tc>
          <w:tcPr>
            <w:tcW w:w="1356" w:type="dxa"/>
            <w:tcBorders>
              <w:top w:val="single" w:color="auto" w:sz="4" w:space="0"/>
              <w:left w:val="single" w:color="auto" w:sz="4" w:space="0"/>
              <w:right w:val="single" w:color="auto" w:sz="4" w:space="0"/>
            </w:tcBorders>
            <w:noWrap/>
            <w:vAlign w:val="center"/>
          </w:tcPr>
          <w:p w14:paraId="1390B79D">
            <w:pPr>
              <w:shd w:val="clear"/>
              <w:spacing w:line="360" w:lineRule="auto"/>
              <w:jc w:val="center"/>
              <w:rPr>
                <w:rFonts w:hint="eastAsia" w:ascii="宋体" w:hAnsi="宋体" w:cs="宋体"/>
                <w:bCs/>
                <w:color w:val="auto"/>
                <w:szCs w:val="21"/>
                <w:highlight w:val="none"/>
              </w:rPr>
            </w:pPr>
            <w:r>
              <w:rPr>
                <w:rFonts w:hint="eastAsia" w:ascii="宋体" w:hAnsi="宋体" w:cs="宋体"/>
                <w:b/>
                <w:color w:val="auto"/>
                <w:szCs w:val="21"/>
                <w:highlight w:val="none"/>
              </w:rPr>
              <w:t>商务分（10分）</w:t>
            </w:r>
          </w:p>
        </w:tc>
        <w:tc>
          <w:tcPr>
            <w:tcW w:w="7761" w:type="dxa"/>
            <w:tcBorders>
              <w:top w:val="single" w:color="auto" w:sz="4" w:space="0"/>
              <w:left w:val="single" w:color="auto" w:sz="4" w:space="0"/>
              <w:right w:val="single" w:color="auto" w:sz="4" w:space="0"/>
            </w:tcBorders>
            <w:noWrap/>
            <w:vAlign w:val="center"/>
          </w:tcPr>
          <w:p w14:paraId="31E0B703">
            <w:pPr>
              <w:pStyle w:val="21"/>
              <w:shd w:val="clear"/>
              <w:spacing w:after="0" w:line="420" w:lineRule="exact"/>
              <w:ind w:left="0" w:leftChars="0" w:firstLine="0" w:firstLineChars="0"/>
              <w:rPr>
                <w:rFonts w:hint="eastAsia" w:ascii="宋体" w:hAnsi="宋体"/>
                <w:b/>
                <w:bCs/>
                <w:color w:val="auto"/>
                <w:szCs w:val="21"/>
                <w:highlight w:val="none"/>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业绩分（满分</w:t>
            </w:r>
            <w:r>
              <w:rPr>
                <w:rFonts w:hint="eastAsia" w:ascii="宋体" w:hAnsi="宋体"/>
                <w:b/>
                <w:bCs/>
                <w:color w:val="auto"/>
                <w:szCs w:val="21"/>
                <w:highlight w:val="none"/>
                <w:lang w:val="en-US" w:eastAsia="zh-CN"/>
              </w:rPr>
              <w:t>4</w:t>
            </w:r>
            <w:r>
              <w:rPr>
                <w:rFonts w:hint="eastAsia" w:ascii="宋体" w:hAnsi="宋体"/>
                <w:b/>
                <w:bCs/>
                <w:color w:val="auto"/>
                <w:szCs w:val="21"/>
                <w:highlight w:val="none"/>
              </w:rPr>
              <w:t>分）：</w:t>
            </w:r>
            <w:bookmarkStart w:id="84" w:name="OLE_LINK3"/>
          </w:p>
          <w:bookmarkEnd w:id="84"/>
          <w:p w14:paraId="14D9B1AE">
            <w:pPr>
              <w:pStyle w:val="21"/>
              <w:shd w:val="clear"/>
              <w:spacing w:after="0" w:line="420" w:lineRule="exact"/>
              <w:ind w:left="0" w:leftChars="0"/>
              <w:rPr>
                <w:rFonts w:hint="eastAsia" w:ascii="宋体" w:hAnsi="宋体" w:eastAsia="宋体"/>
                <w:b/>
                <w:bCs/>
                <w:color w:val="auto"/>
                <w:szCs w:val="21"/>
                <w:highlight w:val="none"/>
                <w:lang w:eastAsia="zh-CN"/>
              </w:rPr>
            </w:pPr>
            <w:r>
              <w:rPr>
                <w:rFonts w:hint="eastAsia" w:ascii="宋体" w:hAnsi="宋体"/>
                <w:color w:val="auto"/>
                <w:szCs w:val="21"/>
                <w:highlight w:val="none"/>
                <w:lang w:val="en-US" w:eastAsia="zh-CN"/>
              </w:rPr>
              <w:t>自</w:t>
            </w:r>
            <w:r>
              <w:rPr>
                <w:rFonts w:ascii="宋体" w:hAnsi="宋体"/>
                <w:color w:val="auto"/>
                <w:szCs w:val="21"/>
                <w:highlight w:val="none"/>
              </w:rPr>
              <w:t>202</w:t>
            </w:r>
            <w:r>
              <w:rPr>
                <w:rFonts w:hint="eastAsia" w:ascii="宋体" w:hAnsi="宋体"/>
                <w:color w:val="auto"/>
                <w:szCs w:val="21"/>
                <w:highlight w:val="none"/>
              </w:rPr>
              <w:t>3</w:t>
            </w:r>
            <w:r>
              <w:rPr>
                <w:rFonts w:ascii="宋体" w:hAnsi="宋体"/>
                <w:color w:val="auto"/>
                <w:szCs w:val="21"/>
                <w:highlight w:val="none"/>
              </w:rPr>
              <w:t>年1月1日</w:t>
            </w:r>
            <w:r>
              <w:rPr>
                <w:rFonts w:hint="eastAsia" w:ascii="宋体" w:hAnsi="宋体"/>
                <w:color w:val="auto"/>
                <w:szCs w:val="21"/>
                <w:highlight w:val="none"/>
                <w:lang w:val="en-US" w:eastAsia="zh-CN"/>
              </w:rPr>
              <w:t>以来</w:t>
            </w:r>
            <w:r>
              <w:rPr>
                <w:rFonts w:ascii="宋体" w:hAnsi="宋体"/>
                <w:color w:val="auto"/>
                <w:szCs w:val="21"/>
                <w:highlight w:val="none"/>
              </w:rPr>
              <w:t>，</w:t>
            </w:r>
            <w:r>
              <w:rPr>
                <w:rFonts w:hint="eastAsia" w:ascii="宋体" w:hAnsi="宋体"/>
                <w:color w:val="auto"/>
                <w:szCs w:val="21"/>
                <w:highlight w:val="none"/>
              </w:rPr>
              <w:t>供应商</w:t>
            </w:r>
            <w:r>
              <w:rPr>
                <w:rFonts w:ascii="宋体" w:hAnsi="宋体"/>
                <w:color w:val="auto"/>
                <w:szCs w:val="21"/>
                <w:highlight w:val="none"/>
              </w:rPr>
              <w:t>具有同类</w:t>
            </w:r>
            <w:r>
              <w:rPr>
                <w:rFonts w:hint="eastAsia" w:ascii="宋体" w:hAnsi="宋体"/>
                <w:color w:val="auto"/>
                <w:szCs w:val="21"/>
                <w:highlight w:val="none"/>
                <w:lang w:val="en-US" w:eastAsia="zh-CN"/>
              </w:rPr>
              <w:t>农用地安全利用相关项目</w:t>
            </w:r>
            <w:r>
              <w:rPr>
                <w:rFonts w:ascii="宋体" w:hAnsi="宋体"/>
                <w:color w:val="auto"/>
                <w:szCs w:val="21"/>
                <w:highlight w:val="none"/>
              </w:rPr>
              <w:t>业绩的，每个得2分，满分</w:t>
            </w:r>
            <w:r>
              <w:rPr>
                <w:rFonts w:hint="eastAsia" w:ascii="宋体" w:hAnsi="宋体"/>
                <w:color w:val="auto"/>
                <w:szCs w:val="21"/>
                <w:highlight w:val="none"/>
                <w:lang w:val="en-US" w:eastAsia="zh-CN"/>
              </w:rPr>
              <w:t>4</w:t>
            </w:r>
            <w:r>
              <w:rPr>
                <w:rFonts w:ascii="宋体" w:hAnsi="宋体"/>
                <w:color w:val="auto"/>
                <w:szCs w:val="21"/>
                <w:highlight w:val="none"/>
              </w:rPr>
              <w:t>分</w:t>
            </w:r>
            <w:r>
              <w:rPr>
                <w:rFonts w:hint="eastAsia" w:ascii="宋体" w:hAnsi="宋体"/>
                <w:color w:val="auto"/>
                <w:szCs w:val="21"/>
                <w:highlight w:val="none"/>
                <w:lang w:eastAsia="zh-CN"/>
              </w:rPr>
              <w:t>。</w:t>
            </w:r>
            <w:r>
              <w:rPr>
                <w:rFonts w:ascii="宋体" w:hAnsi="宋体"/>
                <w:color w:val="auto"/>
                <w:szCs w:val="21"/>
                <w:highlight w:val="none"/>
              </w:rPr>
              <w:t>（以合同签订日期或中标（成交）通知书发出日期为准）</w:t>
            </w:r>
          </w:p>
          <w:p w14:paraId="7E820D8A">
            <w:pPr>
              <w:pStyle w:val="21"/>
              <w:shd w:val="clear"/>
              <w:spacing w:after="0" w:line="420" w:lineRule="exact"/>
              <w:ind w:left="0" w:leftChars="0"/>
              <w:rPr>
                <w:rFonts w:ascii="宋体" w:hAnsi="宋体"/>
                <w:color w:val="auto"/>
                <w:szCs w:val="21"/>
                <w:highlight w:val="none"/>
              </w:rPr>
            </w:pPr>
            <w:r>
              <w:rPr>
                <w:rFonts w:ascii="宋体" w:hAnsi="宋体"/>
                <w:color w:val="auto"/>
                <w:szCs w:val="21"/>
                <w:highlight w:val="none"/>
              </w:rPr>
              <w:t>注：</w:t>
            </w:r>
            <w:r>
              <w:rPr>
                <w:rFonts w:hint="eastAsia" w:ascii="宋体" w:hAnsi="宋体"/>
                <w:color w:val="auto"/>
                <w:szCs w:val="21"/>
                <w:highlight w:val="none"/>
              </w:rPr>
              <w:t>响应</w:t>
            </w:r>
            <w:r>
              <w:rPr>
                <w:rFonts w:ascii="宋体" w:hAnsi="宋体"/>
                <w:color w:val="auto"/>
                <w:szCs w:val="21"/>
                <w:highlight w:val="none"/>
              </w:rPr>
              <w:t>文件提供中标（成交）通知书或合同证明复印件加盖</w:t>
            </w:r>
            <w:r>
              <w:rPr>
                <w:rFonts w:hint="eastAsia" w:ascii="宋体" w:hAnsi="宋体"/>
                <w:color w:val="auto"/>
                <w:szCs w:val="21"/>
                <w:highlight w:val="none"/>
              </w:rPr>
              <w:t>供应商</w:t>
            </w:r>
            <w:r>
              <w:rPr>
                <w:rFonts w:ascii="宋体" w:hAnsi="宋体"/>
                <w:color w:val="auto"/>
                <w:szCs w:val="21"/>
                <w:highlight w:val="none"/>
              </w:rPr>
              <w:t>公章，中标（成交）通知书或合同证明复印件不在提供有效期范围内或不提供不得分。</w:t>
            </w:r>
          </w:p>
          <w:p w14:paraId="2C62D6B7">
            <w:pPr>
              <w:numPr>
                <w:ilvl w:val="0"/>
                <w:numId w:val="0"/>
              </w:numPr>
              <w:shd w:val="clear"/>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人员配备（满分6分）</w:t>
            </w:r>
          </w:p>
          <w:p w14:paraId="00E5E717">
            <w:pPr>
              <w:pStyle w:val="19"/>
              <w:numPr>
                <w:ilvl w:val="0"/>
                <w:numId w:val="0"/>
              </w:numPr>
              <w:shd w:val="clear"/>
              <w:rPr>
                <w:rFonts w:hint="default" w:ascii="宋体" w:hAnsi="宋体" w:eastAsia="宋体" w:cs="Times New Roman"/>
                <w:color w:val="auto"/>
                <w:kern w:val="2"/>
                <w:sz w:val="21"/>
                <w:szCs w:val="21"/>
                <w:highlight w:val="none"/>
                <w:lang w:val="en-US" w:eastAsia="zh-CN" w:bidi="ar-SA"/>
              </w:rPr>
            </w:pPr>
            <w:r>
              <w:rPr>
                <w:rFonts w:hint="default"/>
                <w:color w:val="auto"/>
                <w:highlight w:val="none"/>
                <w:lang w:val="en-US" w:eastAsia="zh-CN"/>
              </w:rPr>
              <w:t>（</w:t>
            </w:r>
            <w:r>
              <w:rPr>
                <w:rFonts w:hint="default" w:ascii="宋体" w:hAnsi="宋体" w:eastAsia="宋体" w:cs="Times New Roman"/>
                <w:color w:val="auto"/>
                <w:kern w:val="2"/>
                <w:sz w:val="21"/>
                <w:szCs w:val="21"/>
                <w:highlight w:val="none"/>
                <w:lang w:val="en-US" w:eastAsia="zh-CN" w:bidi="ar-SA"/>
              </w:rPr>
              <w:t>1）拟投入项目负责人具有土壤类或环境类或农学类相关专业中级技术职称的得 2 分，具有副高级及以上职称的得 3 分（满分 3 分）。</w:t>
            </w:r>
          </w:p>
          <w:p w14:paraId="1E44D80A">
            <w:pPr>
              <w:pStyle w:val="19"/>
              <w:numPr>
                <w:ilvl w:val="0"/>
                <w:numId w:val="0"/>
              </w:numPr>
              <w:shd w:val="clear"/>
              <w:rPr>
                <w:rFonts w:hint="default" w:ascii="宋体" w:hAnsi="宋体" w:eastAsia="宋体" w:cs="Times New Roman"/>
                <w:color w:val="auto"/>
                <w:kern w:val="2"/>
                <w:sz w:val="21"/>
                <w:szCs w:val="21"/>
                <w:highlight w:val="none"/>
                <w:lang w:val="en-US" w:eastAsia="zh-CN" w:bidi="ar-SA"/>
              </w:rPr>
            </w:pPr>
            <w:r>
              <w:rPr>
                <w:rFonts w:hint="default" w:ascii="宋体" w:hAnsi="宋体" w:eastAsia="宋体" w:cs="Times New Roman"/>
                <w:color w:val="auto"/>
                <w:kern w:val="2"/>
                <w:sz w:val="21"/>
                <w:szCs w:val="21"/>
                <w:highlight w:val="none"/>
                <w:lang w:val="en-US" w:eastAsia="zh-CN" w:bidi="ar-SA"/>
              </w:rPr>
              <w:t>（2）拟投入专业技术人员中具有土壤类或环境类、林学类或农学类相关专业职称证书，每个得 1 分，此项满分 3 分。</w:t>
            </w:r>
          </w:p>
          <w:p w14:paraId="6C687C3C">
            <w:pPr>
              <w:pStyle w:val="19"/>
              <w:numPr>
                <w:ilvl w:val="0"/>
                <w:numId w:val="0"/>
              </w:numPr>
              <w:shd w:val="clear"/>
              <w:rPr>
                <w:rFonts w:hint="default"/>
                <w:color w:val="auto"/>
                <w:highlight w:val="none"/>
                <w:lang w:val="en-US" w:eastAsia="zh-CN"/>
              </w:rPr>
            </w:pPr>
            <w:r>
              <w:rPr>
                <w:rFonts w:hint="default" w:ascii="宋体" w:hAnsi="宋体" w:eastAsia="宋体" w:cs="Times New Roman"/>
                <w:color w:val="auto"/>
                <w:kern w:val="2"/>
                <w:sz w:val="21"/>
                <w:szCs w:val="21"/>
                <w:highlight w:val="none"/>
                <w:lang w:val="en-US" w:eastAsia="zh-CN" w:bidi="ar-SA"/>
              </w:rPr>
              <w:t>注：（以上拟投入人员需同时提供职称证书扫描件及</w:t>
            </w:r>
            <w:r>
              <w:rPr>
                <w:rFonts w:hint="eastAsia" w:ascii="宋体" w:hAnsi="宋体" w:cs="Times New Roman"/>
                <w:color w:val="auto"/>
                <w:kern w:val="2"/>
                <w:sz w:val="21"/>
                <w:szCs w:val="21"/>
                <w:highlight w:val="none"/>
                <w:lang w:val="en-US" w:eastAsia="zh-CN" w:bidi="ar-SA"/>
              </w:rPr>
              <w:t>响应文件递交截止时间前</w:t>
            </w:r>
            <w:r>
              <w:rPr>
                <w:rFonts w:hint="eastAsia" w:ascii="宋体" w:hAnsi="宋体" w:eastAsia="宋体" w:cs="Times New Roman"/>
                <w:color w:val="auto"/>
                <w:kern w:val="2"/>
                <w:sz w:val="21"/>
                <w:szCs w:val="21"/>
                <w:highlight w:val="none"/>
                <w:lang w:val="en-US" w:eastAsia="zh-CN" w:bidi="ar-SA"/>
              </w:rPr>
              <w:t>半年内任意1</w:t>
            </w:r>
            <w:r>
              <w:rPr>
                <w:rFonts w:hint="default" w:ascii="宋体" w:hAnsi="宋体" w:eastAsia="宋体" w:cs="Times New Roman"/>
                <w:color w:val="auto"/>
                <w:kern w:val="2"/>
                <w:sz w:val="21"/>
                <w:szCs w:val="21"/>
                <w:highlight w:val="none"/>
                <w:lang w:val="en-US" w:eastAsia="zh-CN" w:bidi="ar-SA"/>
              </w:rPr>
              <w:t>个月依法缴纳社保证明材料扫描件或劳动合同并加盖</w:t>
            </w:r>
            <w:r>
              <w:rPr>
                <w:rFonts w:hint="eastAsia" w:ascii="宋体" w:hAnsi="宋体" w:eastAsia="宋体" w:cs="Times New Roman"/>
                <w:color w:val="auto"/>
                <w:kern w:val="2"/>
                <w:sz w:val="21"/>
                <w:szCs w:val="21"/>
                <w:highlight w:val="none"/>
                <w:lang w:val="en-US" w:eastAsia="zh-CN" w:bidi="ar-SA"/>
              </w:rPr>
              <w:t>供应商</w:t>
            </w:r>
            <w:r>
              <w:rPr>
                <w:rFonts w:hint="default" w:ascii="宋体" w:hAnsi="宋体" w:eastAsia="宋体" w:cs="Times New Roman"/>
                <w:color w:val="auto"/>
                <w:kern w:val="2"/>
                <w:sz w:val="21"/>
                <w:szCs w:val="21"/>
                <w:highlight w:val="none"/>
                <w:lang w:val="en-US" w:eastAsia="zh-CN" w:bidi="ar-SA"/>
              </w:rPr>
              <w:t>电子签章，否则不得分）。</w:t>
            </w:r>
          </w:p>
        </w:tc>
      </w:tr>
      <w:tr w14:paraId="6CED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8" w:type="dxa"/>
            <w:gridSpan w:val="3"/>
            <w:tcBorders>
              <w:top w:val="single" w:color="auto" w:sz="4" w:space="0"/>
              <w:left w:val="single" w:color="auto" w:sz="4" w:space="0"/>
              <w:bottom w:val="single" w:color="auto" w:sz="4" w:space="0"/>
              <w:right w:val="single" w:color="auto" w:sz="4" w:space="0"/>
            </w:tcBorders>
            <w:noWrap/>
            <w:vAlign w:val="center"/>
          </w:tcPr>
          <w:p w14:paraId="00410708">
            <w:pPr>
              <w:shd w:val="clear"/>
              <w:tabs>
                <w:tab w:val="left" w:pos="8460"/>
              </w:tabs>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总得分=1+2+3。</w:t>
            </w:r>
          </w:p>
          <w:p w14:paraId="59B76D69">
            <w:pPr>
              <w:shd w:val="clear"/>
              <w:tabs>
                <w:tab w:val="left" w:pos="8460"/>
              </w:tabs>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本项目为服务项目，不适用于</w:t>
            </w:r>
            <w:r>
              <w:rPr>
                <w:rFonts w:hint="eastAsia" w:ascii="宋体" w:hAnsi="宋体" w:cs="宋体"/>
                <w:color w:val="auto"/>
                <w:kern w:val="0"/>
                <w:szCs w:val="21"/>
                <w:highlight w:val="none"/>
              </w:rPr>
              <w:t>节能、环保产品加分。</w:t>
            </w:r>
          </w:p>
        </w:tc>
      </w:tr>
    </w:tbl>
    <w:p w14:paraId="2AED0236">
      <w:pPr>
        <w:pStyle w:val="27"/>
        <w:shd w:val="clear"/>
        <w:snapToGrid w:val="0"/>
        <w:spacing w:before="120" w:after="120" w:line="320" w:lineRule="exact"/>
        <w:outlineLvl w:val="0"/>
        <w:rPr>
          <w:color w:val="auto"/>
          <w:highlight w:val="none"/>
        </w:rPr>
      </w:pPr>
    </w:p>
    <w:p w14:paraId="5B183F58">
      <w:pPr>
        <w:shd w:val="clear"/>
        <w:rPr>
          <w:rFonts w:hint="eastAsia"/>
          <w:b/>
          <w:bCs/>
          <w:color w:val="auto"/>
          <w:highlight w:val="none"/>
          <w:lang w:val="en-US" w:eastAsia="zh-CN"/>
        </w:rPr>
      </w:pPr>
      <w:r>
        <w:rPr>
          <w:color w:val="auto"/>
          <w:highlight w:val="none"/>
        </w:rPr>
        <w:br w:type="page"/>
      </w:r>
      <w:r>
        <w:rPr>
          <w:rFonts w:hint="eastAsia"/>
          <w:b/>
          <w:bCs/>
          <w:color w:val="auto"/>
          <w:highlight w:val="none"/>
          <w:lang w:val="en-US" w:eastAsia="zh-CN"/>
        </w:rPr>
        <w:t>分标2：</w:t>
      </w:r>
    </w:p>
    <w:tbl>
      <w:tblPr>
        <w:tblStyle w:val="53"/>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248"/>
        <w:gridCol w:w="1504"/>
        <w:gridCol w:w="6031"/>
      </w:tblGrid>
      <w:tr w14:paraId="675E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0" w:type="dxa"/>
            <w:gridSpan w:val="2"/>
            <w:vAlign w:val="top"/>
          </w:tcPr>
          <w:p w14:paraId="0A06CE2B">
            <w:pPr>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404" w:firstLineChars="200"/>
              <w:textAlignment w:val="auto"/>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b w:val="0"/>
                <w:bCs w:val="0"/>
                <w:color w:val="auto"/>
                <w:spacing w:val="-4"/>
                <w:sz w:val="21"/>
                <w:szCs w:val="21"/>
                <w:highlight w:val="none"/>
              </w:rPr>
              <w:t>序号</w:t>
            </w:r>
          </w:p>
        </w:tc>
        <w:tc>
          <w:tcPr>
            <w:tcW w:w="1504" w:type="dxa"/>
            <w:vAlign w:val="top"/>
          </w:tcPr>
          <w:p w14:paraId="38308070">
            <w:pPr>
              <w:keepNext w:val="0"/>
              <w:keepLines w:val="0"/>
              <w:pageBreakBefore w:val="0"/>
              <w:widowControl w:val="0"/>
              <w:shd w:val="clear"/>
              <w:kinsoku/>
              <w:wordWrap/>
              <w:overflowPunct/>
              <w:topLinePunct w:val="0"/>
              <w:autoSpaceDE/>
              <w:autoSpaceDN/>
              <w:bidi w:val="0"/>
              <w:adjustRightInd/>
              <w:snapToGrid/>
              <w:spacing w:line="360" w:lineRule="exact"/>
              <w:ind w:right="0" w:rightChars="0"/>
              <w:textAlignment w:val="auto"/>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b w:val="0"/>
                <w:bCs w:val="0"/>
                <w:color w:val="auto"/>
                <w:spacing w:val="-5"/>
                <w:sz w:val="21"/>
                <w:szCs w:val="21"/>
                <w:highlight w:val="none"/>
              </w:rPr>
              <w:t>评分</w:t>
            </w:r>
            <w:r>
              <w:rPr>
                <w:rFonts w:hint="eastAsia" w:ascii="宋体" w:hAnsi="宋体" w:eastAsia="宋体" w:cs="宋体"/>
                <w:b w:val="0"/>
                <w:bCs w:val="0"/>
                <w:color w:val="auto"/>
                <w:spacing w:val="-20"/>
                <w:sz w:val="21"/>
                <w:szCs w:val="21"/>
                <w:highlight w:val="none"/>
              </w:rPr>
              <w:t>因素</w:t>
            </w:r>
          </w:p>
        </w:tc>
        <w:tc>
          <w:tcPr>
            <w:tcW w:w="6031" w:type="dxa"/>
            <w:vAlign w:val="top"/>
          </w:tcPr>
          <w:p w14:paraId="03F4E053">
            <w:pPr>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428" w:firstLineChars="200"/>
              <w:textAlignment w:val="auto"/>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b w:val="0"/>
                <w:bCs w:val="0"/>
                <w:color w:val="auto"/>
                <w:spacing w:val="2"/>
                <w:sz w:val="21"/>
                <w:szCs w:val="21"/>
                <w:highlight w:val="none"/>
              </w:rPr>
              <w:t>评分标准</w:t>
            </w:r>
          </w:p>
        </w:tc>
      </w:tr>
      <w:tr w14:paraId="2991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007B1176">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w:t>
            </w:r>
          </w:p>
        </w:tc>
        <w:tc>
          <w:tcPr>
            <w:tcW w:w="1248" w:type="dxa"/>
            <w:vAlign w:val="center"/>
          </w:tcPr>
          <w:p w14:paraId="7382E660">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价格分（满分 10 分）</w:t>
            </w:r>
          </w:p>
        </w:tc>
        <w:tc>
          <w:tcPr>
            <w:tcW w:w="1504" w:type="dxa"/>
            <w:vAlign w:val="center"/>
          </w:tcPr>
          <w:p w14:paraId="28F94AA8">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价格分</w:t>
            </w:r>
          </w:p>
        </w:tc>
        <w:tc>
          <w:tcPr>
            <w:tcW w:w="6031" w:type="dxa"/>
            <w:vAlign w:val="top"/>
          </w:tcPr>
          <w:p w14:paraId="7B2B4075">
            <w:pPr>
              <w:shd w:val="clea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（1）评审价为供应商的最后报价，最终成交供应商的成交金额等于最后报价（如有修正，以确认修正后的最后报价为准）。</w:t>
            </w:r>
          </w:p>
          <w:p w14:paraId="74C86F6E">
            <w:pPr>
              <w:shd w:val="clea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2）本项目为专门面向中小企业采购的项目，参加本项目磋商的供应商必须为中小微企业，或监狱企业，或残疾人福利性单位，否则响应无效。价格评审时，参加本次项目响应的供应商不重复享受政策，其评审价=最后报价。</w:t>
            </w:r>
          </w:p>
          <w:p w14:paraId="06C3FCEB">
            <w:pPr>
              <w:shd w:val="clear"/>
              <w:spacing w:line="36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（3）以进入比较与评价环节的最低的评审价为基准价，基准价得分为</w:t>
            </w:r>
            <w:r>
              <w:rPr>
                <w:rFonts w:hint="eastAsia" w:ascii="宋体" w:hAnsi="宋体" w:cs="宋体"/>
                <w:bCs/>
                <w:color w:val="auto"/>
                <w:kern w:val="2"/>
                <w:sz w:val="21"/>
                <w:szCs w:val="21"/>
                <w:highlight w:val="none"/>
                <w:lang w:val="en-US" w:eastAsia="zh-CN" w:bidi="ar-SA"/>
              </w:rPr>
              <w:t>10</w:t>
            </w:r>
            <w:r>
              <w:rPr>
                <w:rFonts w:hint="eastAsia" w:ascii="宋体" w:hAnsi="宋体" w:eastAsia="宋体" w:cs="宋体"/>
                <w:bCs/>
                <w:color w:val="auto"/>
                <w:kern w:val="2"/>
                <w:sz w:val="21"/>
                <w:szCs w:val="21"/>
                <w:highlight w:val="none"/>
                <w:lang w:val="en-US" w:eastAsia="zh-CN" w:bidi="ar-SA"/>
              </w:rPr>
              <w:t>分。</w:t>
            </w:r>
          </w:p>
          <w:p w14:paraId="510F67C6">
            <w:pPr>
              <w:keepNext w:val="0"/>
              <w:keepLines w:val="0"/>
              <w:pageBreakBefore w:val="0"/>
              <w:widowControl w:val="0"/>
              <w:shd w:val="clear"/>
              <w:kinsoku/>
              <w:wordWrap/>
              <w:overflowPunct/>
              <w:topLinePunct w:val="0"/>
              <w:autoSpaceDE/>
              <w:autoSpaceDN/>
              <w:bidi w:val="0"/>
              <w:adjustRightInd/>
              <w:snapToGrid/>
              <w:spacing w:line="360" w:lineRule="exact"/>
              <w:ind w:right="456" w:rightChars="217"/>
              <w:textAlignment w:val="auto"/>
              <w:rPr>
                <w:rFonts w:hint="eastAsia" w:ascii="宋体" w:hAnsi="宋体" w:eastAsia="宋体" w:cs="宋体"/>
                <w:b w:val="0"/>
                <w:bCs w:val="0"/>
                <w:color w:val="auto"/>
                <w:sz w:val="21"/>
                <w:szCs w:val="21"/>
                <w:highlight w:val="none"/>
              </w:rPr>
            </w:pPr>
            <w:r>
              <w:rPr>
                <w:rFonts w:hint="eastAsia" w:ascii="宋体" w:hAnsi="宋体" w:eastAsia="宋体" w:cs="宋体"/>
                <w:bCs/>
                <w:color w:val="auto"/>
                <w:kern w:val="2"/>
                <w:sz w:val="21"/>
                <w:szCs w:val="21"/>
                <w:highlight w:val="none"/>
                <w:lang w:val="en-US" w:eastAsia="zh-CN" w:bidi="ar-SA"/>
              </w:rPr>
              <w:t>（4）价格分计算公式：报价得分=（基准价/最后报价）×</w:t>
            </w:r>
            <w:r>
              <w:rPr>
                <w:rFonts w:hint="eastAsia" w:ascii="宋体" w:hAnsi="宋体" w:cs="宋体"/>
                <w:bCs/>
                <w:color w:val="auto"/>
                <w:kern w:val="2"/>
                <w:sz w:val="21"/>
                <w:szCs w:val="21"/>
                <w:highlight w:val="none"/>
                <w:lang w:val="en-US" w:eastAsia="zh-CN" w:bidi="ar-SA"/>
              </w:rPr>
              <w:t>10</w:t>
            </w:r>
            <w:r>
              <w:rPr>
                <w:rFonts w:hint="eastAsia" w:ascii="宋体" w:hAnsi="宋体" w:eastAsia="宋体" w:cs="宋体"/>
                <w:bCs/>
                <w:color w:val="auto"/>
                <w:kern w:val="2"/>
                <w:sz w:val="21"/>
                <w:szCs w:val="21"/>
                <w:highlight w:val="none"/>
                <w:lang w:val="en-US" w:eastAsia="zh-CN" w:bidi="ar-SA"/>
              </w:rPr>
              <w:t>分</w:t>
            </w:r>
          </w:p>
        </w:tc>
      </w:tr>
      <w:tr w14:paraId="1AAF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restart"/>
          </w:tcPr>
          <w:p w14:paraId="3E317B5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p>
          <w:p w14:paraId="3C98326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p>
          <w:p w14:paraId="4E2780E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p>
          <w:p w14:paraId="0E1CB6E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p>
          <w:p w14:paraId="49DACED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p>
          <w:p w14:paraId="790F144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p>
          <w:p w14:paraId="6FC94B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p>
          <w:p w14:paraId="307230C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p>
          <w:p w14:paraId="391094F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p>
          <w:p w14:paraId="06AC7F8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val="en-US" w:eastAsia="zh-CN"/>
              </w:rPr>
            </w:pPr>
            <w:r>
              <w:rPr>
                <w:rFonts w:hint="eastAsia" w:ascii="宋体" w:hAnsi="宋体" w:eastAsia="宋体" w:cs="宋体"/>
                <w:b w:val="0"/>
                <w:bCs w:val="0"/>
                <w:color w:val="auto"/>
                <w:spacing w:val="-4"/>
                <w:sz w:val="21"/>
                <w:szCs w:val="21"/>
                <w:highlight w:val="none"/>
                <w:vertAlign w:val="baseline"/>
                <w:lang w:val="en-US" w:eastAsia="zh-CN"/>
              </w:rPr>
              <w:t>2</w:t>
            </w:r>
          </w:p>
        </w:tc>
        <w:tc>
          <w:tcPr>
            <w:tcW w:w="1248" w:type="dxa"/>
            <w:vMerge w:val="restart"/>
          </w:tcPr>
          <w:p w14:paraId="3A6885F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2A78194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3A640A2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2DC10C3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0BEC2B9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77B57D7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32A06303">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4FD567D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商务分</w:t>
            </w:r>
          </w:p>
          <w:p w14:paraId="6150623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lang w:eastAsia="zh-CN"/>
              </w:rPr>
            </w:pP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35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tc>
        <w:tc>
          <w:tcPr>
            <w:tcW w:w="1504" w:type="dxa"/>
            <w:vAlign w:val="center"/>
          </w:tcPr>
          <w:p w14:paraId="685DDDD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业绩分</w:t>
            </w:r>
          </w:p>
          <w:p w14:paraId="600DAAD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（满分 </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tc>
        <w:tc>
          <w:tcPr>
            <w:tcW w:w="6031" w:type="dxa"/>
            <w:vAlign w:val="top"/>
          </w:tcPr>
          <w:p w14:paraId="326C6310">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投</w:t>
            </w:r>
            <w:r>
              <w:rPr>
                <w:rFonts w:hint="eastAsia" w:ascii="宋体" w:hAnsi="宋体" w:eastAsia="宋体" w:cs="宋体"/>
                <w:b w:val="0"/>
                <w:bCs w:val="0"/>
                <w:color w:val="auto"/>
                <w:sz w:val="21"/>
                <w:szCs w:val="21"/>
                <w:highlight w:val="none"/>
              </w:rPr>
              <w:t>标人自2022年以来承接过类似项目业绩的</w:t>
            </w:r>
            <w:r>
              <w:rPr>
                <w:rFonts w:hint="eastAsia" w:ascii="宋体" w:hAnsi="宋体" w:eastAsia="宋体" w:cs="宋体"/>
                <w:color w:val="auto"/>
                <w:szCs w:val="21"/>
                <w:highlight w:val="none"/>
              </w:rPr>
              <w:t>（类似项目是指农产品样品的</w:t>
            </w:r>
            <w:r>
              <w:rPr>
                <w:rFonts w:hint="eastAsia" w:ascii="宋体" w:hAnsi="宋体" w:eastAsia="宋体" w:cs="宋体"/>
                <w:color w:val="auto"/>
                <w:szCs w:val="21"/>
                <w:highlight w:val="none"/>
                <w:lang w:val="en-US" w:eastAsia="zh-CN"/>
              </w:rPr>
              <w:t>采样</w:t>
            </w:r>
            <w:r>
              <w:rPr>
                <w:rFonts w:hint="eastAsia" w:ascii="宋体" w:hAnsi="宋体" w:eastAsia="宋体" w:cs="宋体"/>
                <w:color w:val="auto"/>
                <w:szCs w:val="21"/>
                <w:highlight w:val="none"/>
              </w:rPr>
              <w:t>检测）</w:t>
            </w:r>
            <w:r>
              <w:rPr>
                <w:rFonts w:hint="eastAsia" w:ascii="宋体" w:hAnsi="宋体" w:eastAsia="宋体" w:cs="宋体"/>
                <w:b w:val="0"/>
                <w:bCs w:val="0"/>
                <w:color w:val="auto"/>
                <w:sz w:val="21"/>
                <w:szCs w:val="21"/>
                <w:highlight w:val="none"/>
              </w:rPr>
              <w:t>，每个业绩得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分，满分</w:t>
            </w: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r>
              <w:rPr>
                <w:rFonts w:hint="eastAsia" w:ascii="宋体" w:hAnsi="宋体" w:eastAsia="宋体" w:cs="宋体"/>
                <w:color w:val="auto"/>
                <w:szCs w:val="21"/>
                <w:highlight w:val="none"/>
              </w:rPr>
              <w:t>（需提供</w:t>
            </w:r>
            <w:r>
              <w:rPr>
                <w:rFonts w:hint="eastAsia" w:ascii="宋体" w:hAnsi="宋体" w:cs="宋体"/>
                <w:color w:val="auto"/>
                <w:szCs w:val="21"/>
                <w:highlight w:val="none"/>
                <w:lang w:val="en-US" w:eastAsia="zh-CN"/>
              </w:rPr>
              <w:t>中标（成交）通知书复印件或</w:t>
            </w:r>
            <w:r>
              <w:rPr>
                <w:rFonts w:hint="eastAsia" w:ascii="宋体" w:hAnsi="宋体" w:eastAsia="宋体" w:cs="宋体"/>
                <w:color w:val="auto"/>
                <w:szCs w:val="21"/>
                <w:highlight w:val="none"/>
              </w:rPr>
              <w:t>合同复印件</w:t>
            </w:r>
            <w:r>
              <w:rPr>
                <w:rFonts w:hint="eastAsia" w:ascii="宋体" w:hAnsi="宋体" w:eastAsia="宋体" w:cs="宋体"/>
                <w:b w:val="0"/>
                <w:bCs w:val="0"/>
                <w:color w:val="auto"/>
                <w:sz w:val="21"/>
                <w:szCs w:val="21"/>
                <w:highlight w:val="none"/>
              </w:rPr>
              <w:t>，否则不予计分，如一个项目有两个或两个以上的分标成交的视为同一业绩，不重复计分）。</w:t>
            </w:r>
          </w:p>
        </w:tc>
      </w:tr>
      <w:tr w14:paraId="7295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16DFFD0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7BE12EA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665BF5A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人员实力分（满分</w:t>
            </w:r>
            <w:r>
              <w:rPr>
                <w:rFonts w:hint="eastAsia" w:ascii="宋体" w:hAnsi="宋体" w:eastAsia="宋体" w:cs="宋体"/>
                <w:b w:val="0"/>
                <w:bCs w:val="0"/>
                <w:color w:val="auto"/>
                <w:sz w:val="21"/>
                <w:szCs w:val="21"/>
                <w:highlight w:val="none"/>
                <w:lang w:val="en-US" w:eastAsia="zh-CN"/>
              </w:rPr>
              <w:t>13</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eastAsia="zh-CN"/>
              </w:rPr>
              <w:t>）</w:t>
            </w:r>
          </w:p>
        </w:tc>
        <w:tc>
          <w:tcPr>
            <w:tcW w:w="6031" w:type="dxa"/>
            <w:vAlign w:val="top"/>
          </w:tcPr>
          <w:p w14:paraId="4886B4A4">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①项目负责人：具有</w:t>
            </w:r>
            <w:r>
              <w:rPr>
                <w:rFonts w:hint="eastAsia" w:ascii="宋体" w:hAnsi="宋体" w:eastAsia="宋体" w:cs="宋体"/>
                <w:b w:val="0"/>
                <w:bCs w:val="0"/>
                <w:color w:val="auto"/>
                <w:sz w:val="21"/>
                <w:szCs w:val="21"/>
                <w:highlight w:val="none"/>
                <w:lang w:val="en-US" w:eastAsia="zh-CN"/>
              </w:rPr>
              <w:t>相关专业</w:t>
            </w:r>
            <w:r>
              <w:rPr>
                <w:rFonts w:hint="eastAsia" w:ascii="宋体" w:hAnsi="宋体" w:eastAsia="宋体" w:cs="宋体"/>
                <w:b w:val="0"/>
                <w:bCs w:val="0"/>
                <w:color w:val="auto"/>
                <w:sz w:val="21"/>
                <w:szCs w:val="21"/>
                <w:highlight w:val="none"/>
              </w:rPr>
              <w:t>中级职称的得1分，具有</w:t>
            </w:r>
            <w:r>
              <w:rPr>
                <w:rFonts w:hint="eastAsia" w:ascii="宋体" w:hAnsi="宋体" w:eastAsia="宋体" w:cs="宋体"/>
                <w:b w:val="0"/>
                <w:bCs w:val="0"/>
                <w:color w:val="auto"/>
                <w:sz w:val="21"/>
                <w:szCs w:val="21"/>
                <w:highlight w:val="none"/>
                <w:lang w:val="en-US" w:eastAsia="zh-CN"/>
              </w:rPr>
              <w:t>相关专业副</w:t>
            </w:r>
            <w:r>
              <w:rPr>
                <w:rFonts w:hint="eastAsia" w:ascii="宋体" w:hAnsi="宋体" w:eastAsia="宋体" w:cs="宋体"/>
                <w:b w:val="0"/>
                <w:bCs w:val="0"/>
                <w:color w:val="auto"/>
                <w:sz w:val="21"/>
                <w:szCs w:val="21"/>
                <w:highlight w:val="none"/>
              </w:rPr>
              <w:t>高级职称</w:t>
            </w:r>
            <w:r>
              <w:rPr>
                <w:rFonts w:hint="eastAsia" w:ascii="宋体" w:hAnsi="宋体" w:cs="宋体"/>
                <w:b w:val="0"/>
                <w:bCs w:val="0"/>
                <w:color w:val="auto"/>
                <w:sz w:val="21"/>
                <w:szCs w:val="21"/>
                <w:highlight w:val="none"/>
                <w:lang w:val="en-US" w:eastAsia="zh-CN"/>
              </w:rPr>
              <w:t>以上（含）</w:t>
            </w:r>
            <w:r>
              <w:rPr>
                <w:rFonts w:hint="eastAsia" w:ascii="宋体" w:hAnsi="宋体" w:eastAsia="宋体" w:cs="宋体"/>
                <w:b w:val="0"/>
                <w:bCs w:val="0"/>
                <w:color w:val="auto"/>
                <w:sz w:val="21"/>
                <w:szCs w:val="21"/>
                <w:highlight w:val="none"/>
              </w:rPr>
              <w:t>的得</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分（满分3分）。</w:t>
            </w:r>
          </w:p>
          <w:p w14:paraId="64EE76B5">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②项目技术成员：具备</w:t>
            </w:r>
            <w:r>
              <w:rPr>
                <w:rFonts w:hint="eastAsia" w:ascii="宋体" w:hAnsi="宋体" w:eastAsia="宋体" w:cs="宋体"/>
                <w:b w:val="0"/>
                <w:bCs w:val="0"/>
                <w:color w:val="auto"/>
                <w:sz w:val="21"/>
                <w:szCs w:val="21"/>
                <w:highlight w:val="none"/>
                <w:lang w:val="en-US" w:eastAsia="zh-CN"/>
              </w:rPr>
              <w:t>相关专业</w:t>
            </w:r>
            <w:r>
              <w:rPr>
                <w:rFonts w:hint="eastAsia" w:ascii="宋体" w:hAnsi="宋体" w:eastAsia="宋体" w:cs="宋体"/>
                <w:b w:val="0"/>
                <w:bCs w:val="0"/>
                <w:color w:val="auto"/>
                <w:sz w:val="21"/>
                <w:szCs w:val="21"/>
                <w:highlight w:val="none"/>
              </w:rPr>
              <w:t>中级或以上职称</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rPr>
              <w:t>每人得1分。（满分</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p w14:paraId="10C9C695">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注：</w:t>
            </w:r>
            <w:r>
              <w:rPr>
                <w:rFonts w:hint="eastAsia" w:ascii="宋体" w:hAnsi="宋体" w:eastAsia="宋体" w:cs="宋体"/>
                <w:b w:val="0"/>
                <w:bCs w:val="0"/>
                <w:color w:val="auto"/>
                <w:sz w:val="21"/>
                <w:szCs w:val="21"/>
                <w:highlight w:val="none"/>
                <w:lang w:val="en-US" w:eastAsia="zh-CN"/>
              </w:rPr>
              <w:t>相关专业</w:t>
            </w:r>
            <w:r>
              <w:rPr>
                <w:rFonts w:hint="eastAsia" w:ascii="宋体" w:hAnsi="宋体" w:eastAsia="宋体" w:cs="宋体"/>
                <w:b w:val="0"/>
                <w:bCs w:val="0"/>
                <w:color w:val="auto"/>
                <w:sz w:val="21"/>
                <w:szCs w:val="21"/>
                <w:highlight w:val="none"/>
              </w:rPr>
              <w:t>为土壤学、植物营养学、生物学等农业相关专业或生态环保专业</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食品工程、生物学</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化学相关专业；</w:t>
            </w:r>
            <w:r>
              <w:rPr>
                <w:rFonts w:hint="eastAsia" w:ascii="宋体" w:hAnsi="宋体" w:cs="宋体"/>
                <w:b w:val="0"/>
                <w:bCs w:val="0"/>
                <w:color w:val="auto"/>
                <w:sz w:val="21"/>
                <w:szCs w:val="21"/>
                <w:highlight w:val="none"/>
                <w:lang w:eastAsia="zh-CN"/>
              </w:rPr>
              <w:t>（</w:t>
            </w:r>
            <w:r>
              <w:rPr>
                <w:rFonts w:hint="default" w:ascii="宋体" w:hAnsi="宋体" w:eastAsia="宋体" w:cs="Times New Roman"/>
                <w:color w:val="auto"/>
                <w:kern w:val="2"/>
                <w:sz w:val="21"/>
                <w:szCs w:val="21"/>
                <w:highlight w:val="none"/>
                <w:lang w:val="en-US" w:eastAsia="zh-CN" w:bidi="ar-SA"/>
              </w:rPr>
              <w:t>需同时提供职称证书扫描件及</w:t>
            </w:r>
            <w:r>
              <w:rPr>
                <w:rFonts w:hint="eastAsia" w:ascii="宋体" w:hAnsi="宋体" w:cs="Times New Roman"/>
                <w:color w:val="auto"/>
                <w:kern w:val="2"/>
                <w:sz w:val="21"/>
                <w:szCs w:val="21"/>
                <w:highlight w:val="none"/>
                <w:lang w:val="en-US" w:eastAsia="zh-CN" w:bidi="ar-SA"/>
              </w:rPr>
              <w:t>响应文件递交截止时间前</w:t>
            </w:r>
            <w:r>
              <w:rPr>
                <w:rFonts w:hint="eastAsia" w:ascii="宋体" w:hAnsi="宋体" w:eastAsia="宋体" w:cs="Times New Roman"/>
                <w:color w:val="auto"/>
                <w:kern w:val="2"/>
                <w:sz w:val="21"/>
                <w:szCs w:val="21"/>
                <w:highlight w:val="none"/>
                <w:lang w:val="en-US" w:eastAsia="zh-CN" w:bidi="ar-SA"/>
              </w:rPr>
              <w:t>半年内任意1</w:t>
            </w:r>
            <w:r>
              <w:rPr>
                <w:rFonts w:hint="default" w:ascii="宋体" w:hAnsi="宋体" w:eastAsia="宋体" w:cs="Times New Roman"/>
                <w:color w:val="auto"/>
                <w:kern w:val="2"/>
                <w:sz w:val="21"/>
                <w:szCs w:val="21"/>
                <w:highlight w:val="none"/>
                <w:lang w:val="en-US" w:eastAsia="zh-CN" w:bidi="ar-SA"/>
              </w:rPr>
              <w:t>个月依法缴纳社保证明材料扫描件或劳动合同并加盖</w:t>
            </w:r>
            <w:r>
              <w:rPr>
                <w:rFonts w:hint="eastAsia" w:ascii="宋体" w:hAnsi="宋体" w:eastAsia="宋体" w:cs="Times New Roman"/>
                <w:color w:val="auto"/>
                <w:kern w:val="2"/>
                <w:sz w:val="21"/>
                <w:szCs w:val="21"/>
                <w:highlight w:val="none"/>
                <w:lang w:val="en-US" w:eastAsia="zh-CN" w:bidi="ar-SA"/>
              </w:rPr>
              <w:t>供应商</w:t>
            </w:r>
            <w:r>
              <w:rPr>
                <w:rFonts w:hint="default" w:ascii="宋体" w:hAnsi="宋体" w:eastAsia="宋体" w:cs="Times New Roman"/>
                <w:color w:val="auto"/>
                <w:kern w:val="2"/>
                <w:sz w:val="21"/>
                <w:szCs w:val="21"/>
                <w:highlight w:val="none"/>
                <w:lang w:val="en-US" w:eastAsia="zh-CN" w:bidi="ar-SA"/>
              </w:rPr>
              <w:t>电子签章，否则不得分）。</w:t>
            </w:r>
          </w:p>
        </w:tc>
      </w:tr>
      <w:tr w14:paraId="137B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42528AB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32E3190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683A96D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综合实力（</w:t>
            </w:r>
            <w:r>
              <w:rPr>
                <w:rFonts w:hint="eastAsia" w:ascii="宋体" w:hAnsi="宋体" w:cs="宋体"/>
                <w:b w:val="0"/>
                <w:bCs w:val="0"/>
                <w:color w:val="auto"/>
                <w:sz w:val="21"/>
                <w:szCs w:val="21"/>
                <w:highlight w:val="none"/>
                <w:lang w:val="en-US" w:eastAsia="zh-CN"/>
              </w:rPr>
              <w:t>满分</w:t>
            </w: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 xml:space="preserve"> 分）</w:t>
            </w:r>
          </w:p>
        </w:tc>
        <w:tc>
          <w:tcPr>
            <w:tcW w:w="6031" w:type="dxa"/>
            <w:vAlign w:val="top"/>
          </w:tcPr>
          <w:p w14:paraId="302631F2">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①拟投入用于检验的大型检验仪器设备有原子吸收分光光度计、原子荧光分光光度计、电感耦合等离子体质谱仪，以上3种设备均具备得6分，在此基础上，原子吸收分光光度计、原子荧光分光光度计、电感耦合等离子体质谱仪每新增一台可得1分。此项满分9分。（提供设备清单及相应设备的检定证书或校准证书，及购置发票</w:t>
            </w:r>
            <w:r>
              <w:rPr>
                <w:rFonts w:hint="eastAsia" w:ascii="宋体" w:hAnsi="宋体" w:cs="宋体"/>
                <w:b w:val="0"/>
                <w:bCs w:val="0"/>
                <w:color w:val="auto"/>
                <w:sz w:val="21"/>
                <w:szCs w:val="21"/>
                <w:highlight w:val="none"/>
                <w:lang w:val="en-US" w:eastAsia="zh-CN"/>
              </w:rPr>
              <w:t>或租赁合同</w:t>
            </w:r>
            <w:r>
              <w:rPr>
                <w:rFonts w:hint="eastAsia" w:ascii="宋体" w:hAnsi="宋体" w:eastAsia="宋体" w:cs="宋体"/>
                <w:b w:val="0"/>
                <w:bCs w:val="0"/>
                <w:color w:val="auto"/>
                <w:sz w:val="21"/>
                <w:szCs w:val="21"/>
                <w:highlight w:val="none"/>
              </w:rPr>
              <w:t>复印件。）</w:t>
            </w:r>
          </w:p>
          <w:p w14:paraId="6011480B">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color w:val="auto"/>
                <w:highlight w:val="none"/>
              </w:rPr>
            </w:pPr>
            <w:r>
              <w:rPr>
                <w:rFonts w:hint="eastAsia" w:ascii="宋体" w:hAnsi="宋体" w:eastAsia="宋体" w:cs="宋体"/>
                <w:b w:val="0"/>
                <w:bCs w:val="0"/>
                <w:color w:val="auto"/>
                <w:sz w:val="21"/>
                <w:szCs w:val="21"/>
                <w:highlight w:val="none"/>
              </w:rPr>
              <w:t>②投标人具有ISO9001质量管理体系认证证书、ISO45001职业健康安全管理体系认证证书、ISO14001环境管理体系认证证书且证书在有效期内的，每个证书得1分，满分3分。（须提供认证证书复印件或全国认证认可信息公共服务平台认证截图及链接，并加盖供应商公章，否则不计分）</w:t>
            </w:r>
          </w:p>
        </w:tc>
      </w:tr>
      <w:tr w14:paraId="15BE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restart"/>
          </w:tcPr>
          <w:p w14:paraId="715A794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29F9C1A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075AD96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378D97C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65CB837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56AEFAA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062A4A8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16A1B6A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6043255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2CE7677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p>
          <w:p w14:paraId="1BAF596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c>
          <w:tcPr>
            <w:tcW w:w="1248" w:type="dxa"/>
            <w:vMerge w:val="restart"/>
          </w:tcPr>
          <w:p w14:paraId="3F2D6A1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5D495D9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28713453">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5F6EC20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13A71B9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078782A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5119FF1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40D085D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2E544BE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606E67D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技术分</w:t>
            </w:r>
          </w:p>
          <w:p w14:paraId="79707A2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55</w:t>
            </w:r>
            <w:r>
              <w:rPr>
                <w:rFonts w:hint="eastAsia" w:ascii="宋体" w:hAnsi="宋体" w:eastAsia="宋体" w:cs="宋体"/>
                <w:b/>
                <w:bCs/>
                <w:color w:val="auto"/>
                <w:sz w:val="21"/>
                <w:szCs w:val="21"/>
                <w:highlight w:val="none"/>
              </w:rPr>
              <w:t>分</w:t>
            </w:r>
            <w:r>
              <w:rPr>
                <w:rFonts w:hint="eastAsia" w:ascii="宋体" w:hAnsi="宋体" w:cs="宋体"/>
                <w:b/>
                <w:bCs/>
                <w:color w:val="auto"/>
                <w:sz w:val="21"/>
                <w:szCs w:val="21"/>
                <w:highlight w:val="none"/>
                <w:lang w:eastAsia="zh-CN"/>
              </w:rPr>
              <w:t>）</w:t>
            </w:r>
          </w:p>
        </w:tc>
        <w:tc>
          <w:tcPr>
            <w:tcW w:w="1504" w:type="dxa"/>
            <w:vAlign w:val="center"/>
          </w:tcPr>
          <w:p w14:paraId="7EAA9F62">
            <w:pPr>
              <w:widowControl w:val="0"/>
              <w:shd w:val="clear"/>
              <w:snapToGrid w:val="0"/>
              <w:spacing w:line="360" w:lineRule="auto"/>
              <w:ind w:firstLine="0" w:firstLineChars="0"/>
              <w:jc w:val="center"/>
              <w:rPr>
                <w:rFonts w:hint="eastAsia" w:ascii="宋体" w:hAnsi="宋体" w:eastAsia="宋体" w:cs="宋体"/>
                <w:b w:val="0"/>
                <w:bCs w:val="0"/>
                <w:color w:val="auto"/>
                <w:sz w:val="21"/>
                <w:szCs w:val="21"/>
                <w:highlight w:val="none"/>
              </w:rPr>
            </w:pPr>
            <w:r>
              <w:rPr>
                <w:rFonts w:hint="eastAsia" w:hAnsi="宋体" w:cs="宋体"/>
                <w:b w:val="0"/>
                <w:bCs w:val="0"/>
                <w:color w:val="auto"/>
                <w:highlight w:val="none"/>
              </w:rPr>
              <w:t>项目实施方案（满分25分）</w:t>
            </w:r>
          </w:p>
        </w:tc>
        <w:tc>
          <w:tcPr>
            <w:tcW w:w="6031" w:type="dxa"/>
            <w:vAlign w:val="center"/>
          </w:tcPr>
          <w:p w14:paraId="26A446EB">
            <w:pPr>
              <w:widowControl w:val="0"/>
              <w:shd w:val="clear"/>
              <w:spacing w:line="360" w:lineRule="auto"/>
              <w:ind w:firstLine="420" w:firstLineChars="0"/>
              <w:rPr>
                <w:rFonts w:hAnsi="宋体" w:cs="宋体"/>
                <w:b w:val="0"/>
                <w:bCs w:val="0"/>
                <w:color w:val="auto"/>
                <w:highlight w:val="none"/>
                <w:lang w:bidi="ar"/>
              </w:rPr>
            </w:pPr>
            <w:r>
              <w:rPr>
                <w:rFonts w:hint="eastAsia" w:hAnsi="宋体" w:cs="宋体"/>
                <w:b w:val="0"/>
                <w:bCs w:val="0"/>
                <w:color w:val="auto"/>
                <w:highlight w:val="none"/>
                <w:lang w:bidi="ar"/>
              </w:rPr>
              <w:t>一档（</w:t>
            </w:r>
            <w:r>
              <w:rPr>
                <w:rFonts w:hint="eastAsia" w:hAnsi="宋体" w:cs="宋体"/>
                <w:b w:val="0"/>
                <w:bCs w:val="0"/>
                <w:color w:val="auto"/>
                <w:highlight w:val="none"/>
                <w:lang w:val="en-US" w:eastAsia="zh-CN" w:bidi="ar"/>
              </w:rPr>
              <w:t>15</w:t>
            </w:r>
            <w:r>
              <w:rPr>
                <w:rFonts w:hint="eastAsia" w:hAnsi="宋体" w:cs="宋体"/>
                <w:b w:val="0"/>
                <w:bCs w:val="0"/>
                <w:color w:val="auto"/>
                <w:highlight w:val="none"/>
                <w:lang w:bidi="ar"/>
              </w:rPr>
              <w:t>分）：</w:t>
            </w:r>
            <w:r>
              <w:rPr>
                <w:rFonts w:hint="eastAsia" w:hAnsi="宋体" w:cs="宋体"/>
                <w:b w:val="0"/>
                <w:bCs w:val="0"/>
                <w:color w:val="auto"/>
                <w:highlight w:val="none"/>
                <w:lang w:eastAsia="zh-CN" w:bidi="ar"/>
              </w:rPr>
              <w:t>采集及检测</w:t>
            </w:r>
            <w:r>
              <w:rPr>
                <w:b w:val="0"/>
                <w:bCs w:val="0"/>
                <w:color w:val="auto"/>
                <w:spacing w:val="7"/>
                <w:highlight w:val="none"/>
              </w:rPr>
              <w:t>实施方案</w:t>
            </w:r>
            <w:r>
              <w:rPr>
                <w:rFonts w:hint="eastAsia" w:hAnsi="宋体" w:cs="宋体"/>
                <w:b w:val="0"/>
                <w:bCs w:val="0"/>
                <w:color w:val="auto"/>
                <w:highlight w:val="none"/>
                <w:lang w:bidi="ar"/>
              </w:rPr>
              <w:t>有</w:t>
            </w:r>
            <w:r>
              <w:rPr>
                <w:b w:val="0"/>
                <w:bCs w:val="0"/>
                <w:color w:val="auto"/>
                <w:spacing w:val="7"/>
                <w:highlight w:val="none"/>
              </w:rPr>
              <w:t>工作流程</w:t>
            </w:r>
            <w:r>
              <w:rPr>
                <w:rFonts w:hint="eastAsia" w:hAnsi="宋体" w:cs="宋体"/>
                <w:b w:val="0"/>
                <w:bCs w:val="0"/>
                <w:color w:val="auto"/>
                <w:highlight w:val="none"/>
                <w:lang w:bidi="ar"/>
              </w:rPr>
              <w:t>；有</w:t>
            </w:r>
            <w:r>
              <w:rPr>
                <w:b w:val="0"/>
                <w:bCs w:val="0"/>
                <w:color w:val="auto"/>
                <w:spacing w:val="6"/>
                <w:highlight w:val="none"/>
              </w:rPr>
              <w:t>分</w:t>
            </w:r>
            <w:r>
              <w:rPr>
                <w:b w:val="0"/>
                <w:bCs w:val="0"/>
                <w:color w:val="auto"/>
                <w:spacing w:val="8"/>
                <w:highlight w:val="none"/>
              </w:rPr>
              <w:t>析方法</w:t>
            </w:r>
            <w:r>
              <w:rPr>
                <w:rFonts w:hint="eastAsia" w:hAnsi="宋体" w:cs="宋体"/>
                <w:b w:val="0"/>
                <w:bCs w:val="0"/>
                <w:color w:val="auto"/>
                <w:highlight w:val="none"/>
                <w:lang w:bidi="ar"/>
              </w:rPr>
              <w:t>；有</w:t>
            </w:r>
            <w:r>
              <w:rPr>
                <w:b w:val="0"/>
                <w:bCs w:val="0"/>
                <w:color w:val="auto"/>
                <w:spacing w:val="8"/>
                <w:highlight w:val="none"/>
              </w:rPr>
              <w:t>质量控制、数据处理</w:t>
            </w:r>
            <w:r>
              <w:rPr>
                <w:rFonts w:hint="eastAsia" w:hAnsi="宋体" w:cs="宋体"/>
                <w:b w:val="0"/>
                <w:bCs w:val="0"/>
                <w:color w:val="auto"/>
                <w:highlight w:val="none"/>
                <w:lang w:bidi="ar"/>
              </w:rPr>
              <w:t>内容；</w:t>
            </w:r>
            <w:r>
              <w:rPr>
                <w:rFonts w:hint="eastAsia" w:hAnsi="宋体" w:cs="宋体"/>
                <w:b w:val="0"/>
                <w:bCs w:val="0"/>
                <w:color w:val="auto"/>
                <w:highlight w:val="none"/>
                <w:lang w:eastAsia="zh-CN" w:bidi="ar"/>
              </w:rPr>
              <w:t>相关内容无针对性</w:t>
            </w:r>
            <w:r>
              <w:rPr>
                <w:rFonts w:hint="eastAsia" w:hAnsi="宋体" w:cs="宋体"/>
                <w:b w:val="0"/>
                <w:bCs w:val="0"/>
                <w:color w:val="auto"/>
                <w:highlight w:val="none"/>
                <w:lang w:bidi="ar"/>
              </w:rPr>
              <w:t>。</w:t>
            </w:r>
          </w:p>
          <w:p w14:paraId="4812BB7D">
            <w:pPr>
              <w:widowControl w:val="0"/>
              <w:shd w:val="clear"/>
              <w:spacing w:line="360" w:lineRule="auto"/>
              <w:ind w:firstLine="420" w:firstLineChars="0"/>
              <w:rPr>
                <w:rFonts w:hAnsi="宋体" w:cs="宋体"/>
                <w:b w:val="0"/>
                <w:bCs w:val="0"/>
                <w:color w:val="auto"/>
                <w:highlight w:val="none"/>
                <w:lang w:bidi="ar"/>
              </w:rPr>
            </w:pPr>
            <w:r>
              <w:rPr>
                <w:rFonts w:hint="eastAsia" w:hAnsi="宋体" w:cs="宋体"/>
                <w:b w:val="0"/>
                <w:bCs w:val="0"/>
                <w:color w:val="auto"/>
                <w:highlight w:val="none"/>
                <w:lang w:bidi="ar"/>
              </w:rPr>
              <w:t>二档（</w:t>
            </w:r>
            <w:r>
              <w:rPr>
                <w:rFonts w:hint="eastAsia" w:hAnsi="宋体" w:cs="宋体"/>
                <w:b w:val="0"/>
                <w:bCs w:val="0"/>
                <w:color w:val="auto"/>
                <w:highlight w:val="none"/>
                <w:lang w:val="en-US" w:eastAsia="zh-CN" w:bidi="ar"/>
              </w:rPr>
              <w:t>20</w:t>
            </w:r>
            <w:r>
              <w:rPr>
                <w:rFonts w:hint="eastAsia" w:hAnsi="宋体" w:cs="宋体"/>
                <w:b w:val="0"/>
                <w:bCs w:val="0"/>
                <w:color w:val="auto"/>
                <w:highlight w:val="none"/>
                <w:lang w:bidi="ar"/>
              </w:rPr>
              <w:t>分）：</w:t>
            </w:r>
            <w:r>
              <w:rPr>
                <w:rFonts w:hint="eastAsia" w:hAnsi="宋体" w:cs="宋体"/>
                <w:b w:val="0"/>
                <w:bCs w:val="0"/>
                <w:color w:val="auto"/>
                <w:highlight w:val="none"/>
                <w:lang w:eastAsia="zh-CN" w:bidi="ar"/>
              </w:rPr>
              <w:t>采集及检测</w:t>
            </w:r>
            <w:r>
              <w:rPr>
                <w:b w:val="0"/>
                <w:bCs w:val="0"/>
                <w:color w:val="auto"/>
                <w:spacing w:val="7"/>
                <w:highlight w:val="none"/>
              </w:rPr>
              <w:t>实施方案</w:t>
            </w:r>
            <w:r>
              <w:rPr>
                <w:rFonts w:hint="eastAsia" w:hAnsi="宋体" w:cs="宋体"/>
                <w:b w:val="0"/>
                <w:bCs w:val="0"/>
                <w:color w:val="auto"/>
                <w:highlight w:val="none"/>
                <w:lang w:bidi="ar"/>
              </w:rPr>
              <w:t>有</w:t>
            </w:r>
            <w:r>
              <w:rPr>
                <w:b w:val="0"/>
                <w:bCs w:val="0"/>
                <w:color w:val="auto"/>
                <w:spacing w:val="7"/>
                <w:highlight w:val="none"/>
              </w:rPr>
              <w:t>工作流程</w:t>
            </w:r>
            <w:r>
              <w:rPr>
                <w:rFonts w:hint="eastAsia" w:hAnsi="宋体" w:cs="宋体"/>
                <w:b w:val="0"/>
                <w:bCs w:val="0"/>
                <w:color w:val="auto"/>
                <w:highlight w:val="none"/>
                <w:lang w:bidi="ar"/>
              </w:rPr>
              <w:t>；有</w:t>
            </w:r>
            <w:r>
              <w:rPr>
                <w:b w:val="0"/>
                <w:bCs w:val="0"/>
                <w:color w:val="auto"/>
                <w:spacing w:val="6"/>
                <w:highlight w:val="none"/>
              </w:rPr>
              <w:t>分</w:t>
            </w:r>
            <w:r>
              <w:rPr>
                <w:b w:val="0"/>
                <w:bCs w:val="0"/>
                <w:color w:val="auto"/>
                <w:spacing w:val="8"/>
                <w:highlight w:val="none"/>
              </w:rPr>
              <w:t>析方法</w:t>
            </w:r>
            <w:r>
              <w:rPr>
                <w:rFonts w:hint="eastAsia" w:hAnsi="宋体" w:cs="宋体"/>
                <w:b w:val="0"/>
                <w:bCs w:val="0"/>
                <w:color w:val="auto"/>
                <w:highlight w:val="none"/>
                <w:lang w:bidi="ar"/>
              </w:rPr>
              <w:t>；有</w:t>
            </w:r>
            <w:r>
              <w:rPr>
                <w:b w:val="0"/>
                <w:bCs w:val="0"/>
                <w:color w:val="auto"/>
                <w:spacing w:val="8"/>
                <w:highlight w:val="none"/>
              </w:rPr>
              <w:t>质量控制、数据处理</w:t>
            </w:r>
            <w:r>
              <w:rPr>
                <w:rFonts w:hint="eastAsia" w:hAnsi="宋体" w:cs="宋体"/>
                <w:b w:val="0"/>
                <w:bCs w:val="0"/>
                <w:color w:val="auto"/>
                <w:highlight w:val="none"/>
                <w:lang w:bidi="ar"/>
              </w:rPr>
              <w:t>内容；有</w:t>
            </w:r>
            <w:r>
              <w:rPr>
                <w:b w:val="0"/>
                <w:bCs w:val="0"/>
                <w:color w:val="auto"/>
                <w:spacing w:val="12"/>
                <w:highlight w:val="none"/>
              </w:rPr>
              <w:t>项目进度控制措施，数据检查</w:t>
            </w:r>
            <w:r>
              <w:rPr>
                <w:b w:val="0"/>
                <w:bCs w:val="0"/>
                <w:color w:val="auto"/>
                <w:spacing w:val="11"/>
                <w:highlight w:val="none"/>
              </w:rPr>
              <w:t>以及</w:t>
            </w:r>
            <w:r>
              <w:rPr>
                <w:b w:val="0"/>
                <w:bCs w:val="0"/>
                <w:color w:val="auto"/>
                <w:spacing w:val="9"/>
                <w:highlight w:val="none"/>
              </w:rPr>
              <w:t>反馈纠错措施</w:t>
            </w:r>
            <w:r>
              <w:rPr>
                <w:rFonts w:hint="eastAsia"/>
                <w:b w:val="0"/>
                <w:bCs w:val="0"/>
                <w:color w:val="auto"/>
                <w:spacing w:val="9"/>
                <w:highlight w:val="none"/>
              </w:rPr>
              <w:t>等内容；</w:t>
            </w:r>
            <w:r>
              <w:rPr>
                <w:rFonts w:hint="eastAsia" w:hAnsi="宋体" w:cs="宋体"/>
                <w:b w:val="0"/>
                <w:bCs w:val="0"/>
                <w:color w:val="auto"/>
                <w:highlight w:val="none"/>
                <w:lang w:bidi="ar"/>
              </w:rPr>
              <w:t>相关内容符合项目实际。</w:t>
            </w:r>
          </w:p>
          <w:p w14:paraId="4C630C9D">
            <w:pPr>
              <w:widowControl w:val="0"/>
              <w:shd w:val="clear"/>
              <w:spacing w:line="360" w:lineRule="auto"/>
              <w:ind w:firstLine="420" w:firstLineChars="0"/>
              <w:rPr>
                <w:rFonts w:hint="eastAsia" w:hAnsi="宋体" w:cs="宋体"/>
                <w:b w:val="0"/>
                <w:bCs w:val="0"/>
                <w:color w:val="auto"/>
                <w:highlight w:val="none"/>
                <w:lang w:bidi="ar"/>
              </w:rPr>
            </w:pPr>
            <w:r>
              <w:rPr>
                <w:rFonts w:hint="eastAsia" w:hAnsi="宋体" w:cs="宋体"/>
                <w:b w:val="0"/>
                <w:bCs w:val="0"/>
                <w:color w:val="auto"/>
                <w:highlight w:val="none"/>
                <w:lang w:bidi="ar"/>
              </w:rPr>
              <w:t>三档（25分）：</w:t>
            </w:r>
            <w:r>
              <w:rPr>
                <w:rFonts w:hint="eastAsia" w:hAnsi="宋体" w:cs="宋体"/>
                <w:b w:val="0"/>
                <w:bCs w:val="0"/>
                <w:color w:val="auto"/>
                <w:highlight w:val="none"/>
                <w:lang w:eastAsia="zh-CN" w:bidi="ar"/>
              </w:rPr>
              <w:t>采集及检测</w:t>
            </w:r>
            <w:r>
              <w:rPr>
                <w:b w:val="0"/>
                <w:bCs w:val="0"/>
                <w:color w:val="auto"/>
                <w:spacing w:val="7"/>
                <w:highlight w:val="none"/>
              </w:rPr>
              <w:t>实施</w:t>
            </w:r>
            <w:r>
              <w:rPr>
                <w:rFonts w:hint="eastAsia" w:hAnsi="宋体" w:cs="宋体"/>
                <w:b w:val="0"/>
                <w:bCs w:val="0"/>
                <w:color w:val="auto"/>
                <w:highlight w:val="none"/>
                <w:lang w:eastAsia="zh-CN" w:bidi="ar"/>
              </w:rPr>
              <w:t>方案</w:t>
            </w:r>
            <w:r>
              <w:rPr>
                <w:rFonts w:hint="eastAsia" w:hAnsi="宋体" w:cs="宋体"/>
                <w:b w:val="0"/>
                <w:bCs w:val="0"/>
                <w:color w:val="auto"/>
                <w:highlight w:val="none"/>
                <w:lang w:bidi="ar"/>
              </w:rPr>
              <w:t>有</w:t>
            </w:r>
            <w:r>
              <w:rPr>
                <w:b w:val="0"/>
                <w:bCs w:val="0"/>
                <w:color w:val="auto"/>
                <w:spacing w:val="7"/>
                <w:highlight w:val="none"/>
              </w:rPr>
              <w:t>工作流程</w:t>
            </w:r>
            <w:r>
              <w:rPr>
                <w:rFonts w:hint="eastAsia" w:hAnsi="宋体" w:cs="宋体"/>
                <w:b w:val="0"/>
                <w:bCs w:val="0"/>
                <w:color w:val="auto"/>
                <w:highlight w:val="none"/>
                <w:lang w:bidi="ar"/>
              </w:rPr>
              <w:t>；有</w:t>
            </w:r>
            <w:r>
              <w:rPr>
                <w:b w:val="0"/>
                <w:bCs w:val="0"/>
                <w:color w:val="auto"/>
                <w:spacing w:val="6"/>
                <w:highlight w:val="none"/>
              </w:rPr>
              <w:t>分</w:t>
            </w:r>
            <w:r>
              <w:rPr>
                <w:b w:val="0"/>
                <w:bCs w:val="0"/>
                <w:color w:val="auto"/>
                <w:spacing w:val="8"/>
                <w:highlight w:val="none"/>
              </w:rPr>
              <w:t>析方法</w:t>
            </w:r>
            <w:r>
              <w:rPr>
                <w:rFonts w:hint="eastAsia" w:hAnsi="宋体" w:cs="宋体"/>
                <w:b w:val="0"/>
                <w:bCs w:val="0"/>
                <w:color w:val="auto"/>
                <w:highlight w:val="none"/>
                <w:lang w:bidi="ar"/>
              </w:rPr>
              <w:t>；有</w:t>
            </w:r>
            <w:r>
              <w:rPr>
                <w:b w:val="0"/>
                <w:bCs w:val="0"/>
                <w:color w:val="auto"/>
                <w:spacing w:val="8"/>
                <w:highlight w:val="none"/>
              </w:rPr>
              <w:t>质量控制、数据处理</w:t>
            </w:r>
            <w:r>
              <w:rPr>
                <w:rFonts w:hint="eastAsia" w:hAnsi="宋体" w:cs="宋体"/>
                <w:b w:val="0"/>
                <w:bCs w:val="0"/>
                <w:color w:val="auto"/>
                <w:highlight w:val="none"/>
                <w:lang w:bidi="ar"/>
              </w:rPr>
              <w:t>内容；有</w:t>
            </w:r>
            <w:r>
              <w:rPr>
                <w:b w:val="0"/>
                <w:bCs w:val="0"/>
                <w:color w:val="auto"/>
                <w:spacing w:val="12"/>
                <w:highlight w:val="none"/>
              </w:rPr>
              <w:t>项目进度控制措施，数据检查</w:t>
            </w:r>
            <w:r>
              <w:rPr>
                <w:b w:val="0"/>
                <w:bCs w:val="0"/>
                <w:color w:val="auto"/>
                <w:spacing w:val="11"/>
                <w:highlight w:val="none"/>
              </w:rPr>
              <w:t>以及</w:t>
            </w:r>
            <w:r>
              <w:rPr>
                <w:b w:val="0"/>
                <w:bCs w:val="0"/>
                <w:color w:val="auto"/>
                <w:spacing w:val="9"/>
                <w:highlight w:val="none"/>
              </w:rPr>
              <w:t>反馈纠错措施</w:t>
            </w:r>
            <w:r>
              <w:rPr>
                <w:rFonts w:hint="eastAsia"/>
                <w:b w:val="0"/>
                <w:bCs w:val="0"/>
                <w:color w:val="auto"/>
                <w:spacing w:val="9"/>
                <w:highlight w:val="none"/>
              </w:rPr>
              <w:t>内容；有</w:t>
            </w:r>
            <w:r>
              <w:rPr>
                <w:b w:val="0"/>
                <w:bCs w:val="0"/>
                <w:color w:val="auto"/>
                <w:spacing w:val="11"/>
                <w:highlight w:val="none"/>
              </w:rPr>
              <w:t>样品检测</w:t>
            </w:r>
            <w:r>
              <w:rPr>
                <w:b w:val="0"/>
                <w:bCs w:val="0"/>
                <w:color w:val="auto"/>
                <w:spacing w:val="12"/>
                <w:highlight w:val="none"/>
              </w:rPr>
              <w:t>过程质量的保障机制</w:t>
            </w:r>
            <w:r>
              <w:rPr>
                <w:rFonts w:hint="eastAsia"/>
                <w:b w:val="0"/>
                <w:bCs w:val="0"/>
                <w:color w:val="auto"/>
                <w:spacing w:val="12"/>
                <w:highlight w:val="none"/>
              </w:rPr>
              <w:t>；</w:t>
            </w:r>
            <w:r>
              <w:rPr>
                <w:rFonts w:hint="eastAsia" w:hAnsi="宋体" w:cs="宋体"/>
                <w:b w:val="0"/>
                <w:bCs w:val="0"/>
                <w:color w:val="auto"/>
                <w:highlight w:val="none"/>
              </w:rPr>
              <w:t>各方案内容有项目针对性</w:t>
            </w:r>
            <w:r>
              <w:rPr>
                <w:rFonts w:hint="eastAsia" w:hAnsi="宋体" w:cs="宋体"/>
                <w:b w:val="0"/>
                <w:bCs w:val="0"/>
                <w:color w:val="auto"/>
                <w:highlight w:val="none"/>
                <w:lang w:bidi="ar"/>
              </w:rPr>
              <w:t>。</w:t>
            </w:r>
          </w:p>
          <w:p w14:paraId="69EC692C">
            <w:pPr>
              <w:widowControl w:val="0"/>
              <w:shd w:val="clear"/>
              <w:spacing w:line="360" w:lineRule="auto"/>
              <w:ind w:firstLine="420" w:firstLineChars="0"/>
              <w:rPr>
                <w:rFonts w:hint="eastAsia" w:ascii="宋体" w:hAnsi="宋体" w:eastAsia="宋体" w:cs="宋体"/>
                <w:b w:val="0"/>
                <w:bCs w:val="0"/>
                <w:color w:val="auto"/>
                <w:sz w:val="21"/>
                <w:szCs w:val="21"/>
                <w:highlight w:val="none"/>
                <w:lang w:eastAsia="zh-CN"/>
              </w:rPr>
            </w:pPr>
            <w:r>
              <w:rPr>
                <w:rFonts w:hint="eastAsia" w:hAnsi="宋体" w:cs="宋体"/>
                <w:b w:val="0"/>
                <w:bCs w:val="0"/>
                <w:color w:val="auto"/>
                <w:highlight w:val="none"/>
                <w:lang w:bidi="ar"/>
              </w:rPr>
              <w:t>注：不满足一档要求的不得分。</w:t>
            </w:r>
          </w:p>
        </w:tc>
      </w:tr>
      <w:tr w14:paraId="64F0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1E59FA9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73BEC59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0CE4870D">
            <w:pPr>
              <w:widowControl w:val="0"/>
              <w:shd w:val="clear"/>
              <w:spacing w:line="360" w:lineRule="auto"/>
              <w:ind w:firstLine="0" w:firstLineChars="0"/>
              <w:jc w:val="center"/>
              <w:rPr>
                <w:rFonts w:hint="eastAsia" w:ascii="宋体" w:hAnsi="宋体" w:eastAsia="宋体" w:cs="宋体"/>
                <w:b w:val="0"/>
                <w:bCs w:val="0"/>
                <w:color w:val="auto"/>
                <w:spacing w:val="-4"/>
                <w:sz w:val="21"/>
                <w:szCs w:val="21"/>
                <w:highlight w:val="none"/>
                <w:vertAlign w:val="baseline"/>
                <w:lang w:eastAsia="zh-CN"/>
              </w:rPr>
            </w:pPr>
            <w:r>
              <w:rPr>
                <w:rFonts w:hint="eastAsia" w:ascii="宋体" w:hAnsi="宋体" w:eastAsia="宋体" w:cs="宋体"/>
                <w:b w:val="0"/>
                <w:bCs w:val="0"/>
                <w:color w:val="auto"/>
                <w:spacing w:val="-4"/>
                <w:sz w:val="21"/>
                <w:szCs w:val="21"/>
                <w:highlight w:val="none"/>
                <w:vertAlign w:val="baseline"/>
                <w:lang w:val="en-US" w:eastAsia="zh-CN"/>
              </w:rPr>
              <w:t>质量控制方案分</w:t>
            </w:r>
            <w:r>
              <w:rPr>
                <w:rFonts w:hint="eastAsia" w:hAnsi="宋体" w:cs="宋体"/>
                <w:b w:val="0"/>
                <w:bCs w:val="0"/>
                <w:color w:val="auto"/>
                <w:highlight w:val="none"/>
              </w:rPr>
              <w:t>（满分</w:t>
            </w:r>
            <w:r>
              <w:rPr>
                <w:rFonts w:hint="eastAsia" w:hAnsi="宋体" w:cs="宋体"/>
                <w:b w:val="0"/>
                <w:bCs w:val="0"/>
                <w:color w:val="auto"/>
                <w:highlight w:val="none"/>
                <w:lang w:val="en-US" w:eastAsia="zh-CN"/>
              </w:rPr>
              <w:t>15</w:t>
            </w:r>
            <w:r>
              <w:rPr>
                <w:rFonts w:hint="eastAsia" w:hAnsi="宋体" w:cs="宋体"/>
                <w:b w:val="0"/>
                <w:bCs w:val="0"/>
                <w:color w:val="auto"/>
                <w:highlight w:val="none"/>
              </w:rPr>
              <w:t>分）</w:t>
            </w:r>
          </w:p>
          <w:p w14:paraId="60F093D2">
            <w:pPr>
              <w:widowControl w:val="0"/>
              <w:shd w:val="clear"/>
              <w:spacing w:line="360" w:lineRule="auto"/>
              <w:ind w:firstLine="0" w:firstLineChars="0"/>
              <w:jc w:val="center"/>
              <w:rPr>
                <w:rFonts w:hint="eastAsia" w:ascii="宋体" w:hAnsi="宋体" w:eastAsia="宋体" w:cs="宋体"/>
                <w:b w:val="0"/>
                <w:bCs w:val="0"/>
                <w:color w:val="auto"/>
                <w:spacing w:val="-4"/>
                <w:sz w:val="21"/>
                <w:szCs w:val="21"/>
                <w:highlight w:val="none"/>
                <w:vertAlign w:val="baseline"/>
                <w:lang w:eastAsia="zh-CN"/>
              </w:rPr>
            </w:pPr>
          </w:p>
        </w:tc>
        <w:tc>
          <w:tcPr>
            <w:tcW w:w="6031" w:type="dxa"/>
            <w:vAlign w:val="center"/>
          </w:tcPr>
          <w:p w14:paraId="50480C93">
            <w:pPr>
              <w:widowControl w:val="0"/>
              <w:shd w:val="clear"/>
              <w:spacing w:line="360" w:lineRule="auto"/>
              <w:ind w:firstLine="420" w:firstLineChars="0"/>
              <w:rPr>
                <w:rFonts w:hint="eastAsia" w:hAnsi="宋体" w:cs="宋体"/>
                <w:b w:val="0"/>
                <w:bCs w:val="0"/>
                <w:color w:val="auto"/>
                <w:highlight w:val="none"/>
                <w:lang w:eastAsia="zh-CN" w:bidi="ar"/>
              </w:rPr>
            </w:pPr>
            <w:r>
              <w:rPr>
                <w:rFonts w:hint="eastAsia" w:hAnsi="宋体" w:cs="宋体"/>
                <w:b w:val="0"/>
                <w:bCs w:val="0"/>
                <w:color w:val="auto"/>
                <w:highlight w:val="none"/>
                <w:lang w:val="en-US" w:eastAsia="zh-CN" w:bidi="ar"/>
              </w:rPr>
              <w:t xml:space="preserve">根据项目实际情况，提供与农产品检测项目要求的质量控制方 案、售后服务方案、投入仪器设备情况等。质量控制方案设计要求 合理、可行，能科学合理控制本项目样品检测质量。 </w:t>
            </w:r>
          </w:p>
          <w:p w14:paraId="3F93AF83">
            <w:pPr>
              <w:widowControl w:val="0"/>
              <w:shd w:val="clear"/>
              <w:spacing w:line="360" w:lineRule="auto"/>
              <w:ind w:firstLine="420" w:firstLineChars="0"/>
              <w:rPr>
                <w:rFonts w:hint="eastAsia" w:hAnsi="宋体" w:cs="宋体"/>
                <w:b w:val="0"/>
                <w:bCs w:val="0"/>
                <w:color w:val="auto"/>
                <w:highlight w:val="none"/>
                <w:lang w:eastAsia="zh-CN" w:bidi="ar"/>
              </w:rPr>
            </w:pPr>
            <w:r>
              <w:rPr>
                <w:rFonts w:hint="eastAsia" w:hAnsi="宋体" w:cs="宋体"/>
                <w:b w:val="0"/>
                <w:bCs w:val="0"/>
                <w:color w:val="auto"/>
                <w:highlight w:val="none"/>
                <w:lang w:val="en-US" w:eastAsia="zh-CN" w:bidi="ar"/>
              </w:rPr>
              <w:t xml:space="preserve">一档（5 分）：提供了简单通用的项目进度计划安排，基本能保证项目实施，质量控制措施简单； </w:t>
            </w:r>
          </w:p>
          <w:p w14:paraId="1E988C52">
            <w:pPr>
              <w:widowControl w:val="0"/>
              <w:shd w:val="clear"/>
              <w:spacing w:line="360" w:lineRule="auto"/>
              <w:ind w:firstLine="420" w:firstLineChars="0"/>
              <w:rPr>
                <w:rFonts w:hint="eastAsia" w:hAnsi="宋体" w:cs="宋体"/>
                <w:b w:val="0"/>
                <w:bCs w:val="0"/>
                <w:color w:val="auto"/>
                <w:highlight w:val="none"/>
                <w:lang w:eastAsia="zh-CN" w:bidi="ar"/>
              </w:rPr>
            </w:pPr>
            <w:r>
              <w:rPr>
                <w:rFonts w:hint="eastAsia" w:hAnsi="宋体" w:cs="宋体"/>
                <w:b w:val="0"/>
                <w:bCs w:val="0"/>
                <w:color w:val="auto"/>
                <w:highlight w:val="none"/>
                <w:lang w:val="en-US" w:eastAsia="zh-CN" w:bidi="ar"/>
              </w:rPr>
              <w:t xml:space="preserve">二档（10分）：提供了合理的项目进度计划安排及质量保障措 施，并且有一定的技术保障，但不够详细、全面； </w:t>
            </w:r>
          </w:p>
          <w:p w14:paraId="789E81A3">
            <w:pPr>
              <w:widowControl w:val="0"/>
              <w:shd w:val="clear"/>
              <w:spacing w:line="360" w:lineRule="auto"/>
              <w:ind w:firstLine="420" w:firstLineChars="0"/>
              <w:rPr>
                <w:rFonts w:hint="eastAsia" w:hAnsi="宋体" w:cs="宋体"/>
                <w:b w:val="0"/>
                <w:bCs w:val="0"/>
                <w:color w:val="auto"/>
                <w:highlight w:val="none"/>
                <w:lang w:val="en-US" w:eastAsia="zh-CN" w:bidi="ar"/>
              </w:rPr>
            </w:pPr>
            <w:r>
              <w:rPr>
                <w:rFonts w:hint="eastAsia" w:hAnsi="宋体" w:cs="宋体"/>
                <w:b w:val="0"/>
                <w:bCs w:val="0"/>
                <w:color w:val="auto"/>
                <w:highlight w:val="none"/>
                <w:lang w:val="en-US" w:eastAsia="zh-CN" w:bidi="ar"/>
              </w:rPr>
              <w:t>三档（15分）：提供了详细合理的项目进度计划安排，总体目 标清晰明确，质量保障措施切实可行。</w:t>
            </w:r>
          </w:p>
          <w:p w14:paraId="0F21BF07">
            <w:pPr>
              <w:widowControl w:val="0"/>
              <w:shd w:val="clear"/>
              <w:spacing w:line="360" w:lineRule="auto"/>
              <w:ind w:firstLine="420" w:firstLineChars="0"/>
              <w:rPr>
                <w:rFonts w:hint="eastAsia" w:hAnsi="宋体" w:cs="宋体"/>
                <w:b w:val="0"/>
                <w:bCs w:val="0"/>
                <w:color w:val="auto"/>
                <w:highlight w:val="none"/>
                <w:lang w:val="en-US" w:eastAsia="zh-CN" w:bidi="ar"/>
              </w:rPr>
            </w:pPr>
            <w:r>
              <w:rPr>
                <w:rFonts w:hint="eastAsia" w:hAnsi="宋体" w:cs="宋体"/>
                <w:b w:val="0"/>
                <w:bCs w:val="0"/>
                <w:color w:val="auto"/>
                <w:highlight w:val="none"/>
                <w:lang w:bidi="ar"/>
              </w:rPr>
              <w:t>注：不提供或不满足一档要求的不得分。</w:t>
            </w:r>
          </w:p>
        </w:tc>
      </w:tr>
      <w:tr w14:paraId="3BE9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3EAED4B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74F7680E">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5D5894C8">
            <w:pPr>
              <w:widowControl w:val="0"/>
              <w:shd w:val="clear"/>
              <w:spacing w:line="360" w:lineRule="auto"/>
              <w:ind w:firstLine="0" w:firstLineChars="0"/>
              <w:jc w:val="center"/>
              <w:rPr>
                <w:rFonts w:hint="eastAsia" w:hAnsi="宋体" w:cs="宋体"/>
                <w:b w:val="0"/>
                <w:bCs w:val="0"/>
                <w:color w:val="auto"/>
                <w:highlight w:val="none"/>
              </w:rPr>
            </w:pPr>
            <w:r>
              <w:rPr>
                <w:rFonts w:hint="eastAsia" w:hAnsi="宋体" w:cs="宋体"/>
                <w:b w:val="0"/>
                <w:bCs w:val="0"/>
                <w:color w:val="auto"/>
                <w:highlight w:val="none"/>
              </w:rPr>
              <w:t>重点难点分析</w:t>
            </w:r>
          </w:p>
          <w:p w14:paraId="02D85A2A">
            <w:pPr>
              <w:widowControl w:val="0"/>
              <w:shd w:val="clear"/>
              <w:spacing w:line="360" w:lineRule="auto"/>
              <w:ind w:firstLine="0" w:firstLineChars="0"/>
              <w:jc w:val="center"/>
              <w:rPr>
                <w:rFonts w:hint="eastAsia" w:ascii="宋体" w:hAnsi="宋体" w:eastAsia="宋体" w:cs="宋体"/>
                <w:b w:val="0"/>
                <w:bCs w:val="0"/>
                <w:color w:val="auto"/>
                <w:spacing w:val="-4"/>
                <w:sz w:val="21"/>
                <w:szCs w:val="21"/>
                <w:highlight w:val="none"/>
                <w:vertAlign w:val="baseline"/>
              </w:rPr>
            </w:pPr>
            <w:r>
              <w:rPr>
                <w:rFonts w:hint="eastAsia" w:hAnsi="宋体" w:cs="宋体"/>
                <w:b w:val="0"/>
                <w:bCs w:val="0"/>
                <w:color w:val="auto"/>
                <w:highlight w:val="none"/>
              </w:rPr>
              <w:t>（满分15分）</w:t>
            </w:r>
          </w:p>
        </w:tc>
        <w:tc>
          <w:tcPr>
            <w:tcW w:w="6031" w:type="dxa"/>
            <w:vAlign w:val="center"/>
          </w:tcPr>
          <w:p w14:paraId="07F651D1">
            <w:pPr>
              <w:widowControl w:val="0"/>
              <w:shd w:val="clear"/>
              <w:spacing w:line="360" w:lineRule="auto"/>
              <w:ind w:firstLine="420" w:firstLineChars="0"/>
              <w:rPr>
                <w:rFonts w:hint="eastAsia" w:hAnsi="宋体" w:cs="宋体"/>
                <w:b w:val="0"/>
                <w:bCs w:val="0"/>
                <w:color w:val="auto"/>
                <w:highlight w:val="none"/>
                <w:lang w:bidi="ar"/>
              </w:rPr>
            </w:pPr>
            <w:r>
              <w:rPr>
                <w:rFonts w:hint="eastAsia" w:hAnsi="宋体" w:cs="宋体"/>
                <w:b w:val="0"/>
                <w:bCs w:val="0"/>
                <w:color w:val="auto"/>
                <w:highlight w:val="none"/>
                <w:lang w:val="en-US" w:eastAsia="zh-CN" w:bidi="ar"/>
              </w:rPr>
              <w:t>一</w:t>
            </w:r>
            <w:r>
              <w:rPr>
                <w:rFonts w:hint="eastAsia" w:hAnsi="宋体" w:cs="宋体"/>
                <w:b w:val="0"/>
                <w:bCs w:val="0"/>
                <w:color w:val="auto"/>
                <w:highlight w:val="none"/>
                <w:lang w:bidi="ar"/>
              </w:rPr>
              <w:t>档（</w:t>
            </w:r>
            <w:r>
              <w:rPr>
                <w:rFonts w:hint="eastAsia" w:hAnsi="宋体" w:cs="宋体"/>
                <w:b w:val="0"/>
                <w:bCs w:val="0"/>
                <w:color w:val="auto"/>
                <w:highlight w:val="none"/>
                <w:lang w:val="en-US" w:eastAsia="zh-CN" w:bidi="ar"/>
              </w:rPr>
              <w:t>5</w:t>
            </w:r>
            <w:r>
              <w:rPr>
                <w:rFonts w:hint="eastAsia" w:hAnsi="宋体" w:cs="宋体"/>
                <w:b w:val="0"/>
                <w:bCs w:val="0"/>
                <w:color w:val="auto"/>
                <w:highlight w:val="none"/>
                <w:lang w:bidi="ar"/>
              </w:rPr>
              <w:t xml:space="preserve"> 分）</w:t>
            </w:r>
            <w:r>
              <w:rPr>
                <w:rFonts w:hint="eastAsia" w:hAnsi="宋体" w:cs="宋体"/>
                <w:b w:val="0"/>
                <w:bCs w:val="0"/>
                <w:color w:val="auto"/>
                <w:highlight w:val="none"/>
                <w:lang w:eastAsia="zh-CN" w:bidi="ar"/>
              </w:rPr>
              <w:t>：</w:t>
            </w:r>
            <w:r>
              <w:rPr>
                <w:rFonts w:hint="eastAsia" w:hAnsi="宋体" w:cs="宋体"/>
                <w:b w:val="0"/>
                <w:bCs w:val="0"/>
                <w:color w:val="auto"/>
                <w:highlight w:val="none"/>
                <w:lang w:bidi="ar"/>
              </w:rPr>
              <w:t>能够提出与本项目有关的风险分析，能够列举项目实施和项目整合过程中存在的风险；</w:t>
            </w:r>
          </w:p>
          <w:p w14:paraId="14D5668F">
            <w:pPr>
              <w:widowControl w:val="0"/>
              <w:shd w:val="clear"/>
              <w:spacing w:line="360" w:lineRule="auto"/>
              <w:ind w:firstLine="420" w:firstLineChars="0"/>
              <w:rPr>
                <w:rFonts w:hint="eastAsia" w:hAnsi="宋体" w:cs="宋体"/>
                <w:b w:val="0"/>
                <w:bCs w:val="0"/>
                <w:color w:val="auto"/>
                <w:highlight w:val="none"/>
                <w:lang w:bidi="ar"/>
              </w:rPr>
            </w:pPr>
            <w:r>
              <w:rPr>
                <w:rFonts w:hint="eastAsia" w:hAnsi="宋体" w:cs="宋体"/>
                <w:b w:val="0"/>
                <w:bCs w:val="0"/>
                <w:color w:val="auto"/>
                <w:highlight w:val="none"/>
                <w:lang w:val="en-US" w:eastAsia="zh-CN" w:bidi="ar"/>
              </w:rPr>
              <w:t>二</w:t>
            </w:r>
            <w:r>
              <w:rPr>
                <w:rFonts w:hint="eastAsia" w:hAnsi="宋体" w:cs="宋体"/>
                <w:b w:val="0"/>
                <w:bCs w:val="0"/>
                <w:color w:val="auto"/>
                <w:highlight w:val="none"/>
                <w:lang w:bidi="ar"/>
              </w:rPr>
              <w:t>档（</w:t>
            </w:r>
            <w:r>
              <w:rPr>
                <w:rFonts w:hint="eastAsia" w:hAnsi="宋体" w:cs="宋体"/>
                <w:b w:val="0"/>
                <w:bCs w:val="0"/>
                <w:color w:val="auto"/>
                <w:highlight w:val="none"/>
                <w:lang w:val="en-US" w:eastAsia="zh-CN" w:bidi="ar"/>
              </w:rPr>
              <w:t>10</w:t>
            </w:r>
            <w:r>
              <w:rPr>
                <w:rFonts w:hint="eastAsia" w:hAnsi="宋体" w:cs="宋体"/>
                <w:b w:val="0"/>
                <w:bCs w:val="0"/>
                <w:color w:val="auto"/>
                <w:highlight w:val="none"/>
                <w:lang w:bidi="ar"/>
              </w:rPr>
              <w:t xml:space="preserve"> 分）</w:t>
            </w:r>
            <w:r>
              <w:rPr>
                <w:rFonts w:hint="eastAsia" w:hAnsi="宋体" w:cs="宋体"/>
                <w:b w:val="0"/>
                <w:bCs w:val="0"/>
                <w:color w:val="auto"/>
                <w:highlight w:val="none"/>
                <w:lang w:eastAsia="zh-CN" w:bidi="ar"/>
              </w:rPr>
              <w:t>：</w:t>
            </w:r>
            <w:r>
              <w:rPr>
                <w:rFonts w:hint="eastAsia" w:hAnsi="宋体" w:cs="宋体"/>
                <w:b w:val="0"/>
                <w:bCs w:val="0"/>
                <w:color w:val="auto"/>
                <w:highlight w:val="none"/>
                <w:lang w:bidi="ar"/>
              </w:rPr>
              <w:t>能够提出与本项目有关的风险分析，能够列举项目实施和项目整合过程中存在的风险，并提供合理解决方案。</w:t>
            </w:r>
          </w:p>
          <w:p w14:paraId="78B2E601">
            <w:pPr>
              <w:widowControl w:val="0"/>
              <w:shd w:val="clear"/>
              <w:spacing w:line="360" w:lineRule="auto"/>
              <w:ind w:firstLine="420" w:firstLineChars="0"/>
              <w:rPr>
                <w:rFonts w:hint="default" w:hAnsi="宋体" w:eastAsia="宋体" w:cs="宋体"/>
                <w:b w:val="0"/>
                <w:bCs w:val="0"/>
                <w:color w:val="auto"/>
                <w:highlight w:val="none"/>
                <w:lang w:val="en-US" w:eastAsia="zh-CN" w:bidi="ar"/>
              </w:rPr>
            </w:pPr>
            <w:r>
              <w:rPr>
                <w:rFonts w:hint="eastAsia" w:hAnsi="宋体" w:cs="宋体"/>
                <w:b w:val="0"/>
                <w:bCs w:val="0"/>
                <w:color w:val="auto"/>
                <w:highlight w:val="none"/>
                <w:lang w:val="en-US" w:eastAsia="zh-CN" w:bidi="ar"/>
              </w:rPr>
              <w:t>三</w:t>
            </w:r>
            <w:r>
              <w:rPr>
                <w:rFonts w:hint="eastAsia" w:hAnsi="宋体" w:cs="宋体"/>
                <w:b w:val="0"/>
                <w:bCs w:val="0"/>
                <w:color w:val="auto"/>
                <w:highlight w:val="none"/>
                <w:lang w:bidi="ar"/>
              </w:rPr>
              <w:t>档（</w:t>
            </w:r>
            <w:r>
              <w:rPr>
                <w:rFonts w:hint="eastAsia" w:hAnsi="宋体" w:cs="宋体"/>
                <w:b w:val="0"/>
                <w:bCs w:val="0"/>
                <w:color w:val="auto"/>
                <w:highlight w:val="none"/>
                <w:lang w:val="en-US" w:eastAsia="zh-CN" w:bidi="ar"/>
              </w:rPr>
              <w:t>15</w:t>
            </w:r>
            <w:r>
              <w:rPr>
                <w:rFonts w:hint="eastAsia" w:hAnsi="宋体" w:cs="宋体"/>
                <w:b w:val="0"/>
                <w:bCs w:val="0"/>
                <w:color w:val="auto"/>
                <w:highlight w:val="none"/>
                <w:lang w:bidi="ar"/>
              </w:rPr>
              <w:t>分）</w:t>
            </w:r>
            <w:r>
              <w:rPr>
                <w:rFonts w:hint="eastAsia" w:hAnsi="宋体" w:cs="宋体"/>
                <w:b w:val="0"/>
                <w:bCs w:val="0"/>
                <w:color w:val="auto"/>
                <w:highlight w:val="none"/>
                <w:lang w:eastAsia="zh-CN" w:bidi="ar"/>
              </w:rPr>
              <w:t>：</w:t>
            </w:r>
            <w:r>
              <w:rPr>
                <w:rFonts w:hint="eastAsia" w:hAnsi="宋体" w:cs="宋体"/>
                <w:b w:val="0"/>
                <w:bCs w:val="0"/>
                <w:color w:val="auto"/>
                <w:highlight w:val="none"/>
                <w:lang w:bidi="ar"/>
              </w:rPr>
              <w:t>能够提出与本项目有关的风险分析，重点较突出，能够列举项目实施和项目整合过程中存在的风险，并提供合理解决</w:t>
            </w:r>
            <w:r>
              <w:rPr>
                <w:rFonts w:hint="eastAsia" w:hAnsi="宋体" w:cs="宋体"/>
                <w:b w:val="0"/>
                <w:bCs w:val="0"/>
                <w:color w:val="auto"/>
                <w:highlight w:val="none"/>
                <w:lang w:val="en-US" w:eastAsia="zh-CN" w:bidi="ar"/>
              </w:rPr>
              <w:t>方案和应对措施。</w:t>
            </w:r>
          </w:p>
          <w:p w14:paraId="591B8597">
            <w:pPr>
              <w:widowControl w:val="0"/>
              <w:shd w:val="clear"/>
              <w:spacing w:line="360" w:lineRule="auto"/>
              <w:ind w:firstLine="420" w:firstLineChars="0"/>
              <w:rPr>
                <w:rFonts w:hint="eastAsia" w:ascii="宋体" w:hAnsi="宋体" w:eastAsia="宋体" w:cs="宋体"/>
                <w:b w:val="0"/>
                <w:bCs w:val="0"/>
                <w:color w:val="auto"/>
                <w:spacing w:val="-4"/>
                <w:sz w:val="21"/>
                <w:szCs w:val="21"/>
                <w:highlight w:val="none"/>
                <w:vertAlign w:val="baseline"/>
              </w:rPr>
            </w:pPr>
            <w:r>
              <w:rPr>
                <w:rFonts w:hint="eastAsia" w:hAnsi="宋体" w:cs="宋体"/>
                <w:b w:val="0"/>
                <w:bCs w:val="0"/>
                <w:color w:val="auto"/>
                <w:highlight w:val="none"/>
                <w:lang w:bidi="ar"/>
              </w:rPr>
              <w:t>注：不提供或不满足一档要求的不得分。</w:t>
            </w:r>
          </w:p>
        </w:tc>
      </w:tr>
      <w:tr w14:paraId="458C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5" w:type="dxa"/>
            <w:gridSpan w:val="4"/>
          </w:tcPr>
          <w:p w14:paraId="4AC0BFE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b w:val="0"/>
                <w:bCs w:val="0"/>
                <w:color w:val="auto"/>
                <w:spacing w:val="-4"/>
                <w:sz w:val="21"/>
                <w:szCs w:val="21"/>
                <w:highlight w:val="none"/>
              </w:rPr>
              <w:t>总得分=1+2+3</w:t>
            </w:r>
          </w:p>
        </w:tc>
      </w:tr>
    </w:tbl>
    <w:p w14:paraId="5657C1D0">
      <w:pPr>
        <w:shd w:val="clear"/>
        <w:rPr>
          <w:color w:val="auto"/>
          <w:highlight w:val="none"/>
        </w:rPr>
      </w:pPr>
      <w:r>
        <w:rPr>
          <w:color w:val="auto"/>
          <w:highlight w:val="none"/>
        </w:rPr>
        <w:br w:type="page"/>
      </w:r>
    </w:p>
    <w:p w14:paraId="1D384B87">
      <w:pPr>
        <w:shd w:val="clear"/>
        <w:rPr>
          <w:rFonts w:hint="default" w:eastAsia="宋体"/>
          <w:color w:val="auto"/>
          <w:highlight w:val="none"/>
          <w:lang w:val="en-US" w:eastAsia="zh-CN"/>
        </w:rPr>
      </w:pPr>
      <w:r>
        <w:rPr>
          <w:rFonts w:hint="eastAsia"/>
          <w:b/>
          <w:bCs/>
          <w:color w:val="auto"/>
          <w:sz w:val="22"/>
          <w:szCs w:val="28"/>
          <w:highlight w:val="none"/>
          <w:lang w:val="en-US" w:eastAsia="zh-CN"/>
        </w:rPr>
        <w:t>分标3：</w:t>
      </w:r>
    </w:p>
    <w:tbl>
      <w:tblPr>
        <w:tblStyle w:val="53"/>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248"/>
        <w:gridCol w:w="1504"/>
        <w:gridCol w:w="6031"/>
      </w:tblGrid>
      <w:tr w14:paraId="7674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0" w:type="dxa"/>
            <w:gridSpan w:val="2"/>
            <w:vAlign w:val="top"/>
          </w:tcPr>
          <w:p w14:paraId="1D722C22">
            <w:pPr>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404" w:firstLineChars="200"/>
              <w:textAlignment w:val="auto"/>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b w:val="0"/>
                <w:bCs w:val="0"/>
                <w:color w:val="auto"/>
                <w:spacing w:val="-4"/>
                <w:sz w:val="21"/>
                <w:szCs w:val="21"/>
                <w:highlight w:val="none"/>
              </w:rPr>
              <w:t>序号</w:t>
            </w:r>
          </w:p>
        </w:tc>
        <w:tc>
          <w:tcPr>
            <w:tcW w:w="1504" w:type="dxa"/>
            <w:vAlign w:val="top"/>
          </w:tcPr>
          <w:p w14:paraId="4CE594B0">
            <w:pPr>
              <w:keepNext w:val="0"/>
              <w:keepLines w:val="0"/>
              <w:pageBreakBefore w:val="0"/>
              <w:widowControl w:val="0"/>
              <w:shd w:val="clear"/>
              <w:kinsoku/>
              <w:wordWrap/>
              <w:overflowPunct/>
              <w:topLinePunct w:val="0"/>
              <w:autoSpaceDE/>
              <w:autoSpaceDN/>
              <w:bidi w:val="0"/>
              <w:adjustRightInd/>
              <w:snapToGrid/>
              <w:spacing w:line="360" w:lineRule="exact"/>
              <w:ind w:right="0" w:rightChars="0"/>
              <w:textAlignment w:val="auto"/>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b w:val="0"/>
                <w:bCs w:val="0"/>
                <w:color w:val="auto"/>
                <w:spacing w:val="-5"/>
                <w:sz w:val="21"/>
                <w:szCs w:val="21"/>
                <w:highlight w:val="none"/>
              </w:rPr>
              <w:t>评分</w:t>
            </w:r>
            <w:r>
              <w:rPr>
                <w:rFonts w:hint="eastAsia" w:ascii="宋体" w:hAnsi="宋体" w:eastAsia="宋体" w:cs="宋体"/>
                <w:b w:val="0"/>
                <w:bCs w:val="0"/>
                <w:color w:val="auto"/>
                <w:spacing w:val="-20"/>
                <w:sz w:val="21"/>
                <w:szCs w:val="21"/>
                <w:highlight w:val="none"/>
              </w:rPr>
              <w:t>因素</w:t>
            </w:r>
          </w:p>
        </w:tc>
        <w:tc>
          <w:tcPr>
            <w:tcW w:w="6031" w:type="dxa"/>
            <w:vAlign w:val="top"/>
          </w:tcPr>
          <w:p w14:paraId="2E314970">
            <w:pPr>
              <w:keepNext w:val="0"/>
              <w:keepLines w:val="0"/>
              <w:pageBreakBefore w:val="0"/>
              <w:widowControl w:val="0"/>
              <w:shd w:val="clear"/>
              <w:kinsoku/>
              <w:wordWrap/>
              <w:overflowPunct/>
              <w:topLinePunct w:val="0"/>
              <w:autoSpaceDE/>
              <w:autoSpaceDN/>
              <w:bidi w:val="0"/>
              <w:adjustRightInd/>
              <w:snapToGrid/>
              <w:spacing w:line="360" w:lineRule="exact"/>
              <w:ind w:left="0" w:leftChars="0" w:right="0" w:rightChars="0" w:firstLine="428" w:firstLineChars="200"/>
              <w:textAlignment w:val="auto"/>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b w:val="0"/>
                <w:bCs w:val="0"/>
                <w:color w:val="auto"/>
                <w:spacing w:val="2"/>
                <w:sz w:val="21"/>
                <w:szCs w:val="21"/>
                <w:highlight w:val="none"/>
              </w:rPr>
              <w:t>评分标准</w:t>
            </w:r>
          </w:p>
        </w:tc>
      </w:tr>
      <w:tr w14:paraId="7F73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4CFDA0E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p>
        </w:tc>
        <w:tc>
          <w:tcPr>
            <w:tcW w:w="1248" w:type="dxa"/>
            <w:vAlign w:val="center"/>
          </w:tcPr>
          <w:p w14:paraId="66DAA67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价格分（满分 10 分）</w:t>
            </w:r>
          </w:p>
        </w:tc>
        <w:tc>
          <w:tcPr>
            <w:tcW w:w="1504" w:type="dxa"/>
            <w:vAlign w:val="center"/>
          </w:tcPr>
          <w:p w14:paraId="56F37AC3">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价格分</w:t>
            </w:r>
          </w:p>
        </w:tc>
        <w:tc>
          <w:tcPr>
            <w:tcW w:w="6031" w:type="dxa"/>
            <w:vAlign w:val="top"/>
          </w:tcPr>
          <w:p w14:paraId="5166DC72">
            <w:pPr>
              <w:shd w:val="clea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（1）评审价为供应商的最后报价，最终成交供应商的成交金额等于最后报价（如有修正，以确认修正后的最后报价为准）。</w:t>
            </w:r>
          </w:p>
          <w:p w14:paraId="21A070B7">
            <w:pPr>
              <w:shd w:val="clea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2）本项目为专门面向中小企业采购的项目，参加本项目磋商的供应商必须为中小微企业，或监狱企业，或残疾人福利性单位，否则响应无效。价格评审时，参加本次项目响应的供应商不重复享受政策，其评审价=最后报价。</w:t>
            </w:r>
          </w:p>
          <w:p w14:paraId="2ED5C1D1">
            <w:pPr>
              <w:shd w:val="clear"/>
              <w:spacing w:line="36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（3）以进入比较与评价环节的最低的评审价为基准价，基准价得分为</w:t>
            </w:r>
            <w:r>
              <w:rPr>
                <w:rFonts w:hint="eastAsia" w:ascii="宋体" w:hAnsi="宋体" w:cs="宋体"/>
                <w:bCs/>
                <w:color w:val="auto"/>
                <w:kern w:val="2"/>
                <w:sz w:val="21"/>
                <w:szCs w:val="21"/>
                <w:highlight w:val="none"/>
                <w:lang w:val="en-US" w:eastAsia="zh-CN" w:bidi="ar-SA"/>
              </w:rPr>
              <w:t>10</w:t>
            </w:r>
            <w:r>
              <w:rPr>
                <w:rFonts w:hint="eastAsia" w:ascii="宋体" w:hAnsi="宋体" w:eastAsia="宋体" w:cs="宋体"/>
                <w:bCs/>
                <w:color w:val="auto"/>
                <w:kern w:val="2"/>
                <w:sz w:val="21"/>
                <w:szCs w:val="21"/>
                <w:highlight w:val="none"/>
                <w:lang w:val="en-US" w:eastAsia="zh-CN" w:bidi="ar-SA"/>
              </w:rPr>
              <w:t>分。</w:t>
            </w:r>
          </w:p>
          <w:p w14:paraId="03550914">
            <w:pPr>
              <w:keepNext w:val="0"/>
              <w:keepLines w:val="0"/>
              <w:pageBreakBefore w:val="0"/>
              <w:widowControl w:val="0"/>
              <w:shd w:val="clear"/>
              <w:kinsoku/>
              <w:wordWrap/>
              <w:overflowPunct/>
              <w:topLinePunct w:val="0"/>
              <w:autoSpaceDE/>
              <w:autoSpaceDN/>
              <w:bidi w:val="0"/>
              <w:adjustRightInd/>
              <w:snapToGrid/>
              <w:spacing w:line="360" w:lineRule="exact"/>
              <w:ind w:right="456" w:rightChars="217"/>
              <w:textAlignment w:val="auto"/>
              <w:rPr>
                <w:rFonts w:hint="eastAsia" w:ascii="宋体" w:hAnsi="宋体" w:eastAsia="宋体" w:cs="宋体"/>
                <w:b w:val="0"/>
                <w:bCs w:val="0"/>
                <w:color w:val="auto"/>
                <w:sz w:val="21"/>
                <w:szCs w:val="21"/>
                <w:highlight w:val="none"/>
              </w:rPr>
            </w:pPr>
            <w:r>
              <w:rPr>
                <w:rFonts w:hint="eastAsia" w:ascii="宋体" w:hAnsi="宋体" w:eastAsia="宋体" w:cs="宋体"/>
                <w:bCs/>
                <w:color w:val="auto"/>
                <w:kern w:val="2"/>
                <w:sz w:val="21"/>
                <w:szCs w:val="21"/>
                <w:highlight w:val="none"/>
                <w:lang w:val="en-US" w:eastAsia="zh-CN" w:bidi="ar-SA"/>
              </w:rPr>
              <w:t>（4）价格分计算公式：报价得分=（基准价/最后报价）×</w:t>
            </w:r>
            <w:r>
              <w:rPr>
                <w:rFonts w:hint="eastAsia" w:ascii="宋体" w:hAnsi="宋体" w:cs="宋体"/>
                <w:bCs/>
                <w:color w:val="auto"/>
                <w:kern w:val="2"/>
                <w:sz w:val="21"/>
                <w:szCs w:val="21"/>
                <w:highlight w:val="none"/>
                <w:lang w:val="en-US" w:eastAsia="zh-CN" w:bidi="ar-SA"/>
              </w:rPr>
              <w:t>10</w:t>
            </w:r>
            <w:r>
              <w:rPr>
                <w:rFonts w:hint="eastAsia" w:ascii="宋体" w:hAnsi="宋体" w:eastAsia="宋体" w:cs="宋体"/>
                <w:bCs/>
                <w:color w:val="auto"/>
                <w:kern w:val="2"/>
                <w:sz w:val="21"/>
                <w:szCs w:val="21"/>
                <w:highlight w:val="none"/>
                <w:lang w:val="en-US" w:eastAsia="zh-CN" w:bidi="ar-SA"/>
              </w:rPr>
              <w:t>分</w:t>
            </w:r>
          </w:p>
        </w:tc>
      </w:tr>
      <w:tr w14:paraId="17B1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restart"/>
          </w:tcPr>
          <w:p w14:paraId="75C88BC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pacing w:val="-4"/>
                <w:sz w:val="21"/>
                <w:szCs w:val="21"/>
                <w:highlight w:val="none"/>
                <w:vertAlign w:val="baseline"/>
                <w:lang w:val="en-US" w:eastAsia="zh-CN"/>
              </w:rPr>
            </w:pPr>
          </w:p>
          <w:p w14:paraId="151AE9F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pacing w:val="-4"/>
                <w:sz w:val="21"/>
                <w:szCs w:val="21"/>
                <w:highlight w:val="none"/>
                <w:vertAlign w:val="baseline"/>
                <w:lang w:val="en-US" w:eastAsia="zh-CN"/>
              </w:rPr>
            </w:pPr>
          </w:p>
          <w:p w14:paraId="10E074D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pacing w:val="-4"/>
                <w:sz w:val="21"/>
                <w:szCs w:val="21"/>
                <w:highlight w:val="none"/>
                <w:vertAlign w:val="baseline"/>
                <w:lang w:val="en-US" w:eastAsia="zh-CN"/>
              </w:rPr>
            </w:pPr>
          </w:p>
          <w:p w14:paraId="7BA96C3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pacing w:val="-4"/>
                <w:sz w:val="21"/>
                <w:szCs w:val="21"/>
                <w:highlight w:val="none"/>
                <w:vertAlign w:val="baseline"/>
                <w:lang w:val="en-US" w:eastAsia="zh-CN"/>
              </w:rPr>
            </w:pPr>
            <w:r>
              <w:rPr>
                <w:rFonts w:hint="eastAsia" w:ascii="宋体" w:hAnsi="宋体" w:eastAsia="宋体" w:cs="宋体"/>
                <w:b/>
                <w:bCs/>
                <w:color w:val="auto"/>
                <w:spacing w:val="-4"/>
                <w:sz w:val="21"/>
                <w:szCs w:val="21"/>
                <w:highlight w:val="none"/>
                <w:vertAlign w:val="baseline"/>
                <w:lang w:val="en-US" w:eastAsia="zh-CN"/>
              </w:rPr>
              <w:t>2</w:t>
            </w:r>
          </w:p>
        </w:tc>
        <w:tc>
          <w:tcPr>
            <w:tcW w:w="1248" w:type="dxa"/>
            <w:vMerge w:val="restart"/>
          </w:tcPr>
          <w:p w14:paraId="0D8E842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63315E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2964AD8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商务分</w:t>
            </w:r>
          </w:p>
          <w:p w14:paraId="71AACA0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pacing w:val="-4"/>
                <w:sz w:val="21"/>
                <w:szCs w:val="21"/>
                <w:highlight w:val="none"/>
                <w:vertAlign w:val="baseline"/>
                <w:lang w:eastAsia="zh-CN"/>
              </w:rPr>
            </w:pP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 xml:space="preserve">20  </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tc>
        <w:tc>
          <w:tcPr>
            <w:tcW w:w="1504" w:type="dxa"/>
            <w:vAlign w:val="center"/>
          </w:tcPr>
          <w:p w14:paraId="52B83E7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业绩分</w:t>
            </w:r>
          </w:p>
          <w:p w14:paraId="3714548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（满分</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p>
        </w:tc>
        <w:tc>
          <w:tcPr>
            <w:tcW w:w="6031" w:type="dxa"/>
            <w:vAlign w:val="top"/>
          </w:tcPr>
          <w:p w14:paraId="25409BD5">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供应商在202</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年</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月1日</w:t>
            </w:r>
            <w:r>
              <w:rPr>
                <w:rFonts w:hint="eastAsia" w:ascii="宋体" w:hAnsi="宋体" w:cs="宋体"/>
                <w:b w:val="0"/>
                <w:bCs w:val="0"/>
                <w:color w:val="auto"/>
                <w:sz w:val="21"/>
                <w:szCs w:val="21"/>
                <w:highlight w:val="none"/>
                <w:lang w:val="en-US" w:eastAsia="zh-CN"/>
              </w:rPr>
              <w:t>以来</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承接</w:t>
            </w:r>
            <w:r>
              <w:rPr>
                <w:rFonts w:hint="eastAsia" w:ascii="宋体" w:hAnsi="宋体" w:eastAsia="宋体" w:cs="宋体"/>
                <w:b w:val="0"/>
                <w:bCs w:val="0"/>
                <w:color w:val="auto"/>
                <w:sz w:val="21"/>
                <w:szCs w:val="21"/>
                <w:highlight w:val="none"/>
              </w:rPr>
              <w:t>过</w:t>
            </w:r>
            <w:r>
              <w:rPr>
                <w:rFonts w:hint="eastAsia" w:ascii="宋体" w:hAnsi="宋体" w:cs="宋体"/>
                <w:b w:val="0"/>
                <w:bCs w:val="0"/>
                <w:color w:val="auto"/>
                <w:sz w:val="21"/>
                <w:szCs w:val="21"/>
                <w:highlight w:val="none"/>
                <w:lang w:val="en-US" w:eastAsia="zh-CN"/>
              </w:rPr>
              <w:t>类似农业</w:t>
            </w:r>
            <w:r>
              <w:rPr>
                <w:rFonts w:hint="eastAsia" w:ascii="宋体" w:hAnsi="宋体" w:eastAsia="宋体" w:cs="宋体"/>
                <w:b w:val="0"/>
                <w:bCs w:val="0"/>
                <w:color w:val="auto"/>
                <w:sz w:val="21"/>
                <w:szCs w:val="21"/>
                <w:highlight w:val="none"/>
              </w:rPr>
              <w:t>监理项目的，每个得</w:t>
            </w: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分。满分</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分（响应文件中须提供中标（成交）通知书或合同书复印件，否则不计分）。</w:t>
            </w:r>
          </w:p>
        </w:tc>
      </w:tr>
      <w:tr w14:paraId="4788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662" w:type="dxa"/>
            <w:vMerge w:val="continue"/>
          </w:tcPr>
          <w:p w14:paraId="4474E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45385A86">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4BAEF9D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人员实力分（满分</w:t>
            </w: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分</w:t>
            </w:r>
            <w:r>
              <w:rPr>
                <w:rFonts w:hint="eastAsia" w:ascii="宋体" w:hAnsi="宋体" w:cs="宋体"/>
                <w:b w:val="0"/>
                <w:bCs w:val="0"/>
                <w:color w:val="auto"/>
                <w:sz w:val="21"/>
                <w:szCs w:val="21"/>
                <w:highlight w:val="none"/>
                <w:lang w:eastAsia="zh-CN"/>
              </w:rPr>
              <w:t>）</w:t>
            </w:r>
          </w:p>
        </w:tc>
        <w:tc>
          <w:tcPr>
            <w:tcW w:w="6031" w:type="dxa"/>
            <w:vAlign w:val="top"/>
          </w:tcPr>
          <w:p w14:paraId="6253CCA0">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（1）总监理工程师</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具备国家注册监理工程师执业资格证</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且</w:t>
            </w:r>
            <w:r>
              <w:rPr>
                <w:rFonts w:hint="eastAsia" w:ascii="宋体" w:hAnsi="宋体" w:eastAsia="宋体" w:cs="宋体"/>
                <w:b w:val="0"/>
                <w:bCs w:val="0"/>
                <w:color w:val="auto"/>
                <w:sz w:val="21"/>
                <w:szCs w:val="21"/>
                <w:highlight w:val="none"/>
              </w:rPr>
              <w:t>具有</w:t>
            </w:r>
            <w:r>
              <w:rPr>
                <w:rFonts w:hint="eastAsia" w:ascii="宋体" w:hAnsi="宋体" w:eastAsia="宋体" w:cs="宋体"/>
                <w:b w:val="0"/>
                <w:bCs w:val="0"/>
                <w:color w:val="auto"/>
                <w:sz w:val="21"/>
                <w:szCs w:val="21"/>
                <w:highlight w:val="none"/>
                <w:lang w:val="en-US" w:eastAsia="zh-CN"/>
              </w:rPr>
              <w:t>副</w:t>
            </w:r>
            <w:r>
              <w:rPr>
                <w:rFonts w:hint="eastAsia" w:ascii="宋体" w:hAnsi="宋体" w:eastAsia="宋体" w:cs="宋体"/>
                <w:b w:val="0"/>
                <w:bCs w:val="0"/>
                <w:color w:val="auto"/>
                <w:sz w:val="21"/>
                <w:szCs w:val="21"/>
                <w:highlight w:val="none"/>
              </w:rPr>
              <w:t>高级技术职称</w:t>
            </w:r>
            <w:r>
              <w:rPr>
                <w:rFonts w:hint="eastAsia" w:ascii="宋体" w:hAnsi="宋体" w:eastAsia="宋体" w:cs="宋体"/>
                <w:b w:val="0"/>
                <w:bCs w:val="0"/>
                <w:color w:val="auto"/>
                <w:sz w:val="21"/>
                <w:szCs w:val="21"/>
                <w:highlight w:val="none"/>
                <w:lang w:val="en-US" w:eastAsia="zh-CN"/>
              </w:rPr>
              <w:t>及以上职称</w:t>
            </w:r>
            <w:r>
              <w:rPr>
                <w:rFonts w:hint="eastAsia" w:ascii="宋体" w:hAnsi="宋体" w:eastAsia="宋体" w:cs="宋体"/>
                <w:b w:val="0"/>
                <w:bCs w:val="0"/>
                <w:color w:val="auto"/>
                <w:sz w:val="21"/>
                <w:szCs w:val="21"/>
                <w:highlight w:val="none"/>
              </w:rPr>
              <w:t>的得</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分，具有中级技术职称的得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满分</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 xml:space="preserve">分） </w:t>
            </w:r>
          </w:p>
          <w:p w14:paraId="7944D72C">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（2）专业监理工程师和监理员的配备</w:t>
            </w:r>
            <w:r>
              <w:rPr>
                <w:rFonts w:hint="eastAsia" w:ascii="宋体" w:hAnsi="宋体" w:eastAsia="宋体" w:cs="宋体"/>
                <w:b w:val="0"/>
                <w:bCs w:val="0"/>
                <w:color w:val="auto"/>
                <w:sz w:val="21"/>
                <w:szCs w:val="21"/>
                <w:highlight w:val="none"/>
                <w:lang w:eastAsia="zh-CN"/>
              </w:rPr>
              <w:t>：</w:t>
            </w:r>
          </w:p>
          <w:p w14:paraId="1AD40766">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①专业监理工程师</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具备国家注册监理工程师执业资格证或广西建设监理工程师证书</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且</w:t>
            </w:r>
            <w:r>
              <w:rPr>
                <w:rFonts w:hint="eastAsia" w:ascii="宋体" w:hAnsi="宋体" w:eastAsia="宋体" w:cs="宋体"/>
                <w:b w:val="0"/>
                <w:bCs w:val="0"/>
                <w:color w:val="auto"/>
                <w:sz w:val="21"/>
                <w:szCs w:val="21"/>
                <w:highlight w:val="none"/>
              </w:rPr>
              <w:t>具有中级以上（含中级）专业技术职称，每个得2分；（满分</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 xml:space="preserve">分） </w:t>
            </w:r>
          </w:p>
          <w:p w14:paraId="259C8E85">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②监理员，有监理培训证书，且</w:t>
            </w:r>
            <w:r>
              <w:rPr>
                <w:rFonts w:hint="eastAsia" w:ascii="宋体" w:hAnsi="宋体" w:eastAsia="宋体" w:cs="宋体"/>
                <w:b w:val="0"/>
                <w:bCs w:val="0"/>
                <w:color w:val="auto"/>
                <w:sz w:val="21"/>
                <w:szCs w:val="21"/>
                <w:highlight w:val="none"/>
              </w:rPr>
              <w:t>具有</w:t>
            </w:r>
            <w:r>
              <w:rPr>
                <w:rFonts w:hint="eastAsia" w:ascii="宋体" w:hAnsi="宋体" w:eastAsia="宋体" w:cs="宋体"/>
                <w:b w:val="0"/>
                <w:bCs w:val="0"/>
                <w:color w:val="auto"/>
                <w:sz w:val="21"/>
                <w:szCs w:val="21"/>
                <w:highlight w:val="none"/>
                <w:lang w:val="en-US" w:eastAsia="zh-CN"/>
              </w:rPr>
              <w:t>初级</w:t>
            </w:r>
            <w:r>
              <w:rPr>
                <w:rFonts w:hint="eastAsia" w:ascii="宋体" w:hAnsi="宋体" w:eastAsia="宋体" w:cs="宋体"/>
                <w:b w:val="0"/>
                <w:bCs w:val="0"/>
                <w:color w:val="auto"/>
                <w:sz w:val="21"/>
                <w:szCs w:val="21"/>
                <w:highlight w:val="none"/>
              </w:rPr>
              <w:t>以上（含</w:t>
            </w:r>
            <w:r>
              <w:rPr>
                <w:rFonts w:hint="eastAsia" w:ascii="宋体" w:hAnsi="宋体" w:eastAsia="宋体" w:cs="宋体"/>
                <w:b w:val="0"/>
                <w:bCs w:val="0"/>
                <w:color w:val="auto"/>
                <w:sz w:val="21"/>
                <w:szCs w:val="21"/>
                <w:highlight w:val="none"/>
                <w:lang w:val="en-US" w:eastAsia="zh-CN"/>
              </w:rPr>
              <w:t>初级</w:t>
            </w:r>
            <w:r>
              <w:rPr>
                <w:rFonts w:hint="eastAsia" w:ascii="宋体" w:hAnsi="宋体" w:eastAsia="宋体" w:cs="宋体"/>
                <w:b w:val="0"/>
                <w:bCs w:val="0"/>
                <w:color w:val="auto"/>
                <w:sz w:val="21"/>
                <w:szCs w:val="21"/>
                <w:highlight w:val="none"/>
              </w:rPr>
              <w:t>）专业技术职称</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每得1分（满分2分）。</w:t>
            </w:r>
          </w:p>
        </w:tc>
      </w:tr>
      <w:tr w14:paraId="54EF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restart"/>
          </w:tcPr>
          <w:p w14:paraId="1AE69CD3">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lang w:val="en-US" w:eastAsia="zh-CN"/>
              </w:rPr>
            </w:pPr>
          </w:p>
          <w:p w14:paraId="42E9014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lang w:val="en-US" w:eastAsia="zh-CN"/>
              </w:rPr>
            </w:pPr>
          </w:p>
          <w:p w14:paraId="3D9852F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lang w:val="en-US" w:eastAsia="zh-CN"/>
              </w:rPr>
            </w:pPr>
          </w:p>
          <w:p w14:paraId="6FCCD54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lang w:val="en-US" w:eastAsia="zh-CN"/>
              </w:rPr>
            </w:pPr>
          </w:p>
          <w:p w14:paraId="5BB8335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lang w:val="en-US" w:eastAsia="zh-CN"/>
              </w:rPr>
            </w:pPr>
          </w:p>
          <w:p w14:paraId="44B6A00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lang w:val="en-US" w:eastAsia="zh-CN"/>
              </w:rPr>
            </w:pPr>
          </w:p>
          <w:p w14:paraId="3115103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w:t>
            </w:r>
          </w:p>
        </w:tc>
        <w:tc>
          <w:tcPr>
            <w:tcW w:w="1248" w:type="dxa"/>
            <w:vMerge w:val="restart"/>
          </w:tcPr>
          <w:p w14:paraId="64F5365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3DE11A33">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66BE210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7C128B1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33FA891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p>
          <w:p w14:paraId="254B8FD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技术分</w:t>
            </w:r>
          </w:p>
          <w:p w14:paraId="6C7E6DA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70</w:t>
            </w:r>
            <w:r>
              <w:rPr>
                <w:rFonts w:hint="eastAsia" w:ascii="宋体" w:hAnsi="宋体" w:eastAsia="宋体" w:cs="宋体"/>
                <w:b/>
                <w:bCs/>
                <w:color w:val="auto"/>
                <w:sz w:val="21"/>
                <w:szCs w:val="21"/>
                <w:highlight w:val="none"/>
              </w:rPr>
              <w:t>分</w:t>
            </w:r>
            <w:r>
              <w:rPr>
                <w:rFonts w:hint="eastAsia" w:ascii="宋体" w:hAnsi="宋体" w:cs="宋体"/>
                <w:b/>
                <w:bCs/>
                <w:color w:val="auto"/>
                <w:sz w:val="21"/>
                <w:szCs w:val="21"/>
                <w:highlight w:val="none"/>
                <w:lang w:eastAsia="zh-CN"/>
              </w:rPr>
              <w:t>）</w:t>
            </w:r>
          </w:p>
        </w:tc>
        <w:tc>
          <w:tcPr>
            <w:tcW w:w="1504" w:type="dxa"/>
            <w:vAlign w:val="center"/>
          </w:tcPr>
          <w:p w14:paraId="5DE09A3D">
            <w:pPr>
              <w:pStyle w:val="27"/>
              <w:shd w:val="clear"/>
              <w:spacing w:line="360" w:lineRule="auto"/>
              <w:jc w:val="center"/>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工程特点、难点分析及监理对策（满分10</w:t>
            </w:r>
            <w:r>
              <w:rPr>
                <w:rFonts w:hint="eastAsia" w:hAnsi="宋体" w:cs="宋体"/>
                <w:bCs/>
                <w:color w:val="auto"/>
                <w:sz w:val="21"/>
                <w:highlight w:val="none"/>
                <w:lang w:val="en-US" w:eastAsia="zh-CN"/>
              </w:rPr>
              <w:t>分</w:t>
            </w:r>
            <w:r>
              <w:rPr>
                <w:rFonts w:hint="eastAsia" w:ascii="宋体" w:hAnsi="宋体" w:eastAsia="宋体" w:cs="宋体"/>
                <w:bCs/>
                <w:color w:val="auto"/>
                <w:sz w:val="21"/>
                <w:highlight w:val="none"/>
                <w:lang w:val="en-US" w:eastAsia="zh-CN"/>
              </w:rPr>
              <w:t>）</w:t>
            </w:r>
          </w:p>
          <w:p w14:paraId="5164117B">
            <w:pPr>
              <w:shd w:val="clear"/>
              <w:jc w:val="center"/>
              <w:rPr>
                <w:rFonts w:hint="eastAsia" w:ascii="宋体" w:hAnsi="宋体" w:eastAsia="宋体" w:cs="宋体"/>
                <w:b w:val="0"/>
                <w:bCs w:val="0"/>
                <w:color w:val="auto"/>
                <w:sz w:val="21"/>
                <w:szCs w:val="21"/>
                <w:highlight w:val="none"/>
              </w:rPr>
            </w:pPr>
          </w:p>
        </w:tc>
        <w:tc>
          <w:tcPr>
            <w:tcW w:w="6031" w:type="dxa"/>
            <w:vAlign w:val="center"/>
          </w:tcPr>
          <w:p w14:paraId="1A58CD94">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一档（0分）：方案未提供或提供的内容不符合要求、不可行的，不满足要求。</w:t>
            </w:r>
          </w:p>
          <w:p w14:paraId="1D000472">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二档（5分）：方案对本工程特点、实施难点、监理工作描述简单，认识不充分，从准备、实施、竣工到保修的工序不能很好地列明监理工作计划采取的手段、方法、措施和作用，基本满足要求。</w:t>
            </w:r>
          </w:p>
          <w:p w14:paraId="2465429A">
            <w:pPr>
              <w:shd w:val="clear"/>
              <w:spacing w:line="400" w:lineRule="exact"/>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kern w:val="0"/>
                <w:szCs w:val="21"/>
                <w:highlight w:val="none"/>
              </w:rPr>
              <w:t>三档（10分）：方案针对项目工程特点、难点有科学、全面的分析，监理对策、解决方案完整、经济、安全、确实可行，措施得力，分析深入、深刻，完全满足项目要求。</w:t>
            </w:r>
          </w:p>
        </w:tc>
      </w:tr>
      <w:tr w14:paraId="4DA1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3828F03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37A876E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2202D4B4">
            <w:pPr>
              <w:pStyle w:val="27"/>
              <w:shd w:val="clear"/>
              <w:spacing w:line="360" w:lineRule="auto"/>
              <w:jc w:val="center"/>
              <w:rPr>
                <w:rFonts w:hint="eastAsia" w:ascii="宋体" w:hAnsi="宋体" w:eastAsia="宋体" w:cs="宋体"/>
                <w:bCs/>
                <w:color w:val="auto"/>
                <w:sz w:val="21"/>
                <w:highlight w:val="none"/>
                <w:lang w:val="en-US" w:eastAsia="zh-CN"/>
              </w:rPr>
            </w:pPr>
            <w:r>
              <w:rPr>
                <w:rFonts w:hint="eastAsia" w:ascii="宋体" w:hAnsi="宋体" w:eastAsia="宋体" w:cs="宋体"/>
                <w:bCs/>
                <w:color w:val="auto"/>
                <w:sz w:val="21"/>
                <w:highlight w:val="none"/>
                <w:lang w:val="en-US" w:eastAsia="zh-CN"/>
              </w:rPr>
              <w:t>质量控制重点及监理措施（满分10</w:t>
            </w:r>
            <w:r>
              <w:rPr>
                <w:rFonts w:hint="eastAsia" w:hAnsi="宋体" w:cs="宋体"/>
                <w:bCs/>
                <w:color w:val="auto"/>
                <w:sz w:val="21"/>
                <w:highlight w:val="none"/>
                <w:lang w:val="en-US" w:eastAsia="zh-CN"/>
              </w:rPr>
              <w:t>分</w:t>
            </w:r>
            <w:r>
              <w:rPr>
                <w:rFonts w:hint="eastAsia" w:ascii="宋体" w:hAnsi="宋体" w:eastAsia="宋体" w:cs="宋体"/>
                <w:bCs/>
                <w:color w:val="auto"/>
                <w:sz w:val="21"/>
                <w:highlight w:val="none"/>
                <w:lang w:val="en-US" w:eastAsia="zh-CN"/>
              </w:rPr>
              <w:t>）</w:t>
            </w:r>
          </w:p>
          <w:p w14:paraId="3F16B60E">
            <w:pPr>
              <w:shd w:val="clear"/>
              <w:jc w:val="center"/>
              <w:rPr>
                <w:rFonts w:hint="eastAsia" w:ascii="宋体" w:hAnsi="宋体" w:eastAsia="宋体" w:cs="宋体"/>
                <w:b w:val="0"/>
                <w:bCs w:val="0"/>
                <w:color w:val="auto"/>
                <w:spacing w:val="-4"/>
                <w:sz w:val="21"/>
                <w:szCs w:val="21"/>
                <w:highlight w:val="none"/>
                <w:vertAlign w:val="baseline"/>
                <w:lang w:eastAsia="zh-CN"/>
              </w:rPr>
            </w:pPr>
          </w:p>
        </w:tc>
        <w:tc>
          <w:tcPr>
            <w:tcW w:w="6031" w:type="dxa"/>
            <w:vAlign w:val="top"/>
          </w:tcPr>
          <w:p w14:paraId="14D6A03E">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一档（0分）：方案未提供或提供的内容不符合要求、不可行的，不满足要求。</w:t>
            </w:r>
          </w:p>
          <w:p w14:paraId="40ED50B4">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二档（</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分）：质量工作任务有简单阐述，提出的控制方法及措施可行，质量控制的基本程序有一定可行性，基本满足要求。</w:t>
            </w:r>
          </w:p>
          <w:p w14:paraId="30BB8721">
            <w:pPr>
              <w:shd w:val="clear"/>
              <w:spacing w:line="400" w:lineRule="exact"/>
              <w:ind w:firstLine="420" w:firstLineChars="200"/>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color w:val="auto"/>
                <w:kern w:val="0"/>
                <w:szCs w:val="21"/>
                <w:highlight w:val="none"/>
                <w:lang w:val="en-US" w:eastAsia="zh-CN"/>
              </w:rPr>
              <w:t>三档（</w:t>
            </w:r>
            <w:r>
              <w:rPr>
                <w:rFonts w:hint="eastAsia" w:ascii="宋体" w:hAnsi="宋体" w:cs="宋体"/>
                <w:color w:val="auto"/>
                <w:kern w:val="0"/>
                <w:szCs w:val="21"/>
                <w:highlight w:val="none"/>
                <w:lang w:val="en-US" w:eastAsia="zh-CN"/>
              </w:rPr>
              <w:t>10</w:t>
            </w:r>
            <w:r>
              <w:rPr>
                <w:rFonts w:hint="eastAsia" w:ascii="宋体" w:hAnsi="宋体" w:eastAsia="宋体" w:cs="宋体"/>
                <w:color w:val="auto"/>
                <w:kern w:val="0"/>
                <w:szCs w:val="21"/>
                <w:highlight w:val="none"/>
                <w:lang w:val="en-US" w:eastAsia="zh-CN"/>
              </w:rPr>
              <w:t>分）：质量控制重点分析到位、明确；质量目标分解、规划合理，质量控制体系健全，质量控制措施有效可靠，控制手段先进完善，完全满足要求。</w:t>
            </w:r>
          </w:p>
        </w:tc>
      </w:tr>
      <w:tr w14:paraId="1B3B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3E65413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261673F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4A7E58BA">
            <w:pPr>
              <w:pStyle w:val="27"/>
              <w:shd w:val="clear"/>
              <w:spacing w:line="36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进度控制重点及监理措施</w:t>
            </w:r>
            <w:r>
              <w:rPr>
                <w:rFonts w:hint="eastAsia" w:ascii="宋体" w:hAnsi="宋体" w:eastAsia="宋体" w:cs="宋体"/>
                <w:bCs/>
                <w:color w:val="auto"/>
                <w:sz w:val="21"/>
                <w:highlight w:val="none"/>
                <w:lang w:val="en-US" w:eastAsia="zh-CN"/>
              </w:rPr>
              <w:t>（满分10</w:t>
            </w:r>
            <w:r>
              <w:rPr>
                <w:rFonts w:hint="eastAsia" w:hAnsi="宋体" w:cs="宋体"/>
                <w:bCs/>
                <w:color w:val="auto"/>
                <w:sz w:val="21"/>
                <w:highlight w:val="none"/>
                <w:lang w:val="en-US" w:eastAsia="zh-CN"/>
              </w:rPr>
              <w:t>分</w:t>
            </w:r>
            <w:r>
              <w:rPr>
                <w:rFonts w:hint="eastAsia" w:ascii="宋体" w:hAnsi="宋体" w:eastAsia="宋体" w:cs="宋体"/>
                <w:bCs/>
                <w:color w:val="auto"/>
                <w:sz w:val="21"/>
                <w:highlight w:val="none"/>
                <w:lang w:val="en-US" w:eastAsia="zh-CN"/>
              </w:rPr>
              <w:t>）</w:t>
            </w:r>
          </w:p>
          <w:p w14:paraId="5C3F089F">
            <w:pPr>
              <w:shd w:val="clear"/>
              <w:jc w:val="center"/>
              <w:rPr>
                <w:rFonts w:hint="eastAsia" w:ascii="宋体" w:hAnsi="宋体" w:eastAsia="宋体" w:cs="宋体"/>
                <w:b w:val="0"/>
                <w:bCs w:val="0"/>
                <w:color w:val="auto"/>
                <w:spacing w:val="-4"/>
                <w:sz w:val="21"/>
                <w:szCs w:val="21"/>
                <w:highlight w:val="none"/>
                <w:vertAlign w:val="baseline"/>
              </w:rPr>
            </w:pPr>
          </w:p>
        </w:tc>
        <w:tc>
          <w:tcPr>
            <w:tcW w:w="6031" w:type="dxa"/>
            <w:vAlign w:val="top"/>
          </w:tcPr>
          <w:p w14:paraId="65762CD8">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一档（0分）：方案未提供或提供的内容不符合要求、不可行的，不满足要求。</w:t>
            </w:r>
          </w:p>
          <w:p w14:paraId="1B4AF2CE">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二档（</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分）：对总进度目标的分解较合理，能体现一定的预控水平和全面控制水平，预控方法及手段明确，有进度控制要点、保证措施、有违约承诺，可行性较高，基本满足要求。</w:t>
            </w:r>
          </w:p>
          <w:p w14:paraId="1791397A">
            <w:pPr>
              <w:shd w:val="clear"/>
              <w:spacing w:line="400" w:lineRule="exact"/>
              <w:ind w:firstLine="420" w:firstLineChars="200"/>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color w:val="auto"/>
                <w:kern w:val="0"/>
                <w:szCs w:val="21"/>
                <w:highlight w:val="none"/>
                <w:lang w:val="en-US" w:eastAsia="zh-CN"/>
              </w:rPr>
              <w:t>三档（</w:t>
            </w:r>
            <w:r>
              <w:rPr>
                <w:rFonts w:hint="eastAsia" w:ascii="宋体" w:hAnsi="宋体" w:cs="宋体"/>
                <w:color w:val="auto"/>
                <w:kern w:val="0"/>
                <w:szCs w:val="21"/>
                <w:highlight w:val="none"/>
                <w:lang w:val="en-US" w:eastAsia="zh-CN"/>
              </w:rPr>
              <w:t>10</w:t>
            </w:r>
            <w:r>
              <w:rPr>
                <w:rFonts w:hint="eastAsia" w:ascii="宋体" w:hAnsi="宋体" w:eastAsia="宋体" w:cs="宋体"/>
                <w:color w:val="auto"/>
                <w:kern w:val="0"/>
                <w:szCs w:val="21"/>
                <w:highlight w:val="none"/>
                <w:lang w:val="en-US" w:eastAsia="zh-CN"/>
              </w:rPr>
              <w:t>分）：对总进度目标的节点或阶段工期明确，进度控制重点明确；工期总进度计划网络图科学、优化，工期控制点设置合理，控制措施与手段可靠有力，完全满足要求。</w:t>
            </w:r>
          </w:p>
        </w:tc>
      </w:tr>
      <w:tr w14:paraId="522A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4236856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1A068391">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2C867996">
            <w:pPr>
              <w:pStyle w:val="27"/>
              <w:shd w:val="clear"/>
              <w:spacing w:line="36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造价控制重点及监理措施</w:t>
            </w:r>
            <w:r>
              <w:rPr>
                <w:rFonts w:hint="eastAsia" w:ascii="宋体" w:hAnsi="宋体" w:eastAsia="宋体" w:cs="宋体"/>
                <w:bCs/>
                <w:color w:val="auto"/>
                <w:sz w:val="21"/>
                <w:highlight w:val="none"/>
                <w:lang w:val="en-US" w:eastAsia="zh-CN"/>
              </w:rPr>
              <w:t>（满分10</w:t>
            </w:r>
            <w:r>
              <w:rPr>
                <w:rFonts w:hint="eastAsia" w:hAnsi="宋体" w:cs="宋体"/>
                <w:bCs/>
                <w:color w:val="auto"/>
                <w:sz w:val="21"/>
                <w:highlight w:val="none"/>
                <w:lang w:val="en-US" w:eastAsia="zh-CN"/>
              </w:rPr>
              <w:t>分</w:t>
            </w:r>
            <w:r>
              <w:rPr>
                <w:rFonts w:hint="eastAsia" w:ascii="宋体" w:hAnsi="宋体" w:eastAsia="宋体" w:cs="宋体"/>
                <w:bCs/>
                <w:color w:val="auto"/>
                <w:sz w:val="21"/>
                <w:highlight w:val="none"/>
                <w:lang w:val="en-US" w:eastAsia="zh-CN"/>
              </w:rPr>
              <w:t>）</w:t>
            </w:r>
          </w:p>
          <w:p w14:paraId="383E8DEC">
            <w:pPr>
              <w:shd w:val="clear"/>
              <w:jc w:val="center"/>
              <w:rPr>
                <w:rFonts w:hint="eastAsia" w:ascii="宋体" w:hAnsi="宋体" w:eastAsia="宋体" w:cs="宋体"/>
                <w:b w:val="0"/>
                <w:bCs w:val="0"/>
                <w:color w:val="auto"/>
                <w:spacing w:val="-4"/>
                <w:sz w:val="21"/>
                <w:szCs w:val="21"/>
                <w:highlight w:val="none"/>
                <w:vertAlign w:val="baseline"/>
              </w:rPr>
            </w:pPr>
          </w:p>
        </w:tc>
        <w:tc>
          <w:tcPr>
            <w:tcW w:w="6031" w:type="dxa"/>
            <w:vAlign w:val="top"/>
          </w:tcPr>
          <w:p w14:paraId="5AED64DA">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一档（0分）：方案未提供或提供的内容不符合要求、不可行的，不满足要求。</w:t>
            </w:r>
          </w:p>
          <w:p w14:paraId="4A1572C3">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二档（5分）： 工程计量、计价的控制方法存在不合理，工程款支付、结算、索赔等预控措施较差，基本满足要求。</w:t>
            </w:r>
          </w:p>
          <w:p w14:paraId="57853B5F">
            <w:pPr>
              <w:shd w:val="clear"/>
              <w:spacing w:line="400" w:lineRule="exact"/>
              <w:ind w:firstLine="420" w:firstLineChars="200"/>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color w:val="auto"/>
                <w:kern w:val="0"/>
                <w:szCs w:val="21"/>
                <w:highlight w:val="none"/>
                <w:lang w:val="en-US" w:eastAsia="zh-CN"/>
              </w:rPr>
              <w:t>三档（10分）：投资控制重点分析到位明确；风险预测与防范对策有效可行；能抓住工程费用最易突破的环节，明确投资控制重点；控制措施与手段健全；能兼顾工期与质量目标，合理确定资金流量；能提出有效的合理化建议，降低工程投资，完全满足要求。</w:t>
            </w:r>
          </w:p>
        </w:tc>
      </w:tr>
      <w:tr w14:paraId="25CA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0CC8E78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50C6343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3EF7E116">
            <w:pPr>
              <w:pStyle w:val="27"/>
              <w:shd w:val="clear"/>
              <w:spacing w:line="36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合同及信息管理措施</w:t>
            </w:r>
            <w:r>
              <w:rPr>
                <w:rFonts w:hint="eastAsia" w:ascii="宋体" w:hAnsi="宋体" w:eastAsia="宋体" w:cs="宋体"/>
                <w:bCs/>
                <w:color w:val="auto"/>
                <w:sz w:val="21"/>
                <w:highlight w:val="none"/>
                <w:lang w:val="en-US" w:eastAsia="zh-CN"/>
              </w:rPr>
              <w:t>（满分10</w:t>
            </w:r>
            <w:r>
              <w:rPr>
                <w:rFonts w:hint="eastAsia" w:hAnsi="宋体" w:cs="宋体"/>
                <w:bCs/>
                <w:color w:val="auto"/>
                <w:sz w:val="21"/>
                <w:highlight w:val="none"/>
                <w:lang w:val="en-US" w:eastAsia="zh-CN"/>
              </w:rPr>
              <w:t>分</w:t>
            </w:r>
            <w:r>
              <w:rPr>
                <w:rFonts w:hint="eastAsia" w:ascii="宋体" w:hAnsi="宋体" w:eastAsia="宋体" w:cs="宋体"/>
                <w:bCs/>
                <w:color w:val="auto"/>
                <w:sz w:val="21"/>
                <w:highlight w:val="none"/>
                <w:lang w:val="en-US" w:eastAsia="zh-CN"/>
              </w:rPr>
              <w:t>）</w:t>
            </w:r>
          </w:p>
          <w:p w14:paraId="510989F2">
            <w:pPr>
              <w:shd w:val="clear"/>
              <w:jc w:val="center"/>
              <w:rPr>
                <w:rFonts w:hint="eastAsia" w:ascii="宋体" w:hAnsi="宋体" w:eastAsia="宋体" w:cs="宋体"/>
                <w:b w:val="0"/>
                <w:bCs w:val="0"/>
                <w:color w:val="auto"/>
                <w:spacing w:val="-4"/>
                <w:sz w:val="21"/>
                <w:szCs w:val="21"/>
                <w:highlight w:val="none"/>
                <w:vertAlign w:val="baseline"/>
              </w:rPr>
            </w:pPr>
          </w:p>
        </w:tc>
        <w:tc>
          <w:tcPr>
            <w:tcW w:w="6031" w:type="dxa"/>
            <w:vAlign w:val="top"/>
          </w:tcPr>
          <w:p w14:paraId="51F7B986">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一档（0分）：方案未提供或提供的内容不符合要求、不可行的，不满足要求。</w:t>
            </w:r>
          </w:p>
          <w:p w14:paraId="624DD58A">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二档（5分）：有基本的合同及信息管理制度、程序、控制措施，但措施缺乏合理性和可行性，基本满足要求。</w:t>
            </w:r>
          </w:p>
          <w:p w14:paraId="0DFF1451">
            <w:pPr>
              <w:shd w:val="clear"/>
              <w:spacing w:line="400" w:lineRule="exact"/>
              <w:ind w:firstLine="420" w:firstLineChars="200"/>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color w:val="auto"/>
                <w:kern w:val="0"/>
                <w:szCs w:val="21"/>
                <w:highlight w:val="none"/>
                <w:lang w:val="en-US" w:eastAsia="zh-CN"/>
              </w:rPr>
              <w:t>三档（10分）：根据本项目的特点以及项目工程的具体需要，提出具体、完整、可行的实施管理措施。合同及信息管理制度明确、程序清晰、控制措施合理全面，完全满足要求。</w:t>
            </w:r>
          </w:p>
        </w:tc>
      </w:tr>
      <w:tr w14:paraId="7229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3395435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09AD060C">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5088ABD3">
            <w:pPr>
              <w:pStyle w:val="27"/>
              <w:shd w:val="clear"/>
              <w:spacing w:line="36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监理工作协调</w:t>
            </w:r>
            <w:r>
              <w:rPr>
                <w:rFonts w:hint="eastAsia" w:ascii="宋体" w:hAnsi="宋体" w:eastAsia="宋体" w:cs="宋体"/>
                <w:bCs/>
                <w:color w:val="auto"/>
                <w:sz w:val="21"/>
                <w:highlight w:val="none"/>
                <w:lang w:val="en-US" w:eastAsia="zh-CN"/>
              </w:rPr>
              <w:t>（满分5</w:t>
            </w:r>
            <w:r>
              <w:rPr>
                <w:rFonts w:hint="eastAsia" w:hAnsi="宋体" w:cs="宋体"/>
                <w:bCs/>
                <w:color w:val="auto"/>
                <w:sz w:val="21"/>
                <w:highlight w:val="none"/>
                <w:lang w:val="en-US" w:eastAsia="zh-CN"/>
              </w:rPr>
              <w:t>分</w:t>
            </w:r>
            <w:r>
              <w:rPr>
                <w:rFonts w:hint="eastAsia" w:ascii="宋体" w:hAnsi="宋体" w:eastAsia="宋体" w:cs="宋体"/>
                <w:bCs/>
                <w:color w:val="auto"/>
                <w:sz w:val="21"/>
                <w:highlight w:val="none"/>
                <w:lang w:val="en-US" w:eastAsia="zh-CN"/>
              </w:rPr>
              <w:t>）</w:t>
            </w:r>
          </w:p>
          <w:p w14:paraId="1360BD59">
            <w:pPr>
              <w:shd w:val="clear"/>
              <w:jc w:val="center"/>
              <w:rPr>
                <w:rFonts w:hint="eastAsia" w:ascii="宋体" w:hAnsi="宋体" w:eastAsia="宋体" w:cs="宋体"/>
                <w:b w:val="0"/>
                <w:bCs w:val="0"/>
                <w:color w:val="auto"/>
                <w:spacing w:val="-4"/>
                <w:sz w:val="21"/>
                <w:szCs w:val="21"/>
                <w:highlight w:val="none"/>
                <w:vertAlign w:val="baseline"/>
              </w:rPr>
            </w:pPr>
          </w:p>
        </w:tc>
        <w:tc>
          <w:tcPr>
            <w:tcW w:w="6031" w:type="dxa"/>
            <w:vAlign w:val="top"/>
          </w:tcPr>
          <w:p w14:paraId="2699B4AF">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一档（0分）：方案未提供或提供的内容不符合要求、不可行的，不满足要求。</w:t>
            </w:r>
          </w:p>
          <w:p w14:paraId="21833C60">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二档（3分）：有基本的工作协调方法及管理制度、程序、控制措施，但措施缺乏合理性和可行性，基本满足要求，基本满足要求。</w:t>
            </w:r>
          </w:p>
          <w:p w14:paraId="3417184F">
            <w:pPr>
              <w:shd w:val="clear"/>
              <w:spacing w:line="400" w:lineRule="exact"/>
              <w:ind w:firstLine="420" w:firstLineChars="200"/>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color w:val="auto"/>
                <w:kern w:val="0"/>
                <w:szCs w:val="21"/>
                <w:highlight w:val="none"/>
                <w:lang w:val="en-US" w:eastAsia="zh-CN"/>
              </w:rPr>
              <w:t>三档（5分）：根据本项目的特点以及项目工程的具体需要，提出具体、完整、可行的实施管理措施，监理工作协调方法正确，措施得力，完全满足要求。</w:t>
            </w:r>
          </w:p>
        </w:tc>
      </w:tr>
      <w:tr w14:paraId="75D2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tcPr>
          <w:p w14:paraId="155A29D5">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3FAB1E2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1BEC8365">
            <w:pPr>
              <w:pStyle w:val="27"/>
              <w:shd w:val="clear"/>
              <w:spacing w:line="36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文明施工监理措施</w:t>
            </w:r>
            <w:r>
              <w:rPr>
                <w:rFonts w:hint="eastAsia" w:ascii="宋体" w:hAnsi="宋体" w:eastAsia="宋体" w:cs="宋体"/>
                <w:bCs/>
                <w:color w:val="auto"/>
                <w:sz w:val="21"/>
                <w:highlight w:val="none"/>
                <w:lang w:val="en-US" w:eastAsia="zh-CN"/>
              </w:rPr>
              <w:t>（满分10</w:t>
            </w:r>
            <w:r>
              <w:rPr>
                <w:rFonts w:hint="eastAsia" w:hAnsi="宋体" w:cs="宋体"/>
                <w:bCs/>
                <w:color w:val="auto"/>
                <w:sz w:val="21"/>
                <w:highlight w:val="none"/>
                <w:lang w:val="en-US" w:eastAsia="zh-CN"/>
              </w:rPr>
              <w:t>分</w:t>
            </w:r>
            <w:r>
              <w:rPr>
                <w:rFonts w:hint="eastAsia" w:ascii="宋体" w:hAnsi="宋体" w:eastAsia="宋体" w:cs="宋体"/>
                <w:bCs/>
                <w:color w:val="auto"/>
                <w:sz w:val="21"/>
                <w:highlight w:val="none"/>
                <w:lang w:val="en-US" w:eastAsia="zh-CN"/>
              </w:rPr>
              <w:t>）</w:t>
            </w:r>
          </w:p>
          <w:p w14:paraId="5451FBCB">
            <w:pPr>
              <w:shd w:val="clear"/>
              <w:jc w:val="center"/>
              <w:rPr>
                <w:rFonts w:hint="eastAsia" w:ascii="宋体" w:hAnsi="宋体" w:eastAsia="宋体" w:cs="宋体"/>
                <w:b w:val="0"/>
                <w:bCs w:val="0"/>
                <w:color w:val="auto"/>
                <w:spacing w:val="-4"/>
                <w:sz w:val="21"/>
                <w:szCs w:val="21"/>
                <w:highlight w:val="none"/>
                <w:vertAlign w:val="baseline"/>
              </w:rPr>
            </w:pPr>
          </w:p>
        </w:tc>
        <w:tc>
          <w:tcPr>
            <w:tcW w:w="6031" w:type="dxa"/>
            <w:vAlign w:val="top"/>
          </w:tcPr>
          <w:p w14:paraId="1AF57D0E">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一档（0分）：方案未提供或提供的内容不符合要求、不可行的，不满足要求。</w:t>
            </w:r>
          </w:p>
          <w:p w14:paraId="457E738D">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二档（5分）：有基本的文明施工保证体系措施，但措施不成熟，缺乏科学性，可行性；或有基本的保证施工安全的监理控制措施体系，但体系不健全，措施不可靠，基本满足要求。</w:t>
            </w:r>
          </w:p>
          <w:p w14:paraId="1010D9F4">
            <w:pPr>
              <w:shd w:val="clear"/>
              <w:spacing w:line="400" w:lineRule="exact"/>
              <w:ind w:firstLine="420" w:firstLineChars="200"/>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color w:val="auto"/>
                <w:kern w:val="0"/>
                <w:szCs w:val="21"/>
                <w:highlight w:val="none"/>
                <w:lang w:val="en-US" w:eastAsia="zh-CN"/>
              </w:rPr>
              <w:t>三档（10分）：安全文明施工保证体系健全、可靠；安全事故控制措施得力；能够针对工程环境及工程特点、难点防范及化解安全事故的发生，措施得力，完全满足要求。</w:t>
            </w:r>
          </w:p>
        </w:tc>
      </w:tr>
      <w:tr w14:paraId="05FA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trPr>
        <w:tc>
          <w:tcPr>
            <w:tcW w:w="662" w:type="dxa"/>
            <w:vMerge w:val="continue"/>
          </w:tcPr>
          <w:p w14:paraId="48FE43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248" w:type="dxa"/>
            <w:vMerge w:val="continue"/>
          </w:tcPr>
          <w:p w14:paraId="66891CD7">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pacing w:val="-4"/>
                <w:sz w:val="21"/>
                <w:szCs w:val="21"/>
                <w:highlight w:val="none"/>
                <w:vertAlign w:val="baseline"/>
              </w:rPr>
            </w:pPr>
          </w:p>
        </w:tc>
        <w:tc>
          <w:tcPr>
            <w:tcW w:w="1504" w:type="dxa"/>
            <w:vAlign w:val="center"/>
          </w:tcPr>
          <w:p w14:paraId="7C2EA2FC">
            <w:pPr>
              <w:pStyle w:val="27"/>
              <w:shd w:val="clear"/>
              <w:spacing w:line="360" w:lineRule="auto"/>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履行安全职责措施</w:t>
            </w:r>
            <w:r>
              <w:rPr>
                <w:rFonts w:hint="eastAsia" w:ascii="宋体" w:hAnsi="宋体" w:eastAsia="宋体" w:cs="宋体"/>
                <w:bCs/>
                <w:color w:val="auto"/>
                <w:sz w:val="21"/>
                <w:highlight w:val="none"/>
                <w:lang w:val="en-US" w:eastAsia="zh-CN"/>
              </w:rPr>
              <w:t>（满分5</w:t>
            </w:r>
            <w:r>
              <w:rPr>
                <w:rFonts w:hint="eastAsia" w:hAnsi="宋体" w:cs="宋体"/>
                <w:bCs/>
                <w:color w:val="auto"/>
                <w:sz w:val="21"/>
                <w:highlight w:val="none"/>
                <w:lang w:val="en-US" w:eastAsia="zh-CN"/>
              </w:rPr>
              <w:t>分</w:t>
            </w:r>
            <w:r>
              <w:rPr>
                <w:rFonts w:hint="eastAsia" w:ascii="宋体" w:hAnsi="宋体" w:eastAsia="宋体" w:cs="宋体"/>
                <w:bCs/>
                <w:color w:val="auto"/>
                <w:sz w:val="21"/>
                <w:highlight w:val="none"/>
                <w:lang w:val="en-US" w:eastAsia="zh-CN"/>
              </w:rPr>
              <w:t>）</w:t>
            </w:r>
          </w:p>
          <w:p w14:paraId="15C9E71B">
            <w:pPr>
              <w:shd w:val="clear"/>
              <w:jc w:val="center"/>
              <w:rPr>
                <w:rFonts w:hint="eastAsia" w:ascii="宋体" w:hAnsi="宋体" w:eastAsia="宋体" w:cs="宋体"/>
                <w:b w:val="0"/>
                <w:bCs w:val="0"/>
                <w:color w:val="auto"/>
                <w:spacing w:val="-4"/>
                <w:sz w:val="21"/>
                <w:szCs w:val="21"/>
                <w:highlight w:val="none"/>
                <w:vertAlign w:val="baseline"/>
              </w:rPr>
            </w:pPr>
          </w:p>
        </w:tc>
        <w:tc>
          <w:tcPr>
            <w:tcW w:w="6031" w:type="dxa"/>
            <w:vAlign w:val="top"/>
          </w:tcPr>
          <w:p w14:paraId="7BB239B9">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一档（0分）：方案未提供或提供的内容不符合要求、不可行的，不满足要求。</w:t>
            </w:r>
          </w:p>
          <w:p w14:paraId="5E131AA5">
            <w:pPr>
              <w:shd w:val="clear"/>
              <w:spacing w:line="400" w:lineRule="exact"/>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二档（3分）：有基本的履行安全职责措施、程序、控制措施，但措施缺乏合理性和可行性，基本满足要求，基本满足要求。</w:t>
            </w:r>
          </w:p>
          <w:p w14:paraId="721281BB">
            <w:pPr>
              <w:shd w:val="clear"/>
              <w:spacing w:line="400" w:lineRule="exact"/>
              <w:ind w:firstLine="420" w:firstLineChars="200"/>
              <w:rPr>
                <w:rFonts w:hint="eastAsia" w:ascii="宋体" w:hAnsi="宋体" w:eastAsia="宋体" w:cs="宋体"/>
                <w:b w:val="0"/>
                <w:bCs w:val="0"/>
                <w:color w:val="auto"/>
                <w:spacing w:val="-4"/>
                <w:sz w:val="21"/>
                <w:szCs w:val="21"/>
                <w:highlight w:val="none"/>
                <w:vertAlign w:val="baseline"/>
                <w:lang w:eastAsia="zh-CN"/>
              </w:rPr>
            </w:pPr>
            <w:r>
              <w:rPr>
                <w:rFonts w:hint="eastAsia" w:ascii="宋体" w:hAnsi="宋体" w:eastAsia="宋体" w:cs="宋体"/>
                <w:color w:val="auto"/>
                <w:kern w:val="0"/>
                <w:szCs w:val="21"/>
                <w:highlight w:val="none"/>
                <w:lang w:val="en-US" w:eastAsia="zh-CN"/>
              </w:rPr>
              <w:t>三档（5分）：保证施工安全的监理控制措施体系健全、可靠；安全事故控制措施得力；能够针对工程特点、难点防范及化解安全事故的发生，措施得力，完全满足要求。</w:t>
            </w:r>
          </w:p>
        </w:tc>
      </w:tr>
      <w:tr w14:paraId="77C4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5" w:type="dxa"/>
            <w:gridSpan w:val="4"/>
          </w:tcPr>
          <w:p w14:paraId="31E96872">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both"/>
              <w:textAlignment w:val="auto"/>
              <w:rPr>
                <w:rFonts w:hint="eastAsia" w:ascii="宋体" w:hAnsi="宋体" w:eastAsia="宋体" w:cs="宋体"/>
                <w:b w:val="0"/>
                <w:bCs w:val="0"/>
                <w:color w:val="auto"/>
                <w:spacing w:val="-4"/>
                <w:sz w:val="21"/>
                <w:szCs w:val="21"/>
                <w:highlight w:val="none"/>
                <w:vertAlign w:val="baseline"/>
              </w:rPr>
            </w:pPr>
            <w:r>
              <w:rPr>
                <w:rFonts w:hint="eastAsia" w:ascii="宋体" w:hAnsi="宋体" w:eastAsia="宋体" w:cs="宋体"/>
                <w:b w:val="0"/>
                <w:bCs w:val="0"/>
                <w:color w:val="auto"/>
                <w:spacing w:val="-4"/>
                <w:sz w:val="21"/>
                <w:szCs w:val="21"/>
                <w:highlight w:val="none"/>
              </w:rPr>
              <w:t>总得分=1+2+3</w:t>
            </w:r>
          </w:p>
        </w:tc>
      </w:tr>
    </w:tbl>
    <w:p w14:paraId="631C0F00">
      <w:pPr>
        <w:pStyle w:val="27"/>
        <w:shd w:val="clear"/>
        <w:snapToGrid w:val="0"/>
        <w:spacing w:before="120" w:after="120" w:line="320" w:lineRule="exact"/>
        <w:outlineLvl w:val="0"/>
        <w:rPr>
          <w:rFonts w:ascii="Times New Roman" w:hAnsi="Times New Roman" w:cs="Times New Roman"/>
          <w:color w:val="auto"/>
          <w:sz w:val="32"/>
          <w:szCs w:val="32"/>
          <w:highlight w:val="none"/>
        </w:rPr>
      </w:pPr>
      <w:r>
        <w:rPr>
          <w:color w:val="auto"/>
          <w:highlight w:val="none"/>
        </w:rPr>
        <w:br w:type="page"/>
      </w:r>
      <w:r>
        <w:rPr>
          <w:rFonts w:hint="eastAsia"/>
          <w:color w:val="auto"/>
          <w:highlight w:val="none"/>
        </w:rPr>
        <w:t xml:space="preserve">                   </w:t>
      </w:r>
      <w:bookmarkEnd w:id="0"/>
      <w:bookmarkEnd w:id="1"/>
      <w:bookmarkEnd w:id="78"/>
      <w:bookmarkEnd w:id="79"/>
      <w:bookmarkStart w:id="85" w:name="_Toc12317"/>
      <w:r>
        <w:rPr>
          <w:rFonts w:hint="eastAsia"/>
          <w:color w:val="auto"/>
          <w:highlight w:val="none"/>
        </w:rPr>
        <w:t xml:space="preserve">      </w:t>
      </w:r>
      <w:bookmarkStart w:id="86" w:name="_Toc23023"/>
      <w:r>
        <w:rPr>
          <w:rFonts w:ascii="Times New Roman" w:hAnsi="Times New Roman" w:cs="Times New Roman"/>
          <w:color w:val="auto"/>
          <w:sz w:val="32"/>
          <w:szCs w:val="32"/>
          <w:highlight w:val="none"/>
        </w:rPr>
        <w:t>第五章  合同主要条款格式</w:t>
      </w:r>
      <w:bookmarkEnd w:id="85"/>
      <w:bookmarkEnd w:id="86"/>
    </w:p>
    <w:p w14:paraId="46784EF0">
      <w:pPr>
        <w:shd w:val="clear"/>
        <w:spacing w:before="120" w:line="320" w:lineRule="atLeast"/>
        <w:ind w:firstLine="2951" w:firstLineChars="1400"/>
        <w:outlineLvl w:val="1"/>
        <w:rPr>
          <w:b/>
          <w:bCs/>
          <w:color w:val="auto"/>
          <w:kern w:val="0"/>
          <w:szCs w:val="21"/>
          <w:highlight w:val="none"/>
        </w:rPr>
      </w:pPr>
      <w:r>
        <w:rPr>
          <w:b/>
          <w:bCs/>
          <w:color w:val="auto"/>
          <w:kern w:val="0"/>
          <w:szCs w:val="21"/>
          <w:highlight w:val="none"/>
        </w:rPr>
        <w:t>广西壮族自治区政府采购合同</w:t>
      </w:r>
    </w:p>
    <w:p w14:paraId="10792229">
      <w:pPr>
        <w:shd w:val="clear"/>
        <w:spacing w:line="440" w:lineRule="exact"/>
        <w:ind w:right="800" w:firstLine="210" w:firstLineChars="1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122031A0">
      <w:pPr>
        <w:shd w:val="clear"/>
        <w:spacing w:line="440" w:lineRule="exact"/>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81C7979">
      <w:pPr>
        <w:shd w:val="clear"/>
        <w:spacing w:line="440" w:lineRule="exact"/>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776D198E">
      <w:pPr>
        <w:shd w:val="clear"/>
        <w:spacing w:line="440" w:lineRule="exact"/>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2F7A4D81">
      <w:pPr>
        <w:shd w:val="clear"/>
        <w:spacing w:line="4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w:t>
      </w:r>
      <w:r>
        <w:rPr>
          <w:rFonts w:hint="eastAsia" w:ascii="宋体" w:hAnsi="宋体" w:cs="宋体"/>
          <w:color w:val="auto"/>
          <w:szCs w:val="21"/>
          <w:highlight w:val="none"/>
        </w:rPr>
        <w:t>。</w:t>
      </w:r>
    </w:p>
    <w:p w14:paraId="01FC1D84">
      <w:pPr>
        <w:pStyle w:val="27"/>
        <w:shd w:val="clear"/>
        <w:spacing w:line="360" w:lineRule="auto"/>
        <w:ind w:firstLine="420" w:firstLineChars="200"/>
        <w:rPr>
          <w:color w:val="auto"/>
          <w:highlight w:val="none"/>
        </w:rPr>
      </w:pPr>
    </w:p>
    <w:p w14:paraId="400507A7">
      <w:pPr>
        <w:pStyle w:val="27"/>
        <w:shd w:val="clear"/>
        <w:spacing w:line="360" w:lineRule="auto"/>
        <w:ind w:firstLine="420" w:firstLineChars="200"/>
        <w:rPr>
          <w:color w:val="auto"/>
          <w:highlight w:val="none"/>
        </w:rPr>
      </w:pPr>
      <w:r>
        <w:rPr>
          <w:rFonts w:hint="eastAsia"/>
          <w:color w:val="auto"/>
          <w:highlight w:val="none"/>
        </w:rPr>
        <w:t>根据《中华人民共和国政府采购法》、《中华人民共和国民法典》等法律、法规规定，按照采购文件规定条款和成交供应商响应文件及其承诺，甲乙双方签订本合同。</w:t>
      </w:r>
    </w:p>
    <w:p w14:paraId="1C035C14">
      <w:pPr>
        <w:numPr>
          <w:ilvl w:val="0"/>
          <w:numId w:val="4"/>
        </w:numPr>
        <w:shd w:val="clea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合同标的</w:t>
      </w:r>
    </w:p>
    <w:p w14:paraId="47F01D8B">
      <w:pPr>
        <w:shd w:val="clea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52"/>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516"/>
        <w:gridCol w:w="1891"/>
        <w:gridCol w:w="720"/>
        <w:gridCol w:w="877"/>
        <w:gridCol w:w="1473"/>
        <w:gridCol w:w="1660"/>
        <w:gridCol w:w="957"/>
      </w:tblGrid>
      <w:tr w14:paraId="56F0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B9068A9">
            <w:pPr>
              <w:shd w:val="clear"/>
              <w:rPr>
                <w:rFonts w:hint="eastAsia" w:ascii="宋体" w:hAnsi="宋体" w:eastAsia="宋体" w:cs="宋体"/>
                <w:color w:val="auto"/>
                <w:szCs w:val="22"/>
                <w:highlight w:val="none"/>
              </w:rPr>
            </w:pPr>
            <w:r>
              <w:rPr>
                <w:rFonts w:hint="eastAsia" w:ascii="宋体" w:hAnsi="宋体" w:eastAsia="宋体" w:cs="宋体"/>
                <w:color w:val="auto"/>
                <w:szCs w:val="22"/>
                <w:highlight w:val="none"/>
              </w:rPr>
              <w:t>序号</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47D0E6D">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服务名称</w:t>
            </w:r>
          </w:p>
        </w:tc>
        <w:tc>
          <w:tcPr>
            <w:tcW w:w="1891" w:type="dxa"/>
            <w:tcBorders>
              <w:top w:val="single" w:color="auto" w:sz="4" w:space="0"/>
              <w:left w:val="single" w:color="auto" w:sz="4" w:space="0"/>
              <w:bottom w:val="single" w:color="auto" w:sz="4" w:space="0"/>
              <w:right w:val="single" w:color="auto" w:sz="4" w:space="0"/>
            </w:tcBorders>
            <w:noWrap w:val="0"/>
            <w:vAlign w:val="center"/>
          </w:tcPr>
          <w:p w14:paraId="2EA76FFF">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具体服务内容(含具体服务范围、服务时间、服务标准等内容)</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789F455">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数量</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049E5A00">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单位</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2DC9D331">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单价（元）</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5851EFA1">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单价合计（元）</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73ABE15C">
            <w:pPr>
              <w:shd w:val="clear"/>
              <w:rPr>
                <w:rFonts w:hint="eastAsia" w:ascii="宋体" w:hAnsi="宋体" w:eastAsia="宋体" w:cs="宋体"/>
                <w:color w:val="auto"/>
                <w:szCs w:val="22"/>
                <w:highlight w:val="none"/>
              </w:rPr>
            </w:pPr>
            <w:r>
              <w:rPr>
                <w:rFonts w:hint="eastAsia" w:ascii="宋体" w:hAnsi="宋体" w:eastAsia="宋体" w:cs="宋体"/>
                <w:color w:val="auto"/>
                <w:szCs w:val="22"/>
                <w:highlight w:val="none"/>
              </w:rPr>
              <w:t>备注</w:t>
            </w:r>
          </w:p>
        </w:tc>
      </w:tr>
      <w:tr w14:paraId="3E22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470482B">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B65BA0D">
            <w:pPr>
              <w:shd w:val="clear"/>
              <w:jc w:val="center"/>
              <w:rPr>
                <w:rFonts w:hint="eastAsia" w:ascii="宋体" w:hAnsi="宋体" w:eastAsia="宋体" w:cs="宋体"/>
                <w:color w:val="auto"/>
                <w:szCs w:val="22"/>
                <w:highlight w:val="none"/>
                <w:lang w:val="zh-CN" w:eastAsia="zh-CN"/>
              </w:rPr>
            </w:pPr>
          </w:p>
        </w:tc>
        <w:tc>
          <w:tcPr>
            <w:tcW w:w="1891" w:type="dxa"/>
            <w:tcBorders>
              <w:top w:val="single" w:color="auto" w:sz="4" w:space="0"/>
              <w:left w:val="single" w:color="auto" w:sz="4" w:space="0"/>
              <w:bottom w:val="single" w:color="auto" w:sz="4" w:space="0"/>
              <w:right w:val="single" w:color="auto" w:sz="4" w:space="0"/>
            </w:tcBorders>
            <w:noWrap w:val="0"/>
            <w:vAlign w:val="center"/>
          </w:tcPr>
          <w:p w14:paraId="20BB329E">
            <w:pPr>
              <w:shd w:val="clear"/>
              <w:jc w:val="center"/>
              <w:rPr>
                <w:rFonts w:hint="eastAsia" w:ascii="宋体" w:hAnsi="宋体" w:eastAsia="宋体" w:cs="宋体"/>
                <w:color w:val="auto"/>
                <w:szCs w:val="22"/>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09BBAB8">
            <w:pPr>
              <w:shd w:val="clea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0634C977">
            <w:pPr>
              <w:shd w:val="clea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件</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2E48A2B0">
            <w:pPr>
              <w:shd w:val="clear"/>
              <w:rPr>
                <w:rFonts w:hint="eastAsia" w:ascii="宋体" w:hAnsi="宋体" w:eastAsia="宋体" w:cs="宋体"/>
                <w:color w:val="auto"/>
                <w:szCs w:val="22"/>
                <w:highlight w:val="none"/>
                <w:lang w:bidi="ar"/>
              </w:rPr>
            </w:pPr>
          </w:p>
        </w:tc>
        <w:tc>
          <w:tcPr>
            <w:tcW w:w="1660" w:type="dxa"/>
            <w:tcBorders>
              <w:top w:val="single" w:color="auto" w:sz="4" w:space="0"/>
              <w:left w:val="single" w:color="auto" w:sz="4" w:space="0"/>
              <w:bottom w:val="single" w:color="auto" w:sz="4" w:space="0"/>
              <w:right w:val="single" w:color="auto" w:sz="4" w:space="0"/>
            </w:tcBorders>
            <w:noWrap w:val="0"/>
            <w:vAlign w:val="top"/>
          </w:tcPr>
          <w:p w14:paraId="4EB8F41C">
            <w:pPr>
              <w:shd w:val="clear"/>
              <w:rPr>
                <w:rFonts w:hint="eastAsia" w:ascii="宋体" w:hAnsi="宋体" w:eastAsia="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74389BFD">
            <w:pPr>
              <w:shd w:val="clear"/>
              <w:rPr>
                <w:rFonts w:hint="eastAsia" w:ascii="宋体" w:hAnsi="宋体" w:eastAsia="宋体" w:cs="宋体"/>
                <w:color w:val="auto"/>
                <w:szCs w:val="22"/>
                <w:highlight w:val="none"/>
              </w:rPr>
            </w:pPr>
          </w:p>
        </w:tc>
      </w:tr>
      <w:tr w14:paraId="1455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71B38691">
            <w:pPr>
              <w:shd w:val="clear"/>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 xml:space="preserve">分标   </w:t>
            </w:r>
          </w:p>
        </w:tc>
      </w:tr>
      <w:tr w14:paraId="6282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6CEB7AF8">
            <w:pPr>
              <w:shd w:val="clear"/>
              <w:rPr>
                <w:rFonts w:hint="eastAsia" w:ascii="宋体" w:hAnsi="宋体" w:eastAsia="宋体" w:cs="宋体"/>
                <w:color w:val="auto"/>
                <w:szCs w:val="22"/>
                <w:highlight w:val="none"/>
              </w:rPr>
            </w:pPr>
            <w:r>
              <w:rPr>
                <w:rFonts w:hint="eastAsia" w:ascii="宋体" w:hAnsi="宋体" w:eastAsia="宋体" w:cs="宋体"/>
                <w:color w:val="auto"/>
                <w:szCs w:val="22"/>
                <w:highlight w:val="none"/>
                <w:lang w:val="en-US" w:eastAsia="zh-CN"/>
              </w:rPr>
              <w:t>响应</w:t>
            </w:r>
            <w:r>
              <w:rPr>
                <w:rFonts w:hint="eastAsia" w:ascii="宋体" w:hAnsi="宋体" w:eastAsia="宋体" w:cs="宋体"/>
                <w:color w:val="auto"/>
                <w:szCs w:val="22"/>
                <w:highlight w:val="none"/>
              </w:rPr>
              <w:t>报价（包含税费等所有费用）：</w:t>
            </w:r>
            <w:r>
              <w:rPr>
                <w:rFonts w:hint="eastAsia" w:ascii="宋体" w:hAnsi="宋体" w:eastAsia="宋体" w:cs="宋体"/>
                <w:color w:val="auto"/>
                <w:highlight w:val="none"/>
                <w:u w:val="single"/>
              </w:rPr>
              <w:t xml:space="preserve">   （大写）    </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szCs w:val="20"/>
                <w:highlight w:val="none"/>
                <w:u w:val="single"/>
                <w:lang w:bidi="ar"/>
              </w:rPr>
              <w:t>小写</w:t>
            </w:r>
            <w:r>
              <w:rPr>
                <w:rFonts w:hint="eastAsia" w:ascii="宋体" w:hAnsi="宋体" w:eastAsia="宋体" w:cs="宋体"/>
                <w:color w:val="auto"/>
                <w:highlight w:val="none"/>
                <w:u w:val="single"/>
              </w:rPr>
              <w:t xml:space="preserve">           </w:t>
            </w:r>
            <w:r>
              <w:rPr>
                <w:rFonts w:hint="eastAsia" w:ascii="宋体" w:hAnsi="宋体" w:eastAsia="宋体" w:cs="宋体"/>
                <w:color w:val="auto"/>
                <w:szCs w:val="22"/>
                <w:highlight w:val="none"/>
                <w:lang w:bidi="ar"/>
              </w:rPr>
              <w:t>元</w:t>
            </w:r>
            <w:r>
              <w:rPr>
                <w:rFonts w:hint="eastAsia" w:ascii="宋体" w:hAnsi="宋体" w:eastAsia="宋体" w:cs="宋体"/>
                <w:color w:val="auto"/>
                <w:highlight w:val="none"/>
              </w:rPr>
              <w:t>)</w:t>
            </w:r>
          </w:p>
        </w:tc>
      </w:tr>
      <w:tr w14:paraId="0F4E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23487B83">
            <w:pPr>
              <w:shd w:val="clear"/>
              <w:rPr>
                <w:rFonts w:hint="eastAsia" w:ascii="宋体" w:hAnsi="宋体" w:eastAsia="宋体" w:cs="宋体"/>
                <w:bCs/>
                <w:color w:val="auto"/>
                <w:highlight w:val="none"/>
              </w:rPr>
            </w:pPr>
            <w:r>
              <w:rPr>
                <w:rFonts w:hint="eastAsia" w:ascii="宋体" w:hAnsi="宋体" w:eastAsia="宋体" w:cs="宋体"/>
                <w:bCs/>
                <w:color w:val="auto"/>
                <w:highlight w:val="none"/>
              </w:rPr>
              <w:t>服务期</w:t>
            </w:r>
            <w:r>
              <w:rPr>
                <w:rFonts w:hint="eastAsia" w:ascii="宋体" w:hAnsi="宋体" w:eastAsia="宋体" w:cs="宋体"/>
                <w:color w:val="auto"/>
                <w:szCs w:val="22"/>
                <w:highlight w:val="none"/>
              </w:rPr>
              <w:t>：</w:t>
            </w:r>
          </w:p>
        </w:tc>
      </w:tr>
    </w:tbl>
    <w:p w14:paraId="25FC3AE1">
      <w:pPr>
        <w:shd w:val="clear"/>
        <w:snapToGrid w:val="0"/>
        <w:spacing w:line="440" w:lineRule="exact"/>
        <w:ind w:firstLine="420" w:firstLineChars="200"/>
        <w:rPr>
          <w:color w:val="auto"/>
          <w:highlight w:val="none"/>
        </w:rPr>
      </w:pPr>
      <w:r>
        <w:rPr>
          <w:rFonts w:hint="eastAsia"/>
          <w:color w:val="auto"/>
          <w:highlight w:val="none"/>
        </w:rPr>
        <w:t>2、合同合计金额包括但不限于：</w:t>
      </w:r>
      <w:r>
        <w:rPr>
          <w:rFonts w:hint="eastAsia" w:ascii="宋体" w:hAnsi="宋体" w:cs="宋体"/>
          <w:color w:val="auto"/>
          <w:szCs w:val="21"/>
          <w:highlight w:val="none"/>
          <w:lang w:val="en-US" w:eastAsia="zh-CN"/>
        </w:rPr>
        <w:t>采购项目需求及合同条款中的所有内容、应交纳的各种税费等及为满足采购人项目要求所需服务的全部费用，包括但不限于样品制备费、保存费、转运及处理、差旅费、邮寄费、人工费、 税金、业务培训、代理费等一切费用，费用包干。</w:t>
      </w:r>
    </w:p>
    <w:p w14:paraId="586B93D7">
      <w:pPr>
        <w:shd w:val="clea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32139199">
      <w:pPr>
        <w:shd w:val="clea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33C5630A">
      <w:p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第三条 权利保证</w:t>
      </w:r>
    </w:p>
    <w:p w14:paraId="367542E9">
      <w:pPr>
        <w:shd w:val="clea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1、乙方应保证所提供服务在使用时不会侵犯任何第三方的专利权、商标权、工业设计权等知识产权及其他合法权利，且所有权、处分权等没有受到任何限制。</w:t>
      </w:r>
    </w:p>
    <w:p w14:paraId="4B94BB09">
      <w:pPr>
        <w:shd w:val="clea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本合同履行终止、解除或者无效而解除。</w:t>
      </w:r>
    </w:p>
    <w:p w14:paraId="23D832AB">
      <w:pPr>
        <w:shd w:val="clea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3、甲方享有本项目产出的视频和图片等相关素材，成片和高清无字幕版本的版权、使用权、延伸使用及改编创作的权利。</w:t>
      </w:r>
    </w:p>
    <w:p w14:paraId="381CA143">
      <w:p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第四条　交付和验收</w:t>
      </w:r>
    </w:p>
    <w:p w14:paraId="3D636AB2">
      <w:pPr>
        <w:shd w:val="clea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1、合同履约期限：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，交付地点：</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2A0102F6">
      <w:pPr>
        <w:shd w:val="clea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03DB581C">
      <w:pPr>
        <w:shd w:val="clea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10CFDB41">
      <w:pPr>
        <w:shd w:val="clea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服务后应及时书面通知甲方进行验收，甲方应在收到通知后七个工作日内进行验收，无正当理由逾期不开始验收的，乙方可视同验收合格。验收合格后由甲乙双方签署验收单并加盖甲方公章，甲乙双方各执一份。</w:t>
      </w:r>
      <w:r>
        <w:rPr>
          <w:rFonts w:hint="eastAsia" w:ascii="宋体" w:hAnsi="宋体" w:cs="宋体"/>
          <w:color w:val="auto"/>
          <w:highlight w:val="none"/>
        </w:rPr>
        <w:t>甲方签署的验收单并不免除乙方对标的物的质量保证责任，甲方在使用标的物过程中，存在质量问题的，乙方应承担相应责任。</w:t>
      </w:r>
    </w:p>
    <w:p w14:paraId="111AFF1E">
      <w:pPr>
        <w:shd w:val="clea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5、甲乙双方应按照《广西壮族自治区政府采购项目履约验收管理办法》、双方合同、响应文件验收。</w:t>
      </w:r>
    </w:p>
    <w:p w14:paraId="53B9E5B5">
      <w:pPr>
        <w:shd w:val="clea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在上述情况下，甲方暂缓付款不视为违约。</w:t>
      </w:r>
    </w:p>
    <w:p w14:paraId="1DAE395B">
      <w:pPr>
        <w:shd w:val="clea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3FDB216A">
      <w:pPr>
        <w:shd w:val="clea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8、乙方提交服务成果前应对提交的服务成果做出全面检查和对验收文件进行整理，并列出清单，作为甲方验收和使用的技术条件依据，检验的结果应随服务成果交给甲方。</w:t>
      </w:r>
    </w:p>
    <w:p w14:paraId="549DB2AD">
      <w:pPr>
        <w:shd w:val="clea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9、根据采购需求的要求进行验收；如有必要由乙方负责聘请第三方出具验收意见，验收费用由乙方负责。</w:t>
      </w:r>
    </w:p>
    <w:p w14:paraId="40DC8884">
      <w:p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第五条  售后服务及培训</w:t>
      </w:r>
    </w:p>
    <w:p w14:paraId="676DF87B">
      <w:pPr>
        <w:shd w:val="clea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乙方应按照国家有关法律法规和本合同所附的《售后服务承诺》要求为甲方提供相应的售后服务。</w:t>
      </w:r>
    </w:p>
    <w:p w14:paraId="00E2804C">
      <w:pPr>
        <w:shd w:val="clear"/>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第六条　付款方式</w:t>
      </w:r>
    </w:p>
    <w:p w14:paraId="0F135B5D">
      <w:pPr>
        <w:shd w:val="clear"/>
        <w:spacing w:line="360" w:lineRule="exact"/>
        <w:ind w:firstLine="422" w:firstLineChars="200"/>
        <w:rPr>
          <w:rFonts w:hint="eastAsia" w:ascii="宋体" w:hAnsi="宋体" w:cs="Courier New"/>
          <w:b/>
          <w:color w:val="auto"/>
          <w:szCs w:val="21"/>
          <w:highlight w:val="none"/>
          <w:lang w:val="en-US" w:eastAsia="zh-CN"/>
        </w:rPr>
      </w:pPr>
      <w:r>
        <w:rPr>
          <w:rFonts w:hint="eastAsia" w:ascii="宋体" w:hAnsi="宋体" w:cs="Courier New"/>
          <w:b/>
          <w:color w:val="auto"/>
          <w:szCs w:val="21"/>
          <w:highlight w:val="none"/>
          <w:lang w:val="en-US" w:eastAsia="zh-CN"/>
        </w:rPr>
        <w:t>分标1：</w:t>
      </w:r>
      <w:r>
        <w:rPr>
          <w:rFonts w:hint="eastAsia" w:ascii="宋体" w:hAnsi="宋体" w:cs="宋体"/>
          <w:color w:val="auto"/>
          <w:szCs w:val="21"/>
          <w:highlight w:val="none"/>
          <w:lang w:val="en-US" w:eastAsia="zh-CN"/>
        </w:rPr>
        <w:t>按照《广西壮族自治区财政厅关于持续优化政府采购营商环境推动高质量发展的通知》（桂财采〔2024〕55号）精神要求，项目款结算可采取拨付预付款</w:t>
      </w:r>
      <w:r>
        <w:rPr>
          <w:rFonts w:hint="eastAsia" w:eastAsia="仿宋_GB2312" w:cs="CESI仿宋-GB2312"/>
          <w:b w:val="0"/>
          <w:bCs/>
          <w:color w:val="auto"/>
          <w:sz w:val="32"/>
          <w:szCs w:val="32"/>
          <w:highlight w:val="none"/>
          <w:lang w:val="en-US" w:eastAsia="zh-CN"/>
        </w:rPr>
        <w:t>[</w:t>
      </w:r>
      <w:r>
        <w:rPr>
          <w:rFonts w:hint="eastAsia" w:ascii="宋体" w:hAnsi="宋体" w:cs="宋体"/>
          <w:color w:val="auto"/>
          <w:szCs w:val="21"/>
          <w:highlight w:val="none"/>
          <w:lang w:val="en-US" w:eastAsia="zh-CN"/>
        </w:rPr>
        <w:t>在签订委托合同（协议）并进场实际开工后，可拨付不超过合同金额40%的预付款</w:t>
      </w:r>
      <w:r>
        <w:rPr>
          <w:rFonts w:hint="eastAsia" w:eastAsia="仿宋_GB2312" w:cs="CESI仿宋-GB2312"/>
          <w:b w:val="0"/>
          <w:bCs/>
          <w:color w:val="auto"/>
          <w:sz w:val="32"/>
          <w:szCs w:val="32"/>
          <w:highlight w:val="none"/>
          <w:lang w:val="en-US" w:eastAsia="zh-CN"/>
        </w:rPr>
        <w:t>]</w:t>
      </w:r>
      <w:r>
        <w:rPr>
          <w:rFonts w:hint="eastAsia" w:ascii="宋体" w:hAnsi="宋体" w:cs="宋体"/>
          <w:color w:val="auto"/>
          <w:szCs w:val="21"/>
          <w:highlight w:val="none"/>
          <w:lang w:val="en-US" w:eastAsia="zh-CN"/>
        </w:rPr>
        <w:t>及分段验收、分批支付的方式，加快资金拨付。</w:t>
      </w:r>
    </w:p>
    <w:p w14:paraId="7C901B92">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1.“叶面阻隔+”技术措施模式：</w:t>
      </w:r>
    </w:p>
    <w:p w14:paraId="35300E4F">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按合同完成各项措施落地及面积确认和宣传指导目标任务，并完成阶段性验收核验的，可拨付至项目合同金额的70%。</w:t>
      </w:r>
    </w:p>
    <w:p w14:paraId="46A95768">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项目区产品（稻谷）质量（重金属）合格率结果出来后，并完成项目整体验收，按以下规则拨付剩余项目资金：</w:t>
      </w:r>
    </w:p>
    <w:p w14:paraId="58481634">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（1）产品合格率：≥93%，可以结算全部剩余项目资金（项目合同金额的30%）。</w:t>
      </w:r>
    </w:p>
    <w:p w14:paraId="21642C7B">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（2）产品合格率：60%（含）—93%（不含），可以结算30%项目合同金额×实际产品合格率÷93%的款项。</w:t>
      </w:r>
    </w:p>
    <w:p w14:paraId="6D90D1D0">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（3）产品合格率：小于60%（不含），不再支付剩余款额。</w:t>
      </w:r>
    </w:p>
    <w:p w14:paraId="620A5E7F">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2.“镉低积累品种替代+”技术措施模式：</w:t>
      </w:r>
    </w:p>
    <w:p w14:paraId="2C5B5E29">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按照合同完成镉低积累水稻种植面积，镉低积累水稻种子质量和真实性（提供相关检测报告）检测符合要求，并完成阶段性验收的，拨付至项目合同金额的60%。检测发现提供的种子不是指定的镉低积累水稻品种或种子质量不达标的，不再拨付项目剩余资金，该项目终止。</w:t>
      </w:r>
    </w:p>
    <w:p w14:paraId="2E38C086">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在完成前款条件下，按合同完成相关措施落地及面积确认和宣传指导任务目标，并完成阶段性验收的，拨付至项目合同金额的90%。</w:t>
      </w:r>
    </w:p>
    <w:p w14:paraId="6B181498">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项目区产品（稻谷）质量（重金属）合格率结果出来后，并完成项目整体验收，按以下规则拨付剩余项目资金：</w:t>
      </w:r>
    </w:p>
    <w:p w14:paraId="62B6354D">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（1）产品合格率：≥93%，可以结算全部剩余项目资金（项目合同金额的10%）。</w:t>
      </w:r>
    </w:p>
    <w:p w14:paraId="6408F5F8">
      <w:pPr>
        <w:shd w:val="clea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（2）产品合格率：60%（含）—93%（不含），结算10%项目合同金额款项×实际产品合格率÷93%的款项。</w:t>
      </w:r>
    </w:p>
    <w:p w14:paraId="23E5D6AF">
      <w:pPr>
        <w:shd w:val="clear"/>
        <w:snapToGrid w:val="0"/>
        <w:spacing w:line="360" w:lineRule="auto"/>
        <w:ind w:left="-61" w:leftChars="-29" w:firstLine="514" w:firstLineChars="245"/>
        <w:rPr>
          <w:rFonts w:hint="eastAsia" w:ascii="宋体" w:hAnsi="宋体" w:cs="Courier New"/>
          <w:b/>
          <w:color w:val="auto"/>
          <w:szCs w:val="21"/>
          <w:highlight w:val="none"/>
          <w:lang w:val="en-US" w:eastAsia="zh-CN"/>
        </w:rPr>
      </w:pPr>
      <w:r>
        <w:rPr>
          <w:rFonts w:hint="eastAsia" w:ascii="宋体" w:hAnsi="宋体" w:cs="宋体"/>
          <w:color w:val="auto"/>
          <w:szCs w:val="21"/>
          <w:highlight w:val="none"/>
          <w:lang w:val="en-US" w:eastAsia="zh-CN"/>
        </w:rPr>
        <w:t>（3）产品合格率：小于60%（不含），不再支付剩余款项。</w:t>
      </w:r>
    </w:p>
    <w:p w14:paraId="54F48654">
      <w:pPr>
        <w:shd w:val="clear"/>
        <w:spacing w:line="360" w:lineRule="auto"/>
        <w:ind w:firstLine="422" w:firstLineChars="200"/>
        <w:rPr>
          <w:rFonts w:hint="eastAsia" w:ascii="宋体" w:hAnsi="宋体" w:eastAsia="宋体" w:cs="宋体"/>
          <w:color w:val="auto"/>
          <w:szCs w:val="21"/>
          <w:highlight w:val="none"/>
          <w:lang w:val="en-US" w:eastAsia="zh-CN"/>
        </w:rPr>
      </w:pPr>
      <w:r>
        <w:rPr>
          <w:rFonts w:hint="eastAsia" w:ascii="宋体" w:hAnsi="宋体" w:cs="Courier New"/>
          <w:b/>
          <w:color w:val="auto"/>
          <w:szCs w:val="21"/>
          <w:highlight w:val="none"/>
          <w:lang w:val="en-US" w:eastAsia="zh-CN"/>
        </w:rPr>
        <w:t>分标2：</w:t>
      </w:r>
      <w:r>
        <w:rPr>
          <w:rFonts w:hint="eastAsia" w:ascii="宋体" w:hAnsi="宋体" w:eastAsia="宋体" w:cs="宋体"/>
          <w:color w:val="auto"/>
          <w:szCs w:val="21"/>
          <w:highlight w:val="none"/>
          <w:lang w:val="en-US" w:eastAsia="zh-CN"/>
        </w:rPr>
        <w:t>项目完成后，根据合同约定内容与项目验收结果，按时向</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 xml:space="preserve">提供水稻稻谷快速检测试剂及电极卡600份，货到并实际使用无问题后验收通过；快速检测超标样品开展定量检测和涉及严格管控类耕地稻谷 CMA 检测评价按实际开展完成数量，出具检测评价报告后，按合同约定与实际完成数量计算支付。 </w:t>
      </w:r>
    </w:p>
    <w:p w14:paraId="6A922B15">
      <w:pPr>
        <w:shd w:val="clea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乙方</w:t>
      </w:r>
      <w:r>
        <w:rPr>
          <w:rFonts w:hint="eastAsia" w:ascii="宋体" w:hAnsi="宋体" w:eastAsia="宋体" w:cs="宋体"/>
          <w:color w:val="auto"/>
          <w:szCs w:val="21"/>
          <w:highlight w:val="none"/>
          <w:lang w:val="en-US" w:eastAsia="zh-CN"/>
        </w:rPr>
        <w:t>向</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lang w:val="en-US" w:eastAsia="zh-CN"/>
        </w:rPr>
        <w:t>出具符合要求的发票，待申请财政及县政府同意后支付全部合同金额。</w:t>
      </w:r>
    </w:p>
    <w:p w14:paraId="73D83240">
      <w:pPr>
        <w:shd w:val="clear"/>
        <w:snapToGrid w:val="0"/>
        <w:spacing w:line="360" w:lineRule="auto"/>
        <w:ind w:left="-61" w:leftChars="-29" w:firstLine="517" w:firstLineChars="245"/>
        <w:rPr>
          <w:rFonts w:hint="default" w:ascii="宋体" w:hAnsi="宋体" w:cs="Courier New"/>
          <w:b/>
          <w:color w:val="auto"/>
          <w:szCs w:val="21"/>
          <w:highlight w:val="none"/>
          <w:lang w:val="en-US" w:eastAsia="zh-CN"/>
        </w:rPr>
      </w:pPr>
      <w:r>
        <w:rPr>
          <w:rFonts w:hint="eastAsia" w:ascii="宋体" w:hAnsi="宋体" w:cs="Courier New"/>
          <w:b/>
          <w:color w:val="auto"/>
          <w:szCs w:val="21"/>
          <w:highlight w:val="none"/>
          <w:lang w:val="en-US" w:eastAsia="zh-CN"/>
        </w:rPr>
        <w:t>分标3：</w:t>
      </w:r>
      <w:r>
        <w:rPr>
          <w:rFonts w:hint="eastAsia" w:ascii="宋体" w:hAnsi="宋体" w:cs="宋体"/>
          <w:color w:val="auto"/>
          <w:szCs w:val="21"/>
          <w:highlight w:val="none"/>
        </w:rPr>
        <w:t>本项目无预付款，合同签订后成交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按服务项目进度支付不超过 30％的进度款；剩余款待服务项目整体通过验收申请财政及县政府同意后支付。</w:t>
      </w:r>
    </w:p>
    <w:p w14:paraId="69BCF9E4">
      <w:pPr>
        <w:numPr>
          <w:ilvl w:val="0"/>
          <w:numId w:val="5"/>
        </w:numPr>
        <w:shd w:val="clear"/>
        <w:snapToGrid w:val="0"/>
        <w:spacing w:line="360" w:lineRule="auto"/>
        <w:ind w:left="-61" w:leftChars="-29" w:firstLine="517" w:firstLineChars="245"/>
        <w:rPr>
          <w:rFonts w:hint="eastAsia" w:ascii="宋体" w:hAnsi="宋体" w:cs="Courier New"/>
          <w:b/>
          <w:color w:val="auto"/>
          <w:szCs w:val="21"/>
          <w:highlight w:val="none"/>
        </w:rPr>
      </w:pPr>
      <w:r>
        <w:rPr>
          <w:rFonts w:hint="eastAsia" w:ascii="宋体" w:hAnsi="宋体" w:cs="Courier New"/>
          <w:b/>
          <w:color w:val="auto"/>
          <w:szCs w:val="21"/>
          <w:highlight w:val="none"/>
        </w:rPr>
        <w:t>履约保证金</w:t>
      </w:r>
    </w:p>
    <w:p w14:paraId="3CAEEBFB">
      <w:pPr>
        <w:numPr>
          <w:ilvl w:val="0"/>
          <w:numId w:val="0"/>
        </w:numPr>
        <w:shd w:val="clear"/>
        <w:snapToGrid w:val="0"/>
        <w:spacing w:line="360" w:lineRule="auto"/>
        <w:ind w:leftChars="216" w:firstLine="420" w:firstLineChars="200"/>
        <w:rPr>
          <w:rFonts w:hint="eastAsia" w:ascii="宋体" w:hAnsi="宋体" w:eastAsia="宋体" w:cs="Courier New"/>
          <w:b w:val="0"/>
          <w:bCs/>
          <w:color w:val="auto"/>
          <w:szCs w:val="21"/>
          <w:highlight w:val="none"/>
          <w:lang w:val="en-US" w:eastAsia="zh-CN"/>
        </w:rPr>
      </w:pPr>
      <w:r>
        <w:rPr>
          <w:rFonts w:hint="eastAsia" w:ascii="宋体" w:hAnsi="宋体" w:cs="Courier New"/>
          <w:b w:val="0"/>
          <w:bCs/>
          <w:color w:val="auto"/>
          <w:szCs w:val="21"/>
          <w:highlight w:val="none"/>
          <w:lang w:val="en-US" w:eastAsia="zh-CN"/>
        </w:rPr>
        <w:t>无</w:t>
      </w:r>
    </w:p>
    <w:p w14:paraId="4B5FA93C">
      <w:pPr>
        <w:numPr>
          <w:ilvl w:val="0"/>
          <w:numId w:val="6"/>
        </w:numPr>
        <w:shd w:val="clear"/>
        <w:snapToGrid w:val="0"/>
        <w:spacing w:line="360" w:lineRule="auto"/>
        <w:ind w:left="-61" w:leftChars="-29" w:firstLine="517" w:firstLineChars="245"/>
        <w:rPr>
          <w:rFonts w:hint="eastAsia" w:ascii="宋体" w:hAnsi="宋体"/>
          <w:b/>
          <w:color w:val="auto"/>
          <w:szCs w:val="21"/>
          <w:highlight w:val="none"/>
        </w:rPr>
      </w:pPr>
      <w:r>
        <w:rPr>
          <w:rFonts w:hint="eastAsia" w:ascii="宋体" w:hAnsi="宋体"/>
          <w:b/>
          <w:color w:val="auto"/>
          <w:szCs w:val="21"/>
          <w:highlight w:val="none"/>
        </w:rPr>
        <w:t xml:space="preserve"> 税费  </w:t>
      </w:r>
    </w:p>
    <w:p w14:paraId="2FEC3718">
      <w:pPr>
        <w:shd w:val="clear"/>
        <w:snapToGrid w:val="0"/>
        <w:spacing w:line="360" w:lineRule="auto"/>
        <w:ind w:left="454" w:leftChars="216"/>
        <w:rPr>
          <w:rFonts w:hint="eastAsia" w:ascii="宋体" w:hAnsi="宋体"/>
          <w:b/>
          <w:color w:val="auto"/>
          <w:szCs w:val="21"/>
          <w:highlight w:val="none"/>
        </w:rPr>
      </w:pPr>
      <w:r>
        <w:rPr>
          <w:rFonts w:hint="eastAsia" w:ascii="宋体" w:hAnsi="宋体"/>
          <w:bCs/>
          <w:color w:val="auto"/>
          <w:szCs w:val="21"/>
          <w:highlight w:val="none"/>
        </w:rPr>
        <w:t>本合同执行中相关的一切税费均由乙方负担。</w:t>
      </w:r>
    </w:p>
    <w:p w14:paraId="140A5476">
      <w:pPr>
        <w:shd w:val="clear"/>
        <w:snapToGrid w:val="0"/>
        <w:spacing w:line="360" w:lineRule="auto"/>
        <w:ind w:firstLine="441" w:firstLineChars="209"/>
        <w:rPr>
          <w:rFonts w:hint="eastAsia" w:ascii="宋体" w:hAnsi="宋体"/>
          <w:b/>
          <w:color w:val="auto"/>
          <w:szCs w:val="21"/>
          <w:highlight w:val="none"/>
        </w:rPr>
      </w:pPr>
      <w:r>
        <w:rPr>
          <w:rFonts w:hint="eastAsia" w:ascii="宋体" w:hAnsi="宋体"/>
          <w:b/>
          <w:color w:val="auto"/>
          <w:szCs w:val="21"/>
          <w:highlight w:val="none"/>
        </w:rPr>
        <w:t>第九条　违约责任</w:t>
      </w:r>
    </w:p>
    <w:p w14:paraId="6B56E3F1">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1、除不可抗力原因外，乙方没有按照合同规定的时间提供服务的，甲方可要求乙方支付违约金。每推迟一天按2000元/天支付违约金。逾期超过3天，甲方有权终止合同并要求乙方赔偿损失。</w:t>
      </w:r>
      <w:r>
        <w:rPr>
          <w:rFonts w:hint="eastAsia" w:ascii="宋体" w:hAnsi="宋体" w:cs="宋体"/>
          <w:color w:val="auto"/>
          <w:sz w:val="22"/>
          <w:szCs w:val="22"/>
          <w:highlight w:val="none"/>
        </w:rPr>
        <w:t>甲方未按时支付合同款项的，则每逾期一日，应向乙方支付应付服务费的的万分之五违约金，</w:t>
      </w:r>
      <w:r>
        <w:rPr>
          <w:rFonts w:hint="eastAsia" w:ascii="宋体" w:hAnsi="宋体"/>
          <w:color w:val="auto"/>
          <w:szCs w:val="21"/>
          <w:highlight w:val="none"/>
        </w:rPr>
        <w:t xml:space="preserve">该违约金累计不超过应付服务费的10%。                                       </w:t>
      </w:r>
    </w:p>
    <w:p w14:paraId="7F7393C7">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甲方在中华人民共和国境内使用乙方提供的产品及服务时免受第三方提出的侵犯其专利权或其它知识产权的起诉。如果第三方提出侵权指控，乙方应承担由此而引起的一切法律责任和费用。如乙方侵权造成甲方损失的，乙方应当赔偿甲方的实际损失。</w:t>
      </w:r>
    </w:p>
    <w:p w14:paraId="50BB6848">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3、乙方未按本合同和投标文件中规定的服务承诺提供售后服务的，乙方应按违约服务金额5%向甲方支付违约金及甲方损失。</w:t>
      </w:r>
    </w:p>
    <w:p w14:paraId="63D834A5">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4、乙方提供的服务成果在质量保证期内，因乙方和其它质量原因造成的问题，由乙方负责。</w:t>
      </w:r>
    </w:p>
    <w:p w14:paraId="78688C62">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5、其它违约行为按违约服务成果款额5%收取违约金。</w:t>
      </w:r>
    </w:p>
    <w:p w14:paraId="5DDE81C3">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6、乙方支付的违约金不足以弥补甲方损失的，还应承担赔偿责任。</w:t>
      </w:r>
    </w:p>
    <w:p w14:paraId="3C2500EA">
      <w:pPr>
        <w:shd w:val="clear"/>
        <w:snapToGrid w:val="0"/>
        <w:spacing w:line="360" w:lineRule="auto"/>
        <w:ind w:firstLine="420" w:firstLineChars="200"/>
        <w:rPr>
          <w:rFonts w:hint="eastAsia" w:ascii="宋体" w:hAnsi="宋体" w:cs="宋体"/>
          <w:color w:val="auto"/>
          <w:szCs w:val="21"/>
          <w:highlight w:val="none"/>
          <w:lang w:val="en"/>
        </w:rPr>
      </w:pPr>
      <w:r>
        <w:rPr>
          <w:rFonts w:hint="eastAsia" w:ascii="宋体" w:hAnsi="宋体"/>
          <w:color w:val="auto"/>
          <w:szCs w:val="21"/>
          <w:highlight w:val="none"/>
        </w:rPr>
        <w:t>7、</w:t>
      </w:r>
      <w:r>
        <w:rPr>
          <w:rFonts w:hint="eastAsia" w:ascii="宋体" w:hAnsi="宋体" w:cs="宋体"/>
          <w:color w:val="auto"/>
          <w:szCs w:val="21"/>
          <w:highlight w:val="none"/>
          <w:lang w:val="en"/>
        </w:rPr>
        <w:t>本合同所称的甲方经济损失或者甲方损失，包括甲方遭受的全部直接经济损失及为此支出的合理费用（包括但不限于为此支出的调查费、诉讼费、保全费、律师费、差旅费、保全保险费、鉴定费等）。</w:t>
      </w:r>
    </w:p>
    <w:p w14:paraId="72A0DA23">
      <w:pPr>
        <w:pStyle w:val="27"/>
        <w:shd w:val="clear"/>
        <w:snapToGrid w:val="0"/>
        <w:spacing w:before="120" w:after="120" w:line="360" w:lineRule="auto"/>
        <w:ind w:firstLine="413" w:firstLineChars="196"/>
        <w:rPr>
          <w:b/>
          <w:color w:val="auto"/>
          <w:highlight w:val="none"/>
        </w:rPr>
      </w:pPr>
      <w:r>
        <w:rPr>
          <w:rFonts w:hint="eastAsia"/>
          <w:b/>
          <w:color w:val="auto"/>
          <w:highlight w:val="none"/>
        </w:rPr>
        <w:t>第十条 不可抗力事件处理</w:t>
      </w:r>
    </w:p>
    <w:p w14:paraId="1FDD5559">
      <w:pPr>
        <w:pStyle w:val="27"/>
        <w:shd w:val="clear"/>
        <w:snapToGrid w:val="0"/>
        <w:spacing w:before="120" w:after="120" w:line="360" w:lineRule="auto"/>
        <w:ind w:firstLine="420" w:firstLineChars="200"/>
        <w:rPr>
          <w:color w:val="auto"/>
          <w:highlight w:val="none"/>
        </w:rPr>
      </w:pPr>
      <w:r>
        <w:rPr>
          <w:rFonts w:hint="eastAsia"/>
          <w:color w:val="auto"/>
          <w:highlight w:val="none"/>
        </w:rPr>
        <w:t>1、在合同有效期内，任何一方因不可抗力事件导致不能履行合同，则合同履行期可延长，其延长期与不可抗力影响期相同。</w:t>
      </w:r>
    </w:p>
    <w:p w14:paraId="091FE8B7">
      <w:pPr>
        <w:pStyle w:val="27"/>
        <w:shd w:val="clear"/>
        <w:snapToGrid w:val="0"/>
        <w:spacing w:before="120" w:after="120" w:line="360" w:lineRule="auto"/>
        <w:ind w:firstLine="420" w:firstLineChars="200"/>
        <w:rPr>
          <w:color w:val="auto"/>
          <w:highlight w:val="none"/>
        </w:rPr>
      </w:pPr>
      <w:r>
        <w:rPr>
          <w:rFonts w:hint="eastAsia"/>
          <w:color w:val="auto"/>
          <w:highlight w:val="none"/>
        </w:rPr>
        <w:t>2、不可抗力事件发生后，应立即通知对方，并寄送有关权威机构出具的证明。</w:t>
      </w:r>
    </w:p>
    <w:p w14:paraId="282F5C7E">
      <w:pPr>
        <w:pStyle w:val="27"/>
        <w:shd w:val="clear"/>
        <w:snapToGrid w:val="0"/>
        <w:spacing w:before="120" w:after="120" w:line="360" w:lineRule="auto"/>
        <w:ind w:firstLine="420" w:firstLineChars="200"/>
        <w:rPr>
          <w:color w:val="auto"/>
          <w:highlight w:val="none"/>
        </w:rPr>
      </w:pPr>
      <w:r>
        <w:rPr>
          <w:rFonts w:hint="eastAsia"/>
          <w:color w:val="auto"/>
          <w:highlight w:val="none"/>
        </w:rPr>
        <w:t>3、不可抗力事件延续六十天以上，双方应通过友好协商，确定是否继续履行合同。</w:t>
      </w:r>
    </w:p>
    <w:p w14:paraId="3BFC2777">
      <w:pPr>
        <w:shd w:val="clear"/>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第十一条  合同争议解决</w:t>
      </w:r>
    </w:p>
    <w:p w14:paraId="5382C3F7">
      <w:pPr>
        <w:pStyle w:val="27"/>
        <w:shd w:val="clear"/>
        <w:snapToGrid w:val="0"/>
        <w:spacing w:before="120" w:after="120" w:line="360" w:lineRule="auto"/>
        <w:ind w:firstLine="420" w:firstLineChars="200"/>
        <w:rPr>
          <w:rFonts w:cs="Times New Roman"/>
          <w:color w:val="auto"/>
          <w:highlight w:val="none"/>
        </w:rPr>
      </w:pPr>
      <w:r>
        <w:rPr>
          <w:rFonts w:hint="eastAsia" w:cs="Times New Roman"/>
          <w:color w:val="auto"/>
          <w:highlight w:val="none"/>
        </w:rPr>
        <w:t>1、因服务成果质量问题发生争议的，应邀请国家认可的质量检测机构对服务成果质量进行鉴定。服务成果符合标准的，鉴定费由甲方承担；服务成果不符合标准的，鉴定费由乙方承担。</w:t>
      </w:r>
    </w:p>
    <w:p w14:paraId="5AA4BC5C">
      <w:pPr>
        <w:pStyle w:val="27"/>
        <w:shd w:val="clear"/>
        <w:snapToGrid w:val="0"/>
        <w:spacing w:before="120" w:after="120" w:line="360" w:lineRule="auto"/>
        <w:ind w:firstLine="420" w:firstLineChars="200"/>
        <w:rPr>
          <w:rFonts w:cs="Times New Roman"/>
          <w:color w:val="auto"/>
          <w:highlight w:val="none"/>
        </w:rPr>
      </w:pPr>
      <w:r>
        <w:rPr>
          <w:rFonts w:hint="eastAsia" w:cs="Times New Roman"/>
          <w:color w:val="auto"/>
          <w:highlight w:val="none"/>
        </w:rPr>
        <w:t>2、因履行本合同引起的或与本合同有关的争议，甲乙双方应首先通过友好协商解决，如果协商不能解决，向甲方所在地人民法院提起诉讼。</w:t>
      </w:r>
    </w:p>
    <w:p w14:paraId="7CDB0942">
      <w:pPr>
        <w:pStyle w:val="27"/>
        <w:shd w:val="clear"/>
        <w:snapToGrid w:val="0"/>
        <w:spacing w:before="120" w:after="120" w:line="360" w:lineRule="auto"/>
        <w:ind w:firstLine="420" w:firstLineChars="200"/>
        <w:rPr>
          <w:rFonts w:cs="Times New Roman"/>
          <w:color w:val="auto"/>
          <w:highlight w:val="none"/>
        </w:rPr>
      </w:pPr>
      <w:r>
        <w:rPr>
          <w:rFonts w:hint="eastAsia" w:cs="Times New Roman"/>
          <w:color w:val="auto"/>
          <w:highlight w:val="none"/>
        </w:rPr>
        <w:t>3、诉讼期间，本合同继续履行。</w:t>
      </w:r>
    </w:p>
    <w:p w14:paraId="79FF2222">
      <w:pPr>
        <w:pStyle w:val="27"/>
        <w:shd w:val="clear"/>
        <w:snapToGrid w:val="0"/>
        <w:spacing w:before="120" w:after="120" w:line="360" w:lineRule="auto"/>
        <w:ind w:left="561" w:leftChars="267"/>
        <w:rPr>
          <w:b/>
          <w:color w:val="auto"/>
          <w:highlight w:val="none"/>
        </w:rPr>
      </w:pPr>
      <w:r>
        <w:rPr>
          <w:rFonts w:hint="eastAsia"/>
          <w:b/>
          <w:color w:val="auto"/>
          <w:highlight w:val="none"/>
        </w:rPr>
        <w:t>第十二条 合同生效及其它</w:t>
      </w:r>
    </w:p>
    <w:p w14:paraId="4BCD679D">
      <w:pPr>
        <w:pStyle w:val="27"/>
        <w:shd w:val="clear"/>
        <w:snapToGrid w:val="0"/>
        <w:spacing w:before="120" w:after="120" w:line="360" w:lineRule="auto"/>
        <w:ind w:firstLine="411" w:firstLineChars="196"/>
        <w:rPr>
          <w:bCs/>
          <w:color w:val="auto"/>
          <w:highlight w:val="none"/>
        </w:rPr>
      </w:pPr>
      <w:r>
        <w:rPr>
          <w:rFonts w:hint="eastAsia"/>
          <w:bCs/>
          <w:color w:val="auto"/>
          <w:highlight w:val="none"/>
        </w:rPr>
        <w:t>1、合同经</w:t>
      </w:r>
      <w:r>
        <w:rPr>
          <w:rFonts w:hint="eastAsia" w:hAnsi="宋体" w:cs="宋体"/>
          <w:color w:val="auto"/>
          <w:highlight w:val="none"/>
        </w:rPr>
        <w:t>甲乙</w:t>
      </w:r>
      <w:r>
        <w:rPr>
          <w:rFonts w:hint="eastAsia"/>
          <w:bCs/>
          <w:color w:val="auto"/>
          <w:highlight w:val="none"/>
        </w:rPr>
        <w:t>双方法定代表人(负责人)或授权代表签字并加盖单位公章后生效。</w:t>
      </w:r>
    </w:p>
    <w:p w14:paraId="220CD637">
      <w:pPr>
        <w:pStyle w:val="27"/>
        <w:shd w:val="clear"/>
        <w:snapToGrid w:val="0"/>
        <w:spacing w:before="120" w:after="120" w:line="360" w:lineRule="auto"/>
        <w:ind w:firstLine="411" w:firstLineChars="196"/>
        <w:rPr>
          <w:bCs/>
          <w:color w:val="auto"/>
          <w:highlight w:val="none"/>
        </w:rPr>
      </w:pPr>
      <w:r>
        <w:rPr>
          <w:rFonts w:hint="eastAsia"/>
          <w:bCs/>
          <w:color w:val="auto"/>
          <w:highlight w:val="none"/>
        </w:rPr>
        <w:t>2、合同执行中涉及采购资金和采购内容修改或补充的，须签书面补充协议报财政部门备案，方可作为主合同不可分割的一部分。</w:t>
      </w:r>
    </w:p>
    <w:p w14:paraId="6182D033">
      <w:pPr>
        <w:pStyle w:val="27"/>
        <w:shd w:val="clear"/>
        <w:snapToGrid w:val="0"/>
        <w:spacing w:before="120" w:after="120" w:line="360" w:lineRule="auto"/>
        <w:ind w:firstLine="411" w:firstLineChars="196"/>
        <w:rPr>
          <w:bCs/>
          <w:color w:val="auto"/>
          <w:highlight w:val="none"/>
        </w:rPr>
      </w:pPr>
      <w:r>
        <w:rPr>
          <w:rFonts w:hint="eastAsia"/>
          <w:bCs/>
          <w:color w:val="auto"/>
          <w:highlight w:val="none"/>
        </w:rPr>
        <w:t>3、本合同未尽事宜，遵照《中华人民共和国民法典》有关条文执行。</w:t>
      </w:r>
    </w:p>
    <w:p w14:paraId="727A14A8">
      <w:pPr>
        <w:shd w:val="clear"/>
        <w:snapToGrid w:val="0"/>
        <w:spacing w:line="360" w:lineRule="auto"/>
        <w:ind w:firstLine="525" w:firstLineChars="249"/>
        <w:rPr>
          <w:rFonts w:hint="eastAsia" w:ascii="宋体" w:hAnsi="宋体"/>
          <w:b/>
          <w:color w:val="auto"/>
          <w:szCs w:val="21"/>
          <w:highlight w:val="none"/>
        </w:rPr>
      </w:pPr>
      <w:r>
        <w:rPr>
          <w:rFonts w:hint="eastAsia" w:ascii="宋体" w:hAnsi="宋体"/>
          <w:b/>
          <w:color w:val="auto"/>
          <w:szCs w:val="21"/>
          <w:highlight w:val="none"/>
        </w:rPr>
        <w:t>第十三条　合同的变更、终止与转让</w:t>
      </w:r>
    </w:p>
    <w:p w14:paraId="507772F5">
      <w:pPr>
        <w:shd w:val="clea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1、除《中华人民共和国政府采购法》第五十条规定的情形外，本合同一经签订，甲乙双方不得擅自变更、中止或终止。</w:t>
      </w:r>
    </w:p>
    <w:p w14:paraId="1181F9A6">
      <w:pPr>
        <w:pStyle w:val="27"/>
        <w:shd w:val="clear"/>
        <w:snapToGrid w:val="0"/>
        <w:spacing w:before="120" w:after="120" w:line="360" w:lineRule="auto"/>
        <w:ind w:firstLine="411" w:firstLineChars="196"/>
        <w:rPr>
          <w:b/>
          <w:color w:val="auto"/>
          <w:highlight w:val="none"/>
        </w:rPr>
      </w:pPr>
      <w:r>
        <w:rPr>
          <w:rFonts w:hint="eastAsia"/>
          <w:color w:val="auto"/>
          <w:highlight w:val="none"/>
        </w:rPr>
        <w:t>2、未经甲方同意，乙方不得擅自转让其应履行的合同义务和权利。</w:t>
      </w:r>
    </w:p>
    <w:p w14:paraId="42530436">
      <w:pPr>
        <w:shd w:val="clea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第十四条　签订本合同依据</w:t>
      </w:r>
    </w:p>
    <w:p w14:paraId="05D55A39">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
        </w:rPr>
        <w:t>、</w:t>
      </w:r>
      <w:r>
        <w:rPr>
          <w:rFonts w:hint="eastAsia" w:ascii="宋体" w:hAnsi="宋体" w:cs="宋体"/>
          <w:color w:val="auto"/>
          <w:szCs w:val="21"/>
          <w:highlight w:val="none"/>
        </w:rPr>
        <w:t>成交通知书；</w:t>
      </w:r>
    </w:p>
    <w:p w14:paraId="64F2DE93">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
        </w:rPr>
        <w:t>、</w:t>
      </w:r>
      <w:r>
        <w:rPr>
          <w:rFonts w:hint="eastAsia" w:ascii="宋体" w:hAnsi="宋体" w:cs="宋体"/>
          <w:color w:val="auto"/>
          <w:szCs w:val="21"/>
          <w:highlight w:val="none"/>
        </w:rPr>
        <w:t>乙方提供的响应（或应答）文件；</w:t>
      </w:r>
    </w:p>
    <w:p w14:paraId="54518B23">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
        </w:rPr>
        <w:t>、</w:t>
      </w:r>
      <w:r>
        <w:rPr>
          <w:rFonts w:hint="eastAsia" w:ascii="宋体" w:hAnsi="宋体" w:cs="宋体"/>
          <w:color w:val="auto"/>
          <w:szCs w:val="21"/>
          <w:highlight w:val="none"/>
        </w:rPr>
        <w:t>采购</w:t>
      </w:r>
      <w:r>
        <w:rPr>
          <w:rFonts w:hint="eastAsia" w:ascii="宋体" w:hAnsi="宋体" w:cs="宋体"/>
          <w:color w:val="auto"/>
          <w:szCs w:val="21"/>
          <w:highlight w:val="none"/>
          <w:lang w:val="en"/>
        </w:rPr>
        <w:t>文件</w:t>
      </w:r>
      <w:r>
        <w:rPr>
          <w:rFonts w:hint="eastAsia" w:ascii="宋体" w:hAnsi="宋体" w:cs="宋体"/>
          <w:color w:val="auto"/>
          <w:szCs w:val="21"/>
          <w:highlight w:val="none"/>
        </w:rPr>
        <w:t>；</w:t>
      </w:r>
    </w:p>
    <w:p w14:paraId="5753A078">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
        </w:rPr>
        <w:t>、合同附件</w:t>
      </w:r>
      <w:r>
        <w:rPr>
          <w:rFonts w:hint="eastAsia" w:ascii="宋体" w:hAnsi="宋体" w:cs="宋体"/>
          <w:color w:val="auto"/>
          <w:szCs w:val="21"/>
          <w:highlight w:val="none"/>
        </w:rPr>
        <w:t>；</w:t>
      </w:r>
    </w:p>
    <w:p w14:paraId="3E4004DE">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
        </w:rPr>
        <w:t>、国家法律、行政法规和规章制度规定或合同约定的作为合同组成部分的其他文件</w:t>
      </w:r>
      <w:r>
        <w:rPr>
          <w:rFonts w:hint="eastAsia" w:ascii="宋体" w:hAnsi="宋体" w:cs="宋体"/>
          <w:color w:val="auto"/>
          <w:szCs w:val="21"/>
          <w:highlight w:val="none"/>
        </w:rPr>
        <w:t>。</w:t>
      </w:r>
    </w:p>
    <w:p w14:paraId="39079A5B">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上述合同文件互相补充和解释。如果合同文件之间存在矛盾或者不一致之处，以本合同、上述文件的排列顺序在先者为准。</w:t>
      </w:r>
    </w:p>
    <w:p w14:paraId="73B96980">
      <w:pPr>
        <w:shd w:val="clear"/>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第十五条　</w:t>
      </w:r>
      <w:r>
        <w:rPr>
          <w:rFonts w:hint="eastAsia" w:ascii="宋体" w:hAnsi="宋体" w:cs="宋体"/>
          <w:color w:val="auto"/>
          <w:szCs w:val="21"/>
          <w:highlight w:val="none"/>
        </w:rPr>
        <w:t>本合同一式七份，具有同等法律效力，甲方四份，乙方二份，采购代理机构一份。</w:t>
      </w:r>
    </w:p>
    <w:p w14:paraId="2B11488A">
      <w:pPr>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本合同甲乙自签订之日起7个工作日内，甲方应当将合同副本报同级政府采购监督管理部门和有关部门备案，并应当自签订之日起2个工作日内，将政府采购合同在省级以上人民政府财政部门指定的媒体上公告。</w:t>
      </w:r>
    </w:p>
    <w:tbl>
      <w:tblPr>
        <w:tblStyle w:val="52"/>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6"/>
        <w:gridCol w:w="4266"/>
      </w:tblGrid>
      <w:tr w14:paraId="2F3A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5118A57B">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甲方（章）</w:t>
            </w:r>
            <w:r>
              <w:rPr>
                <w:rFonts w:hint="eastAsia" w:ascii="宋体" w:hAnsi="宋体" w:cs="宋体"/>
                <w:color w:val="auto"/>
                <w:szCs w:val="21"/>
                <w:highlight w:val="none"/>
                <w:lang w:eastAsia="zh-CN"/>
              </w:rPr>
              <w:t>大新县农业农村局</w:t>
            </w:r>
            <w:r>
              <w:rPr>
                <w:rFonts w:hint="eastAsia" w:ascii="宋体" w:hAnsi="宋体" w:cs="宋体"/>
                <w:color w:val="auto"/>
                <w:szCs w:val="21"/>
                <w:highlight w:val="none"/>
              </w:rPr>
              <w:t xml:space="preserve">         </w:t>
            </w:r>
          </w:p>
          <w:p w14:paraId="3991473C">
            <w:pPr>
              <w:shd w:val="clear"/>
              <w:snapToGrid w:val="0"/>
              <w:spacing w:line="440" w:lineRule="exact"/>
              <w:rPr>
                <w:rFonts w:hint="eastAsia" w:ascii="宋体" w:hAnsi="宋体" w:cs="宋体"/>
                <w:color w:val="auto"/>
                <w:szCs w:val="21"/>
                <w:highlight w:val="none"/>
              </w:rPr>
            </w:pPr>
          </w:p>
          <w:p w14:paraId="1566A3B0">
            <w:pPr>
              <w:shd w:val="clear"/>
              <w:snapToGrid w:val="0"/>
              <w:spacing w:line="440" w:lineRule="exact"/>
              <w:ind w:firstLine="945" w:firstLineChars="450"/>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4266" w:type="dxa"/>
            <w:tcBorders>
              <w:top w:val="single" w:color="auto" w:sz="4" w:space="0"/>
              <w:left w:val="single" w:color="auto" w:sz="4" w:space="0"/>
              <w:bottom w:val="single" w:color="auto" w:sz="4" w:space="0"/>
              <w:right w:val="single" w:color="auto" w:sz="4" w:space="0"/>
            </w:tcBorders>
            <w:vAlign w:val="center"/>
          </w:tcPr>
          <w:p w14:paraId="1DA25714">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77F36052">
            <w:pPr>
              <w:shd w:val="clear"/>
              <w:snapToGrid w:val="0"/>
              <w:spacing w:line="440" w:lineRule="exact"/>
              <w:rPr>
                <w:rFonts w:hint="eastAsia" w:ascii="宋体" w:hAnsi="宋体" w:cs="宋体"/>
                <w:color w:val="auto"/>
                <w:szCs w:val="21"/>
                <w:highlight w:val="none"/>
              </w:rPr>
            </w:pPr>
          </w:p>
          <w:p w14:paraId="4EC3239F">
            <w:pPr>
              <w:shd w:val="clear"/>
              <w:snapToGrid w:val="0"/>
              <w:spacing w:line="440" w:lineRule="exact"/>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557F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7037A256">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单位地址：</w:t>
            </w:r>
          </w:p>
        </w:tc>
        <w:tc>
          <w:tcPr>
            <w:tcW w:w="4266" w:type="dxa"/>
            <w:tcBorders>
              <w:top w:val="single" w:color="auto" w:sz="4" w:space="0"/>
              <w:left w:val="single" w:color="auto" w:sz="4" w:space="0"/>
              <w:bottom w:val="single" w:color="auto" w:sz="4" w:space="0"/>
              <w:right w:val="single" w:color="auto" w:sz="4" w:space="0"/>
            </w:tcBorders>
            <w:vAlign w:val="center"/>
          </w:tcPr>
          <w:p w14:paraId="215BB01C">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单位地址：</w:t>
            </w:r>
          </w:p>
        </w:tc>
      </w:tr>
      <w:tr w14:paraId="4429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26D4B4B7">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法定代表人或委托代理人：</w:t>
            </w:r>
          </w:p>
        </w:tc>
        <w:tc>
          <w:tcPr>
            <w:tcW w:w="4266" w:type="dxa"/>
            <w:tcBorders>
              <w:top w:val="single" w:color="auto" w:sz="4" w:space="0"/>
              <w:left w:val="single" w:color="auto" w:sz="4" w:space="0"/>
              <w:bottom w:val="single" w:color="auto" w:sz="4" w:space="0"/>
              <w:right w:val="single" w:color="auto" w:sz="4" w:space="0"/>
            </w:tcBorders>
            <w:vAlign w:val="center"/>
          </w:tcPr>
          <w:p w14:paraId="4925A4A0">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法定代表人或委托代理人：</w:t>
            </w:r>
          </w:p>
        </w:tc>
      </w:tr>
      <w:tr w14:paraId="2B1B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036C6192">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4266" w:type="dxa"/>
            <w:tcBorders>
              <w:top w:val="single" w:color="auto" w:sz="4" w:space="0"/>
              <w:left w:val="single" w:color="auto" w:sz="4" w:space="0"/>
              <w:bottom w:val="single" w:color="auto" w:sz="4" w:space="0"/>
              <w:right w:val="single" w:color="auto" w:sz="4" w:space="0"/>
            </w:tcBorders>
            <w:vAlign w:val="center"/>
          </w:tcPr>
          <w:p w14:paraId="6FE7CFCA">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电话：</w:t>
            </w:r>
          </w:p>
        </w:tc>
      </w:tr>
      <w:tr w14:paraId="6A35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55AEFE1A">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4266" w:type="dxa"/>
            <w:tcBorders>
              <w:top w:val="single" w:color="auto" w:sz="4" w:space="0"/>
              <w:left w:val="single" w:color="auto" w:sz="4" w:space="0"/>
              <w:bottom w:val="single" w:color="auto" w:sz="4" w:space="0"/>
              <w:right w:val="single" w:color="auto" w:sz="4" w:space="0"/>
            </w:tcBorders>
            <w:vAlign w:val="center"/>
          </w:tcPr>
          <w:p w14:paraId="35571E63">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电子邮箱：</w:t>
            </w:r>
          </w:p>
        </w:tc>
      </w:tr>
      <w:tr w14:paraId="0199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22AA2991">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4266" w:type="dxa"/>
            <w:tcBorders>
              <w:top w:val="single" w:color="auto" w:sz="4" w:space="0"/>
              <w:left w:val="single" w:color="auto" w:sz="4" w:space="0"/>
              <w:bottom w:val="single" w:color="auto" w:sz="4" w:space="0"/>
              <w:right w:val="single" w:color="auto" w:sz="4" w:space="0"/>
            </w:tcBorders>
            <w:vAlign w:val="center"/>
          </w:tcPr>
          <w:p w14:paraId="750951F3">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tc>
      </w:tr>
      <w:tr w14:paraId="0045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053D0366">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4266" w:type="dxa"/>
            <w:tcBorders>
              <w:top w:val="single" w:color="auto" w:sz="4" w:space="0"/>
              <w:left w:val="single" w:color="auto" w:sz="4" w:space="0"/>
              <w:bottom w:val="single" w:color="auto" w:sz="4" w:space="0"/>
              <w:right w:val="single" w:color="auto" w:sz="4" w:space="0"/>
            </w:tcBorders>
            <w:vAlign w:val="center"/>
          </w:tcPr>
          <w:p w14:paraId="10B80FDD">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r>
      <w:tr w14:paraId="2C62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7D7E142C">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纳税人识别号或统一社会信用代码：</w:t>
            </w:r>
          </w:p>
        </w:tc>
        <w:tc>
          <w:tcPr>
            <w:tcW w:w="4266" w:type="dxa"/>
            <w:tcBorders>
              <w:top w:val="single" w:color="auto" w:sz="4" w:space="0"/>
              <w:left w:val="single" w:color="auto" w:sz="4" w:space="0"/>
              <w:bottom w:val="single" w:color="auto" w:sz="4" w:space="0"/>
              <w:right w:val="single" w:color="auto" w:sz="4" w:space="0"/>
            </w:tcBorders>
            <w:vAlign w:val="center"/>
          </w:tcPr>
          <w:p w14:paraId="68D8C8E9">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纳税人识别号或统一社会信用代码：</w:t>
            </w:r>
          </w:p>
          <w:p w14:paraId="5FA086DB">
            <w:pPr>
              <w:shd w:val="clear"/>
              <w:snapToGrid w:val="0"/>
              <w:spacing w:line="440" w:lineRule="exact"/>
              <w:rPr>
                <w:rFonts w:hint="eastAsia" w:ascii="宋体" w:hAnsi="宋体" w:cs="宋体"/>
                <w:color w:val="auto"/>
                <w:szCs w:val="21"/>
                <w:highlight w:val="none"/>
              </w:rPr>
            </w:pPr>
          </w:p>
        </w:tc>
      </w:tr>
      <w:tr w14:paraId="489A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5836DFBF">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4266" w:type="dxa"/>
            <w:tcBorders>
              <w:top w:val="single" w:color="auto" w:sz="4" w:space="0"/>
              <w:left w:val="single" w:color="auto" w:sz="4" w:space="0"/>
              <w:bottom w:val="single" w:color="auto" w:sz="4" w:space="0"/>
              <w:right w:val="single" w:color="auto" w:sz="4" w:space="0"/>
            </w:tcBorders>
            <w:vAlign w:val="center"/>
          </w:tcPr>
          <w:p w14:paraId="4C328165">
            <w:pPr>
              <w:shd w:val="clea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r>
    </w:tbl>
    <w:p w14:paraId="796F72DE">
      <w:pPr>
        <w:shd w:val="clear"/>
        <w:rPr>
          <w:color w:val="auto"/>
          <w:highlight w:val="none"/>
        </w:rPr>
      </w:pPr>
    </w:p>
    <w:p w14:paraId="439696B9">
      <w:pPr>
        <w:shd w:val="clear"/>
        <w:snapToGrid w:val="0"/>
        <w:spacing w:line="360" w:lineRule="exact"/>
        <w:rPr>
          <w:color w:val="auto"/>
          <w:szCs w:val="21"/>
          <w:highlight w:val="none"/>
        </w:rPr>
      </w:pPr>
    </w:p>
    <w:p w14:paraId="03211C97">
      <w:pPr>
        <w:widowControl/>
        <w:shd w:val="clear"/>
        <w:jc w:val="center"/>
        <w:outlineLvl w:val="0"/>
        <w:rPr>
          <w:color w:val="auto"/>
          <w:sz w:val="32"/>
          <w:szCs w:val="32"/>
          <w:highlight w:val="none"/>
        </w:rPr>
      </w:pPr>
      <w:r>
        <w:rPr>
          <w:color w:val="auto"/>
          <w:szCs w:val="21"/>
          <w:highlight w:val="none"/>
        </w:rPr>
        <w:br w:type="page"/>
      </w:r>
      <w:bookmarkStart w:id="87" w:name="_Toc23891"/>
      <w:r>
        <w:rPr>
          <w:color w:val="auto"/>
          <w:sz w:val="32"/>
          <w:szCs w:val="32"/>
          <w:highlight w:val="none"/>
        </w:rPr>
        <w:t>第六章  响应文件格式</w:t>
      </w:r>
      <w:bookmarkEnd w:id="87"/>
    </w:p>
    <w:p w14:paraId="2852771E">
      <w:pPr>
        <w:shd w:val="clear"/>
        <w:rPr>
          <w:color w:val="auto"/>
          <w:sz w:val="28"/>
          <w:szCs w:val="28"/>
          <w:highlight w:val="none"/>
        </w:rPr>
      </w:pPr>
      <w:bookmarkStart w:id="88" w:name="_Toc254970697"/>
      <w:bookmarkStart w:id="89" w:name="_Toc254970556"/>
    </w:p>
    <w:bookmarkEnd w:id="88"/>
    <w:bookmarkEnd w:id="89"/>
    <w:p w14:paraId="7EB07E75">
      <w:pPr>
        <w:shd w:val="clear"/>
        <w:rPr>
          <w:color w:val="auto"/>
          <w:sz w:val="28"/>
          <w:szCs w:val="28"/>
          <w:highlight w:val="none"/>
        </w:rPr>
      </w:pPr>
    </w:p>
    <w:p w14:paraId="53F04710">
      <w:pPr>
        <w:shd w:val="clear"/>
        <w:spacing w:line="500" w:lineRule="exact"/>
        <w:ind w:firstLine="560" w:firstLineChars="200"/>
        <w:rPr>
          <w:rFonts w:hint="eastAsia" w:ascii="宋体" w:hAnsi="宋体"/>
          <w:color w:val="auto"/>
          <w:sz w:val="24"/>
          <w:highlight w:val="none"/>
        </w:rPr>
      </w:pPr>
      <w:bookmarkStart w:id="90" w:name="_Hlk19199063"/>
      <w:r>
        <w:rPr>
          <w:rFonts w:hint="eastAsia"/>
          <w:color w:val="auto"/>
          <w:sz w:val="28"/>
          <w:szCs w:val="28"/>
          <w:highlight w:val="none"/>
        </w:rPr>
        <w:t>注：有签字、盖章要求的应按要求</w:t>
      </w:r>
      <w:bookmarkEnd w:id="90"/>
      <w:r>
        <w:rPr>
          <w:rFonts w:hint="eastAsia"/>
          <w:color w:val="auto"/>
          <w:sz w:val="28"/>
          <w:szCs w:val="28"/>
          <w:highlight w:val="none"/>
        </w:rPr>
        <w:t>签字（签章）、盖章（签章）。</w:t>
      </w:r>
      <w:r>
        <w:rPr>
          <w:bCs/>
          <w:color w:val="auto"/>
          <w:sz w:val="24"/>
          <w:highlight w:val="none"/>
        </w:rPr>
        <w:t xml:space="preserve"> </w:t>
      </w:r>
    </w:p>
    <w:p w14:paraId="43E314B1">
      <w:pPr>
        <w:shd w:val="clear"/>
        <w:snapToGrid w:val="0"/>
        <w:spacing w:before="120" w:beforeLines="50" w:after="50" w:line="440" w:lineRule="exact"/>
        <w:jc w:val="left"/>
        <w:outlineLvl w:val="1"/>
        <w:rPr>
          <w:b/>
          <w:color w:val="auto"/>
          <w:sz w:val="24"/>
          <w:highlight w:val="none"/>
        </w:rPr>
      </w:pPr>
      <w:r>
        <w:rPr>
          <w:color w:val="auto"/>
          <w:sz w:val="24"/>
          <w:highlight w:val="none"/>
        </w:rPr>
        <w:br w:type="page"/>
      </w:r>
      <w:r>
        <w:rPr>
          <w:rFonts w:hint="eastAsia"/>
          <w:color w:val="auto"/>
          <w:sz w:val="24"/>
          <w:highlight w:val="none"/>
        </w:rPr>
        <w:t>1.</w:t>
      </w:r>
      <w:r>
        <w:rPr>
          <w:color w:val="auto"/>
          <w:sz w:val="24"/>
          <w:highlight w:val="none"/>
        </w:rPr>
        <w:t>响应文件封面</w:t>
      </w:r>
      <w:r>
        <w:rPr>
          <w:rFonts w:hint="eastAsia"/>
          <w:color w:val="auto"/>
          <w:sz w:val="24"/>
          <w:highlight w:val="none"/>
        </w:rPr>
        <w:t>参考</w:t>
      </w:r>
      <w:r>
        <w:rPr>
          <w:color w:val="auto"/>
          <w:sz w:val="24"/>
          <w:highlight w:val="none"/>
        </w:rPr>
        <w:t>格式</w:t>
      </w:r>
      <w:bookmarkStart w:id="91" w:name="_Hlk92966991"/>
      <w:r>
        <w:rPr>
          <w:rFonts w:hint="eastAsia"/>
          <w:color w:val="auto"/>
          <w:sz w:val="24"/>
          <w:highlight w:val="none"/>
        </w:rPr>
        <w:t>（资格证明文件）</w:t>
      </w:r>
      <w:bookmarkEnd w:id="91"/>
      <w:r>
        <w:rPr>
          <w:color w:val="auto"/>
          <w:sz w:val="24"/>
          <w:highlight w:val="none"/>
        </w:rPr>
        <w:t>：</w:t>
      </w:r>
      <w:r>
        <w:rPr>
          <w:b/>
          <w:bCs/>
          <w:color w:val="auto"/>
          <w:sz w:val="24"/>
          <w:highlight w:val="none"/>
        </w:rPr>
        <w:t xml:space="preserve"> </w:t>
      </w:r>
    </w:p>
    <w:p w14:paraId="799DA902">
      <w:pPr>
        <w:shd w:val="clear"/>
        <w:snapToGrid w:val="0"/>
        <w:spacing w:before="120" w:beforeLines="50" w:after="50" w:line="360" w:lineRule="exact"/>
        <w:rPr>
          <w:color w:val="auto"/>
          <w:sz w:val="24"/>
          <w:highlight w:val="none"/>
        </w:rPr>
      </w:pPr>
    </w:p>
    <w:p w14:paraId="3069A258">
      <w:pPr>
        <w:shd w:val="clear"/>
        <w:snapToGrid w:val="0"/>
        <w:spacing w:before="120" w:beforeLines="50" w:after="50" w:line="360" w:lineRule="exact"/>
        <w:jc w:val="right"/>
        <w:rPr>
          <w:bCs/>
          <w:color w:val="auto"/>
          <w:sz w:val="24"/>
          <w:highlight w:val="none"/>
        </w:rPr>
      </w:pPr>
    </w:p>
    <w:p w14:paraId="5F85E41B">
      <w:pPr>
        <w:shd w:val="clear"/>
        <w:snapToGrid w:val="0"/>
        <w:spacing w:before="120" w:beforeLines="50" w:after="50" w:line="360" w:lineRule="exact"/>
        <w:jc w:val="center"/>
        <w:rPr>
          <w:bCs/>
          <w:color w:val="auto"/>
          <w:sz w:val="24"/>
          <w:highlight w:val="none"/>
        </w:rPr>
      </w:pPr>
      <w:r>
        <w:rPr>
          <w:rFonts w:hint="eastAsia" w:ascii="宋体" w:hAnsi="宋体"/>
          <w:b/>
          <w:color w:val="auto"/>
          <w:sz w:val="44"/>
          <w:highlight w:val="none"/>
        </w:rPr>
        <w:t>电子响应文件</w:t>
      </w:r>
    </w:p>
    <w:p w14:paraId="2E8CCD5B">
      <w:pPr>
        <w:shd w:val="clear"/>
        <w:snapToGrid w:val="0"/>
        <w:spacing w:before="120" w:beforeLines="50" w:after="50" w:line="360" w:lineRule="exact"/>
        <w:jc w:val="center"/>
        <w:rPr>
          <w:b/>
          <w:bCs/>
          <w:color w:val="auto"/>
          <w:sz w:val="44"/>
          <w:szCs w:val="44"/>
          <w:highlight w:val="none"/>
        </w:rPr>
      </w:pPr>
    </w:p>
    <w:p w14:paraId="6AAEE4F6">
      <w:pPr>
        <w:shd w:val="clear"/>
        <w:snapToGrid w:val="0"/>
        <w:spacing w:before="120" w:beforeLines="50" w:after="50" w:line="360" w:lineRule="exact"/>
        <w:jc w:val="center"/>
        <w:rPr>
          <w:b/>
          <w:bCs/>
          <w:color w:val="auto"/>
          <w:sz w:val="44"/>
          <w:szCs w:val="44"/>
          <w:highlight w:val="none"/>
        </w:rPr>
      </w:pPr>
    </w:p>
    <w:p w14:paraId="5292A774">
      <w:pPr>
        <w:shd w:val="clear"/>
        <w:snapToGrid w:val="0"/>
        <w:spacing w:before="120" w:beforeLines="50" w:after="50" w:line="360" w:lineRule="exact"/>
        <w:jc w:val="center"/>
        <w:rPr>
          <w:b/>
          <w:bCs/>
          <w:color w:val="auto"/>
          <w:sz w:val="44"/>
          <w:szCs w:val="44"/>
          <w:highlight w:val="none"/>
        </w:rPr>
      </w:pPr>
      <w:bookmarkStart w:id="92" w:name="_Hlk92967018"/>
      <w:r>
        <w:rPr>
          <w:b/>
          <w:bCs/>
          <w:color w:val="auto"/>
          <w:sz w:val="44"/>
          <w:szCs w:val="44"/>
          <w:highlight w:val="none"/>
        </w:rPr>
        <w:t>资格</w:t>
      </w:r>
      <w:r>
        <w:rPr>
          <w:rFonts w:hint="eastAsia"/>
          <w:b/>
          <w:bCs/>
          <w:color w:val="auto"/>
          <w:sz w:val="44"/>
          <w:szCs w:val="44"/>
          <w:highlight w:val="none"/>
        </w:rPr>
        <w:t>证明文件</w:t>
      </w:r>
    </w:p>
    <w:bookmarkEnd w:id="92"/>
    <w:p w14:paraId="5F2EF12B">
      <w:pPr>
        <w:shd w:val="clear"/>
        <w:snapToGrid w:val="0"/>
        <w:spacing w:before="120" w:beforeLines="50" w:after="50" w:line="360" w:lineRule="exact"/>
        <w:jc w:val="center"/>
        <w:rPr>
          <w:b/>
          <w:bCs/>
          <w:color w:val="auto"/>
          <w:sz w:val="44"/>
          <w:szCs w:val="44"/>
          <w:highlight w:val="none"/>
        </w:rPr>
      </w:pPr>
    </w:p>
    <w:p w14:paraId="26E6EB45">
      <w:pPr>
        <w:shd w:val="clear"/>
        <w:snapToGrid w:val="0"/>
        <w:spacing w:before="120" w:beforeLines="50" w:after="50" w:line="360" w:lineRule="exact"/>
        <w:rPr>
          <w:bCs/>
          <w:color w:val="auto"/>
          <w:sz w:val="24"/>
          <w:highlight w:val="none"/>
        </w:rPr>
      </w:pPr>
    </w:p>
    <w:p w14:paraId="03DC7815">
      <w:pPr>
        <w:shd w:val="clea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3BF77214">
      <w:pPr>
        <w:shd w:val="clea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1EE048CD">
      <w:pPr>
        <w:shd w:val="clear"/>
        <w:snapToGrid w:val="0"/>
        <w:spacing w:before="120" w:beforeLines="50" w:after="50" w:line="44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1D55AAA7">
      <w:pPr>
        <w:shd w:val="clea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7A809BC3">
      <w:pPr>
        <w:shd w:val="clea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32E4728A">
      <w:pPr>
        <w:pStyle w:val="7"/>
        <w:shd w:val="clear"/>
        <w:snapToGrid w:val="0"/>
        <w:spacing w:before="50" w:after="50" w:line="360" w:lineRule="exact"/>
        <w:ind w:firstLine="960" w:firstLineChars="400"/>
        <w:rPr>
          <w:bCs/>
          <w:color w:val="auto"/>
          <w:sz w:val="24"/>
          <w:szCs w:val="24"/>
          <w:highlight w:val="none"/>
        </w:rPr>
      </w:pPr>
    </w:p>
    <w:p w14:paraId="010AE4CA">
      <w:pPr>
        <w:shd w:val="clear"/>
        <w:snapToGrid w:val="0"/>
        <w:spacing w:before="120" w:beforeLines="50" w:after="50" w:line="360" w:lineRule="exact"/>
        <w:jc w:val="center"/>
        <w:rPr>
          <w:color w:val="auto"/>
          <w:sz w:val="24"/>
          <w:highlight w:val="none"/>
        </w:rPr>
      </w:pPr>
      <w:r>
        <w:rPr>
          <w:color w:val="auto"/>
          <w:sz w:val="24"/>
          <w:highlight w:val="none"/>
        </w:rPr>
        <w:t xml:space="preserve">                        年  月  日</w:t>
      </w:r>
    </w:p>
    <w:p w14:paraId="19F7C5E5">
      <w:pPr>
        <w:shd w:val="clear"/>
        <w:snapToGrid w:val="0"/>
        <w:spacing w:before="50" w:after="50" w:line="440" w:lineRule="exact"/>
        <w:rPr>
          <w:b/>
          <w:color w:val="auto"/>
          <w:sz w:val="24"/>
          <w:highlight w:val="none"/>
        </w:rPr>
      </w:pPr>
      <w:r>
        <w:rPr>
          <w:b/>
          <w:color w:val="auto"/>
          <w:sz w:val="24"/>
          <w:highlight w:val="none"/>
        </w:rPr>
        <w:t xml:space="preserve"> </w:t>
      </w:r>
    </w:p>
    <w:p w14:paraId="516F919F">
      <w:pPr>
        <w:shd w:val="clear"/>
        <w:snapToGrid w:val="0"/>
        <w:spacing w:before="120" w:beforeLines="50" w:after="50" w:line="360" w:lineRule="exact"/>
        <w:jc w:val="center"/>
        <w:rPr>
          <w:color w:val="auto"/>
          <w:sz w:val="24"/>
          <w:highlight w:val="none"/>
        </w:rPr>
      </w:pPr>
    </w:p>
    <w:p w14:paraId="40326547">
      <w:pPr>
        <w:shd w:val="clear"/>
        <w:snapToGrid w:val="0"/>
        <w:spacing w:before="120" w:beforeLines="50" w:after="50" w:line="440" w:lineRule="exact"/>
        <w:jc w:val="center"/>
        <w:rPr>
          <w:b/>
          <w:bCs/>
          <w:color w:val="auto"/>
          <w:sz w:val="24"/>
          <w:highlight w:val="none"/>
        </w:rPr>
      </w:pPr>
      <w:bookmarkStart w:id="93" w:name="_Toc254970698"/>
      <w:bookmarkStart w:id="94" w:name="_Toc254970557"/>
      <w:r>
        <w:rPr>
          <w:color w:val="auto"/>
          <w:sz w:val="24"/>
          <w:highlight w:val="none"/>
        </w:rPr>
        <w:br w:type="page"/>
      </w:r>
      <w:bookmarkEnd w:id="93"/>
      <w:bookmarkEnd w:id="94"/>
    </w:p>
    <w:p w14:paraId="68643526">
      <w:pPr>
        <w:shd w:val="clear"/>
        <w:snapToGrid w:val="0"/>
        <w:spacing w:before="120" w:beforeLines="50" w:after="50" w:line="440" w:lineRule="exact"/>
        <w:jc w:val="center"/>
        <w:rPr>
          <w:color w:val="auto"/>
          <w:sz w:val="24"/>
          <w:highlight w:val="none"/>
        </w:rPr>
      </w:pPr>
    </w:p>
    <w:p w14:paraId="6757E345">
      <w:pPr>
        <w:shd w:val="clea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31B6C08F">
      <w:pPr>
        <w:shd w:val="clear"/>
        <w:jc w:val="center"/>
        <w:rPr>
          <w:b/>
          <w:color w:val="auto"/>
          <w:sz w:val="24"/>
          <w:highlight w:val="none"/>
        </w:rPr>
      </w:pPr>
      <w:r>
        <w:rPr>
          <w:b/>
          <w:color w:val="auto"/>
          <w:sz w:val="24"/>
          <w:highlight w:val="none"/>
        </w:rPr>
        <w:t>（需有页码）</w:t>
      </w:r>
    </w:p>
    <w:p w14:paraId="4B05F668">
      <w:pPr>
        <w:numPr>
          <w:ilvl w:val="0"/>
          <w:numId w:val="7"/>
        </w:numPr>
        <w:shd w:val="clear"/>
        <w:jc w:val="center"/>
        <w:rPr>
          <w:bCs/>
          <w:color w:val="auto"/>
          <w:sz w:val="24"/>
          <w:highlight w:val="none"/>
        </w:rPr>
      </w:pPr>
      <w:r>
        <w:rPr>
          <w:color w:val="auto"/>
          <w:highlight w:val="none"/>
        </w:rPr>
        <w:br w:type="page"/>
      </w:r>
      <w:r>
        <w:rPr>
          <w:bCs/>
          <w:color w:val="auto"/>
          <w:sz w:val="24"/>
          <w:highlight w:val="none"/>
        </w:rPr>
        <w:t>资格</w:t>
      </w:r>
      <w:r>
        <w:rPr>
          <w:rFonts w:hint="eastAsia"/>
          <w:bCs/>
          <w:color w:val="auto"/>
          <w:sz w:val="24"/>
          <w:highlight w:val="none"/>
        </w:rPr>
        <w:t>证明</w:t>
      </w:r>
      <w:r>
        <w:rPr>
          <w:bCs/>
          <w:color w:val="auto"/>
          <w:sz w:val="24"/>
          <w:highlight w:val="none"/>
        </w:rPr>
        <w:t>文件</w:t>
      </w:r>
    </w:p>
    <w:p w14:paraId="3ECAC00F">
      <w:pPr>
        <w:shd w:val="clear"/>
        <w:rPr>
          <w:bCs/>
          <w:color w:val="auto"/>
          <w:sz w:val="24"/>
          <w:highlight w:val="none"/>
        </w:rPr>
      </w:pPr>
    </w:p>
    <w:p w14:paraId="0336D5D8">
      <w:pPr>
        <w:shd w:val="clear"/>
        <w:snapToGrid w:val="0"/>
        <w:spacing w:before="50" w:after="120" w:afterLines="50" w:line="400" w:lineRule="exact"/>
        <w:jc w:val="left"/>
        <w:rPr>
          <w:rFonts w:ascii="Arial" w:hAnsi="Arial" w:cs="Arial"/>
          <w:b/>
          <w:color w:val="auto"/>
          <w:szCs w:val="21"/>
          <w:highlight w:val="none"/>
        </w:rPr>
      </w:pPr>
      <w:bookmarkStart w:id="95" w:name="_Hlk19199154"/>
      <w:r>
        <w:rPr>
          <w:rFonts w:ascii="Arial" w:hAnsi="Arial" w:cs="Arial"/>
          <w:b/>
          <w:color w:val="auto"/>
          <w:szCs w:val="21"/>
          <w:highlight w:val="none"/>
        </w:rPr>
        <w:t>1.</w:t>
      </w:r>
      <w:r>
        <w:rPr>
          <w:color w:val="auto"/>
          <w:highlight w:val="none"/>
        </w:rPr>
        <w:t xml:space="preserve"> </w:t>
      </w:r>
      <w:r>
        <w:rPr>
          <w:rFonts w:hint="eastAsia" w:ascii="Arial" w:hAnsi="Arial" w:cs="Arial"/>
          <w:b/>
          <w:color w:val="auto"/>
          <w:szCs w:val="21"/>
          <w:highlight w:val="none"/>
        </w:rPr>
        <w:t>崇左市政府采购供应商信用承诺函</w:t>
      </w:r>
    </w:p>
    <w:p w14:paraId="69B68380">
      <w:pPr>
        <w:widowControl/>
        <w:shd w:val="clear"/>
        <w:spacing w:line="440" w:lineRule="exact"/>
        <w:jc w:val="center"/>
        <w:rPr>
          <w:color w:val="auto"/>
          <w:sz w:val="32"/>
          <w:szCs w:val="32"/>
          <w:highlight w:val="none"/>
        </w:rPr>
      </w:pPr>
      <w:r>
        <w:rPr>
          <w:rFonts w:hint="eastAsia" w:ascii="方正小标宋简体" w:hAnsi="方正小标宋简体" w:eastAsia="方正小标宋简体" w:cs="方正小标宋简体"/>
          <w:color w:val="auto"/>
          <w:kern w:val="0"/>
          <w:sz w:val="36"/>
          <w:szCs w:val="36"/>
          <w:highlight w:val="none"/>
          <w:lang w:bidi="ar"/>
        </w:rPr>
        <w:t>崇左市政府采购供应商信用承诺函（格式）</w:t>
      </w:r>
    </w:p>
    <w:p w14:paraId="19DFC303">
      <w:pPr>
        <w:widowControl/>
        <w:shd w:val="clear"/>
        <w:spacing w:line="440" w:lineRule="exact"/>
        <w:jc w:val="left"/>
        <w:rPr>
          <w:rFonts w:hint="eastAsia" w:ascii="仿宋_GB2312" w:hAnsi="仿宋_GB2312" w:eastAsia="仿宋_GB2312" w:cs="仿宋_GB2312"/>
          <w:color w:val="auto"/>
          <w:kern w:val="0"/>
          <w:sz w:val="32"/>
          <w:szCs w:val="32"/>
          <w:highlight w:val="none"/>
          <w:lang w:bidi="ar"/>
        </w:rPr>
      </w:pPr>
    </w:p>
    <w:p w14:paraId="3848F7B9">
      <w:pPr>
        <w:widowControl/>
        <w:shd w:val="clear"/>
        <w:spacing w:line="440" w:lineRule="exact"/>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highlight w:val="none"/>
          <w:lang w:bidi="ar"/>
        </w:rPr>
        <w:t>致</w:t>
      </w:r>
      <w:r>
        <w:rPr>
          <w:rFonts w:hint="eastAsia" w:ascii="仿宋_GB2312" w:hAnsi="仿宋_GB2312" w:eastAsia="仿宋_GB2312" w:cs="仿宋_GB2312"/>
          <w:color w:val="auto"/>
          <w:kern w:val="0"/>
          <w:sz w:val="24"/>
          <w:highlight w:val="none"/>
          <w:u w:val="single"/>
          <w:lang w:bidi="ar"/>
        </w:rPr>
        <w:t>（采购代理机构名称）</w:t>
      </w:r>
      <w:r>
        <w:rPr>
          <w:rFonts w:hint="eastAsia" w:ascii="仿宋_GB2312" w:hAnsi="仿宋_GB2312" w:eastAsia="仿宋_GB2312" w:cs="仿宋_GB2312"/>
          <w:color w:val="auto"/>
          <w:kern w:val="0"/>
          <w:sz w:val="24"/>
          <w:highlight w:val="none"/>
          <w:lang w:bidi="ar"/>
        </w:rPr>
        <w:t>:</w:t>
      </w:r>
    </w:p>
    <w:p w14:paraId="62543F6F">
      <w:pPr>
        <w:widowControl/>
        <w:shd w:val="clear"/>
        <w:spacing w:line="440" w:lineRule="exact"/>
        <w:ind w:firstLine="480" w:firstLineChars="200"/>
        <w:rPr>
          <w:rFonts w:hint="eastAsia" w:ascii="仿宋_GB2312" w:hAnsi="仿宋_GB2312" w:eastAsia="仿宋_GB2312" w:cs="仿宋_GB2312"/>
          <w:color w:val="auto"/>
          <w:spacing w:val="-6"/>
          <w:sz w:val="24"/>
          <w:highlight w:val="none"/>
        </w:rPr>
      </w:pPr>
      <w:r>
        <w:rPr>
          <w:rFonts w:hint="eastAsia" w:ascii="仿宋_GB2312" w:hAnsi="仿宋_GB2312" w:eastAsia="仿宋_GB2312" w:cs="仿宋_GB2312"/>
          <w:color w:val="auto"/>
          <w:kern w:val="0"/>
          <w:sz w:val="24"/>
          <w:highlight w:val="none"/>
          <w:lang w:bidi="ar"/>
        </w:rPr>
        <w:t>我方自愿参加</w:t>
      </w:r>
      <w:r>
        <w:rPr>
          <w:rFonts w:hint="eastAsia" w:ascii="仿宋_GB2312" w:hAnsi="仿宋_GB2312" w:eastAsia="仿宋_GB2312" w:cs="仿宋_GB2312"/>
          <w:color w:val="auto"/>
          <w:kern w:val="0"/>
          <w:sz w:val="24"/>
          <w:highlight w:val="none"/>
          <w:u w:val="single"/>
          <w:lang w:bidi="ar"/>
        </w:rPr>
        <w:t xml:space="preserve"> （项目名称） </w:t>
      </w:r>
      <w:r>
        <w:rPr>
          <w:rFonts w:hint="eastAsia" w:ascii="仿宋_GB2312" w:hAnsi="仿宋_GB2312" w:eastAsia="仿宋_GB2312" w:cs="仿宋_GB2312"/>
          <w:color w:val="auto"/>
          <w:kern w:val="0"/>
          <w:sz w:val="24"/>
          <w:highlight w:val="none"/>
          <w:lang w:bidi="ar"/>
        </w:rPr>
        <w:t>项目</w:t>
      </w:r>
      <w:r>
        <w:rPr>
          <w:rFonts w:hint="eastAsia" w:ascii="仿宋_GB2312" w:eastAsia="仿宋_GB2312"/>
          <w:color w:val="auto"/>
          <w:spacing w:val="6"/>
          <w:sz w:val="24"/>
          <w:highlight w:val="none"/>
        </w:rPr>
        <w:t>（项目编号：</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w:t>
      </w:r>
      <w:r>
        <w:rPr>
          <w:rFonts w:hint="eastAsia" w:ascii="仿宋_GB2312" w:hAnsi="仿宋_GB2312" w:eastAsia="仿宋_GB2312" w:cs="仿宋_GB2312"/>
          <w:color w:val="auto"/>
          <w:kern w:val="0"/>
          <w:sz w:val="24"/>
          <w:highlight w:val="none"/>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highlight w:val="none"/>
          <w:lang w:bidi="ar"/>
        </w:rPr>
        <w:t xml:space="preserve">： </w:t>
      </w:r>
    </w:p>
    <w:p w14:paraId="55126D40">
      <w:pPr>
        <w:widowControl/>
        <w:shd w:val="clear"/>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1.我方</w:t>
      </w:r>
      <w:r>
        <w:rPr>
          <w:rFonts w:hint="eastAsia" w:ascii="仿宋_GB2312" w:eastAsia="仿宋_GB2312"/>
          <w:color w:val="auto"/>
          <w:spacing w:val="6"/>
          <w:sz w:val="24"/>
          <w:highlight w:val="none"/>
        </w:rPr>
        <w:t>具有独立承担民事责任的能力或我方属于银行、保险、石油石化、电力、电信等有行业特殊情况的法人的分支机构在参加本次政府采购活动前已取得总公司的授权。</w:t>
      </w:r>
    </w:p>
    <w:p w14:paraId="3EF6079E">
      <w:pPr>
        <w:widowControl/>
        <w:shd w:val="clear"/>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2.我方具有符合采购文件资格要求的财务状况报告。 </w:t>
      </w:r>
    </w:p>
    <w:p w14:paraId="7F8F0A4B">
      <w:pPr>
        <w:widowControl/>
        <w:shd w:val="clear"/>
        <w:spacing w:line="440" w:lineRule="exact"/>
        <w:ind w:firstLine="456" w:firstLineChars="200"/>
        <w:rPr>
          <w:rFonts w:hint="eastAsia" w:ascii="仿宋_GB2312" w:hAnsi="仿宋_GB2312" w:eastAsia="仿宋_GB2312" w:cs="仿宋_GB2312"/>
          <w:color w:val="auto"/>
          <w:spacing w:val="-17"/>
          <w:sz w:val="24"/>
          <w:highlight w:val="none"/>
        </w:rPr>
      </w:pPr>
      <w:r>
        <w:rPr>
          <w:rFonts w:hint="eastAsia" w:ascii="仿宋_GB2312" w:hAnsi="仿宋_GB2312" w:eastAsia="仿宋_GB2312" w:cs="仿宋_GB2312"/>
          <w:color w:val="auto"/>
          <w:spacing w:val="-6"/>
          <w:kern w:val="0"/>
          <w:sz w:val="24"/>
          <w:highlight w:val="none"/>
          <w:lang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highlight w:val="none"/>
          <w:lang w:bidi="ar"/>
        </w:rPr>
        <w:t xml:space="preserve"> </w:t>
      </w:r>
    </w:p>
    <w:p w14:paraId="2D8ACD8B">
      <w:pPr>
        <w:widowControl/>
        <w:shd w:val="clear"/>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4.我方具有符合采购文件资格要求履行合同所必需的设备和专业技术能力。 </w:t>
      </w:r>
    </w:p>
    <w:p w14:paraId="40FC0F5C">
      <w:pPr>
        <w:widowControl/>
        <w:shd w:val="clear"/>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5.我方参加政府采购活动前3年内在经营活动中没有重大违法记录。 </w:t>
      </w:r>
    </w:p>
    <w:p w14:paraId="20E6094D">
      <w:pPr>
        <w:widowControl/>
        <w:shd w:val="clear"/>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我方对以上承诺内容的真实性负责。如有虚假，将依法承担相应责任。</w:t>
      </w:r>
    </w:p>
    <w:p w14:paraId="33FF9063">
      <w:pPr>
        <w:widowControl/>
        <w:shd w:val="clear"/>
        <w:spacing w:line="440" w:lineRule="exact"/>
        <w:ind w:firstLine="480" w:firstLineChars="200"/>
        <w:rPr>
          <w:rFonts w:hint="eastAsia" w:ascii="仿宋_GB2312" w:hAnsi="仿宋_GB2312" w:eastAsia="仿宋_GB2312" w:cs="仿宋_GB2312"/>
          <w:color w:val="auto"/>
          <w:kern w:val="0"/>
          <w:sz w:val="24"/>
          <w:highlight w:val="none"/>
          <w:lang w:bidi="ar"/>
        </w:rPr>
      </w:pPr>
    </w:p>
    <w:p w14:paraId="6E52EF64">
      <w:pPr>
        <w:widowControl/>
        <w:shd w:val="clear"/>
        <w:spacing w:line="440" w:lineRule="exact"/>
        <w:ind w:firstLine="480" w:firstLineChars="200"/>
        <w:rPr>
          <w:rFonts w:hint="eastAsia" w:ascii="仿宋_GB2312" w:hAnsi="仿宋_GB2312" w:eastAsia="仿宋_GB2312" w:cs="仿宋_GB2312"/>
          <w:color w:val="auto"/>
          <w:kern w:val="0"/>
          <w:sz w:val="24"/>
          <w:highlight w:val="none"/>
          <w:lang w:bidi="ar"/>
        </w:rPr>
      </w:pPr>
    </w:p>
    <w:p w14:paraId="7EB6CFD4">
      <w:pPr>
        <w:widowControl/>
        <w:shd w:val="clear"/>
        <w:spacing w:line="440" w:lineRule="exact"/>
        <w:ind w:firstLine="3600" w:firstLineChars="15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供应商名称（盖章）： </w:t>
      </w:r>
    </w:p>
    <w:p w14:paraId="464FE5A3">
      <w:pPr>
        <w:shd w:val="clear"/>
        <w:tabs>
          <w:tab w:val="left" w:pos="7560"/>
        </w:tabs>
        <w:spacing w:line="440" w:lineRule="exact"/>
        <w:ind w:firstLine="3600" w:firstLineChars="150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日期：</w:t>
      </w:r>
    </w:p>
    <w:p w14:paraId="02296E2B">
      <w:pPr>
        <w:shd w:val="clear"/>
        <w:snapToGrid w:val="0"/>
        <w:spacing w:before="50" w:after="120" w:afterLines="50" w:line="400" w:lineRule="exact"/>
        <w:jc w:val="left"/>
        <w:rPr>
          <w:b/>
          <w:color w:val="auto"/>
          <w:szCs w:val="21"/>
          <w:highlight w:val="none"/>
        </w:rPr>
      </w:pPr>
      <w:r>
        <w:rPr>
          <w:rFonts w:hint="eastAsia" w:ascii="仿宋_GB2312" w:hAnsi="仿宋_GB2312" w:eastAsia="仿宋_GB2312" w:cs="仿宋_GB2312"/>
          <w:color w:val="auto"/>
          <w:highlight w:val="none"/>
          <w:lang w:bidi="ar"/>
        </w:rPr>
        <w:t>注：1.</w:t>
      </w:r>
      <w:r>
        <w:rPr>
          <w:rFonts w:hint="eastAsia" w:ascii="仿宋_GB2312" w:hAnsi="仿宋_GB2312" w:eastAsia="仿宋_GB2312" w:cs="仿宋_GB2312"/>
          <w:color w:val="auto"/>
          <w:highlight w:val="none"/>
        </w:rPr>
        <w:t>参与政府采购活动的供应商可按第1点的内容：“</w:t>
      </w:r>
      <w:r>
        <w:rPr>
          <w:rFonts w:hint="eastAsia" w:ascii="仿宋_GB2312" w:hAnsi="仿宋_GB2312" w:eastAsia="仿宋_GB2312" w:cs="仿宋_GB2312"/>
          <w:color w:val="auto"/>
          <w:highlight w:val="none"/>
          <w:lang w:bidi="ar"/>
        </w:rPr>
        <w:t>我方</w:t>
      </w:r>
      <w:r>
        <w:rPr>
          <w:rFonts w:hint="eastAsia" w:ascii="仿宋_GB2312" w:eastAsia="仿宋_GB2312"/>
          <w:color w:val="auto"/>
          <w:spacing w:val="6"/>
          <w:highlight w:val="none"/>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highlight w:val="none"/>
          <w:lang w:bidi="ar"/>
        </w:rPr>
        <w:t>我方</w:t>
      </w:r>
      <w:r>
        <w:rPr>
          <w:rFonts w:hint="eastAsia" w:ascii="仿宋_GB2312" w:eastAsia="仿宋_GB2312"/>
          <w:color w:val="auto"/>
          <w:spacing w:val="6"/>
          <w:highlight w:val="none"/>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0A7413D5">
      <w:pPr>
        <w:shd w:val="clear"/>
        <w:snapToGrid w:val="0"/>
        <w:spacing w:before="50" w:after="120" w:afterLines="50" w:line="400" w:lineRule="exact"/>
        <w:jc w:val="left"/>
        <w:rPr>
          <w:b/>
          <w:color w:val="auto"/>
          <w:szCs w:val="21"/>
          <w:highlight w:val="none"/>
        </w:rPr>
      </w:pPr>
    </w:p>
    <w:p w14:paraId="22298C4E">
      <w:pPr>
        <w:shd w:val="clear"/>
        <w:rPr>
          <w:b/>
          <w:color w:val="auto"/>
          <w:szCs w:val="21"/>
          <w:highlight w:val="none"/>
        </w:rPr>
      </w:pPr>
      <w:r>
        <w:rPr>
          <w:b/>
          <w:color w:val="auto"/>
          <w:szCs w:val="21"/>
          <w:highlight w:val="none"/>
        </w:rPr>
        <w:br w:type="page"/>
      </w:r>
    </w:p>
    <w:p w14:paraId="2EF8401A">
      <w:pPr>
        <w:shd w:val="clear"/>
        <w:snapToGrid w:val="0"/>
        <w:spacing w:before="50" w:after="120" w:afterLines="50" w:line="400" w:lineRule="exact"/>
        <w:jc w:val="left"/>
        <w:rPr>
          <w:b/>
          <w:color w:val="auto"/>
          <w:szCs w:val="21"/>
          <w:highlight w:val="none"/>
        </w:rPr>
      </w:pPr>
      <w:r>
        <w:rPr>
          <w:rFonts w:hint="eastAsia"/>
          <w:b/>
          <w:color w:val="auto"/>
          <w:szCs w:val="21"/>
          <w:highlight w:val="none"/>
        </w:rPr>
        <w:t>2</w:t>
      </w:r>
      <w:r>
        <w:rPr>
          <w:b/>
          <w:color w:val="auto"/>
          <w:szCs w:val="21"/>
          <w:highlight w:val="none"/>
        </w:rPr>
        <w:t>．响应声明书格式：</w:t>
      </w:r>
      <w:bookmarkEnd w:id="95"/>
    </w:p>
    <w:p w14:paraId="04C003BF">
      <w:pPr>
        <w:shd w:val="clear"/>
        <w:snapToGrid w:val="0"/>
        <w:spacing w:before="120" w:beforeLines="50" w:after="50" w:line="360" w:lineRule="exact"/>
        <w:jc w:val="center"/>
        <w:rPr>
          <w:b/>
          <w:color w:val="auto"/>
          <w:szCs w:val="21"/>
          <w:highlight w:val="none"/>
        </w:rPr>
      </w:pPr>
      <w:r>
        <w:rPr>
          <w:b/>
          <w:color w:val="auto"/>
          <w:szCs w:val="21"/>
          <w:highlight w:val="none"/>
        </w:rPr>
        <w:t>响应声明书</w:t>
      </w:r>
    </w:p>
    <w:p w14:paraId="555C6D7F">
      <w:pPr>
        <w:shd w:val="clear"/>
        <w:snapToGrid w:val="0"/>
        <w:spacing w:before="120" w:beforeLines="50" w:after="50" w:line="360" w:lineRule="exact"/>
        <w:jc w:val="center"/>
        <w:rPr>
          <w:color w:val="auto"/>
          <w:szCs w:val="21"/>
          <w:highlight w:val="none"/>
        </w:rPr>
      </w:pPr>
    </w:p>
    <w:p w14:paraId="55E17EAF">
      <w:pPr>
        <w:shd w:val="clear"/>
        <w:snapToGrid w:val="0"/>
        <w:spacing w:before="120" w:beforeLines="50" w:after="50" w:line="360" w:lineRule="exact"/>
        <w:rPr>
          <w:color w:val="auto"/>
          <w:szCs w:val="21"/>
          <w:highlight w:val="none"/>
        </w:rPr>
      </w:pPr>
      <w:bookmarkStart w:id="96" w:name="_Hlk19199166"/>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46C5E421">
      <w:pPr>
        <w:shd w:val="clea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30CD96B0">
      <w:pPr>
        <w:shd w:val="clea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i/>
          <w:iCs/>
          <w:color w:val="auto"/>
          <w:szCs w:val="21"/>
          <w:highlight w:val="none"/>
          <w:u w:val="single"/>
        </w:rPr>
        <w:t>（项目名称）</w:t>
      </w:r>
      <w:r>
        <w:rPr>
          <w:color w:val="auto"/>
          <w:szCs w:val="21"/>
          <w:highlight w:val="none"/>
        </w:rPr>
        <w:t>项目的磋商，为便于贵方公正、择优地确定成交供应商及其响应产品和服务，我方就本次磋商有关事项郑重声明如下：</w:t>
      </w:r>
    </w:p>
    <w:p w14:paraId="5A1AA977">
      <w:pPr>
        <w:shd w:val="clear"/>
        <w:snapToGrid w:val="0"/>
        <w:spacing w:before="120" w:beforeLines="50" w:line="360" w:lineRule="exact"/>
        <w:ind w:firstLine="420" w:firstLineChars="200"/>
        <w:rPr>
          <w:color w:val="auto"/>
          <w:szCs w:val="21"/>
          <w:highlight w:val="none"/>
        </w:rPr>
      </w:pPr>
      <w:r>
        <w:rPr>
          <w:color w:val="auto"/>
          <w:szCs w:val="21"/>
          <w:highlight w:val="none"/>
        </w:rPr>
        <w:t>（1）我方向贵方提交的所有响应文件、资料都是准确的和真实的。</w:t>
      </w:r>
    </w:p>
    <w:p w14:paraId="4BE417AA">
      <w:pPr>
        <w:shd w:val="clea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086CC202">
      <w:pPr>
        <w:shd w:val="clear"/>
        <w:snapToGrid w:val="0"/>
        <w:spacing w:before="120" w:beforeLines="50" w:line="360" w:lineRule="exact"/>
        <w:ind w:firstLine="420" w:firstLineChars="200"/>
        <w:rPr>
          <w:color w:val="auto"/>
          <w:szCs w:val="21"/>
          <w:highlight w:val="none"/>
        </w:rPr>
      </w:pPr>
      <w:r>
        <w:rPr>
          <w:color w:val="auto"/>
          <w:szCs w:val="21"/>
          <w:highlight w:val="none"/>
        </w:rPr>
        <w:t>（3） 我方承诺在参加本政府采购项目活动前，没有被纳入政府部门或银行认定的失信名单，我方具有良好的商业信誉。</w:t>
      </w:r>
    </w:p>
    <w:p w14:paraId="4F5B73C2">
      <w:pPr>
        <w:shd w:val="clear"/>
        <w:snapToGrid w:val="0"/>
        <w:spacing w:before="120" w:beforeLines="50" w:line="360" w:lineRule="exact"/>
        <w:ind w:firstLine="420" w:firstLineChars="200"/>
        <w:rPr>
          <w:color w:val="auto"/>
          <w:szCs w:val="21"/>
          <w:highlight w:val="none"/>
        </w:rPr>
      </w:pPr>
      <w:r>
        <w:rPr>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w:t>
      </w:r>
      <w:r>
        <w:rPr>
          <w:rFonts w:hint="eastAsia"/>
          <w:color w:val="auto"/>
          <w:szCs w:val="21"/>
          <w:highlight w:val="none"/>
        </w:rPr>
        <w:t>中华人民共和国</w:t>
      </w:r>
      <w:r>
        <w:rPr>
          <w:color w:val="auto"/>
          <w:szCs w:val="21"/>
          <w:highlight w:val="none"/>
        </w:rPr>
        <w:t>政府采购法》有关提供虚假材料的规定给予的处罚。</w:t>
      </w:r>
    </w:p>
    <w:p w14:paraId="0274B9B0">
      <w:pPr>
        <w:shd w:val="clear"/>
        <w:snapToGrid w:val="0"/>
        <w:spacing w:before="120" w:beforeLines="50" w:line="360" w:lineRule="exact"/>
        <w:ind w:firstLine="420" w:firstLineChars="200"/>
        <w:rPr>
          <w:color w:val="auto"/>
          <w:szCs w:val="21"/>
          <w:highlight w:val="none"/>
          <w:lang w:val="zh-CN"/>
        </w:rPr>
      </w:pPr>
      <w:r>
        <w:rPr>
          <w:color w:val="auto"/>
          <w:szCs w:val="21"/>
          <w:highlight w:val="none"/>
        </w:rPr>
        <w:t>（5）</w:t>
      </w:r>
      <w:r>
        <w:rPr>
          <w:color w:val="auto"/>
          <w:szCs w:val="21"/>
          <w:highlight w:val="none"/>
          <w:lang w:val="zh-CN"/>
        </w:rPr>
        <w:t>我方</w:t>
      </w:r>
      <w:r>
        <w:rPr>
          <w:color w:val="auto"/>
          <w:szCs w:val="21"/>
          <w:highlight w:val="none"/>
        </w:rPr>
        <w:t>承诺</w:t>
      </w:r>
      <w:r>
        <w:rPr>
          <w:color w:val="auto"/>
          <w:szCs w:val="21"/>
          <w:highlight w:val="none"/>
          <w:lang w:val="zh-CN"/>
        </w:rPr>
        <w:t>具有履行本项目合同所必需的设备和专业技术能力。</w:t>
      </w:r>
    </w:p>
    <w:p w14:paraId="5304511B">
      <w:pPr>
        <w:shd w:val="clea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，如我方提供的声明不实，则接受本次响应作为响应无效的处理，</w:t>
      </w:r>
      <w:r>
        <w:rPr>
          <w:color w:val="auto"/>
          <w:szCs w:val="21"/>
          <w:highlight w:val="none"/>
        </w:rPr>
        <w:t>并根据财库〔2016〕125号《财政部关于在政府采购活动中查询及使用信用记录有关问题的通知》规定接受失信联合惩戒。</w:t>
      </w:r>
    </w:p>
    <w:p w14:paraId="67A84D2E">
      <w:pPr>
        <w:shd w:val="clear"/>
        <w:snapToGrid w:val="0"/>
        <w:spacing w:before="120" w:beforeLines="50" w:line="360" w:lineRule="exact"/>
        <w:ind w:firstLine="420" w:firstLineChars="200"/>
        <w:rPr>
          <w:color w:val="auto"/>
          <w:szCs w:val="21"/>
          <w:highlight w:val="none"/>
        </w:rPr>
      </w:pPr>
      <w:r>
        <w:rPr>
          <w:rFonts w:hint="eastAsia"/>
          <w:color w:val="auto"/>
          <w:szCs w:val="21"/>
          <w:highlight w:val="none"/>
        </w:rPr>
        <w:t>（7）我方承诺成交后按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w:t>
      </w:r>
      <w:r>
        <w:rPr>
          <w:rFonts w:hint="eastAsia"/>
          <w:color w:val="auto"/>
          <w:szCs w:val="21"/>
          <w:highlight w:val="none"/>
        </w:rPr>
        <w:t>磋商</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3EA5BC6C">
      <w:pPr>
        <w:shd w:val="clea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bookmarkEnd w:id="96"/>
    <w:p w14:paraId="773A457C">
      <w:pPr>
        <w:shd w:val="clear"/>
        <w:snapToGrid w:val="0"/>
        <w:spacing w:before="120" w:beforeLines="50" w:line="360" w:lineRule="exact"/>
        <w:ind w:firstLine="420" w:firstLineChars="200"/>
        <w:rPr>
          <w:color w:val="auto"/>
          <w:szCs w:val="21"/>
          <w:highlight w:val="none"/>
        </w:rPr>
      </w:pPr>
    </w:p>
    <w:p w14:paraId="1188A67A">
      <w:pPr>
        <w:shd w:val="clear"/>
        <w:snapToGrid w:val="0"/>
        <w:spacing w:before="120" w:beforeLines="50" w:after="50" w:line="360" w:lineRule="exact"/>
        <w:ind w:firstLine="3570" w:firstLineChars="1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426756AF">
      <w:pPr>
        <w:shd w:val="clear"/>
        <w:snapToGrid w:val="0"/>
        <w:spacing w:before="120" w:beforeLines="50" w:after="50" w:line="360" w:lineRule="exact"/>
        <w:ind w:firstLine="210" w:firstLineChars="100"/>
        <w:rPr>
          <w:color w:val="auto"/>
          <w:szCs w:val="21"/>
          <w:highlight w:val="none"/>
        </w:rPr>
      </w:pPr>
      <w:r>
        <w:rPr>
          <w:color w:val="auto"/>
          <w:szCs w:val="21"/>
          <w:highlight w:val="none"/>
        </w:rPr>
        <w:t xml:space="preserve">                                          年    月    日</w:t>
      </w:r>
    </w:p>
    <w:p w14:paraId="1175528A">
      <w:pPr>
        <w:shd w:val="clear"/>
        <w:snapToGrid w:val="0"/>
        <w:spacing w:before="50" w:after="120" w:afterLines="50" w:line="440" w:lineRule="exact"/>
        <w:jc w:val="left"/>
        <w:rPr>
          <w:color w:val="auto"/>
          <w:highlight w:val="none"/>
        </w:rPr>
      </w:pPr>
      <w:r>
        <w:rPr>
          <w:color w:val="auto"/>
          <w:szCs w:val="21"/>
          <w:highlight w:val="none"/>
        </w:rPr>
        <w:br w:type="page"/>
      </w:r>
    </w:p>
    <w:p w14:paraId="5CEC3F3D">
      <w:pPr>
        <w:shd w:val="clear"/>
        <w:snapToGrid w:val="0"/>
        <w:spacing w:before="50" w:after="120" w:afterLines="50" w:line="440" w:lineRule="exact"/>
        <w:jc w:val="left"/>
        <w:rPr>
          <w:b/>
          <w:color w:val="auto"/>
          <w:szCs w:val="21"/>
          <w:highlight w:val="none"/>
        </w:rPr>
      </w:pPr>
      <w:r>
        <w:rPr>
          <w:rFonts w:hint="eastAsia"/>
          <w:color w:val="auto"/>
          <w:szCs w:val="21"/>
          <w:highlight w:val="none"/>
        </w:rPr>
        <w:t>3</w:t>
      </w:r>
      <w:r>
        <w:rPr>
          <w:color w:val="auto"/>
          <w:szCs w:val="21"/>
          <w:highlight w:val="none"/>
        </w:rPr>
        <w:t>．具备法律、行政法规规定的其他要求的证明材料</w:t>
      </w:r>
      <w:r>
        <w:rPr>
          <w:color w:val="auto"/>
          <w:highlight w:val="none"/>
        </w:rPr>
        <w:t>（</w:t>
      </w:r>
      <w:r>
        <w:rPr>
          <w:color w:val="auto"/>
          <w:szCs w:val="21"/>
          <w:highlight w:val="none"/>
        </w:rPr>
        <w:t>按“评审方法及标准” “资格性检查表”规定提供</w:t>
      </w:r>
      <w:r>
        <w:rPr>
          <w:color w:val="auto"/>
          <w:highlight w:val="none"/>
        </w:rPr>
        <w:t>）。</w:t>
      </w:r>
      <w:r>
        <w:rPr>
          <w:rFonts w:hint="eastAsia"/>
          <w:b/>
          <w:color w:val="auto"/>
          <w:szCs w:val="21"/>
          <w:highlight w:val="none"/>
        </w:rPr>
        <w:t>（如采购文件有要求时提供）</w:t>
      </w:r>
    </w:p>
    <w:p w14:paraId="6E42EF75">
      <w:pPr>
        <w:shd w:val="clear"/>
        <w:snapToGrid w:val="0"/>
        <w:spacing w:before="50" w:after="120" w:afterLines="50" w:line="440" w:lineRule="exact"/>
        <w:jc w:val="left"/>
        <w:rPr>
          <w:color w:val="auto"/>
          <w:szCs w:val="21"/>
          <w:highlight w:val="none"/>
        </w:rPr>
      </w:pPr>
    </w:p>
    <w:p w14:paraId="18E955B7">
      <w:pPr>
        <w:shd w:val="clear"/>
        <w:snapToGrid w:val="0"/>
        <w:spacing w:before="50" w:after="120" w:afterLines="50" w:line="440" w:lineRule="exact"/>
        <w:jc w:val="left"/>
        <w:rPr>
          <w:color w:val="auto"/>
          <w:highlight w:val="none"/>
        </w:rPr>
      </w:pPr>
      <w:r>
        <w:rPr>
          <w:rFonts w:hint="eastAsia"/>
          <w:color w:val="auto"/>
          <w:szCs w:val="21"/>
          <w:highlight w:val="none"/>
        </w:rPr>
        <w:t>4</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（如采购文件有要求时提供）</w:t>
      </w:r>
    </w:p>
    <w:p w14:paraId="4A8A0AD9">
      <w:pPr>
        <w:shd w:val="clear"/>
        <w:rPr>
          <w:color w:val="auto"/>
          <w:szCs w:val="21"/>
          <w:highlight w:val="none"/>
        </w:rPr>
      </w:pPr>
      <w:r>
        <w:rPr>
          <w:rFonts w:hint="eastAsia"/>
          <w:color w:val="auto"/>
          <w:szCs w:val="21"/>
          <w:highlight w:val="none"/>
        </w:rPr>
        <w:br w:type="page"/>
      </w:r>
    </w:p>
    <w:p w14:paraId="2CCEF79B">
      <w:pPr>
        <w:shd w:val="clear"/>
        <w:rPr>
          <w:color w:val="auto"/>
          <w:szCs w:val="21"/>
          <w:highlight w:val="none"/>
        </w:rPr>
      </w:pPr>
      <w:r>
        <w:rPr>
          <w:rFonts w:hint="eastAsia"/>
          <w:color w:val="auto"/>
          <w:szCs w:val="21"/>
          <w:highlight w:val="none"/>
        </w:rPr>
        <w:t>4</w:t>
      </w:r>
      <w:r>
        <w:rPr>
          <w:color w:val="auto"/>
          <w:szCs w:val="21"/>
          <w:highlight w:val="none"/>
        </w:rPr>
        <w:t>.1</w:t>
      </w:r>
      <w:r>
        <w:rPr>
          <w:rFonts w:hint="eastAsia"/>
          <w:bCs/>
          <w:color w:val="auto"/>
          <w:szCs w:val="21"/>
          <w:highlight w:val="none"/>
        </w:rPr>
        <w:t>中小企业声明函</w:t>
      </w:r>
      <w:r>
        <w:rPr>
          <w:color w:val="auto"/>
          <w:szCs w:val="21"/>
          <w:highlight w:val="none"/>
        </w:rPr>
        <w:t>。</w:t>
      </w:r>
    </w:p>
    <w:p w14:paraId="1AFDC7CF">
      <w:pPr>
        <w:shd w:val="clear"/>
        <w:spacing w:line="360" w:lineRule="auto"/>
        <w:ind w:firstLine="3584" w:firstLineChars="1700"/>
        <w:rPr>
          <w:b/>
          <w:color w:val="auto"/>
          <w:szCs w:val="21"/>
          <w:highlight w:val="none"/>
        </w:rPr>
      </w:pPr>
    </w:p>
    <w:p w14:paraId="14E70327">
      <w:pPr>
        <w:shd w:val="clear"/>
        <w:spacing w:line="360" w:lineRule="auto"/>
        <w:ind w:firstLine="3584" w:firstLineChars="1700"/>
        <w:rPr>
          <w:b/>
          <w:color w:val="auto"/>
          <w:szCs w:val="21"/>
          <w:highlight w:val="none"/>
        </w:rPr>
      </w:pPr>
      <w:r>
        <w:rPr>
          <w:rFonts w:hint="eastAsia"/>
          <w:b/>
          <w:color w:val="auto"/>
          <w:szCs w:val="21"/>
          <w:highlight w:val="none"/>
        </w:rPr>
        <w:t>中小企业声明函（服务）</w:t>
      </w:r>
    </w:p>
    <w:p w14:paraId="7D70B66C">
      <w:pPr>
        <w:shd w:val="clea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采购活动，服务全部由符合政策要求的中小企业承接。相关企业（含联合体中的中小企业、签订分包意向协议的中小企业） 的具体情况如下：</w:t>
      </w:r>
    </w:p>
    <w:p w14:paraId="68134378">
      <w:pPr>
        <w:shd w:val="clea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461044B6">
      <w:pPr>
        <w:shd w:val="clea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7928C617">
      <w:pPr>
        <w:shd w:val="clear"/>
        <w:spacing w:line="360" w:lineRule="auto"/>
        <w:ind w:firstLine="420"/>
        <w:rPr>
          <w:bCs/>
          <w:color w:val="auto"/>
          <w:szCs w:val="21"/>
          <w:highlight w:val="none"/>
        </w:rPr>
      </w:pPr>
      <w:r>
        <w:rPr>
          <w:rFonts w:hint="eastAsia"/>
          <w:bCs/>
          <w:color w:val="auto"/>
          <w:szCs w:val="21"/>
          <w:highlight w:val="none"/>
        </w:rPr>
        <w:t>……</w:t>
      </w:r>
    </w:p>
    <w:p w14:paraId="2C44679A">
      <w:pPr>
        <w:shd w:val="clea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5747538A">
      <w:pPr>
        <w:shd w:val="clea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665CB1BE">
      <w:pPr>
        <w:shd w:val="clear"/>
        <w:spacing w:line="360" w:lineRule="auto"/>
        <w:ind w:firstLine="3150" w:firstLineChars="1500"/>
        <w:rPr>
          <w:bCs/>
          <w:color w:val="auto"/>
          <w:szCs w:val="21"/>
          <w:highlight w:val="none"/>
        </w:rPr>
      </w:pPr>
      <w:r>
        <w:rPr>
          <w:rFonts w:hint="eastAsia"/>
          <w:bCs/>
          <w:color w:val="auto"/>
          <w:szCs w:val="21"/>
          <w:highlight w:val="none"/>
        </w:rPr>
        <w:t xml:space="preserve">企业名称（电子签章）： </w:t>
      </w:r>
      <w:r>
        <w:rPr>
          <w:bCs/>
          <w:color w:val="auto"/>
          <w:szCs w:val="21"/>
          <w:highlight w:val="none"/>
        </w:rPr>
        <w:t xml:space="preserve"> </w:t>
      </w:r>
      <w:r>
        <w:rPr>
          <w:rFonts w:hint="eastAsia"/>
          <w:bCs/>
          <w:color w:val="auto"/>
          <w:szCs w:val="21"/>
          <w:highlight w:val="none"/>
        </w:rPr>
        <w:t>日期：</w:t>
      </w:r>
    </w:p>
    <w:p w14:paraId="0D1BB359">
      <w:pPr>
        <w:shd w:val="clear"/>
        <w:spacing w:line="360" w:lineRule="auto"/>
        <w:jc w:val="left"/>
        <w:rPr>
          <w:bCs/>
          <w:color w:val="auto"/>
          <w:szCs w:val="21"/>
          <w:highlight w:val="none"/>
        </w:rPr>
      </w:pPr>
      <w:r>
        <w:rPr>
          <w:rFonts w:hint="eastAsia"/>
          <w:bCs/>
          <w:color w:val="auto"/>
          <w:szCs w:val="21"/>
          <w:highlight w:val="none"/>
        </w:rPr>
        <w:t>（1）标的名称按照第二章采购需求一览表中的名称填写，</w:t>
      </w:r>
      <w:r>
        <w:rPr>
          <w:color w:val="auto"/>
          <w:szCs w:val="21"/>
          <w:highlight w:val="none"/>
        </w:rPr>
        <w:t>所属行业标明“/”的</w:t>
      </w:r>
      <w:r>
        <w:rPr>
          <w:rFonts w:hint="eastAsia"/>
          <w:bCs/>
          <w:color w:val="auto"/>
          <w:szCs w:val="21"/>
          <w:highlight w:val="none"/>
        </w:rPr>
        <w:t>，无需在上表填写。</w:t>
      </w:r>
    </w:p>
    <w:p w14:paraId="7ABC1154">
      <w:pPr>
        <w:shd w:val="clea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1BF1C5F8">
      <w:pPr>
        <w:shd w:val="clea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254477B6">
      <w:pPr>
        <w:shd w:val="clea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中华人民共和国民法典》、《中华人民共和国公司法》等法律规定，分公司不具有法人资格，其民事责任由总公司承担。企业划型时，应将分公司的从业人员、营业收入、资产总额等指标数据纳入合并计算。</w:t>
      </w:r>
    </w:p>
    <w:p w14:paraId="4EB158EF">
      <w:pPr>
        <w:shd w:val="clear"/>
        <w:spacing w:line="360" w:lineRule="auto"/>
        <w:jc w:val="left"/>
        <w:rPr>
          <w:bCs/>
          <w:color w:val="auto"/>
          <w:szCs w:val="21"/>
          <w:highlight w:val="none"/>
        </w:rPr>
      </w:pPr>
      <w:r>
        <w:rPr>
          <w:rFonts w:hint="eastAsia"/>
          <w:bCs/>
          <w:color w:val="auto"/>
          <w:szCs w:val="21"/>
          <w:highlight w:val="none"/>
        </w:rPr>
        <w:t>（5）根据国家统计局《劳动工资统计报表制度》，从业人员数是指本单位工作，并取得工资或其他形式劳动报酬的人员数，是在岗职工、劳务派遣人员及其他从业人员之和。</w:t>
      </w:r>
    </w:p>
    <w:p w14:paraId="04AD9E2C">
      <w:pPr>
        <w:shd w:val="clea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1399AD31">
      <w:pPr>
        <w:shd w:val="clea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0995F4EA">
      <w:pPr>
        <w:shd w:val="clea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58E16CC1">
      <w:pPr>
        <w:shd w:val="clear"/>
        <w:snapToGrid w:val="0"/>
        <w:spacing w:before="50" w:after="120" w:afterLines="50"/>
        <w:jc w:val="left"/>
        <w:rPr>
          <w:color w:val="auto"/>
          <w:szCs w:val="21"/>
          <w:highlight w:val="none"/>
        </w:rPr>
      </w:pPr>
    </w:p>
    <w:p w14:paraId="5B160759">
      <w:pPr>
        <w:shd w:val="clear"/>
        <w:snapToGrid w:val="0"/>
        <w:spacing w:before="50" w:after="120" w:afterLines="50"/>
        <w:jc w:val="left"/>
        <w:rPr>
          <w:color w:val="auto"/>
          <w:szCs w:val="21"/>
          <w:highlight w:val="none"/>
        </w:rPr>
      </w:pPr>
      <w:r>
        <w:rPr>
          <w:rFonts w:hint="eastAsia"/>
          <w:color w:val="auto"/>
          <w:szCs w:val="21"/>
          <w:highlight w:val="none"/>
        </w:rPr>
        <w:t>4</w:t>
      </w:r>
      <w:r>
        <w:rPr>
          <w:color w:val="auto"/>
          <w:szCs w:val="21"/>
          <w:highlight w:val="none"/>
        </w:rPr>
        <w:t>.2监狱企业须提供最新一期《XX省监狱企业产品目录》或其他监狱企业证明材料。（非监狱企业无需提供）</w:t>
      </w:r>
    </w:p>
    <w:p w14:paraId="7724B5FF">
      <w:pPr>
        <w:shd w:val="clear"/>
        <w:snapToGrid w:val="0"/>
        <w:spacing w:before="50" w:after="120" w:afterLines="50"/>
        <w:jc w:val="left"/>
        <w:rPr>
          <w:color w:val="auto"/>
          <w:szCs w:val="21"/>
          <w:highlight w:val="none"/>
        </w:rPr>
      </w:pPr>
    </w:p>
    <w:p w14:paraId="56670194">
      <w:pPr>
        <w:shd w:val="clear"/>
        <w:snapToGrid w:val="0"/>
        <w:spacing w:before="50" w:after="120" w:afterLines="50"/>
        <w:jc w:val="left"/>
        <w:rPr>
          <w:color w:val="auto"/>
          <w:highlight w:val="none"/>
        </w:rPr>
      </w:pPr>
      <w:r>
        <w:rPr>
          <w:rFonts w:hint="eastAsia"/>
          <w:color w:val="auto"/>
          <w:szCs w:val="21"/>
          <w:highlight w:val="none"/>
        </w:rPr>
        <w:t>4</w:t>
      </w:r>
      <w:r>
        <w:rPr>
          <w:color w:val="auto"/>
          <w:szCs w:val="21"/>
          <w:highlight w:val="none"/>
        </w:rPr>
        <w:t>.3</w:t>
      </w:r>
      <w:r>
        <w:rPr>
          <w:color w:val="auto"/>
          <w:highlight w:val="none"/>
        </w:rPr>
        <w:t>残疾人福利性单位须提供《残疾人福利性单位声明函》，格式如下。</w:t>
      </w:r>
      <w:r>
        <w:rPr>
          <w:color w:val="auto"/>
          <w:szCs w:val="21"/>
          <w:highlight w:val="none"/>
        </w:rPr>
        <w:t>（非残疾人福利性单位无需提供）</w:t>
      </w:r>
    </w:p>
    <w:p w14:paraId="48B4740A">
      <w:pPr>
        <w:shd w:val="clear"/>
        <w:spacing w:line="360" w:lineRule="auto"/>
        <w:jc w:val="center"/>
        <w:rPr>
          <w:b/>
          <w:color w:val="auto"/>
          <w:szCs w:val="21"/>
          <w:highlight w:val="none"/>
        </w:rPr>
      </w:pPr>
      <w:r>
        <w:rPr>
          <w:b/>
          <w:color w:val="auto"/>
          <w:szCs w:val="21"/>
          <w:highlight w:val="none"/>
        </w:rPr>
        <w:t>残疾人福利性单位声明函</w:t>
      </w:r>
    </w:p>
    <w:p w14:paraId="4DD48557">
      <w:pPr>
        <w:shd w:val="clea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D0C2F0C">
      <w:pPr>
        <w:shd w:val="clea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0775D467">
      <w:pPr>
        <w:shd w:val="clear"/>
        <w:spacing w:line="360" w:lineRule="auto"/>
        <w:ind w:firstLine="420"/>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p>
    <w:p w14:paraId="4E621C67">
      <w:pPr>
        <w:shd w:val="clear"/>
        <w:spacing w:line="360" w:lineRule="auto"/>
        <w:ind w:firstLine="420"/>
        <w:jc w:val="right"/>
        <w:rPr>
          <w:color w:val="auto"/>
          <w:spacing w:val="6"/>
          <w:szCs w:val="21"/>
          <w:highlight w:val="none"/>
        </w:rPr>
      </w:pPr>
      <w:r>
        <w:rPr>
          <w:color w:val="auto"/>
          <w:spacing w:val="6"/>
          <w:szCs w:val="21"/>
          <w:highlight w:val="none"/>
        </w:rPr>
        <w:t>单位名称（</w:t>
      </w:r>
      <w:r>
        <w:rPr>
          <w:rFonts w:hint="eastAsia"/>
          <w:color w:val="auto"/>
          <w:spacing w:val="6"/>
          <w:szCs w:val="21"/>
          <w:highlight w:val="none"/>
        </w:rPr>
        <w:t>电子签章</w:t>
      </w:r>
      <w:r>
        <w:rPr>
          <w:color w:val="auto"/>
          <w:spacing w:val="6"/>
          <w:szCs w:val="21"/>
          <w:highlight w:val="none"/>
        </w:rPr>
        <w:t xml:space="preserve">）：          </w:t>
      </w:r>
    </w:p>
    <w:p w14:paraId="24E882F9">
      <w:pPr>
        <w:shd w:val="clear"/>
        <w:spacing w:line="360" w:lineRule="auto"/>
        <w:ind w:firstLine="420"/>
        <w:rPr>
          <w:color w:val="auto"/>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06F53EFC">
      <w:pPr>
        <w:shd w:val="clear"/>
        <w:snapToGrid w:val="0"/>
        <w:spacing w:before="50" w:after="120" w:afterLines="50"/>
        <w:jc w:val="left"/>
        <w:rPr>
          <w:color w:val="auto"/>
          <w:szCs w:val="21"/>
          <w:highlight w:val="none"/>
        </w:rPr>
        <w:sectPr>
          <w:headerReference r:id="rId15" w:type="default"/>
          <w:pgSz w:w="11906" w:h="16838"/>
          <w:pgMar w:top="1418" w:right="1274" w:bottom="1418" w:left="1418" w:header="851" w:footer="992" w:gutter="0"/>
          <w:cols w:space="720" w:num="1"/>
          <w:docGrid w:linePitch="312" w:charSpace="0"/>
        </w:sectPr>
      </w:pPr>
    </w:p>
    <w:p w14:paraId="097E09B0">
      <w:pPr>
        <w:shd w:val="clear"/>
        <w:snapToGrid w:val="0"/>
        <w:spacing w:before="50" w:after="120" w:afterLines="50" w:line="440" w:lineRule="exact"/>
        <w:jc w:val="left"/>
        <w:rPr>
          <w:color w:val="auto"/>
          <w:highlight w:val="none"/>
        </w:rPr>
      </w:pPr>
      <w:r>
        <w:rPr>
          <w:rFonts w:hint="eastAsia"/>
          <w:color w:val="auto"/>
          <w:szCs w:val="21"/>
          <w:highlight w:val="none"/>
        </w:rPr>
        <w:t>5</w:t>
      </w:r>
      <w:r>
        <w:rPr>
          <w:color w:val="auto"/>
          <w:szCs w:val="21"/>
          <w:highlight w:val="none"/>
        </w:rPr>
        <w:t>．</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“资格性检查表”“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（如采购文件有要求时提供）</w:t>
      </w:r>
    </w:p>
    <w:p w14:paraId="43466AFF">
      <w:pPr>
        <w:shd w:val="clear"/>
        <w:snapToGrid w:val="0"/>
        <w:spacing w:before="50" w:after="120" w:afterLines="50" w:line="360" w:lineRule="auto"/>
        <w:jc w:val="left"/>
        <w:rPr>
          <w:color w:val="auto"/>
          <w:szCs w:val="21"/>
          <w:highlight w:val="none"/>
        </w:rPr>
      </w:pPr>
      <w:r>
        <w:rPr>
          <w:b/>
          <w:color w:val="auto"/>
          <w:szCs w:val="21"/>
          <w:highlight w:val="none"/>
        </w:rPr>
        <w:br w:type="page"/>
      </w:r>
      <w:r>
        <w:rPr>
          <w:rFonts w:hint="eastAsia"/>
          <w:b/>
          <w:color w:val="auto"/>
          <w:szCs w:val="21"/>
          <w:highlight w:val="none"/>
        </w:rPr>
        <w:t>5</w:t>
      </w:r>
      <w:r>
        <w:rPr>
          <w:color w:val="auto"/>
          <w:szCs w:val="21"/>
          <w:highlight w:val="none"/>
        </w:rPr>
        <w:t>.1</w:t>
      </w:r>
      <w:r>
        <w:rPr>
          <w:rFonts w:hint="eastAsia"/>
          <w:color w:val="auto"/>
          <w:szCs w:val="21"/>
          <w:highlight w:val="none"/>
        </w:rPr>
        <w:t>供应商直接控股股东信息表</w:t>
      </w:r>
    </w:p>
    <w:tbl>
      <w:tblPr>
        <w:tblStyle w:val="52"/>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7A46AAFE">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838C1A">
            <w:pPr>
              <w:shd w:val="clea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4A2CEFB">
            <w:pPr>
              <w:shd w:val="clea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EB7809">
            <w:pPr>
              <w:shd w:val="clea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868A6B1">
            <w:pPr>
              <w:shd w:val="clea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CFC1B2">
            <w:pPr>
              <w:shd w:val="clear"/>
              <w:spacing w:line="360" w:lineRule="auto"/>
              <w:jc w:val="center"/>
              <w:rPr>
                <w:color w:val="auto"/>
                <w:szCs w:val="21"/>
                <w:highlight w:val="none"/>
              </w:rPr>
            </w:pPr>
            <w:r>
              <w:rPr>
                <w:rFonts w:hint="eastAsia"/>
                <w:color w:val="auto"/>
                <w:szCs w:val="21"/>
                <w:highlight w:val="none"/>
              </w:rPr>
              <w:t>备注</w:t>
            </w:r>
          </w:p>
        </w:tc>
      </w:tr>
      <w:tr w14:paraId="60F3A50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41AD09B">
            <w:pPr>
              <w:shd w:val="clea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C18761">
            <w:pPr>
              <w:shd w:val="clea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2734924">
            <w:pPr>
              <w:shd w:val="clea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C9A6B3">
            <w:pPr>
              <w:shd w:val="clea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20CD27C">
            <w:pPr>
              <w:shd w:val="clear"/>
              <w:spacing w:line="360" w:lineRule="auto"/>
              <w:jc w:val="center"/>
              <w:rPr>
                <w:color w:val="auto"/>
                <w:szCs w:val="21"/>
                <w:highlight w:val="none"/>
              </w:rPr>
            </w:pPr>
          </w:p>
        </w:tc>
      </w:tr>
      <w:tr w14:paraId="334C9D7C">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E0EF068">
            <w:pPr>
              <w:shd w:val="clea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E29B115">
            <w:pPr>
              <w:shd w:val="clea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07B2A4D">
            <w:pPr>
              <w:shd w:val="clea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12A43D">
            <w:pPr>
              <w:shd w:val="clea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3390F2">
            <w:pPr>
              <w:shd w:val="clear"/>
              <w:spacing w:line="360" w:lineRule="auto"/>
              <w:jc w:val="center"/>
              <w:rPr>
                <w:color w:val="auto"/>
                <w:szCs w:val="21"/>
                <w:highlight w:val="none"/>
              </w:rPr>
            </w:pPr>
          </w:p>
        </w:tc>
      </w:tr>
      <w:tr w14:paraId="5B5DB28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D426468">
            <w:pPr>
              <w:shd w:val="clea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712B2C4">
            <w:pPr>
              <w:shd w:val="clea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360B988">
            <w:pPr>
              <w:shd w:val="clea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0BA7650">
            <w:pPr>
              <w:shd w:val="clea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C59C815">
            <w:pPr>
              <w:shd w:val="clear"/>
              <w:spacing w:line="360" w:lineRule="auto"/>
              <w:jc w:val="center"/>
              <w:rPr>
                <w:color w:val="auto"/>
                <w:szCs w:val="21"/>
                <w:highlight w:val="none"/>
              </w:rPr>
            </w:pPr>
          </w:p>
        </w:tc>
      </w:tr>
      <w:tr w14:paraId="7960F9D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497E520">
            <w:pPr>
              <w:shd w:val="clea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23DD9E9">
            <w:pPr>
              <w:shd w:val="clea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9DD9EF4">
            <w:pPr>
              <w:shd w:val="clea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627D248">
            <w:pPr>
              <w:shd w:val="clea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BACD40">
            <w:pPr>
              <w:shd w:val="clear"/>
              <w:spacing w:line="360" w:lineRule="auto"/>
              <w:jc w:val="center"/>
              <w:rPr>
                <w:color w:val="auto"/>
                <w:szCs w:val="21"/>
                <w:highlight w:val="none"/>
              </w:rPr>
            </w:pPr>
          </w:p>
        </w:tc>
      </w:tr>
    </w:tbl>
    <w:p w14:paraId="185CEADF">
      <w:pPr>
        <w:shd w:val="clear"/>
        <w:snapToGrid w:val="0"/>
        <w:spacing w:line="360" w:lineRule="auto"/>
        <w:jc w:val="left"/>
        <w:rPr>
          <w:color w:val="auto"/>
          <w:szCs w:val="21"/>
          <w:highlight w:val="none"/>
        </w:rPr>
      </w:pPr>
      <w:r>
        <w:rPr>
          <w:rFonts w:hint="eastAsia"/>
          <w:color w:val="auto"/>
          <w:szCs w:val="21"/>
          <w:highlight w:val="none"/>
        </w:rPr>
        <w:t>注：</w:t>
      </w:r>
    </w:p>
    <w:p w14:paraId="3FAB30F9">
      <w:pPr>
        <w:shd w:val="clea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58290A2">
      <w:pPr>
        <w:shd w:val="clea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1CF357F7">
      <w:pPr>
        <w:shd w:val="clea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3E8272A7">
      <w:pPr>
        <w:shd w:val="clear"/>
        <w:snapToGrid w:val="0"/>
        <w:spacing w:line="360" w:lineRule="auto"/>
        <w:jc w:val="left"/>
        <w:rPr>
          <w:color w:val="auto"/>
          <w:szCs w:val="21"/>
          <w:highlight w:val="none"/>
        </w:rPr>
      </w:pPr>
    </w:p>
    <w:p w14:paraId="2D7534EE">
      <w:pPr>
        <w:shd w:val="clear"/>
        <w:snapToGrid w:val="0"/>
        <w:spacing w:line="360" w:lineRule="auto"/>
        <w:jc w:val="left"/>
        <w:rPr>
          <w:color w:val="auto"/>
          <w:szCs w:val="21"/>
          <w:highlight w:val="none"/>
        </w:rPr>
      </w:pPr>
    </w:p>
    <w:p w14:paraId="047C5426">
      <w:pPr>
        <w:shd w:val="clear"/>
        <w:snapToGrid w:val="0"/>
        <w:spacing w:line="360" w:lineRule="auto"/>
        <w:jc w:val="left"/>
        <w:rPr>
          <w:color w:val="auto"/>
          <w:szCs w:val="21"/>
          <w:highlight w:val="none"/>
        </w:rPr>
      </w:pPr>
    </w:p>
    <w:p w14:paraId="30B4E66F">
      <w:pPr>
        <w:shd w:val="clear"/>
        <w:snapToGrid w:val="0"/>
        <w:spacing w:line="360" w:lineRule="auto"/>
        <w:jc w:val="left"/>
        <w:rPr>
          <w:color w:val="auto"/>
          <w:szCs w:val="21"/>
          <w:highlight w:val="none"/>
        </w:rPr>
      </w:pPr>
    </w:p>
    <w:p w14:paraId="26F905BF">
      <w:pPr>
        <w:shd w:val="clear"/>
        <w:snapToGrid w:val="0"/>
        <w:spacing w:line="360" w:lineRule="auto"/>
        <w:jc w:val="left"/>
        <w:rPr>
          <w:color w:val="auto"/>
          <w:szCs w:val="21"/>
          <w:highlight w:val="none"/>
        </w:rPr>
      </w:pPr>
    </w:p>
    <w:p w14:paraId="3A5E2690">
      <w:pPr>
        <w:shd w:val="clea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48FA224D">
      <w:pPr>
        <w:shd w:val="clea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3F02C275">
      <w:pPr>
        <w:shd w:val="clear"/>
        <w:snapToGrid w:val="0"/>
        <w:jc w:val="left"/>
        <w:rPr>
          <w:color w:val="auto"/>
          <w:szCs w:val="21"/>
          <w:highlight w:val="none"/>
        </w:rPr>
      </w:pPr>
      <w:r>
        <w:rPr>
          <w:rFonts w:ascii="宋体" w:hAnsi="宋体"/>
          <w:b/>
          <w:color w:val="auto"/>
          <w:sz w:val="28"/>
          <w:szCs w:val="28"/>
          <w:highlight w:val="none"/>
        </w:rPr>
        <w:br w:type="page"/>
      </w:r>
      <w:r>
        <w:rPr>
          <w:rFonts w:hint="eastAsia"/>
          <w:color w:val="auto"/>
          <w:szCs w:val="21"/>
          <w:highlight w:val="none"/>
        </w:rPr>
        <w:t>5.2供应商直接管理关系信息表</w:t>
      </w:r>
    </w:p>
    <w:tbl>
      <w:tblPr>
        <w:tblStyle w:val="52"/>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26EA2C5">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EADE37">
            <w:pPr>
              <w:shd w:val="clea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5BCA69">
            <w:pPr>
              <w:shd w:val="clea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70DD3C">
            <w:pPr>
              <w:shd w:val="clea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E41E63">
            <w:pPr>
              <w:shd w:val="clear"/>
              <w:spacing w:line="360" w:lineRule="auto"/>
              <w:jc w:val="center"/>
              <w:rPr>
                <w:color w:val="auto"/>
                <w:szCs w:val="21"/>
                <w:highlight w:val="none"/>
              </w:rPr>
            </w:pPr>
            <w:r>
              <w:rPr>
                <w:rFonts w:hint="eastAsia"/>
                <w:color w:val="auto"/>
                <w:szCs w:val="21"/>
                <w:highlight w:val="none"/>
              </w:rPr>
              <w:t>备注</w:t>
            </w:r>
          </w:p>
        </w:tc>
      </w:tr>
      <w:tr w14:paraId="30DF238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9671B23">
            <w:pPr>
              <w:shd w:val="clea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88D0B3">
            <w:pPr>
              <w:shd w:val="clea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BB4BB3">
            <w:pPr>
              <w:shd w:val="clea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5408B7">
            <w:pPr>
              <w:shd w:val="clear"/>
              <w:spacing w:line="360" w:lineRule="auto"/>
              <w:jc w:val="center"/>
              <w:rPr>
                <w:color w:val="auto"/>
                <w:szCs w:val="21"/>
                <w:highlight w:val="none"/>
              </w:rPr>
            </w:pPr>
          </w:p>
        </w:tc>
      </w:tr>
      <w:tr w14:paraId="047AD64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62E415">
            <w:pPr>
              <w:shd w:val="clea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D4E501">
            <w:pPr>
              <w:shd w:val="clea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621614">
            <w:pPr>
              <w:shd w:val="clea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F5D861">
            <w:pPr>
              <w:shd w:val="clear"/>
              <w:spacing w:line="360" w:lineRule="auto"/>
              <w:jc w:val="center"/>
              <w:rPr>
                <w:color w:val="auto"/>
                <w:szCs w:val="21"/>
                <w:highlight w:val="none"/>
              </w:rPr>
            </w:pPr>
          </w:p>
        </w:tc>
      </w:tr>
      <w:tr w14:paraId="0C49266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7B6836">
            <w:pPr>
              <w:shd w:val="clea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59DA93">
            <w:pPr>
              <w:shd w:val="clea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231617">
            <w:pPr>
              <w:shd w:val="clea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133E48">
            <w:pPr>
              <w:shd w:val="clear"/>
              <w:spacing w:line="360" w:lineRule="auto"/>
              <w:jc w:val="center"/>
              <w:rPr>
                <w:color w:val="auto"/>
                <w:szCs w:val="21"/>
                <w:highlight w:val="none"/>
              </w:rPr>
            </w:pPr>
          </w:p>
        </w:tc>
      </w:tr>
      <w:tr w14:paraId="1D5AF87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52F384">
            <w:pPr>
              <w:shd w:val="clea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254EE57">
            <w:pPr>
              <w:shd w:val="clea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483BED">
            <w:pPr>
              <w:shd w:val="clea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2FAF0B">
            <w:pPr>
              <w:shd w:val="clear"/>
              <w:spacing w:line="360" w:lineRule="auto"/>
              <w:jc w:val="center"/>
              <w:rPr>
                <w:color w:val="auto"/>
                <w:szCs w:val="21"/>
                <w:highlight w:val="none"/>
              </w:rPr>
            </w:pPr>
          </w:p>
        </w:tc>
      </w:tr>
    </w:tbl>
    <w:p w14:paraId="45FA9AF0">
      <w:pPr>
        <w:shd w:val="clear"/>
        <w:snapToGrid w:val="0"/>
        <w:spacing w:line="360" w:lineRule="auto"/>
        <w:jc w:val="left"/>
        <w:rPr>
          <w:color w:val="auto"/>
          <w:szCs w:val="21"/>
          <w:highlight w:val="none"/>
        </w:rPr>
      </w:pPr>
      <w:r>
        <w:rPr>
          <w:rFonts w:hint="eastAsia"/>
          <w:color w:val="auto"/>
          <w:szCs w:val="21"/>
          <w:highlight w:val="none"/>
        </w:rPr>
        <w:t>注：</w:t>
      </w:r>
    </w:p>
    <w:p w14:paraId="3A16C6E3">
      <w:pPr>
        <w:shd w:val="clea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16D8BE98">
      <w:pPr>
        <w:shd w:val="clea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141495AD">
      <w:pPr>
        <w:shd w:val="clea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74BEDA1F">
      <w:pPr>
        <w:shd w:val="clear"/>
        <w:snapToGrid w:val="0"/>
        <w:spacing w:line="360" w:lineRule="auto"/>
        <w:jc w:val="left"/>
        <w:rPr>
          <w:color w:val="auto"/>
          <w:szCs w:val="21"/>
          <w:highlight w:val="none"/>
        </w:rPr>
      </w:pPr>
    </w:p>
    <w:p w14:paraId="58C2D404">
      <w:pPr>
        <w:shd w:val="clear"/>
        <w:snapToGrid w:val="0"/>
        <w:spacing w:line="360" w:lineRule="auto"/>
        <w:jc w:val="left"/>
        <w:rPr>
          <w:color w:val="auto"/>
          <w:szCs w:val="21"/>
          <w:highlight w:val="none"/>
        </w:rPr>
      </w:pPr>
    </w:p>
    <w:p w14:paraId="454C87ED">
      <w:pPr>
        <w:shd w:val="clear"/>
        <w:snapToGrid w:val="0"/>
        <w:spacing w:line="360" w:lineRule="auto"/>
        <w:jc w:val="left"/>
        <w:rPr>
          <w:color w:val="auto"/>
          <w:szCs w:val="21"/>
          <w:highlight w:val="none"/>
        </w:rPr>
      </w:pPr>
    </w:p>
    <w:p w14:paraId="24076D36">
      <w:pPr>
        <w:shd w:val="clear"/>
        <w:snapToGrid w:val="0"/>
        <w:spacing w:line="360" w:lineRule="auto"/>
        <w:jc w:val="left"/>
        <w:rPr>
          <w:color w:val="auto"/>
          <w:szCs w:val="21"/>
          <w:highlight w:val="none"/>
        </w:rPr>
      </w:pPr>
    </w:p>
    <w:p w14:paraId="4BF5697D">
      <w:pPr>
        <w:shd w:val="clear"/>
        <w:snapToGrid w:val="0"/>
        <w:spacing w:line="360" w:lineRule="auto"/>
        <w:jc w:val="left"/>
        <w:rPr>
          <w:color w:val="auto"/>
          <w:szCs w:val="21"/>
          <w:highlight w:val="none"/>
        </w:rPr>
      </w:pPr>
    </w:p>
    <w:p w14:paraId="20DCB515">
      <w:pPr>
        <w:shd w:val="clear"/>
        <w:snapToGrid w:val="0"/>
        <w:spacing w:line="360" w:lineRule="auto"/>
        <w:jc w:val="left"/>
        <w:rPr>
          <w:color w:val="auto"/>
          <w:szCs w:val="21"/>
          <w:highlight w:val="none"/>
        </w:rPr>
      </w:pPr>
    </w:p>
    <w:p w14:paraId="4E1BA3D8">
      <w:pPr>
        <w:shd w:val="clear"/>
        <w:snapToGrid w:val="0"/>
        <w:spacing w:line="360" w:lineRule="auto"/>
        <w:jc w:val="left"/>
        <w:rPr>
          <w:color w:val="auto"/>
          <w:szCs w:val="21"/>
          <w:highlight w:val="none"/>
        </w:rPr>
      </w:pPr>
    </w:p>
    <w:p w14:paraId="15697EAC">
      <w:pPr>
        <w:shd w:val="clear"/>
        <w:snapToGrid w:val="0"/>
        <w:spacing w:line="360" w:lineRule="auto"/>
        <w:jc w:val="left"/>
        <w:rPr>
          <w:color w:val="auto"/>
          <w:szCs w:val="21"/>
          <w:highlight w:val="none"/>
        </w:rPr>
      </w:pPr>
    </w:p>
    <w:p w14:paraId="0B2D40DD">
      <w:pPr>
        <w:shd w:val="clea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621E107C">
      <w:pPr>
        <w:shd w:val="clea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366B59B6">
      <w:pPr>
        <w:pStyle w:val="27"/>
        <w:shd w:val="clear"/>
        <w:tabs>
          <w:tab w:val="left" w:pos="2127"/>
        </w:tabs>
        <w:spacing w:line="340" w:lineRule="exact"/>
        <w:rPr>
          <w:rFonts w:ascii="Times New Roman" w:hAnsi="Times New Roman" w:cs="Times New Roman"/>
          <w:color w:val="auto"/>
          <w:highlight w:val="none"/>
        </w:rPr>
      </w:pPr>
    </w:p>
    <w:p w14:paraId="4F5D6DD6">
      <w:pPr>
        <w:shd w:val="clear"/>
        <w:snapToGrid w:val="0"/>
        <w:spacing w:before="50" w:after="120" w:afterLines="50" w:line="440" w:lineRule="exact"/>
        <w:jc w:val="left"/>
        <w:rPr>
          <w:b/>
          <w:color w:val="auto"/>
          <w:szCs w:val="21"/>
          <w:highlight w:val="none"/>
        </w:rPr>
      </w:pPr>
      <w:r>
        <w:rPr>
          <w:color w:val="auto"/>
          <w:highlight w:val="none"/>
        </w:rPr>
        <w:br w:type="page"/>
      </w:r>
      <w:r>
        <w:rPr>
          <w:rFonts w:hint="eastAsia"/>
          <w:color w:val="auto"/>
          <w:highlight w:val="none"/>
        </w:rPr>
        <w:t>6</w:t>
      </w:r>
      <w:r>
        <w:rPr>
          <w:color w:val="auto"/>
          <w:szCs w:val="21"/>
          <w:highlight w:val="none"/>
        </w:rPr>
        <w:t>．</w:t>
      </w:r>
      <w:r>
        <w:rPr>
          <w:rFonts w:hint="eastAsia"/>
          <w:color w:val="auto"/>
          <w:szCs w:val="21"/>
          <w:highlight w:val="none"/>
        </w:rPr>
        <w:t>磋商</w:t>
      </w:r>
      <w:r>
        <w:rPr>
          <w:color w:val="auto"/>
          <w:szCs w:val="21"/>
          <w:highlight w:val="none"/>
        </w:rPr>
        <w:t>保证金缴纳证明</w:t>
      </w:r>
      <w:r>
        <w:rPr>
          <w:rFonts w:hint="eastAsia"/>
          <w:color w:val="auto"/>
          <w:szCs w:val="21"/>
          <w:highlight w:val="none"/>
        </w:rPr>
        <w:t>。</w:t>
      </w:r>
      <w:r>
        <w:rPr>
          <w:rFonts w:hint="eastAsia"/>
          <w:b/>
          <w:color w:val="auto"/>
          <w:szCs w:val="21"/>
          <w:highlight w:val="none"/>
        </w:rPr>
        <w:t>（如采购文件有要求时提供）</w:t>
      </w:r>
    </w:p>
    <w:p w14:paraId="4E4B98F6">
      <w:pPr>
        <w:shd w:val="clear"/>
        <w:snapToGrid w:val="0"/>
        <w:spacing w:before="50" w:after="120" w:afterLines="50" w:line="440" w:lineRule="exact"/>
        <w:jc w:val="left"/>
        <w:rPr>
          <w:color w:val="auto"/>
          <w:highlight w:val="none"/>
        </w:rPr>
      </w:pPr>
      <w:r>
        <w:rPr>
          <w:rFonts w:hint="eastAsia"/>
          <w:color w:val="auto"/>
          <w:highlight w:val="none"/>
        </w:rPr>
        <w:t>（1）以转账、电汇形式缴纳的，提供转账、电汇凭证扫描件或复印件（网银可提供截图）</w:t>
      </w:r>
      <w:r>
        <w:rPr>
          <w:color w:val="auto"/>
          <w:highlight w:val="none"/>
        </w:rPr>
        <w:t>加盖</w:t>
      </w:r>
      <w:r>
        <w:rPr>
          <w:color w:val="auto"/>
          <w:szCs w:val="21"/>
          <w:highlight w:val="none"/>
        </w:rPr>
        <w:t>供应商</w:t>
      </w:r>
      <w:r>
        <w:rPr>
          <w:rFonts w:hint="eastAsia"/>
          <w:color w:val="auto"/>
          <w:szCs w:val="21"/>
          <w:highlight w:val="none"/>
        </w:rPr>
        <w:t>电子签章</w:t>
      </w:r>
      <w:r>
        <w:rPr>
          <w:rFonts w:hint="eastAsia"/>
          <w:color w:val="auto"/>
          <w:highlight w:val="none"/>
        </w:rPr>
        <w:t>；</w:t>
      </w:r>
    </w:p>
    <w:p w14:paraId="4537F6A0">
      <w:pPr>
        <w:shd w:val="clear"/>
        <w:snapToGrid w:val="0"/>
        <w:spacing w:before="50" w:after="120" w:afterLines="50" w:line="440" w:lineRule="exact"/>
        <w:jc w:val="left"/>
        <w:rPr>
          <w:color w:val="auto"/>
          <w:highlight w:val="none"/>
        </w:rPr>
      </w:pPr>
      <w:r>
        <w:rPr>
          <w:rFonts w:hint="eastAsia"/>
          <w:color w:val="auto"/>
          <w:highlight w:val="none"/>
        </w:rPr>
        <w:t>（2）以支票、汇票、本票或金融机构、担保机构出具的保函等非现金形式缴纳的，提供原件扫描件或复印件并加盖供应商电子签章。响应保函参考如下格式开具：</w:t>
      </w:r>
    </w:p>
    <w:p w14:paraId="0EFD2920">
      <w:pPr>
        <w:shd w:val="clear"/>
        <w:spacing w:line="360" w:lineRule="auto"/>
        <w:jc w:val="center"/>
        <w:rPr>
          <w:b/>
          <w:bCs/>
          <w:color w:val="auto"/>
          <w:sz w:val="28"/>
          <w:szCs w:val="36"/>
          <w:highlight w:val="none"/>
        </w:rPr>
      </w:pPr>
    </w:p>
    <w:p w14:paraId="211F71AA">
      <w:pPr>
        <w:shd w:val="clear"/>
        <w:spacing w:line="360" w:lineRule="auto"/>
        <w:jc w:val="center"/>
        <w:rPr>
          <w:b/>
          <w:bCs/>
          <w:color w:val="auto"/>
          <w:sz w:val="28"/>
          <w:szCs w:val="36"/>
          <w:highlight w:val="none"/>
        </w:rPr>
      </w:pPr>
      <w:r>
        <w:rPr>
          <w:rFonts w:hint="eastAsia"/>
          <w:b/>
          <w:bCs/>
          <w:color w:val="auto"/>
          <w:sz w:val="28"/>
          <w:szCs w:val="36"/>
          <w:highlight w:val="none"/>
        </w:rPr>
        <w:t>响应保函格式</w:t>
      </w:r>
    </w:p>
    <w:p w14:paraId="4E5853B5">
      <w:pPr>
        <w:shd w:val="clear"/>
        <w:snapToGrid w:val="0"/>
        <w:spacing w:before="50" w:after="120" w:afterLines="50"/>
        <w:jc w:val="left"/>
        <w:rPr>
          <w:color w:val="auto"/>
          <w:highlight w:val="none"/>
        </w:rPr>
      </w:pPr>
      <w:r>
        <w:rPr>
          <w:rFonts w:hint="eastAsia"/>
          <w:color w:val="auto"/>
          <w:highlight w:val="none"/>
        </w:rPr>
        <w:t xml:space="preserve">编号：           </w:t>
      </w:r>
    </w:p>
    <w:p w14:paraId="2D903580">
      <w:pPr>
        <w:shd w:val="clear"/>
        <w:snapToGrid w:val="0"/>
        <w:spacing w:before="50" w:after="120" w:afterLines="50"/>
        <w:jc w:val="left"/>
        <w:rPr>
          <w:color w:val="auto"/>
          <w:highlight w:val="none"/>
        </w:rPr>
      </w:pPr>
      <w:r>
        <w:rPr>
          <w:rFonts w:hint="eastAsia"/>
          <w:color w:val="auto"/>
          <w:highlight w:val="none"/>
        </w:rPr>
        <w:t>申请人：</w:t>
      </w:r>
    </w:p>
    <w:p w14:paraId="106134D0">
      <w:pPr>
        <w:shd w:val="clear"/>
        <w:snapToGrid w:val="0"/>
        <w:spacing w:before="50" w:after="120" w:afterLines="50"/>
        <w:jc w:val="left"/>
        <w:rPr>
          <w:color w:val="auto"/>
          <w:highlight w:val="none"/>
        </w:rPr>
      </w:pPr>
      <w:r>
        <w:rPr>
          <w:rFonts w:hint="eastAsia"/>
          <w:color w:val="auto"/>
          <w:highlight w:val="none"/>
        </w:rPr>
        <w:t>地址：</w:t>
      </w:r>
    </w:p>
    <w:p w14:paraId="7C33C3B6">
      <w:pPr>
        <w:shd w:val="clear"/>
        <w:snapToGrid w:val="0"/>
        <w:spacing w:before="50" w:after="120" w:afterLines="50"/>
        <w:jc w:val="left"/>
        <w:rPr>
          <w:color w:val="auto"/>
          <w:highlight w:val="none"/>
        </w:rPr>
      </w:pPr>
      <w:r>
        <w:rPr>
          <w:rFonts w:hint="eastAsia"/>
          <w:color w:val="auto"/>
          <w:highlight w:val="none"/>
        </w:rPr>
        <w:t xml:space="preserve">受益人：广西机电设备招标有限公司 </w:t>
      </w:r>
    </w:p>
    <w:p w14:paraId="68E80723">
      <w:pPr>
        <w:shd w:val="clear"/>
        <w:snapToGrid w:val="0"/>
        <w:spacing w:before="50" w:after="120" w:afterLines="50"/>
        <w:jc w:val="left"/>
        <w:rPr>
          <w:color w:val="auto"/>
          <w:highlight w:val="none"/>
        </w:rPr>
      </w:pPr>
      <w:r>
        <w:rPr>
          <w:rFonts w:hint="eastAsia"/>
          <w:color w:val="auto"/>
          <w:highlight w:val="none"/>
        </w:rPr>
        <w:t>地址：</w:t>
      </w:r>
    </w:p>
    <w:p w14:paraId="2866CAD1">
      <w:pPr>
        <w:shd w:val="clear"/>
        <w:snapToGrid w:val="0"/>
        <w:spacing w:before="50" w:after="120" w:afterLines="50"/>
        <w:jc w:val="left"/>
        <w:rPr>
          <w:color w:val="auto"/>
          <w:highlight w:val="none"/>
        </w:rPr>
      </w:pPr>
      <w:r>
        <w:rPr>
          <w:rFonts w:hint="eastAsia"/>
          <w:color w:val="auto"/>
          <w:highlight w:val="none"/>
        </w:rPr>
        <w:t>开立人：</w:t>
      </w:r>
    </w:p>
    <w:p w14:paraId="0A7F8C7F">
      <w:pPr>
        <w:shd w:val="clear"/>
        <w:snapToGrid w:val="0"/>
        <w:spacing w:before="50" w:after="120" w:afterLines="50"/>
        <w:jc w:val="left"/>
        <w:rPr>
          <w:color w:val="auto"/>
          <w:highlight w:val="none"/>
        </w:rPr>
      </w:pPr>
      <w:r>
        <w:rPr>
          <w:rFonts w:hint="eastAsia"/>
          <w:color w:val="auto"/>
          <w:highlight w:val="none"/>
        </w:rPr>
        <w:t>地址：</w:t>
      </w:r>
    </w:p>
    <w:p w14:paraId="5A3D8C12">
      <w:pPr>
        <w:shd w:val="clear"/>
        <w:snapToGrid w:val="0"/>
        <w:spacing w:before="50" w:after="120" w:afterLines="50" w:line="440" w:lineRule="exact"/>
        <w:jc w:val="left"/>
        <w:rPr>
          <w:color w:val="auto"/>
          <w:highlight w:val="none"/>
        </w:rPr>
      </w:pPr>
    </w:p>
    <w:p w14:paraId="063387A1">
      <w:pPr>
        <w:shd w:val="clear"/>
        <w:snapToGrid w:val="0"/>
        <w:spacing w:before="50" w:after="120" w:afterLines="50" w:line="276" w:lineRule="auto"/>
        <w:jc w:val="left"/>
        <w:rPr>
          <w:color w:val="auto"/>
          <w:highlight w:val="none"/>
        </w:rPr>
      </w:pPr>
      <w:r>
        <w:rPr>
          <w:rFonts w:hint="eastAsia"/>
          <w:color w:val="auto"/>
          <w:highlight w:val="none"/>
        </w:rPr>
        <w:t>致：广西机电设备招标有限公司</w:t>
      </w:r>
    </w:p>
    <w:p w14:paraId="01E6CCFC">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我方（即“开立人”）已获得通知，本保函申请人（即“供应商”）已响应贵方于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 日就 </w:t>
      </w:r>
      <w:r>
        <w:rPr>
          <w:rFonts w:hint="eastAsia"/>
          <w:color w:val="auto"/>
          <w:highlight w:val="none"/>
          <w:u w:val="single"/>
        </w:rPr>
        <w:t xml:space="preserve">                                          </w:t>
      </w:r>
      <w:r>
        <w:rPr>
          <w:rFonts w:hint="eastAsia"/>
          <w:color w:val="auto"/>
          <w:highlight w:val="none"/>
        </w:rPr>
        <w:t>（以下简称“本项目”）发出的招标文件，并已向采购代理机构（即“受益人”）提交了投标文件。</w:t>
      </w:r>
    </w:p>
    <w:p w14:paraId="0E529A72">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color w:val="auto"/>
          <w:highlight w:val="none"/>
          <w:u w:val="single"/>
        </w:rPr>
        <w:t xml:space="preserve">                            </w:t>
      </w:r>
      <w:r>
        <w:rPr>
          <w:rFonts w:hint="eastAsia"/>
          <w:color w:val="auto"/>
          <w:highlight w:val="none"/>
        </w:rPr>
        <w:t>元（¥</w:t>
      </w:r>
      <w:r>
        <w:rPr>
          <w:rFonts w:hint="eastAsia"/>
          <w:color w:val="auto"/>
          <w:highlight w:val="none"/>
          <w:u w:val="single"/>
        </w:rPr>
        <w:t xml:space="preserve">                         </w:t>
      </w:r>
      <w:r>
        <w:rPr>
          <w:rFonts w:hint="eastAsia"/>
          <w:color w:val="auto"/>
          <w:highlight w:val="none"/>
        </w:rPr>
        <w:t>）。</w:t>
      </w:r>
    </w:p>
    <w:p w14:paraId="11FBB20E">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二、我方在供应商发生以下情形时承担保证担保责任： </w:t>
      </w:r>
    </w:p>
    <w:p w14:paraId="7FEA74C3">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 xml:space="preserve">（1）投标人在开标后和投标有效期满之前撤销投标文件的； </w:t>
      </w:r>
    </w:p>
    <w:p w14:paraId="608E4716">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 xml:space="preserve">（2）投标人在收到中标通知书后，不能或拒绝按招标文件规定的时间内与采购人签订合同； </w:t>
      </w:r>
    </w:p>
    <w:p w14:paraId="4D4A06B6">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（3）投标人在与采购人签订合同后，未在规定的时间内提交符合招标文件要求的履约担保；</w:t>
      </w:r>
    </w:p>
    <w:p w14:paraId="2BF0474A">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（4）投标人在中标通知书发出之日起5个工作日内，未缴纳本项目代理服务费的；</w:t>
      </w:r>
    </w:p>
    <w:p w14:paraId="3BEBAD30">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（5）投标人违反招标文件规定的其他情形。</w:t>
      </w:r>
    </w:p>
    <w:p w14:paraId="5B5FD2F7">
      <w:pPr>
        <w:shd w:val="clear"/>
        <w:snapToGrid w:val="0"/>
        <w:spacing w:before="50" w:after="120" w:afterLines="50" w:line="276" w:lineRule="auto"/>
        <w:ind w:firstLine="210" w:firstLineChars="100"/>
        <w:jc w:val="left"/>
        <w:rPr>
          <w:color w:val="auto"/>
          <w:highlight w:val="none"/>
        </w:rPr>
      </w:pPr>
      <w:r>
        <w:rPr>
          <w:rFonts w:hint="eastAsia"/>
          <w:color w:val="auto"/>
          <w:highlight w:val="none"/>
        </w:rPr>
        <w:t xml:space="preserve">    三、本保函为不可撤销、不可转让的见索即付独立保函。本保函有效期自开立之日起至投标有效期届满之日后的</w:t>
      </w:r>
      <w:r>
        <w:rPr>
          <w:rFonts w:hint="eastAsia"/>
          <w:color w:val="auto"/>
          <w:highlight w:val="none"/>
          <w:u w:val="single"/>
        </w:rPr>
        <w:t xml:space="preserve">  28  </w:t>
      </w:r>
      <w:r>
        <w:rPr>
          <w:rFonts w:hint="eastAsia"/>
          <w:color w:val="auto"/>
          <w:highlight w:val="none"/>
        </w:rPr>
        <w:t>日。投标有效期延长的，本保函有效期相应顺延。</w:t>
      </w:r>
    </w:p>
    <w:p w14:paraId="062D4758">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四、我方承诺，在收到受益人发来的书面付款通知后的</w:t>
      </w:r>
      <w:r>
        <w:rPr>
          <w:rFonts w:hint="eastAsia"/>
          <w:color w:val="auto"/>
          <w:highlight w:val="none"/>
          <w:u w:val="single"/>
        </w:rPr>
        <w:t xml:space="preserve">   5    </w:t>
      </w:r>
      <w:r>
        <w:rPr>
          <w:rFonts w:hint="eastAsia"/>
          <w:color w:val="auto"/>
          <w:highlight w:val="none"/>
        </w:rPr>
        <w:t>日内无条件支付，前述书面付款通知即为付款要求之单据，且应满足以下要求：</w:t>
      </w:r>
    </w:p>
    <w:p w14:paraId="1216A6E1">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（1）付款通知到达的日期在本保函的有效期内；</w:t>
      </w:r>
    </w:p>
    <w:p w14:paraId="0A0CCA27">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（2）载明要求支付的金额；</w:t>
      </w:r>
    </w:p>
    <w:p w14:paraId="27B3E76D">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（3）载明申请人违反采购文件规定的义务内容和具体条款；</w:t>
      </w:r>
    </w:p>
    <w:p w14:paraId="3BC20F59">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（4）声明不存在采购文件规定或我国法律规定免除申请人或我方支付责任的情形；</w:t>
      </w:r>
    </w:p>
    <w:p w14:paraId="1ED39F80">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（5）书面付款通知应在本保函有效期内到达的地址是：</w:t>
      </w:r>
      <w:r>
        <w:rPr>
          <w:rFonts w:hint="eastAsia"/>
          <w:color w:val="auto"/>
          <w:highlight w:val="none"/>
          <w:u w:val="single"/>
        </w:rPr>
        <w:t xml:space="preserve">                                     </w:t>
      </w:r>
      <w:r>
        <w:rPr>
          <w:rFonts w:hint="eastAsia"/>
          <w:color w:val="auto"/>
          <w:highlight w:val="none"/>
        </w:rPr>
        <w:t>。</w:t>
      </w:r>
    </w:p>
    <w:p w14:paraId="379AC6FE">
      <w:pPr>
        <w:shd w:val="clear"/>
        <w:snapToGrid w:val="0"/>
        <w:spacing w:before="50" w:after="120" w:afterLines="50" w:line="276" w:lineRule="auto"/>
        <w:jc w:val="left"/>
        <w:rPr>
          <w:color w:val="auto"/>
          <w:highlight w:val="none"/>
        </w:rPr>
      </w:pPr>
      <w:r>
        <w:rPr>
          <w:rFonts w:hint="eastAsia"/>
          <w:color w:val="auto"/>
          <w:highlight w:val="none"/>
        </w:rPr>
        <w:t xml:space="preserve">        受益人发出的书面付款通知应由其为鉴明受益人法定代表人（负责人）或授权代理人签字并加盖公章。</w:t>
      </w:r>
    </w:p>
    <w:p w14:paraId="47D0E1C7">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五、本保函项下的权利不得转让，不得设定担保。贵方未经我方书面同意转让本保函或其项下任何权利，对我方不发生法律效力。 </w:t>
      </w:r>
    </w:p>
    <w:p w14:paraId="33727186">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六、本保函项下的基础交易不成立、不生效、无效、被撤销、被解除，不影响本保函的独立有效。 </w:t>
      </w:r>
    </w:p>
    <w:p w14:paraId="487A008A">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0B738654">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八、本保函适用的法律为中华人民共和国法律，争议裁判管辖地为中华人民共和国。 </w:t>
      </w:r>
    </w:p>
    <w:p w14:paraId="69F4EFF9">
      <w:pPr>
        <w:shd w:val="clear"/>
        <w:snapToGrid w:val="0"/>
        <w:spacing w:before="50" w:after="120" w:afterLines="50" w:line="276" w:lineRule="auto"/>
        <w:ind w:firstLine="420" w:firstLineChars="200"/>
        <w:jc w:val="left"/>
        <w:rPr>
          <w:color w:val="auto"/>
          <w:highlight w:val="none"/>
        </w:rPr>
      </w:pPr>
      <w:r>
        <w:rPr>
          <w:rFonts w:hint="eastAsia"/>
          <w:color w:val="auto"/>
          <w:highlight w:val="none"/>
        </w:rPr>
        <w:t xml:space="preserve">九、本保函自我方法定代表人或授权代表签字并加盖公章之日起生效。 </w:t>
      </w:r>
    </w:p>
    <w:p w14:paraId="74A70AC8">
      <w:pPr>
        <w:shd w:val="clear"/>
        <w:snapToGrid w:val="0"/>
        <w:spacing w:before="50" w:after="120" w:afterLines="50" w:line="276" w:lineRule="auto"/>
        <w:jc w:val="left"/>
        <w:rPr>
          <w:color w:val="auto"/>
          <w:highlight w:val="none"/>
        </w:rPr>
      </w:pPr>
    </w:p>
    <w:p w14:paraId="47558701">
      <w:pPr>
        <w:shd w:val="clear"/>
        <w:snapToGrid w:val="0"/>
        <w:spacing w:before="50" w:after="120" w:afterLines="50" w:line="276" w:lineRule="auto"/>
        <w:jc w:val="left"/>
        <w:rPr>
          <w:color w:val="auto"/>
          <w:highlight w:val="none"/>
        </w:rPr>
      </w:pPr>
      <w:r>
        <w:rPr>
          <w:rFonts w:hint="eastAsia"/>
          <w:color w:val="auto"/>
          <w:highlight w:val="none"/>
        </w:rPr>
        <w:t xml:space="preserve">开 立 人：                                                  （公章） </w:t>
      </w:r>
    </w:p>
    <w:p w14:paraId="3728FE04">
      <w:pPr>
        <w:shd w:val="clear"/>
        <w:snapToGrid w:val="0"/>
        <w:spacing w:before="50" w:after="120" w:afterLines="50" w:line="276" w:lineRule="auto"/>
        <w:jc w:val="left"/>
        <w:rPr>
          <w:color w:val="auto"/>
          <w:highlight w:val="none"/>
        </w:rPr>
      </w:pPr>
      <w:r>
        <w:rPr>
          <w:rFonts w:hint="eastAsia"/>
          <w:color w:val="auto"/>
          <w:highlight w:val="none"/>
        </w:rPr>
        <w:t xml:space="preserve">法定代表人（或授权代表） ：               （签字） </w:t>
      </w:r>
    </w:p>
    <w:p w14:paraId="3AA5B253">
      <w:pPr>
        <w:shd w:val="clear"/>
        <w:snapToGrid w:val="0"/>
        <w:spacing w:before="50" w:after="120" w:afterLines="50" w:line="276" w:lineRule="auto"/>
        <w:jc w:val="left"/>
        <w:rPr>
          <w:color w:val="auto"/>
          <w:highlight w:val="none"/>
        </w:rPr>
      </w:pPr>
      <w:r>
        <w:rPr>
          <w:rFonts w:hint="eastAsia"/>
          <w:color w:val="auto"/>
          <w:highlight w:val="none"/>
        </w:rPr>
        <w:t xml:space="preserve">地    址：                                       </w:t>
      </w:r>
    </w:p>
    <w:p w14:paraId="01B6EFF3">
      <w:pPr>
        <w:shd w:val="clear"/>
        <w:snapToGrid w:val="0"/>
        <w:spacing w:before="50" w:after="120" w:afterLines="50" w:line="276" w:lineRule="auto"/>
        <w:jc w:val="left"/>
        <w:rPr>
          <w:color w:val="auto"/>
          <w:highlight w:val="none"/>
        </w:rPr>
      </w:pPr>
      <w:r>
        <w:rPr>
          <w:rFonts w:hint="eastAsia"/>
          <w:color w:val="auto"/>
          <w:highlight w:val="none"/>
        </w:rPr>
        <w:t xml:space="preserve">邮政编码：                 </w:t>
      </w:r>
    </w:p>
    <w:p w14:paraId="621FEFED">
      <w:pPr>
        <w:shd w:val="clear"/>
        <w:snapToGrid w:val="0"/>
        <w:spacing w:before="50" w:after="120" w:afterLines="50" w:line="276" w:lineRule="auto"/>
        <w:jc w:val="left"/>
        <w:rPr>
          <w:color w:val="auto"/>
          <w:highlight w:val="none"/>
        </w:rPr>
      </w:pPr>
      <w:r>
        <w:rPr>
          <w:rFonts w:hint="eastAsia"/>
          <w:color w:val="auto"/>
          <w:highlight w:val="none"/>
        </w:rPr>
        <w:t xml:space="preserve">电    话：                 </w:t>
      </w:r>
    </w:p>
    <w:p w14:paraId="7E444F35">
      <w:pPr>
        <w:shd w:val="clear"/>
        <w:snapToGrid w:val="0"/>
        <w:spacing w:before="50" w:after="120" w:afterLines="50" w:line="276" w:lineRule="auto"/>
        <w:jc w:val="left"/>
        <w:rPr>
          <w:color w:val="auto"/>
          <w:highlight w:val="none"/>
        </w:rPr>
      </w:pPr>
      <w:r>
        <w:rPr>
          <w:rFonts w:hint="eastAsia"/>
          <w:color w:val="auto"/>
          <w:highlight w:val="none"/>
        </w:rPr>
        <w:t xml:space="preserve">传    真：                 </w:t>
      </w:r>
    </w:p>
    <w:p w14:paraId="1D9F9B9E">
      <w:pPr>
        <w:shd w:val="clear"/>
        <w:snapToGrid w:val="0"/>
        <w:spacing w:before="50" w:after="120" w:afterLines="50" w:line="276" w:lineRule="auto"/>
        <w:jc w:val="left"/>
        <w:rPr>
          <w:color w:val="auto"/>
          <w:highlight w:val="none"/>
        </w:rPr>
      </w:pPr>
      <w:r>
        <w:rPr>
          <w:rFonts w:hint="eastAsia"/>
          <w:color w:val="auto"/>
          <w:highlight w:val="none"/>
        </w:rPr>
        <w:t>开立时间：      年       月        日</w:t>
      </w:r>
    </w:p>
    <w:p w14:paraId="0F21BD84">
      <w:pPr>
        <w:shd w:val="clear"/>
        <w:snapToGrid w:val="0"/>
        <w:spacing w:before="50" w:after="120" w:afterLines="50" w:line="440" w:lineRule="exact"/>
        <w:jc w:val="left"/>
        <w:rPr>
          <w:color w:val="auto"/>
          <w:highlight w:val="none"/>
        </w:rPr>
      </w:pPr>
      <w:r>
        <w:rPr>
          <w:color w:val="auto"/>
          <w:highlight w:val="none"/>
        </w:rPr>
        <w:br w:type="page"/>
      </w:r>
      <w:r>
        <w:rPr>
          <w:rFonts w:hint="eastAsia"/>
          <w:color w:val="auto"/>
          <w:highlight w:val="none"/>
        </w:rPr>
        <w:t>7</w:t>
      </w:r>
      <w:r>
        <w:rPr>
          <w:color w:val="auto"/>
          <w:szCs w:val="21"/>
          <w:highlight w:val="none"/>
        </w:rPr>
        <w:t>．供应商认为应当要提交的资格证明材料。</w:t>
      </w:r>
    </w:p>
    <w:p w14:paraId="1C701E83">
      <w:pPr>
        <w:shd w:val="clear"/>
        <w:spacing w:line="276" w:lineRule="auto"/>
        <w:rPr>
          <w:color w:val="auto"/>
          <w:szCs w:val="21"/>
          <w:highlight w:val="none"/>
        </w:rPr>
      </w:pPr>
    </w:p>
    <w:p w14:paraId="144F4BDA">
      <w:pPr>
        <w:pStyle w:val="7"/>
        <w:shd w:val="clear"/>
        <w:overflowPunct w:val="0"/>
        <w:ind w:firstLine="0"/>
        <w:rPr>
          <w:color w:val="auto"/>
          <w:highlight w:val="none"/>
        </w:rPr>
      </w:pPr>
    </w:p>
    <w:p w14:paraId="411DAFE1">
      <w:pPr>
        <w:shd w:val="clear"/>
        <w:snapToGrid w:val="0"/>
        <w:spacing w:before="50" w:after="120" w:afterLines="50" w:line="400" w:lineRule="exact"/>
        <w:jc w:val="left"/>
        <w:rPr>
          <w:bCs/>
          <w:color w:val="auto"/>
          <w:sz w:val="24"/>
          <w:highlight w:val="none"/>
        </w:rPr>
      </w:pPr>
    </w:p>
    <w:p w14:paraId="2AF121BB">
      <w:pPr>
        <w:shd w:val="clear"/>
        <w:snapToGrid w:val="0"/>
        <w:spacing w:before="120" w:beforeLines="50" w:after="50" w:line="440" w:lineRule="exact"/>
        <w:jc w:val="left"/>
        <w:outlineLvl w:val="1"/>
        <w:rPr>
          <w:b/>
          <w:color w:val="auto"/>
          <w:sz w:val="24"/>
          <w:highlight w:val="none"/>
        </w:rPr>
      </w:pPr>
      <w:r>
        <w:rPr>
          <w:color w:val="auto"/>
          <w:highlight w:val="none"/>
        </w:rPr>
        <w:br w:type="page"/>
      </w:r>
      <w:r>
        <w:rPr>
          <w:rFonts w:hint="eastAsia"/>
          <w:color w:val="auto"/>
          <w:sz w:val="24"/>
          <w:highlight w:val="none"/>
        </w:rPr>
        <w:t>2</w:t>
      </w:r>
      <w:r>
        <w:rPr>
          <w:color w:val="auto"/>
          <w:sz w:val="24"/>
          <w:highlight w:val="none"/>
        </w:rPr>
        <w:t>.</w:t>
      </w:r>
      <w:r>
        <w:rPr>
          <w:rFonts w:hint="eastAsia" w:ascii="宋体" w:hAnsi="宋体"/>
          <w:color w:val="auto"/>
          <w:sz w:val="24"/>
          <w:highlight w:val="none"/>
        </w:rPr>
        <w:t xml:space="preserve">响应文件封面参考格式（商务技术文件）： </w:t>
      </w:r>
    </w:p>
    <w:p w14:paraId="7FA7D859">
      <w:pPr>
        <w:shd w:val="clear"/>
        <w:snapToGrid w:val="0"/>
        <w:spacing w:before="120" w:beforeLines="50" w:after="50" w:line="360" w:lineRule="exact"/>
        <w:rPr>
          <w:color w:val="auto"/>
          <w:sz w:val="24"/>
          <w:highlight w:val="none"/>
        </w:rPr>
      </w:pPr>
    </w:p>
    <w:p w14:paraId="6523D13B">
      <w:pPr>
        <w:shd w:val="clear"/>
        <w:snapToGrid w:val="0"/>
        <w:spacing w:before="120" w:beforeLines="50" w:after="50" w:line="360" w:lineRule="exact"/>
        <w:jc w:val="right"/>
        <w:rPr>
          <w:color w:val="auto"/>
          <w:sz w:val="24"/>
          <w:highlight w:val="none"/>
        </w:rPr>
      </w:pPr>
    </w:p>
    <w:p w14:paraId="2A1EAADD">
      <w:pPr>
        <w:shd w:val="clear"/>
        <w:snapToGrid w:val="0"/>
        <w:spacing w:before="120" w:beforeLines="50" w:after="50" w:line="360" w:lineRule="exact"/>
        <w:jc w:val="center"/>
        <w:rPr>
          <w:color w:val="auto"/>
          <w:sz w:val="24"/>
          <w:highlight w:val="none"/>
        </w:rPr>
      </w:pPr>
      <w:r>
        <w:rPr>
          <w:rFonts w:hint="eastAsia" w:ascii="宋体" w:hAnsi="宋体"/>
          <w:b/>
          <w:color w:val="auto"/>
          <w:sz w:val="44"/>
          <w:highlight w:val="none"/>
        </w:rPr>
        <w:t>电子响应文件</w:t>
      </w:r>
    </w:p>
    <w:p w14:paraId="758D9F5F">
      <w:pPr>
        <w:shd w:val="clear"/>
        <w:snapToGrid w:val="0"/>
        <w:spacing w:before="120" w:beforeLines="50" w:after="50" w:line="360" w:lineRule="exact"/>
        <w:jc w:val="center"/>
        <w:rPr>
          <w:b/>
          <w:color w:val="auto"/>
          <w:sz w:val="44"/>
          <w:highlight w:val="none"/>
        </w:rPr>
      </w:pPr>
    </w:p>
    <w:p w14:paraId="5527FD77">
      <w:pPr>
        <w:shd w:val="clear"/>
        <w:snapToGrid w:val="0"/>
        <w:spacing w:before="120" w:beforeLines="50" w:after="50" w:line="360" w:lineRule="exact"/>
        <w:jc w:val="center"/>
        <w:rPr>
          <w:b/>
          <w:color w:val="auto"/>
          <w:sz w:val="44"/>
          <w:highlight w:val="none"/>
        </w:rPr>
      </w:pPr>
    </w:p>
    <w:p w14:paraId="7A33A51B">
      <w:pPr>
        <w:shd w:val="clear"/>
        <w:snapToGrid w:val="0"/>
        <w:spacing w:before="120" w:beforeLines="50" w:after="50" w:line="360" w:lineRule="exact"/>
        <w:jc w:val="center"/>
        <w:rPr>
          <w:b/>
          <w:color w:val="auto"/>
          <w:sz w:val="44"/>
          <w:highlight w:val="none"/>
        </w:rPr>
      </w:pPr>
      <w:r>
        <w:rPr>
          <w:rFonts w:hint="eastAsia"/>
          <w:b/>
          <w:color w:val="auto"/>
          <w:sz w:val="44"/>
          <w:highlight w:val="none"/>
        </w:rPr>
        <w:t>商务技术文件</w:t>
      </w:r>
    </w:p>
    <w:p w14:paraId="2A51E5B6">
      <w:pPr>
        <w:shd w:val="clear"/>
        <w:snapToGrid w:val="0"/>
        <w:spacing w:before="120" w:beforeLines="50" w:after="50" w:line="360" w:lineRule="exact"/>
        <w:jc w:val="center"/>
        <w:rPr>
          <w:b/>
          <w:color w:val="auto"/>
          <w:sz w:val="44"/>
          <w:highlight w:val="none"/>
        </w:rPr>
      </w:pPr>
    </w:p>
    <w:p w14:paraId="22E635FC">
      <w:pPr>
        <w:shd w:val="clear"/>
        <w:snapToGrid w:val="0"/>
        <w:spacing w:before="120" w:beforeLines="50" w:after="50" w:line="360" w:lineRule="exact"/>
        <w:rPr>
          <w:color w:val="auto"/>
          <w:sz w:val="24"/>
          <w:highlight w:val="none"/>
        </w:rPr>
      </w:pPr>
    </w:p>
    <w:p w14:paraId="74B1C73B">
      <w:pPr>
        <w:shd w:val="clear"/>
        <w:snapToGrid w:val="0"/>
        <w:spacing w:before="120" w:beforeLines="50" w:after="50" w:line="360" w:lineRule="exact"/>
        <w:ind w:firstLine="720" w:firstLineChars="300"/>
        <w:rPr>
          <w:color w:val="auto"/>
          <w:sz w:val="24"/>
          <w:highlight w:val="none"/>
        </w:rPr>
      </w:pPr>
      <w:r>
        <w:rPr>
          <w:rFonts w:hint="eastAsia"/>
          <w:color w:val="auto"/>
          <w:sz w:val="24"/>
          <w:highlight w:val="none"/>
        </w:rPr>
        <w:t xml:space="preserve">项目名称： </w:t>
      </w:r>
    </w:p>
    <w:p w14:paraId="63351599">
      <w:pPr>
        <w:shd w:val="clear"/>
        <w:snapToGrid w:val="0"/>
        <w:spacing w:before="120" w:beforeLines="50" w:after="50" w:line="360" w:lineRule="exact"/>
        <w:ind w:firstLine="720" w:firstLineChars="300"/>
        <w:rPr>
          <w:color w:val="auto"/>
          <w:sz w:val="24"/>
          <w:highlight w:val="none"/>
        </w:rPr>
      </w:pPr>
      <w:r>
        <w:rPr>
          <w:rFonts w:hint="eastAsia"/>
          <w:color w:val="auto"/>
          <w:sz w:val="24"/>
          <w:highlight w:val="none"/>
        </w:rPr>
        <w:t>项目编号：</w:t>
      </w:r>
    </w:p>
    <w:p w14:paraId="068A6F78">
      <w:pPr>
        <w:shd w:val="clear"/>
        <w:snapToGrid w:val="0"/>
        <w:spacing w:before="120" w:beforeLines="50" w:after="50" w:line="440" w:lineRule="exact"/>
        <w:ind w:firstLine="720" w:firstLineChars="300"/>
        <w:rPr>
          <w:color w:val="auto"/>
          <w:sz w:val="24"/>
          <w:highlight w:val="none"/>
        </w:rPr>
      </w:pPr>
      <w:r>
        <w:rPr>
          <w:rFonts w:hint="eastAsia"/>
          <w:color w:val="auto"/>
          <w:sz w:val="24"/>
          <w:highlight w:val="none"/>
        </w:rPr>
        <w:t>分标号：（若无留空或写</w:t>
      </w:r>
      <w:r>
        <w:rPr>
          <w:color w:val="auto"/>
          <w:sz w:val="24"/>
          <w:highlight w:val="none"/>
        </w:rPr>
        <w:t>“/”</w:t>
      </w:r>
      <w:r>
        <w:rPr>
          <w:rFonts w:hint="eastAsia"/>
          <w:color w:val="auto"/>
          <w:sz w:val="24"/>
          <w:highlight w:val="none"/>
        </w:rPr>
        <w:t>）</w:t>
      </w:r>
    </w:p>
    <w:p w14:paraId="07E2FCC1">
      <w:pPr>
        <w:shd w:val="clea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供应商名称：</w:t>
      </w:r>
    </w:p>
    <w:p w14:paraId="2A072765">
      <w:pPr>
        <w:shd w:val="clea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供应商地址：</w:t>
      </w:r>
    </w:p>
    <w:p w14:paraId="6F7F18C4">
      <w:pPr>
        <w:pStyle w:val="7"/>
        <w:shd w:val="clear"/>
        <w:snapToGrid w:val="0"/>
        <w:spacing w:before="50" w:after="50" w:line="360" w:lineRule="exact"/>
        <w:ind w:firstLine="960" w:firstLineChars="400"/>
        <w:rPr>
          <w:color w:val="auto"/>
          <w:sz w:val="24"/>
          <w:szCs w:val="24"/>
          <w:highlight w:val="none"/>
        </w:rPr>
      </w:pPr>
    </w:p>
    <w:p w14:paraId="79E6178D">
      <w:pPr>
        <w:shd w:val="clear"/>
        <w:snapToGrid w:val="0"/>
        <w:spacing w:before="120" w:beforeLines="50" w:after="50" w:line="360" w:lineRule="exact"/>
        <w:jc w:val="center"/>
        <w:rPr>
          <w:color w:val="auto"/>
          <w:sz w:val="24"/>
          <w:highlight w:val="none"/>
        </w:rPr>
      </w:pPr>
      <w:r>
        <w:rPr>
          <w:color w:val="auto"/>
          <w:sz w:val="24"/>
          <w:highlight w:val="none"/>
        </w:rPr>
        <w:t xml:space="preserve">                        </w:t>
      </w:r>
      <w:r>
        <w:rPr>
          <w:rFonts w:hint="eastAsia"/>
          <w:color w:val="auto"/>
          <w:sz w:val="24"/>
          <w:highlight w:val="none"/>
        </w:rPr>
        <w:t>年  月  日</w:t>
      </w:r>
    </w:p>
    <w:p w14:paraId="0B228246">
      <w:pPr>
        <w:shd w:val="clear"/>
        <w:snapToGrid w:val="0"/>
        <w:spacing w:before="120" w:beforeLines="50" w:after="50" w:line="440" w:lineRule="exact"/>
        <w:jc w:val="center"/>
        <w:outlineLvl w:val="1"/>
        <w:rPr>
          <w:bCs/>
          <w:color w:val="auto"/>
          <w:sz w:val="24"/>
          <w:highlight w:val="none"/>
        </w:rPr>
        <w:sectPr>
          <w:headerReference r:id="rId16" w:type="default"/>
          <w:footerReference r:id="rId17" w:type="default"/>
          <w:pgSz w:w="11906" w:h="16838"/>
          <w:pgMar w:top="1418" w:right="1274" w:bottom="1418" w:left="1418" w:header="851" w:footer="992" w:gutter="0"/>
          <w:cols w:space="720" w:num="1"/>
          <w:docGrid w:linePitch="312" w:charSpace="0"/>
        </w:sectPr>
      </w:pPr>
    </w:p>
    <w:p w14:paraId="45EC6942">
      <w:pPr>
        <w:shd w:val="clear"/>
        <w:snapToGrid w:val="0"/>
        <w:spacing w:before="120" w:beforeLines="50" w:after="50" w:line="440" w:lineRule="exact"/>
        <w:jc w:val="center"/>
        <w:rPr>
          <w:b/>
          <w:bCs/>
          <w:color w:val="auto"/>
          <w:sz w:val="24"/>
          <w:highlight w:val="none"/>
        </w:rPr>
      </w:pPr>
    </w:p>
    <w:p w14:paraId="198EDACD">
      <w:pPr>
        <w:shd w:val="clear"/>
        <w:snapToGrid w:val="0"/>
        <w:spacing w:before="120" w:beforeLines="50" w:after="50" w:line="440" w:lineRule="exact"/>
        <w:jc w:val="center"/>
        <w:rPr>
          <w:color w:val="auto"/>
          <w:sz w:val="24"/>
          <w:highlight w:val="none"/>
        </w:rPr>
      </w:pPr>
    </w:p>
    <w:p w14:paraId="186CAB70">
      <w:pPr>
        <w:shd w:val="clea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1BF9ADAC">
      <w:pPr>
        <w:shd w:val="clear"/>
        <w:jc w:val="center"/>
        <w:rPr>
          <w:b/>
          <w:color w:val="auto"/>
          <w:sz w:val="24"/>
          <w:highlight w:val="none"/>
        </w:rPr>
      </w:pPr>
      <w:r>
        <w:rPr>
          <w:b/>
          <w:color w:val="auto"/>
          <w:sz w:val="24"/>
          <w:highlight w:val="none"/>
        </w:rPr>
        <w:t>（需有页码）</w:t>
      </w:r>
    </w:p>
    <w:p w14:paraId="54886BFC">
      <w:pPr>
        <w:shd w:val="clear"/>
        <w:snapToGrid w:val="0"/>
        <w:spacing w:before="120" w:beforeLines="50" w:after="50" w:line="440" w:lineRule="exact"/>
        <w:jc w:val="center"/>
        <w:rPr>
          <w:bCs/>
          <w:color w:val="auto"/>
          <w:sz w:val="24"/>
          <w:highlight w:val="none"/>
        </w:rPr>
        <w:sectPr>
          <w:headerReference r:id="rId18" w:type="default"/>
          <w:pgSz w:w="11906" w:h="16838"/>
          <w:pgMar w:top="1304" w:right="1418" w:bottom="1304" w:left="1418" w:header="851" w:footer="992" w:gutter="0"/>
          <w:cols w:space="720" w:num="1"/>
          <w:docGrid w:linePitch="312" w:charSpace="0"/>
        </w:sectPr>
      </w:pPr>
    </w:p>
    <w:p w14:paraId="10A38DD9">
      <w:pPr>
        <w:shd w:val="clear"/>
        <w:snapToGrid w:val="0"/>
        <w:spacing w:before="120" w:beforeLines="50" w:after="50" w:line="440" w:lineRule="exact"/>
        <w:jc w:val="center"/>
        <w:rPr>
          <w:bCs/>
          <w:color w:val="auto"/>
          <w:sz w:val="24"/>
          <w:highlight w:val="none"/>
        </w:rPr>
      </w:pPr>
      <w:r>
        <w:rPr>
          <w:bCs/>
          <w:color w:val="auto"/>
          <w:sz w:val="24"/>
          <w:highlight w:val="none"/>
        </w:rPr>
        <w:t>第二部分 商务</w:t>
      </w:r>
      <w:r>
        <w:rPr>
          <w:rFonts w:hint="eastAsia"/>
          <w:bCs/>
          <w:color w:val="auto"/>
          <w:sz w:val="24"/>
          <w:highlight w:val="none"/>
        </w:rPr>
        <w:t>技术</w:t>
      </w:r>
      <w:r>
        <w:rPr>
          <w:bCs/>
          <w:color w:val="auto"/>
          <w:sz w:val="24"/>
          <w:highlight w:val="none"/>
        </w:rPr>
        <w:t>文件</w:t>
      </w:r>
    </w:p>
    <w:p w14:paraId="6D857580">
      <w:pPr>
        <w:shd w:val="clear"/>
        <w:snapToGrid w:val="0"/>
        <w:spacing w:before="120" w:beforeLines="50" w:after="50" w:line="360" w:lineRule="exact"/>
        <w:rPr>
          <w:b/>
          <w:color w:val="auto"/>
          <w:szCs w:val="21"/>
          <w:highlight w:val="none"/>
        </w:rPr>
      </w:pPr>
      <w:bookmarkStart w:id="97" w:name="_Hlk19199735"/>
      <w:r>
        <w:rPr>
          <w:rFonts w:hint="eastAsia"/>
          <w:b/>
          <w:color w:val="auto"/>
          <w:szCs w:val="21"/>
          <w:highlight w:val="none"/>
        </w:rPr>
        <w:t>1</w:t>
      </w:r>
      <w:r>
        <w:rPr>
          <w:b/>
          <w:color w:val="auto"/>
          <w:szCs w:val="21"/>
          <w:highlight w:val="none"/>
        </w:rPr>
        <w:t>．</w:t>
      </w:r>
      <w:r>
        <w:rPr>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97"/>
    <w:p w14:paraId="33F9AE21">
      <w:pPr>
        <w:shd w:val="clear"/>
        <w:jc w:val="center"/>
        <w:rPr>
          <w:color w:val="auto"/>
          <w:highlight w:val="none"/>
        </w:rPr>
      </w:pPr>
      <w:bookmarkStart w:id="98" w:name="_Toc462320613"/>
      <w:bookmarkStart w:id="99" w:name="_Toc462223472"/>
      <w:bookmarkStart w:id="100" w:name="_Toc455309222"/>
    </w:p>
    <w:bookmarkEnd w:id="98"/>
    <w:bookmarkEnd w:id="99"/>
    <w:bookmarkEnd w:id="100"/>
    <w:p w14:paraId="0C9A00EE">
      <w:pPr>
        <w:shd w:val="clear"/>
        <w:snapToGrid w:val="0"/>
        <w:spacing w:before="120" w:beforeLines="50" w:after="50" w:line="440" w:lineRule="exact"/>
        <w:jc w:val="center"/>
        <w:rPr>
          <w:b/>
          <w:color w:val="auto"/>
          <w:szCs w:val="21"/>
          <w:highlight w:val="none"/>
        </w:rPr>
      </w:pPr>
      <w:r>
        <w:rPr>
          <w:b/>
          <w:color w:val="auto"/>
          <w:szCs w:val="21"/>
          <w:highlight w:val="none"/>
        </w:rPr>
        <w:t>法定代表人身份证明</w:t>
      </w:r>
    </w:p>
    <w:p w14:paraId="0B22753E">
      <w:pPr>
        <w:shd w:val="clear"/>
        <w:spacing w:line="360" w:lineRule="auto"/>
        <w:rPr>
          <w:color w:val="auto"/>
          <w:highlight w:val="none"/>
        </w:rPr>
      </w:pPr>
    </w:p>
    <w:p w14:paraId="43F889A4">
      <w:pPr>
        <w:shd w:val="clear"/>
        <w:spacing w:line="360" w:lineRule="auto"/>
        <w:rPr>
          <w:color w:val="auto"/>
          <w:highlight w:val="none"/>
        </w:rPr>
      </w:pPr>
    </w:p>
    <w:p w14:paraId="30C5224F">
      <w:pPr>
        <w:shd w:val="clea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15C2005A">
      <w:pPr>
        <w:shd w:val="clea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4E943364">
      <w:pPr>
        <w:shd w:val="clea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26847419">
      <w:pPr>
        <w:shd w:val="clea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4266A4B8">
      <w:pPr>
        <w:shd w:val="clea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76CA052D">
      <w:pPr>
        <w:shd w:val="clea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3F35837D">
      <w:pPr>
        <w:shd w:val="clea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03021ADF">
      <w:pPr>
        <w:shd w:val="clea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02CD82EE">
      <w:pPr>
        <w:shd w:val="clear"/>
        <w:spacing w:line="540" w:lineRule="exact"/>
        <w:rPr>
          <w:color w:val="auto"/>
          <w:szCs w:val="21"/>
          <w:highlight w:val="none"/>
        </w:rPr>
      </w:pPr>
    </w:p>
    <w:p w14:paraId="2124947F">
      <w:pPr>
        <w:shd w:val="clear"/>
        <w:spacing w:line="540" w:lineRule="exact"/>
        <w:ind w:firstLine="420" w:firstLineChars="200"/>
        <w:rPr>
          <w:color w:val="auto"/>
          <w:szCs w:val="21"/>
          <w:highlight w:val="none"/>
        </w:rPr>
      </w:pPr>
      <w:r>
        <w:rPr>
          <w:color w:val="auto"/>
          <w:szCs w:val="21"/>
          <w:highlight w:val="none"/>
        </w:rPr>
        <w:t>特此证明。</w:t>
      </w:r>
    </w:p>
    <w:p w14:paraId="136180CF">
      <w:pPr>
        <w:shd w:val="clear"/>
        <w:spacing w:line="540" w:lineRule="exact"/>
        <w:rPr>
          <w:color w:val="auto"/>
          <w:szCs w:val="21"/>
          <w:highlight w:val="none"/>
        </w:rPr>
      </w:pPr>
    </w:p>
    <w:p w14:paraId="1E974BA2">
      <w:pPr>
        <w:shd w:val="clear"/>
        <w:spacing w:line="360" w:lineRule="auto"/>
        <w:ind w:firstLine="4830" w:firstLineChars="23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2D3D55CD">
      <w:pPr>
        <w:shd w:val="clear"/>
        <w:spacing w:line="360" w:lineRule="auto"/>
        <w:rPr>
          <w:color w:val="auto"/>
          <w:szCs w:val="21"/>
          <w:highlight w:val="none"/>
        </w:rPr>
      </w:pPr>
      <w:r>
        <w:rPr>
          <w:color w:val="auto"/>
          <w:szCs w:val="21"/>
          <w:highlight w:val="none"/>
        </w:rPr>
        <w:t xml:space="preserve">                                                   年       月       日 </w:t>
      </w:r>
    </w:p>
    <w:p w14:paraId="25116C0C">
      <w:pPr>
        <w:shd w:val="clear"/>
        <w:spacing w:line="540" w:lineRule="exact"/>
        <w:rPr>
          <w:color w:val="auto"/>
          <w:szCs w:val="21"/>
          <w:highlight w:val="none"/>
        </w:rPr>
      </w:pPr>
    </w:p>
    <w:p w14:paraId="286AC248">
      <w:pPr>
        <w:shd w:val="clear"/>
        <w:spacing w:line="360" w:lineRule="auto"/>
        <w:rPr>
          <w:color w:val="auto"/>
          <w:szCs w:val="21"/>
          <w:highlight w:val="none"/>
        </w:rPr>
      </w:pPr>
      <w:bookmarkStart w:id="101" w:name="_Hlk19199756"/>
      <w:r>
        <w:rPr>
          <w:color w:val="auto"/>
          <w:szCs w:val="21"/>
          <w:highlight w:val="none"/>
        </w:rPr>
        <w:t>附件：法定代表人身份证复印件</w:t>
      </w:r>
    </w:p>
    <w:p w14:paraId="22AC074B">
      <w:pPr>
        <w:shd w:val="clear"/>
        <w:spacing w:line="360" w:lineRule="auto"/>
        <w:rPr>
          <w:color w:val="auto"/>
          <w:szCs w:val="21"/>
          <w:highlight w:val="none"/>
        </w:rPr>
      </w:pPr>
    </w:p>
    <w:bookmarkEnd w:id="101"/>
    <w:p w14:paraId="3CA0987F">
      <w:pPr>
        <w:shd w:val="clear"/>
        <w:snapToGrid w:val="0"/>
        <w:spacing w:before="120" w:beforeLines="50" w:after="50" w:line="360" w:lineRule="exact"/>
        <w:jc w:val="left"/>
        <w:rPr>
          <w:color w:val="auto"/>
          <w:highlight w:val="none"/>
        </w:rPr>
      </w:pPr>
      <w:r>
        <w:rPr>
          <w:b/>
          <w:color w:val="auto"/>
          <w:szCs w:val="21"/>
          <w:highlight w:val="none"/>
        </w:rPr>
        <w:br w:type="page"/>
      </w:r>
      <w:bookmarkStart w:id="102" w:name="_Hlk19199766"/>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102"/>
    <w:p w14:paraId="78070837">
      <w:pPr>
        <w:shd w:val="clear"/>
        <w:snapToGrid w:val="0"/>
        <w:spacing w:before="120" w:beforeLines="50" w:after="50" w:line="360" w:lineRule="exact"/>
        <w:jc w:val="center"/>
        <w:rPr>
          <w:b/>
          <w:color w:val="auto"/>
          <w:szCs w:val="21"/>
          <w:highlight w:val="none"/>
        </w:rPr>
      </w:pPr>
      <w:r>
        <w:rPr>
          <w:b/>
          <w:color w:val="auto"/>
          <w:szCs w:val="21"/>
          <w:highlight w:val="none"/>
        </w:rPr>
        <w:t>法定代表人授权委托书</w:t>
      </w:r>
    </w:p>
    <w:p w14:paraId="40D31C25">
      <w:pPr>
        <w:shd w:val="clear"/>
        <w:snapToGrid w:val="0"/>
        <w:spacing w:before="120" w:beforeLines="50" w:after="50" w:line="440" w:lineRule="exact"/>
        <w:rPr>
          <w:b/>
          <w:bCs/>
          <w:color w:val="auto"/>
          <w:szCs w:val="21"/>
          <w:highlight w:val="none"/>
        </w:rPr>
      </w:pPr>
      <w:r>
        <w:rPr>
          <w:bCs/>
          <w:color w:val="auto"/>
          <w:szCs w:val="21"/>
          <w:highlight w:val="none"/>
        </w:rPr>
        <w:t>致：</w:t>
      </w:r>
      <w:r>
        <w:rPr>
          <w:i/>
          <w:iCs/>
          <w:color w:val="auto"/>
          <w:szCs w:val="21"/>
          <w:highlight w:val="none"/>
          <w:u w:val="single"/>
        </w:rPr>
        <w:t>（采购人名称）</w:t>
      </w:r>
    </w:p>
    <w:p w14:paraId="7DEB7C26">
      <w:pPr>
        <w:shd w:val="clear"/>
        <w:snapToGrid w:val="0"/>
        <w:spacing w:before="120" w:beforeLines="50" w:after="50" w:line="440" w:lineRule="exact"/>
        <w:ind w:firstLine="420" w:firstLineChars="200"/>
        <w:rPr>
          <w:color w:val="auto"/>
          <w:szCs w:val="21"/>
          <w:highlight w:val="none"/>
        </w:rPr>
      </w:pPr>
      <w:r>
        <w:rPr>
          <w:color w:val="auto"/>
          <w:szCs w:val="21"/>
          <w:highlight w:val="none"/>
        </w:rPr>
        <w:t>我</w:t>
      </w:r>
      <w:r>
        <w:rPr>
          <w:rFonts w:hint="eastAsia"/>
          <w:color w:val="auto"/>
          <w:szCs w:val="21"/>
          <w:highlight w:val="none"/>
        </w:rPr>
        <w:t xml:space="preserve"> </w:t>
      </w:r>
      <w:r>
        <w:rPr>
          <w:i/>
          <w:iCs/>
          <w:color w:val="auto"/>
          <w:szCs w:val="21"/>
          <w:highlight w:val="none"/>
          <w:u w:val="single"/>
        </w:rPr>
        <w:t>（姓名）</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 ）</w:t>
      </w:r>
      <w:r>
        <w:rPr>
          <w:color w:val="auto"/>
          <w:szCs w:val="21"/>
          <w:highlight w:val="none"/>
        </w:rPr>
        <w:t>项目的磋商活动，并代表我方全权办理针对上述项目的磋商、截标、评审、签约等具体事务和签署相关文件。</w:t>
      </w:r>
    </w:p>
    <w:p w14:paraId="4E06AD4C">
      <w:pPr>
        <w:shd w:val="clea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7133213C">
      <w:pPr>
        <w:shd w:val="clea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518EF8D3">
      <w:pPr>
        <w:shd w:val="clea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74ECA492">
      <w:pPr>
        <w:shd w:val="clea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r>
        <w:rPr>
          <w:color w:val="auto"/>
          <w:szCs w:val="21"/>
          <w:highlight w:val="none"/>
        </w:rPr>
        <w:t xml:space="preserve">                     法定代表人签名或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p>
    <w:p w14:paraId="357260C9">
      <w:pPr>
        <w:shd w:val="clea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w:t>
      </w:r>
    </w:p>
    <w:p w14:paraId="7FF7E0A6">
      <w:pPr>
        <w:shd w:val="clea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63723424">
      <w:pPr>
        <w:shd w:val="clear"/>
        <w:snapToGrid w:val="0"/>
        <w:spacing w:before="120" w:beforeLines="50" w:after="50" w:line="440" w:lineRule="exact"/>
        <w:rPr>
          <w:color w:val="auto"/>
          <w:szCs w:val="21"/>
          <w:highlight w:val="none"/>
        </w:rPr>
      </w:pPr>
      <w:r>
        <w:rPr>
          <w:rFonts w:hint="eastAsia"/>
          <w:color w:val="auto"/>
          <w:szCs w:val="21"/>
          <w:highlight w:val="none"/>
        </w:rPr>
        <w:t>被授权人手机号码及邮箱</w:t>
      </w:r>
      <w:r>
        <w:rPr>
          <w:color w:val="auto"/>
          <w:szCs w:val="21"/>
          <w:highlight w:val="none"/>
        </w:rPr>
        <w:t>：</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2F474263">
      <w:pPr>
        <w:shd w:val="clear"/>
        <w:snapToGrid w:val="0"/>
        <w:spacing w:before="120" w:beforeLines="50" w:after="50" w:line="440" w:lineRule="exact"/>
        <w:rPr>
          <w:color w:val="auto"/>
          <w:szCs w:val="21"/>
          <w:highlight w:val="none"/>
        </w:rPr>
      </w:pPr>
      <w:r>
        <w:rPr>
          <w:color w:val="auto"/>
          <w:szCs w:val="21"/>
          <w:highlight w:val="none"/>
        </w:rPr>
        <w:t xml:space="preserve">                                </w:t>
      </w:r>
    </w:p>
    <w:p w14:paraId="5BCAACBA">
      <w:pPr>
        <w:shd w:val="clear"/>
        <w:snapToGrid w:val="0"/>
        <w:spacing w:before="120" w:beforeLines="50" w:after="50" w:line="440" w:lineRule="exact"/>
        <w:ind w:firstLine="5670" w:firstLineChars="2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09513078">
      <w:pPr>
        <w:shd w:val="clear"/>
        <w:snapToGrid w:val="0"/>
        <w:spacing w:before="120" w:beforeLines="50" w:after="50" w:line="440" w:lineRule="exact"/>
        <w:jc w:val="center"/>
        <w:rPr>
          <w:color w:val="auto"/>
          <w:szCs w:val="21"/>
          <w:highlight w:val="none"/>
        </w:rPr>
      </w:pPr>
      <w:r>
        <w:rPr>
          <w:color w:val="auto"/>
          <w:szCs w:val="21"/>
          <w:highlight w:val="none"/>
        </w:rPr>
        <w:t xml:space="preserve">                                        年    月    日</w:t>
      </w:r>
    </w:p>
    <w:p w14:paraId="0ABD175B">
      <w:pPr>
        <w:shd w:val="clear"/>
        <w:spacing w:line="360" w:lineRule="auto"/>
        <w:rPr>
          <w:color w:val="auto"/>
          <w:szCs w:val="21"/>
          <w:highlight w:val="none"/>
        </w:rPr>
      </w:pPr>
      <w:r>
        <w:rPr>
          <w:color w:val="auto"/>
          <w:szCs w:val="21"/>
          <w:highlight w:val="none"/>
        </w:rPr>
        <w:t>附件：法定代表人身份证复印件及授权代表身份证复印件</w:t>
      </w:r>
    </w:p>
    <w:p w14:paraId="1335B489">
      <w:pPr>
        <w:shd w:val="clear"/>
        <w:jc w:val="center"/>
        <w:rPr>
          <w:bCs/>
          <w:color w:val="auto"/>
          <w:sz w:val="24"/>
          <w:highlight w:val="none"/>
        </w:rPr>
      </w:pPr>
      <w:r>
        <w:rPr>
          <w:color w:val="auto"/>
          <w:highlight w:val="none"/>
        </w:rPr>
        <w:br w:type="page"/>
      </w:r>
      <w:r>
        <w:rPr>
          <w:color w:val="auto"/>
          <w:highlight w:val="none"/>
        </w:rPr>
        <w:t>（本商务文件供应商可自行编写，也可参照下述提纲编写）</w:t>
      </w:r>
    </w:p>
    <w:p w14:paraId="0E5BA146">
      <w:pPr>
        <w:shd w:val="clear"/>
        <w:snapToGrid w:val="0"/>
        <w:spacing w:before="50" w:after="120" w:afterLines="50"/>
        <w:jc w:val="left"/>
        <w:rPr>
          <w:color w:val="auto"/>
          <w:szCs w:val="21"/>
          <w:highlight w:val="none"/>
        </w:rPr>
      </w:pPr>
    </w:p>
    <w:p w14:paraId="6C46A210">
      <w:pPr>
        <w:shd w:val="clear"/>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color w:val="auto"/>
          <w:szCs w:val="21"/>
          <w:highlight w:val="none"/>
        </w:rPr>
        <w:t>：</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5D5A7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6CC44362">
            <w:pPr>
              <w:shd w:val="clea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405A054E">
            <w:pPr>
              <w:shd w:val="clea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588A612B">
            <w:pPr>
              <w:shd w:val="clear"/>
              <w:snapToGrid w:val="0"/>
              <w:spacing w:before="120" w:beforeLines="50"/>
              <w:jc w:val="center"/>
              <w:rPr>
                <w:color w:val="auto"/>
                <w:szCs w:val="21"/>
                <w:highlight w:val="none"/>
              </w:rPr>
            </w:pPr>
            <w:r>
              <w:rPr>
                <w:rFonts w:hint="eastAsia"/>
                <w:color w:val="auto"/>
                <w:szCs w:val="21"/>
                <w:highlight w:val="none"/>
              </w:rPr>
              <w:t>响应</w:t>
            </w:r>
            <w:r>
              <w:rPr>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4FBE94AC">
            <w:pPr>
              <w:shd w:val="clea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7E18F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20C3BB3">
            <w:pPr>
              <w:shd w:val="clea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5A5B26F4">
            <w:pPr>
              <w:shd w:val="clea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75F25241">
            <w:pPr>
              <w:shd w:val="clea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C4A6BDD">
            <w:pPr>
              <w:shd w:val="clear"/>
              <w:snapToGrid w:val="0"/>
              <w:spacing w:before="120" w:beforeLines="50"/>
              <w:jc w:val="center"/>
              <w:rPr>
                <w:color w:val="auto"/>
                <w:szCs w:val="21"/>
                <w:highlight w:val="none"/>
              </w:rPr>
            </w:pPr>
          </w:p>
        </w:tc>
      </w:tr>
      <w:tr w14:paraId="2E8C8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FFAF393">
            <w:pPr>
              <w:shd w:val="clea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795F02C6">
            <w:pPr>
              <w:shd w:val="clea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4CFA64DC">
            <w:pPr>
              <w:shd w:val="clea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3CFC1A5F">
            <w:pPr>
              <w:shd w:val="clear"/>
              <w:snapToGrid w:val="0"/>
              <w:spacing w:before="120" w:beforeLines="50"/>
              <w:jc w:val="center"/>
              <w:rPr>
                <w:color w:val="auto"/>
                <w:szCs w:val="21"/>
                <w:highlight w:val="none"/>
              </w:rPr>
            </w:pPr>
          </w:p>
        </w:tc>
      </w:tr>
      <w:tr w14:paraId="6D1E10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615D4A99">
            <w:pPr>
              <w:shd w:val="clea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5303B196">
            <w:pPr>
              <w:shd w:val="clea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4FC0B7CF">
            <w:pPr>
              <w:shd w:val="clea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2F5864C1">
            <w:pPr>
              <w:shd w:val="clear"/>
              <w:snapToGrid w:val="0"/>
              <w:spacing w:before="120" w:beforeLines="50"/>
              <w:jc w:val="center"/>
              <w:rPr>
                <w:color w:val="auto"/>
                <w:szCs w:val="21"/>
                <w:highlight w:val="none"/>
              </w:rPr>
            </w:pPr>
          </w:p>
        </w:tc>
      </w:tr>
      <w:tr w14:paraId="146549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577C717">
            <w:pPr>
              <w:shd w:val="clea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4F1D9ACA">
            <w:pPr>
              <w:shd w:val="clea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3DC824A1">
            <w:pPr>
              <w:shd w:val="clea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423207E2">
            <w:pPr>
              <w:shd w:val="clear"/>
              <w:snapToGrid w:val="0"/>
              <w:spacing w:before="120" w:beforeLines="50"/>
              <w:jc w:val="center"/>
              <w:rPr>
                <w:color w:val="auto"/>
                <w:szCs w:val="21"/>
                <w:highlight w:val="none"/>
              </w:rPr>
            </w:pPr>
          </w:p>
        </w:tc>
      </w:tr>
    </w:tbl>
    <w:p w14:paraId="0CBA3E3C">
      <w:pPr>
        <w:shd w:val="clear"/>
        <w:rPr>
          <w:color w:val="auto"/>
          <w:szCs w:val="21"/>
          <w:highlight w:val="none"/>
        </w:rPr>
      </w:pPr>
    </w:p>
    <w:p w14:paraId="5FF231CD">
      <w:pPr>
        <w:pStyle w:val="27"/>
        <w:shd w:val="clear"/>
        <w:tabs>
          <w:tab w:val="left" w:pos="2127"/>
        </w:tabs>
        <w:spacing w:line="340" w:lineRule="exact"/>
        <w:jc w:val="left"/>
        <w:rPr>
          <w:rFonts w:ascii="Times New Roman" w:hAnsi="Times New Roman" w:cs="Times New Roman"/>
          <w:color w:val="auto"/>
          <w:highlight w:val="none"/>
        </w:rPr>
      </w:pPr>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696D738A">
      <w:pPr>
        <w:shd w:val="clea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26F66ED1">
      <w:pPr>
        <w:shd w:val="clea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5706212A">
      <w:pPr>
        <w:shd w:val="clear"/>
        <w:rPr>
          <w:color w:val="auto"/>
          <w:highlight w:val="none"/>
        </w:rPr>
      </w:pPr>
      <w:r>
        <w:rPr>
          <w:color w:val="auto"/>
          <w:highlight w:val="none"/>
        </w:rPr>
        <w:t>（4）本表可扩展。</w:t>
      </w:r>
    </w:p>
    <w:p w14:paraId="21332EE9">
      <w:pPr>
        <w:shd w:val="clear"/>
        <w:rPr>
          <w:color w:val="auto"/>
          <w:szCs w:val="21"/>
          <w:highlight w:val="none"/>
        </w:rPr>
      </w:pPr>
    </w:p>
    <w:p w14:paraId="439B74A4">
      <w:pPr>
        <w:shd w:val="clear"/>
        <w:rPr>
          <w:color w:val="auto"/>
          <w:spacing w:val="20"/>
          <w:szCs w:val="21"/>
          <w:highlight w:val="none"/>
          <w:u w:val="single"/>
        </w:rPr>
      </w:pPr>
    </w:p>
    <w:p w14:paraId="3DD682CE">
      <w:pPr>
        <w:shd w:val="clea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696500C2">
      <w:pPr>
        <w:shd w:val="clear"/>
        <w:rPr>
          <w:color w:val="auto"/>
          <w:spacing w:val="20"/>
          <w:szCs w:val="21"/>
          <w:highlight w:val="none"/>
          <w:u w:val="single"/>
        </w:rPr>
      </w:pPr>
    </w:p>
    <w:p w14:paraId="62DB1034">
      <w:pPr>
        <w:shd w:val="clear"/>
        <w:rPr>
          <w:color w:val="auto"/>
          <w:spacing w:val="20"/>
          <w:szCs w:val="21"/>
          <w:highlight w:val="none"/>
          <w:u w:val="single"/>
        </w:rPr>
      </w:pPr>
    </w:p>
    <w:p w14:paraId="09099327">
      <w:pPr>
        <w:shd w:val="clear"/>
        <w:rPr>
          <w:color w:val="auto"/>
          <w:szCs w:val="21"/>
          <w:highlight w:val="none"/>
        </w:rPr>
      </w:pPr>
    </w:p>
    <w:p w14:paraId="4F5F0719">
      <w:pPr>
        <w:shd w:val="clear"/>
        <w:snapToGrid w:val="0"/>
        <w:spacing w:before="50" w:after="120" w:afterLines="50"/>
        <w:jc w:val="left"/>
        <w:rPr>
          <w:color w:val="auto"/>
          <w:szCs w:val="21"/>
          <w:highlight w:val="none"/>
        </w:rPr>
      </w:pPr>
    </w:p>
    <w:p w14:paraId="18A71D38">
      <w:pPr>
        <w:shd w:val="clear"/>
        <w:snapToGrid w:val="0"/>
        <w:spacing w:before="50" w:after="120" w:afterLines="50"/>
        <w:jc w:val="left"/>
        <w:rPr>
          <w:color w:val="auto"/>
          <w:szCs w:val="21"/>
          <w:highlight w:val="none"/>
        </w:rPr>
      </w:pPr>
    </w:p>
    <w:p w14:paraId="5E18B486">
      <w:pPr>
        <w:shd w:val="clear"/>
        <w:snapToGrid w:val="0"/>
        <w:spacing w:before="50" w:after="120" w:afterLines="50"/>
        <w:jc w:val="left"/>
        <w:rPr>
          <w:color w:val="auto"/>
          <w:szCs w:val="21"/>
          <w:highlight w:val="none"/>
        </w:rPr>
      </w:pPr>
    </w:p>
    <w:p w14:paraId="74D267F2">
      <w:pPr>
        <w:shd w:val="clear"/>
        <w:snapToGrid w:val="0"/>
        <w:spacing w:before="50" w:after="120" w:afterLines="50"/>
        <w:jc w:val="left"/>
        <w:rPr>
          <w:color w:val="auto"/>
          <w:szCs w:val="21"/>
          <w:highlight w:val="none"/>
        </w:rPr>
      </w:pPr>
    </w:p>
    <w:p w14:paraId="46EAA500">
      <w:pPr>
        <w:shd w:val="clear"/>
        <w:snapToGrid w:val="0"/>
        <w:spacing w:before="50" w:after="120" w:afterLines="50"/>
        <w:jc w:val="left"/>
        <w:rPr>
          <w:color w:val="auto"/>
          <w:szCs w:val="21"/>
          <w:highlight w:val="none"/>
        </w:rPr>
      </w:pPr>
    </w:p>
    <w:p w14:paraId="32C8D508">
      <w:pPr>
        <w:shd w:val="clear"/>
        <w:snapToGrid w:val="0"/>
        <w:spacing w:before="50" w:after="120" w:afterLines="50"/>
        <w:jc w:val="left"/>
        <w:rPr>
          <w:color w:val="auto"/>
          <w:szCs w:val="21"/>
          <w:highlight w:val="none"/>
        </w:rPr>
      </w:pPr>
    </w:p>
    <w:p w14:paraId="5DA15A30">
      <w:pPr>
        <w:shd w:val="clear"/>
        <w:rPr>
          <w:color w:val="auto"/>
          <w:szCs w:val="21"/>
          <w:highlight w:val="none"/>
        </w:rPr>
      </w:pPr>
      <w:r>
        <w:rPr>
          <w:color w:val="auto"/>
          <w:szCs w:val="21"/>
          <w:highlight w:val="none"/>
        </w:rPr>
        <w:br w:type="page"/>
      </w:r>
    </w:p>
    <w:p w14:paraId="120DCBD1">
      <w:pPr>
        <w:shd w:val="clear"/>
        <w:snapToGrid w:val="0"/>
        <w:spacing w:before="50" w:after="120" w:afterLines="50"/>
        <w:jc w:val="left"/>
        <w:rPr>
          <w:color w:val="auto"/>
          <w:szCs w:val="21"/>
          <w:highlight w:val="none"/>
        </w:rPr>
      </w:pPr>
      <w:r>
        <w:rPr>
          <w:rFonts w:hint="eastAsia"/>
          <w:color w:val="auto"/>
          <w:szCs w:val="21"/>
          <w:highlight w:val="none"/>
          <w:lang w:val="en-US" w:eastAsia="zh-CN"/>
        </w:rPr>
        <w:t>2</w:t>
      </w:r>
      <w:r>
        <w:rPr>
          <w:color w:val="auto"/>
          <w:szCs w:val="21"/>
          <w:highlight w:val="none"/>
        </w:rPr>
        <w:t>．项目拟投入服务团队人员结构表（包括但不限于学历、证书情况、职称、年龄等）</w:t>
      </w:r>
    </w:p>
    <w:p w14:paraId="3650C560">
      <w:pPr>
        <w:shd w:val="clear"/>
        <w:snapToGrid w:val="0"/>
        <w:spacing w:before="120" w:beforeLines="50" w:after="50" w:line="400" w:lineRule="exact"/>
        <w:jc w:val="center"/>
        <w:rPr>
          <w:color w:val="auto"/>
          <w:szCs w:val="21"/>
          <w:highlight w:val="none"/>
        </w:rPr>
      </w:pPr>
      <w:r>
        <w:rPr>
          <w:color w:val="auto"/>
          <w:szCs w:val="21"/>
          <w:highlight w:val="none"/>
        </w:rPr>
        <w:t>项目拟投入服务团队人员（含项目负责人）一览表</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3D77DA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53B0D368">
            <w:pPr>
              <w:shd w:val="clear"/>
              <w:snapToGrid w:val="0"/>
              <w:spacing w:before="120" w:beforeLines="5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41AB2D53">
            <w:pPr>
              <w:shd w:val="clear"/>
              <w:snapToGrid w:val="0"/>
              <w:spacing w:before="120" w:beforeLines="5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5EF69C3F">
            <w:pPr>
              <w:shd w:val="clear"/>
              <w:snapToGrid w:val="0"/>
              <w:spacing w:before="120" w:beforeLines="50" w:after="50"/>
              <w:jc w:val="center"/>
              <w:rPr>
                <w:color w:val="auto"/>
                <w:szCs w:val="21"/>
                <w:highlight w:val="none"/>
              </w:rPr>
            </w:pPr>
            <w:r>
              <w:rPr>
                <w:color w:val="auto"/>
                <w:szCs w:val="21"/>
                <w:highlight w:val="none"/>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35D50796">
            <w:pPr>
              <w:shd w:val="clear"/>
              <w:snapToGrid w:val="0"/>
              <w:spacing w:before="120" w:beforeLines="50" w:after="50"/>
              <w:jc w:val="center"/>
              <w:rPr>
                <w:color w:val="auto"/>
                <w:szCs w:val="21"/>
                <w:highlight w:val="none"/>
              </w:rPr>
            </w:pPr>
            <w:r>
              <w:rPr>
                <w:color w:val="auto"/>
                <w:szCs w:val="21"/>
                <w:highlight w:val="none"/>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4890D225">
            <w:pPr>
              <w:shd w:val="clear"/>
              <w:snapToGrid w:val="0"/>
              <w:spacing w:before="120" w:beforeLines="50" w:after="50"/>
              <w:jc w:val="center"/>
              <w:rPr>
                <w:color w:val="auto"/>
                <w:szCs w:val="21"/>
                <w:highlight w:val="none"/>
              </w:rPr>
            </w:pPr>
            <w:r>
              <w:rPr>
                <w:color w:val="auto"/>
                <w:szCs w:val="21"/>
                <w:highlight w:val="none"/>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76DAA84F">
            <w:pPr>
              <w:shd w:val="clear"/>
              <w:snapToGrid w:val="0"/>
              <w:spacing w:before="120" w:beforeLines="50" w:after="50"/>
              <w:jc w:val="center"/>
              <w:rPr>
                <w:bCs/>
                <w:color w:val="auto"/>
                <w:szCs w:val="21"/>
                <w:highlight w:val="none"/>
              </w:rPr>
            </w:pPr>
            <w:r>
              <w:rPr>
                <w:bCs/>
                <w:color w:val="auto"/>
                <w:szCs w:val="21"/>
                <w:highlight w:val="none"/>
              </w:rPr>
              <w:t>劳动合同编号</w:t>
            </w:r>
          </w:p>
        </w:tc>
      </w:tr>
      <w:tr w14:paraId="5761D9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A13DCA6">
            <w:pPr>
              <w:shd w:val="clea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2704A506">
            <w:pPr>
              <w:shd w:val="clea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783B8D0D">
            <w:pPr>
              <w:shd w:val="clea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1F9F1C91">
            <w:pPr>
              <w:shd w:val="clea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3617AF6F">
            <w:pPr>
              <w:shd w:val="clea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45B1F71C">
            <w:pPr>
              <w:shd w:val="clear"/>
              <w:snapToGrid w:val="0"/>
              <w:spacing w:before="120" w:beforeLines="50" w:after="50"/>
              <w:rPr>
                <w:color w:val="auto"/>
                <w:szCs w:val="21"/>
                <w:highlight w:val="none"/>
              </w:rPr>
            </w:pPr>
          </w:p>
        </w:tc>
      </w:tr>
      <w:tr w14:paraId="4EEF98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5FDFAFF2">
            <w:pPr>
              <w:shd w:val="clea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236DC656">
            <w:pPr>
              <w:shd w:val="clea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455E888A">
            <w:pPr>
              <w:shd w:val="clea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56A8F1EB">
            <w:pPr>
              <w:shd w:val="clea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A55B1C5">
            <w:pPr>
              <w:shd w:val="clea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34918D89">
            <w:pPr>
              <w:shd w:val="clear"/>
              <w:snapToGrid w:val="0"/>
              <w:spacing w:before="120" w:beforeLines="50" w:after="50"/>
              <w:rPr>
                <w:color w:val="auto"/>
                <w:szCs w:val="21"/>
                <w:highlight w:val="none"/>
              </w:rPr>
            </w:pPr>
          </w:p>
        </w:tc>
      </w:tr>
    </w:tbl>
    <w:p w14:paraId="58C34793">
      <w:pPr>
        <w:shd w:val="clear"/>
        <w:snapToGrid w:val="0"/>
        <w:spacing w:before="50" w:after="120" w:afterLines="50" w:line="440" w:lineRule="exact"/>
        <w:jc w:val="left"/>
        <w:rPr>
          <w:color w:val="auto"/>
          <w:szCs w:val="21"/>
          <w:highlight w:val="none"/>
        </w:rPr>
      </w:pPr>
      <w:r>
        <w:rPr>
          <w:color w:val="auto"/>
          <w:szCs w:val="21"/>
          <w:highlight w:val="none"/>
        </w:rPr>
        <w:t>注：在填写时，如本表格不适合供应商的实际情况，可根据本表格式自行划表填写。</w:t>
      </w:r>
    </w:p>
    <w:p w14:paraId="569DC617">
      <w:pPr>
        <w:shd w:val="clear"/>
        <w:snapToGrid w:val="0"/>
        <w:spacing w:before="50" w:after="50" w:line="440" w:lineRule="exact"/>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7DC54B93">
      <w:pPr>
        <w:shd w:val="clear"/>
        <w:rPr>
          <w:color w:val="auto"/>
          <w:spacing w:val="20"/>
          <w:szCs w:val="21"/>
          <w:highlight w:val="none"/>
          <w:u w:val="single"/>
        </w:rPr>
      </w:pPr>
    </w:p>
    <w:p w14:paraId="14F143D6">
      <w:pPr>
        <w:shd w:val="clear"/>
        <w:rPr>
          <w:color w:val="auto"/>
          <w:szCs w:val="21"/>
          <w:highlight w:val="none"/>
        </w:rPr>
      </w:pPr>
    </w:p>
    <w:p w14:paraId="06C41EEB">
      <w:pPr>
        <w:shd w:val="clear"/>
        <w:rPr>
          <w:color w:val="auto"/>
          <w:szCs w:val="21"/>
          <w:highlight w:val="none"/>
        </w:rPr>
      </w:pPr>
    </w:p>
    <w:p w14:paraId="1652F0E9">
      <w:pPr>
        <w:shd w:val="clear"/>
        <w:snapToGrid w:val="0"/>
        <w:spacing w:before="50" w:after="120" w:afterLines="50"/>
        <w:jc w:val="left"/>
        <w:rPr>
          <w:color w:val="auto"/>
          <w:szCs w:val="21"/>
          <w:highlight w:val="none"/>
        </w:rPr>
      </w:pPr>
    </w:p>
    <w:p w14:paraId="06F0CFFF">
      <w:pPr>
        <w:shd w:val="clear"/>
        <w:snapToGrid w:val="0"/>
        <w:spacing w:before="50" w:after="120" w:afterLines="50"/>
        <w:jc w:val="left"/>
        <w:rPr>
          <w:color w:val="auto"/>
          <w:szCs w:val="21"/>
          <w:highlight w:val="none"/>
        </w:rPr>
      </w:pPr>
    </w:p>
    <w:p w14:paraId="5F6829B3">
      <w:pPr>
        <w:shd w:val="clear"/>
        <w:rPr>
          <w:color w:val="auto"/>
          <w:szCs w:val="21"/>
          <w:highlight w:val="none"/>
        </w:rPr>
      </w:pPr>
      <w:r>
        <w:rPr>
          <w:rFonts w:hint="eastAsia"/>
          <w:color w:val="auto"/>
          <w:szCs w:val="21"/>
          <w:highlight w:val="none"/>
          <w:lang w:val="en-US" w:eastAsia="zh-CN"/>
        </w:rPr>
        <w:t>3</w:t>
      </w:r>
      <w:r>
        <w:rPr>
          <w:color w:val="auto"/>
          <w:szCs w:val="21"/>
          <w:highlight w:val="none"/>
        </w:rPr>
        <w:t>．供应商需要说明的其他文件和说明。</w:t>
      </w:r>
    </w:p>
    <w:p w14:paraId="3A149D7B">
      <w:pPr>
        <w:shd w:val="clear"/>
        <w:snapToGrid w:val="0"/>
        <w:spacing w:before="50" w:after="120" w:afterLines="50" w:line="440" w:lineRule="exact"/>
        <w:rPr>
          <w:color w:val="auto"/>
          <w:highlight w:val="none"/>
        </w:rPr>
      </w:pPr>
      <w:r>
        <w:rPr>
          <w:color w:val="auto"/>
          <w:highlight w:val="none"/>
        </w:rPr>
        <w:br w:type="page"/>
      </w:r>
      <w:r>
        <w:rPr>
          <w:rFonts w:hint="eastAsia"/>
          <w:color w:val="auto"/>
          <w:szCs w:val="21"/>
          <w:highlight w:val="none"/>
          <w:lang w:val="en-US" w:eastAsia="zh-CN"/>
        </w:rPr>
        <w:t>4</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color w:val="auto"/>
          <w:szCs w:val="21"/>
          <w:highlight w:val="none"/>
        </w:rPr>
        <w:t>：</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16548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43EA4F46">
            <w:pPr>
              <w:shd w:val="clea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0EF0173C">
            <w:pPr>
              <w:shd w:val="clear"/>
              <w:snapToGrid w:val="0"/>
              <w:spacing w:before="120" w:beforeLines="50"/>
              <w:jc w:val="center"/>
              <w:rPr>
                <w:color w:val="auto"/>
                <w:szCs w:val="21"/>
                <w:highlight w:val="none"/>
              </w:rPr>
            </w:pPr>
            <w:r>
              <w:rPr>
                <w:color w:val="auto"/>
                <w:szCs w:val="21"/>
                <w:highlight w:val="none"/>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2BB8145E">
            <w:pPr>
              <w:shd w:val="clear"/>
              <w:snapToGrid w:val="0"/>
              <w:spacing w:before="120" w:beforeLines="50"/>
              <w:jc w:val="center"/>
              <w:rPr>
                <w:color w:val="auto"/>
                <w:szCs w:val="21"/>
                <w:highlight w:val="none"/>
              </w:rPr>
            </w:pPr>
            <w:r>
              <w:rPr>
                <w:color w:val="auto"/>
                <w:szCs w:val="21"/>
                <w:highlight w:val="none"/>
              </w:rPr>
              <w:t>响应文件响应内容（</w:t>
            </w:r>
            <w:r>
              <w:rPr>
                <w:rFonts w:hint="eastAsia"/>
                <w:color w:val="auto"/>
                <w:szCs w:val="21"/>
                <w:highlight w:val="none"/>
              </w:rPr>
              <w:t>可</w:t>
            </w:r>
            <w:r>
              <w:rPr>
                <w:color w:val="auto"/>
                <w:szCs w:val="21"/>
                <w:highlight w:val="none"/>
              </w:rPr>
              <w:t>注明所在页码）</w:t>
            </w:r>
          </w:p>
        </w:tc>
        <w:tc>
          <w:tcPr>
            <w:tcW w:w="1082" w:type="dxa"/>
            <w:tcBorders>
              <w:top w:val="single" w:color="auto" w:sz="4" w:space="0"/>
              <w:left w:val="single" w:color="auto" w:sz="4" w:space="0"/>
              <w:bottom w:val="single" w:color="auto" w:sz="4" w:space="0"/>
              <w:right w:val="single" w:color="auto" w:sz="4" w:space="0"/>
            </w:tcBorders>
            <w:vAlign w:val="center"/>
          </w:tcPr>
          <w:p w14:paraId="4FF21D22">
            <w:pPr>
              <w:shd w:val="clea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3F6FB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43FFEDE">
            <w:pPr>
              <w:shd w:val="clea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662159B2">
            <w:pPr>
              <w:shd w:val="clea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287AF3B5">
            <w:pPr>
              <w:shd w:val="clea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0FE42BC4">
            <w:pPr>
              <w:shd w:val="clear"/>
              <w:snapToGrid w:val="0"/>
              <w:spacing w:before="120" w:beforeLines="50"/>
              <w:jc w:val="center"/>
              <w:rPr>
                <w:color w:val="auto"/>
                <w:szCs w:val="21"/>
                <w:highlight w:val="none"/>
              </w:rPr>
            </w:pPr>
          </w:p>
        </w:tc>
      </w:tr>
      <w:tr w14:paraId="34082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CAC7E9D">
            <w:pPr>
              <w:shd w:val="clea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40822633">
            <w:pPr>
              <w:shd w:val="clea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5C005236">
            <w:pPr>
              <w:shd w:val="clea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135EB9BC">
            <w:pPr>
              <w:shd w:val="clear"/>
              <w:snapToGrid w:val="0"/>
              <w:spacing w:before="120" w:beforeLines="50"/>
              <w:jc w:val="center"/>
              <w:rPr>
                <w:color w:val="auto"/>
                <w:szCs w:val="21"/>
                <w:highlight w:val="none"/>
              </w:rPr>
            </w:pPr>
          </w:p>
        </w:tc>
      </w:tr>
    </w:tbl>
    <w:p w14:paraId="38929941">
      <w:pPr>
        <w:pStyle w:val="27"/>
        <w:shd w:val="clear"/>
        <w:tabs>
          <w:tab w:val="left" w:pos="2127"/>
        </w:tabs>
        <w:spacing w:line="340" w:lineRule="exact"/>
        <w:ind w:firstLine="420" w:firstLineChars="200"/>
        <w:jc w:val="left"/>
        <w:rPr>
          <w:rFonts w:ascii="Times New Roman" w:hAnsi="Times New Roman" w:cs="Times New Roman"/>
          <w:color w:val="auto"/>
          <w:highlight w:val="none"/>
        </w:rPr>
      </w:pPr>
      <w:bookmarkStart w:id="103" w:name="_Hlk48144603"/>
      <w:r>
        <w:rPr>
          <w:rFonts w:ascii="Times New Roman" w:hAnsi="Times New Roman" w:cs="Times New Roman"/>
          <w:color w:val="auto"/>
          <w:highlight w:val="none"/>
        </w:rPr>
        <w:t>注：</w:t>
      </w:r>
      <w:bookmarkStart w:id="104"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6B0E1838">
      <w:pPr>
        <w:pStyle w:val="27"/>
        <w:shd w:val="clear"/>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16C412BC">
      <w:pPr>
        <w:shd w:val="clea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104"/>
    <w:p w14:paraId="7B0F6978">
      <w:pPr>
        <w:pStyle w:val="27"/>
        <w:shd w:val="clear"/>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103"/>
    <w:p w14:paraId="194E231F">
      <w:pPr>
        <w:shd w:val="clea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65A61FEC">
      <w:pPr>
        <w:shd w:val="clear"/>
        <w:snapToGrid w:val="0"/>
        <w:spacing w:before="50" w:after="120" w:afterLines="50" w:line="440" w:lineRule="exact"/>
        <w:jc w:val="left"/>
        <w:rPr>
          <w:color w:val="auto"/>
          <w:spacing w:val="20"/>
          <w:szCs w:val="21"/>
          <w:highlight w:val="none"/>
          <w:u w:val="single"/>
        </w:rPr>
      </w:pPr>
    </w:p>
    <w:p w14:paraId="31237B66">
      <w:pPr>
        <w:pStyle w:val="27"/>
        <w:shd w:val="clear"/>
        <w:tabs>
          <w:tab w:val="left" w:pos="2127"/>
        </w:tabs>
        <w:spacing w:line="340" w:lineRule="exact"/>
        <w:ind w:firstLine="420" w:firstLineChars="200"/>
        <w:jc w:val="left"/>
        <w:rPr>
          <w:rFonts w:ascii="Times New Roman" w:hAnsi="Times New Roman" w:cs="Times New Roman"/>
          <w:color w:val="auto"/>
          <w:highlight w:val="none"/>
        </w:rPr>
      </w:pPr>
    </w:p>
    <w:p w14:paraId="3941C9A7">
      <w:pPr>
        <w:shd w:val="clear"/>
        <w:snapToGrid w:val="0"/>
        <w:spacing w:before="50" w:after="120" w:afterLines="50" w:line="440" w:lineRule="exact"/>
        <w:jc w:val="left"/>
        <w:rPr>
          <w:color w:val="auto"/>
          <w:szCs w:val="21"/>
          <w:highlight w:val="none"/>
        </w:rPr>
      </w:pPr>
    </w:p>
    <w:p w14:paraId="2BE1DE17">
      <w:pPr>
        <w:shd w:val="clear"/>
        <w:snapToGrid w:val="0"/>
        <w:spacing w:before="50" w:after="120" w:afterLines="50"/>
        <w:jc w:val="left"/>
        <w:rPr>
          <w:color w:val="auto"/>
          <w:szCs w:val="21"/>
          <w:highlight w:val="none"/>
        </w:rPr>
      </w:pPr>
      <w:r>
        <w:rPr>
          <w:rFonts w:hint="eastAsia"/>
          <w:color w:val="auto"/>
          <w:szCs w:val="21"/>
          <w:highlight w:val="none"/>
          <w:lang w:val="en-US" w:eastAsia="zh-CN"/>
        </w:rPr>
        <w:t>5</w:t>
      </w:r>
      <w:r>
        <w:rPr>
          <w:color w:val="auto"/>
          <w:szCs w:val="21"/>
          <w:highlight w:val="none"/>
        </w:rPr>
        <w:t>．供应商认为需提供的其他材料（根据采购文件编写）</w:t>
      </w:r>
    </w:p>
    <w:p w14:paraId="1311EAB4">
      <w:pPr>
        <w:shd w:val="clear"/>
        <w:rPr>
          <w:color w:val="auto"/>
          <w:szCs w:val="21"/>
          <w:highlight w:val="none"/>
        </w:rPr>
      </w:pPr>
      <w:r>
        <w:rPr>
          <w:color w:val="auto"/>
          <w:szCs w:val="21"/>
          <w:highlight w:val="none"/>
        </w:rPr>
        <w:br w:type="page"/>
      </w:r>
    </w:p>
    <w:p w14:paraId="3165C6C5">
      <w:pPr>
        <w:shd w:val="clear"/>
        <w:snapToGrid w:val="0"/>
        <w:spacing w:before="50" w:after="120" w:afterLines="50"/>
        <w:jc w:val="left"/>
        <w:rPr>
          <w:color w:val="auto"/>
          <w:szCs w:val="21"/>
          <w:highlight w:val="none"/>
        </w:rPr>
        <w:sectPr>
          <w:headerReference r:id="rId19" w:type="default"/>
          <w:footerReference r:id="rId20" w:type="default"/>
          <w:pgSz w:w="11906" w:h="16838"/>
          <w:pgMar w:top="1418" w:right="1418" w:bottom="1418" w:left="1274" w:header="851" w:footer="992" w:gutter="0"/>
          <w:cols w:space="720" w:num="1"/>
          <w:docGrid w:linePitch="312" w:charSpace="0"/>
        </w:sectPr>
      </w:pPr>
    </w:p>
    <w:p w14:paraId="28874311">
      <w:pPr>
        <w:shd w:val="clear"/>
        <w:snapToGrid w:val="0"/>
        <w:spacing w:before="50" w:after="120" w:afterLines="50"/>
        <w:jc w:val="left"/>
        <w:rPr>
          <w:b/>
          <w:color w:val="auto"/>
          <w:szCs w:val="21"/>
          <w:highlight w:val="none"/>
        </w:rPr>
      </w:pPr>
      <w:r>
        <w:rPr>
          <w:rFonts w:hint="eastAsia"/>
          <w:color w:val="auto"/>
          <w:szCs w:val="21"/>
          <w:highlight w:val="none"/>
          <w:lang w:val="en-US" w:eastAsia="zh-CN"/>
        </w:rPr>
        <w:t>6</w:t>
      </w:r>
      <w:r>
        <w:rPr>
          <w:color w:val="auto"/>
          <w:szCs w:val="21"/>
          <w:highlight w:val="none"/>
        </w:rPr>
        <w:t>．近年供应商类似成功案例的业绩证明</w:t>
      </w:r>
    </w:p>
    <w:p w14:paraId="6824B24C">
      <w:pPr>
        <w:shd w:val="clear"/>
        <w:snapToGrid w:val="0"/>
        <w:spacing w:before="50" w:after="120" w:afterLines="50"/>
        <w:jc w:val="center"/>
        <w:rPr>
          <w:color w:val="auto"/>
          <w:szCs w:val="21"/>
          <w:highlight w:val="none"/>
        </w:rPr>
      </w:pPr>
      <w:r>
        <w:rPr>
          <w:b/>
          <w:color w:val="auto"/>
          <w:szCs w:val="21"/>
          <w:highlight w:val="none"/>
        </w:rPr>
        <w:t>类似成功案例业绩一览表</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1"/>
        <w:gridCol w:w="3862"/>
        <w:gridCol w:w="3269"/>
        <w:gridCol w:w="1031"/>
        <w:gridCol w:w="1031"/>
        <w:gridCol w:w="1376"/>
        <w:gridCol w:w="2063"/>
      </w:tblGrid>
      <w:tr w14:paraId="7EFF3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1" w:hRule="atLeast"/>
        </w:trPr>
        <w:tc>
          <w:tcPr>
            <w:tcW w:w="1161" w:type="dxa"/>
            <w:tcBorders>
              <w:top w:val="single" w:color="auto" w:sz="4" w:space="0"/>
              <w:left w:val="single" w:color="auto" w:sz="4" w:space="0"/>
              <w:right w:val="single" w:color="auto" w:sz="4" w:space="0"/>
            </w:tcBorders>
          </w:tcPr>
          <w:p w14:paraId="62D9069E">
            <w:pPr>
              <w:shd w:val="clear"/>
              <w:snapToGrid w:val="0"/>
              <w:spacing w:line="240" w:lineRule="exact"/>
              <w:jc w:val="center"/>
              <w:rPr>
                <w:color w:val="auto"/>
                <w:szCs w:val="21"/>
                <w:highlight w:val="none"/>
              </w:rPr>
            </w:pPr>
          </w:p>
          <w:p w14:paraId="3ADFC2A6">
            <w:pPr>
              <w:shd w:val="clear"/>
              <w:snapToGrid w:val="0"/>
              <w:spacing w:line="240" w:lineRule="exact"/>
              <w:jc w:val="center"/>
              <w:rPr>
                <w:color w:val="auto"/>
                <w:szCs w:val="21"/>
                <w:highlight w:val="none"/>
              </w:rPr>
            </w:pPr>
          </w:p>
          <w:p w14:paraId="353B3FAF">
            <w:pPr>
              <w:shd w:val="clear"/>
              <w:snapToGrid w:val="0"/>
              <w:spacing w:line="240" w:lineRule="exact"/>
              <w:jc w:val="center"/>
              <w:rPr>
                <w:color w:val="auto"/>
                <w:szCs w:val="21"/>
                <w:highlight w:val="none"/>
              </w:rPr>
            </w:pPr>
            <w:r>
              <w:rPr>
                <w:rFonts w:hint="eastAsia"/>
                <w:color w:val="auto"/>
                <w:szCs w:val="21"/>
                <w:highlight w:val="none"/>
              </w:rPr>
              <w:t>序号</w:t>
            </w:r>
          </w:p>
        </w:tc>
        <w:tc>
          <w:tcPr>
            <w:tcW w:w="3862" w:type="dxa"/>
            <w:tcBorders>
              <w:top w:val="single" w:color="auto" w:sz="4" w:space="0"/>
              <w:left w:val="single" w:color="auto" w:sz="4" w:space="0"/>
              <w:bottom w:val="single" w:color="auto" w:sz="4" w:space="0"/>
              <w:right w:val="single" w:color="auto" w:sz="4" w:space="0"/>
            </w:tcBorders>
            <w:vAlign w:val="center"/>
          </w:tcPr>
          <w:p w14:paraId="3D06ED33">
            <w:pPr>
              <w:shd w:val="clear"/>
              <w:snapToGrid w:val="0"/>
              <w:spacing w:line="240" w:lineRule="exact"/>
              <w:jc w:val="center"/>
              <w:rPr>
                <w:color w:val="auto"/>
                <w:szCs w:val="21"/>
                <w:highlight w:val="none"/>
              </w:rPr>
            </w:pPr>
            <w:r>
              <w:rPr>
                <w:color w:val="auto"/>
                <w:szCs w:val="21"/>
                <w:highlight w:val="none"/>
              </w:rPr>
              <w:t>采购单位名称</w:t>
            </w:r>
          </w:p>
        </w:tc>
        <w:tc>
          <w:tcPr>
            <w:tcW w:w="3269" w:type="dxa"/>
            <w:tcBorders>
              <w:top w:val="single" w:color="auto" w:sz="4" w:space="0"/>
              <w:left w:val="single" w:color="auto" w:sz="4" w:space="0"/>
              <w:bottom w:val="single" w:color="auto" w:sz="4" w:space="0"/>
              <w:right w:val="single" w:color="auto" w:sz="4" w:space="0"/>
            </w:tcBorders>
            <w:vAlign w:val="center"/>
          </w:tcPr>
          <w:p w14:paraId="4DC68216">
            <w:pPr>
              <w:shd w:val="clear"/>
              <w:snapToGrid w:val="0"/>
              <w:spacing w:line="240" w:lineRule="exact"/>
              <w:jc w:val="center"/>
              <w:rPr>
                <w:color w:val="auto"/>
                <w:szCs w:val="21"/>
                <w:highlight w:val="none"/>
              </w:rPr>
            </w:pPr>
            <w:r>
              <w:rPr>
                <w:color w:val="auto"/>
                <w:szCs w:val="21"/>
                <w:highlight w:val="none"/>
              </w:rPr>
              <w:t>项目名称或服务内容</w:t>
            </w:r>
          </w:p>
        </w:tc>
        <w:tc>
          <w:tcPr>
            <w:tcW w:w="1031" w:type="dxa"/>
            <w:tcBorders>
              <w:top w:val="single" w:color="auto" w:sz="4" w:space="0"/>
              <w:left w:val="single" w:color="auto" w:sz="4" w:space="0"/>
              <w:bottom w:val="single" w:color="auto" w:sz="4" w:space="0"/>
              <w:right w:val="single" w:color="auto" w:sz="4" w:space="0"/>
            </w:tcBorders>
            <w:vAlign w:val="center"/>
          </w:tcPr>
          <w:p w14:paraId="5379678C">
            <w:pPr>
              <w:shd w:val="clear"/>
              <w:snapToGrid w:val="0"/>
              <w:spacing w:line="240" w:lineRule="exact"/>
              <w:jc w:val="center"/>
              <w:rPr>
                <w:color w:val="auto"/>
                <w:szCs w:val="21"/>
                <w:highlight w:val="none"/>
              </w:rPr>
            </w:pPr>
            <w:r>
              <w:rPr>
                <w:color w:val="auto"/>
                <w:szCs w:val="21"/>
                <w:highlight w:val="none"/>
              </w:rPr>
              <w:t>服务</w:t>
            </w:r>
          </w:p>
          <w:p w14:paraId="738652BA">
            <w:pPr>
              <w:shd w:val="clear"/>
              <w:snapToGrid w:val="0"/>
              <w:spacing w:line="240" w:lineRule="exact"/>
              <w:jc w:val="center"/>
              <w:rPr>
                <w:color w:val="auto"/>
                <w:szCs w:val="21"/>
                <w:highlight w:val="none"/>
              </w:rPr>
            </w:pPr>
            <w:r>
              <w:rPr>
                <w:color w:val="auto"/>
                <w:szCs w:val="21"/>
                <w:highlight w:val="none"/>
              </w:rPr>
              <w:t>数量或年限</w:t>
            </w:r>
          </w:p>
        </w:tc>
        <w:tc>
          <w:tcPr>
            <w:tcW w:w="1031" w:type="dxa"/>
            <w:tcBorders>
              <w:top w:val="single" w:color="auto" w:sz="4" w:space="0"/>
              <w:left w:val="single" w:color="auto" w:sz="4" w:space="0"/>
              <w:bottom w:val="single" w:color="auto" w:sz="4" w:space="0"/>
              <w:right w:val="single" w:color="auto" w:sz="4" w:space="0"/>
            </w:tcBorders>
            <w:vAlign w:val="center"/>
          </w:tcPr>
          <w:p w14:paraId="0320A6DB">
            <w:pPr>
              <w:shd w:val="clear"/>
              <w:snapToGrid w:val="0"/>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1376" w:type="dxa"/>
            <w:tcBorders>
              <w:top w:val="single" w:color="auto" w:sz="4" w:space="0"/>
              <w:left w:val="single" w:color="auto" w:sz="4" w:space="0"/>
              <w:bottom w:val="single" w:color="auto" w:sz="4" w:space="0"/>
              <w:right w:val="single" w:color="auto" w:sz="4" w:space="0"/>
            </w:tcBorders>
            <w:vAlign w:val="center"/>
          </w:tcPr>
          <w:p w14:paraId="16ADC7A6">
            <w:pPr>
              <w:shd w:val="clear"/>
              <w:snapToGrid w:val="0"/>
              <w:spacing w:line="240" w:lineRule="exact"/>
              <w:jc w:val="center"/>
              <w:rPr>
                <w:color w:val="auto"/>
                <w:szCs w:val="21"/>
                <w:highlight w:val="none"/>
              </w:rPr>
            </w:pPr>
            <w:r>
              <w:rPr>
                <w:color w:val="auto"/>
                <w:szCs w:val="21"/>
                <w:highlight w:val="none"/>
              </w:rPr>
              <w:t>合同</w:t>
            </w:r>
            <w:r>
              <w:rPr>
                <w:rFonts w:hint="eastAsia"/>
                <w:color w:val="auto"/>
                <w:szCs w:val="21"/>
                <w:highlight w:val="none"/>
              </w:rPr>
              <w:t>总价</w:t>
            </w:r>
          </w:p>
          <w:p w14:paraId="23D0E59A">
            <w:pPr>
              <w:shd w:val="clear"/>
              <w:snapToGrid w:val="0"/>
              <w:spacing w:line="240" w:lineRule="exact"/>
              <w:jc w:val="center"/>
              <w:rPr>
                <w:color w:val="auto"/>
                <w:szCs w:val="21"/>
                <w:highlight w:val="none"/>
              </w:rPr>
            </w:pPr>
            <w:r>
              <w:rPr>
                <w:color w:val="auto"/>
                <w:szCs w:val="21"/>
                <w:highlight w:val="none"/>
              </w:rPr>
              <w:t>（元）</w:t>
            </w:r>
          </w:p>
        </w:tc>
        <w:tc>
          <w:tcPr>
            <w:tcW w:w="2063" w:type="dxa"/>
            <w:tcBorders>
              <w:top w:val="single" w:color="auto" w:sz="4" w:space="0"/>
              <w:left w:val="single" w:color="auto" w:sz="4" w:space="0"/>
              <w:bottom w:val="single" w:color="auto" w:sz="4" w:space="0"/>
              <w:right w:val="single" w:color="auto" w:sz="4" w:space="0"/>
            </w:tcBorders>
            <w:vAlign w:val="center"/>
          </w:tcPr>
          <w:p w14:paraId="20051B91">
            <w:pPr>
              <w:shd w:val="clear"/>
              <w:jc w:val="center"/>
              <w:rPr>
                <w:color w:val="auto"/>
                <w:szCs w:val="21"/>
                <w:highlight w:val="none"/>
              </w:rPr>
            </w:pPr>
            <w:r>
              <w:rPr>
                <w:color w:val="auto"/>
                <w:szCs w:val="21"/>
                <w:highlight w:val="none"/>
              </w:rPr>
              <w:t>采购单位联系人及联系电话</w:t>
            </w:r>
          </w:p>
        </w:tc>
      </w:tr>
      <w:tr w14:paraId="7589B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161" w:type="dxa"/>
            <w:tcBorders>
              <w:top w:val="single" w:color="auto" w:sz="4" w:space="0"/>
              <w:left w:val="single" w:color="auto" w:sz="4" w:space="0"/>
              <w:bottom w:val="single" w:color="auto" w:sz="4" w:space="0"/>
              <w:right w:val="single" w:color="auto" w:sz="4" w:space="0"/>
            </w:tcBorders>
          </w:tcPr>
          <w:p w14:paraId="20B75465">
            <w:pPr>
              <w:shd w:val="clear"/>
              <w:snapToGrid w:val="0"/>
              <w:spacing w:line="24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342D64F5">
            <w:pPr>
              <w:shd w:val="clear"/>
              <w:snapToGrid w:val="0"/>
              <w:spacing w:line="24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4C86E2AB">
            <w:pPr>
              <w:shd w:val="clear"/>
              <w:snapToGrid w:val="0"/>
              <w:spacing w:line="24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6DB2A7E3">
            <w:pPr>
              <w:shd w:val="clear"/>
              <w:snapToGrid w:val="0"/>
              <w:spacing w:line="24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79DFB3A3">
            <w:pPr>
              <w:shd w:val="clear"/>
              <w:snapToGrid w:val="0"/>
              <w:spacing w:line="24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15FB5DF1">
            <w:pPr>
              <w:shd w:val="clear"/>
              <w:snapToGrid w:val="0"/>
              <w:spacing w:line="24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674FA56A">
            <w:pPr>
              <w:shd w:val="clear"/>
              <w:snapToGrid w:val="0"/>
              <w:spacing w:line="240" w:lineRule="exact"/>
              <w:jc w:val="left"/>
              <w:rPr>
                <w:color w:val="auto"/>
                <w:szCs w:val="21"/>
                <w:highlight w:val="none"/>
              </w:rPr>
            </w:pPr>
          </w:p>
        </w:tc>
      </w:tr>
      <w:tr w14:paraId="5B93D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401386C0">
            <w:pPr>
              <w:shd w:val="clear"/>
              <w:snapToGrid w:val="0"/>
              <w:spacing w:before="50" w:after="120" w:afterLines="50" w:line="40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482554A2">
            <w:pPr>
              <w:shd w:val="clear"/>
              <w:snapToGrid w:val="0"/>
              <w:spacing w:before="50" w:after="120" w:afterLines="50" w:line="40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5B2C9F5F">
            <w:pPr>
              <w:shd w:val="clea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59EAD527">
            <w:pPr>
              <w:shd w:val="clea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21002A9D">
            <w:pPr>
              <w:shd w:val="clear"/>
              <w:snapToGrid w:val="0"/>
              <w:spacing w:before="50" w:after="120" w:afterLines="50" w:line="40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1E6F7CAA">
            <w:pPr>
              <w:shd w:val="clear"/>
              <w:snapToGrid w:val="0"/>
              <w:spacing w:before="50" w:after="120" w:afterLines="50" w:line="40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360E3F01">
            <w:pPr>
              <w:shd w:val="clear"/>
              <w:snapToGrid w:val="0"/>
              <w:spacing w:before="50" w:after="120" w:afterLines="50" w:line="400" w:lineRule="exact"/>
              <w:jc w:val="left"/>
              <w:rPr>
                <w:color w:val="auto"/>
                <w:szCs w:val="21"/>
                <w:highlight w:val="none"/>
              </w:rPr>
            </w:pPr>
          </w:p>
        </w:tc>
      </w:tr>
      <w:tr w14:paraId="0CBC6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61" w:type="dxa"/>
            <w:tcBorders>
              <w:top w:val="single" w:color="auto" w:sz="4" w:space="0"/>
              <w:left w:val="single" w:color="auto" w:sz="4" w:space="0"/>
              <w:bottom w:val="single" w:color="auto" w:sz="4" w:space="0"/>
              <w:right w:val="single" w:color="auto" w:sz="4" w:space="0"/>
            </w:tcBorders>
          </w:tcPr>
          <w:p w14:paraId="5232A290">
            <w:pPr>
              <w:shd w:val="clear"/>
              <w:snapToGrid w:val="0"/>
              <w:spacing w:before="50" w:after="120" w:afterLines="50" w:line="40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7B935962">
            <w:pPr>
              <w:shd w:val="clear"/>
              <w:snapToGrid w:val="0"/>
              <w:spacing w:before="50" w:after="120" w:afterLines="50" w:line="40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5ED8F418">
            <w:pPr>
              <w:shd w:val="clea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44192159">
            <w:pPr>
              <w:shd w:val="clea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13212B00">
            <w:pPr>
              <w:shd w:val="clear"/>
              <w:snapToGrid w:val="0"/>
              <w:spacing w:before="50" w:after="120" w:afterLines="50" w:line="40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7A7B6667">
            <w:pPr>
              <w:shd w:val="clear"/>
              <w:snapToGrid w:val="0"/>
              <w:spacing w:before="50" w:after="120" w:afterLines="50" w:line="40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6B148197">
            <w:pPr>
              <w:shd w:val="clear"/>
              <w:snapToGrid w:val="0"/>
              <w:spacing w:before="50" w:after="120" w:afterLines="50" w:line="400" w:lineRule="exact"/>
              <w:jc w:val="left"/>
              <w:rPr>
                <w:color w:val="auto"/>
                <w:szCs w:val="21"/>
                <w:highlight w:val="none"/>
              </w:rPr>
            </w:pPr>
          </w:p>
        </w:tc>
      </w:tr>
      <w:tr w14:paraId="5D5C1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32DE7DFF">
            <w:pPr>
              <w:shd w:val="clear"/>
              <w:snapToGrid w:val="0"/>
              <w:spacing w:before="50" w:after="120" w:afterLines="50" w:line="40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1C946253">
            <w:pPr>
              <w:shd w:val="clear"/>
              <w:snapToGrid w:val="0"/>
              <w:spacing w:before="50" w:after="120" w:afterLines="50" w:line="40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038CD6F5">
            <w:pPr>
              <w:shd w:val="clea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4D1F2F73">
            <w:pPr>
              <w:shd w:val="clea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406C1C54">
            <w:pPr>
              <w:shd w:val="clear"/>
              <w:snapToGrid w:val="0"/>
              <w:spacing w:before="50" w:after="120" w:afterLines="50" w:line="40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0E879C48">
            <w:pPr>
              <w:shd w:val="clear"/>
              <w:snapToGrid w:val="0"/>
              <w:spacing w:before="50" w:after="120" w:afterLines="50" w:line="40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038340DD">
            <w:pPr>
              <w:shd w:val="clear"/>
              <w:snapToGrid w:val="0"/>
              <w:spacing w:before="50" w:after="120" w:afterLines="50" w:line="400" w:lineRule="exact"/>
              <w:jc w:val="left"/>
              <w:rPr>
                <w:color w:val="auto"/>
                <w:szCs w:val="21"/>
                <w:highlight w:val="none"/>
              </w:rPr>
            </w:pPr>
          </w:p>
        </w:tc>
      </w:tr>
      <w:tr w14:paraId="6E86F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1161" w:type="dxa"/>
            <w:tcBorders>
              <w:top w:val="single" w:color="auto" w:sz="4" w:space="0"/>
              <w:left w:val="single" w:color="auto" w:sz="4" w:space="0"/>
              <w:bottom w:val="single" w:color="auto" w:sz="4" w:space="0"/>
              <w:right w:val="single" w:color="auto" w:sz="4" w:space="0"/>
            </w:tcBorders>
          </w:tcPr>
          <w:p w14:paraId="30AF112D">
            <w:pPr>
              <w:shd w:val="clear"/>
              <w:snapToGrid w:val="0"/>
              <w:spacing w:before="50" w:after="120" w:afterLines="50" w:line="40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4732BA9F">
            <w:pPr>
              <w:shd w:val="clear"/>
              <w:snapToGrid w:val="0"/>
              <w:spacing w:before="50" w:after="120" w:afterLines="50" w:line="40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002E4659">
            <w:pPr>
              <w:shd w:val="clea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0A4D7CFB">
            <w:pPr>
              <w:shd w:val="clea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59C068F3">
            <w:pPr>
              <w:shd w:val="clear"/>
              <w:snapToGrid w:val="0"/>
              <w:spacing w:before="50" w:after="120" w:afterLines="50" w:line="40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45870A3C">
            <w:pPr>
              <w:shd w:val="clear"/>
              <w:snapToGrid w:val="0"/>
              <w:spacing w:before="50" w:after="120" w:afterLines="50" w:line="40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68A073CA">
            <w:pPr>
              <w:shd w:val="clear"/>
              <w:snapToGrid w:val="0"/>
              <w:spacing w:before="50" w:after="120" w:afterLines="50" w:line="400" w:lineRule="exact"/>
              <w:jc w:val="left"/>
              <w:rPr>
                <w:color w:val="auto"/>
                <w:szCs w:val="21"/>
                <w:highlight w:val="none"/>
              </w:rPr>
            </w:pPr>
          </w:p>
        </w:tc>
      </w:tr>
    </w:tbl>
    <w:p w14:paraId="4BCA2162">
      <w:pPr>
        <w:pStyle w:val="15"/>
        <w:shd w:val="clear"/>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246F840B">
      <w:pPr>
        <w:pStyle w:val="15"/>
        <w:shd w:val="clear"/>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见第四章《评审方法及标准》规定</w:t>
      </w:r>
      <w:r>
        <w:rPr>
          <w:rFonts w:hint="eastAsia" w:ascii="Times New Roman" w:hAnsi="Times New Roman" w:eastAsia="宋体" w:cs="Times New Roman"/>
          <w:color w:val="auto"/>
          <w:sz w:val="21"/>
          <w:szCs w:val="21"/>
          <w:highlight w:val="none"/>
        </w:rPr>
        <w:t>。</w:t>
      </w:r>
    </w:p>
    <w:p w14:paraId="652972DC">
      <w:pPr>
        <w:pStyle w:val="15"/>
        <w:shd w:val="clear"/>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（2）</w:t>
      </w:r>
      <w:r>
        <w:rPr>
          <w:rFonts w:ascii="Times New Roman" w:hAnsi="Times New Roman" w:eastAsia="宋体" w:cs="Times New Roman"/>
          <w:color w:val="auto"/>
          <w:sz w:val="21"/>
          <w:szCs w:val="21"/>
          <w:highlight w:val="none"/>
        </w:rPr>
        <w:t>类似项目的定义见第四章《评审方法及标准》规定。</w:t>
      </w:r>
    </w:p>
    <w:p w14:paraId="02284C19">
      <w:pPr>
        <w:shd w:val="clear"/>
        <w:rPr>
          <w:color w:val="auto"/>
          <w:highlight w:val="none"/>
        </w:rPr>
      </w:pPr>
      <w:r>
        <w:rPr>
          <w:color w:val="auto"/>
          <w:szCs w:val="21"/>
          <w:highlight w:val="none"/>
        </w:rPr>
        <w:t>（3）</w:t>
      </w:r>
      <w:r>
        <w:rPr>
          <w:color w:val="auto"/>
          <w:highlight w:val="none"/>
        </w:rPr>
        <w:t>本表可拓展</w:t>
      </w:r>
    </w:p>
    <w:p w14:paraId="5EFC1D51">
      <w:pPr>
        <w:shd w:val="clear"/>
        <w:snapToGrid w:val="0"/>
        <w:spacing w:before="50"/>
        <w:jc w:val="left"/>
        <w:rPr>
          <w:color w:val="auto"/>
          <w:szCs w:val="21"/>
          <w:highlight w:val="none"/>
        </w:rPr>
      </w:pPr>
    </w:p>
    <w:p w14:paraId="08FD9C26">
      <w:pPr>
        <w:shd w:val="clear"/>
        <w:snapToGrid w:val="0"/>
        <w:spacing w:before="50"/>
        <w:jc w:val="left"/>
        <w:rPr>
          <w:color w:val="auto"/>
          <w:szCs w:val="21"/>
          <w:highlight w:val="none"/>
        </w:rPr>
        <w:sectPr>
          <w:pgSz w:w="16838" w:h="11906" w:orient="landscape"/>
          <w:pgMar w:top="1276" w:right="1418" w:bottom="1417" w:left="1418" w:header="851" w:footer="992" w:gutter="0"/>
          <w:cols w:space="0" w:num="1"/>
          <w:docGrid w:linePitch="312" w:charSpace="0"/>
        </w:sect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年    月  </w:t>
      </w:r>
      <w:r>
        <w:rPr>
          <w:rFonts w:hint="eastAsia"/>
          <w:color w:val="auto"/>
          <w:szCs w:val="21"/>
          <w:highlight w:val="none"/>
        </w:rPr>
        <w:t>日</w:t>
      </w:r>
      <w:r>
        <w:rPr>
          <w:color w:val="auto"/>
          <w:szCs w:val="21"/>
          <w:highlight w:val="none"/>
        </w:rPr>
        <w:t xml:space="preserve"> </w:t>
      </w:r>
    </w:p>
    <w:p w14:paraId="045C219E">
      <w:pPr>
        <w:shd w:val="clear"/>
        <w:snapToGrid w:val="0"/>
        <w:spacing w:before="50" w:after="120" w:afterLines="50"/>
        <w:jc w:val="left"/>
        <w:rPr>
          <w:color w:val="auto"/>
          <w:szCs w:val="21"/>
          <w:highlight w:val="none"/>
        </w:rPr>
      </w:pPr>
      <w:bookmarkStart w:id="105" w:name="_Hlk93046716"/>
      <w:bookmarkStart w:id="106" w:name="_Hlk19110561"/>
      <w:r>
        <w:rPr>
          <w:rFonts w:hint="eastAsia"/>
          <w:color w:val="auto"/>
          <w:szCs w:val="21"/>
          <w:highlight w:val="none"/>
          <w:lang w:val="en-US" w:eastAsia="zh-CN"/>
        </w:rPr>
        <w:t>7</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p>
    <w:p w14:paraId="5D826CA2">
      <w:pPr>
        <w:shd w:val="clear"/>
        <w:snapToGrid w:val="0"/>
        <w:spacing w:before="50" w:after="120" w:afterLines="50"/>
        <w:jc w:val="center"/>
        <w:rPr>
          <w:color w:val="auto"/>
          <w:szCs w:val="21"/>
          <w:highlight w:val="none"/>
        </w:rPr>
      </w:pPr>
    </w:p>
    <w:p w14:paraId="6F8E7291">
      <w:pPr>
        <w:shd w:val="clea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46CE1E36">
      <w:pPr>
        <w:shd w:val="clear"/>
        <w:snapToGrid w:val="0"/>
        <w:spacing w:before="50" w:after="120" w:afterLines="50"/>
        <w:jc w:val="left"/>
        <w:rPr>
          <w:color w:val="auto"/>
          <w:szCs w:val="21"/>
          <w:highlight w:val="none"/>
        </w:rPr>
      </w:pPr>
    </w:p>
    <w:p w14:paraId="6C69C911">
      <w:pPr>
        <w:shd w:val="clea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31538E02">
      <w:pPr>
        <w:shd w:val="clea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6D7BADE1">
      <w:pPr>
        <w:shd w:val="clea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3CCA71B2">
      <w:pPr>
        <w:shd w:val="clea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3D78954D">
      <w:pPr>
        <w:shd w:val="clea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56048A6E">
      <w:pPr>
        <w:shd w:val="clea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073F878A">
      <w:pPr>
        <w:shd w:val="clear"/>
        <w:snapToGrid w:val="0"/>
        <w:spacing w:before="50" w:after="120" w:afterLines="50"/>
        <w:jc w:val="left"/>
        <w:rPr>
          <w:color w:val="auto"/>
          <w:szCs w:val="21"/>
          <w:highlight w:val="none"/>
        </w:rPr>
      </w:pPr>
      <w:r>
        <w:rPr>
          <w:rFonts w:hint="eastAsia"/>
          <w:color w:val="auto"/>
          <w:szCs w:val="21"/>
          <w:highlight w:val="none"/>
        </w:rPr>
        <w:t>6.不同供应商的磋商保证金从同一单位或者个人账户转出。</w:t>
      </w:r>
    </w:p>
    <w:p w14:paraId="2B3F69FD">
      <w:pPr>
        <w:shd w:val="clea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3AD1D2DF">
      <w:pPr>
        <w:shd w:val="clea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1E938530">
      <w:pPr>
        <w:shd w:val="clea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1C69438D">
      <w:pPr>
        <w:shd w:val="clea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0D514C25">
      <w:pPr>
        <w:shd w:val="clea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02E2EBB5">
      <w:pPr>
        <w:shd w:val="clea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56791E13">
      <w:pPr>
        <w:shd w:val="clea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7F8395E5">
      <w:pPr>
        <w:shd w:val="clea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761A5E9C">
      <w:pPr>
        <w:shd w:val="clea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6CAC8094">
      <w:pPr>
        <w:shd w:val="clea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30CD9BFD">
      <w:pPr>
        <w:shd w:val="clear"/>
        <w:snapToGrid w:val="0"/>
        <w:spacing w:before="50" w:after="120" w:afterLines="50"/>
        <w:jc w:val="center"/>
        <w:rPr>
          <w:color w:val="auto"/>
          <w:szCs w:val="21"/>
          <w:highlight w:val="none"/>
        </w:rPr>
      </w:pPr>
    </w:p>
    <w:p w14:paraId="5AE5F3E1">
      <w:pPr>
        <w:shd w:val="clear"/>
        <w:snapToGrid w:val="0"/>
        <w:spacing w:before="50" w:after="120" w:afterLines="50"/>
        <w:jc w:val="center"/>
        <w:rPr>
          <w:color w:val="auto"/>
          <w:szCs w:val="21"/>
          <w:highlight w:val="none"/>
        </w:rPr>
      </w:pPr>
    </w:p>
    <w:p w14:paraId="42C9D6B4">
      <w:pPr>
        <w:shd w:val="clea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543E9AAB">
      <w:pPr>
        <w:shd w:val="clear"/>
        <w:snapToGrid w:val="0"/>
        <w:spacing w:before="50" w:after="120" w:afterLines="50"/>
        <w:jc w:val="center"/>
        <w:rPr>
          <w:color w:val="auto"/>
          <w:szCs w:val="21"/>
          <w:highlight w:val="none"/>
        </w:rPr>
      </w:pPr>
      <w:r>
        <w:rPr>
          <w:rFonts w:hint="eastAsia"/>
          <w:color w:val="auto"/>
          <w:szCs w:val="21"/>
          <w:highlight w:val="none"/>
        </w:rPr>
        <w:t>日期：  年  月   日</w:t>
      </w:r>
    </w:p>
    <w:p w14:paraId="00C085D1">
      <w:pPr>
        <w:shd w:val="clear"/>
        <w:snapToGrid w:val="0"/>
        <w:spacing w:before="50" w:after="120" w:afterLines="50"/>
        <w:jc w:val="left"/>
        <w:rPr>
          <w:color w:val="auto"/>
          <w:szCs w:val="21"/>
          <w:highlight w:val="none"/>
        </w:rPr>
        <w:sectPr>
          <w:headerReference r:id="rId21" w:type="default"/>
          <w:pgSz w:w="11906" w:h="16838"/>
          <w:pgMar w:top="1418" w:right="1274" w:bottom="1418" w:left="1418" w:header="851" w:footer="992" w:gutter="0"/>
          <w:cols w:space="720" w:num="1"/>
          <w:docGrid w:linePitch="312" w:charSpace="0"/>
        </w:sectPr>
      </w:pPr>
    </w:p>
    <w:bookmarkEnd w:id="105"/>
    <w:p w14:paraId="74DA416B">
      <w:pPr>
        <w:shd w:val="clear"/>
        <w:snapToGrid w:val="0"/>
        <w:spacing w:before="50" w:after="120" w:afterLines="50"/>
        <w:jc w:val="left"/>
        <w:rPr>
          <w:color w:val="auto"/>
          <w:szCs w:val="21"/>
          <w:highlight w:val="none"/>
        </w:rPr>
      </w:pPr>
      <w:r>
        <w:rPr>
          <w:rFonts w:hint="eastAsia"/>
          <w:color w:val="auto"/>
          <w:szCs w:val="21"/>
          <w:highlight w:val="none"/>
          <w:lang w:val="en-US" w:eastAsia="zh-CN"/>
        </w:rPr>
        <w:t>8</w:t>
      </w:r>
      <w:r>
        <w:rPr>
          <w:color w:val="auto"/>
          <w:szCs w:val="21"/>
          <w:highlight w:val="none"/>
        </w:rPr>
        <w:t>．代理服务费承诺书</w:t>
      </w:r>
      <w:bookmarkEnd w:id="106"/>
    </w:p>
    <w:p w14:paraId="740CA34D">
      <w:pPr>
        <w:shd w:val="clear"/>
        <w:spacing w:line="360" w:lineRule="exact"/>
        <w:rPr>
          <w:color w:val="auto"/>
          <w:szCs w:val="21"/>
          <w:highlight w:val="none"/>
        </w:rPr>
      </w:pPr>
      <w:bookmarkStart w:id="107" w:name="_Hlk19110490"/>
      <w:r>
        <w:rPr>
          <w:color w:val="auto"/>
          <w:szCs w:val="21"/>
          <w:highlight w:val="none"/>
        </w:rPr>
        <w:t>致：广西机电设备招标有限公司</w:t>
      </w:r>
    </w:p>
    <w:p w14:paraId="23E1A8E6">
      <w:pPr>
        <w:shd w:val="clear"/>
        <w:spacing w:line="360" w:lineRule="exact"/>
        <w:ind w:firstLine="420" w:firstLineChars="200"/>
        <w:rPr>
          <w:color w:val="auto"/>
          <w:szCs w:val="21"/>
          <w:highlight w:val="none"/>
        </w:rPr>
      </w:pPr>
      <w:r>
        <w:rPr>
          <w:color w:val="auto"/>
          <w:szCs w:val="21"/>
          <w:highlight w:val="none"/>
        </w:rPr>
        <w:t>我单位参加了贵方组织的磋商项目编号为</w:t>
      </w:r>
      <w:r>
        <w:rPr>
          <w:b/>
          <w:color w:val="auto"/>
          <w:szCs w:val="21"/>
          <w:highlight w:val="none"/>
        </w:rPr>
        <w:t>（</w:t>
      </w:r>
      <w:r>
        <w:rPr>
          <w:color w:val="auto"/>
          <w:szCs w:val="21"/>
          <w:highlight w:val="none"/>
          <w:u w:val="single"/>
        </w:rPr>
        <w:t xml:space="preserve">                    )</w:t>
      </w:r>
      <w:r>
        <w:rPr>
          <w:color w:val="auto"/>
          <w:szCs w:val="21"/>
          <w:highlight w:val="none"/>
        </w:rPr>
        <w:t>的响应，并递交了磋商保证金</w:t>
      </w:r>
      <w:r>
        <w:rPr>
          <w:color w:val="auto"/>
          <w:szCs w:val="21"/>
          <w:highlight w:val="none"/>
          <w:u w:val="single"/>
        </w:rPr>
        <w:t xml:space="preserve">                  </w:t>
      </w:r>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），在此我方说明如下：</w:t>
      </w:r>
    </w:p>
    <w:p w14:paraId="23195700">
      <w:pPr>
        <w:shd w:val="clear"/>
        <w:spacing w:line="360" w:lineRule="exact"/>
        <w:ind w:firstLine="420" w:firstLineChars="200"/>
        <w:rPr>
          <w:color w:val="auto"/>
          <w:szCs w:val="21"/>
          <w:highlight w:val="none"/>
        </w:rPr>
      </w:pPr>
      <w:r>
        <w:rPr>
          <w:color w:val="auto"/>
          <w:szCs w:val="21"/>
          <w:highlight w:val="none"/>
        </w:rPr>
        <w:t>1．我方承诺，若我单位</w:t>
      </w:r>
      <w:r>
        <w:rPr>
          <w:rFonts w:hint="eastAsia"/>
          <w:color w:val="auto"/>
          <w:szCs w:val="21"/>
          <w:highlight w:val="none"/>
        </w:rPr>
        <w:t>成交</w:t>
      </w:r>
      <w:r>
        <w:rPr>
          <w:color w:val="auto"/>
          <w:szCs w:val="21"/>
          <w:highlight w:val="none"/>
        </w:rPr>
        <w:t>，保证在领取</w:t>
      </w:r>
      <w:r>
        <w:rPr>
          <w:rFonts w:hint="eastAsia"/>
          <w:color w:val="auto"/>
          <w:szCs w:val="21"/>
          <w:highlight w:val="none"/>
        </w:rPr>
        <w:t>成交</w:t>
      </w:r>
      <w:r>
        <w:rPr>
          <w:color w:val="auto"/>
          <w:szCs w:val="21"/>
          <w:highlight w:val="none"/>
        </w:rPr>
        <w:t>通知书之前，按本项目</w:t>
      </w:r>
      <w:r>
        <w:rPr>
          <w:rFonts w:hint="eastAsia"/>
          <w:color w:val="auto"/>
          <w:szCs w:val="21"/>
          <w:highlight w:val="none"/>
        </w:rPr>
        <w:t>采购文件</w:t>
      </w:r>
      <w:r>
        <w:rPr>
          <w:color w:val="auto"/>
          <w:szCs w:val="21"/>
          <w:highlight w:val="none"/>
        </w:rPr>
        <w:t>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w:t>
      </w:r>
      <w:r>
        <w:rPr>
          <w:rFonts w:hint="eastAsia"/>
          <w:color w:val="auto"/>
          <w:szCs w:val="21"/>
          <w:highlight w:val="none"/>
        </w:rPr>
        <w:t>磋商</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bookmarkEnd w:id="107"/>
    <w:p w14:paraId="1E2B4D81">
      <w:pPr>
        <w:shd w:val="clear"/>
        <w:spacing w:line="360" w:lineRule="exact"/>
        <w:ind w:firstLine="420" w:firstLineChars="200"/>
        <w:rPr>
          <w:color w:val="auto"/>
          <w:szCs w:val="21"/>
          <w:highlight w:val="none"/>
        </w:rPr>
      </w:pPr>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7E4911AB">
      <w:pPr>
        <w:shd w:val="clear"/>
        <w:spacing w:line="360" w:lineRule="exact"/>
        <w:ind w:firstLine="420" w:firstLineChars="200"/>
        <w:rPr>
          <w:color w:val="auto"/>
          <w:szCs w:val="21"/>
          <w:highlight w:val="none"/>
        </w:rPr>
      </w:pPr>
      <w:r>
        <w:rPr>
          <w:color w:val="auto"/>
          <w:szCs w:val="21"/>
          <w:highlight w:val="none"/>
        </w:rPr>
        <w:t>第一种方式：一次性足额缴纳代理服务费。</w:t>
      </w:r>
    </w:p>
    <w:p w14:paraId="5437DC15">
      <w:pPr>
        <w:shd w:val="clear"/>
        <w:spacing w:line="360" w:lineRule="exact"/>
        <w:ind w:firstLine="420" w:firstLineChars="200"/>
        <w:rPr>
          <w:color w:val="auto"/>
          <w:szCs w:val="21"/>
          <w:highlight w:val="none"/>
        </w:rPr>
      </w:pPr>
      <w:r>
        <w:rPr>
          <w:color w:val="auto"/>
          <w:szCs w:val="21"/>
          <w:highlight w:val="none"/>
        </w:rPr>
        <w:t>第二种方式：从</w:t>
      </w:r>
      <w:r>
        <w:rPr>
          <w:rFonts w:hint="eastAsia"/>
          <w:color w:val="auto"/>
          <w:szCs w:val="21"/>
          <w:highlight w:val="none"/>
        </w:rPr>
        <w:t>磋商</w:t>
      </w:r>
      <w:r>
        <w:rPr>
          <w:color w:val="auto"/>
          <w:szCs w:val="21"/>
          <w:highlight w:val="none"/>
        </w:rPr>
        <w:t>保证金中抵扣代理服务费，不足部分补交。</w:t>
      </w:r>
    </w:p>
    <w:p w14:paraId="7E030158">
      <w:pPr>
        <w:shd w:val="clear"/>
        <w:spacing w:line="360" w:lineRule="exact"/>
        <w:ind w:firstLine="420" w:firstLineChars="200"/>
        <w:rPr>
          <w:color w:val="auto"/>
          <w:szCs w:val="21"/>
          <w:highlight w:val="none"/>
        </w:rPr>
      </w:pPr>
      <w:r>
        <w:rPr>
          <w:color w:val="auto"/>
          <w:szCs w:val="21"/>
          <w:highlight w:val="none"/>
        </w:rPr>
        <w:t>2．如我单位磋商保证金无法原路返回，请按下表账户信息无息退还。</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0B2A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54578680">
            <w:pPr>
              <w:shd w:val="clear"/>
              <w:spacing w:line="360" w:lineRule="exact"/>
              <w:jc w:val="center"/>
              <w:rPr>
                <w:color w:val="auto"/>
                <w:szCs w:val="21"/>
                <w:highlight w:val="none"/>
              </w:rPr>
            </w:pPr>
            <w:r>
              <w:rPr>
                <w:color w:val="auto"/>
                <w:szCs w:val="21"/>
                <w:highlight w:val="none"/>
              </w:rPr>
              <w:t>收款户名</w:t>
            </w:r>
          </w:p>
        </w:tc>
        <w:tc>
          <w:tcPr>
            <w:tcW w:w="5431" w:type="dxa"/>
            <w:vAlign w:val="center"/>
          </w:tcPr>
          <w:p w14:paraId="3CCFCE51">
            <w:pPr>
              <w:shd w:val="clear"/>
              <w:spacing w:line="360" w:lineRule="exact"/>
              <w:jc w:val="center"/>
              <w:rPr>
                <w:color w:val="auto"/>
                <w:szCs w:val="21"/>
                <w:highlight w:val="none"/>
              </w:rPr>
            </w:pPr>
          </w:p>
        </w:tc>
      </w:tr>
      <w:tr w14:paraId="3FB2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04764F33">
            <w:pPr>
              <w:shd w:val="clear"/>
              <w:spacing w:line="360" w:lineRule="exact"/>
              <w:jc w:val="center"/>
              <w:rPr>
                <w:color w:val="auto"/>
                <w:szCs w:val="21"/>
                <w:highlight w:val="none"/>
              </w:rPr>
            </w:pPr>
            <w:r>
              <w:rPr>
                <w:color w:val="auto"/>
                <w:szCs w:val="21"/>
                <w:highlight w:val="none"/>
              </w:rPr>
              <w:t>账    号</w:t>
            </w:r>
          </w:p>
        </w:tc>
        <w:tc>
          <w:tcPr>
            <w:tcW w:w="5431" w:type="dxa"/>
            <w:vAlign w:val="center"/>
          </w:tcPr>
          <w:p w14:paraId="49C9042F">
            <w:pPr>
              <w:shd w:val="clear"/>
              <w:spacing w:line="360" w:lineRule="exact"/>
              <w:jc w:val="center"/>
              <w:rPr>
                <w:color w:val="auto"/>
                <w:szCs w:val="21"/>
                <w:highlight w:val="none"/>
              </w:rPr>
            </w:pPr>
          </w:p>
        </w:tc>
      </w:tr>
      <w:tr w14:paraId="5E57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3985499C">
            <w:pPr>
              <w:shd w:val="clear"/>
              <w:spacing w:line="360" w:lineRule="exact"/>
              <w:jc w:val="center"/>
              <w:rPr>
                <w:color w:val="auto"/>
                <w:szCs w:val="21"/>
                <w:highlight w:val="none"/>
              </w:rPr>
            </w:pPr>
            <w:r>
              <w:rPr>
                <w:color w:val="auto"/>
                <w:szCs w:val="21"/>
                <w:highlight w:val="none"/>
              </w:rPr>
              <w:t>开户银行</w:t>
            </w:r>
          </w:p>
        </w:tc>
        <w:tc>
          <w:tcPr>
            <w:tcW w:w="5431" w:type="dxa"/>
            <w:vAlign w:val="center"/>
          </w:tcPr>
          <w:p w14:paraId="4965B82B">
            <w:pPr>
              <w:shd w:val="clear"/>
              <w:spacing w:line="360" w:lineRule="exact"/>
              <w:jc w:val="center"/>
              <w:rPr>
                <w:color w:val="auto"/>
                <w:szCs w:val="21"/>
                <w:highlight w:val="none"/>
              </w:rPr>
            </w:pPr>
          </w:p>
        </w:tc>
      </w:tr>
      <w:tr w14:paraId="6CC0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4FE41872">
            <w:pPr>
              <w:shd w:val="clear"/>
              <w:spacing w:line="360" w:lineRule="exact"/>
              <w:jc w:val="center"/>
              <w:rPr>
                <w:color w:val="auto"/>
                <w:szCs w:val="21"/>
                <w:highlight w:val="none"/>
              </w:rPr>
            </w:pPr>
            <w:r>
              <w:rPr>
                <w:color w:val="auto"/>
                <w:szCs w:val="21"/>
                <w:highlight w:val="none"/>
              </w:rPr>
              <w:t>银行行号</w:t>
            </w:r>
          </w:p>
        </w:tc>
        <w:tc>
          <w:tcPr>
            <w:tcW w:w="5431" w:type="dxa"/>
            <w:vAlign w:val="center"/>
          </w:tcPr>
          <w:p w14:paraId="7C8A9D49">
            <w:pPr>
              <w:shd w:val="clear"/>
              <w:spacing w:line="360" w:lineRule="exact"/>
              <w:jc w:val="center"/>
              <w:rPr>
                <w:color w:val="auto"/>
                <w:szCs w:val="21"/>
                <w:highlight w:val="none"/>
              </w:rPr>
            </w:pPr>
          </w:p>
        </w:tc>
      </w:tr>
    </w:tbl>
    <w:p w14:paraId="4016D887">
      <w:pPr>
        <w:shd w:val="clear"/>
        <w:spacing w:line="360" w:lineRule="exact"/>
        <w:ind w:firstLine="420" w:firstLineChars="200"/>
        <w:rPr>
          <w:color w:val="auto"/>
          <w:szCs w:val="21"/>
          <w:highlight w:val="none"/>
        </w:rPr>
      </w:pPr>
      <w:r>
        <w:rPr>
          <w:color w:val="auto"/>
          <w:szCs w:val="21"/>
          <w:highlight w:val="none"/>
        </w:rPr>
        <w:t>3．如果我单位未遵守有关采购文件关于磋商保证金的规定，贵方可以没收我单位磋商保证金。</w:t>
      </w:r>
    </w:p>
    <w:p w14:paraId="477D7CD9">
      <w:pPr>
        <w:shd w:val="clea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342B6773">
      <w:pPr>
        <w:shd w:val="clear"/>
        <w:spacing w:line="360" w:lineRule="exact"/>
        <w:ind w:firstLine="420" w:firstLineChars="200"/>
        <w:rPr>
          <w:color w:val="auto"/>
          <w:szCs w:val="21"/>
          <w:highlight w:val="none"/>
        </w:rPr>
      </w:pPr>
      <w:r>
        <w:rPr>
          <w:color w:val="auto"/>
          <w:szCs w:val="21"/>
          <w:highlight w:val="none"/>
        </w:rPr>
        <w:t>第一种方式：开具收据。</w:t>
      </w:r>
    </w:p>
    <w:p w14:paraId="002C7FB9">
      <w:pPr>
        <w:shd w:val="clear"/>
        <w:spacing w:line="360" w:lineRule="exact"/>
        <w:ind w:firstLine="420" w:firstLineChars="200"/>
        <w:rPr>
          <w:color w:val="auto"/>
          <w:szCs w:val="21"/>
          <w:highlight w:val="none"/>
        </w:rPr>
      </w:pPr>
      <w:r>
        <w:rPr>
          <w:color w:val="auto"/>
          <w:szCs w:val="21"/>
          <w:highlight w:val="none"/>
        </w:rPr>
        <w:t>第二种方式：开具增值税普通发票。 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462C809F">
      <w:pPr>
        <w:shd w:val="clea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344F383E">
      <w:pPr>
        <w:shd w:val="clear"/>
        <w:spacing w:before="120" w:beforeLines="50" w:line="360" w:lineRule="auto"/>
        <w:jc w:val="left"/>
        <w:rPr>
          <w:color w:val="auto"/>
          <w:szCs w:val="21"/>
          <w:highlight w:val="none"/>
        </w:rPr>
      </w:pPr>
    </w:p>
    <w:p w14:paraId="5E2D7AA3">
      <w:pPr>
        <w:shd w:val="clear"/>
        <w:spacing w:before="120" w:beforeLines="50" w:line="360" w:lineRule="auto"/>
        <w:jc w:val="left"/>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11C6B06F">
      <w:pPr>
        <w:shd w:val="clea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0E6B5769">
      <w:pPr>
        <w:shd w:val="clear"/>
        <w:spacing w:before="120" w:beforeLines="50" w:line="360" w:lineRule="auto"/>
        <w:jc w:val="left"/>
        <w:rPr>
          <w:color w:val="auto"/>
          <w:szCs w:val="21"/>
          <w:highlight w:val="none"/>
          <w:u w:val="single"/>
        </w:rPr>
      </w:pPr>
    </w:p>
    <w:p w14:paraId="47051CC1">
      <w:pPr>
        <w:shd w:val="clea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2A2CE823">
      <w:pPr>
        <w:shd w:val="clear"/>
        <w:spacing w:before="120" w:beforeLines="50"/>
        <w:rPr>
          <w:color w:val="auto"/>
          <w:szCs w:val="21"/>
          <w:highlight w:val="none"/>
        </w:rPr>
      </w:pPr>
      <w:r>
        <w:rPr>
          <w:color w:val="auto"/>
          <w:szCs w:val="21"/>
          <w:highlight w:val="none"/>
        </w:rPr>
        <w:t>说明：</w:t>
      </w:r>
    </w:p>
    <w:p w14:paraId="17D26042">
      <w:pPr>
        <w:shd w:val="clear"/>
        <w:spacing w:line="340" w:lineRule="exact"/>
        <w:ind w:firstLine="420" w:firstLineChars="200"/>
        <w:rPr>
          <w:color w:val="auto"/>
          <w:szCs w:val="21"/>
          <w:highlight w:val="none"/>
        </w:rPr>
      </w:pPr>
      <w:r>
        <w:rPr>
          <w:color w:val="auto"/>
          <w:szCs w:val="21"/>
          <w:highlight w:val="none"/>
        </w:rPr>
        <w:t>（1）为保障资金安全，上述账户不能为私人账户。</w:t>
      </w:r>
    </w:p>
    <w:p w14:paraId="7CC379C6">
      <w:pPr>
        <w:shd w:val="clear"/>
        <w:spacing w:line="340" w:lineRule="exact"/>
        <w:ind w:firstLine="420" w:firstLineChars="200"/>
        <w:rPr>
          <w:color w:val="auto"/>
          <w:szCs w:val="21"/>
          <w:highlight w:val="none"/>
        </w:rPr>
      </w:pPr>
      <w:r>
        <w:rPr>
          <w:color w:val="auto"/>
          <w:szCs w:val="21"/>
          <w:highlight w:val="none"/>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72238ACD">
      <w:pPr>
        <w:shd w:val="clear"/>
        <w:spacing w:line="340" w:lineRule="exact"/>
        <w:ind w:firstLine="420" w:firstLineChars="200"/>
        <w:rPr>
          <w:color w:val="auto"/>
          <w:szCs w:val="21"/>
          <w:highlight w:val="none"/>
        </w:rPr>
      </w:pPr>
      <w:r>
        <w:rPr>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5890CDA3">
      <w:pPr>
        <w:shd w:val="clear"/>
        <w:snapToGrid w:val="0"/>
        <w:spacing w:before="120" w:beforeLines="50" w:after="50" w:line="440" w:lineRule="exact"/>
        <w:jc w:val="left"/>
        <w:outlineLvl w:val="1"/>
        <w:rPr>
          <w:color w:val="auto"/>
          <w:sz w:val="24"/>
          <w:highlight w:val="none"/>
        </w:rPr>
      </w:pPr>
      <w:r>
        <w:rPr>
          <w:bCs/>
          <w:color w:val="auto"/>
          <w:sz w:val="24"/>
          <w:highlight w:val="none"/>
        </w:rPr>
        <w:br w:type="page"/>
      </w:r>
      <w:r>
        <w:rPr>
          <w:color w:val="auto"/>
          <w:sz w:val="24"/>
          <w:highlight w:val="none"/>
        </w:rPr>
        <w:t>3</w:t>
      </w:r>
      <w:r>
        <w:rPr>
          <w:rFonts w:hint="eastAsia"/>
          <w:color w:val="auto"/>
          <w:sz w:val="24"/>
          <w:highlight w:val="none"/>
        </w:rPr>
        <w:t xml:space="preserve">.响应文件封面参考格式（报价文件）： </w:t>
      </w:r>
    </w:p>
    <w:p w14:paraId="462DC719">
      <w:pPr>
        <w:shd w:val="clear"/>
        <w:snapToGrid w:val="0"/>
        <w:spacing w:before="50" w:after="120" w:afterLines="50" w:line="400" w:lineRule="exact"/>
        <w:jc w:val="left"/>
        <w:rPr>
          <w:color w:val="auto"/>
          <w:sz w:val="24"/>
          <w:highlight w:val="none"/>
        </w:rPr>
      </w:pPr>
    </w:p>
    <w:p w14:paraId="653BDE99">
      <w:pPr>
        <w:shd w:val="clear"/>
        <w:snapToGrid w:val="0"/>
        <w:spacing w:before="120" w:beforeLines="50" w:after="50" w:line="360" w:lineRule="exact"/>
        <w:rPr>
          <w:color w:val="auto"/>
          <w:sz w:val="24"/>
          <w:highlight w:val="none"/>
        </w:rPr>
      </w:pPr>
    </w:p>
    <w:p w14:paraId="44D78F97">
      <w:pPr>
        <w:shd w:val="clear"/>
        <w:snapToGrid w:val="0"/>
        <w:spacing w:before="120" w:beforeLines="50" w:after="50" w:line="360" w:lineRule="exact"/>
        <w:jc w:val="center"/>
        <w:rPr>
          <w:color w:val="auto"/>
          <w:sz w:val="24"/>
          <w:highlight w:val="none"/>
        </w:rPr>
      </w:pPr>
    </w:p>
    <w:p w14:paraId="1CAC5EF0">
      <w:pPr>
        <w:shd w:val="clear"/>
        <w:snapToGrid w:val="0"/>
        <w:spacing w:before="120" w:beforeLines="50" w:after="50" w:line="360" w:lineRule="exact"/>
        <w:jc w:val="center"/>
        <w:rPr>
          <w:b/>
          <w:color w:val="auto"/>
          <w:sz w:val="44"/>
          <w:szCs w:val="44"/>
          <w:highlight w:val="none"/>
        </w:rPr>
      </w:pPr>
      <w:r>
        <w:rPr>
          <w:rFonts w:hint="eastAsia"/>
          <w:b/>
          <w:color w:val="auto"/>
          <w:sz w:val="44"/>
          <w:szCs w:val="44"/>
          <w:highlight w:val="none"/>
        </w:rPr>
        <w:t>电子响应文件</w:t>
      </w:r>
    </w:p>
    <w:p w14:paraId="1BC2D0D1">
      <w:pPr>
        <w:shd w:val="clear"/>
        <w:snapToGrid w:val="0"/>
        <w:spacing w:before="120" w:beforeLines="50" w:after="50" w:line="360" w:lineRule="exact"/>
        <w:jc w:val="center"/>
        <w:rPr>
          <w:b/>
          <w:color w:val="auto"/>
          <w:sz w:val="44"/>
          <w:szCs w:val="44"/>
          <w:highlight w:val="none"/>
        </w:rPr>
      </w:pPr>
    </w:p>
    <w:p w14:paraId="1BD19B2C">
      <w:pPr>
        <w:shd w:val="clear"/>
        <w:snapToGrid w:val="0"/>
        <w:spacing w:before="120" w:beforeLines="50" w:after="50" w:line="360" w:lineRule="exact"/>
        <w:jc w:val="center"/>
        <w:rPr>
          <w:b/>
          <w:color w:val="auto"/>
          <w:sz w:val="44"/>
          <w:szCs w:val="44"/>
          <w:highlight w:val="none"/>
        </w:rPr>
      </w:pPr>
    </w:p>
    <w:p w14:paraId="533AB822">
      <w:pPr>
        <w:shd w:val="clear"/>
        <w:snapToGrid w:val="0"/>
        <w:spacing w:before="120" w:beforeLines="50" w:after="50" w:line="360" w:lineRule="exact"/>
        <w:jc w:val="center"/>
        <w:rPr>
          <w:b/>
          <w:color w:val="auto"/>
          <w:sz w:val="44"/>
          <w:szCs w:val="44"/>
          <w:highlight w:val="none"/>
        </w:rPr>
      </w:pPr>
      <w:r>
        <w:rPr>
          <w:rFonts w:hint="eastAsia"/>
          <w:b/>
          <w:color w:val="auto"/>
          <w:sz w:val="44"/>
          <w:szCs w:val="44"/>
          <w:highlight w:val="none"/>
        </w:rPr>
        <w:t>报价文件</w:t>
      </w:r>
    </w:p>
    <w:p w14:paraId="0EB6BF54">
      <w:pPr>
        <w:shd w:val="clear"/>
        <w:snapToGrid w:val="0"/>
        <w:spacing w:before="120" w:beforeLines="50" w:after="50" w:line="360" w:lineRule="exact"/>
        <w:rPr>
          <w:color w:val="auto"/>
          <w:sz w:val="24"/>
          <w:highlight w:val="none"/>
        </w:rPr>
      </w:pPr>
    </w:p>
    <w:p w14:paraId="13D6BE3A">
      <w:pPr>
        <w:shd w:val="clear"/>
        <w:snapToGrid w:val="0"/>
        <w:spacing w:before="120" w:beforeLines="50" w:after="50" w:line="360" w:lineRule="exact"/>
        <w:rPr>
          <w:color w:val="auto"/>
          <w:sz w:val="24"/>
          <w:highlight w:val="none"/>
        </w:rPr>
      </w:pPr>
    </w:p>
    <w:p w14:paraId="304C8034">
      <w:pPr>
        <w:shd w:val="clear"/>
        <w:snapToGrid w:val="0"/>
        <w:spacing w:before="120" w:beforeLines="50" w:after="50" w:line="360" w:lineRule="exact"/>
        <w:rPr>
          <w:color w:val="auto"/>
          <w:sz w:val="24"/>
          <w:highlight w:val="none"/>
        </w:rPr>
      </w:pPr>
    </w:p>
    <w:p w14:paraId="01DF0929">
      <w:pPr>
        <w:shd w:val="clear"/>
        <w:snapToGrid w:val="0"/>
        <w:spacing w:before="120" w:beforeLines="50" w:after="50" w:line="360" w:lineRule="exact"/>
        <w:ind w:firstLine="720" w:firstLineChars="300"/>
        <w:rPr>
          <w:color w:val="auto"/>
          <w:sz w:val="24"/>
          <w:highlight w:val="none"/>
        </w:rPr>
      </w:pPr>
      <w:r>
        <w:rPr>
          <w:rFonts w:hint="eastAsia"/>
          <w:color w:val="auto"/>
          <w:sz w:val="24"/>
          <w:highlight w:val="none"/>
        </w:rPr>
        <w:t xml:space="preserve">项目名称： </w:t>
      </w:r>
    </w:p>
    <w:p w14:paraId="646F1B32">
      <w:pPr>
        <w:shd w:val="clear"/>
        <w:snapToGrid w:val="0"/>
        <w:spacing w:before="120" w:beforeLines="50" w:after="50" w:line="360" w:lineRule="exact"/>
        <w:ind w:firstLine="720" w:firstLineChars="300"/>
        <w:rPr>
          <w:color w:val="auto"/>
          <w:sz w:val="24"/>
          <w:highlight w:val="none"/>
        </w:rPr>
      </w:pPr>
      <w:r>
        <w:rPr>
          <w:rFonts w:hint="eastAsia"/>
          <w:color w:val="auto"/>
          <w:sz w:val="24"/>
          <w:highlight w:val="none"/>
        </w:rPr>
        <w:t>项目编号：</w:t>
      </w:r>
    </w:p>
    <w:p w14:paraId="15733AF0">
      <w:pPr>
        <w:shd w:val="clear"/>
        <w:snapToGrid w:val="0"/>
        <w:spacing w:before="120" w:beforeLines="50" w:after="50" w:line="360" w:lineRule="exact"/>
        <w:ind w:firstLine="720" w:firstLineChars="300"/>
        <w:rPr>
          <w:color w:val="auto"/>
          <w:sz w:val="24"/>
          <w:highlight w:val="none"/>
        </w:rPr>
      </w:pPr>
      <w:r>
        <w:rPr>
          <w:rFonts w:hint="eastAsia"/>
          <w:color w:val="auto"/>
          <w:sz w:val="24"/>
          <w:highlight w:val="none"/>
        </w:rPr>
        <w:t>分标号：（若无留空或写</w:t>
      </w:r>
      <w:r>
        <w:rPr>
          <w:color w:val="auto"/>
          <w:sz w:val="24"/>
          <w:highlight w:val="none"/>
        </w:rPr>
        <w:t>“/”</w:t>
      </w:r>
      <w:r>
        <w:rPr>
          <w:rFonts w:hint="eastAsia"/>
          <w:color w:val="auto"/>
          <w:sz w:val="24"/>
          <w:highlight w:val="none"/>
        </w:rPr>
        <w:t>）</w:t>
      </w:r>
    </w:p>
    <w:p w14:paraId="00A8D7A4">
      <w:pPr>
        <w:shd w:val="clea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供应商名称：</w:t>
      </w:r>
    </w:p>
    <w:p w14:paraId="686568DF">
      <w:pPr>
        <w:shd w:val="clea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供应商地址：</w:t>
      </w:r>
    </w:p>
    <w:p w14:paraId="157518FE">
      <w:pPr>
        <w:shd w:val="clear"/>
        <w:snapToGrid w:val="0"/>
        <w:spacing w:before="120" w:beforeLines="50" w:after="50" w:line="360" w:lineRule="exact"/>
        <w:ind w:firstLine="720" w:firstLineChars="300"/>
        <w:rPr>
          <w:color w:val="auto"/>
          <w:sz w:val="24"/>
          <w:highlight w:val="none"/>
        </w:rPr>
      </w:pPr>
    </w:p>
    <w:p w14:paraId="484C8F61">
      <w:pPr>
        <w:shd w:val="clear"/>
        <w:snapToGrid w:val="0"/>
        <w:spacing w:before="120" w:beforeLines="50" w:after="50" w:line="360" w:lineRule="exact"/>
        <w:ind w:firstLine="3600" w:firstLineChars="1500"/>
        <w:rPr>
          <w:color w:val="auto"/>
          <w:sz w:val="24"/>
          <w:highlight w:val="none"/>
        </w:rPr>
      </w:pPr>
      <w:r>
        <w:rPr>
          <w:rFonts w:hint="eastAsia"/>
          <w:color w:val="auto"/>
          <w:sz w:val="24"/>
          <w:highlight w:val="none"/>
        </w:rPr>
        <w:t xml:space="preserve">                        年  月  日</w:t>
      </w:r>
    </w:p>
    <w:p w14:paraId="3C25648A">
      <w:pPr>
        <w:shd w:val="clear"/>
        <w:snapToGrid w:val="0"/>
        <w:spacing w:before="120" w:beforeLines="50" w:after="50" w:line="360" w:lineRule="exact"/>
        <w:ind w:firstLine="720" w:firstLineChars="300"/>
        <w:rPr>
          <w:color w:val="auto"/>
          <w:sz w:val="24"/>
          <w:highlight w:val="none"/>
        </w:rPr>
        <w:sectPr>
          <w:pgSz w:w="11906" w:h="16838"/>
          <w:pgMar w:top="1418" w:right="1274" w:bottom="1418" w:left="1418" w:header="851" w:footer="992" w:gutter="0"/>
          <w:cols w:space="720" w:num="1"/>
          <w:docGrid w:linePitch="312" w:charSpace="0"/>
        </w:sectPr>
      </w:pPr>
    </w:p>
    <w:p w14:paraId="018ED5FB">
      <w:pPr>
        <w:shd w:val="clear"/>
        <w:snapToGrid w:val="0"/>
        <w:spacing w:before="120" w:beforeLines="50" w:after="50" w:line="440" w:lineRule="exact"/>
        <w:jc w:val="center"/>
        <w:rPr>
          <w:bCs/>
          <w:color w:val="auto"/>
          <w:sz w:val="24"/>
          <w:highlight w:val="none"/>
        </w:rPr>
      </w:pPr>
      <w:r>
        <w:rPr>
          <w:bCs/>
          <w:color w:val="auto"/>
          <w:sz w:val="24"/>
          <w:highlight w:val="none"/>
        </w:rPr>
        <w:t>第</w:t>
      </w:r>
      <w:r>
        <w:rPr>
          <w:rFonts w:hint="eastAsia"/>
          <w:bCs/>
          <w:color w:val="auto"/>
          <w:sz w:val="24"/>
          <w:highlight w:val="none"/>
        </w:rPr>
        <w:t>三</w:t>
      </w:r>
      <w:r>
        <w:rPr>
          <w:bCs/>
          <w:color w:val="auto"/>
          <w:sz w:val="24"/>
          <w:highlight w:val="none"/>
        </w:rPr>
        <w:t>部分 报价文件</w:t>
      </w:r>
    </w:p>
    <w:p w14:paraId="5FB3BB79">
      <w:pPr>
        <w:shd w:val="clear"/>
        <w:jc w:val="center"/>
        <w:rPr>
          <w:b/>
          <w:bCs/>
          <w:color w:val="auto"/>
          <w:szCs w:val="21"/>
          <w:highlight w:val="none"/>
        </w:rPr>
      </w:pPr>
    </w:p>
    <w:p w14:paraId="0D2C0121">
      <w:pPr>
        <w:shd w:val="clear"/>
        <w:rPr>
          <w:b/>
          <w:color w:val="auto"/>
          <w:szCs w:val="21"/>
          <w:highlight w:val="none"/>
        </w:rPr>
      </w:pPr>
      <w:r>
        <w:rPr>
          <w:b/>
          <w:color w:val="auto"/>
          <w:szCs w:val="21"/>
          <w:highlight w:val="none"/>
        </w:rPr>
        <w:t>1．响应函格式：</w:t>
      </w:r>
    </w:p>
    <w:p w14:paraId="6C340AB4">
      <w:pPr>
        <w:shd w:val="clear"/>
        <w:rPr>
          <w:b/>
          <w:color w:val="auto"/>
          <w:szCs w:val="21"/>
          <w:highlight w:val="none"/>
        </w:rPr>
      </w:pPr>
    </w:p>
    <w:p w14:paraId="238B92AE">
      <w:pPr>
        <w:shd w:val="clear"/>
        <w:jc w:val="center"/>
        <w:rPr>
          <w:b/>
          <w:color w:val="auto"/>
          <w:szCs w:val="21"/>
          <w:highlight w:val="none"/>
        </w:rPr>
      </w:pPr>
      <w:r>
        <w:rPr>
          <w:b/>
          <w:color w:val="auto"/>
          <w:szCs w:val="21"/>
          <w:highlight w:val="none"/>
        </w:rPr>
        <w:t>响 应 函</w:t>
      </w:r>
    </w:p>
    <w:p w14:paraId="3C86D748">
      <w:pPr>
        <w:shd w:val="clear"/>
        <w:rPr>
          <w:b/>
          <w:color w:val="auto"/>
          <w:szCs w:val="21"/>
          <w:highlight w:val="none"/>
        </w:rPr>
      </w:pPr>
    </w:p>
    <w:p w14:paraId="1BFDB63B">
      <w:pPr>
        <w:shd w:val="clear"/>
        <w:spacing w:line="360" w:lineRule="auto"/>
        <w:rPr>
          <w:color w:val="auto"/>
          <w:szCs w:val="21"/>
          <w:highlight w:val="none"/>
        </w:rPr>
      </w:pPr>
      <w:bookmarkStart w:id="108" w:name="_Hlk19110643"/>
      <w:r>
        <w:rPr>
          <w:color w:val="auto"/>
          <w:szCs w:val="21"/>
          <w:highlight w:val="none"/>
        </w:rPr>
        <w:t>致：_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p>
    <w:p w14:paraId="6F44BD70">
      <w:pPr>
        <w:shd w:val="clea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color w:val="auto"/>
          <w:szCs w:val="21"/>
          <w:highlight w:val="none"/>
          <w:u w:val="single"/>
        </w:rPr>
        <w:t xml:space="preserve"> </w:t>
      </w:r>
      <w:r>
        <w:rPr>
          <w:i/>
          <w:iCs/>
          <w:color w:val="auto"/>
          <w:szCs w:val="21"/>
          <w:highlight w:val="none"/>
          <w:u w:val="single"/>
        </w:rPr>
        <w:t>（供应商名称）</w:t>
      </w:r>
      <w:r>
        <w:rPr>
          <w:rFonts w:hint="eastAsia"/>
          <w:i/>
          <w:iCs/>
          <w:color w:val="auto"/>
          <w:szCs w:val="21"/>
          <w:highlight w:val="none"/>
          <w:u w:val="single"/>
        </w:rPr>
        <w:t xml:space="preserve"> </w:t>
      </w:r>
      <w:r>
        <w:rPr>
          <w:color w:val="auto"/>
          <w:szCs w:val="21"/>
          <w:highlight w:val="none"/>
        </w:rPr>
        <w:t>提交响应文件。</w:t>
      </w:r>
    </w:p>
    <w:bookmarkEnd w:id="108"/>
    <w:p w14:paraId="3B2460E2">
      <w:pPr>
        <w:shd w:val="clear"/>
        <w:spacing w:line="360" w:lineRule="auto"/>
        <w:ind w:firstLine="420" w:firstLineChars="200"/>
        <w:rPr>
          <w:color w:val="auto"/>
          <w:szCs w:val="21"/>
          <w:highlight w:val="none"/>
        </w:rPr>
      </w:pPr>
      <w:r>
        <w:rPr>
          <w:color w:val="auto"/>
          <w:szCs w:val="21"/>
          <w:highlight w:val="none"/>
        </w:rPr>
        <w:t>据此函，签字代表宣布同意如下：</w:t>
      </w:r>
    </w:p>
    <w:p w14:paraId="7DA586DA">
      <w:pPr>
        <w:shd w:val="clea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523367B5">
      <w:pPr>
        <w:shd w:val="clea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191E772E">
      <w:pPr>
        <w:shd w:val="clear"/>
        <w:spacing w:line="360" w:lineRule="auto"/>
        <w:rPr>
          <w:color w:val="auto"/>
          <w:szCs w:val="21"/>
          <w:highlight w:val="none"/>
        </w:rPr>
      </w:pPr>
      <w:r>
        <w:rPr>
          <w:rFonts w:hint="eastAsia"/>
          <w:color w:val="auto"/>
          <w:szCs w:val="21"/>
          <w:highlight w:val="none"/>
        </w:rPr>
        <w:t>（3）我方承诺本响应有效期为第三章供应商须知规定的期限。</w:t>
      </w:r>
    </w:p>
    <w:p w14:paraId="40CECCD1">
      <w:pPr>
        <w:shd w:val="clea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5894551A">
      <w:pPr>
        <w:shd w:val="clear"/>
        <w:spacing w:line="360" w:lineRule="auto"/>
        <w:rPr>
          <w:color w:val="auto"/>
          <w:szCs w:val="21"/>
          <w:highlight w:val="none"/>
        </w:rPr>
      </w:pPr>
      <w:r>
        <w:rPr>
          <w:color w:val="auto"/>
          <w:szCs w:val="21"/>
          <w:highlight w:val="none"/>
        </w:rPr>
        <w:t>（5）供应商同意按照贵方要求提供与响应有关的一切数据或资料。</w:t>
      </w:r>
    </w:p>
    <w:p w14:paraId="4D91A4DB">
      <w:pPr>
        <w:shd w:val="clear"/>
        <w:spacing w:line="360" w:lineRule="auto"/>
        <w:rPr>
          <w:color w:val="auto"/>
          <w:szCs w:val="21"/>
          <w:highlight w:val="none"/>
        </w:rPr>
      </w:pPr>
      <w:r>
        <w:rPr>
          <w:color w:val="auto"/>
          <w:szCs w:val="21"/>
          <w:highlight w:val="none"/>
        </w:rPr>
        <w:t>（</w:t>
      </w:r>
      <w:r>
        <w:rPr>
          <w:rFonts w:hint="eastAsia"/>
          <w:color w:val="auto"/>
          <w:szCs w:val="21"/>
          <w:highlight w:val="none"/>
        </w:rPr>
        <w:t>6</w:t>
      </w:r>
      <w:r>
        <w:rPr>
          <w:color w:val="auto"/>
          <w:szCs w:val="21"/>
          <w:highlight w:val="none"/>
        </w:rPr>
        <w:t>）与本项目有关的一切正式往来信函请寄：</w:t>
      </w:r>
    </w:p>
    <w:p w14:paraId="676E3A4D">
      <w:pPr>
        <w:shd w:val="clea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0ABF8686">
      <w:pPr>
        <w:shd w:val="clea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70988164">
      <w:pPr>
        <w:shd w:val="clear"/>
        <w:spacing w:line="360" w:lineRule="auto"/>
        <w:rPr>
          <w:color w:val="auto"/>
          <w:szCs w:val="21"/>
          <w:highlight w:val="non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p>
    <w:p w14:paraId="25A8DACE">
      <w:pPr>
        <w:shd w:val="clear"/>
        <w:spacing w:line="360" w:lineRule="auto"/>
        <w:rPr>
          <w:color w:val="auto"/>
          <w:szCs w:val="21"/>
          <w:highlight w:val="none"/>
        </w:rPr>
      </w:pPr>
    </w:p>
    <w:p w14:paraId="59DEE5E1">
      <w:pPr>
        <w:shd w:val="clear"/>
        <w:spacing w:line="360" w:lineRule="auto"/>
        <w:rPr>
          <w:color w:val="auto"/>
          <w:szCs w:val="21"/>
          <w:highlight w:val="none"/>
        </w:rPr>
      </w:pPr>
    </w:p>
    <w:p w14:paraId="5725C8CC">
      <w:pPr>
        <w:shd w:val="clear"/>
        <w:spacing w:line="360" w:lineRule="auto"/>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r>
        <w:rPr>
          <w:color w:val="auto"/>
          <w:szCs w:val="21"/>
          <w:highlight w:val="none"/>
          <w:u w:val="single"/>
        </w:rPr>
        <w:t xml:space="preserve">                  </w:t>
      </w:r>
    </w:p>
    <w:p w14:paraId="5F950EB4">
      <w:pPr>
        <w:shd w:val="clear"/>
        <w:spacing w:line="360" w:lineRule="auto"/>
        <w:rPr>
          <w:color w:val="auto"/>
          <w:szCs w:val="21"/>
          <w:highlight w:val="none"/>
        </w:rPr>
      </w:pPr>
    </w:p>
    <w:p w14:paraId="7461EC00">
      <w:pPr>
        <w:shd w:val="clear"/>
        <w:spacing w:line="360" w:lineRule="auto"/>
        <w:rPr>
          <w:color w:val="auto"/>
          <w:szCs w:val="21"/>
          <w:highlight w:val="none"/>
        </w:rPr>
      </w:pPr>
    </w:p>
    <w:p w14:paraId="6BA7A951">
      <w:pPr>
        <w:shd w:val="clea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1A17893B">
      <w:pPr>
        <w:shd w:val="clear"/>
        <w:rPr>
          <w:b/>
          <w:color w:val="auto"/>
          <w:szCs w:val="21"/>
          <w:highlight w:val="none"/>
        </w:rPr>
      </w:pPr>
      <w:r>
        <w:rPr>
          <w:b/>
          <w:color w:val="auto"/>
          <w:szCs w:val="21"/>
          <w:highlight w:val="none"/>
        </w:rPr>
        <w:br w:type="page"/>
      </w:r>
      <w:r>
        <w:rPr>
          <w:rFonts w:hint="eastAsia"/>
          <w:b/>
          <w:color w:val="auto"/>
          <w:szCs w:val="21"/>
          <w:highlight w:val="none"/>
        </w:rPr>
        <w:t>2.</w:t>
      </w:r>
      <w:r>
        <w:rPr>
          <w:b/>
          <w:color w:val="auto"/>
          <w:szCs w:val="21"/>
          <w:highlight w:val="none"/>
        </w:rPr>
        <w:t>响应报价明细表格式：</w:t>
      </w:r>
    </w:p>
    <w:p w14:paraId="13F85934">
      <w:pPr>
        <w:shd w:val="clear"/>
        <w:jc w:val="center"/>
        <w:rPr>
          <w:b/>
          <w:color w:val="auto"/>
          <w:szCs w:val="21"/>
          <w:highlight w:val="none"/>
        </w:rPr>
      </w:pPr>
      <w:r>
        <w:rPr>
          <w:b/>
          <w:color w:val="auto"/>
          <w:szCs w:val="21"/>
          <w:highlight w:val="none"/>
        </w:rPr>
        <w:t>响应报价明细表</w:t>
      </w:r>
    </w:p>
    <w:p w14:paraId="3982DF48">
      <w:pPr>
        <w:shd w:val="clear"/>
        <w:ind w:firstLine="2415" w:firstLineChars="1150"/>
        <w:rPr>
          <w:color w:val="auto"/>
          <w:szCs w:val="21"/>
          <w:highlight w:val="none"/>
        </w:rPr>
      </w:pPr>
      <w:r>
        <w:rPr>
          <w:color w:val="auto"/>
          <w:szCs w:val="21"/>
          <w:highlight w:val="none"/>
        </w:rPr>
        <w:t xml:space="preserve">                            </w:t>
      </w:r>
    </w:p>
    <w:tbl>
      <w:tblPr>
        <w:tblStyle w:val="52"/>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516"/>
        <w:gridCol w:w="1891"/>
        <w:gridCol w:w="720"/>
        <w:gridCol w:w="877"/>
        <w:gridCol w:w="1473"/>
        <w:gridCol w:w="1660"/>
        <w:gridCol w:w="957"/>
      </w:tblGrid>
      <w:tr w14:paraId="7C6D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8F10986">
            <w:pPr>
              <w:shd w:val="clear"/>
              <w:rPr>
                <w:rFonts w:hint="eastAsia" w:ascii="宋体" w:hAnsi="宋体" w:eastAsia="宋体" w:cs="宋体"/>
                <w:color w:val="auto"/>
                <w:szCs w:val="22"/>
                <w:highlight w:val="none"/>
              </w:rPr>
            </w:pPr>
            <w:r>
              <w:rPr>
                <w:rFonts w:hint="eastAsia" w:ascii="宋体" w:hAnsi="宋体" w:eastAsia="宋体" w:cs="宋体"/>
                <w:color w:val="auto"/>
                <w:szCs w:val="22"/>
                <w:highlight w:val="none"/>
              </w:rPr>
              <w:t>序号</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2D62028">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服务名称</w:t>
            </w:r>
          </w:p>
        </w:tc>
        <w:tc>
          <w:tcPr>
            <w:tcW w:w="1891" w:type="dxa"/>
            <w:tcBorders>
              <w:top w:val="single" w:color="auto" w:sz="4" w:space="0"/>
              <w:left w:val="single" w:color="auto" w:sz="4" w:space="0"/>
              <w:bottom w:val="single" w:color="auto" w:sz="4" w:space="0"/>
              <w:right w:val="single" w:color="auto" w:sz="4" w:space="0"/>
            </w:tcBorders>
            <w:noWrap w:val="0"/>
            <w:vAlign w:val="center"/>
          </w:tcPr>
          <w:p w14:paraId="379DDB24">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具体服务内容(含具体服务范围、服务时间、服务标准等内容)</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7CDC4C7">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数量</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534E3FD3">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单位</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30FD7DBA">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单价（元）</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0E0AA766">
            <w:pPr>
              <w:shd w:val="clear"/>
              <w:jc w:val="center"/>
              <w:rPr>
                <w:rFonts w:hint="eastAsia" w:ascii="宋体" w:hAnsi="宋体" w:eastAsia="宋体" w:cs="宋体"/>
                <w:color w:val="auto"/>
                <w:szCs w:val="22"/>
                <w:highlight w:val="none"/>
              </w:rPr>
            </w:pPr>
            <w:r>
              <w:rPr>
                <w:rFonts w:hint="eastAsia" w:ascii="宋体" w:hAnsi="宋体" w:cs="宋体"/>
                <w:color w:val="auto"/>
                <w:szCs w:val="22"/>
                <w:highlight w:val="none"/>
                <w:lang w:val="en-US" w:eastAsia="zh-CN"/>
              </w:rPr>
              <w:t>总价</w:t>
            </w:r>
            <w:r>
              <w:rPr>
                <w:rFonts w:hint="eastAsia" w:ascii="宋体" w:hAnsi="宋体" w:eastAsia="宋体" w:cs="宋体"/>
                <w:color w:val="auto"/>
                <w:szCs w:val="22"/>
                <w:highlight w:val="none"/>
              </w:rPr>
              <w:t>（元）</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344E95ED">
            <w:pPr>
              <w:shd w:val="clear"/>
              <w:rPr>
                <w:rFonts w:hint="eastAsia" w:ascii="宋体" w:hAnsi="宋体" w:eastAsia="宋体" w:cs="宋体"/>
                <w:color w:val="auto"/>
                <w:szCs w:val="22"/>
                <w:highlight w:val="none"/>
              </w:rPr>
            </w:pPr>
            <w:r>
              <w:rPr>
                <w:rFonts w:hint="eastAsia" w:ascii="宋体" w:hAnsi="宋体" w:eastAsia="宋体" w:cs="宋体"/>
                <w:color w:val="auto"/>
                <w:szCs w:val="22"/>
                <w:highlight w:val="none"/>
              </w:rPr>
              <w:t>备注</w:t>
            </w:r>
          </w:p>
        </w:tc>
      </w:tr>
      <w:tr w14:paraId="38AE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ACE6219">
            <w:pPr>
              <w:shd w:val="clea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E506FB8">
            <w:pPr>
              <w:shd w:val="clear"/>
              <w:jc w:val="center"/>
              <w:rPr>
                <w:rFonts w:hint="eastAsia" w:ascii="宋体" w:hAnsi="宋体" w:eastAsia="宋体" w:cs="宋体"/>
                <w:color w:val="auto"/>
                <w:szCs w:val="22"/>
                <w:highlight w:val="none"/>
                <w:lang w:val="zh-CN" w:eastAsia="zh-CN"/>
              </w:rPr>
            </w:pPr>
          </w:p>
        </w:tc>
        <w:tc>
          <w:tcPr>
            <w:tcW w:w="1891" w:type="dxa"/>
            <w:tcBorders>
              <w:top w:val="single" w:color="auto" w:sz="4" w:space="0"/>
              <w:left w:val="single" w:color="auto" w:sz="4" w:space="0"/>
              <w:bottom w:val="single" w:color="auto" w:sz="4" w:space="0"/>
              <w:right w:val="single" w:color="auto" w:sz="4" w:space="0"/>
            </w:tcBorders>
            <w:noWrap w:val="0"/>
            <w:vAlign w:val="center"/>
          </w:tcPr>
          <w:p w14:paraId="5EE627B5">
            <w:pPr>
              <w:shd w:val="clear"/>
              <w:jc w:val="center"/>
              <w:rPr>
                <w:rFonts w:hint="eastAsia" w:ascii="宋体" w:hAnsi="宋体" w:eastAsia="宋体" w:cs="宋体"/>
                <w:color w:val="auto"/>
                <w:szCs w:val="22"/>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662E9B57">
            <w:pPr>
              <w:shd w:val="clea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6ED386CB">
            <w:pPr>
              <w:shd w:val="clea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件</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579DB339">
            <w:pPr>
              <w:shd w:val="clear"/>
              <w:rPr>
                <w:rFonts w:hint="eastAsia" w:ascii="宋体" w:hAnsi="宋体" w:eastAsia="宋体" w:cs="宋体"/>
                <w:color w:val="auto"/>
                <w:szCs w:val="22"/>
                <w:highlight w:val="none"/>
                <w:lang w:bidi="ar"/>
              </w:rPr>
            </w:pPr>
          </w:p>
        </w:tc>
        <w:tc>
          <w:tcPr>
            <w:tcW w:w="1660" w:type="dxa"/>
            <w:tcBorders>
              <w:top w:val="single" w:color="auto" w:sz="4" w:space="0"/>
              <w:left w:val="single" w:color="auto" w:sz="4" w:space="0"/>
              <w:bottom w:val="single" w:color="auto" w:sz="4" w:space="0"/>
              <w:right w:val="single" w:color="auto" w:sz="4" w:space="0"/>
            </w:tcBorders>
            <w:noWrap w:val="0"/>
            <w:vAlign w:val="top"/>
          </w:tcPr>
          <w:p w14:paraId="6275C866">
            <w:pPr>
              <w:shd w:val="clear"/>
              <w:rPr>
                <w:rFonts w:hint="eastAsia" w:ascii="宋体" w:hAnsi="宋体" w:eastAsia="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1FD98585">
            <w:pPr>
              <w:shd w:val="clear"/>
              <w:rPr>
                <w:rFonts w:hint="eastAsia" w:ascii="宋体" w:hAnsi="宋体" w:eastAsia="宋体" w:cs="宋体"/>
                <w:color w:val="auto"/>
                <w:szCs w:val="22"/>
                <w:highlight w:val="none"/>
              </w:rPr>
            </w:pPr>
          </w:p>
        </w:tc>
      </w:tr>
      <w:tr w14:paraId="17BD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73C53C8">
            <w:pPr>
              <w:shd w:val="clear"/>
              <w:rPr>
                <w:rFonts w:hint="eastAsia" w:ascii="宋体" w:hAnsi="宋体" w:eastAsia="宋体" w:cs="宋体"/>
                <w:color w:val="auto"/>
                <w:szCs w:val="22"/>
                <w:highlight w:val="none"/>
              </w:rPr>
            </w:pPr>
            <w:r>
              <w:rPr>
                <w:rFonts w:hint="eastAsia" w:ascii="宋体" w:hAnsi="宋体" w:eastAsia="宋体" w:cs="宋体"/>
                <w:color w:val="auto"/>
                <w:szCs w:val="22"/>
                <w:highlight w:val="none"/>
                <w:lang w:val="en-US" w:eastAsia="zh-CN"/>
              </w:rPr>
              <w:t>响应</w:t>
            </w:r>
            <w:r>
              <w:rPr>
                <w:rFonts w:hint="eastAsia" w:ascii="宋体" w:hAnsi="宋体" w:eastAsia="宋体" w:cs="宋体"/>
                <w:color w:val="auto"/>
                <w:szCs w:val="22"/>
                <w:highlight w:val="none"/>
              </w:rPr>
              <w:t>报价（包含税费等所有费用）：</w:t>
            </w:r>
            <w:r>
              <w:rPr>
                <w:rFonts w:hint="eastAsia" w:ascii="宋体" w:hAnsi="宋体" w:eastAsia="宋体" w:cs="宋体"/>
                <w:color w:val="auto"/>
                <w:highlight w:val="none"/>
                <w:u w:val="single"/>
              </w:rPr>
              <w:t xml:space="preserve">   （大写）    </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szCs w:val="20"/>
                <w:highlight w:val="none"/>
                <w:u w:val="single"/>
                <w:lang w:bidi="ar"/>
              </w:rPr>
              <w:t>小写</w:t>
            </w:r>
            <w:r>
              <w:rPr>
                <w:rFonts w:hint="eastAsia" w:ascii="宋体" w:hAnsi="宋体" w:eastAsia="宋体" w:cs="宋体"/>
                <w:color w:val="auto"/>
                <w:highlight w:val="none"/>
                <w:u w:val="single"/>
              </w:rPr>
              <w:t xml:space="preserve">           </w:t>
            </w:r>
            <w:r>
              <w:rPr>
                <w:rFonts w:hint="eastAsia" w:ascii="宋体" w:hAnsi="宋体" w:eastAsia="宋体" w:cs="宋体"/>
                <w:color w:val="auto"/>
                <w:szCs w:val="22"/>
                <w:highlight w:val="none"/>
                <w:lang w:bidi="ar"/>
              </w:rPr>
              <w:t>元</w:t>
            </w:r>
            <w:r>
              <w:rPr>
                <w:rFonts w:hint="eastAsia" w:ascii="宋体" w:hAnsi="宋体" w:eastAsia="宋体" w:cs="宋体"/>
                <w:color w:val="auto"/>
                <w:highlight w:val="none"/>
              </w:rPr>
              <w:t>)</w:t>
            </w:r>
          </w:p>
        </w:tc>
      </w:tr>
      <w:tr w14:paraId="2A99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329CDB0">
            <w:pPr>
              <w:shd w:val="clear"/>
              <w:rPr>
                <w:rFonts w:hint="eastAsia" w:ascii="宋体" w:hAnsi="宋体" w:eastAsia="宋体" w:cs="宋体"/>
                <w:color w:val="auto"/>
                <w:szCs w:val="22"/>
                <w:highlight w:val="none"/>
              </w:rPr>
            </w:pPr>
            <w:r>
              <w:rPr>
                <w:rFonts w:hint="eastAsia" w:ascii="宋体" w:hAnsi="宋体" w:eastAsia="宋体" w:cs="宋体"/>
                <w:bCs/>
                <w:color w:val="auto"/>
                <w:highlight w:val="none"/>
              </w:rPr>
              <w:t>服务期</w:t>
            </w:r>
            <w:r>
              <w:rPr>
                <w:rFonts w:hint="eastAsia" w:ascii="宋体" w:hAnsi="宋体" w:eastAsia="宋体" w:cs="宋体"/>
                <w:color w:val="auto"/>
                <w:szCs w:val="22"/>
                <w:highlight w:val="none"/>
              </w:rPr>
              <w:t>：</w:t>
            </w:r>
          </w:p>
        </w:tc>
      </w:tr>
    </w:tbl>
    <w:p w14:paraId="1242EC30">
      <w:pPr>
        <w:shd w:val="clear"/>
        <w:spacing w:line="360" w:lineRule="auto"/>
        <w:rPr>
          <w:color w:val="auto"/>
          <w:spacing w:val="20"/>
          <w:szCs w:val="21"/>
          <w:highlight w:val="none"/>
        </w:rPr>
      </w:pPr>
    </w:p>
    <w:p w14:paraId="1221D5E6">
      <w:pPr>
        <w:pStyle w:val="17"/>
        <w:shd w:val="clear"/>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371788BC">
      <w:pPr>
        <w:shd w:val="clear"/>
        <w:jc w:val="left"/>
        <w:rPr>
          <w:color w:val="auto"/>
          <w:szCs w:val="21"/>
          <w:highlight w:val="none"/>
        </w:rPr>
      </w:pPr>
    </w:p>
    <w:p w14:paraId="1CE56645">
      <w:pPr>
        <w:shd w:val="clear"/>
        <w:spacing w:line="360" w:lineRule="auto"/>
        <w:rPr>
          <w:color w:val="auto"/>
          <w:spacing w:val="20"/>
          <w:szCs w:val="21"/>
          <w:highlight w:val="none"/>
        </w:rPr>
      </w:pPr>
    </w:p>
    <w:p w14:paraId="279133F8">
      <w:pPr>
        <w:shd w:val="clea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08836ED7">
      <w:pPr>
        <w:shd w:val="clear"/>
        <w:spacing w:line="360" w:lineRule="auto"/>
        <w:rPr>
          <w:color w:val="auto"/>
          <w:spacing w:val="20"/>
          <w:szCs w:val="21"/>
          <w:highlight w:val="none"/>
          <w:u w:val="single"/>
        </w:rPr>
      </w:pPr>
      <w:r>
        <w:rPr>
          <w:color w:val="auto"/>
          <w:szCs w:val="21"/>
          <w:highlight w:val="none"/>
        </w:rPr>
        <w:t>日  期</w:t>
      </w:r>
      <w:r>
        <w:rPr>
          <w:rFonts w:hint="eastAsia"/>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353FD4FF">
      <w:pPr>
        <w:shd w:val="clear"/>
        <w:snapToGrid w:val="0"/>
        <w:spacing w:before="50" w:after="120" w:afterLines="50"/>
        <w:jc w:val="left"/>
        <w:outlineLvl w:val="1"/>
        <w:rPr>
          <w:color w:val="auto"/>
          <w:szCs w:val="21"/>
          <w:highlight w:val="none"/>
        </w:rPr>
        <w:sectPr>
          <w:headerReference r:id="rId22" w:type="default"/>
          <w:pgSz w:w="11906" w:h="16838"/>
          <w:pgMar w:top="1418" w:right="1133" w:bottom="1246" w:left="1418" w:header="851" w:footer="992" w:gutter="0"/>
          <w:cols w:space="720" w:num="1"/>
          <w:docGrid w:linePitch="312" w:charSpace="0"/>
        </w:sectPr>
      </w:pPr>
    </w:p>
    <w:p w14:paraId="6CDAF886">
      <w:pPr>
        <w:shd w:val="clear"/>
        <w:snapToGrid w:val="0"/>
        <w:spacing w:before="50" w:after="120" w:afterLines="50"/>
        <w:jc w:val="left"/>
        <w:rPr>
          <w:color w:val="auto"/>
          <w:szCs w:val="21"/>
          <w:highlight w:val="none"/>
        </w:rPr>
      </w:pPr>
      <w:bookmarkStart w:id="109" w:name="_Hlk65852042"/>
      <w:r>
        <w:rPr>
          <w:rFonts w:hint="eastAsia"/>
          <w:color w:val="auto"/>
          <w:szCs w:val="21"/>
          <w:highlight w:val="none"/>
        </w:rPr>
        <w:t>3.</w:t>
      </w:r>
      <w:r>
        <w:rPr>
          <w:color w:val="auto"/>
          <w:szCs w:val="21"/>
          <w:highlight w:val="none"/>
        </w:rPr>
        <w:t>过低报价合理性的说明。（如有）</w:t>
      </w:r>
    </w:p>
    <w:p w14:paraId="277D2E3C">
      <w:pPr>
        <w:shd w:val="clear"/>
        <w:spacing w:line="360" w:lineRule="auto"/>
        <w:ind w:firstLine="420" w:firstLineChars="200"/>
        <w:rPr>
          <w:color w:val="auto"/>
          <w:szCs w:val="21"/>
          <w:highlight w:val="none"/>
        </w:rPr>
      </w:pPr>
      <w:r>
        <w:rPr>
          <w:color w:val="auto"/>
          <w:szCs w:val="21"/>
          <w:highlight w:val="none"/>
        </w:rPr>
        <w:t>评审委员会认为的报价</w:t>
      </w:r>
      <w:r>
        <w:rPr>
          <w:rFonts w:hint="eastAsia"/>
          <w:color w:val="auto"/>
          <w:szCs w:val="21"/>
          <w:highlight w:val="none"/>
        </w:rPr>
        <w:t>存在异常低价问题的情形</w:t>
      </w:r>
      <w:r>
        <w:rPr>
          <w:color w:val="auto"/>
          <w:szCs w:val="21"/>
          <w:highlight w:val="none"/>
        </w:rPr>
        <w:t>，供应商将被要求以书面方式提供</w:t>
      </w:r>
      <w:r>
        <w:rPr>
          <w:rFonts w:hint="eastAsia"/>
          <w:color w:val="auto"/>
          <w:szCs w:val="21"/>
          <w:highlight w:val="none"/>
        </w:rPr>
        <w:t>项目具体成本测算等与报价合理性相关的书面说明及必要的证明材料</w:t>
      </w:r>
      <w:r>
        <w:rPr>
          <w:color w:val="auto"/>
          <w:szCs w:val="21"/>
          <w:highlight w:val="none"/>
        </w:rPr>
        <w:t>。为避免在评审现场因未能及时提供说明而导致被评审委员会作为无效</w:t>
      </w:r>
      <w:r>
        <w:rPr>
          <w:rFonts w:hint="eastAsia"/>
          <w:color w:val="auto"/>
          <w:szCs w:val="21"/>
          <w:highlight w:val="none"/>
        </w:rPr>
        <w:t>响应</w:t>
      </w:r>
      <w:r>
        <w:rPr>
          <w:color w:val="auto"/>
          <w:szCs w:val="21"/>
          <w:highlight w:val="none"/>
        </w:rPr>
        <w:t>，供应商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08636986">
      <w:pPr>
        <w:pStyle w:val="134"/>
        <w:shd w:val="clear"/>
        <w:jc w:val="center"/>
        <w:rPr>
          <w:b/>
          <w:bCs/>
          <w:color w:val="auto"/>
          <w:highlight w:val="none"/>
        </w:rPr>
      </w:pPr>
      <w:bookmarkStart w:id="110" w:name="_Hlk211331823"/>
    </w:p>
    <w:p w14:paraId="68D3F638">
      <w:pPr>
        <w:pStyle w:val="134"/>
        <w:shd w:val="clear"/>
        <w:jc w:val="center"/>
        <w:rPr>
          <w:color w:val="auto"/>
          <w:highlight w:val="none"/>
        </w:rPr>
      </w:pPr>
      <w:r>
        <w:rPr>
          <w:rFonts w:hint="eastAsia"/>
          <w:b/>
          <w:bCs/>
          <w:color w:val="auto"/>
          <w:highlight w:val="none"/>
        </w:rPr>
        <w:t>产品成本测算表（参考格式）</w:t>
      </w:r>
    </w:p>
    <w:p w14:paraId="2699B98E">
      <w:pPr>
        <w:shd w:val="clear"/>
        <w:spacing w:line="360" w:lineRule="auto"/>
        <w:rPr>
          <w:color w:val="auto"/>
          <w:highlight w:val="none"/>
        </w:rPr>
      </w:pPr>
    </w:p>
    <w:bookmarkEnd w:id="110"/>
    <w:tbl>
      <w:tblPr>
        <w:tblStyle w:val="52"/>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0FF702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7270560C">
            <w:pPr>
              <w:shd w:val="clear"/>
              <w:ind w:left="-105" w:leftChars="-50" w:right="-105" w:rightChars="-50"/>
              <w:jc w:val="center"/>
              <w:rPr>
                <w:rFonts w:cs="宋体"/>
                <w:b/>
                <w:color w:val="auto"/>
                <w:highlight w:val="none"/>
              </w:rPr>
            </w:pPr>
            <w:r>
              <w:rPr>
                <w:rFonts w:hint="eastAsia" w:cs="仿宋_GB2312"/>
                <w:b/>
                <w:color w:val="auto"/>
                <w:highlight w:val="none"/>
              </w:rPr>
              <w:t>序号</w:t>
            </w:r>
          </w:p>
        </w:tc>
        <w:tc>
          <w:tcPr>
            <w:tcW w:w="201" w:type="pct"/>
            <w:shd w:val="clear" w:color="C3BD96" w:themeColor="background2" w:themeShade="BF" w:fill="auto"/>
            <w:vAlign w:val="center"/>
          </w:tcPr>
          <w:p w14:paraId="5AA205EA">
            <w:pPr>
              <w:shd w:val="clea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14C9D015">
            <w:pPr>
              <w:shd w:val="clea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1D406297">
            <w:pPr>
              <w:shd w:val="clea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4A12EDBB">
            <w:pPr>
              <w:shd w:val="clear"/>
              <w:spacing w:line="360" w:lineRule="auto"/>
              <w:ind w:left="-48" w:leftChars="-23" w:right="-65" w:rightChars="-31"/>
              <w:jc w:val="center"/>
              <w:rPr>
                <w:rFonts w:cs="宋体"/>
                <w:b/>
                <w:color w:val="auto"/>
                <w:highlight w:val="none"/>
              </w:rPr>
            </w:pPr>
            <w:r>
              <w:rPr>
                <w:rFonts w:hint="eastAsia" w:cs="宋体"/>
                <w:b/>
                <w:color w:val="auto"/>
                <w:highlight w:val="none"/>
              </w:rPr>
              <w:t>报价单价（</w:t>
            </w:r>
            <w:r>
              <w:rPr>
                <w:rFonts w:cs="宋体"/>
                <w:b/>
                <w:color w:val="auto"/>
                <w:highlight w:val="none"/>
              </w:rPr>
              <w:t>元）</w:t>
            </w:r>
          </w:p>
        </w:tc>
        <w:tc>
          <w:tcPr>
            <w:tcW w:w="692" w:type="pct"/>
            <w:shd w:val="clear" w:color="C3BD96" w:themeColor="background2" w:themeShade="BF" w:fill="auto"/>
            <w:vAlign w:val="center"/>
          </w:tcPr>
          <w:p w14:paraId="53370596">
            <w:pPr>
              <w:shd w:val="clear"/>
              <w:spacing w:line="360" w:lineRule="auto"/>
              <w:ind w:left="-48" w:leftChars="-23" w:right="-65" w:rightChars="-31"/>
              <w:jc w:val="center"/>
              <w:rPr>
                <w:rFonts w:cs="宋体"/>
                <w:b/>
                <w:color w:val="auto"/>
                <w:highlight w:val="none"/>
              </w:rPr>
            </w:pPr>
            <w:r>
              <w:rPr>
                <w:rFonts w:hint="eastAsia" w:cs="宋体"/>
                <w:b/>
                <w:color w:val="auto"/>
                <w:highlight w:val="none"/>
              </w:rPr>
              <w:t>成本项目</w:t>
            </w:r>
          </w:p>
          <w:p w14:paraId="00DE1F7E">
            <w:pPr>
              <w:shd w:val="clear"/>
              <w:spacing w:line="360" w:lineRule="auto"/>
              <w:ind w:right="-65" w:rightChars="-31"/>
              <w:rPr>
                <w:rFonts w:cs="宋体"/>
                <w:b/>
                <w:color w:val="auto"/>
                <w:highlight w:val="none"/>
              </w:rPr>
            </w:pPr>
          </w:p>
        </w:tc>
        <w:tc>
          <w:tcPr>
            <w:tcW w:w="560" w:type="pct"/>
            <w:shd w:val="clear" w:color="C3BD96" w:themeColor="background2" w:themeShade="BF" w:fill="auto"/>
            <w:vAlign w:val="center"/>
          </w:tcPr>
          <w:p w14:paraId="646AC9A3">
            <w:pPr>
              <w:shd w:val="clear"/>
              <w:spacing w:line="360" w:lineRule="auto"/>
              <w:ind w:left="-48" w:leftChars="-23" w:right="-65" w:rightChars="-31"/>
              <w:jc w:val="center"/>
              <w:rPr>
                <w:rFonts w:cs="宋体"/>
                <w:b/>
                <w:color w:val="auto"/>
                <w:highlight w:val="none"/>
              </w:rPr>
            </w:pPr>
            <w:r>
              <w:rPr>
                <w:rFonts w:hint="eastAsia" w:cs="宋体"/>
                <w:b/>
                <w:color w:val="auto"/>
                <w:highlight w:val="none"/>
              </w:rPr>
              <w:t>具体明细</w:t>
            </w:r>
          </w:p>
          <w:p w14:paraId="6FC65A24">
            <w:pPr>
              <w:shd w:val="clear"/>
              <w:spacing w:line="360" w:lineRule="auto"/>
              <w:ind w:left="-48" w:leftChars="-23" w:right="-65" w:rightChars="-31"/>
              <w:jc w:val="center"/>
              <w:rPr>
                <w:rFonts w:cs="宋体"/>
                <w:b/>
                <w:color w:val="auto"/>
                <w:highlight w:val="none"/>
              </w:rPr>
            </w:pPr>
          </w:p>
        </w:tc>
        <w:tc>
          <w:tcPr>
            <w:tcW w:w="511" w:type="pct"/>
            <w:shd w:val="clear" w:color="C3BD96" w:themeColor="background2" w:themeShade="BF" w:fill="auto"/>
            <w:vAlign w:val="center"/>
          </w:tcPr>
          <w:p w14:paraId="277CF9E9">
            <w:pPr>
              <w:shd w:val="clear"/>
              <w:spacing w:line="360" w:lineRule="auto"/>
              <w:ind w:left="-48" w:leftChars="-23" w:right="-65" w:rightChars="-31"/>
              <w:jc w:val="center"/>
              <w:rPr>
                <w:rFonts w:cs="宋体"/>
                <w:b/>
                <w:color w:val="auto"/>
                <w:highlight w:val="none"/>
              </w:rPr>
            </w:pPr>
            <w:r>
              <w:rPr>
                <w:rFonts w:hint="eastAsia" w:cs="宋体"/>
                <w:b/>
                <w:color w:val="auto"/>
                <w:highlight w:val="none"/>
              </w:rPr>
              <w:t>单位产品用量</w:t>
            </w:r>
          </w:p>
          <w:p w14:paraId="008C299A">
            <w:pPr>
              <w:shd w:val="clear"/>
              <w:spacing w:line="360" w:lineRule="auto"/>
              <w:ind w:left="-48" w:leftChars="-23" w:right="-65" w:rightChars="-31"/>
              <w:jc w:val="center"/>
              <w:rPr>
                <w:rFonts w:cs="宋体"/>
                <w:b/>
                <w:color w:val="auto"/>
                <w:highlight w:val="none"/>
              </w:rPr>
            </w:pPr>
          </w:p>
        </w:tc>
        <w:tc>
          <w:tcPr>
            <w:tcW w:w="606" w:type="pct"/>
            <w:shd w:val="clear" w:color="C3BD96" w:themeColor="background2" w:themeShade="BF" w:fill="auto"/>
            <w:vAlign w:val="center"/>
          </w:tcPr>
          <w:p w14:paraId="1C24B723">
            <w:pPr>
              <w:shd w:val="clear"/>
              <w:spacing w:line="360" w:lineRule="auto"/>
              <w:ind w:left="-48" w:leftChars="-23" w:right="-65" w:rightChars="-31"/>
              <w:jc w:val="center"/>
              <w:rPr>
                <w:rFonts w:cs="宋体"/>
                <w:b/>
                <w:color w:val="auto"/>
                <w:highlight w:val="none"/>
              </w:rPr>
            </w:pPr>
            <w:r>
              <w:rPr>
                <w:rFonts w:hint="eastAsia" w:cs="宋体"/>
                <w:b/>
                <w:color w:val="auto"/>
                <w:highlight w:val="none"/>
              </w:rPr>
              <w:t>单位成本（元）</w:t>
            </w:r>
          </w:p>
        </w:tc>
        <w:tc>
          <w:tcPr>
            <w:tcW w:w="449" w:type="pct"/>
            <w:tcBorders>
              <w:left w:val="single" w:color="auto" w:sz="4" w:space="0"/>
            </w:tcBorders>
            <w:shd w:val="clear" w:color="C3BD96" w:themeColor="background2" w:themeShade="BF" w:fill="auto"/>
            <w:vAlign w:val="center"/>
          </w:tcPr>
          <w:p w14:paraId="47928A6A">
            <w:pPr>
              <w:shd w:val="clea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5BD4DB89">
            <w:pPr>
              <w:shd w:val="clear"/>
              <w:spacing w:line="360" w:lineRule="auto"/>
              <w:ind w:left="-48" w:leftChars="-23" w:right="-65" w:rightChars="-31"/>
              <w:jc w:val="center"/>
              <w:rPr>
                <w:rFonts w:cs="宋体"/>
                <w:b/>
                <w:color w:val="auto"/>
                <w:highlight w:val="none"/>
              </w:rPr>
            </w:pPr>
            <w:r>
              <w:rPr>
                <w:rFonts w:hint="eastAsia" w:cs="宋体"/>
                <w:b/>
                <w:color w:val="auto"/>
                <w:highlight w:val="none"/>
              </w:rPr>
              <w:t>备注（测算依据/证明材料）</w:t>
            </w:r>
          </w:p>
        </w:tc>
      </w:tr>
      <w:tr w14:paraId="667088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vAlign w:val="center"/>
          </w:tcPr>
          <w:p w14:paraId="1233E2EC">
            <w:pPr>
              <w:numPr>
                <w:ilvl w:val="0"/>
                <w:numId w:val="8"/>
              </w:numPr>
              <w:shd w:val="clear"/>
              <w:tabs>
                <w:tab w:val="left" w:pos="61"/>
              </w:tabs>
              <w:jc w:val="center"/>
              <w:rPr>
                <w:color w:val="auto"/>
                <w:highlight w:val="none"/>
              </w:rPr>
            </w:pPr>
          </w:p>
        </w:tc>
        <w:tc>
          <w:tcPr>
            <w:tcW w:w="201" w:type="pct"/>
            <w:vMerge w:val="restart"/>
            <w:vAlign w:val="center"/>
          </w:tcPr>
          <w:p w14:paraId="6B9526C9">
            <w:pPr>
              <w:shd w:val="clear"/>
              <w:tabs>
                <w:tab w:val="left" w:pos="0"/>
                <w:tab w:val="left" w:pos="56"/>
              </w:tabs>
              <w:ind w:left="479" w:hanging="478" w:hangingChars="228"/>
              <w:jc w:val="center"/>
              <w:rPr>
                <w:color w:val="auto"/>
                <w:highlight w:val="none"/>
              </w:rPr>
            </w:pPr>
          </w:p>
        </w:tc>
        <w:tc>
          <w:tcPr>
            <w:tcW w:w="380" w:type="pct"/>
            <w:vMerge w:val="restart"/>
            <w:vAlign w:val="center"/>
          </w:tcPr>
          <w:p w14:paraId="53FDEFEB">
            <w:pPr>
              <w:shd w:val="clear"/>
              <w:spacing w:line="240" w:lineRule="atLeast"/>
              <w:ind w:left="-48" w:leftChars="-23" w:right="-65" w:rightChars="-31"/>
              <w:jc w:val="left"/>
              <w:rPr>
                <w:rFonts w:cs="宋体"/>
                <w:color w:val="auto"/>
                <w:highlight w:val="none"/>
              </w:rPr>
            </w:pPr>
          </w:p>
        </w:tc>
        <w:tc>
          <w:tcPr>
            <w:tcW w:w="282" w:type="pct"/>
            <w:vMerge w:val="restart"/>
            <w:tcBorders>
              <w:left w:val="single" w:color="auto" w:sz="4" w:space="0"/>
            </w:tcBorders>
            <w:vAlign w:val="center"/>
          </w:tcPr>
          <w:p w14:paraId="4FE9F0CC">
            <w:pPr>
              <w:shd w:val="clear"/>
              <w:spacing w:line="240" w:lineRule="atLeast"/>
              <w:ind w:left="-48" w:leftChars="-23" w:right="-65" w:rightChars="-31"/>
              <w:jc w:val="left"/>
              <w:rPr>
                <w:rFonts w:cs="宋体"/>
                <w:color w:val="auto"/>
                <w:highlight w:val="none"/>
              </w:rPr>
            </w:pPr>
          </w:p>
        </w:tc>
        <w:tc>
          <w:tcPr>
            <w:tcW w:w="478" w:type="pct"/>
            <w:vMerge w:val="restart"/>
            <w:tcBorders>
              <w:left w:val="single" w:color="auto" w:sz="4" w:space="0"/>
              <w:right w:val="single" w:color="auto" w:sz="4" w:space="0"/>
            </w:tcBorders>
            <w:vAlign w:val="center"/>
          </w:tcPr>
          <w:p w14:paraId="5CC7A790">
            <w:pPr>
              <w:shd w:val="clea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727416E7">
            <w:pPr>
              <w:shd w:val="clear"/>
              <w:spacing w:line="240" w:lineRule="atLeast"/>
              <w:ind w:left="-48" w:leftChars="-23" w:right="-65" w:rightChars="-31"/>
              <w:jc w:val="left"/>
              <w:rPr>
                <w:rFonts w:cs="宋体"/>
                <w:color w:val="auto"/>
                <w:highlight w:val="none"/>
              </w:rPr>
            </w:pPr>
            <w:r>
              <w:rPr>
                <w:rFonts w:hint="eastAsia" w:cs="宋体"/>
                <w:color w:val="auto"/>
                <w:highlight w:val="none"/>
              </w:rPr>
              <w:t>原材料成本</w:t>
            </w:r>
          </w:p>
        </w:tc>
        <w:tc>
          <w:tcPr>
            <w:tcW w:w="560" w:type="pct"/>
            <w:tcBorders>
              <w:left w:val="single" w:color="auto" w:sz="4" w:space="0"/>
            </w:tcBorders>
            <w:vAlign w:val="center"/>
          </w:tcPr>
          <w:p w14:paraId="6A9F82B8">
            <w:pPr>
              <w:shd w:val="clear"/>
              <w:spacing w:line="240" w:lineRule="atLeast"/>
              <w:ind w:left="-48" w:leftChars="-23" w:right="-65" w:rightChars="-31"/>
              <w:jc w:val="left"/>
              <w:rPr>
                <w:rFonts w:cs="宋体"/>
                <w:color w:val="auto"/>
                <w:highlight w:val="none"/>
              </w:rPr>
            </w:pPr>
            <w:r>
              <w:rPr>
                <w:rFonts w:cs="宋体"/>
                <w:color w:val="auto"/>
                <w:highlight w:val="none"/>
              </w:rPr>
              <w:t>原材料1</w:t>
            </w:r>
          </w:p>
        </w:tc>
        <w:tc>
          <w:tcPr>
            <w:tcW w:w="511" w:type="pct"/>
            <w:tcBorders>
              <w:left w:val="single" w:color="auto" w:sz="4" w:space="0"/>
            </w:tcBorders>
            <w:vAlign w:val="center"/>
          </w:tcPr>
          <w:p w14:paraId="0466AEC7">
            <w:pPr>
              <w:shd w:val="clea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24BCB47">
            <w:pPr>
              <w:shd w:val="clear"/>
              <w:spacing w:line="240" w:lineRule="atLeast"/>
              <w:ind w:left="-48" w:leftChars="-23" w:right="-65" w:rightChars="-31"/>
              <w:jc w:val="left"/>
              <w:rPr>
                <w:rFonts w:cs="宋体"/>
                <w:color w:val="auto"/>
                <w:highlight w:val="none"/>
              </w:rPr>
            </w:pPr>
          </w:p>
        </w:tc>
        <w:tc>
          <w:tcPr>
            <w:tcW w:w="449" w:type="pct"/>
            <w:vMerge w:val="restart"/>
            <w:tcBorders>
              <w:left w:val="single" w:color="auto" w:sz="4" w:space="0"/>
            </w:tcBorders>
            <w:vAlign w:val="center"/>
          </w:tcPr>
          <w:p w14:paraId="60C24B77">
            <w:pPr>
              <w:shd w:val="clea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18D60AFF">
            <w:pPr>
              <w:shd w:val="clear"/>
              <w:spacing w:line="240" w:lineRule="atLeast"/>
              <w:ind w:left="-48" w:leftChars="-23" w:right="-65" w:rightChars="-31"/>
              <w:jc w:val="left"/>
              <w:rPr>
                <w:rFonts w:cs="宋体"/>
                <w:color w:val="auto"/>
                <w:highlight w:val="none"/>
              </w:rPr>
            </w:pPr>
          </w:p>
        </w:tc>
      </w:tr>
      <w:tr w14:paraId="75DF36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6296CCE">
            <w:pPr>
              <w:numPr>
                <w:ilvl w:val="0"/>
                <w:numId w:val="8"/>
              </w:numPr>
              <w:shd w:val="clear"/>
              <w:tabs>
                <w:tab w:val="left" w:pos="61"/>
              </w:tabs>
              <w:jc w:val="center"/>
              <w:rPr>
                <w:color w:val="auto"/>
                <w:highlight w:val="none"/>
              </w:rPr>
            </w:pPr>
          </w:p>
        </w:tc>
        <w:tc>
          <w:tcPr>
            <w:tcW w:w="201" w:type="pct"/>
            <w:vMerge w:val="continue"/>
            <w:vAlign w:val="center"/>
          </w:tcPr>
          <w:p w14:paraId="7E3FE037">
            <w:pPr>
              <w:shd w:val="clear"/>
              <w:tabs>
                <w:tab w:val="left" w:pos="0"/>
                <w:tab w:val="left" w:pos="56"/>
              </w:tabs>
              <w:ind w:left="479" w:hanging="478" w:hangingChars="228"/>
              <w:jc w:val="center"/>
              <w:rPr>
                <w:color w:val="auto"/>
                <w:highlight w:val="none"/>
              </w:rPr>
            </w:pPr>
          </w:p>
        </w:tc>
        <w:tc>
          <w:tcPr>
            <w:tcW w:w="380" w:type="pct"/>
            <w:vMerge w:val="continue"/>
            <w:vAlign w:val="center"/>
          </w:tcPr>
          <w:p w14:paraId="7389A5D3">
            <w:pPr>
              <w:shd w:val="clea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02AB75A2">
            <w:pPr>
              <w:shd w:val="clea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06CC8393">
            <w:pPr>
              <w:shd w:val="clea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6EE048F6">
            <w:pPr>
              <w:shd w:val="clea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2D5BFCCC">
            <w:pPr>
              <w:shd w:val="clea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3CFDD6FB">
            <w:pPr>
              <w:shd w:val="clea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12D2FDA">
            <w:pPr>
              <w:shd w:val="clea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6D91A1C6">
            <w:pPr>
              <w:shd w:val="clea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06F81235">
            <w:pPr>
              <w:shd w:val="clear"/>
              <w:spacing w:line="240" w:lineRule="atLeast"/>
              <w:ind w:left="-48" w:leftChars="-23" w:right="-65" w:rightChars="-31"/>
              <w:jc w:val="left"/>
              <w:rPr>
                <w:rFonts w:cs="宋体"/>
                <w:color w:val="auto"/>
                <w:highlight w:val="none"/>
              </w:rPr>
            </w:pPr>
          </w:p>
        </w:tc>
      </w:tr>
      <w:tr w14:paraId="7D86BA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F413FE6">
            <w:pPr>
              <w:shd w:val="clear"/>
              <w:tabs>
                <w:tab w:val="left" w:pos="61"/>
              </w:tabs>
              <w:jc w:val="center"/>
              <w:rPr>
                <w:color w:val="auto"/>
                <w:highlight w:val="none"/>
              </w:rPr>
            </w:pPr>
          </w:p>
        </w:tc>
        <w:tc>
          <w:tcPr>
            <w:tcW w:w="201" w:type="pct"/>
            <w:vMerge w:val="continue"/>
            <w:vAlign w:val="center"/>
          </w:tcPr>
          <w:p w14:paraId="553D251B">
            <w:pPr>
              <w:shd w:val="clear"/>
              <w:tabs>
                <w:tab w:val="left" w:pos="0"/>
                <w:tab w:val="left" w:pos="56"/>
              </w:tabs>
              <w:ind w:left="479" w:hanging="478" w:hangingChars="228"/>
              <w:jc w:val="center"/>
              <w:rPr>
                <w:color w:val="auto"/>
                <w:highlight w:val="none"/>
              </w:rPr>
            </w:pPr>
          </w:p>
        </w:tc>
        <w:tc>
          <w:tcPr>
            <w:tcW w:w="380" w:type="pct"/>
            <w:vMerge w:val="continue"/>
            <w:vAlign w:val="center"/>
          </w:tcPr>
          <w:p w14:paraId="25C572BF">
            <w:pPr>
              <w:shd w:val="clea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22CFDF7B">
            <w:pPr>
              <w:shd w:val="clea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1BBD4036">
            <w:pPr>
              <w:shd w:val="clea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465518E1">
            <w:pPr>
              <w:shd w:val="clear"/>
              <w:spacing w:line="240" w:lineRule="atLeast"/>
              <w:ind w:left="-48" w:leftChars="-23" w:right="-65" w:rightChars="-31"/>
              <w:jc w:val="left"/>
              <w:rPr>
                <w:rFonts w:cs="宋体"/>
                <w:color w:val="auto"/>
                <w:highlight w:val="none"/>
              </w:rPr>
            </w:pPr>
            <w:r>
              <w:rPr>
                <w:rFonts w:hint="eastAsia" w:cs="宋体"/>
                <w:color w:val="auto"/>
                <w:highlight w:val="none"/>
              </w:rPr>
              <w:t>人工成本</w:t>
            </w:r>
          </w:p>
        </w:tc>
        <w:tc>
          <w:tcPr>
            <w:tcW w:w="560" w:type="pct"/>
            <w:tcBorders>
              <w:left w:val="single" w:color="auto" w:sz="4" w:space="0"/>
            </w:tcBorders>
            <w:vAlign w:val="center"/>
          </w:tcPr>
          <w:p w14:paraId="49A85198">
            <w:pPr>
              <w:shd w:val="clear"/>
              <w:spacing w:line="240" w:lineRule="atLeast"/>
              <w:ind w:left="-48" w:leftChars="-23" w:right="-65" w:rightChars="-31"/>
              <w:jc w:val="left"/>
              <w:rPr>
                <w:rFonts w:cs="宋体"/>
                <w:color w:val="auto"/>
                <w:highlight w:val="none"/>
              </w:rPr>
            </w:pPr>
            <w:r>
              <w:rPr>
                <w:rFonts w:cs="宋体"/>
                <w:color w:val="auto"/>
                <w:highlight w:val="none"/>
              </w:rPr>
              <w:t>生产工人工资</w:t>
            </w:r>
          </w:p>
        </w:tc>
        <w:tc>
          <w:tcPr>
            <w:tcW w:w="511" w:type="pct"/>
            <w:tcBorders>
              <w:left w:val="single" w:color="auto" w:sz="4" w:space="0"/>
            </w:tcBorders>
            <w:vAlign w:val="center"/>
          </w:tcPr>
          <w:p w14:paraId="594F1699">
            <w:pPr>
              <w:shd w:val="clea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4A22D861">
            <w:pPr>
              <w:shd w:val="clea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35D3D130">
            <w:pPr>
              <w:shd w:val="clea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1A0CF103">
            <w:pPr>
              <w:shd w:val="clear"/>
              <w:spacing w:line="240" w:lineRule="atLeast"/>
              <w:ind w:left="-48" w:leftChars="-23" w:right="-65" w:rightChars="-31"/>
              <w:jc w:val="left"/>
              <w:rPr>
                <w:rFonts w:cs="宋体"/>
                <w:color w:val="auto"/>
                <w:highlight w:val="none"/>
              </w:rPr>
            </w:pPr>
          </w:p>
        </w:tc>
      </w:tr>
      <w:tr w14:paraId="20C683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349AC83A">
            <w:pPr>
              <w:shd w:val="clear"/>
              <w:tabs>
                <w:tab w:val="left" w:pos="61"/>
              </w:tabs>
              <w:jc w:val="center"/>
              <w:rPr>
                <w:color w:val="auto"/>
                <w:highlight w:val="none"/>
              </w:rPr>
            </w:pPr>
          </w:p>
        </w:tc>
        <w:tc>
          <w:tcPr>
            <w:tcW w:w="201" w:type="pct"/>
            <w:vMerge w:val="continue"/>
            <w:vAlign w:val="center"/>
          </w:tcPr>
          <w:p w14:paraId="31002952">
            <w:pPr>
              <w:shd w:val="clear"/>
              <w:tabs>
                <w:tab w:val="left" w:pos="0"/>
                <w:tab w:val="left" w:pos="56"/>
              </w:tabs>
              <w:ind w:left="479" w:hanging="478" w:hangingChars="228"/>
              <w:jc w:val="center"/>
              <w:rPr>
                <w:color w:val="auto"/>
                <w:highlight w:val="none"/>
              </w:rPr>
            </w:pPr>
          </w:p>
        </w:tc>
        <w:tc>
          <w:tcPr>
            <w:tcW w:w="380" w:type="pct"/>
            <w:vMerge w:val="continue"/>
            <w:vAlign w:val="center"/>
          </w:tcPr>
          <w:p w14:paraId="6E3DF6DE">
            <w:pPr>
              <w:shd w:val="clea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5A3498CF">
            <w:pPr>
              <w:shd w:val="clea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2ED72846">
            <w:pPr>
              <w:shd w:val="clea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0F30CE90">
            <w:pPr>
              <w:shd w:val="clea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5E712894">
            <w:pPr>
              <w:shd w:val="clea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362E8D6F">
            <w:pPr>
              <w:shd w:val="clea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32F4A2BB">
            <w:pPr>
              <w:shd w:val="clea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6E13BDBE">
            <w:pPr>
              <w:shd w:val="clea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06630BC0">
            <w:pPr>
              <w:shd w:val="clear"/>
              <w:spacing w:line="240" w:lineRule="atLeast"/>
              <w:ind w:left="-48" w:leftChars="-23" w:right="-65" w:rightChars="-31"/>
              <w:jc w:val="left"/>
              <w:rPr>
                <w:rFonts w:cs="宋体"/>
                <w:color w:val="auto"/>
                <w:highlight w:val="none"/>
              </w:rPr>
            </w:pPr>
          </w:p>
        </w:tc>
      </w:tr>
      <w:tr w14:paraId="38B34E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7AB40715">
            <w:pPr>
              <w:shd w:val="clear"/>
              <w:tabs>
                <w:tab w:val="left" w:pos="61"/>
              </w:tabs>
              <w:jc w:val="center"/>
              <w:rPr>
                <w:color w:val="auto"/>
                <w:highlight w:val="none"/>
              </w:rPr>
            </w:pPr>
          </w:p>
        </w:tc>
        <w:tc>
          <w:tcPr>
            <w:tcW w:w="201" w:type="pct"/>
            <w:vMerge w:val="continue"/>
            <w:vAlign w:val="center"/>
          </w:tcPr>
          <w:p w14:paraId="6780A3CB">
            <w:pPr>
              <w:shd w:val="clear"/>
              <w:tabs>
                <w:tab w:val="left" w:pos="0"/>
                <w:tab w:val="left" w:pos="56"/>
              </w:tabs>
              <w:ind w:left="479" w:hanging="478" w:hangingChars="228"/>
              <w:jc w:val="center"/>
              <w:rPr>
                <w:color w:val="auto"/>
                <w:highlight w:val="none"/>
              </w:rPr>
            </w:pPr>
          </w:p>
        </w:tc>
        <w:tc>
          <w:tcPr>
            <w:tcW w:w="380" w:type="pct"/>
            <w:vMerge w:val="continue"/>
            <w:vAlign w:val="center"/>
          </w:tcPr>
          <w:p w14:paraId="4D1883A1">
            <w:pPr>
              <w:shd w:val="clea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407E8C02">
            <w:pPr>
              <w:shd w:val="clea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51CDFE5E">
            <w:pPr>
              <w:shd w:val="clea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66A44D96">
            <w:pPr>
              <w:shd w:val="clear"/>
              <w:spacing w:line="240" w:lineRule="atLeast"/>
              <w:ind w:left="-48" w:leftChars="-23" w:right="-65" w:rightChars="-31"/>
              <w:jc w:val="left"/>
              <w:rPr>
                <w:rFonts w:cs="宋体"/>
                <w:color w:val="auto"/>
                <w:highlight w:val="none"/>
              </w:rPr>
            </w:pPr>
            <w:r>
              <w:rPr>
                <w:rFonts w:hint="eastAsia" w:cs="宋体"/>
                <w:color w:val="auto"/>
                <w:highlight w:val="none"/>
              </w:rPr>
              <w:t>制造费用</w:t>
            </w:r>
          </w:p>
        </w:tc>
        <w:tc>
          <w:tcPr>
            <w:tcW w:w="560" w:type="pct"/>
            <w:tcBorders>
              <w:left w:val="single" w:color="auto" w:sz="4" w:space="0"/>
            </w:tcBorders>
            <w:vAlign w:val="center"/>
          </w:tcPr>
          <w:p w14:paraId="484173D8">
            <w:pPr>
              <w:shd w:val="clear"/>
              <w:spacing w:line="240" w:lineRule="atLeast"/>
              <w:ind w:left="-48" w:leftChars="-23" w:right="-65" w:rightChars="-31"/>
              <w:jc w:val="left"/>
              <w:rPr>
                <w:rFonts w:cs="宋体"/>
                <w:color w:val="auto"/>
                <w:highlight w:val="none"/>
              </w:rPr>
            </w:pPr>
            <w:r>
              <w:rPr>
                <w:rFonts w:cs="宋体"/>
                <w:color w:val="auto"/>
                <w:highlight w:val="none"/>
              </w:rPr>
              <w:t>设备折旧费</w:t>
            </w:r>
          </w:p>
        </w:tc>
        <w:tc>
          <w:tcPr>
            <w:tcW w:w="511" w:type="pct"/>
            <w:tcBorders>
              <w:left w:val="single" w:color="auto" w:sz="4" w:space="0"/>
            </w:tcBorders>
            <w:vAlign w:val="center"/>
          </w:tcPr>
          <w:p w14:paraId="12060515">
            <w:pPr>
              <w:shd w:val="clea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0BFDA16B">
            <w:pPr>
              <w:shd w:val="clea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1C262E7C">
            <w:pPr>
              <w:shd w:val="clea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7FD20FC1">
            <w:pPr>
              <w:shd w:val="clear"/>
              <w:spacing w:line="240" w:lineRule="atLeast"/>
              <w:ind w:left="-48" w:leftChars="-23" w:right="-65" w:rightChars="-31"/>
              <w:jc w:val="left"/>
              <w:rPr>
                <w:rFonts w:cs="宋体"/>
                <w:color w:val="auto"/>
                <w:highlight w:val="none"/>
              </w:rPr>
            </w:pPr>
          </w:p>
        </w:tc>
      </w:tr>
      <w:tr w14:paraId="2DDA40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51DB74F0">
            <w:pPr>
              <w:shd w:val="clear"/>
              <w:tabs>
                <w:tab w:val="left" w:pos="61"/>
              </w:tabs>
              <w:jc w:val="center"/>
              <w:rPr>
                <w:color w:val="auto"/>
                <w:highlight w:val="none"/>
              </w:rPr>
            </w:pPr>
          </w:p>
        </w:tc>
        <w:tc>
          <w:tcPr>
            <w:tcW w:w="201" w:type="pct"/>
            <w:vMerge w:val="continue"/>
            <w:vAlign w:val="center"/>
          </w:tcPr>
          <w:p w14:paraId="6B21F2DA">
            <w:pPr>
              <w:shd w:val="clear"/>
              <w:tabs>
                <w:tab w:val="left" w:pos="0"/>
                <w:tab w:val="left" w:pos="56"/>
              </w:tabs>
              <w:ind w:left="479" w:hanging="478" w:hangingChars="228"/>
              <w:jc w:val="center"/>
              <w:rPr>
                <w:color w:val="auto"/>
                <w:highlight w:val="none"/>
              </w:rPr>
            </w:pPr>
          </w:p>
        </w:tc>
        <w:tc>
          <w:tcPr>
            <w:tcW w:w="380" w:type="pct"/>
            <w:vMerge w:val="continue"/>
            <w:vAlign w:val="center"/>
          </w:tcPr>
          <w:p w14:paraId="106E82F8">
            <w:pPr>
              <w:shd w:val="clea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7AA31B9D">
            <w:pPr>
              <w:shd w:val="clea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5E6746BA">
            <w:pPr>
              <w:shd w:val="clea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3B112E9A">
            <w:pPr>
              <w:shd w:val="clea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1D35AC67">
            <w:pPr>
              <w:shd w:val="clea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2F23B8D2">
            <w:pPr>
              <w:shd w:val="clea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08761C1F">
            <w:pPr>
              <w:shd w:val="clea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36217DD8">
            <w:pPr>
              <w:shd w:val="clea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3DE5A43B">
            <w:pPr>
              <w:shd w:val="clear"/>
              <w:spacing w:line="240" w:lineRule="atLeast"/>
              <w:ind w:left="-48" w:leftChars="-23" w:right="-65" w:rightChars="-31"/>
              <w:jc w:val="left"/>
              <w:rPr>
                <w:rFonts w:cs="宋体"/>
                <w:color w:val="auto"/>
                <w:highlight w:val="none"/>
              </w:rPr>
            </w:pPr>
          </w:p>
        </w:tc>
      </w:tr>
      <w:tr w14:paraId="17BC3A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28E2A8A4">
            <w:pPr>
              <w:shd w:val="clear"/>
              <w:tabs>
                <w:tab w:val="left" w:pos="61"/>
              </w:tabs>
              <w:jc w:val="center"/>
              <w:rPr>
                <w:color w:val="auto"/>
                <w:highlight w:val="none"/>
              </w:rPr>
            </w:pPr>
          </w:p>
        </w:tc>
        <w:tc>
          <w:tcPr>
            <w:tcW w:w="201" w:type="pct"/>
            <w:vMerge w:val="continue"/>
            <w:vAlign w:val="center"/>
          </w:tcPr>
          <w:p w14:paraId="1A6C520E">
            <w:pPr>
              <w:shd w:val="clear"/>
              <w:tabs>
                <w:tab w:val="left" w:pos="0"/>
                <w:tab w:val="left" w:pos="56"/>
              </w:tabs>
              <w:ind w:left="479" w:hanging="478" w:hangingChars="228"/>
              <w:jc w:val="center"/>
              <w:rPr>
                <w:color w:val="auto"/>
                <w:highlight w:val="none"/>
              </w:rPr>
            </w:pPr>
          </w:p>
        </w:tc>
        <w:tc>
          <w:tcPr>
            <w:tcW w:w="380" w:type="pct"/>
            <w:vMerge w:val="continue"/>
            <w:vAlign w:val="center"/>
          </w:tcPr>
          <w:p w14:paraId="48949896">
            <w:pPr>
              <w:shd w:val="clea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07AE807F">
            <w:pPr>
              <w:shd w:val="clea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4C843EFC">
            <w:pPr>
              <w:shd w:val="clea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vAlign w:val="center"/>
          </w:tcPr>
          <w:p w14:paraId="087121E4">
            <w:pPr>
              <w:shd w:val="clear"/>
              <w:spacing w:line="240" w:lineRule="atLeast"/>
              <w:ind w:left="-48" w:leftChars="-23" w:right="-65" w:rightChars="-31"/>
              <w:jc w:val="left"/>
              <w:rPr>
                <w:rFonts w:cs="宋体"/>
                <w:color w:val="auto"/>
                <w:highlight w:val="none"/>
              </w:rPr>
            </w:pPr>
            <w:r>
              <w:rPr>
                <w:rFonts w:hint="eastAsia" w:cs="宋体"/>
                <w:color w:val="auto"/>
                <w:highlight w:val="none"/>
              </w:rPr>
              <w:t>其他成本</w:t>
            </w:r>
          </w:p>
        </w:tc>
        <w:tc>
          <w:tcPr>
            <w:tcW w:w="560" w:type="pct"/>
            <w:tcBorders>
              <w:left w:val="single" w:color="auto" w:sz="4" w:space="0"/>
            </w:tcBorders>
            <w:vAlign w:val="center"/>
          </w:tcPr>
          <w:p w14:paraId="772DE138">
            <w:pPr>
              <w:shd w:val="clear"/>
              <w:spacing w:line="240" w:lineRule="atLeast"/>
              <w:ind w:left="-48" w:leftChars="-23" w:right="-65" w:rightChars="-31"/>
              <w:jc w:val="left"/>
              <w:rPr>
                <w:rFonts w:cs="宋体"/>
                <w:color w:val="auto"/>
                <w:highlight w:val="none"/>
              </w:rPr>
            </w:pPr>
          </w:p>
        </w:tc>
        <w:tc>
          <w:tcPr>
            <w:tcW w:w="511" w:type="pct"/>
            <w:tcBorders>
              <w:left w:val="single" w:color="auto" w:sz="4" w:space="0"/>
            </w:tcBorders>
            <w:vAlign w:val="center"/>
          </w:tcPr>
          <w:p w14:paraId="362626CB">
            <w:pPr>
              <w:shd w:val="clea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0AB008D">
            <w:pPr>
              <w:shd w:val="clea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6B411403">
            <w:pPr>
              <w:shd w:val="clea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3AA99B6B">
            <w:pPr>
              <w:shd w:val="clear"/>
              <w:spacing w:line="240" w:lineRule="atLeast"/>
              <w:ind w:left="-48" w:leftChars="-23" w:right="-65" w:rightChars="-31"/>
              <w:jc w:val="left"/>
              <w:rPr>
                <w:rFonts w:cs="宋体"/>
                <w:color w:val="auto"/>
                <w:highlight w:val="none"/>
              </w:rPr>
            </w:pPr>
          </w:p>
        </w:tc>
      </w:tr>
      <w:tr w14:paraId="4AACF6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Align w:val="center"/>
          </w:tcPr>
          <w:p w14:paraId="2B0DD64E">
            <w:pPr>
              <w:shd w:val="clear"/>
              <w:tabs>
                <w:tab w:val="left" w:pos="61"/>
              </w:tabs>
              <w:jc w:val="center"/>
              <w:rPr>
                <w:color w:val="auto"/>
                <w:highlight w:val="none"/>
              </w:rPr>
            </w:pPr>
            <w:r>
              <w:rPr>
                <w:rFonts w:hint="eastAsia"/>
                <w:color w:val="auto"/>
                <w:highlight w:val="none"/>
              </w:rPr>
              <w:t>2</w:t>
            </w:r>
          </w:p>
        </w:tc>
        <w:tc>
          <w:tcPr>
            <w:tcW w:w="201" w:type="pct"/>
            <w:vAlign w:val="center"/>
          </w:tcPr>
          <w:p w14:paraId="4CE34687">
            <w:pPr>
              <w:shd w:val="clear"/>
              <w:tabs>
                <w:tab w:val="left" w:pos="0"/>
                <w:tab w:val="left" w:pos="56"/>
              </w:tabs>
              <w:ind w:left="479" w:hanging="478" w:hangingChars="228"/>
              <w:jc w:val="center"/>
              <w:rPr>
                <w:color w:val="auto"/>
                <w:highlight w:val="none"/>
              </w:rPr>
            </w:pPr>
          </w:p>
        </w:tc>
        <w:tc>
          <w:tcPr>
            <w:tcW w:w="380" w:type="pct"/>
            <w:vAlign w:val="center"/>
          </w:tcPr>
          <w:p w14:paraId="46157ADD">
            <w:pPr>
              <w:shd w:val="clear"/>
              <w:spacing w:line="240" w:lineRule="atLeast"/>
              <w:ind w:left="-48" w:leftChars="-23" w:right="-65" w:rightChars="-31"/>
              <w:jc w:val="left"/>
              <w:rPr>
                <w:rFonts w:cs="宋体"/>
                <w:color w:val="auto"/>
                <w:highlight w:val="none"/>
              </w:rPr>
            </w:pPr>
          </w:p>
        </w:tc>
        <w:tc>
          <w:tcPr>
            <w:tcW w:w="282" w:type="pct"/>
            <w:tcBorders>
              <w:left w:val="single" w:color="auto" w:sz="4" w:space="0"/>
            </w:tcBorders>
            <w:vAlign w:val="center"/>
          </w:tcPr>
          <w:p w14:paraId="4117579D">
            <w:pPr>
              <w:shd w:val="clear"/>
              <w:spacing w:line="240" w:lineRule="atLeast"/>
              <w:ind w:left="-48" w:leftChars="-23" w:right="-65" w:rightChars="-31"/>
              <w:jc w:val="left"/>
              <w:rPr>
                <w:rFonts w:cs="宋体"/>
                <w:color w:val="auto"/>
                <w:highlight w:val="none"/>
              </w:rPr>
            </w:pPr>
          </w:p>
        </w:tc>
        <w:tc>
          <w:tcPr>
            <w:tcW w:w="478" w:type="pct"/>
            <w:tcBorders>
              <w:left w:val="single" w:color="auto" w:sz="4" w:space="0"/>
              <w:right w:val="single" w:color="auto" w:sz="4" w:space="0"/>
            </w:tcBorders>
            <w:vAlign w:val="center"/>
          </w:tcPr>
          <w:p w14:paraId="3788E805">
            <w:pPr>
              <w:shd w:val="clea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tcPr>
          <w:p w14:paraId="1A39D452">
            <w:pPr>
              <w:shd w:val="clea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379312B9">
            <w:pPr>
              <w:shd w:val="clear"/>
              <w:spacing w:line="240" w:lineRule="atLeast"/>
              <w:ind w:left="-48" w:leftChars="-23" w:right="-65" w:rightChars="-31"/>
              <w:jc w:val="left"/>
              <w:rPr>
                <w:rFonts w:cs="宋体"/>
                <w:color w:val="auto"/>
                <w:highlight w:val="none"/>
              </w:rPr>
            </w:pPr>
          </w:p>
        </w:tc>
        <w:tc>
          <w:tcPr>
            <w:tcW w:w="511" w:type="pct"/>
            <w:tcBorders>
              <w:left w:val="single" w:color="auto" w:sz="4" w:space="0"/>
            </w:tcBorders>
            <w:vAlign w:val="center"/>
          </w:tcPr>
          <w:p w14:paraId="2042213F">
            <w:pPr>
              <w:shd w:val="clea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24021FCA">
            <w:pPr>
              <w:shd w:val="clear"/>
              <w:spacing w:line="240" w:lineRule="atLeast"/>
              <w:ind w:left="-48" w:leftChars="-23" w:right="-65" w:rightChars="-31"/>
              <w:jc w:val="left"/>
              <w:rPr>
                <w:rFonts w:cs="宋体"/>
                <w:color w:val="auto"/>
                <w:highlight w:val="none"/>
              </w:rPr>
            </w:pPr>
          </w:p>
        </w:tc>
        <w:tc>
          <w:tcPr>
            <w:tcW w:w="449" w:type="pct"/>
            <w:tcBorders>
              <w:left w:val="single" w:color="auto" w:sz="4" w:space="0"/>
            </w:tcBorders>
            <w:vAlign w:val="center"/>
          </w:tcPr>
          <w:p w14:paraId="008A612D">
            <w:pPr>
              <w:shd w:val="clea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57BEB830">
            <w:pPr>
              <w:shd w:val="clear"/>
              <w:spacing w:line="240" w:lineRule="atLeast"/>
              <w:ind w:left="-48" w:leftChars="-23" w:right="-65" w:rightChars="-31"/>
              <w:jc w:val="left"/>
              <w:rPr>
                <w:rFonts w:cs="宋体"/>
                <w:color w:val="auto"/>
                <w:highlight w:val="none"/>
              </w:rPr>
            </w:pPr>
          </w:p>
        </w:tc>
      </w:tr>
      <w:tr w14:paraId="7111DB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vAlign w:val="center"/>
          </w:tcPr>
          <w:p w14:paraId="686C5756">
            <w:pPr>
              <w:shd w:val="clea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vAlign w:val="center"/>
          </w:tcPr>
          <w:p w14:paraId="1F5F7348">
            <w:pPr>
              <w:shd w:val="clear"/>
              <w:spacing w:line="240" w:lineRule="atLeast"/>
              <w:ind w:left="-48" w:leftChars="-23" w:right="-65" w:rightChars="-31"/>
              <w:jc w:val="left"/>
              <w:rPr>
                <w:rFonts w:cs="宋体"/>
                <w:color w:val="auto"/>
                <w:highlight w:val="none"/>
              </w:rPr>
            </w:pPr>
          </w:p>
        </w:tc>
        <w:tc>
          <w:tcPr>
            <w:tcW w:w="380" w:type="pct"/>
            <w:tcBorders>
              <w:bottom w:val="single" w:color="auto" w:sz="4" w:space="0"/>
            </w:tcBorders>
            <w:vAlign w:val="center"/>
          </w:tcPr>
          <w:p w14:paraId="2BD6605B">
            <w:pPr>
              <w:shd w:val="clear"/>
              <w:spacing w:line="240" w:lineRule="atLeast"/>
              <w:ind w:left="-48" w:leftChars="-23" w:right="-65" w:rightChars="-31"/>
              <w:jc w:val="left"/>
              <w:rPr>
                <w:rFonts w:cs="宋体"/>
                <w:color w:val="auto"/>
                <w:highlight w:val="none"/>
              </w:rPr>
            </w:pPr>
          </w:p>
        </w:tc>
        <w:tc>
          <w:tcPr>
            <w:tcW w:w="282" w:type="pct"/>
            <w:tcBorders>
              <w:left w:val="single" w:color="auto" w:sz="4" w:space="0"/>
              <w:bottom w:val="single" w:color="auto" w:sz="4" w:space="0"/>
            </w:tcBorders>
            <w:vAlign w:val="center"/>
          </w:tcPr>
          <w:p w14:paraId="5A3B5CAC">
            <w:pPr>
              <w:shd w:val="clear"/>
              <w:spacing w:line="240" w:lineRule="atLeast"/>
              <w:ind w:left="-48" w:leftChars="-23" w:right="-65" w:rightChars="-31"/>
              <w:jc w:val="left"/>
              <w:rPr>
                <w:rFonts w:cs="宋体"/>
                <w:color w:val="auto"/>
                <w:highlight w:val="none"/>
              </w:rPr>
            </w:pPr>
          </w:p>
        </w:tc>
        <w:tc>
          <w:tcPr>
            <w:tcW w:w="478" w:type="pct"/>
            <w:tcBorders>
              <w:left w:val="single" w:color="auto" w:sz="4" w:space="0"/>
              <w:bottom w:val="single" w:color="auto" w:sz="4" w:space="0"/>
              <w:right w:val="single" w:color="auto" w:sz="4" w:space="0"/>
            </w:tcBorders>
            <w:vAlign w:val="center"/>
          </w:tcPr>
          <w:p w14:paraId="325F159E">
            <w:pPr>
              <w:shd w:val="clear"/>
              <w:spacing w:line="240" w:lineRule="atLeast"/>
              <w:ind w:left="-48" w:leftChars="-23" w:right="-65" w:rightChars="-31"/>
              <w:jc w:val="left"/>
              <w:rPr>
                <w:rFonts w:cs="宋体"/>
                <w:color w:val="auto"/>
                <w:highlight w:val="none"/>
              </w:rPr>
            </w:pPr>
          </w:p>
        </w:tc>
        <w:tc>
          <w:tcPr>
            <w:tcW w:w="692" w:type="pct"/>
            <w:tcBorders>
              <w:left w:val="single" w:color="auto" w:sz="4" w:space="0"/>
              <w:bottom w:val="single" w:color="auto" w:sz="4" w:space="0"/>
              <w:right w:val="single" w:color="auto" w:sz="4" w:space="0"/>
            </w:tcBorders>
          </w:tcPr>
          <w:p w14:paraId="04CD0DCB">
            <w:pPr>
              <w:shd w:val="clear"/>
              <w:spacing w:line="240" w:lineRule="atLeast"/>
              <w:ind w:left="-48" w:leftChars="-23" w:right="-65" w:rightChars="-31"/>
              <w:jc w:val="left"/>
              <w:rPr>
                <w:rFonts w:cs="宋体"/>
                <w:color w:val="auto"/>
                <w:highlight w:val="none"/>
              </w:rPr>
            </w:pPr>
          </w:p>
        </w:tc>
        <w:tc>
          <w:tcPr>
            <w:tcW w:w="560" w:type="pct"/>
            <w:tcBorders>
              <w:left w:val="single" w:color="auto" w:sz="4" w:space="0"/>
              <w:bottom w:val="single" w:color="auto" w:sz="4" w:space="0"/>
            </w:tcBorders>
            <w:vAlign w:val="center"/>
          </w:tcPr>
          <w:p w14:paraId="4996CB7C">
            <w:pPr>
              <w:shd w:val="clear"/>
              <w:spacing w:line="240" w:lineRule="atLeast"/>
              <w:ind w:left="-48" w:leftChars="-23" w:right="-65" w:rightChars="-31"/>
              <w:jc w:val="left"/>
              <w:rPr>
                <w:rFonts w:cs="宋体"/>
                <w:color w:val="auto"/>
                <w:highlight w:val="none"/>
              </w:rPr>
            </w:pPr>
          </w:p>
        </w:tc>
        <w:tc>
          <w:tcPr>
            <w:tcW w:w="511" w:type="pct"/>
            <w:tcBorders>
              <w:left w:val="single" w:color="auto" w:sz="4" w:space="0"/>
              <w:bottom w:val="single" w:color="auto" w:sz="4" w:space="0"/>
            </w:tcBorders>
            <w:vAlign w:val="center"/>
          </w:tcPr>
          <w:p w14:paraId="39092A5D">
            <w:pPr>
              <w:shd w:val="clear"/>
              <w:spacing w:line="240" w:lineRule="atLeast"/>
              <w:ind w:left="-48" w:leftChars="-23" w:right="-65" w:rightChars="-31"/>
              <w:jc w:val="left"/>
              <w:rPr>
                <w:rFonts w:cs="宋体"/>
                <w:color w:val="auto"/>
                <w:highlight w:val="none"/>
              </w:rPr>
            </w:pPr>
          </w:p>
          <w:p w14:paraId="2FAB1537">
            <w:pPr>
              <w:shd w:val="clear"/>
              <w:rPr>
                <w:color w:val="auto"/>
                <w:highlight w:val="none"/>
              </w:rPr>
            </w:pPr>
          </w:p>
        </w:tc>
        <w:tc>
          <w:tcPr>
            <w:tcW w:w="606" w:type="pct"/>
            <w:tcBorders>
              <w:left w:val="single" w:color="auto" w:sz="4" w:space="0"/>
              <w:bottom w:val="single" w:color="auto" w:sz="4" w:space="0"/>
            </w:tcBorders>
            <w:vAlign w:val="center"/>
          </w:tcPr>
          <w:p w14:paraId="5159BA3E">
            <w:pPr>
              <w:shd w:val="clear"/>
              <w:rPr>
                <w:color w:val="auto"/>
                <w:highlight w:val="none"/>
              </w:rPr>
            </w:pPr>
          </w:p>
        </w:tc>
        <w:tc>
          <w:tcPr>
            <w:tcW w:w="449" w:type="pct"/>
            <w:tcBorders>
              <w:left w:val="single" w:color="auto" w:sz="4" w:space="0"/>
              <w:bottom w:val="single" w:color="auto" w:sz="4" w:space="0"/>
            </w:tcBorders>
            <w:vAlign w:val="center"/>
          </w:tcPr>
          <w:p w14:paraId="7A4ABF80">
            <w:pPr>
              <w:shd w:val="clear"/>
              <w:spacing w:line="240" w:lineRule="atLeast"/>
              <w:ind w:left="-48" w:leftChars="-23" w:right="-65" w:rightChars="-31"/>
              <w:jc w:val="left"/>
              <w:rPr>
                <w:rFonts w:cs="宋体"/>
                <w:color w:val="auto"/>
                <w:highlight w:val="none"/>
              </w:rPr>
            </w:pPr>
          </w:p>
        </w:tc>
        <w:tc>
          <w:tcPr>
            <w:tcW w:w="587" w:type="pct"/>
            <w:tcBorders>
              <w:left w:val="single" w:color="auto" w:sz="4" w:space="0"/>
              <w:bottom w:val="single" w:color="auto" w:sz="4" w:space="0"/>
            </w:tcBorders>
            <w:vAlign w:val="center"/>
          </w:tcPr>
          <w:p w14:paraId="20A18FAE">
            <w:pPr>
              <w:shd w:val="clear"/>
              <w:spacing w:line="240" w:lineRule="atLeast"/>
              <w:ind w:left="-48" w:leftChars="-23" w:right="-65" w:rightChars="-31"/>
              <w:jc w:val="left"/>
              <w:rPr>
                <w:rFonts w:cs="宋体"/>
                <w:color w:val="auto"/>
                <w:highlight w:val="none"/>
              </w:rPr>
            </w:pPr>
          </w:p>
        </w:tc>
      </w:tr>
    </w:tbl>
    <w:p w14:paraId="5520AC27">
      <w:pPr>
        <w:shd w:val="clear"/>
        <w:spacing w:line="360" w:lineRule="auto"/>
        <w:jc w:val="left"/>
        <w:rPr>
          <w:color w:val="auto"/>
          <w:szCs w:val="21"/>
          <w:highlight w:val="none"/>
        </w:rPr>
      </w:pPr>
    </w:p>
    <w:p w14:paraId="61793ECA">
      <w:pPr>
        <w:shd w:val="clear"/>
        <w:spacing w:line="360" w:lineRule="auto"/>
        <w:jc w:val="left"/>
        <w:rPr>
          <w:color w:val="auto"/>
          <w:szCs w:val="21"/>
          <w:highlight w:val="none"/>
        </w:rPr>
      </w:pPr>
      <w:r>
        <w:rPr>
          <w:rFonts w:hint="eastAsia"/>
          <w:color w:val="auto"/>
          <w:szCs w:val="21"/>
          <w:highlight w:val="none"/>
        </w:rPr>
        <w:t>说明：项目具体成本测算等与报价合理性相关的书面说明及必要的证明材料，包括但不限于原材料成本、人工成本、制造费用等</w:t>
      </w:r>
    </w:p>
    <w:p w14:paraId="036AB76F">
      <w:pPr>
        <w:shd w:val="clea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300BCDF4">
      <w:pPr>
        <w:shd w:val="clear"/>
        <w:spacing w:line="360" w:lineRule="auto"/>
        <w:ind w:firstLine="6090" w:firstLineChars="2900"/>
        <w:jc w:val="left"/>
        <w:rPr>
          <w:color w:val="auto"/>
          <w:szCs w:val="21"/>
          <w:highlight w:val="none"/>
        </w:rPr>
        <w:sectPr>
          <w:pgSz w:w="11906" w:h="16838"/>
          <w:pgMar w:top="1418" w:right="1133" w:bottom="1246" w:left="1418" w:header="851" w:footer="992" w:gutter="0"/>
          <w:cols w:space="720" w:num="1"/>
          <w:docGrid w:linePitch="312" w:charSpace="0"/>
        </w:sectPr>
      </w:pPr>
      <w:r>
        <w:rPr>
          <w:color w:val="auto"/>
          <w:szCs w:val="21"/>
          <w:highlight w:val="none"/>
        </w:rPr>
        <w:t>日  期</w:t>
      </w:r>
      <w:r>
        <w:rPr>
          <w:rFonts w:hint="eastAsia"/>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4FE8DF0F">
      <w:pPr>
        <w:shd w:val="clear"/>
        <w:snapToGrid w:val="0"/>
        <w:spacing w:before="50" w:after="120" w:afterLines="50"/>
        <w:jc w:val="left"/>
        <w:outlineLvl w:val="1"/>
        <w:rPr>
          <w:color w:val="auto"/>
          <w:szCs w:val="21"/>
          <w:highlight w:val="none"/>
        </w:rPr>
      </w:pPr>
      <w:r>
        <w:rPr>
          <w:rFonts w:hint="eastAsia"/>
          <w:color w:val="auto"/>
          <w:szCs w:val="21"/>
          <w:highlight w:val="none"/>
        </w:rPr>
        <w:t>4.开标一览表</w:t>
      </w:r>
    </w:p>
    <w:p w14:paraId="33C21EFD">
      <w:pPr>
        <w:widowControl/>
        <w:shd w:val="clear"/>
        <w:jc w:val="left"/>
        <w:rPr>
          <w:color w:val="auto"/>
          <w:szCs w:val="21"/>
          <w:highlight w:val="none"/>
        </w:rPr>
      </w:pPr>
    </w:p>
    <w:p w14:paraId="392B8FE6">
      <w:pPr>
        <w:widowControl/>
        <w:shd w:val="clear"/>
        <w:jc w:val="left"/>
        <w:rPr>
          <w:color w:val="auto"/>
          <w:szCs w:val="21"/>
          <w:highlight w:val="none"/>
        </w:rPr>
      </w:pPr>
    </w:p>
    <w:p w14:paraId="573C490A">
      <w:pPr>
        <w:widowControl/>
        <w:shd w:val="clear"/>
        <w:jc w:val="left"/>
        <w:rPr>
          <w:color w:val="auto"/>
          <w:szCs w:val="21"/>
          <w:highlight w:val="none"/>
        </w:rPr>
      </w:pPr>
    </w:p>
    <w:p w14:paraId="3ECAE058">
      <w:pPr>
        <w:shd w:val="clear"/>
        <w:rPr>
          <w:b/>
          <w:color w:val="auto"/>
          <w:szCs w:val="21"/>
          <w:highlight w:val="none"/>
        </w:rPr>
      </w:pPr>
    </w:p>
    <w:p w14:paraId="080D7666">
      <w:pPr>
        <w:shd w:val="clear"/>
        <w:rPr>
          <w:b/>
          <w:color w:val="auto"/>
          <w:szCs w:val="21"/>
          <w:highlight w:val="none"/>
        </w:rPr>
      </w:pPr>
    </w:p>
    <w:p w14:paraId="0783E626">
      <w:pPr>
        <w:shd w:val="clear"/>
        <w:rPr>
          <w:b/>
          <w:color w:val="auto"/>
          <w:szCs w:val="21"/>
          <w:highlight w:val="none"/>
        </w:rPr>
      </w:pPr>
      <w:r>
        <w:rPr>
          <w:rFonts w:hint="eastAsia"/>
          <w:b/>
          <w:color w:val="auto"/>
          <w:szCs w:val="21"/>
          <w:highlight w:val="none"/>
        </w:rPr>
        <w:t>格式详见广西政府采购云平台，且仅在广西政府采购云平台填写即可。</w:t>
      </w:r>
    </w:p>
    <w:p w14:paraId="6A20F108">
      <w:pPr>
        <w:widowControl/>
        <w:shd w:val="clear"/>
        <w:jc w:val="left"/>
        <w:rPr>
          <w:color w:val="auto"/>
          <w:szCs w:val="21"/>
          <w:highlight w:val="none"/>
        </w:rPr>
      </w:pPr>
    </w:p>
    <w:bookmarkEnd w:id="109"/>
    <w:p w14:paraId="0CCBA6B6">
      <w:pPr>
        <w:shd w:val="clear"/>
        <w:spacing w:line="360" w:lineRule="auto"/>
        <w:ind w:firstLine="420"/>
        <w:rPr>
          <w:color w:val="auto"/>
          <w:szCs w:val="21"/>
          <w:highlight w:val="none"/>
        </w:rPr>
      </w:pPr>
    </w:p>
    <w:p w14:paraId="7BC74FAF">
      <w:pPr>
        <w:shd w:val="clear"/>
        <w:snapToGrid w:val="0"/>
        <w:spacing w:before="120" w:beforeLines="50" w:after="50" w:line="440" w:lineRule="exact"/>
        <w:jc w:val="left"/>
        <w:outlineLvl w:val="1"/>
        <w:rPr>
          <w:bCs/>
          <w:color w:val="auto"/>
          <w:sz w:val="24"/>
          <w:highlight w:val="none"/>
        </w:rPr>
      </w:pPr>
      <w:r>
        <w:rPr>
          <w:bCs/>
          <w:color w:val="auto"/>
          <w:sz w:val="24"/>
          <w:highlight w:val="none"/>
        </w:rPr>
        <w:t xml:space="preserve"> </w:t>
      </w:r>
    </w:p>
    <w:bookmarkEnd w:id="111"/>
    <w:sectPr>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00A3881-EE93-4BAF-8C9E-3FCC0B99B7BA}"/>
  </w:font>
  <w:font w:name="黑体">
    <w:panose1 w:val="02010609060101010101"/>
    <w:charset w:val="86"/>
    <w:family w:val="auto"/>
    <w:pitch w:val="default"/>
    <w:sig w:usb0="800002BF" w:usb1="38CF7CFA" w:usb2="00000016" w:usb3="00000000" w:csb0="00040001" w:csb1="00000000"/>
    <w:embedRegular r:id="rId2" w:fontKey="{A3CBD817-3E2B-4404-95C5-5871B41AAFDD}"/>
  </w:font>
  <w:font w:name="Courier New">
    <w:panose1 w:val="02070309020205020404"/>
    <w:charset w:val="01"/>
    <w:family w:val="modern"/>
    <w:pitch w:val="default"/>
    <w:sig w:usb0="E0002AFF" w:usb1="C0007843" w:usb2="00000009" w:usb3="00000000" w:csb0="400001FF" w:csb1="FFFF0000"/>
    <w:embedRegular r:id="rId3" w:fontKey="{FD999B8B-26A0-488E-9886-10892106543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8ED9C305-D07C-4684-836E-CA0D6156EBB5}"/>
  </w:font>
  <w:font w:name="仿宋_GB2312">
    <w:panose1 w:val="02010609030101010101"/>
    <w:charset w:val="86"/>
    <w:family w:val="auto"/>
    <w:pitch w:val="default"/>
    <w:sig w:usb0="00000001" w:usb1="080E0000" w:usb2="00000000" w:usb3="00000000" w:csb0="00040000" w:csb1="00000000"/>
    <w:embedRegular r:id="rId5" w:fontKey="{1BE2AF1C-FE42-4ED4-A017-0AE5E85812C7}"/>
  </w:font>
  <w:font w:name="Verdana">
    <w:panose1 w:val="020B0604030504040204"/>
    <w:charset w:val="00"/>
    <w:family w:val="swiss"/>
    <w:pitch w:val="default"/>
    <w:sig w:usb0="A1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SI仿宋-GB2312">
    <w:altName w:val="仿宋"/>
    <w:panose1 w:val="02000500000000000000"/>
    <w:charset w:val="86"/>
    <w:family w:val="auto"/>
    <w:pitch w:val="default"/>
    <w:sig w:usb0="00000000" w:usb1="00000000" w:usb2="00000010" w:usb3="00000000" w:csb0="0004000F" w:csb1="00000000"/>
    <w:embedRegular r:id="rId6" w:fontKey="{B6F83006-100A-4FF9-B030-45BFC4A053A5}"/>
  </w:font>
  <w:font w:name="仿宋">
    <w:panose1 w:val="02010609060101010101"/>
    <w:charset w:val="86"/>
    <w:family w:val="modern"/>
    <w:pitch w:val="default"/>
    <w:sig w:usb0="800002BF" w:usb1="38CF7CFA" w:usb2="00000016" w:usb3="00000000" w:csb0="00040001" w:csb1="00000000"/>
    <w:embedRegular r:id="rId7" w:fontKey="{DC1AA332-3BCD-45FA-86AA-4FC7D405259D}"/>
  </w:font>
  <w:font w:name="Wingdings 2">
    <w:panose1 w:val="05020102010507070707"/>
    <w:charset w:val="02"/>
    <w:family w:val="roman"/>
    <w:pitch w:val="default"/>
    <w:sig w:usb0="00000000" w:usb1="00000000" w:usb2="00000000" w:usb3="00000000" w:csb0="80000000" w:csb1="00000000"/>
    <w:embedRegular r:id="rId8" w:fontKey="{B9247ECD-7D79-4D21-8082-14130424D35D}"/>
  </w:font>
  <w:font w:name="方正小标宋_GBK">
    <w:panose1 w:val="02000000000000000000"/>
    <w:charset w:val="86"/>
    <w:family w:val="script"/>
    <w:pitch w:val="default"/>
    <w:sig w:usb0="A00002BF" w:usb1="38CF7CFA" w:usb2="00082016" w:usb3="00000000" w:csb0="00040001" w:csb1="00000000"/>
    <w:embedRegular r:id="rId9" w:fontKey="{13FB7A13-D723-4C71-ABAB-E235AE82C83C}"/>
  </w:font>
  <w:font w:name="华文仿宋">
    <w:panose1 w:val="02010600040101010101"/>
    <w:charset w:val="86"/>
    <w:family w:val="auto"/>
    <w:pitch w:val="default"/>
    <w:sig w:usb0="00000287" w:usb1="080F0000" w:usb2="00000000" w:usb3="00000000" w:csb0="0004009F" w:csb1="DFD70000"/>
    <w:embedRegular r:id="rId10" w:fontKey="{FF9091F7-C6BA-49AB-8583-2C945C8E811A}"/>
  </w:font>
  <w:font w:name="方正小标宋简体">
    <w:panose1 w:val="02010600010101010101"/>
    <w:charset w:val="86"/>
    <w:family w:val="auto"/>
    <w:pitch w:val="default"/>
    <w:sig w:usb0="00000001" w:usb1="080E0000" w:usb2="00000000" w:usb3="00000000" w:csb0="00040000" w:csb1="00000000"/>
    <w:embedRegular r:id="rId11" w:fontKey="{D7B76284-D20F-46FB-B93B-25CB8E6AD8F1}"/>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38CF7CFA" w:usb2="00082016" w:usb3="00000000" w:csb0="00040001" w:csb1="00000000"/>
  </w:font>
  <w:font w:name="WPSEMBED3">
    <w:panose1 w:val="0201060001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B9AD8">
    <w:pPr>
      <w:pStyle w:val="3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EEF5D">
    <w:pPr>
      <w:pStyle w:val="32"/>
      <w:framePr w:wrap="around" w:vAnchor="text" w:hAnchor="margin" w:xAlign="center" w:y="1"/>
      <w:rPr>
        <w:rStyle w:val="56"/>
      </w:rPr>
    </w:pPr>
    <w:r>
      <w:fldChar w:fldCharType="begin"/>
    </w:r>
    <w:r>
      <w:rPr>
        <w:rStyle w:val="56"/>
      </w:rPr>
      <w:instrText xml:space="preserve">PAGE  </w:instrText>
    </w:r>
    <w:r>
      <w:fldChar w:fldCharType="separate"/>
    </w:r>
    <w:r>
      <w:fldChar w:fldCharType="end"/>
    </w:r>
  </w:p>
  <w:p w14:paraId="3611A1DF">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6B277">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A0764">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8</w:t>
    </w:r>
    <w:r>
      <w:fldChar w:fldCharType="end"/>
    </w:r>
  </w:p>
  <w:p w14:paraId="403A40A6">
    <w:pPr>
      <w:pStyle w:val="32"/>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0106A">
    <w:pPr>
      <w:pStyle w:val="32"/>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BDFBB">
    <w:pPr>
      <w:pStyle w:val="32"/>
      <w:jc w:val="center"/>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99F5C">
    <w:pPr>
      <w:pStyle w:val="32"/>
      <w:framePr w:wrap="around" w:vAnchor="text" w:hAnchor="margin" w:xAlign="center" w:y="1"/>
      <w:rPr>
        <w:rStyle w:val="56"/>
      </w:rPr>
    </w:pPr>
    <w:r>
      <w:fldChar w:fldCharType="begin"/>
    </w:r>
    <w:r>
      <w:rPr>
        <w:rStyle w:val="56"/>
        <w:sz w:val="21"/>
        <w:szCs w:val="24"/>
      </w:rPr>
      <w:instrText xml:space="preserve">PAGE  </w:instrText>
    </w:r>
    <w:r>
      <w:fldChar w:fldCharType="separate"/>
    </w:r>
    <w:r>
      <w:rPr>
        <w:rStyle w:val="56"/>
        <w:sz w:val="21"/>
        <w:szCs w:val="24"/>
      </w:rPr>
      <w:t>57</w:t>
    </w:r>
    <w:r>
      <w:fldChar w:fldCharType="end"/>
    </w:r>
  </w:p>
  <w:p w14:paraId="5EE35327">
    <w:pPr>
      <w:pStyle w:val="32"/>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B572B">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57</w:t>
    </w:r>
    <w:r>
      <w:fldChar w:fldCharType="end"/>
    </w:r>
  </w:p>
  <w:p w14:paraId="589BB89A">
    <w:pPr>
      <w:pStyle w:val="3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4714E">
    <w:pPr>
      <w:pStyle w:val="3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93961">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67870">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21135">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DC9A2">
    <w:pPr>
      <w:pStyle w:val="33"/>
      <w:jc w:val="left"/>
    </w:pPr>
    <w:r>
      <w:rPr>
        <w:rFonts w:hint="eastAsia"/>
      </w:rPr>
      <w:t xml:space="preserve">广西机电设备招标有限公司采购文件                                                               </w:t>
    </w:r>
  </w:p>
  <w:p w14:paraId="3B7D3DE5">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23B0">
    <w:pPr>
      <w:pStyle w:val="33"/>
      <w:jc w:val="left"/>
    </w:pPr>
    <w:r>
      <w:rPr>
        <w:rFonts w:hint="eastAsia"/>
      </w:rPr>
      <w:t xml:space="preserve">广西机电设备招标有限公司招标文件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860D9">
    <w:pPr>
      <w:pStyle w:val="33"/>
      <w:jc w:val="left"/>
    </w:pPr>
    <w:r>
      <w:rPr>
        <w:rFonts w:hint="eastAsia"/>
      </w:rPr>
      <w:t xml:space="preserve">广西机电设备招标有限公司招标文件                                                            </w:t>
    </w:r>
  </w:p>
  <w:p w14:paraId="729A1D16">
    <w:pPr>
      <w:pStyle w:val="33"/>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12B85">
    <w:pPr>
      <w:pStyle w:val="33"/>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1B998">
    <w:pPr>
      <w:pStyle w:val="33"/>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06A06">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53EC3">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8D45B">
    <w:pPr>
      <w:pStyle w:val="33"/>
      <w:jc w:val="left"/>
    </w:pPr>
    <w:r>
      <w:rPr>
        <w:rFonts w:hint="eastAsia"/>
      </w:rPr>
      <w:t xml:space="preserve">广西机电设备招标有限公司采购文件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C62C1"/>
    <w:multiLevelType w:val="singleLevel"/>
    <w:tmpl w:val="8F9C62C1"/>
    <w:lvl w:ilvl="0" w:tentative="0">
      <w:start w:val="7"/>
      <w:numFmt w:val="chineseCounting"/>
      <w:suff w:val="nothing"/>
      <w:lvlText w:val="第%1条　"/>
      <w:lvlJc w:val="left"/>
      <w:rPr>
        <w:rFonts w:hint="eastAsia"/>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59AF2DF"/>
    <w:multiLevelType w:val="singleLevel"/>
    <w:tmpl w:val="059AF2DF"/>
    <w:lvl w:ilvl="0" w:tentative="0">
      <w:start w:val="5"/>
      <w:numFmt w:val="decimal"/>
      <w:suff w:val="nothing"/>
      <w:lvlText w:val="%1、"/>
      <w:lvlJc w:val="left"/>
    </w:lvl>
  </w:abstractNum>
  <w:abstractNum w:abstractNumId="3">
    <w:nsid w:val="13C24B25"/>
    <w:multiLevelType w:val="singleLevel"/>
    <w:tmpl w:val="13C24B25"/>
    <w:lvl w:ilvl="0" w:tentative="0">
      <w:start w:val="1"/>
      <w:numFmt w:val="chineseCounting"/>
      <w:suff w:val="space"/>
      <w:lvlText w:val="第%1部分"/>
      <w:lvlJc w:val="left"/>
      <w:rPr>
        <w:rFonts w:hint="eastAsia"/>
      </w:rPr>
    </w:lvl>
  </w:abstractNum>
  <w:abstractNum w:abstractNumId="4">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DBF1A4E"/>
    <w:multiLevelType w:val="multilevel"/>
    <w:tmpl w:val="6DBF1A4E"/>
    <w:lvl w:ilvl="0" w:tentative="0">
      <w:start w:val="1"/>
      <w:numFmt w:val="japaneseCounting"/>
      <w:lvlText w:val="第%1条"/>
      <w:lvlJc w:val="left"/>
      <w:pPr>
        <w:tabs>
          <w:tab w:val="left" w:pos="1262"/>
        </w:tabs>
        <w:ind w:left="1262" w:hanging="840"/>
      </w:pPr>
      <w:rPr>
        <w:rFonts w:hint="default"/>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6">
    <w:nsid w:val="7227FC06"/>
    <w:multiLevelType w:val="singleLevel"/>
    <w:tmpl w:val="7227FC06"/>
    <w:lvl w:ilvl="0" w:tentative="0">
      <w:start w:val="8"/>
      <w:numFmt w:val="chineseCounting"/>
      <w:suff w:val="space"/>
      <w:lvlText w:val="第%1条"/>
      <w:lvlJc w:val="left"/>
      <w:rPr>
        <w:rFonts w:hint="eastAsia"/>
      </w:rPr>
    </w:lvl>
  </w:abstractNum>
  <w:abstractNum w:abstractNumId="7">
    <w:nsid w:val="7F84FCC0"/>
    <w:multiLevelType w:val="singleLevel"/>
    <w:tmpl w:val="7F84FCC0"/>
    <w:lvl w:ilvl="0" w:tentative="0">
      <w:start w:val="5"/>
      <w:numFmt w:val="decimal"/>
      <w:lvlText w:val="%1."/>
      <w:lvlJc w:val="left"/>
      <w:pPr>
        <w:tabs>
          <w:tab w:val="left" w:pos="312"/>
        </w:tabs>
      </w:pPr>
    </w:lvl>
  </w:abstractNum>
  <w:num w:numId="1">
    <w:abstractNumId w:val="7"/>
  </w:num>
  <w:num w:numId="2">
    <w:abstractNumId w:val="1"/>
  </w:num>
  <w:num w:numId="3">
    <w:abstractNumId w:val="2"/>
  </w:num>
  <w:num w:numId="4">
    <w:abstractNumId w:val="5"/>
  </w:num>
  <w:num w:numId="5">
    <w:abstractNumId w:val="0"/>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DA2"/>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2B7"/>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4AC3"/>
    <w:rsid w:val="0011539F"/>
    <w:rsid w:val="00116015"/>
    <w:rsid w:val="00116258"/>
    <w:rsid w:val="00116781"/>
    <w:rsid w:val="00116F45"/>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A27"/>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5A7"/>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1C3"/>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4E89"/>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6BB6"/>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334"/>
    <w:rsid w:val="005D7ED3"/>
    <w:rsid w:val="005D7FAA"/>
    <w:rsid w:val="005E0862"/>
    <w:rsid w:val="005E0CC0"/>
    <w:rsid w:val="005E1375"/>
    <w:rsid w:val="005E147F"/>
    <w:rsid w:val="005E1CEB"/>
    <w:rsid w:val="005E2805"/>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5E"/>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AD"/>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A0C"/>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13A"/>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5C46"/>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3AF2"/>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3BA"/>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0FB0"/>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0AC"/>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C5B"/>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7D6197"/>
    <w:rsid w:val="018C5F7F"/>
    <w:rsid w:val="01BE4069"/>
    <w:rsid w:val="01BE5800"/>
    <w:rsid w:val="01E46F65"/>
    <w:rsid w:val="01FE2CCD"/>
    <w:rsid w:val="021012F3"/>
    <w:rsid w:val="02224FA1"/>
    <w:rsid w:val="024144A6"/>
    <w:rsid w:val="025C1016"/>
    <w:rsid w:val="02B05A5C"/>
    <w:rsid w:val="02E536DD"/>
    <w:rsid w:val="02FC38B0"/>
    <w:rsid w:val="03766B4B"/>
    <w:rsid w:val="03F06C42"/>
    <w:rsid w:val="041901C7"/>
    <w:rsid w:val="041B3357"/>
    <w:rsid w:val="04684988"/>
    <w:rsid w:val="048103C1"/>
    <w:rsid w:val="049F025D"/>
    <w:rsid w:val="04C34346"/>
    <w:rsid w:val="04CC7C44"/>
    <w:rsid w:val="04E30437"/>
    <w:rsid w:val="059160E1"/>
    <w:rsid w:val="05F41FAA"/>
    <w:rsid w:val="063B78DC"/>
    <w:rsid w:val="06546758"/>
    <w:rsid w:val="066C6FCD"/>
    <w:rsid w:val="06BE6827"/>
    <w:rsid w:val="06C260BB"/>
    <w:rsid w:val="06CC66E2"/>
    <w:rsid w:val="071D105E"/>
    <w:rsid w:val="07506D80"/>
    <w:rsid w:val="076E0F6D"/>
    <w:rsid w:val="07AA45D1"/>
    <w:rsid w:val="07CA6A21"/>
    <w:rsid w:val="07E84F31"/>
    <w:rsid w:val="0839529D"/>
    <w:rsid w:val="08B727EA"/>
    <w:rsid w:val="097640A4"/>
    <w:rsid w:val="09974C33"/>
    <w:rsid w:val="09997F84"/>
    <w:rsid w:val="09B82947"/>
    <w:rsid w:val="0A0612FE"/>
    <w:rsid w:val="0AB2719C"/>
    <w:rsid w:val="0AE75B3C"/>
    <w:rsid w:val="0B547760"/>
    <w:rsid w:val="0BC814DF"/>
    <w:rsid w:val="0BC867E1"/>
    <w:rsid w:val="0BDF05C2"/>
    <w:rsid w:val="0BF16057"/>
    <w:rsid w:val="0BF958C7"/>
    <w:rsid w:val="0BFF07E0"/>
    <w:rsid w:val="0C3F3332"/>
    <w:rsid w:val="0C531662"/>
    <w:rsid w:val="0C5A09A9"/>
    <w:rsid w:val="0C9413AC"/>
    <w:rsid w:val="0CAE1F49"/>
    <w:rsid w:val="0CD51D2D"/>
    <w:rsid w:val="0CD75127"/>
    <w:rsid w:val="0CD957CA"/>
    <w:rsid w:val="0CDB719E"/>
    <w:rsid w:val="0CFF66FA"/>
    <w:rsid w:val="0D7F4664"/>
    <w:rsid w:val="0DFA1850"/>
    <w:rsid w:val="0E0812B7"/>
    <w:rsid w:val="0E2E7579"/>
    <w:rsid w:val="0E42306B"/>
    <w:rsid w:val="0E8B67DF"/>
    <w:rsid w:val="0EAB6A73"/>
    <w:rsid w:val="0EC75C18"/>
    <w:rsid w:val="0ED72541"/>
    <w:rsid w:val="0F233021"/>
    <w:rsid w:val="0F3A448D"/>
    <w:rsid w:val="0F4D0707"/>
    <w:rsid w:val="0F7D25CB"/>
    <w:rsid w:val="0FBA2A45"/>
    <w:rsid w:val="0FC41654"/>
    <w:rsid w:val="0FD06E18"/>
    <w:rsid w:val="0FDE7285"/>
    <w:rsid w:val="0FE91A0F"/>
    <w:rsid w:val="1057535E"/>
    <w:rsid w:val="113A727B"/>
    <w:rsid w:val="118C2ED5"/>
    <w:rsid w:val="11B83D31"/>
    <w:rsid w:val="11DC0CFA"/>
    <w:rsid w:val="11E2588B"/>
    <w:rsid w:val="121C078C"/>
    <w:rsid w:val="12440C03"/>
    <w:rsid w:val="12795B29"/>
    <w:rsid w:val="12AD6D05"/>
    <w:rsid w:val="12E77F91"/>
    <w:rsid w:val="12F62B63"/>
    <w:rsid w:val="135A6E08"/>
    <w:rsid w:val="135B70C7"/>
    <w:rsid w:val="13696837"/>
    <w:rsid w:val="13B31AEC"/>
    <w:rsid w:val="13CC3B21"/>
    <w:rsid w:val="13E3291F"/>
    <w:rsid w:val="13FE3FBA"/>
    <w:rsid w:val="140E1568"/>
    <w:rsid w:val="1419295D"/>
    <w:rsid w:val="14404369"/>
    <w:rsid w:val="149A51C6"/>
    <w:rsid w:val="14F14B90"/>
    <w:rsid w:val="15192D96"/>
    <w:rsid w:val="15300BA0"/>
    <w:rsid w:val="15595889"/>
    <w:rsid w:val="157E0937"/>
    <w:rsid w:val="15A85103"/>
    <w:rsid w:val="15BE7EC5"/>
    <w:rsid w:val="15D95D65"/>
    <w:rsid w:val="161B48EC"/>
    <w:rsid w:val="16457A21"/>
    <w:rsid w:val="16A9014A"/>
    <w:rsid w:val="16BF46FB"/>
    <w:rsid w:val="16D9151C"/>
    <w:rsid w:val="16E84333"/>
    <w:rsid w:val="16EB0673"/>
    <w:rsid w:val="17287F12"/>
    <w:rsid w:val="175D674F"/>
    <w:rsid w:val="176D6118"/>
    <w:rsid w:val="17977680"/>
    <w:rsid w:val="17CD2550"/>
    <w:rsid w:val="17F10953"/>
    <w:rsid w:val="18114189"/>
    <w:rsid w:val="185D40D7"/>
    <w:rsid w:val="18743585"/>
    <w:rsid w:val="18C654B3"/>
    <w:rsid w:val="18D771F0"/>
    <w:rsid w:val="18F06F2D"/>
    <w:rsid w:val="19223571"/>
    <w:rsid w:val="194D09CC"/>
    <w:rsid w:val="19940C3D"/>
    <w:rsid w:val="199562C6"/>
    <w:rsid w:val="199D3F96"/>
    <w:rsid w:val="19AD7F51"/>
    <w:rsid w:val="19B30CDA"/>
    <w:rsid w:val="1A0B7CB4"/>
    <w:rsid w:val="1A0F7083"/>
    <w:rsid w:val="1AF56EBD"/>
    <w:rsid w:val="1B45434D"/>
    <w:rsid w:val="1B7F06C9"/>
    <w:rsid w:val="1BA50D14"/>
    <w:rsid w:val="1BA677E7"/>
    <w:rsid w:val="1BB80CA5"/>
    <w:rsid w:val="1BF73250"/>
    <w:rsid w:val="1C3C3C95"/>
    <w:rsid w:val="1C625D30"/>
    <w:rsid w:val="1C7671E3"/>
    <w:rsid w:val="1C777601"/>
    <w:rsid w:val="1C803B22"/>
    <w:rsid w:val="1C8A493E"/>
    <w:rsid w:val="1CAE5CCF"/>
    <w:rsid w:val="1CB11B53"/>
    <w:rsid w:val="1CCB6998"/>
    <w:rsid w:val="1CD6623F"/>
    <w:rsid w:val="1CF90898"/>
    <w:rsid w:val="1CFA0FE7"/>
    <w:rsid w:val="1D41530D"/>
    <w:rsid w:val="1D8C69C4"/>
    <w:rsid w:val="1DB3120E"/>
    <w:rsid w:val="1DCF66E8"/>
    <w:rsid w:val="1DD256CD"/>
    <w:rsid w:val="1E1C7C6C"/>
    <w:rsid w:val="1E304B03"/>
    <w:rsid w:val="1E42510C"/>
    <w:rsid w:val="1E786F00"/>
    <w:rsid w:val="1EC93A19"/>
    <w:rsid w:val="1F1F65F5"/>
    <w:rsid w:val="1F343C02"/>
    <w:rsid w:val="1FAA7135"/>
    <w:rsid w:val="1FAC7E53"/>
    <w:rsid w:val="1FC21255"/>
    <w:rsid w:val="1FCB1432"/>
    <w:rsid w:val="1FCC23E8"/>
    <w:rsid w:val="20517FE3"/>
    <w:rsid w:val="20CE2C18"/>
    <w:rsid w:val="20ED5A5E"/>
    <w:rsid w:val="210356CE"/>
    <w:rsid w:val="211A16EC"/>
    <w:rsid w:val="217C1DAF"/>
    <w:rsid w:val="218220DE"/>
    <w:rsid w:val="21D267A7"/>
    <w:rsid w:val="21FC01FD"/>
    <w:rsid w:val="221202E6"/>
    <w:rsid w:val="222C76C6"/>
    <w:rsid w:val="22400268"/>
    <w:rsid w:val="22466CF3"/>
    <w:rsid w:val="22621A13"/>
    <w:rsid w:val="22661D7D"/>
    <w:rsid w:val="22791318"/>
    <w:rsid w:val="22951AFD"/>
    <w:rsid w:val="22A344E7"/>
    <w:rsid w:val="22DE3197"/>
    <w:rsid w:val="22F42D37"/>
    <w:rsid w:val="230E0741"/>
    <w:rsid w:val="2315517A"/>
    <w:rsid w:val="232A616E"/>
    <w:rsid w:val="23C640E9"/>
    <w:rsid w:val="23F63E16"/>
    <w:rsid w:val="243A32C2"/>
    <w:rsid w:val="24E011DB"/>
    <w:rsid w:val="25093A3B"/>
    <w:rsid w:val="25236D0D"/>
    <w:rsid w:val="25273C28"/>
    <w:rsid w:val="252F645D"/>
    <w:rsid w:val="257B4D94"/>
    <w:rsid w:val="258858A9"/>
    <w:rsid w:val="25A7119C"/>
    <w:rsid w:val="25CE47ED"/>
    <w:rsid w:val="266B7D9B"/>
    <w:rsid w:val="26757E2C"/>
    <w:rsid w:val="26790701"/>
    <w:rsid w:val="26A1336F"/>
    <w:rsid w:val="270C081B"/>
    <w:rsid w:val="2717265C"/>
    <w:rsid w:val="273508EE"/>
    <w:rsid w:val="27483692"/>
    <w:rsid w:val="276F6E45"/>
    <w:rsid w:val="278066D7"/>
    <w:rsid w:val="27827B0F"/>
    <w:rsid w:val="27886287"/>
    <w:rsid w:val="27F53526"/>
    <w:rsid w:val="27FA5E76"/>
    <w:rsid w:val="28690FE5"/>
    <w:rsid w:val="288E2BD2"/>
    <w:rsid w:val="28A770F0"/>
    <w:rsid w:val="28BF1224"/>
    <w:rsid w:val="28CA01D8"/>
    <w:rsid w:val="28DC50AB"/>
    <w:rsid w:val="28E55271"/>
    <w:rsid w:val="2923374B"/>
    <w:rsid w:val="296F0D7F"/>
    <w:rsid w:val="29867A8C"/>
    <w:rsid w:val="29BD796F"/>
    <w:rsid w:val="29D82DC8"/>
    <w:rsid w:val="2A162A6D"/>
    <w:rsid w:val="2A626792"/>
    <w:rsid w:val="2A684F9E"/>
    <w:rsid w:val="2AAC3644"/>
    <w:rsid w:val="2B0748A3"/>
    <w:rsid w:val="2B5C73A2"/>
    <w:rsid w:val="2B6515EF"/>
    <w:rsid w:val="2B8946FF"/>
    <w:rsid w:val="2BB32BCA"/>
    <w:rsid w:val="2C0A4741"/>
    <w:rsid w:val="2C1016F4"/>
    <w:rsid w:val="2C7917BE"/>
    <w:rsid w:val="2C8C4BA2"/>
    <w:rsid w:val="2CA61832"/>
    <w:rsid w:val="2CF86E08"/>
    <w:rsid w:val="2D2F71A3"/>
    <w:rsid w:val="2D9B15EF"/>
    <w:rsid w:val="2E304308"/>
    <w:rsid w:val="2E5F4C31"/>
    <w:rsid w:val="2E6F7E34"/>
    <w:rsid w:val="2E8B0630"/>
    <w:rsid w:val="2EAB320C"/>
    <w:rsid w:val="2EB26D79"/>
    <w:rsid w:val="2EC05A05"/>
    <w:rsid w:val="2ED14997"/>
    <w:rsid w:val="2EDB02D6"/>
    <w:rsid w:val="2EFC70CF"/>
    <w:rsid w:val="2F1C72B3"/>
    <w:rsid w:val="2F575B54"/>
    <w:rsid w:val="2F7145F4"/>
    <w:rsid w:val="2FEA0688"/>
    <w:rsid w:val="2FF93B45"/>
    <w:rsid w:val="30112B90"/>
    <w:rsid w:val="3029048B"/>
    <w:rsid w:val="30580298"/>
    <w:rsid w:val="30646F90"/>
    <w:rsid w:val="30CB0402"/>
    <w:rsid w:val="319C4DF7"/>
    <w:rsid w:val="31B66D5F"/>
    <w:rsid w:val="322D0082"/>
    <w:rsid w:val="324D2681"/>
    <w:rsid w:val="324E4874"/>
    <w:rsid w:val="32DD3D4A"/>
    <w:rsid w:val="32F816F2"/>
    <w:rsid w:val="330B38C7"/>
    <w:rsid w:val="33667587"/>
    <w:rsid w:val="33DC2F0C"/>
    <w:rsid w:val="33E23182"/>
    <w:rsid w:val="341963CA"/>
    <w:rsid w:val="34457450"/>
    <w:rsid w:val="344C6570"/>
    <w:rsid w:val="34E05800"/>
    <w:rsid w:val="34FD4189"/>
    <w:rsid w:val="350E1BF9"/>
    <w:rsid w:val="35143766"/>
    <w:rsid w:val="35373F98"/>
    <w:rsid w:val="358E5002"/>
    <w:rsid w:val="35A214EC"/>
    <w:rsid w:val="35C12962"/>
    <w:rsid w:val="35E1219E"/>
    <w:rsid w:val="363B7932"/>
    <w:rsid w:val="36467CF5"/>
    <w:rsid w:val="36D15C2A"/>
    <w:rsid w:val="36D27FF3"/>
    <w:rsid w:val="36DB4593"/>
    <w:rsid w:val="36FA4BBC"/>
    <w:rsid w:val="371D61FE"/>
    <w:rsid w:val="374B5AC3"/>
    <w:rsid w:val="378B23F0"/>
    <w:rsid w:val="37B94183"/>
    <w:rsid w:val="38187E4F"/>
    <w:rsid w:val="3820445B"/>
    <w:rsid w:val="38210467"/>
    <w:rsid w:val="38241F15"/>
    <w:rsid w:val="38401B73"/>
    <w:rsid w:val="384B1D2A"/>
    <w:rsid w:val="38521F98"/>
    <w:rsid w:val="39780BBB"/>
    <w:rsid w:val="39BD2849"/>
    <w:rsid w:val="39D617F2"/>
    <w:rsid w:val="39F81B43"/>
    <w:rsid w:val="3A242E79"/>
    <w:rsid w:val="3A7257F0"/>
    <w:rsid w:val="3A7C5B6F"/>
    <w:rsid w:val="3A874ED3"/>
    <w:rsid w:val="3A8D5509"/>
    <w:rsid w:val="3AD273C0"/>
    <w:rsid w:val="3B142DFB"/>
    <w:rsid w:val="3B50220D"/>
    <w:rsid w:val="3B594FF5"/>
    <w:rsid w:val="3B610C15"/>
    <w:rsid w:val="3B731AB5"/>
    <w:rsid w:val="3B833738"/>
    <w:rsid w:val="3B874762"/>
    <w:rsid w:val="3BB80364"/>
    <w:rsid w:val="3C0246D2"/>
    <w:rsid w:val="3C2527C5"/>
    <w:rsid w:val="3C4569F0"/>
    <w:rsid w:val="3C830FA1"/>
    <w:rsid w:val="3C8F5568"/>
    <w:rsid w:val="3CF160BA"/>
    <w:rsid w:val="3D6F75C9"/>
    <w:rsid w:val="3DB36DB1"/>
    <w:rsid w:val="3DD357A0"/>
    <w:rsid w:val="3DE90F01"/>
    <w:rsid w:val="3E266E35"/>
    <w:rsid w:val="3E5717B7"/>
    <w:rsid w:val="3E595E2E"/>
    <w:rsid w:val="3F41048B"/>
    <w:rsid w:val="3F592D90"/>
    <w:rsid w:val="3F7F04D5"/>
    <w:rsid w:val="3F8E1B07"/>
    <w:rsid w:val="3FA73DCB"/>
    <w:rsid w:val="3FB63B21"/>
    <w:rsid w:val="3FB928FC"/>
    <w:rsid w:val="3FE21E53"/>
    <w:rsid w:val="40615707"/>
    <w:rsid w:val="4084115C"/>
    <w:rsid w:val="40842268"/>
    <w:rsid w:val="40A005F0"/>
    <w:rsid w:val="411C5AE5"/>
    <w:rsid w:val="414B5EF7"/>
    <w:rsid w:val="415E7BFF"/>
    <w:rsid w:val="417E1386"/>
    <w:rsid w:val="41C2126D"/>
    <w:rsid w:val="42006DD2"/>
    <w:rsid w:val="420B21AE"/>
    <w:rsid w:val="422B6BF4"/>
    <w:rsid w:val="42347713"/>
    <w:rsid w:val="42BC2999"/>
    <w:rsid w:val="42E90332"/>
    <w:rsid w:val="43B00A8F"/>
    <w:rsid w:val="43FB2B0D"/>
    <w:rsid w:val="443E482E"/>
    <w:rsid w:val="444D6F3B"/>
    <w:rsid w:val="44F87A23"/>
    <w:rsid w:val="45511B47"/>
    <w:rsid w:val="455E1A60"/>
    <w:rsid w:val="45A15DDB"/>
    <w:rsid w:val="45B22926"/>
    <w:rsid w:val="45C619DD"/>
    <w:rsid w:val="462E6296"/>
    <w:rsid w:val="462E6F3B"/>
    <w:rsid w:val="4681712C"/>
    <w:rsid w:val="468B6718"/>
    <w:rsid w:val="46B42276"/>
    <w:rsid w:val="472C7F31"/>
    <w:rsid w:val="473B23EB"/>
    <w:rsid w:val="47A64699"/>
    <w:rsid w:val="47B32EAB"/>
    <w:rsid w:val="47C40E8C"/>
    <w:rsid w:val="48166EC9"/>
    <w:rsid w:val="48201667"/>
    <w:rsid w:val="48577D5B"/>
    <w:rsid w:val="48604DA3"/>
    <w:rsid w:val="486E0728"/>
    <w:rsid w:val="48733940"/>
    <w:rsid w:val="48B1218F"/>
    <w:rsid w:val="48B14AB0"/>
    <w:rsid w:val="48D6123C"/>
    <w:rsid w:val="49150F51"/>
    <w:rsid w:val="49480BD4"/>
    <w:rsid w:val="49667651"/>
    <w:rsid w:val="499F04DF"/>
    <w:rsid w:val="49CB3BFF"/>
    <w:rsid w:val="49CC7DFC"/>
    <w:rsid w:val="4A575F26"/>
    <w:rsid w:val="4A7E04C4"/>
    <w:rsid w:val="4A9C3458"/>
    <w:rsid w:val="4AA4619B"/>
    <w:rsid w:val="4B2348C8"/>
    <w:rsid w:val="4B284D77"/>
    <w:rsid w:val="4B623FB1"/>
    <w:rsid w:val="4B893ACB"/>
    <w:rsid w:val="4BEC1507"/>
    <w:rsid w:val="4C8227F5"/>
    <w:rsid w:val="4CD363C9"/>
    <w:rsid w:val="4D7F6702"/>
    <w:rsid w:val="4DAA2A72"/>
    <w:rsid w:val="4DFF7A8E"/>
    <w:rsid w:val="4E1D39E1"/>
    <w:rsid w:val="4E2A34C8"/>
    <w:rsid w:val="4E801980"/>
    <w:rsid w:val="4EB359AB"/>
    <w:rsid w:val="4EEF3B42"/>
    <w:rsid w:val="4F123950"/>
    <w:rsid w:val="4F134C73"/>
    <w:rsid w:val="4F1E0038"/>
    <w:rsid w:val="4F9F6EBC"/>
    <w:rsid w:val="4FBA240D"/>
    <w:rsid w:val="4FDD1DD6"/>
    <w:rsid w:val="5004101F"/>
    <w:rsid w:val="500862DC"/>
    <w:rsid w:val="50257D80"/>
    <w:rsid w:val="502F70A9"/>
    <w:rsid w:val="50456141"/>
    <w:rsid w:val="50607291"/>
    <w:rsid w:val="507519D9"/>
    <w:rsid w:val="50A21011"/>
    <w:rsid w:val="50EC442B"/>
    <w:rsid w:val="518F170F"/>
    <w:rsid w:val="52127D7D"/>
    <w:rsid w:val="52412A63"/>
    <w:rsid w:val="52A31916"/>
    <w:rsid w:val="52E73C91"/>
    <w:rsid w:val="53466D73"/>
    <w:rsid w:val="53763D4D"/>
    <w:rsid w:val="537E1A3B"/>
    <w:rsid w:val="538D45BD"/>
    <w:rsid w:val="53A05E55"/>
    <w:rsid w:val="54024FA7"/>
    <w:rsid w:val="54135280"/>
    <w:rsid w:val="5421794E"/>
    <w:rsid w:val="5423433C"/>
    <w:rsid w:val="545266C4"/>
    <w:rsid w:val="54A03D0E"/>
    <w:rsid w:val="54C174E2"/>
    <w:rsid w:val="54CB1DAD"/>
    <w:rsid w:val="54F17B8C"/>
    <w:rsid w:val="552542D2"/>
    <w:rsid w:val="5526139C"/>
    <w:rsid w:val="552B2D26"/>
    <w:rsid w:val="554E1470"/>
    <w:rsid w:val="55986D51"/>
    <w:rsid w:val="55D42624"/>
    <w:rsid w:val="55DE664C"/>
    <w:rsid w:val="56133CA0"/>
    <w:rsid w:val="569914FD"/>
    <w:rsid w:val="56AD6EB1"/>
    <w:rsid w:val="56DD4ABD"/>
    <w:rsid w:val="5703231E"/>
    <w:rsid w:val="57116442"/>
    <w:rsid w:val="57755D3A"/>
    <w:rsid w:val="578D3493"/>
    <w:rsid w:val="57BA337A"/>
    <w:rsid w:val="581110D0"/>
    <w:rsid w:val="58522E57"/>
    <w:rsid w:val="5857652F"/>
    <w:rsid w:val="586A7A45"/>
    <w:rsid w:val="58914C8B"/>
    <w:rsid w:val="58B8779D"/>
    <w:rsid w:val="58E3423E"/>
    <w:rsid w:val="58F23ED5"/>
    <w:rsid w:val="58F26079"/>
    <w:rsid w:val="5956205C"/>
    <w:rsid w:val="599E6CB8"/>
    <w:rsid w:val="59E031E2"/>
    <w:rsid w:val="5A4619B8"/>
    <w:rsid w:val="5A8269AE"/>
    <w:rsid w:val="5AA974E8"/>
    <w:rsid w:val="5AB246DC"/>
    <w:rsid w:val="5AD424FD"/>
    <w:rsid w:val="5B3A3C64"/>
    <w:rsid w:val="5B5619E7"/>
    <w:rsid w:val="5B8340E7"/>
    <w:rsid w:val="5B8D0599"/>
    <w:rsid w:val="5B937814"/>
    <w:rsid w:val="5B953DC6"/>
    <w:rsid w:val="5B9F585F"/>
    <w:rsid w:val="5BA627EA"/>
    <w:rsid w:val="5BAA125C"/>
    <w:rsid w:val="5C06784E"/>
    <w:rsid w:val="5C1D124B"/>
    <w:rsid w:val="5C3F445D"/>
    <w:rsid w:val="5C6E79F1"/>
    <w:rsid w:val="5C8657B1"/>
    <w:rsid w:val="5CA73484"/>
    <w:rsid w:val="5CC94D93"/>
    <w:rsid w:val="5CE5499C"/>
    <w:rsid w:val="5CFA58CA"/>
    <w:rsid w:val="5D77243C"/>
    <w:rsid w:val="5D822C9D"/>
    <w:rsid w:val="5DED3AA2"/>
    <w:rsid w:val="5DEF7FD3"/>
    <w:rsid w:val="5E26142C"/>
    <w:rsid w:val="5E2F13E4"/>
    <w:rsid w:val="5E320A3B"/>
    <w:rsid w:val="5E3774A1"/>
    <w:rsid w:val="5E693542"/>
    <w:rsid w:val="5EAF71E3"/>
    <w:rsid w:val="5EC546B7"/>
    <w:rsid w:val="5EE01513"/>
    <w:rsid w:val="5EFD5F0A"/>
    <w:rsid w:val="5F635CCD"/>
    <w:rsid w:val="5FA0059C"/>
    <w:rsid w:val="5FA9036D"/>
    <w:rsid w:val="5FBBD0FD"/>
    <w:rsid w:val="5FE20A6A"/>
    <w:rsid w:val="5FE80DF1"/>
    <w:rsid w:val="5FFA7773"/>
    <w:rsid w:val="60394F33"/>
    <w:rsid w:val="607A028C"/>
    <w:rsid w:val="60C761CB"/>
    <w:rsid w:val="616A09E1"/>
    <w:rsid w:val="61904268"/>
    <w:rsid w:val="61922827"/>
    <w:rsid w:val="61985AAE"/>
    <w:rsid w:val="619B21A0"/>
    <w:rsid w:val="61C95215"/>
    <w:rsid w:val="620863D2"/>
    <w:rsid w:val="620B2EB4"/>
    <w:rsid w:val="624B0BD0"/>
    <w:rsid w:val="626058BD"/>
    <w:rsid w:val="62A001BA"/>
    <w:rsid w:val="62A0377C"/>
    <w:rsid w:val="62AF39BF"/>
    <w:rsid w:val="62D70238"/>
    <w:rsid w:val="634E5810"/>
    <w:rsid w:val="63624ED5"/>
    <w:rsid w:val="6366109A"/>
    <w:rsid w:val="63994FA0"/>
    <w:rsid w:val="63A81226"/>
    <w:rsid w:val="63BE035D"/>
    <w:rsid w:val="63F93375"/>
    <w:rsid w:val="64011779"/>
    <w:rsid w:val="6449953E"/>
    <w:rsid w:val="64F32C22"/>
    <w:rsid w:val="650A079C"/>
    <w:rsid w:val="655C4EC1"/>
    <w:rsid w:val="657A6D3B"/>
    <w:rsid w:val="657F1D6E"/>
    <w:rsid w:val="65E5355A"/>
    <w:rsid w:val="66010A06"/>
    <w:rsid w:val="66680690"/>
    <w:rsid w:val="66860FCB"/>
    <w:rsid w:val="66894448"/>
    <w:rsid w:val="668D1157"/>
    <w:rsid w:val="66910B76"/>
    <w:rsid w:val="66DD3E2F"/>
    <w:rsid w:val="66F2339F"/>
    <w:rsid w:val="670562B1"/>
    <w:rsid w:val="671B5AC7"/>
    <w:rsid w:val="67305EDA"/>
    <w:rsid w:val="674A3D4F"/>
    <w:rsid w:val="679006E0"/>
    <w:rsid w:val="6817279D"/>
    <w:rsid w:val="682D4F2F"/>
    <w:rsid w:val="6864772D"/>
    <w:rsid w:val="688F59F4"/>
    <w:rsid w:val="68962C84"/>
    <w:rsid w:val="68BC6A3B"/>
    <w:rsid w:val="68D26F09"/>
    <w:rsid w:val="698D2051"/>
    <w:rsid w:val="69E5416A"/>
    <w:rsid w:val="6A121AD7"/>
    <w:rsid w:val="6A3C248C"/>
    <w:rsid w:val="6A9E4A05"/>
    <w:rsid w:val="6AD23B35"/>
    <w:rsid w:val="6B214DE5"/>
    <w:rsid w:val="6B221659"/>
    <w:rsid w:val="6B4440CC"/>
    <w:rsid w:val="6B8F1B75"/>
    <w:rsid w:val="6BA3608B"/>
    <w:rsid w:val="6BB362A2"/>
    <w:rsid w:val="6BBB2524"/>
    <w:rsid w:val="6BEF0650"/>
    <w:rsid w:val="6C25217A"/>
    <w:rsid w:val="6C3226C6"/>
    <w:rsid w:val="6C4C227F"/>
    <w:rsid w:val="6C545FF5"/>
    <w:rsid w:val="6C591BE2"/>
    <w:rsid w:val="6CB048A5"/>
    <w:rsid w:val="6D282F0D"/>
    <w:rsid w:val="6D6275F7"/>
    <w:rsid w:val="6DDB64F4"/>
    <w:rsid w:val="6DEA0F50"/>
    <w:rsid w:val="6DFD6C5F"/>
    <w:rsid w:val="6E0A4A26"/>
    <w:rsid w:val="6E113896"/>
    <w:rsid w:val="6E5E1B6C"/>
    <w:rsid w:val="6E923A52"/>
    <w:rsid w:val="6E925C67"/>
    <w:rsid w:val="6EA97E5C"/>
    <w:rsid w:val="6EB57A17"/>
    <w:rsid w:val="6EEF71D1"/>
    <w:rsid w:val="6F021A16"/>
    <w:rsid w:val="6F1D40CE"/>
    <w:rsid w:val="6F8306AD"/>
    <w:rsid w:val="6FBF4640"/>
    <w:rsid w:val="6FD50BCF"/>
    <w:rsid w:val="70036074"/>
    <w:rsid w:val="7051517A"/>
    <w:rsid w:val="706C4D3B"/>
    <w:rsid w:val="70952446"/>
    <w:rsid w:val="70D85BD1"/>
    <w:rsid w:val="715B338A"/>
    <w:rsid w:val="716863A5"/>
    <w:rsid w:val="716A7ADC"/>
    <w:rsid w:val="71D56A57"/>
    <w:rsid w:val="71DE2E53"/>
    <w:rsid w:val="720B6055"/>
    <w:rsid w:val="721F39FF"/>
    <w:rsid w:val="729E121E"/>
    <w:rsid w:val="72E23A7A"/>
    <w:rsid w:val="72F6179B"/>
    <w:rsid w:val="735F2141"/>
    <w:rsid w:val="738003CA"/>
    <w:rsid w:val="73C56EED"/>
    <w:rsid w:val="741A22DC"/>
    <w:rsid w:val="741F4C9B"/>
    <w:rsid w:val="74242CF0"/>
    <w:rsid w:val="74CD64A7"/>
    <w:rsid w:val="758D4AB4"/>
    <w:rsid w:val="75A9625E"/>
    <w:rsid w:val="75D12961"/>
    <w:rsid w:val="75EC1CE5"/>
    <w:rsid w:val="765941C5"/>
    <w:rsid w:val="76740D50"/>
    <w:rsid w:val="768232C1"/>
    <w:rsid w:val="773B6CD4"/>
    <w:rsid w:val="77931242"/>
    <w:rsid w:val="77980A6E"/>
    <w:rsid w:val="77B96D29"/>
    <w:rsid w:val="77E30949"/>
    <w:rsid w:val="77F16A53"/>
    <w:rsid w:val="783525A0"/>
    <w:rsid w:val="786F12BD"/>
    <w:rsid w:val="786F1AA9"/>
    <w:rsid w:val="7872551D"/>
    <w:rsid w:val="787444F4"/>
    <w:rsid w:val="7920071D"/>
    <w:rsid w:val="799264A8"/>
    <w:rsid w:val="79C52BC7"/>
    <w:rsid w:val="79C747F6"/>
    <w:rsid w:val="79FD6082"/>
    <w:rsid w:val="7A2C59FE"/>
    <w:rsid w:val="7A36659D"/>
    <w:rsid w:val="7A6027C1"/>
    <w:rsid w:val="7A854A12"/>
    <w:rsid w:val="7AB01B57"/>
    <w:rsid w:val="7ACD0A2E"/>
    <w:rsid w:val="7ADD3367"/>
    <w:rsid w:val="7AF10BC1"/>
    <w:rsid w:val="7B237820"/>
    <w:rsid w:val="7B4619CE"/>
    <w:rsid w:val="7B8E1FA1"/>
    <w:rsid w:val="7B974622"/>
    <w:rsid w:val="7BD5403F"/>
    <w:rsid w:val="7C312C50"/>
    <w:rsid w:val="7C907EE9"/>
    <w:rsid w:val="7C947A56"/>
    <w:rsid w:val="7CB86F28"/>
    <w:rsid w:val="7CF61FC1"/>
    <w:rsid w:val="7CF7012F"/>
    <w:rsid w:val="7CFA2D3B"/>
    <w:rsid w:val="7D100FC1"/>
    <w:rsid w:val="7D4E72F0"/>
    <w:rsid w:val="7D63574E"/>
    <w:rsid w:val="7DCB2063"/>
    <w:rsid w:val="7DEB5859"/>
    <w:rsid w:val="7E071053"/>
    <w:rsid w:val="7E0F43DF"/>
    <w:rsid w:val="7E6B6CE9"/>
    <w:rsid w:val="7E9219F9"/>
    <w:rsid w:val="7EF87B3E"/>
    <w:rsid w:val="7F063673"/>
    <w:rsid w:val="7F082901"/>
    <w:rsid w:val="7F7F0751"/>
    <w:rsid w:val="7F924DA0"/>
    <w:rsid w:val="7FA34F1F"/>
    <w:rsid w:val="7FB4040F"/>
    <w:rsid w:val="7FBD5930"/>
    <w:rsid w:val="7FF46C92"/>
    <w:rsid w:val="BFFB9968"/>
    <w:rsid w:val="BFFFB372"/>
    <w:rsid w:val="C2FFF3B2"/>
    <w:rsid w:val="EDBE0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63"/>
    <w:qFormat/>
    <w:uiPriority w:val="0"/>
    <w:pPr>
      <w:keepNext/>
      <w:keepLines/>
      <w:spacing w:before="260" w:after="260" w:line="413" w:lineRule="auto"/>
      <w:outlineLvl w:val="2"/>
    </w:pPr>
    <w:rPr>
      <w:b/>
      <w:bCs/>
      <w:sz w:val="32"/>
      <w:szCs w:val="32"/>
    </w:rPr>
  </w:style>
  <w:style w:type="paragraph" w:styleId="5">
    <w:name w:val="heading 4"/>
    <w:basedOn w:val="1"/>
    <w:next w:val="1"/>
    <w:link w:val="64"/>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5"/>
    <w:qFormat/>
    <w:uiPriority w:val="0"/>
    <w:pPr>
      <w:keepNext/>
      <w:keepLines/>
      <w:spacing w:before="280" w:after="290" w:line="372" w:lineRule="auto"/>
      <w:outlineLvl w:val="4"/>
    </w:pPr>
    <w:rPr>
      <w:b/>
      <w:sz w:val="28"/>
    </w:rPr>
  </w:style>
  <w:style w:type="paragraph" w:styleId="8">
    <w:name w:val="heading 6"/>
    <w:basedOn w:val="1"/>
    <w:next w:val="7"/>
    <w:link w:val="66"/>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7"/>
    <w:qFormat/>
    <w:uiPriority w:val="0"/>
    <w:pPr>
      <w:keepNext/>
      <w:keepLines/>
      <w:spacing w:before="240" w:after="64" w:line="317" w:lineRule="auto"/>
      <w:outlineLvl w:val="6"/>
    </w:pPr>
    <w:rPr>
      <w:b/>
      <w:sz w:val="24"/>
    </w:rPr>
  </w:style>
  <w:style w:type="paragraph" w:styleId="10">
    <w:name w:val="heading 8"/>
    <w:basedOn w:val="1"/>
    <w:next w:val="7"/>
    <w:link w:val="68"/>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9"/>
    <w:qFormat/>
    <w:uiPriority w:val="0"/>
    <w:pPr>
      <w:keepNext/>
      <w:keepLines/>
      <w:spacing w:before="240" w:after="64" w:line="317"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0"/>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71"/>
    <w:qFormat/>
    <w:uiPriority w:val="0"/>
    <w:pPr>
      <w:jc w:val="left"/>
    </w:pPr>
  </w:style>
  <w:style w:type="paragraph" w:styleId="18">
    <w:name w:val="Body Text 3"/>
    <w:basedOn w:val="1"/>
    <w:link w:val="72"/>
    <w:qFormat/>
    <w:uiPriority w:val="0"/>
    <w:pPr>
      <w:spacing w:line="500" w:lineRule="exact"/>
    </w:pPr>
    <w:rPr>
      <w:b/>
      <w:bCs/>
      <w:sz w:val="24"/>
    </w:rPr>
  </w:style>
  <w:style w:type="paragraph" w:styleId="19">
    <w:name w:val="Body Text"/>
    <w:basedOn w:val="1"/>
    <w:next w:val="1"/>
    <w:link w:val="73"/>
    <w:qFormat/>
    <w:uiPriority w:val="99"/>
    <w:pPr>
      <w:spacing w:line="380" w:lineRule="exact"/>
    </w:pPr>
    <w:rPr>
      <w:sz w:val="24"/>
    </w:rPr>
  </w:style>
  <w:style w:type="paragraph" w:styleId="20">
    <w:name w:val="Body Text Indent"/>
    <w:basedOn w:val="1"/>
    <w:next w:val="21"/>
    <w:link w:val="74"/>
    <w:qFormat/>
    <w:uiPriority w:val="99"/>
    <w:pPr>
      <w:ind w:firstLine="830" w:firstLineChars="352"/>
    </w:pPr>
    <w:rPr>
      <w:rFonts w:ascii="仿宋_GB2312" w:eastAsia="仿宋_GB2312"/>
      <w:sz w:val="32"/>
      <w:szCs w:val="20"/>
    </w:rPr>
  </w:style>
  <w:style w:type="paragraph" w:styleId="21">
    <w:name w:val="Body Text First Indent 2"/>
    <w:basedOn w:val="20"/>
    <w:next w:val="1"/>
    <w:link w:val="87"/>
    <w:qFormat/>
    <w:uiPriority w:val="0"/>
    <w:pPr>
      <w:spacing w:after="120"/>
      <w:ind w:left="420" w:leftChars="200" w:firstLine="420" w:firstLineChars="200"/>
    </w:pPr>
    <w:rPr>
      <w:rFonts w:ascii="Times New Roman" w:eastAsia="宋体"/>
      <w:sz w:val="21"/>
      <w:szCs w:val="24"/>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next w:val="1"/>
    <w:link w:val="75"/>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6"/>
    <w:qFormat/>
    <w:uiPriority w:val="0"/>
    <w:pPr>
      <w:ind w:left="100" w:leftChars="2500"/>
    </w:pPr>
    <w:rPr>
      <w:rFonts w:ascii="宋体" w:hAnsi="Courier New"/>
      <w:szCs w:val="21"/>
    </w:rPr>
  </w:style>
  <w:style w:type="paragraph" w:styleId="30">
    <w:name w:val="Body Text Indent 2"/>
    <w:basedOn w:val="1"/>
    <w:link w:val="77"/>
    <w:qFormat/>
    <w:uiPriority w:val="0"/>
    <w:pPr>
      <w:ind w:firstLine="630"/>
    </w:pPr>
    <w:rPr>
      <w:sz w:val="32"/>
      <w:szCs w:val="20"/>
    </w:rPr>
  </w:style>
  <w:style w:type="paragraph" w:styleId="31">
    <w:name w:val="Balloon Text"/>
    <w:basedOn w:val="1"/>
    <w:link w:val="78"/>
    <w:qFormat/>
    <w:uiPriority w:val="0"/>
    <w:rPr>
      <w:sz w:val="18"/>
      <w:szCs w:val="18"/>
    </w:rPr>
  </w:style>
  <w:style w:type="paragraph" w:styleId="32">
    <w:name w:val="footer"/>
    <w:basedOn w:val="1"/>
    <w:link w:val="79"/>
    <w:qFormat/>
    <w:uiPriority w:val="0"/>
    <w:pPr>
      <w:tabs>
        <w:tab w:val="center" w:pos="4153"/>
        <w:tab w:val="right" w:pos="8306"/>
      </w:tabs>
      <w:snapToGrid w:val="0"/>
      <w:jc w:val="left"/>
    </w:pPr>
    <w:rPr>
      <w:sz w:val="18"/>
      <w:szCs w:val="18"/>
    </w:rPr>
  </w:style>
  <w:style w:type="paragraph" w:styleId="33">
    <w:name w:val="header"/>
    <w:basedOn w:val="1"/>
    <w:link w:val="80"/>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footnote text"/>
    <w:basedOn w:val="1"/>
    <w:next w:val="21"/>
    <w:qFormat/>
    <w:uiPriority w:val="0"/>
    <w:pPr>
      <w:snapToGrid w:val="0"/>
      <w:jc w:val="left"/>
    </w:pPr>
    <w:rPr>
      <w:sz w:val="18"/>
      <w:szCs w:val="18"/>
    </w:rPr>
  </w:style>
  <w:style w:type="paragraph" w:styleId="38">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link w:val="81"/>
    <w:qFormat/>
    <w:uiPriority w:val="0"/>
    <w:pPr>
      <w:spacing w:after="120"/>
      <w:ind w:left="420" w:leftChars="200"/>
    </w:pPr>
    <w:rPr>
      <w:sz w:val="16"/>
      <w:szCs w:val="16"/>
    </w:rPr>
  </w:style>
  <w:style w:type="paragraph" w:styleId="41">
    <w:name w:val="toc 2"/>
    <w:basedOn w:val="1"/>
    <w:next w:val="1"/>
    <w:qFormat/>
    <w:uiPriority w:val="39"/>
    <w:pPr>
      <w:ind w:left="420" w:leftChars="200"/>
    </w:pPr>
  </w:style>
  <w:style w:type="paragraph" w:styleId="42">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3">
    <w:name w:val="Body Text 2"/>
    <w:basedOn w:val="1"/>
    <w:link w:val="82"/>
    <w:qFormat/>
    <w:uiPriority w:val="0"/>
    <w:pPr>
      <w:spacing w:after="120" w:line="480" w:lineRule="auto"/>
    </w:pPr>
  </w:style>
  <w:style w:type="paragraph" w:styleId="44">
    <w:name w:val="List 4"/>
    <w:basedOn w:val="1"/>
    <w:qFormat/>
    <w:uiPriority w:val="0"/>
    <w:pPr>
      <w:ind w:left="100" w:leftChars="600" w:hanging="200" w:hangingChars="200"/>
    </w:pPr>
  </w:style>
  <w:style w:type="paragraph" w:styleId="45">
    <w:name w:val="List Continue 2"/>
    <w:basedOn w:val="1"/>
    <w:qFormat/>
    <w:uiPriority w:val="0"/>
    <w:pPr>
      <w:spacing w:after="120"/>
      <w:ind w:left="840" w:leftChars="400"/>
    </w:pPr>
  </w:style>
  <w:style w:type="paragraph" w:styleId="46">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7">
    <w:name w:val="Normal (Web)"/>
    <w:basedOn w:val="1"/>
    <w:qFormat/>
    <w:uiPriority w:val="99"/>
    <w:pPr>
      <w:widowControl/>
      <w:spacing w:before="100" w:beforeAutospacing="1" w:after="100" w:afterAutospacing="1"/>
      <w:jc w:val="left"/>
    </w:pPr>
    <w:rPr>
      <w:rFonts w:ascii="宋体" w:hAnsi="宋体"/>
      <w:kern w:val="0"/>
      <w:sz w:val="24"/>
    </w:rPr>
  </w:style>
  <w:style w:type="paragraph" w:styleId="48">
    <w:name w:val="index 1"/>
    <w:basedOn w:val="1"/>
    <w:next w:val="1"/>
    <w:qFormat/>
    <w:uiPriority w:val="0"/>
    <w:pPr>
      <w:spacing w:line="400" w:lineRule="exact"/>
      <w:ind w:firstLine="420" w:firstLineChars="200"/>
    </w:pPr>
    <w:rPr>
      <w:rFonts w:ascii="宋体" w:hAnsi="Courier New"/>
      <w:b/>
      <w:szCs w:val="20"/>
    </w:rPr>
  </w:style>
  <w:style w:type="paragraph" w:styleId="49">
    <w:name w:val="Title"/>
    <w:basedOn w:val="1"/>
    <w:next w:val="1"/>
    <w:link w:val="84"/>
    <w:qFormat/>
    <w:uiPriority w:val="0"/>
    <w:pPr>
      <w:jc w:val="center"/>
    </w:pPr>
    <w:rPr>
      <w:sz w:val="30"/>
    </w:rPr>
  </w:style>
  <w:style w:type="paragraph" w:styleId="50">
    <w:name w:val="annotation subject"/>
    <w:basedOn w:val="17"/>
    <w:next w:val="17"/>
    <w:link w:val="85"/>
    <w:qFormat/>
    <w:uiPriority w:val="0"/>
    <w:rPr>
      <w:b/>
      <w:bCs/>
    </w:rPr>
  </w:style>
  <w:style w:type="paragraph" w:styleId="51">
    <w:name w:val="Body Text First Indent"/>
    <w:basedOn w:val="1"/>
    <w:link w:val="86"/>
    <w:qFormat/>
    <w:uiPriority w:val="0"/>
    <w:pPr>
      <w:spacing w:after="120"/>
      <w:ind w:firstLine="420" w:firstLineChars="100"/>
    </w:p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22"/>
    <w:rPr>
      <w:b/>
      <w:bCs/>
    </w:rPr>
  </w:style>
  <w:style w:type="character" w:styleId="56">
    <w:name w:val="page number"/>
    <w:basedOn w:val="54"/>
    <w:qFormat/>
    <w:uiPriority w:val="0"/>
  </w:style>
  <w:style w:type="character" w:styleId="57">
    <w:name w:val="FollowedHyperlink"/>
    <w:qFormat/>
    <w:uiPriority w:val="99"/>
    <w:rPr>
      <w:color w:val="800080"/>
      <w:u w:val="single"/>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paragraph" w:customStyle="1" w:styleId="60">
    <w:name w:val="表格文字"/>
    <w:basedOn w:val="1"/>
    <w:next w:val="19"/>
    <w:qFormat/>
    <w:uiPriority w:val="0"/>
    <w:pPr>
      <w:adjustRightInd w:val="0"/>
      <w:spacing w:line="420" w:lineRule="atLeast"/>
      <w:jc w:val="left"/>
      <w:textAlignment w:val="baseline"/>
    </w:pPr>
    <w:rPr>
      <w:kern w:val="0"/>
    </w:rPr>
  </w:style>
  <w:style w:type="character" w:customStyle="1" w:styleId="61">
    <w:name w:val="标题 1 字符"/>
    <w:link w:val="2"/>
    <w:qFormat/>
    <w:uiPriority w:val="9"/>
    <w:rPr>
      <w:rFonts w:eastAsia="宋体"/>
      <w:b/>
      <w:bCs/>
      <w:kern w:val="44"/>
      <w:sz w:val="44"/>
      <w:szCs w:val="44"/>
      <w:lang w:val="en-US" w:eastAsia="zh-CN" w:bidi="ar-SA"/>
    </w:rPr>
  </w:style>
  <w:style w:type="character" w:customStyle="1" w:styleId="62">
    <w:name w:val="标题 2 字符"/>
    <w:link w:val="3"/>
    <w:qFormat/>
    <w:uiPriority w:val="0"/>
    <w:rPr>
      <w:rFonts w:ascii="Arial" w:hAnsi="Arial" w:eastAsia="黑体"/>
      <w:b/>
      <w:bCs/>
      <w:kern w:val="2"/>
      <w:sz w:val="32"/>
      <w:szCs w:val="32"/>
    </w:rPr>
  </w:style>
  <w:style w:type="character" w:customStyle="1" w:styleId="63">
    <w:name w:val="标题 3 字符"/>
    <w:link w:val="4"/>
    <w:qFormat/>
    <w:uiPriority w:val="0"/>
    <w:rPr>
      <w:b/>
      <w:bCs/>
      <w:kern w:val="2"/>
      <w:sz w:val="32"/>
      <w:szCs w:val="32"/>
    </w:rPr>
  </w:style>
  <w:style w:type="character" w:customStyle="1" w:styleId="64">
    <w:name w:val="标题 4 字符"/>
    <w:link w:val="5"/>
    <w:qFormat/>
    <w:uiPriority w:val="0"/>
    <w:rPr>
      <w:rFonts w:ascii="Arial" w:hAnsi="Arial" w:eastAsia="黑体"/>
      <w:sz w:val="28"/>
    </w:rPr>
  </w:style>
  <w:style w:type="character" w:customStyle="1" w:styleId="65">
    <w:name w:val="标题 5 字符"/>
    <w:link w:val="6"/>
    <w:qFormat/>
    <w:uiPriority w:val="0"/>
    <w:rPr>
      <w:b/>
      <w:kern w:val="2"/>
      <w:sz w:val="28"/>
      <w:szCs w:val="24"/>
    </w:rPr>
  </w:style>
  <w:style w:type="character" w:customStyle="1" w:styleId="66">
    <w:name w:val="标题 6 字符"/>
    <w:link w:val="8"/>
    <w:qFormat/>
    <w:uiPriority w:val="0"/>
    <w:rPr>
      <w:rFonts w:ascii="Arial" w:hAnsi="Arial" w:eastAsia="黑体"/>
      <w:b/>
      <w:kern w:val="2"/>
      <w:sz w:val="24"/>
      <w:szCs w:val="24"/>
    </w:rPr>
  </w:style>
  <w:style w:type="character" w:customStyle="1" w:styleId="67">
    <w:name w:val="标题 7 字符"/>
    <w:link w:val="9"/>
    <w:qFormat/>
    <w:uiPriority w:val="0"/>
    <w:rPr>
      <w:b/>
      <w:kern w:val="2"/>
      <w:sz w:val="24"/>
      <w:szCs w:val="24"/>
    </w:rPr>
  </w:style>
  <w:style w:type="character" w:customStyle="1" w:styleId="68">
    <w:name w:val="标题 8 字符"/>
    <w:link w:val="10"/>
    <w:qFormat/>
    <w:uiPriority w:val="0"/>
    <w:rPr>
      <w:rFonts w:ascii="Arial" w:hAnsi="Arial" w:eastAsia="黑体"/>
      <w:kern w:val="2"/>
      <w:sz w:val="24"/>
      <w:szCs w:val="24"/>
    </w:rPr>
  </w:style>
  <w:style w:type="character" w:customStyle="1" w:styleId="69">
    <w:name w:val="标题 9 字符"/>
    <w:link w:val="11"/>
    <w:qFormat/>
    <w:uiPriority w:val="0"/>
    <w:rPr>
      <w:rFonts w:ascii="Arial" w:hAnsi="Arial" w:eastAsia="黑体"/>
      <w:kern w:val="2"/>
      <w:sz w:val="21"/>
      <w:szCs w:val="24"/>
    </w:rPr>
  </w:style>
  <w:style w:type="character" w:customStyle="1" w:styleId="70">
    <w:name w:val="文档结构图 字符"/>
    <w:link w:val="16"/>
    <w:qFormat/>
    <w:uiPriority w:val="0"/>
    <w:rPr>
      <w:sz w:val="21"/>
      <w:shd w:val="clear" w:color="auto" w:fill="000080"/>
    </w:rPr>
  </w:style>
  <w:style w:type="character" w:customStyle="1" w:styleId="71">
    <w:name w:val="批注文字 字符"/>
    <w:link w:val="17"/>
    <w:qFormat/>
    <w:uiPriority w:val="0"/>
    <w:rPr>
      <w:kern w:val="2"/>
      <w:sz w:val="21"/>
      <w:szCs w:val="24"/>
    </w:rPr>
  </w:style>
  <w:style w:type="character" w:customStyle="1" w:styleId="72">
    <w:name w:val="正文文本 3 字符"/>
    <w:link w:val="18"/>
    <w:qFormat/>
    <w:uiPriority w:val="0"/>
    <w:rPr>
      <w:b/>
      <w:bCs/>
      <w:kern w:val="2"/>
      <w:sz w:val="24"/>
      <w:szCs w:val="24"/>
    </w:rPr>
  </w:style>
  <w:style w:type="character" w:customStyle="1" w:styleId="73">
    <w:name w:val="正文文本 字符2"/>
    <w:link w:val="19"/>
    <w:qFormat/>
    <w:uiPriority w:val="99"/>
    <w:rPr>
      <w:kern w:val="2"/>
      <w:sz w:val="24"/>
      <w:szCs w:val="24"/>
    </w:rPr>
  </w:style>
  <w:style w:type="character" w:customStyle="1" w:styleId="74">
    <w:name w:val="正文文本缩进 字符"/>
    <w:link w:val="20"/>
    <w:qFormat/>
    <w:uiPriority w:val="99"/>
    <w:rPr>
      <w:rFonts w:ascii="仿宋_GB2312" w:eastAsia="仿宋_GB2312"/>
      <w:kern w:val="2"/>
      <w:sz w:val="32"/>
    </w:rPr>
  </w:style>
  <w:style w:type="character" w:customStyle="1" w:styleId="75">
    <w:name w:val="纯文本 字符2"/>
    <w:link w:val="27"/>
    <w:qFormat/>
    <w:uiPriority w:val="99"/>
    <w:rPr>
      <w:rFonts w:ascii="宋体" w:hAnsi="Courier New" w:eastAsia="宋体" w:cs="Courier New"/>
      <w:kern w:val="2"/>
      <w:sz w:val="21"/>
      <w:szCs w:val="21"/>
      <w:lang w:val="en-US" w:eastAsia="zh-CN" w:bidi="ar-SA"/>
    </w:rPr>
  </w:style>
  <w:style w:type="character" w:customStyle="1" w:styleId="76">
    <w:name w:val="日期 字符"/>
    <w:link w:val="29"/>
    <w:qFormat/>
    <w:uiPriority w:val="0"/>
    <w:rPr>
      <w:rFonts w:ascii="宋体" w:hAnsi="Courier New" w:cs="Courier New"/>
      <w:kern w:val="2"/>
      <w:sz w:val="21"/>
      <w:szCs w:val="21"/>
    </w:rPr>
  </w:style>
  <w:style w:type="character" w:customStyle="1" w:styleId="77">
    <w:name w:val="正文文本缩进 2 字符"/>
    <w:link w:val="30"/>
    <w:qFormat/>
    <w:uiPriority w:val="0"/>
    <w:rPr>
      <w:kern w:val="2"/>
      <w:sz w:val="32"/>
    </w:rPr>
  </w:style>
  <w:style w:type="character" w:customStyle="1" w:styleId="78">
    <w:name w:val="批注框文本 字符"/>
    <w:link w:val="31"/>
    <w:qFormat/>
    <w:uiPriority w:val="0"/>
    <w:rPr>
      <w:kern w:val="2"/>
      <w:sz w:val="18"/>
      <w:szCs w:val="18"/>
    </w:rPr>
  </w:style>
  <w:style w:type="character" w:customStyle="1" w:styleId="79">
    <w:name w:val="页脚 字符"/>
    <w:link w:val="32"/>
    <w:qFormat/>
    <w:uiPriority w:val="0"/>
    <w:rPr>
      <w:kern w:val="2"/>
      <w:sz w:val="18"/>
      <w:szCs w:val="18"/>
    </w:rPr>
  </w:style>
  <w:style w:type="character" w:customStyle="1" w:styleId="80">
    <w:name w:val="页眉 字符"/>
    <w:link w:val="33"/>
    <w:qFormat/>
    <w:uiPriority w:val="99"/>
    <w:rPr>
      <w:kern w:val="2"/>
      <w:sz w:val="18"/>
      <w:szCs w:val="18"/>
    </w:rPr>
  </w:style>
  <w:style w:type="character" w:customStyle="1" w:styleId="81">
    <w:name w:val="正文文本缩进 3 字符"/>
    <w:link w:val="40"/>
    <w:qFormat/>
    <w:uiPriority w:val="0"/>
    <w:rPr>
      <w:kern w:val="2"/>
      <w:sz w:val="16"/>
      <w:szCs w:val="16"/>
    </w:rPr>
  </w:style>
  <w:style w:type="character" w:customStyle="1" w:styleId="82">
    <w:name w:val="正文文本 2 字符"/>
    <w:link w:val="43"/>
    <w:qFormat/>
    <w:uiPriority w:val="0"/>
    <w:rPr>
      <w:kern w:val="2"/>
      <w:sz w:val="21"/>
      <w:szCs w:val="24"/>
    </w:rPr>
  </w:style>
  <w:style w:type="character" w:customStyle="1" w:styleId="83">
    <w:name w:val="HTML 预设格式 字符"/>
    <w:link w:val="46"/>
    <w:qFormat/>
    <w:uiPriority w:val="0"/>
    <w:rPr>
      <w:rFonts w:ascii="黑体" w:hAnsi="Courier New" w:eastAsia="黑体" w:cs="Courier New"/>
    </w:rPr>
  </w:style>
  <w:style w:type="character" w:customStyle="1" w:styleId="84">
    <w:name w:val="标题 字符"/>
    <w:link w:val="49"/>
    <w:qFormat/>
    <w:uiPriority w:val="0"/>
    <w:rPr>
      <w:kern w:val="2"/>
      <w:sz w:val="30"/>
      <w:szCs w:val="24"/>
    </w:rPr>
  </w:style>
  <w:style w:type="character" w:customStyle="1" w:styleId="85">
    <w:name w:val="批注主题 字符"/>
    <w:link w:val="50"/>
    <w:qFormat/>
    <w:uiPriority w:val="0"/>
    <w:rPr>
      <w:b/>
      <w:bCs/>
      <w:kern w:val="2"/>
      <w:sz w:val="21"/>
      <w:szCs w:val="24"/>
    </w:rPr>
  </w:style>
  <w:style w:type="character" w:customStyle="1" w:styleId="86">
    <w:name w:val="正文文本首行缩进 字符"/>
    <w:link w:val="51"/>
    <w:qFormat/>
    <w:uiPriority w:val="0"/>
    <w:rPr>
      <w:kern w:val="2"/>
      <w:sz w:val="21"/>
      <w:szCs w:val="24"/>
    </w:rPr>
  </w:style>
  <w:style w:type="character" w:customStyle="1" w:styleId="87">
    <w:name w:val="正文文本首行缩进 2 字符"/>
    <w:link w:val="21"/>
    <w:qFormat/>
    <w:uiPriority w:val="0"/>
    <w:rPr>
      <w:kern w:val="2"/>
      <w:sz w:val="21"/>
      <w:szCs w:val="24"/>
    </w:rPr>
  </w:style>
  <w:style w:type="character" w:customStyle="1" w:styleId="88">
    <w:name w:val="style11"/>
    <w:qFormat/>
    <w:uiPriority w:val="0"/>
    <w:rPr>
      <w:rFonts w:hint="default" w:ascii="Arial" w:hAnsi="Arial" w:cs="Arial"/>
    </w:rPr>
  </w:style>
  <w:style w:type="character" w:customStyle="1" w:styleId="89">
    <w:name w:val="short_text1"/>
    <w:qFormat/>
    <w:uiPriority w:val="0"/>
    <w:rPr>
      <w:sz w:val="26"/>
    </w:rPr>
  </w:style>
  <w:style w:type="character" w:customStyle="1" w:styleId="90">
    <w:name w:val="white"/>
    <w:basedOn w:val="54"/>
    <w:qFormat/>
    <w:uiPriority w:val="0"/>
  </w:style>
  <w:style w:type="character" w:customStyle="1" w:styleId="91">
    <w:name w:val="text11"/>
    <w:qFormat/>
    <w:uiPriority w:val="0"/>
    <w:rPr>
      <w:rFonts w:hint="default" w:ascii="Verdana" w:hAnsi="Verdana"/>
      <w:color w:val="4E4E4E"/>
      <w:sz w:val="18"/>
      <w:szCs w:val="18"/>
    </w:rPr>
  </w:style>
  <w:style w:type="character" w:customStyle="1" w:styleId="92">
    <w:name w:val="mark8"/>
    <w:qFormat/>
    <w:uiPriority w:val="0"/>
    <w:rPr>
      <w:b/>
      <w:bCs/>
      <w:sz w:val="21"/>
      <w:szCs w:val="21"/>
    </w:rPr>
  </w:style>
  <w:style w:type="character" w:customStyle="1" w:styleId="93">
    <w:name w:val="纯文本 Char1"/>
    <w:qFormat/>
    <w:uiPriority w:val="0"/>
    <w:rPr>
      <w:rFonts w:ascii="宋体" w:hAnsi="Courier New" w:eastAsia="宋体" w:cs="Courier New"/>
      <w:kern w:val="2"/>
      <w:sz w:val="21"/>
      <w:szCs w:val="21"/>
      <w:lang w:val="en-US" w:eastAsia="zh-CN" w:bidi="ar-SA"/>
    </w:rPr>
  </w:style>
  <w:style w:type="character" w:customStyle="1" w:styleId="94">
    <w:name w:val="f151"/>
    <w:qFormat/>
    <w:uiPriority w:val="0"/>
    <w:rPr>
      <w:sz w:val="23"/>
      <w:szCs w:val="23"/>
    </w:rPr>
  </w:style>
  <w:style w:type="character" w:customStyle="1" w:styleId="95">
    <w:name w:val="062"/>
    <w:qFormat/>
    <w:uiPriority w:val="0"/>
    <w:rPr>
      <w:rFonts w:ascii="宋体" w:hAnsi="宋体"/>
      <w:b/>
      <w:bCs/>
      <w:sz w:val="32"/>
    </w:rPr>
  </w:style>
  <w:style w:type="character" w:customStyle="1" w:styleId="96">
    <w:name w:val="gray12"/>
    <w:basedOn w:val="54"/>
    <w:qFormat/>
    <w:uiPriority w:val="0"/>
  </w:style>
  <w:style w:type="character" w:customStyle="1" w:styleId="97">
    <w:name w:val="1ji Char"/>
    <w:link w:val="98"/>
    <w:qFormat/>
    <w:uiPriority w:val="0"/>
    <w:rPr>
      <w:rFonts w:ascii="宋体" w:hAnsi="宋体" w:eastAsia="宋体"/>
      <w:b/>
      <w:bCs/>
      <w:kern w:val="44"/>
      <w:sz w:val="36"/>
      <w:szCs w:val="44"/>
      <w:lang w:val="en-US" w:eastAsia="zh-CN" w:bidi="ar-SA"/>
    </w:rPr>
  </w:style>
  <w:style w:type="paragraph" w:customStyle="1" w:styleId="98">
    <w:name w:val="1ji"/>
    <w:basedOn w:val="2"/>
    <w:link w:val="97"/>
    <w:qFormat/>
    <w:uiPriority w:val="0"/>
    <w:pPr>
      <w:keepLines w:val="0"/>
      <w:widowControl/>
      <w:spacing w:before="0" w:after="0" w:line="240" w:lineRule="auto"/>
      <w:jc w:val="center"/>
    </w:pPr>
    <w:rPr>
      <w:rFonts w:ascii="宋体" w:hAnsi="宋体"/>
      <w:sz w:val="36"/>
    </w:rPr>
  </w:style>
  <w:style w:type="character" w:customStyle="1" w:styleId="99">
    <w:name w:val="font01"/>
    <w:qFormat/>
    <w:uiPriority w:val="0"/>
    <w:rPr>
      <w:rFonts w:hint="eastAsia" w:ascii="宋体" w:hAnsi="宋体" w:eastAsia="宋体"/>
      <w:color w:val="000000"/>
      <w:sz w:val="22"/>
      <w:szCs w:val="22"/>
      <w:u w:val="none"/>
    </w:rPr>
  </w:style>
  <w:style w:type="character" w:customStyle="1" w:styleId="100">
    <w:name w:val="small"/>
    <w:basedOn w:val="54"/>
    <w:qFormat/>
    <w:uiPriority w:val="0"/>
  </w:style>
  <w:style w:type="character" w:customStyle="1" w:styleId="101">
    <w:name w:val="apple-converted-space"/>
    <w:qFormat/>
    <w:uiPriority w:val="0"/>
  </w:style>
  <w:style w:type="character" w:customStyle="1" w:styleId="102">
    <w:name w:val="case31"/>
    <w:qFormat/>
    <w:uiPriority w:val="0"/>
    <w:rPr>
      <w:rFonts w:hint="default" w:ascii="_x000B__x000C_" w:hAnsi="_x000B__x000C_"/>
      <w:sz w:val="21"/>
      <w:szCs w:val="21"/>
    </w:rPr>
  </w:style>
  <w:style w:type="character" w:customStyle="1" w:styleId="103">
    <w:name w:val="graytext1"/>
    <w:qFormat/>
    <w:uiPriority w:val="0"/>
    <w:rPr>
      <w:color w:val="666666"/>
    </w:rPr>
  </w:style>
  <w:style w:type="character" w:customStyle="1" w:styleId="104">
    <w:name w:val="标题3 Char"/>
    <w:link w:val="105"/>
    <w:qFormat/>
    <w:uiPriority w:val="0"/>
    <w:rPr>
      <w:rFonts w:ascii="宋体" w:hAnsi="宋体"/>
      <w:b/>
      <w:bCs/>
      <w:kern w:val="44"/>
      <w:sz w:val="24"/>
      <w:szCs w:val="24"/>
    </w:rPr>
  </w:style>
  <w:style w:type="paragraph" w:customStyle="1" w:styleId="105">
    <w:name w:val="标题3"/>
    <w:basedOn w:val="2"/>
    <w:link w:val="104"/>
    <w:qFormat/>
    <w:uiPriority w:val="0"/>
    <w:pPr>
      <w:spacing w:before="0" w:beforeLines="50" w:after="0" w:afterLines="50" w:line="400" w:lineRule="exact"/>
    </w:pPr>
    <w:rPr>
      <w:rFonts w:ascii="宋体" w:hAnsi="宋体"/>
      <w:sz w:val="24"/>
      <w:szCs w:val="24"/>
    </w:rPr>
  </w:style>
  <w:style w:type="character" w:customStyle="1" w:styleId="106">
    <w:name w:val="1051"/>
    <w:qFormat/>
    <w:uiPriority w:val="0"/>
    <w:rPr>
      <w:sz w:val="21"/>
      <w:szCs w:val="21"/>
    </w:rPr>
  </w:style>
  <w:style w:type="character" w:customStyle="1" w:styleId="107">
    <w:name w:val="content2"/>
    <w:basedOn w:val="54"/>
    <w:qFormat/>
    <w:uiPriority w:val="0"/>
  </w:style>
  <w:style w:type="character" w:customStyle="1" w:styleId="108">
    <w:name w:val="z-窗体顶端 Char"/>
    <w:link w:val="109"/>
    <w:qFormat/>
    <w:uiPriority w:val="0"/>
    <w:rPr>
      <w:rFonts w:ascii="Arial"/>
      <w:vanish/>
      <w:kern w:val="2"/>
      <w:sz w:val="16"/>
      <w:szCs w:val="24"/>
    </w:rPr>
  </w:style>
  <w:style w:type="paragraph" w:customStyle="1" w:styleId="109">
    <w:name w:val="_Style 106"/>
    <w:basedOn w:val="1"/>
    <w:next w:val="1"/>
    <w:link w:val="108"/>
    <w:qFormat/>
    <w:uiPriority w:val="0"/>
    <w:pPr>
      <w:pBdr>
        <w:bottom w:val="single" w:color="auto" w:sz="6" w:space="1"/>
      </w:pBdr>
      <w:jc w:val="center"/>
    </w:pPr>
    <w:rPr>
      <w:rFonts w:ascii="Arial"/>
      <w:vanish/>
      <w:sz w:val="16"/>
    </w:rPr>
  </w:style>
  <w:style w:type="character" w:customStyle="1" w:styleId="110">
    <w:name w:val="unnamed3"/>
    <w:basedOn w:val="54"/>
    <w:qFormat/>
    <w:uiPriority w:val="0"/>
  </w:style>
  <w:style w:type="character" w:customStyle="1" w:styleId="111">
    <w:name w:val="批注文字 Char2"/>
    <w:qFormat/>
    <w:uiPriority w:val="0"/>
    <w:rPr>
      <w:kern w:val="2"/>
      <w:sz w:val="21"/>
      <w:szCs w:val="24"/>
      <w:lang w:bidi="ar-SA"/>
    </w:rPr>
  </w:style>
  <w:style w:type="character" w:customStyle="1" w:styleId="112">
    <w:name w:val="style21"/>
    <w:qFormat/>
    <w:uiPriority w:val="0"/>
    <w:rPr>
      <w:sz w:val="17"/>
      <w:szCs w:val="17"/>
    </w:rPr>
  </w:style>
  <w:style w:type="paragraph" w:customStyle="1" w:styleId="113">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4">
    <w:name w:val="Char1"/>
    <w:basedOn w:val="1"/>
    <w:qFormat/>
    <w:uiPriority w:val="0"/>
    <w:rPr>
      <w:szCs w:val="21"/>
    </w:rPr>
  </w:style>
  <w:style w:type="paragraph" w:customStyle="1" w:styleId="115">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6">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7">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18">
    <w:name w:val="List Paragraph1"/>
    <w:basedOn w:val="1"/>
    <w:qFormat/>
    <w:uiPriority w:val="0"/>
    <w:pPr>
      <w:ind w:firstLine="420" w:firstLineChars="200"/>
    </w:pPr>
    <w:rPr>
      <w:rFonts w:ascii="Calibri" w:hAnsi="Calibri"/>
      <w:szCs w:val="22"/>
    </w:rPr>
  </w:style>
  <w:style w:type="paragraph" w:styleId="119">
    <w:name w:val="List Paragraph"/>
    <w:basedOn w:val="1"/>
    <w:qFormat/>
    <w:uiPriority w:val="34"/>
    <w:pPr>
      <w:ind w:firstLine="420" w:firstLineChars="200"/>
    </w:pPr>
    <w:rPr>
      <w:rFonts w:ascii="Calibri" w:hAnsi="Calibri"/>
      <w:szCs w:val="22"/>
    </w:rPr>
  </w:style>
  <w:style w:type="paragraph" w:customStyle="1" w:styleId="120">
    <w:name w:val="Char Char Char Char Char Char Char"/>
    <w:basedOn w:val="1"/>
    <w:qFormat/>
    <w:uiPriority w:val="0"/>
  </w:style>
  <w:style w:type="paragraph" w:customStyle="1" w:styleId="121">
    <w:name w:val="Char21"/>
    <w:basedOn w:val="1"/>
    <w:qFormat/>
    <w:uiPriority w:val="0"/>
    <w:pPr>
      <w:tabs>
        <w:tab w:val="left" w:pos="360"/>
      </w:tabs>
      <w:ind w:left="252" w:hanging="252" w:hangingChars="140"/>
    </w:pPr>
    <w:rPr>
      <w:rFonts w:ascii="宋体"/>
      <w:sz w:val="18"/>
      <w:szCs w:val="18"/>
    </w:rPr>
  </w:style>
  <w:style w:type="paragraph" w:customStyle="1" w:styleId="122">
    <w:name w:val="次小点说明 Char"/>
    <w:basedOn w:val="7"/>
    <w:qFormat/>
    <w:uiPriority w:val="0"/>
    <w:pPr>
      <w:ind w:firstLine="0"/>
    </w:pPr>
    <w:rPr>
      <w:sz w:val="24"/>
      <w:szCs w:val="24"/>
    </w:rPr>
  </w:style>
  <w:style w:type="paragraph" w:customStyle="1" w:styleId="123">
    <w:name w:val="Char Char Char"/>
    <w:basedOn w:val="16"/>
    <w:qFormat/>
    <w:uiPriority w:val="0"/>
    <w:pPr>
      <w:adjustRightInd/>
      <w:spacing w:line="240" w:lineRule="auto"/>
      <w:textAlignment w:val="auto"/>
    </w:pPr>
    <w:rPr>
      <w:rFonts w:ascii="Tahoma" w:hAnsi="Tahoma"/>
      <w:kern w:val="2"/>
      <w:sz w:val="24"/>
      <w:szCs w:val="24"/>
    </w:rPr>
  </w:style>
  <w:style w:type="paragraph" w:customStyle="1" w:styleId="124">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5">
    <w:name w:val="五号正文（标准）"/>
    <w:basedOn w:val="1"/>
    <w:qFormat/>
    <w:uiPriority w:val="0"/>
    <w:pPr>
      <w:spacing w:line="360" w:lineRule="auto"/>
      <w:ind w:right="55" w:firstLine="560" w:firstLineChars="200"/>
    </w:pPr>
    <w:rPr>
      <w:rFonts w:eastAsia="仿宋_GB2312"/>
      <w:sz w:val="28"/>
      <w:szCs w:val="20"/>
    </w:rPr>
  </w:style>
  <w:style w:type="paragraph" w:customStyle="1" w:styleId="126">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默认段落字体 Para Char"/>
    <w:basedOn w:val="1"/>
    <w:qFormat/>
    <w:uiPriority w:val="0"/>
    <w:pPr>
      <w:adjustRightInd w:val="0"/>
      <w:spacing w:line="360" w:lineRule="auto"/>
    </w:pPr>
    <w:rPr>
      <w:kern w:val="0"/>
      <w:sz w:val="24"/>
      <w:szCs w:val="20"/>
    </w:rPr>
  </w:style>
  <w:style w:type="paragraph" w:customStyle="1" w:styleId="12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29">
    <w:name w:val="样式1"/>
    <w:basedOn w:val="1"/>
    <w:qFormat/>
    <w:uiPriority w:val="0"/>
    <w:pPr>
      <w:spacing w:before="120" w:after="120" w:line="300" w:lineRule="auto"/>
    </w:pPr>
    <w:rPr>
      <w:rFonts w:ascii="宋体" w:hAnsi="宋体"/>
      <w:b/>
      <w:sz w:val="24"/>
      <w:szCs w:val="20"/>
    </w:rPr>
  </w:style>
  <w:style w:type="paragraph" w:customStyle="1" w:styleId="130">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2">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4">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6">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3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38">
    <w:name w:val="正文首行缩进两字符"/>
    <w:basedOn w:val="1"/>
    <w:qFormat/>
    <w:uiPriority w:val="0"/>
    <w:pPr>
      <w:spacing w:line="360" w:lineRule="auto"/>
      <w:ind w:firstLine="200" w:firstLineChars="200"/>
    </w:pPr>
  </w:style>
  <w:style w:type="paragraph" w:customStyle="1" w:styleId="139">
    <w:name w:val="_Style 136"/>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4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4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4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3">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45">
    <w:name w:val="1"/>
    <w:basedOn w:val="1"/>
    <w:next w:val="27"/>
    <w:qFormat/>
    <w:uiPriority w:val="0"/>
    <w:rPr>
      <w:rFonts w:ascii="宋体" w:hAnsi="Courier New"/>
      <w:szCs w:val="20"/>
    </w:rPr>
  </w:style>
  <w:style w:type="paragraph" w:customStyle="1" w:styleId="14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7">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8">
    <w:name w:val="Char Char Char2"/>
    <w:basedOn w:val="1"/>
    <w:qFormat/>
    <w:uiPriority w:val="0"/>
    <w:rPr>
      <w:rFonts w:ascii="Tahoma" w:hAnsi="Tahoma"/>
      <w:sz w:val="24"/>
      <w:szCs w:val="20"/>
    </w:rPr>
  </w:style>
  <w:style w:type="paragraph" w:customStyle="1" w:styleId="14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0">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51">
    <w:name w:val="样式 首行缩进:  2 字符"/>
    <w:basedOn w:val="1"/>
    <w:qFormat/>
    <w:uiPriority w:val="0"/>
    <w:pPr>
      <w:spacing w:line="400" w:lineRule="exact"/>
      <w:ind w:firstLine="200" w:firstLineChars="200"/>
    </w:pPr>
    <w:rPr>
      <w:rFonts w:cs="宋体"/>
      <w:sz w:val="24"/>
    </w:rPr>
  </w:style>
  <w:style w:type="paragraph" w:customStyle="1" w:styleId="15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3">
    <w:name w:val="表格"/>
    <w:basedOn w:val="1"/>
    <w:qFormat/>
    <w:uiPriority w:val="0"/>
    <w:pPr>
      <w:spacing w:line="400" w:lineRule="exact"/>
    </w:pPr>
    <w:rPr>
      <w:sz w:val="24"/>
    </w:rPr>
  </w:style>
  <w:style w:type="paragraph" w:customStyle="1" w:styleId="154">
    <w:name w:val="默认段落字体 Para Char Char Char Char Char Char Char Char Char1 Char Char Char Char"/>
    <w:basedOn w:val="1"/>
    <w:qFormat/>
    <w:uiPriority w:val="0"/>
    <w:rPr>
      <w:rFonts w:ascii="Tahoma" w:hAnsi="Tahoma"/>
      <w:sz w:val="24"/>
      <w:szCs w:val="20"/>
    </w:rPr>
  </w:style>
  <w:style w:type="paragraph" w:customStyle="1" w:styleId="15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6">
    <w:name w:val="Char Char Char Char Char Char Char1"/>
    <w:basedOn w:val="1"/>
    <w:qFormat/>
    <w:uiPriority w:val="0"/>
  </w:style>
  <w:style w:type="paragraph" w:customStyle="1" w:styleId="157">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158">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59">
    <w:name w:val="F2"/>
    <w:basedOn w:val="1"/>
    <w:qFormat/>
    <w:uiPriority w:val="0"/>
    <w:pPr>
      <w:autoSpaceDE w:val="0"/>
      <w:autoSpaceDN w:val="0"/>
      <w:adjustRightInd w:val="0"/>
      <w:ind w:firstLine="601"/>
      <w:textAlignment w:val="baseline"/>
    </w:pPr>
    <w:rPr>
      <w:kern w:val="0"/>
      <w:sz w:val="24"/>
      <w:szCs w:val="20"/>
    </w:rPr>
  </w:style>
  <w:style w:type="paragraph" w:customStyle="1" w:styleId="160">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61">
    <w:name w:val="tgt1"/>
    <w:basedOn w:val="1"/>
    <w:qFormat/>
    <w:uiPriority w:val="0"/>
    <w:pPr>
      <w:widowControl/>
      <w:spacing w:after="150"/>
      <w:jc w:val="left"/>
    </w:pPr>
    <w:rPr>
      <w:rFonts w:ascii="宋体" w:hAnsi="宋体" w:cs="宋体"/>
      <w:kern w:val="0"/>
      <w:sz w:val="24"/>
    </w:rPr>
  </w:style>
  <w:style w:type="paragraph" w:customStyle="1" w:styleId="162">
    <w:name w:val="正文段"/>
    <w:basedOn w:val="1"/>
    <w:qFormat/>
    <w:uiPriority w:val="0"/>
    <w:pPr>
      <w:widowControl/>
      <w:snapToGrid w:val="0"/>
      <w:spacing w:after="156" w:afterLines="50"/>
      <w:ind w:firstLine="200" w:firstLineChars="200"/>
    </w:pPr>
    <w:rPr>
      <w:kern w:val="0"/>
      <w:sz w:val="24"/>
      <w:szCs w:val="20"/>
    </w:rPr>
  </w:style>
  <w:style w:type="paragraph" w:customStyle="1" w:styleId="163">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164">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5">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6">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7">
    <w:name w:val="444"/>
    <w:basedOn w:val="1"/>
    <w:qFormat/>
    <w:uiPriority w:val="0"/>
    <w:pPr>
      <w:adjustRightInd w:val="0"/>
      <w:spacing w:line="312" w:lineRule="atLeast"/>
      <w:jc w:val="center"/>
      <w:textAlignment w:val="baseline"/>
    </w:pPr>
    <w:rPr>
      <w:b/>
      <w:kern w:val="0"/>
      <w:sz w:val="36"/>
      <w:szCs w:val="36"/>
    </w:rPr>
  </w:style>
  <w:style w:type="paragraph" w:customStyle="1" w:styleId="168">
    <w:name w:val="Table Paragraph"/>
    <w:basedOn w:val="1"/>
    <w:qFormat/>
    <w:uiPriority w:val="1"/>
    <w:pPr>
      <w:autoSpaceDE w:val="0"/>
      <w:autoSpaceDN w:val="0"/>
      <w:adjustRightInd w:val="0"/>
      <w:jc w:val="left"/>
    </w:pPr>
    <w:rPr>
      <w:kern w:val="0"/>
      <w:sz w:val="24"/>
    </w:rPr>
  </w:style>
  <w:style w:type="character" w:customStyle="1" w:styleId="169">
    <w:name w:val="fd"/>
    <w:qFormat/>
    <w:uiPriority w:val="0"/>
  </w:style>
  <w:style w:type="paragraph" w:customStyle="1" w:styleId="170">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71">
    <w:name w:val="批注文字 字符1"/>
    <w:qFormat/>
    <w:uiPriority w:val="0"/>
    <w:rPr>
      <w:kern w:val="2"/>
      <w:sz w:val="21"/>
      <w:szCs w:val="24"/>
    </w:rPr>
  </w:style>
  <w:style w:type="character" w:customStyle="1" w:styleId="172">
    <w:name w:val="_Style 169"/>
    <w:unhideWhenUsed/>
    <w:qFormat/>
    <w:uiPriority w:val="99"/>
    <w:rPr>
      <w:color w:val="605E5C"/>
      <w:shd w:val="clear" w:color="auto" w:fill="E1DFDD"/>
    </w:rPr>
  </w:style>
  <w:style w:type="character" w:customStyle="1" w:styleId="173">
    <w:name w:val="纯文本 字符1"/>
    <w:qFormat/>
    <w:uiPriority w:val="99"/>
    <w:rPr>
      <w:rFonts w:ascii="宋体" w:hAnsi="Courier New" w:eastAsia="宋体" w:cs="Courier New"/>
      <w:kern w:val="2"/>
      <w:sz w:val="21"/>
      <w:szCs w:val="21"/>
      <w:lang w:val="en-US" w:eastAsia="zh-CN" w:bidi="ar-SA"/>
    </w:rPr>
  </w:style>
  <w:style w:type="character" w:customStyle="1" w:styleId="174">
    <w:name w:val="正文文本 字符1"/>
    <w:qFormat/>
    <w:uiPriority w:val="99"/>
    <w:rPr>
      <w:kern w:val="2"/>
      <w:sz w:val="24"/>
      <w:szCs w:val="24"/>
    </w:rPr>
  </w:style>
  <w:style w:type="paragraph" w:customStyle="1" w:styleId="175">
    <w:name w:val="正文-2字符首行缩进"/>
    <w:basedOn w:val="1"/>
    <w:link w:val="176"/>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6">
    <w:name w:val="正文-2字符首行缩进 Char"/>
    <w:link w:val="175"/>
    <w:qFormat/>
    <w:uiPriority w:val="0"/>
    <w:rPr>
      <w:rFonts w:ascii="仿宋_GB2312" w:hAnsi="Calibri" w:eastAsia="仿宋_GB2312"/>
      <w:sz w:val="28"/>
      <w:szCs w:val="22"/>
    </w:rPr>
  </w:style>
  <w:style w:type="paragraph" w:customStyle="1" w:styleId="177">
    <w:name w:val="列出段落1"/>
    <w:basedOn w:val="1"/>
    <w:qFormat/>
    <w:uiPriority w:val="99"/>
    <w:pPr>
      <w:ind w:firstLine="420" w:firstLineChars="200"/>
    </w:pPr>
    <w:rPr>
      <w:rFonts w:ascii="等线" w:hAnsi="等线" w:eastAsia="等线"/>
    </w:rPr>
  </w:style>
  <w:style w:type="character" w:customStyle="1" w:styleId="178">
    <w:name w:val="正文文本 字符"/>
    <w:qFormat/>
    <w:uiPriority w:val="99"/>
    <w:rPr>
      <w:kern w:val="2"/>
      <w:sz w:val="24"/>
      <w:szCs w:val="24"/>
    </w:rPr>
  </w:style>
  <w:style w:type="character" w:customStyle="1" w:styleId="179">
    <w:name w:val="纯文本 字符"/>
    <w:qFormat/>
    <w:uiPriority w:val="99"/>
    <w:rPr>
      <w:rFonts w:ascii="宋体" w:hAnsi="Courier New" w:eastAsia="宋体" w:cs="Courier New"/>
      <w:kern w:val="2"/>
      <w:sz w:val="21"/>
      <w:szCs w:val="21"/>
      <w:lang w:val="en-US" w:eastAsia="zh-CN" w:bidi="ar-SA"/>
    </w:rPr>
  </w:style>
  <w:style w:type="paragraph" w:customStyle="1" w:styleId="180">
    <w:name w:val="正文1"/>
    <w:qFormat/>
    <w:uiPriority w:val="0"/>
    <w:pPr>
      <w:widowControl w:val="0"/>
      <w:jc w:val="both"/>
    </w:pPr>
    <w:rPr>
      <w:rFonts w:ascii="Calibri" w:hAnsi="Calibri" w:eastAsia="新宋体" w:cs="Times New Roman"/>
      <w:kern w:val="2"/>
      <w:sz w:val="21"/>
      <w:szCs w:val="24"/>
      <w:lang w:val="en-US" w:eastAsia="zh-CN" w:bidi="hi-IN"/>
    </w:rPr>
  </w:style>
  <w:style w:type="paragraph" w:customStyle="1" w:styleId="181">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8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A8107-E838-4F58-997A-92F7D9C7525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13813</Words>
  <Characters>15419</Characters>
  <Lines>397</Lines>
  <Paragraphs>111</Paragraphs>
  <TotalTime>73</TotalTime>
  <ScaleCrop>false</ScaleCrop>
  <LinksUpToDate>false</LinksUpToDate>
  <CharactersWithSpaces>15572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2020-09-16T09:23:00Z</dcterms:created>
  <dc:creator>微软用户</dc:creator>
  <cp:lastModifiedBy>admin</cp:lastModifiedBy>
  <cp:lastPrinted>2016-03-24T07:52:00Z</cp:lastPrinted>
  <dcterms:modified xsi:type="dcterms:W3CDTF">2026-07-21T09:35:37Z</dcterms:modified>
  <dc:title>桂财采〔2009〕 号</dc:title>
  <cp:revision>275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eyJoZGlkIjoiNTZlMzdlMTY3NDA3NDgzMmMwYjVjMDZiNjFlNWI5MTIiLCJ1c2VySWQiOiIxMDg2Nzc2Mzg1In0=</vt:lpwstr>
  </property>
  <property fmtid="{D5CDD505-2E9C-101B-9397-08002B2CF9AE}" pid="14" name="ICV">
    <vt:lpwstr>70EF75DC40464AC4A421A68C55E27E73_13</vt:lpwstr>
  </property>
</Properties>
</file>