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11.odttf" ContentType="application/vnd.openxmlformats-officedocument.obfuscatedFont"/>
  <Override PartName="/word/fonts/font12.odttf" ContentType="application/vnd.openxmlformats-officedocument.obfuscatedFont"/>
  <Override PartName="/word/fonts/font13.odttf" ContentType="application/vnd.openxmlformats-officedocument.obfuscatedFont"/>
  <Override PartName="/word/fonts/font14.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6732A72">
      <w:pPr>
        <w:jc w:val="center"/>
        <w:rPr>
          <w:rFonts w:hint="eastAsia" w:eastAsia="宋体"/>
          <w:lang w:eastAsia="zh-CN"/>
        </w:rPr>
      </w:pPr>
      <w:r>
        <w:rPr>
          <w:rFonts w:hint="eastAsia" w:eastAsia="宋体"/>
          <w:lang w:eastAsia="zh-CN"/>
        </w:rPr>
        <w:drawing>
          <wp:inline distT="0" distB="0" distL="114300" distR="114300">
            <wp:extent cx="6106795" cy="8639175"/>
            <wp:effectExtent l="0" t="0" r="8255" b="9525"/>
            <wp:docPr id="8" name="图片 8" descr="招标文件_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招标文件_1"/>
                    <pic:cNvPicPr>
                      <a:picLocks noChangeAspect="1"/>
                    </pic:cNvPicPr>
                  </pic:nvPicPr>
                  <pic:blipFill>
                    <a:blip r:embed="rId27"/>
                    <a:stretch>
                      <a:fillRect/>
                    </a:stretch>
                  </pic:blipFill>
                  <pic:spPr>
                    <a:xfrm>
                      <a:off x="0" y="0"/>
                      <a:ext cx="6106795" cy="8639175"/>
                    </a:xfrm>
                    <a:prstGeom prst="rect">
                      <a:avLst/>
                    </a:prstGeom>
                  </pic:spPr>
                </pic:pic>
              </a:graphicData>
            </a:graphic>
          </wp:inline>
        </w:drawing>
      </w:r>
    </w:p>
    <w:p w14:paraId="110AE8D8">
      <w:pPr>
        <w:jc w:val="center"/>
      </w:pPr>
    </w:p>
    <w:p w14:paraId="55373CF0">
      <w:pPr>
        <w:spacing w:before="165" w:beforeLines="50" w:line="360" w:lineRule="auto"/>
        <w:jc w:val="center"/>
        <w:rPr>
          <w:rFonts w:ascii="宋体" w:hAnsi="宋体" w:cs="宋体"/>
          <w:sz w:val="52"/>
          <w:szCs w:val="52"/>
        </w:rPr>
      </w:pPr>
      <w:r>
        <w:rPr>
          <w:rFonts w:hint="eastAsia" w:ascii="宋体" w:hAnsi="宋体" w:cs="宋体"/>
          <w:sz w:val="52"/>
          <w:szCs w:val="52"/>
        </w:rPr>
        <w:t>南宁市政府采购</w:t>
      </w:r>
    </w:p>
    <w:p w14:paraId="3180D2BE">
      <w:pPr>
        <w:spacing w:before="165" w:beforeLines="50" w:line="360" w:lineRule="auto"/>
        <w:jc w:val="center"/>
        <w:rPr>
          <w:rFonts w:ascii="宋体" w:hAnsi="宋体" w:cs="宋体"/>
          <w:sz w:val="52"/>
          <w:szCs w:val="52"/>
        </w:rPr>
      </w:pPr>
    </w:p>
    <w:p w14:paraId="53B834A2">
      <w:pPr>
        <w:spacing w:before="165" w:beforeLines="50" w:line="360" w:lineRule="auto"/>
        <w:jc w:val="center"/>
        <w:rPr>
          <w:rFonts w:ascii="宋体" w:hAnsi="宋体" w:cs="宋体"/>
          <w:b/>
          <w:sz w:val="48"/>
          <w:szCs w:val="48"/>
        </w:rPr>
      </w:pPr>
      <w:r>
        <w:rPr>
          <w:rFonts w:hint="eastAsia" w:ascii="宋体" w:hAnsi="宋体" w:cs="宋体"/>
          <w:sz w:val="52"/>
          <w:szCs w:val="52"/>
        </w:rPr>
        <w:t>公开招标文件（服务类）</w:t>
      </w:r>
    </w:p>
    <w:p w14:paraId="520C97B8">
      <w:pPr>
        <w:spacing w:before="165" w:beforeLines="50" w:line="360" w:lineRule="auto"/>
        <w:jc w:val="center"/>
        <w:rPr>
          <w:rFonts w:ascii="宋体" w:hAnsi="宋体" w:cs="宋体"/>
          <w:b/>
          <w:sz w:val="48"/>
          <w:szCs w:val="48"/>
        </w:rPr>
      </w:pPr>
    </w:p>
    <w:p w14:paraId="35F7FF1B">
      <w:pPr>
        <w:snapToGrid w:val="0"/>
        <w:spacing w:before="165" w:beforeLines="50" w:line="360" w:lineRule="auto"/>
        <w:jc w:val="center"/>
        <w:rPr>
          <w:rFonts w:ascii="宋体" w:hAnsi="宋体" w:cs="宋体"/>
          <w:sz w:val="72"/>
          <w:szCs w:val="72"/>
        </w:rPr>
      </w:pPr>
      <w:r>
        <w:rPr>
          <w:rFonts w:hint="eastAsia" w:ascii="宋体" w:hAnsi="宋体" w:cs="宋体"/>
          <w:sz w:val="72"/>
          <w:szCs w:val="72"/>
        </w:rPr>
        <w:t>招 标 文 件</w:t>
      </w:r>
    </w:p>
    <w:p w14:paraId="5354F1F5">
      <w:pPr>
        <w:snapToGrid w:val="0"/>
        <w:spacing w:before="165" w:beforeLines="50" w:line="360" w:lineRule="auto"/>
        <w:jc w:val="center"/>
        <w:rPr>
          <w:rFonts w:ascii="宋体" w:hAnsi="宋体" w:cs="宋体"/>
          <w:sz w:val="30"/>
          <w:szCs w:val="72"/>
        </w:rPr>
      </w:pPr>
      <w:r>
        <w:rPr>
          <w:rFonts w:hint="eastAsia" w:ascii="宋体" w:hAnsi="宋体" w:cs="宋体"/>
          <w:sz w:val="30"/>
          <w:szCs w:val="72"/>
        </w:rPr>
        <w:t>（全流程电子化评标）</w:t>
      </w:r>
    </w:p>
    <w:p w14:paraId="3AE532AB">
      <w:pPr>
        <w:snapToGrid w:val="0"/>
        <w:spacing w:before="165" w:beforeLines="50" w:line="360" w:lineRule="auto"/>
        <w:rPr>
          <w:rFonts w:ascii="宋体" w:hAnsi="宋体" w:cs="宋体"/>
          <w:sz w:val="30"/>
          <w:szCs w:val="72"/>
        </w:rPr>
      </w:pPr>
    </w:p>
    <w:p w14:paraId="33ED7151">
      <w:pPr>
        <w:snapToGrid w:val="0"/>
        <w:spacing w:before="50" w:after="120" w:line="360" w:lineRule="auto"/>
        <w:ind w:right="989" w:rightChars="471" w:firstLine="602" w:firstLineChars="200"/>
        <w:rPr>
          <w:rFonts w:ascii="宋体" w:hAnsi="宋体" w:cs="宋体"/>
          <w:b/>
          <w:bCs/>
          <w:sz w:val="30"/>
          <w:szCs w:val="30"/>
        </w:rPr>
      </w:pPr>
      <w:r>
        <w:rPr>
          <w:rFonts w:hint="eastAsia" w:ascii="宋体" w:hAnsi="宋体" w:cs="宋体"/>
          <w:b/>
          <w:bCs/>
          <w:sz w:val="30"/>
          <w:szCs w:val="30"/>
        </w:rPr>
        <w:t>项目</w:t>
      </w:r>
      <w:r>
        <w:rPr>
          <w:rFonts w:hint="eastAsia" w:ascii="宋体" w:hAnsi="宋体" w:cs="宋体"/>
          <w:b/>
          <w:bCs/>
          <w:w w:val="95"/>
          <w:sz w:val="30"/>
          <w:szCs w:val="30"/>
        </w:rPr>
        <w:t>名称</w:t>
      </w:r>
      <w:r>
        <w:rPr>
          <w:rFonts w:hint="eastAsia" w:ascii="宋体" w:hAnsi="宋体" w:cs="宋体"/>
          <w:b/>
          <w:bCs/>
          <w:sz w:val="30"/>
          <w:szCs w:val="30"/>
        </w:rPr>
        <w:t>：南宁市村庄规划审查及乡镇规划数据规整入库项目</w:t>
      </w:r>
    </w:p>
    <w:p w14:paraId="35BBA646">
      <w:pPr>
        <w:snapToGrid w:val="0"/>
        <w:spacing w:before="165" w:beforeLines="50" w:line="360" w:lineRule="auto"/>
        <w:ind w:firstLine="602" w:firstLineChars="200"/>
        <w:rPr>
          <w:rFonts w:ascii="宋体" w:hAnsi="宋体" w:cs="宋体"/>
          <w:b/>
          <w:bCs/>
          <w:sz w:val="30"/>
          <w:szCs w:val="30"/>
        </w:rPr>
      </w:pPr>
      <w:r>
        <w:rPr>
          <w:rFonts w:hint="eastAsia" w:ascii="宋体" w:hAnsi="宋体" w:cs="宋体"/>
          <w:b/>
          <w:bCs/>
          <w:sz w:val="30"/>
          <w:szCs w:val="30"/>
        </w:rPr>
        <w:t>项目编号：NNZC2026-G3-990600-JDZB</w:t>
      </w:r>
    </w:p>
    <w:p w14:paraId="34D64BD8">
      <w:pPr>
        <w:snapToGrid w:val="0"/>
        <w:spacing w:before="165" w:beforeLines="50" w:line="360" w:lineRule="auto"/>
        <w:ind w:firstLine="602" w:firstLineChars="200"/>
        <w:rPr>
          <w:rFonts w:ascii="宋体" w:hAnsi="宋体" w:cs="宋体"/>
          <w:b/>
          <w:bCs/>
          <w:sz w:val="30"/>
          <w:szCs w:val="30"/>
        </w:rPr>
      </w:pPr>
      <w:r>
        <w:rPr>
          <w:rFonts w:hint="eastAsia" w:ascii="宋体" w:hAnsi="宋体" w:cs="宋体"/>
          <w:b/>
          <w:bCs/>
          <w:sz w:val="30"/>
          <w:szCs w:val="30"/>
        </w:rPr>
        <w:t>所属行政区划：南宁市市本级</w:t>
      </w:r>
    </w:p>
    <w:p w14:paraId="07EBAB16">
      <w:pPr>
        <w:snapToGrid w:val="0"/>
        <w:spacing w:before="50" w:after="120" w:line="360" w:lineRule="auto"/>
        <w:ind w:firstLine="602" w:firstLineChars="200"/>
        <w:jc w:val="left"/>
        <w:rPr>
          <w:rFonts w:ascii="宋体" w:hAnsi="宋体" w:cs="宋体"/>
          <w:b/>
          <w:bCs/>
          <w:sz w:val="30"/>
          <w:szCs w:val="30"/>
        </w:rPr>
      </w:pPr>
      <w:r>
        <w:rPr>
          <w:rFonts w:hint="eastAsia" w:ascii="宋体" w:hAnsi="宋体" w:cs="宋体"/>
          <w:b/>
          <w:bCs/>
          <w:sz w:val="30"/>
          <w:szCs w:val="30"/>
        </w:rPr>
        <w:t xml:space="preserve">采 购 人：南宁市自然资源局  </w:t>
      </w:r>
    </w:p>
    <w:p w14:paraId="3B11479B">
      <w:pPr>
        <w:snapToGrid w:val="0"/>
        <w:spacing w:before="50" w:after="120" w:line="360" w:lineRule="auto"/>
        <w:ind w:firstLine="602" w:firstLineChars="200"/>
        <w:rPr>
          <w:rFonts w:ascii="宋体" w:hAnsi="宋体" w:cs="宋体"/>
          <w:b/>
          <w:bCs/>
          <w:sz w:val="30"/>
          <w:szCs w:val="30"/>
        </w:rPr>
      </w:pPr>
      <w:r>
        <w:rPr>
          <w:rFonts w:hint="eastAsia" w:ascii="宋体" w:hAnsi="宋体" w:cs="宋体"/>
          <w:b/>
          <w:bCs/>
          <w:sz w:val="30"/>
          <w:szCs w:val="30"/>
        </w:rPr>
        <w:t>采购代理机构：</w:t>
      </w:r>
      <w:bookmarkStart w:id="0" w:name="_Hlk165196975"/>
      <w:r>
        <w:rPr>
          <w:rFonts w:hint="eastAsia" w:ascii="宋体" w:hAnsi="宋体" w:cs="宋体"/>
          <w:b/>
          <w:bCs/>
          <w:sz w:val="30"/>
          <w:szCs w:val="30"/>
        </w:rPr>
        <w:t>广西机电设备招标有限公司</w:t>
      </w:r>
      <w:bookmarkEnd w:id="0"/>
    </w:p>
    <w:p w14:paraId="5C905294">
      <w:pPr>
        <w:snapToGrid w:val="0"/>
        <w:spacing w:before="50" w:after="120" w:line="360" w:lineRule="auto"/>
        <w:ind w:firstLine="841" w:firstLineChars="294"/>
        <w:rPr>
          <w:rFonts w:ascii="宋体" w:hAnsi="宋体" w:cs="宋体"/>
          <w:b/>
          <w:bCs/>
          <w:w w:val="95"/>
          <w:sz w:val="30"/>
          <w:szCs w:val="30"/>
        </w:rPr>
      </w:pPr>
    </w:p>
    <w:p w14:paraId="6D074F3B">
      <w:pPr>
        <w:jc w:val="center"/>
        <w:rPr>
          <w:b/>
          <w:color w:val="auto"/>
          <w:sz w:val="48"/>
          <w:szCs w:val="48"/>
        </w:rPr>
      </w:pPr>
      <w:r>
        <w:rPr>
          <w:rFonts w:hint="eastAsia" w:ascii="宋体" w:hAnsi="宋体" w:cs="宋体"/>
          <w:b/>
          <w:bCs/>
          <w:color w:val="auto"/>
          <w:w w:val="95"/>
          <w:sz w:val="30"/>
          <w:szCs w:val="30"/>
        </w:rPr>
        <w:t>2026年07月</w:t>
      </w:r>
      <w:r>
        <w:rPr>
          <w:rFonts w:hint="eastAsia" w:ascii="宋体" w:hAnsi="宋体" w:cs="宋体"/>
          <w:b/>
          <w:bCs/>
          <w:color w:val="auto"/>
          <w:w w:val="95"/>
          <w:sz w:val="30"/>
          <w:szCs w:val="30"/>
          <w:lang w:val="en-US" w:eastAsia="zh-CN"/>
        </w:rPr>
        <w:t>23</w:t>
      </w:r>
      <w:r>
        <w:rPr>
          <w:rFonts w:hint="eastAsia" w:ascii="宋体" w:hAnsi="宋体" w:cs="宋体"/>
          <w:b/>
          <w:bCs/>
          <w:color w:val="auto"/>
          <w:w w:val="95"/>
          <w:sz w:val="30"/>
          <w:szCs w:val="30"/>
        </w:rPr>
        <w:t>日</w:t>
      </w:r>
    </w:p>
    <w:p w14:paraId="5C5B2BC9">
      <w:pPr>
        <w:rPr>
          <w:b/>
          <w:sz w:val="48"/>
          <w:szCs w:val="48"/>
        </w:rPr>
      </w:pPr>
      <w:r>
        <w:rPr>
          <w:b/>
          <w:sz w:val="48"/>
          <w:szCs w:val="48"/>
        </w:rPr>
        <w:br w:type="page"/>
      </w:r>
    </w:p>
    <w:p w14:paraId="155C2F3E">
      <w:pPr>
        <w:pStyle w:val="2"/>
      </w:pPr>
    </w:p>
    <w:p w14:paraId="3429FA3A">
      <w:pPr>
        <w:jc w:val="center"/>
        <w:rPr>
          <w:b/>
          <w:sz w:val="48"/>
          <w:szCs w:val="48"/>
        </w:rPr>
      </w:pPr>
      <w:r>
        <w:rPr>
          <w:rFonts w:hint="eastAsia"/>
          <w:b/>
          <w:sz w:val="48"/>
          <w:szCs w:val="48"/>
        </w:rPr>
        <w:t>目</w:t>
      </w:r>
      <w:r>
        <w:rPr>
          <w:b/>
          <w:sz w:val="48"/>
          <w:szCs w:val="48"/>
        </w:rPr>
        <w:t xml:space="preserve">     </w:t>
      </w:r>
      <w:r>
        <w:rPr>
          <w:rFonts w:hint="eastAsia"/>
          <w:b/>
          <w:sz w:val="48"/>
          <w:szCs w:val="48"/>
        </w:rPr>
        <w:t>录</w:t>
      </w:r>
    </w:p>
    <w:p w14:paraId="57CA957F">
      <w:pPr>
        <w:pStyle w:val="24"/>
        <w:tabs>
          <w:tab w:val="right" w:leader="dot" w:pos="9638"/>
        </w:tabs>
        <w:spacing w:before="0" w:after="0" w:line="480" w:lineRule="auto"/>
        <w:rPr>
          <w:rFonts w:ascii="宋体" w:hAnsi="宋体" w:cs="宋体"/>
          <w:sz w:val="28"/>
          <w:szCs w:val="28"/>
        </w:rPr>
      </w:pPr>
      <w:r>
        <w:rPr>
          <w:rFonts w:hint="eastAsia" w:ascii="宋体" w:hAnsi="宋体" w:cs="宋体"/>
          <w:sz w:val="28"/>
          <w:szCs w:val="28"/>
        </w:rPr>
        <w:fldChar w:fldCharType="begin"/>
      </w:r>
      <w:r>
        <w:rPr>
          <w:rFonts w:hint="eastAsia" w:ascii="宋体" w:hAnsi="宋体" w:cs="宋体"/>
          <w:sz w:val="28"/>
          <w:szCs w:val="28"/>
        </w:rPr>
        <w:instrText xml:space="preserve">TOC \o "1-1" \h \u </w:instrText>
      </w:r>
      <w:r>
        <w:rPr>
          <w:rFonts w:hint="eastAsia" w:ascii="宋体" w:hAnsi="宋体" w:cs="宋体"/>
          <w:sz w:val="28"/>
          <w:szCs w:val="28"/>
        </w:rPr>
        <w:fldChar w:fldCharType="separate"/>
      </w:r>
      <w:r>
        <w:fldChar w:fldCharType="begin"/>
      </w:r>
      <w:r>
        <w:instrText xml:space="preserve"> HYPERLINK \l "_Toc3114" </w:instrText>
      </w:r>
      <w:r>
        <w:fldChar w:fldCharType="separate"/>
      </w:r>
      <w:r>
        <w:rPr>
          <w:rFonts w:hint="eastAsia" w:ascii="宋体" w:hAnsi="宋体" w:cs="宋体"/>
          <w:sz w:val="28"/>
          <w:szCs w:val="28"/>
        </w:rPr>
        <w:t>第一章  招标公告</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_Toc3114 \h </w:instrText>
      </w:r>
      <w:r>
        <w:rPr>
          <w:rFonts w:hint="eastAsia" w:ascii="宋体" w:hAnsi="宋体" w:cs="宋体"/>
          <w:sz w:val="28"/>
          <w:szCs w:val="28"/>
        </w:rPr>
        <w:fldChar w:fldCharType="separate"/>
      </w:r>
      <w:r>
        <w:rPr>
          <w:rFonts w:hint="eastAsia" w:ascii="宋体" w:hAnsi="宋体" w:cs="宋体"/>
          <w:sz w:val="28"/>
          <w:szCs w:val="28"/>
        </w:rPr>
        <w:t>1</w:t>
      </w:r>
      <w:r>
        <w:rPr>
          <w:rFonts w:hint="eastAsia" w:ascii="宋体" w:hAnsi="宋体" w:cs="宋体"/>
          <w:sz w:val="28"/>
          <w:szCs w:val="28"/>
        </w:rPr>
        <w:fldChar w:fldCharType="end"/>
      </w:r>
      <w:r>
        <w:rPr>
          <w:rFonts w:hint="eastAsia" w:ascii="宋体" w:hAnsi="宋体" w:cs="宋体"/>
          <w:sz w:val="28"/>
          <w:szCs w:val="28"/>
        </w:rPr>
        <w:fldChar w:fldCharType="end"/>
      </w:r>
    </w:p>
    <w:p w14:paraId="52AA334D">
      <w:pPr>
        <w:pStyle w:val="24"/>
        <w:tabs>
          <w:tab w:val="right" w:leader="dot" w:pos="9638"/>
        </w:tabs>
        <w:spacing w:before="0" w:after="0" w:line="480" w:lineRule="auto"/>
        <w:rPr>
          <w:rFonts w:ascii="宋体" w:hAnsi="宋体" w:cs="宋体"/>
          <w:sz w:val="28"/>
          <w:szCs w:val="28"/>
        </w:rPr>
      </w:pPr>
      <w:r>
        <w:fldChar w:fldCharType="begin"/>
      </w:r>
      <w:r>
        <w:instrText xml:space="preserve"> HYPERLINK \l "_Toc285" </w:instrText>
      </w:r>
      <w:r>
        <w:fldChar w:fldCharType="separate"/>
      </w:r>
      <w:r>
        <w:rPr>
          <w:rFonts w:hint="eastAsia" w:ascii="宋体" w:hAnsi="宋体" w:cs="宋体"/>
          <w:sz w:val="28"/>
          <w:szCs w:val="28"/>
        </w:rPr>
        <w:t>第二章  采购需求</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_Toc285 \h </w:instrText>
      </w:r>
      <w:r>
        <w:rPr>
          <w:rFonts w:hint="eastAsia" w:ascii="宋体" w:hAnsi="宋体" w:cs="宋体"/>
          <w:sz w:val="28"/>
          <w:szCs w:val="28"/>
        </w:rPr>
        <w:fldChar w:fldCharType="separate"/>
      </w:r>
      <w:r>
        <w:rPr>
          <w:rFonts w:hint="eastAsia" w:ascii="宋体" w:hAnsi="宋体" w:cs="宋体"/>
          <w:sz w:val="28"/>
          <w:szCs w:val="28"/>
        </w:rPr>
        <w:t>5</w:t>
      </w:r>
      <w:r>
        <w:rPr>
          <w:rFonts w:hint="eastAsia" w:ascii="宋体" w:hAnsi="宋体" w:cs="宋体"/>
          <w:sz w:val="28"/>
          <w:szCs w:val="28"/>
        </w:rPr>
        <w:fldChar w:fldCharType="end"/>
      </w:r>
      <w:r>
        <w:rPr>
          <w:rFonts w:hint="eastAsia" w:ascii="宋体" w:hAnsi="宋体" w:cs="宋体"/>
          <w:sz w:val="28"/>
          <w:szCs w:val="28"/>
        </w:rPr>
        <w:fldChar w:fldCharType="end"/>
      </w:r>
    </w:p>
    <w:p w14:paraId="4C1ED5BC">
      <w:pPr>
        <w:pStyle w:val="24"/>
        <w:tabs>
          <w:tab w:val="right" w:leader="dot" w:pos="9638"/>
        </w:tabs>
        <w:spacing w:before="0" w:after="0" w:line="480" w:lineRule="auto"/>
        <w:rPr>
          <w:rFonts w:ascii="宋体" w:hAnsi="宋体" w:cs="宋体"/>
          <w:sz w:val="28"/>
          <w:szCs w:val="28"/>
        </w:rPr>
      </w:pPr>
      <w:r>
        <w:fldChar w:fldCharType="begin"/>
      </w:r>
      <w:r>
        <w:instrText xml:space="preserve"> HYPERLINK \l "_Toc16127" </w:instrText>
      </w:r>
      <w:r>
        <w:fldChar w:fldCharType="separate"/>
      </w:r>
      <w:r>
        <w:rPr>
          <w:rFonts w:hint="eastAsia" w:ascii="宋体" w:hAnsi="宋体" w:cs="宋体"/>
          <w:sz w:val="28"/>
          <w:szCs w:val="28"/>
        </w:rPr>
        <w:t>第三章  投标人须知</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_Toc16127 \h </w:instrText>
      </w:r>
      <w:r>
        <w:rPr>
          <w:rFonts w:hint="eastAsia" w:ascii="宋体" w:hAnsi="宋体" w:cs="宋体"/>
          <w:sz w:val="28"/>
          <w:szCs w:val="28"/>
        </w:rPr>
        <w:fldChar w:fldCharType="separate"/>
      </w:r>
      <w:r>
        <w:rPr>
          <w:rFonts w:hint="eastAsia" w:ascii="宋体" w:hAnsi="宋体" w:cs="宋体"/>
          <w:sz w:val="28"/>
          <w:szCs w:val="28"/>
        </w:rPr>
        <w:t>16</w:t>
      </w:r>
      <w:r>
        <w:rPr>
          <w:rFonts w:hint="eastAsia" w:ascii="宋体" w:hAnsi="宋体" w:cs="宋体"/>
          <w:sz w:val="28"/>
          <w:szCs w:val="28"/>
        </w:rPr>
        <w:fldChar w:fldCharType="end"/>
      </w:r>
      <w:r>
        <w:rPr>
          <w:rFonts w:hint="eastAsia" w:ascii="宋体" w:hAnsi="宋体" w:cs="宋体"/>
          <w:sz w:val="28"/>
          <w:szCs w:val="28"/>
        </w:rPr>
        <w:fldChar w:fldCharType="end"/>
      </w:r>
    </w:p>
    <w:p w14:paraId="5B3760B8">
      <w:pPr>
        <w:pStyle w:val="24"/>
        <w:tabs>
          <w:tab w:val="right" w:leader="dot" w:pos="9638"/>
        </w:tabs>
        <w:spacing w:before="0" w:after="0" w:line="480" w:lineRule="auto"/>
        <w:rPr>
          <w:rFonts w:ascii="宋体" w:hAnsi="宋体" w:cs="宋体"/>
          <w:sz w:val="28"/>
          <w:szCs w:val="28"/>
        </w:rPr>
      </w:pPr>
      <w:r>
        <w:fldChar w:fldCharType="begin"/>
      </w:r>
      <w:r>
        <w:instrText xml:space="preserve"> HYPERLINK \l "_Toc18648" </w:instrText>
      </w:r>
      <w:r>
        <w:fldChar w:fldCharType="separate"/>
      </w:r>
      <w:r>
        <w:rPr>
          <w:rFonts w:hint="eastAsia" w:ascii="宋体" w:hAnsi="宋体" w:cs="宋体"/>
          <w:sz w:val="28"/>
          <w:szCs w:val="28"/>
        </w:rPr>
        <w:t>第四章  评标方法及评分标准</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_Toc18648 \h </w:instrText>
      </w:r>
      <w:r>
        <w:rPr>
          <w:rFonts w:hint="eastAsia" w:ascii="宋体" w:hAnsi="宋体" w:cs="宋体"/>
          <w:sz w:val="28"/>
          <w:szCs w:val="28"/>
        </w:rPr>
        <w:fldChar w:fldCharType="separate"/>
      </w:r>
      <w:r>
        <w:rPr>
          <w:rFonts w:hint="eastAsia" w:ascii="宋体" w:hAnsi="宋体" w:cs="宋体"/>
          <w:sz w:val="28"/>
          <w:szCs w:val="28"/>
        </w:rPr>
        <w:t>38</w:t>
      </w:r>
      <w:r>
        <w:rPr>
          <w:rFonts w:hint="eastAsia" w:ascii="宋体" w:hAnsi="宋体" w:cs="宋体"/>
          <w:sz w:val="28"/>
          <w:szCs w:val="28"/>
        </w:rPr>
        <w:fldChar w:fldCharType="end"/>
      </w:r>
      <w:r>
        <w:rPr>
          <w:rFonts w:hint="eastAsia" w:ascii="宋体" w:hAnsi="宋体" w:cs="宋体"/>
          <w:sz w:val="28"/>
          <w:szCs w:val="28"/>
        </w:rPr>
        <w:fldChar w:fldCharType="end"/>
      </w:r>
    </w:p>
    <w:p w14:paraId="2A7E15D1">
      <w:pPr>
        <w:pStyle w:val="24"/>
        <w:tabs>
          <w:tab w:val="right" w:leader="dot" w:pos="9638"/>
        </w:tabs>
        <w:spacing w:before="0" w:after="0" w:line="480" w:lineRule="auto"/>
        <w:rPr>
          <w:rFonts w:ascii="宋体" w:hAnsi="宋体" w:cs="宋体"/>
          <w:sz w:val="28"/>
          <w:szCs w:val="28"/>
        </w:rPr>
      </w:pPr>
      <w:r>
        <w:fldChar w:fldCharType="begin"/>
      </w:r>
      <w:r>
        <w:instrText xml:space="preserve"> HYPERLINK \l "_Toc21439" </w:instrText>
      </w:r>
      <w:r>
        <w:fldChar w:fldCharType="separate"/>
      </w:r>
      <w:r>
        <w:rPr>
          <w:rFonts w:hint="eastAsia" w:ascii="宋体" w:hAnsi="宋体" w:cs="宋体"/>
          <w:sz w:val="28"/>
          <w:szCs w:val="28"/>
        </w:rPr>
        <w:t>第五章 拟签订的合同文本</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_Toc21439 \h </w:instrText>
      </w:r>
      <w:r>
        <w:rPr>
          <w:rFonts w:hint="eastAsia" w:ascii="宋体" w:hAnsi="宋体" w:cs="宋体"/>
          <w:sz w:val="28"/>
          <w:szCs w:val="28"/>
        </w:rPr>
        <w:fldChar w:fldCharType="separate"/>
      </w:r>
      <w:r>
        <w:rPr>
          <w:rFonts w:hint="eastAsia" w:ascii="宋体" w:hAnsi="宋体" w:cs="宋体"/>
          <w:sz w:val="28"/>
          <w:szCs w:val="28"/>
        </w:rPr>
        <w:t>47</w:t>
      </w:r>
      <w:r>
        <w:rPr>
          <w:rFonts w:hint="eastAsia" w:ascii="宋体" w:hAnsi="宋体" w:cs="宋体"/>
          <w:sz w:val="28"/>
          <w:szCs w:val="28"/>
        </w:rPr>
        <w:fldChar w:fldCharType="end"/>
      </w:r>
      <w:r>
        <w:rPr>
          <w:rFonts w:hint="eastAsia" w:ascii="宋体" w:hAnsi="宋体" w:cs="宋体"/>
          <w:sz w:val="28"/>
          <w:szCs w:val="28"/>
        </w:rPr>
        <w:fldChar w:fldCharType="end"/>
      </w:r>
    </w:p>
    <w:p w14:paraId="3D7AA727">
      <w:pPr>
        <w:pStyle w:val="24"/>
        <w:tabs>
          <w:tab w:val="right" w:leader="dot" w:pos="9638"/>
        </w:tabs>
        <w:spacing w:before="0" w:after="0" w:line="480" w:lineRule="auto"/>
        <w:rPr>
          <w:rFonts w:ascii="宋体" w:hAnsi="宋体" w:cs="宋体"/>
          <w:sz w:val="28"/>
          <w:szCs w:val="28"/>
        </w:rPr>
      </w:pPr>
      <w:r>
        <w:fldChar w:fldCharType="begin"/>
      </w:r>
      <w:r>
        <w:instrText xml:space="preserve"> HYPERLINK \l "_Toc8426" </w:instrText>
      </w:r>
      <w:r>
        <w:fldChar w:fldCharType="separate"/>
      </w:r>
      <w:r>
        <w:rPr>
          <w:rFonts w:hint="eastAsia" w:ascii="宋体" w:hAnsi="宋体" w:cs="宋体"/>
          <w:sz w:val="28"/>
          <w:szCs w:val="28"/>
        </w:rPr>
        <w:t>第六章 投标文件格式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_Toc8426 \h </w:instrText>
      </w:r>
      <w:r>
        <w:rPr>
          <w:rFonts w:hint="eastAsia" w:ascii="宋体" w:hAnsi="宋体" w:cs="宋体"/>
          <w:sz w:val="28"/>
          <w:szCs w:val="28"/>
        </w:rPr>
        <w:fldChar w:fldCharType="separate"/>
      </w:r>
      <w:r>
        <w:rPr>
          <w:rFonts w:hint="eastAsia" w:ascii="宋体" w:hAnsi="宋体" w:cs="宋体"/>
          <w:sz w:val="28"/>
          <w:szCs w:val="28"/>
        </w:rPr>
        <w:t>62</w:t>
      </w:r>
      <w:r>
        <w:rPr>
          <w:rFonts w:hint="eastAsia" w:ascii="宋体" w:hAnsi="宋体" w:cs="宋体"/>
          <w:sz w:val="28"/>
          <w:szCs w:val="28"/>
        </w:rPr>
        <w:fldChar w:fldCharType="end"/>
      </w:r>
      <w:r>
        <w:rPr>
          <w:rFonts w:hint="eastAsia" w:ascii="宋体" w:hAnsi="宋体" w:cs="宋体"/>
          <w:sz w:val="28"/>
          <w:szCs w:val="28"/>
        </w:rPr>
        <w:fldChar w:fldCharType="end"/>
      </w:r>
    </w:p>
    <w:p w14:paraId="0A86F1D2">
      <w:pPr>
        <w:pStyle w:val="24"/>
        <w:tabs>
          <w:tab w:val="right" w:leader="dot" w:pos="9638"/>
        </w:tabs>
        <w:spacing w:before="0" w:after="0" w:line="480" w:lineRule="auto"/>
        <w:rPr>
          <w:rFonts w:ascii="宋体" w:hAnsi="宋体" w:cs="宋体"/>
          <w:sz w:val="28"/>
          <w:szCs w:val="28"/>
        </w:rPr>
      </w:pPr>
      <w:r>
        <w:fldChar w:fldCharType="begin"/>
      </w:r>
      <w:r>
        <w:instrText xml:space="preserve"> HYPERLINK \l "_Toc31289" </w:instrText>
      </w:r>
      <w:r>
        <w:fldChar w:fldCharType="separate"/>
      </w:r>
      <w:r>
        <w:rPr>
          <w:rFonts w:hint="eastAsia" w:ascii="宋体" w:hAnsi="宋体" w:cs="宋体"/>
          <w:sz w:val="28"/>
          <w:szCs w:val="28"/>
        </w:rPr>
        <w:t>第七章 质疑、投诉证明材料格式</w:t>
      </w:r>
      <w:r>
        <w:rPr>
          <w:rFonts w:hint="eastAsia" w:ascii="宋体" w:hAnsi="宋体" w:cs="宋体"/>
          <w:sz w:val="28"/>
          <w:szCs w:val="28"/>
        </w:rPr>
        <w:tab/>
      </w:r>
      <w:r>
        <w:rPr>
          <w:rFonts w:hint="eastAsia" w:ascii="宋体" w:hAnsi="宋体" w:cs="宋体"/>
          <w:sz w:val="28"/>
          <w:szCs w:val="28"/>
        </w:rPr>
        <w:fldChar w:fldCharType="begin"/>
      </w:r>
      <w:r>
        <w:rPr>
          <w:rFonts w:hint="eastAsia" w:ascii="宋体" w:hAnsi="宋体" w:cs="宋体"/>
          <w:sz w:val="28"/>
          <w:szCs w:val="28"/>
        </w:rPr>
        <w:instrText xml:space="preserve"> PAGEREF _Toc31289 \h </w:instrText>
      </w:r>
      <w:r>
        <w:rPr>
          <w:rFonts w:hint="eastAsia" w:ascii="宋体" w:hAnsi="宋体" w:cs="宋体"/>
          <w:sz w:val="28"/>
          <w:szCs w:val="28"/>
        </w:rPr>
        <w:fldChar w:fldCharType="separate"/>
      </w:r>
      <w:r>
        <w:rPr>
          <w:rFonts w:hint="eastAsia" w:ascii="宋体" w:hAnsi="宋体" w:cs="宋体"/>
          <w:sz w:val="28"/>
          <w:szCs w:val="28"/>
        </w:rPr>
        <w:t>96</w:t>
      </w:r>
      <w:r>
        <w:rPr>
          <w:rFonts w:hint="eastAsia" w:ascii="宋体" w:hAnsi="宋体" w:cs="宋体"/>
          <w:sz w:val="28"/>
          <w:szCs w:val="28"/>
        </w:rPr>
        <w:fldChar w:fldCharType="end"/>
      </w:r>
      <w:r>
        <w:rPr>
          <w:rFonts w:hint="eastAsia" w:ascii="宋体" w:hAnsi="宋体" w:cs="宋体"/>
          <w:sz w:val="28"/>
          <w:szCs w:val="28"/>
        </w:rPr>
        <w:fldChar w:fldCharType="end"/>
      </w:r>
    </w:p>
    <w:p w14:paraId="3020DCE4">
      <w:pPr>
        <w:spacing w:line="480" w:lineRule="auto"/>
      </w:pPr>
      <w:r>
        <w:rPr>
          <w:rFonts w:hint="eastAsia" w:ascii="宋体" w:hAnsi="宋体" w:cs="宋体"/>
          <w:sz w:val="28"/>
          <w:szCs w:val="28"/>
        </w:rPr>
        <w:fldChar w:fldCharType="end"/>
      </w:r>
    </w:p>
    <w:p w14:paraId="47633B70"/>
    <w:p w14:paraId="4D7F12ED">
      <w:pPr>
        <w:jc w:val="center"/>
        <w:outlineLvl w:val="0"/>
        <w:rPr>
          <w:b/>
          <w:sz w:val="36"/>
        </w:rPr>
        <w:sectPr>
          <w:headerReference r:id="rId3" w:type="default"/>
          <w:footerReference r:id="rId4" w:type="default"/>
          <w:pgSz w:w="11906" w:h="16838"/>
          <w:pgMar w:top="1134" w:right="1134" w:bottom="1134" w:left="1134" w:header="720" w:footer="720" w:gutter="0"/>
          <w:pgNumType w:start="1"/>
          <w:cols w:space="720" w:num="1"/>
          <w:docGrid w:type="lines" w:linePitch="331" w:charSpace="0"/>
        </w:sectPr>
      </w:pPr>
      <w:bookmarkStart w:id="96" w:name="_GoBack"/>
      <w:bookmarkEnd w:id="96"/>
    </w:p>
    <w:p w14:paraId="47A6E6AA">
      <w:pPr>
        <w:jc w:val="center"/>
        <w:outlineLvl w:val="0"/>
        <w:rPr>
          <w:rFonts w:hAnsi="宋体"/>
          <w:b/>
          <w:sz w:val="36"/>
          <w:szCs w:val="36"/>
        </w:rPr>
      </w:pPr>
      <w:bookmarkStart w:id="1" w:name="_Toc7388"/>
      <w:bookmarkStart w:id="2" w:name="_Toc3114"/>
      <w:r>
        <w:rPr>
          <w:rFonts w:hint="eastAsia"/>
          <w:b/>
          <w:sz w:val="36"/>
        </w:rPr>
        <w:t>第一章</w:t>
      </w:r>
      <w:r>
        <w:rPr>
          <w:b/>
          <w:sz w:val="36"/>
        </w:rPr>
        <w:t xml:space="preserve">  </w:t>
      </w:r>
      <w:r>
        <w:rPr>
          <w:rFonts w:hint="eastAsia"/>
          <w:b/>
          <w:sz w:val="36"/>
        </w:rPr>
        <w:t>招标公告</w:t>
      </w:r>
      <w:bookmarkEnd w:id="1"/>
      <w:bookmarkEnd w:id="2"/>
    </w:p>
    <w:p w14:paraId="136AC553">
      <w:pPr>
        <w:jc w:val="center"/>
        <w:rPr>
          <w:b/>
          <w:sz w:val="30"/>
          <w:szCs w:val="30"/>
        </w:rPr>
      </w:pPr>
      <w:r>
        <w:rPr>
          <w:rFonts w:hint="eastAsia" w:ascii="宋体" w:hAnsi="宋体" w:cs="宋体"/>
          <w:b/>
          <w:sz w:val="30"/>
          <w:szCs w:val="30"/>
        </w:rPr>
        <w:t>广西机电设备招标有限公司关于</w:t>
      </w:r>
      <w:r>
        <w:rPr>
          <w:rFonts w:hint="eastAsia" w:ascii="宋体" w:hAnsi="宋体" w:cs="宋体"/>
          <w:b/>
          <w:bCs/>
          <w:sz w:val="30"/>
          <w:szCs w:val="30"/>
        </w:rPr>
        <w:t>南宁市村庄规划审查及乡镇规划数据规整入库项目</w:t>
      </w:r>
      <w:r>
        <w:rPr>
          <w:rFonts w:hint="eastAsia" w:ascii="宋体" w:hAnsi="宋体" w:cs="宋体"/>
          <w:b/>
          <w:color w:val="000000" w:themeColor="text1"/>
          <w:sz w:val="30"/>
          <w:szCs w:val="30"/>
          <w14:textFill>
            <w14:solidFill>
              <w14:schemeClr w14:val="tx1"/>
            </w14:solidFill>
          </w14:textFill>
        </w:rPr>
        <w:t>（NNZC2026-G3-990600-JDZB）</w:t>
      </w:r>
      <w:r>
        <w:rPr>
          <w:rFonts w:hint="eastAsia" w:ascii="宋体" w:hAnsi="宋体" w:cs="宋体"/>
          <w:b/>
          <w:sz w:val="30"/>
          <w:szCs w:val="30"/>
        </w:rPr>
        <w:t>公开招标公告</w:t>
      </w:r>
    </w:p>
    <w:p w14:paraId="39145EE0">
      <w:pPr>
        <w:pBdr>
          <w:top w:val="single" w:color="auto" w:sz="4" w:space="1"/>
          <w:left w:val="single" w:color="auto" w:sz="4" w:space="4"/>
          <w:bottom w:val="single" w:color="auto" w:sz="4" w:space="1"/>
          <w:right w:val="single" w:color="auto" w:sz="4" w:space="4"/>
        </w:pBdr>
        <w:spacing w:line="400" w:lineRule="exact"/>
        <w:ind w:firstLine="420" w:firstLineChars="200"/>
        <w:rPr>
          <w:rFonts w:ascii="宋体" w:hAnsi="宋体" w:cs="宋体"/>
          <w:szCs w:val="21"/>
        </w:rPr>
      </w:pPr>
      <w:r>
        <w:rPr>
          <w:rFonts w:hint="eastAsia" w:ascii="宋体" w:hAnsi="宋体" w:cs="宋体"/>
          <w:szCs w:val="21"/>
        </w:rPr>
        <w:t>项目概况</w:t>
      </w:r>
    </w:p>
    <w:p w14:paraId="5B48E160">
      <w:pPr>
        <w:pBdr>
          <w:top w:val="single" w:color="auto" w:sz="4" w:space="1"/>
          <w:left w:val="single" w:color="auto" w:sz="4" w:space="4"/>
          <w:bottom w:val="single" w:color="auto" w:sz="4" w:space="1"/>
          <w:right w:val="single" w:color="auto" w:sz="4" w:space="4"/>
        </w:pBdr>
        <w:spacing w:line="400" w:lineRule="exact"/>
        <w:ind w:firstLine="735" w:firstLineChars="350"/>
        <w:rPr>
          <w:rFonts w:ascii="宋体" w:hAnsi="宋体" w:cs="宋体"/>
          <w:szCs w:val="21"/>
          <w:highlight w:val="none"/>
          <w:u w:val="single"/>
        </w:rPr>
      </w:pPr>
      <w:r>
        <w:rPr>
          <w:rFonts w:hint="eastAsia" w:ascii="宋体" w:hAnsi="宋体" w:cs="宋体"/>
          <w:szCs w:val="21"/>
          <w:u w:val="single"/>
        </w:rPr>
        <w:t>南宁市村庄规划审查及乡镇规划数据规整入库项目</w:t>
      </w:r>
      <w:r>
        <w:rPr>
          <w:rFonts w:hint="eastAsia" w:ascii="宋体" w:hAnsi="宋体" w:cs="宋体"/>
          <w:szCs w:val="21"/>
        </w:rPr>
        <w:t>招标项目的潜在投标人应在“广西政府采购云平台”（https://www.gcy.zfcg.gxzf.gov.cn/）获取（下载）招标文件，并</w:t>
      </w:r>
      <w:r>
        <w:rPr>
          <w:rFonts w:hint="eastAsia" w:ascii="宋体" w:hAnsi="宋体" w:cs="宋体"/>
          <w:color w:val="000000" w:themeColor="text1"/>
          <w:szCs w:val="21"/>
          <w14:textFill>
            <w14:solidFill>
              <w14:schemeClr w14:val="tx1"/>
            </w14:solidFill>
          </w14:textFill>
        </w:rPr>
        <w:t>于</w:t>
      </w:r>
      <w:r>
        <w:rPr>
          <w:rFonts w:hint="eastAsia" w:ascii="宋体" w:hAnsi="宋体" w:cs="宋体"/>
          <w:color w:val="000000" w:themeColor="text1"/>
          <w:szCs w:val="21"/>
          <w:highlight w:val="none"/>
          <w:u w:val="single"/>
          <w14:textFill>
            <w14:solidFill>
              <w14:schemeClr w14:val="tx1"/>
            </w14:solidFill>
          </w14:textFill>
        </w:rPr>
        <w:t>2026年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cs="宋体"/>
          <w:color w:val="000000" w:themeColor="text1"/>
          <w:szCs w:val="21"/>
          <w:highlight w:val="none"/>
          <w:u w:val="single"/>
          <w14:textFill>
            <w14:solidFill>
              <w14:schemeClr w14:val="tx1"/>
            </w14:solidFill>
          </w14:textFill>
        </w:rPr>
        <w:t>日09</w:t>
      </w:r>
      <w:r>
        <w:rPr>
          <w:rFonts w:hint="eastAsia" w:ascii="宋体" w:hAnsi="宋体" w:cs="宋体"/>
          <w:bCs/>
          <w:color w:val="000000" w:themeColor="text1"/>
          <w:szCs w:val="21"/>
          <w:highlight w:val="none"/>
          <w:u w:val="single"/>
          <w14:textFill>
            <w14:solidFill>
              <w14:schemeClr w14:val="tx1"/>
            </w14:solidFill>
          </w14:textFill>
        </w:rPr>
        <w:t>时30分00秒</w:t>
      </w:r>
      <w:r>
        <w:rPr>
          <w:rFonts w:hint="eastAsia" w:ascii="宋体" w:hAnsi="宋体" w:cs="宋体"/>
          <w:bCs/>
          <w:color w:val="000000" w:themeColor="text1"/>
          <w:szCs w:val="21"/>
          <w:highlight w:val="none"/>
          <w14:textFill>
            <w14:solidFill>
              <w14:schemeClr w14:val="tx1"/>
            </w14:solidFill>
          </w14:textFill>
        </w:rPr>
        <w:t>（北京时间）前</w:t>
      </w:r>
      <w:r>
        <w:rPr>
          <w:rFonts w:hint="eastAsia" w:ascii="宋体" w:hAnsi="宋体" w:cs="宋体"/>
          <w:color w:val="000000" w:themeColor="text1"/>
          <w:szCs w:val="21"/>
          <w:highlight w:val="none"/>
          <w14:textFill>
            <w14:solidFill>
              <w14:schemeClr w14:val="tx1"/>
            </w14:solidFill>
          </w14:textFill>
        </w:rPr>
        <w:t>递交（上传）投标文件。</w:t>
      </w:r>
    </w:p>
    <w:p w14:paraId="73AD25FA">
      <w:pPr>
        <w:spacing w:line="400" w:lineRule="exact"/>
        <w:rPr>
          <w:rFonts w:ascii="黑体" w:hAnsi="黑体" w:eastAsia="黑体"/>
          <w:b/>
          <w:bCs/>
          <w:sz w:val="24"/>
        </w:rPr>
      </w:pPr>
      <w:r>
        <w:rPr>
          <w:rFonts w:hint="eastAsia" w:ascii="黑体" w:hAnsi="黑体" w:eastAsia="黑体"/>
          <w:b/>
          <w:bCs/>
          <w:sz w:val="24"/>
        </w:rPr>
        <w:t>一、项目基本情况</w:t>
      </w:r>
    </w:p>
    <w:p w14:paraId="2F0083BE">
      <w:pPr>
        <w:spacing w:line="400" w:lineRule="exact"/>
        <w:ind w:firstLine="420" w:firstLineChars="200"/>
        <w:rPr>
          <w:rFonts w:ascii="宋体" w:hAnsi="宋体"/>
          <w:color w:val="000000" w:themeColor="text1"/>
          <w:szCs w:val="21"/>
          <w14:textFill>
            <w14:solidFill>
              <w14:schemeClr w14:val="tx1"/>
            </w14:solidFill>
          </w14:textFill>
        </w:rPr>
      </w:pPr>
      <w:r>
        <w:rPr>
          <w:rFonts w:hint="eastAsia" w:ascii="宋体" w:hAnsi="宋体"/>
          <w:color w:val="000000" w:themeColor="text1"/>
          <w:szCs w:val="21"/>
          <w14:textFill>
            <w14:solidFill>
              <w14:schemeClr w14:val="tx1"/>
            </w14:solidFill>
          </w14:textFill>
        </w:rPr>
        <w:t>1.项目编号：NNZC2026-G3-990600-JDZB</w:t>
      </w:r>
    </w:p>
    <w:p w14:paraId="7300B2E3">
      <w:pPr>
        <w:spacing w:line="400" w:lineRule="exact"/>
        <w:ind w:firstLine="420" w:firstLineChars="200"/>
        <w:rPr>
          <w:rFonts w:ascii="宋体" w:hAnsi="宋体"/>
          <w:szCs w:val="21"/>
        </w:rPr>
      </w:pPr>
      <w:r>
        <w:rPr>
          <w:rFonts w:hint="eastAsia" w:ascii="宋体" w:hAnsi="宋体"/>
          <w:szCs w:val="21"/>
        </w:rPr>
        <w:t>2.项目名称：南宁市村庄规划审查及乡镇规划数据规整入库项目</w:t>
      </w:r>
    </w:p>
    <w:p w14:paraId="6408AFDE">
      <w:pPr>
        <w:spacing w:line="400" w:lineRule="exact"/>
        <w:ind w:firstLine="420" w:firstLineChars="200"/>
        <w:rPr>
          <w:rFonts w:ascii="宋体" w:hAnsi="宋体"/>
          <w:szCs w:val="21"/>
        </w:rPr>
      </w:pPr>
      <w:r>
        <w:rPr>
          <w:rFonts w:hint="eastAsia" w:ascii="宋体" w:hAnsi="宋体"/>
          <w:szCs w:val="21"/>
        </w:rPr>
        <w:t>3.预算金额：1029990.00元。</w:t>
      </w:r>
    </w:p>
    <w:p w14:paraId="2616B490">
      <w:pPr>
        <w:spacing w:line="400" w:lineRule="exact"/>
        <w:ind w:firstLine="420" w:firstLineChars="200"/>
        <w:rPr>
          <w:rStyle w:val="66"/>
        </w:rPr>
      </w:pPr>
      <w:r>
        <w:rPr>
          <w:rFonts w:hint="eastAsia" w:ascii="宋体" w:hAnsi="宋体"/>
          <w:szCs w:val="21"/>
        </w:rPr>
        <w:t>4.最高限价</w:t>
      </w:r>
      <w:bookmarkStart w:id="3" w:name="_Hlk66782034"/>
      <w:r>
        <w:rPr>
          <w:rFonts w:hint="eastAsia" w:ascii="宋体" w:hAnsi="宋体"/>
          <w:szCs w:val="21"/>
        </w:rPr>
        <w:t>（如有）</w:t>
      </w:r>
      <w:bookmarkEnd w:id="3"/>
      <w:r>
        <w:rPr>
          <w:rFonts w:hint="eastAsia" w:ascii="宋体" w:hAnsi="宋体"/>
          <w:szCs w:val="21"/>
        </w:rPr>
        <w:t>：1029990.00元。</w:t>
      </w:r>
    </w:p>
    <w:p w14:paraId="3B9D2234">
      <w:pPr>
        <w:spacing w:line="400" w:lineRule="exact"/>
        <w:ind w:firstLine="420" w:firstLineChars="200"/>
        <w:rPr>
          <w:rFonts w:ascii="宋体" w:hAnsi="宋体"/>
          <w:szCs w:val="21"/>
        </w:rPr>
      </w:pPr>
      <w:r>
        <w:rPr>
          <w:rFonts w:hint="eastAsia" w:ascii="宋体" w:hAnsi="宋体"/>
          <w:szCs w:val="21"/>
        </w:rPr>
        <w:t>5.采购需求：</w:t>
      </w:r>
      <w:r>
        <w:rPr>
          <w:rFonts w:hint="eastAsia" w:ascii="宋体" w:hAnsi="宋体" w:cs="Arial"/>
          <w:bCs/>
          <w:color w:val="000000"/>
          <w:kern w:val="0"/>
          <w:szCs w:val="21"/>
        </w:rPr>
        <w:t>南宁市乡镇规划数据规整入库及南宁市村庄规划审查</w:t>
      </w:r>
      <w:r>
        <w:rPr>
          <w:rFonts w:hint="eastAsia" w:ascii="宋体" w:hAnsi="宋体"/>
          <w:szCs w:val="21"/>
        </w:rPr>
        <w:t>项目</w:t>
      </w:r>
      <w:r>
        <w:rPr>
          <w:rFonts w:hint="eastAsia" w:ascii="宋体" w:hAnsi="宋体" w:cs="宋体"/>
          <w:kern w:val="0"/>
          <w:szCs w:val="21"/>
        </w:rPr>
        <w:t>1项。</w:t>
      </w:r>
      <w:r>
        <w:rPr>
          <w:rFonts w:hint="eastAsia" w:ascii="宋体" w:cs="宋体"/>
          <w:szCs w:val="21"/>
        </w:rPr>
        <w:t>如需进一步了解详细内容，详见招标文件。</w:t>
      </w:r>
    </w:p>
    <w:p w14:paraId="44FFC2A2">
      <w:pPr>
        <w:spacing w:line="400" w:lineRule="exact"/>
        <w:ind w:firstLine="420" w:firstLineChars="200"/>
        <w:rPr>
          <w:rFonts w:ascii="宋体" w:hAnsi="宋体"/>
          <w:szCs w:val="21"/>
        </w:rPr>
      </w:pPr>
      <w:r>
        <w:rPr>
          <w:rFonts w:hint="eastAsia" w:ascii="宋体" w:hAnsi="宋体"/>
          <w:szCs w:val="21"/>
        </w:rPr>
        <w:t>6.合同履行期限：具体详见招标文件“第二章 采购需求”商务条款。</w:t>
      </w:r>
    </w:p>
    <w:p w14:paraId="346626E7">
      <w:pPr>
        <w:spacing w:line="400" w:lineRule="exact"/>
        <w:ind w:firstLine="420" w:firstLineChars="200"/>
        <w:rPr>
          <w:rFonts w:ascii="宋体" w:hAnsi="宋体"/>
          <w:szCs w:val="21"/>
        </w:rPr>
      </w:pPr>
      <w:r>
        <w:rPr>
          <w:rFonts w:hint="eastAsia" w:ascii="宋体" w:hAnsi="宋体"/>
          <w:szCs w:val="21"/>
        </w:rPr>
        <w:t>7.本项目是否接受联合体投标：</w:t>
      </w:r>
      <w:r>
        <w:rPr>
          <w:rFonts w:hint="eastAsia" w:ascii="仿宋_GB2312" w:eastAsia="仿宋_GB2312" w:cs="仿宋_GB2312"/>
          <w:kern w:val="0"/>
          <w:sz w:val="24"/>
          <w:lang w:val="zh-CN"/>
        </w:rPr>
        <w:sym w:font="Wingdings 2" w:char="00A3"/>
      </w:r>
      <w:r>
        <w:rPr>
          <w:rFonts w:hint="eastAsia" w:ascii="宋体" w:hAnsi="宋体"/>
          <w:szCs w:val="21"/>
        </w:rPr>
        <w:t>是，</w:t>
      </w:r>
      <w:r>
        <w:rPr>
          <w:rFonts w:hint="eastAsia" w:ascii="仿宋_GB2312" w:eastAsia="仿宋_GB2312" w:cs="仿宋_GB2312"/>
          <w:kern w:val="0"/>
          <w:sz w:val="24"/>
          <w:lang w:val="zh-CN"/>
        </w:rPr>
        <w:sym w:font="Wingdings 2" w:char="0052"/>
      </w:r>
      <w:r>
        <w:rPr>
          <w:rFonts w:ascii="宋体" w:hAnsi="宋体"/>
          <w:szCs w:val="21"/>
        </w:rPr>
        <w:t>否</w:t>
      </w:r>
      <w:r>
        <w:rPr>
          <w:rFonts w:hint="eastAsia" w:ascii="宋体" w:hAnsi="宋体"/>
          <w:szCs w:val="21"/>
        </w:rPr>
        <w:t>。</w:t>
      </w:r>
    </w:p>
    <w:p w14:paraId="0A9519BC">
      <w:pPr>
        <w:spacing w:line="400" w:lineRule="exact"/>
        <w:rPr>
          <w:rFonts w:ascii="黑体" w:hAnsi="黑体" w:eastAsia="黑体"/>
          <w:b/>
          <w:bCs/>
          <w:sz w:val="24"/>
        </w:rPr>
      </w:pPr>
      <w:r>
        <w:rPr>
          <w:rFonts w:hint="eastAsia" w:ascii="黑体" w:hAnsi="黑体" w:eastAsia="黑体"/>
          <w:b/>
          <w:bCs/>
          <w:sz w:val="24"/>
        </w:rPr>
        <w:t>二、投标人的资格要求：</w:t>
      </w:r>
    </w:p>
    <w:p w14:paraId="5B11DC42">
      <w:pPr>
        <w:spacing w:line="360" w:lineRule="auto"/>
        <w:ind w:firstLine="420" w:firstLineChars="200"/>
        <w:rPr>
          <w:rFonts w:ascii="宋体" w:hAnsi="宋体"/>
          <w:color w:val="000000"/>
          <w:szCs w:val="21"/>
        </w:rPr>
      </w:pPr>
      <w:r>
        <w:rPr>
          <w:rFonts w:hint="eastAsia" w:ascii="宋体" w:hAnsi="宋体"/>
          <w:color w:val="000000"/>
          <w:szCs w:val="21"/>
        </w:rPr>
        <w:t>1.满足《中华人民共和国政府采购法》第二十二条规定；</w:t>
      </w:r>
    </w:p>
    <w:p w14:paraId="2EF35ACA">
      <w:pPr>
        <w:spacing w:line="360" w:lineRule="auto"/>
        <w:ind w:firstLine="420" w:firstLineChars="200"/>
        <w:rPr>
          <w:rFonts w:ascii="宋体" w:hAnsi="宋体"/>
          <w:color w:val="000000"/>
          <w:szCs w:val="21"/>
        </w:rPr>
      </w:pPr>
      <w:r>
        <w:rPr>
          <w:rFonts w:hint="eastAsia" w:ascii="宋体" w:hAnsi="宋体"/>
          <w:color w:val="000000"/>
          <w:szCs w:val="21"/>
        </w:rPr>
        <w:t>2.落实政府采购政策需满足的资格要求：</w:t>
      </w:r>
    </w:p>
    <w:p w14:paraId="1D6E2CEB">
      <w:pPr>
        <w:spacing w:line="360" w:lineRule="auto"/>
        <w:ind w:firstLine="420" w:firstLineChars="200"/>
        <w:rPr>
          <w:rFonts w:ascii="宋体" w:hAnsi="宋体"/>
          <w:color w:val="000000"/>
          <w:szCs w:val="21"/>
        </w:rPr>
      </w:pPr>
      <w:r>
        <w:rPr>
          <w:rFonts w:hint="eastAsia" w:ascii="宋体" w:hAnsi="宋体"/>
          <w:color w:val="000000"/>
          <w:szCs w:val="21"/>
        </w:rPr>
        <w:t>□专门面向中小企业采购的项目（供应商应为中小微企业、监狱企业、残疾人福利性单位)</w:t>
      </w:r>
    </w:p>
    <w:p w14:paraId="6574DF6B">
      <w:pPr>
        <w:spacing w:line="360" w:lineRule="auto"/>
        <w:ind w:firstLine="420" w:firstLineChars="200"/>
        <w:rPr>
          <w:rFonts w:ascii="宋体" w:hAnsi="宋体"/>
          <w:color w:val="000000"/>
          <w:szCs w:val="21"/>
        </w:rPr>
      </w:pPr>
      <w:r>
        <w:rPr>
          <w:rFonts w:hint="eastAsia" w:ascii="MS Gothic" w:hAnsi="MS Gothic" w:eastAsia="MS Gothic" w:cs="MS Gothic"/>
          <w:color w:val="000000"/>
          <w:szCs w:val="21"/>
        </w:rPr>
        <w:t>☑</w:t>
      </w:r>
      <w:r>
        <w:rPr>
          <w:rFonts w:hint="eastAsia" w:ascii="宋体" w:hAnsi="宋体"/>
          <w:color w:val="000000"/>
          <w:szCs w:val="21"/>
        </w:rPr>
        <w:t>非专门面向中小企业采购的项目</w:t>
      </w:r>
    </w:p>
    <w:p w14:paraId="26BA1FC9">
      <w:pPr>
        <w:spacing w:line="360" w:lineRule="auto"/>
        <w:ind w:firstLine="420" w:firstLineChars="200"/>
        <w:rPr>
          <w:rFonts w:ascii="宋体" w:hAnsi="宋体"/>
          <w:color w:val="000000"/>
          <w:szCs w:val="21"/>
        </w:rPr>
      </w:pPr>
      <w:r>
        <w:rPr>
          <w:rFonts w:hint="eastAsia" w:ascii="宋体" w:hAnsi="宋体"/>
          <w:color w:val="000000"/>
          <w:szCs w:val="21"/>
        </w:rPr>
        <w:t>3.本项目的特定资格要求：</w:t>
      </w:r>
    </w:p>
    <w:p w14:paraId="541F9722">
      <w:pPr>
        <w:spacing w:line="360" w:lineRule="auto"/>
        <w:ind w:firstLine="420" w:firstLineChars="200"/>
        <w:rPr>
          <w:rFonts w:ascii="宋体" w:hAnsi="宋体"/>
          <w:color w:val="000000"/>
          <w:szCs w:val="21"/>
        </w:rPr>
      </w:pPr>
      <w:r>
        <w:rPr>
          <w:rFonts w:hint="eastAsia" w:ascii="宋体" w:hAnsi="宋体"/>
          <w:color w:val="000000"/>
          <w:szCs w:val="21"/>
        </w:rPr>
        <w:t>（1）具有有效的自然资源行政主管部门颁发有效的城乡规划（国土空间规划）编制乙级（或以上）资质或具有有效的土地规划机构等级乙级（或以上）资质。（按照中国土地学会《关于﹤土地规划机构等级证书﹥可延续使用的通知》的相关说明，在国土空间规划编制资质管理规定出台之前，相关单位取得的《土地规划机构等级证书》不再换发新证、可延续使用。因此，如供应商因以上政策性原因，提供未续期或未换发新证的土地规划机构等级证书的，视为符合条件）</w:t>
      </w:r>
    </w:p>
    <w:p w14:paraId="4FAFCB20">
      <w:pPr>
        <w:spacing w:line="360" w:lineRule="auto"/>
        <w:ind w:firstLine="420" w:firstLineChars="200"/>
        <w:rPr>
          <w:rFonts w:ascii="宋体" w:hAnsi="宋体" w:cs="Arial"/>
          <w:bCs/>
          <w:color w:val="000000"/>
          <w:kern w:val="0"/>
          <w:szCs w:val="21"/>
        </w:rPr>
      </w:pPr>
      <w:r>
        <w:rPr>
          <w:rFonts w:hint="eastAsia" w:ascii="宋体" w:hAnsi="宋体" w:cs="Arial"/>
          <w:bCs/>
          <w:color w:val="000000"/>
          <w:kern w:val="0"/>
          <w:szCs w:val="21"/>
        </w:rPr>
        <w:t>（2）</w:t>
      </w:r>
      <w:r>
        <w:rPr>
          <w:rFonts w:ascii="宋体" w:hAnsi="宋体" w:cs="Arial"/>
          <w:bCs/>
          <w:color w:val="000000"/>
          <w:kern w:val="0"/>
          <w:szCs w:val="21"/>
        </w:rPr>
        <w:t>具有自然资源行政主管部门颁发有效的乙级（或以上）测绘资质</w:t>
      </w:r>
      <w:r>
        <w:rPr>
          <w:rFonts w:hint="eastAsia" w:ascii="宋体" w:hAnsi="宋体" w:cs="Arial"/>
          <w:bCs/>
          <w:color w:val="000000"/>
          <w:kern w:val="0"/>
          <w:szCs w:val="21"/>
        </w:rPr>
        <w:t>，专业须包含：地理信息系统工程。</w:t>
      </w:r>
    </w:p>
    <w:p w14:paraId="4EF7FF90">
      <w:pPr>
        <w:spacing w:line="360" w:lineRule="auto"/>
        <w:ind w:firstLine="420" w:firstLineChars="200"/>
        <w:rPr>
          <w:rFonts w:ascii="宋体" w:hAnsi="宋体"/>
          <w:color w:val="000000"/>
          <w:szCs w:val="21"/>
        </w:rPr>
      </w:pPr>
      <w:r>
        <w:rPr>
          <w:rFonts w:hint="eastAsia" w:ascii="宋体" w:hAnsi="宋体"/>
          <w:color w:val="000000"/>
          <w:szCs w:val="21"/>
        </w:rPr>
        <w:t>4.本项目的特定条件：无</w:t>
      </w:r>
    </w:p>
    <w:p w14:paraId="452A8BE2">
      <w:pPr>
        <w:snapToGrid w:val="0"/>
        <w:spacing w:line="360" w:lineRule="auto"/>
        <w:ind w:firstLine="420"/>
        <w:jc w:val="left"/>
        <w:rPr>
          <w:rFonts w:ascii="宋体" w:hAnsi="宋体"/>
          <w:color w:val="000000"/>
          <w:szCs w:val="21"/>
        </w:rPr>
      </w:pPr>
      <w:r>
        <w:rPr>
          <w:rFonts w:hint="eastAsia" w:ascii="宋体" w:hAnsi="宋体"/>
          <w:color w:val="000000"/>
          <w:szCs w:val="21"/>
        </w:rPr>
        <w:t>5.单位负责人为同一人或者存在直接控股、管理关系的不同供应商，不得参加同一合同项下的政府采购活动。为本项目提供过整体设计、规范编制或者项目管理、监理、检测等服务的供应商，不得再参加本项目上述服务以外的其他采购活动。</w:t>
      </w:r>
    </w:p>
    <w:p w14:paraId="4B6AD086">
      <w:pPr>
        <w:spacing w:line="360" w:lineRule="auto"/>
        <w:ind w:firstLine="420" w:firstLineChars="200"/>
        <w:rPr>
          <w:rFonts w:ascii="宋体" w:hAnsi="宋体"/>
          <w:szCs w:val="21"/>
        </w:rPr>
      </w:pPr>
      <w:r>
        <w:rPr>
          <w:rFonts w:hint="eastAsia" w:ascii="宋体" w:hAnsi="宋体"/>
          <w:color w:val="000000"/>
          <w:szCs w:val="21"/>
        </w:rPr>
        <w:t>6.对在“信用中国”网站(www.creditchina.gov.cn)、中国政府采购网(www.ccgp.gov.cn)被列入失信被执行人、重大税收违法案件当事人名单、政府采购严重违法失信行为记录名单及其他不符合《中华人民共和国政府采购法》第二十二条规定条件的供应商，不得参与政府采购活动。</w:t>
      </w:r>
    </w:p>
    <w:p w14:paraId="6E7B45D4">
      <w:pPr>
        <w:spacing w:line="400" w:lineRule="exact"/>
        <w:rPr>
          <w:rFonts w:ascii="黑体" w:hAnsi="黑体" w:eastAsia="黑体"/>
          <w:b/>
          <w:bCs/>
          <w:sz w:val="24"/>
        </w:rPr>
      </w:pPr>
      <w:r>
        <w:rPr>
          <w:rFonts w:hint="eastAsia" w:ascii="黑体" w:hAnsi="黑体" w:eastAsia="黑体"/>
          <w:b/>
          <w:bCs/>
          <w:sz w:val="24"/>
        </w:rPr>
        <w:t>三、获取招标文件</w:t>
      </w:r>
    </w:p>
    <w:p w14:paraId="0574F68F">
      <w:pPr>
        <w:snapToGrid w:val="0"/>
        <w:spacing w:line="400" w:lineRule="exact"/>
        <w:ind w:firstLine="472" w:firstLineChars="225"/>
        <w:rPr>
          <w:rFonts w:ascii="宋体" w:hAnsi="宋体"/>
          <w:szCs w:val="21"/>
        </w:rPr>
      </w:pPr>
      <w:r>
        <w:rPr>
          <w:rFonts w:hint="eastAsia" w:ascii="宋体" w:hAnsi="宋体"/>
          <w:szCs w:val="21"/>
        </w:rPr>
        <w:t>时间：自公告发布之日起至投标截止时间止。</w:t>
      </w:r>
    </w:p>
    <w:p w14:paraId="5F49C0C2">
      <w:pPr>
        <w:snapToGrid w:val="0"/>
        <w:spacing w:line="400" w:lineRule="exact"/>
        <w:ind w:firstLine="472" w:firstLineChars="225"/>
        <w:rPr>
          <w:rFonts w:ascii="黑体" w:hAnsi="黑体" w:eastAsia="黑体"/>
          <w:b/>
          <w:bCs/>
          <w:sz w:val="24"/>
        </w:rPr>
      </w:pPr>
      <w:r>
        <w:rPr>
          <w:rFonts w:hint="eastAsia" w:ascii="宋体" w:hAnsi="宋体"/>
          <w:szCs w:val="21"/>
        </w:rPr>
        <w:t>获取方式:网上下载。本项目不发放纸质文件，投标人可自行在本公告“六、其他补充事宜”中网上查询地址的信息公告处下载招标文件。电子投标文件制作需要基于“广西政府采购云平台”（https://www.gcy.zfcg.gxzf.gov.cn/）获取的招标文件编制，拟参与本项目的潜在投标人需使用账号登录或者使用CA登录“广西政府采购云平台”平台-进入“项目采购”应用，在获取招标文件菜单中选择项目，获取招标文件。</w:t>
      </w:r>
    </w:p>
    <w:p w14:paraId="797DE601">
      <w:pPr>
        <w:snapToGrid w:val="0"/>
        <w:spacing w:line="400" w:lineRule="exact"/>
        <w:ind w:firstLine="472" w:firstLineChars="225"/>
        <w:rPr>
          <w:rFonts w:ascii="宋体" w:hAnsi="宋体"/>
          <w:szCs w:val="21"/>
        </w:rPr>
      </w:pPr>
      <w:r>
        <w:rPr>
          <w:rFonts w:hint="eastAsia" w:ascii="宋体" w:hAnsi="宋体"/>
          <w:szCs w:val="21"/>
        </w:rPr>
        <w:t>售价：0元。</w:t>
      </w:r>
    </w:p>
    <w:p w14:paraId="47E1C505">
      <w:pPr>
        <w:spacing w:line="400" w:lineRule="exact"/>
        <w:rPr>
          <w:rFonts w:ascii="黑体" w:hAnsi="黑体" w:eastAsia="黑体"/>
          <w:b/>
          <w:bCs/>
          <w:sz w:val="24"/>
        </w:rPr>
      </w:pPr>
      <w:r>
        <w:rPr>
          <w:rFonts w:hint="eastAsia" w:ascii="黑体" w:hAnsi="黑体" w:eastAsia="黑体"/>
          <w:b/>
          <w:bCs/>
          <w:sz w:val="24"/>
        </w:rPr>
        <w:t>四、提交投标文件截止时间、开标时间和地点</w:t>
      </w:r>
    </w:p>
    <w:p w14:paraId="2A18553B">
      <w:pPr>
        <w:spacing w:line="400" w:lineRule="exact"/>
        <w:ind w:firstLine="420" w:firstLineChars="200"/>
        <w:rPr>
          <w:rFonts w:ascii="宋体" w:hAnsi="宋体" w:cs="宋体"/>
          <w:szCs w:val="21"/>
          <w:highlight w:val="yellow"/>
          <w:u w:val="single"/>
        </w:rPr>
      </w:pPr>
      <w:r>
        <w:rPr>
          <w:rFonts w:hint="eastAsia" w:ascii="宋体" w:hAnsi="宋体"/>
          <w:bCs/>
          <w:szCs w:val="21"/>
        </w:rPr>
        <w:t>1、提交投标文件截止时间和开标时</w:t>
      </w:r>
      <w:r>
        <w:rPr>
          <w:rFonts w:hint="eastAsia" w:ascii="宋体" w:hAnsi="宋体"/>
          <w:bCs/>
          <w:color w:val="000000" w:themeColor="text1"/>
          <w:szCs w:val="21"/>
          <w14:textFill>
            <w14:solidFill>
              <w14:schemeClr w14:val="tx1"/>
            </w14:solidFill>
          </w14:textFill>
        </w:rPr>
        <w:t>间：</w:t>
      </w:r>
      <w:r>
        <w:rPr>
          <w:rFonts w:hint="eastAsia" w:ascii="宋体" w:hAnsi="宋体" w:cs="宋体"/>
          <w:color w:val="000000" w:themeColor="text1"/>
          <w:szCs w:val="21"/>
          <w:highlight w:val="none"/>
          <w:u w:val="single"/>
          <w14:textFill>
            <w14:solidFill>
              <w14:schemeClr w14:val="tx1"/>
            </w14:solidFill>
          </w14:textFill>
        </w:rPr>
        <w:t>2026年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u w:val="single"/>
          <w14:textFill>
            <w14:solidFill>
              <w14:schemeClr w14:val="tx1"/>
            </w14:solidFill>
          </w14:textFill>
        </w:rPr>
        <w:t>09 时30分</w:t>
      </w:r>
      <w:r>
        <w:rPr>
          <w:rFonts w:hint="eastAsia" w:ascii="宋体" w:hAnsi="宋体"/>
          <w:bCs/>
          <w:color w:val="000000" w:themeColor="text1"/>
          <w:szCs w:val="21"/>
          <w14:textFill>
            <w14:solidFill>
              <w14:schemeClr w14:val="tx1"/>
            </w14:solidFill>
          </w14:textFill>
        </w:rPr>
        <w:t>（北京时间）</w:t>
      </w:r>
    </w:p>
    <w:p w14:paraId="3B036635">
      <w:pPr>
        <w:spacing w:line="400" w:lineRule="exact"/>
        <w:ind w:firstLine="420" w:firstLineChars="200"/>
        <w:rPr>
          <w:rFonts w:ascii="宋体" w:hAnsi="宋体"/>
          <w:szCs w:val="21"/>
        </w:rPr>
      </w:pPr>
      <w:r>
        <w:rPr>
          <w:rFonts w:ascii="宋体" w:hAnsi="宋体"/>
          <w:szCs w:val="21"/>
        </w:rPr>
        <w:t>2</w:t>
      </w:r>
      <w:r>
        <w:rPr>
          <w:rFonts w:hint="eastAsia" w:ascii="宋体" w:hAnsi="宋体"/>
          <w:szCs w:val="21"/>
        </w:rPr>
        <w:t>、投标和开标地点：</w:t>
      </w:r>
    </w:p>
    <w:p w14:paraId="30C93064">
      <w:pPr>
        <w:widowControl/>
        <w:spacing w:line="470" w:lineRule="exact"/>
        <w:ind w:firstLine="420" w:firstLineChars="200"/>
        <w:jc w:val="left"/>
        <w:rPr>
          <w:rFonts w:ascii="宋体" w:hAnsi="宋体"/>
          <w:szCs w:val="21"/>
        </w:rPr>
      </w:pPr>
      <w:r>
        <w:rPr>
          <w:rFonts w:hint="eastAsia" w:ascii="宋体" w:hAnsi="宋体"/>
          <w:szCs w:val="21"/>
        </w:rPr>
        <w:t>（1）投标文件提交方式：本项目为南宁市全流程电子化项目，通过“广西政府采购云平台”（</w:t>
      </w:r>
      <w:r>
        <w:rPr>
          <w:rFonts w:hint="eastAsia" w:hAnsi="宋体"/>
          <w:szCs w:val="21"/>
        </w:rPr>
        <w:t>https://www.gcy.zfcg.gxzf.gov.cn/</w:t>
      </w:r>
      <w:r>
        <w:rPr>
          <w:rFonts w:hint="eastAsia" w:ascii="宋体" w:hAnsi="宋体"/>
          <w:szCs w:val="21"/>
        </w:rPr>
        <w:t>）实行在线电子投标，投标人应先安装“广西政府采购云平台电子交易客户端”（请自行前往“广西政府采购云平台”进行下载），并按照本项目招标文件和“广西政府采购云平台”的要求编制、加密后在投标截止时间前通过网络上传至南宁市本级“广西政府采购云平台”，</w:t>
      </w:r>
      <w:r>
        <w:rPr>
          <w:rFonts w:hint="eastAsia" w:ascii="宋体" w:hAnsi="宋体"/>
          <w:b/>
          <w:szCs w:val="21"/>
        </w:rPr>
        <w:t>投标人在“广西政府采购云平台”提交电子版投标文件时，请填写参加远程开标活动经办人联系方式，</w:t>
      </w:r>
      <w:r>
        <w:rPr>
          <w:rFonts w:hint="eastAsia" w:ascii="宋体" w:hAnsi="宋体"/>
          <w:szCs w:val="21"/>
        </w:rPr>
        <w:t>电子投标具体操作流程详见本公告附件3。</w:t>
      </w:r>
    </w:p>
    <w:p w14:paraId="6DFA13F5">
      <w:pPr>
        <w:widowControl/>
        <w:spacing w:line="470" w:lineRule="exact"/>
        <w:ind w:firstLine="420" w:firstLineChars="200"/>
        <w:jc w:val="left"/>
        <w:rPr>
          <w:rFonts w:ascii="宋体" w:hAnsi="宋体"/>
          <w:szCs w:val="21"/>
        </w:rPr>
      </w:pPr>
      <w:r>
        <w:rPr>
          <w:rFonts w:hint="eastAsia" w:ascii="宋体" w:hAnsi="宋体"/>
          <w:szCs w:val="21"/>
        </w:rPr>
        <w:t>（2）未进行网上注册并办理数字证书（CA认证）的投标人将无法参与本项目政府采购活动，潜在投标人应当在投标截止时间前，完成电子交易平台上的CA数字证书办理（申领流程见本公告附件2）及投标文件的提交。完成CA数字证书办理预计7日左右，</w:t>
      </w:r>
      <w:r>
        <w:rPr>
          <w:rFonts w:hint="eastAsia" w:ascii="宋体" w:hAnsi="宋体" w:cs="宋体"/>
          <w:szCs w:val="21"/>
        </w:rPr>
        <w:t>投标人只需办理其中一家</w:t>
      </w:r>
      <w:r>
        <w:rPr>
          <w:rFonts w:ascii="宋体" w:hAnsi="宋体" w:cs="宋体"/>
          <w:szCs w:val="21"/>
        </w:rPr>
        <w:t>CA数字证书及签章</w:t>
      </w:r>
      <w:r>
        <w:rPr>
          <w:rFonts w:hint="eastAsia" w:ascii="宋体" w:hAnsi="宋体" w:cs="宋体"/>
          <w:szCs w:val="21"/>
        </w:rPr>
        <w:t>，</w:t>
      </w:r>
      <w:r>
        <w:rPr>
          <w:rFonts w:hint="eastAsia" w:ascii="宋体" w:hAnsi="宋体"/>
          <w:szCs w:val="21"/>
        </w:rPr>
        <w:t>建议各投标人抓紧时间办理。</w:t>
      </w:r>
    </w:p>
    <w:p w14:paraId="73C71A52">
      <w:pPr>
        <w:widowControl/>
        <w:spacing w:line="470" w:lineRule="exact"/>
        <w:ind w:firstLine="420" w:firstLineChars="200"/>
        <w:jc w:val="left"/>
        <w:rPr>
          <w:rFonts w:ascii="宋体" w:hAnsi="宋体"/>
          <w:szCs w:val="21"/>
        </w:rPr>
      </w:pPr>
      <w:r>
        <w:rPr>
          <w:rFonts w:hint="eastAsia" w:ascii="宋体" w:hAnsi="宋体"/>
          <w:szCs w:val="21"/>
        </w:rPr>
        <w:t>（3）为确保网上操作合法、有效和安全，请投标人确保在电子投标过程中能够对相关数据电文进行加密和使用电子签章，妥善保管C</w:t>
      </w:r>
      <w:r>
        <w:rPr>
          <w:rFonts w:ascii="宋体" w:hAnsi="宋体"/>
          <w:szCs w:val="21"/>
        </w:rPr>
        <w:t>A</w:t>
      </w:r>
      <w:r>
        <w:rPr>
          <w:rFonts w:hint="eastAsia" w:ascii="宋体" w:hAnsi="宋体"/>
          <w:szCs w:val="21"/>
        </w:rPr>
        <w:t>数字证书并使用有效的CA数字证书参与整个招标活动。</w:t>
      </w:r>
    </w:p>
    <w:p w14:paraId="48B2AAE3">
      <w:pPr>
        <w:spacing w:line="470" w:lineRule="exact"/>
        <w:ind w:firstLine="420" w:firstLineChars="200"/>
        <w:rPr>
          <w:rFonts w:ascii="宋体" w:hAnsi="宋体"/>
          <w:bCs/>
          <w:szCs w:val="21"/>
          <w:u w:val="single"/>
        </w:rPr>
      </w:pPr>
      <w:r>
        <w:rPr>
          <w:rFonts w:hint="eastAsia" w:ascii="宋体" w:hAnsi="宋体"/>
          <w:bCs/>
          <w:szCs w:val="21"/>
          <w:u w:val="single"/>
        </w:rPr>
        <w:t>注：投标人应当在投标截止时间前完成电子投标文件的上传、递交，投标截止时间前可以补充、修改或者撤回投标文件。补充或者修改投标文件的，应当先行撤回原文件，补充、修改后重新上传、递交。投标截止时间前未完成上传、递交的，视为撤回投标文件。投标截止时间以后上传递交的投标文件“广西政府采购云平台”将予以拒收。</w:t>
      </w:r>
    </w:p>
    <w:p w14:paraId="3C391879">
      <w:pPr>
        <w:widowControl/>
        <w:spacing w:line="470" w:lineRule="exact"/>
        <w:ind w:firstLine="420" w:firstLineChars="200"/>
        <w:jc w:val="left"/>
        <w:rPr>
          <w:rFonts w:ascii="宋体" w:hAnsi="宋体"/>
          <w:szCs w:val="21"/>
        </w:rPr>
      </w:pPr>
      <w:r>
        <w:rPr>
          <w:rFonts w:hint="eastAsia" w:ascii="宋体" w:hAnsi="宋体"/>
          <w:szCs w:val="21"/>
        </w:rPr>
        <w:t>（4）开标地点：本次</w:t>
      </w:r>
      <w:r>
        <w:rPr>
          <w:rFonts w:hint="eastAsia" w:ascii="宋体" w:hAnsi="宋体"/>
          <w:color w:val="000000" w:themeColor="text1"/>
          <w:szCs w:val="21"/>
          <w14:textFill>
            <w14:solidFill>
              <w14:schemeClr w14:val="tx1"/>
            </w14:solidFill>
          </w14:textFill>
        </w:rPr>
        <w:t>招标将</w:t>
      </w:r>
      <w:r>
        <w:rPr>
          <w:rFonts w:hint="eastAsia" w:ascii="宋体" w:hAnsi="宋体"/>
          <w:color w:val="000000" w:themeColor="text1"/>
          <w:szCs w:val="21"/>
          <w:u w:val="single"/>
          <w14:textFill>
            <w14:solidFill>
              <w14:schemeClr w14:val="tx1"/>
            </w14:solidFill>
          </w14:textFill>
        </w:rPr>
        <w:t>于</w:t>
      </w:r>
      <w:r>
        <w:rPr>
          <w:rFonts w:hint="eastAsia" w:ascii="宋体" w:hAnsi="宋体" w:cs="宋体"/>
          <w:color w:val="000000" w:themeColor="text1"/>
          <w:szCs w:val="21"/>
          <w:highlight w:val="none"/>
          <w:u w:val="single"/>
          <w14:textFill>
            <w14:solidFill>
              <w14:schemeClr w14:val="tx1"/>
            </w14:solidFill>
          </w14:textFill>
        </w:rPr>
        <w:t>2026年</w:t>
      </w:r>
      <w:r>
        <w:rPr>
          <w:rFonts w:hint="eastAsia" w:ascii="宋体" w:hAnsi="宋体" w:cs="宋体"/>
          <w:color w:val="000000" w:themeColor="text1"/>
          <w:szCs w:val="21"/>
          <w:highlight w:val="none"/>
          <w:u w:val="single"/>
          <w:lang w:val="en-US" w:eastAsia="zh-CN"/>
          <w14:textFill>
            <w14:solidFill>
              <w14:schemeClr w14:val="tx1"/>
            </w14:solidFill>
          </w14:textFill>
        </w:rPr>
        <w:t>8</w:t>
      </w:r>
      <w:r>
        <w:rPr>
          <w:rFonts w:hint="eastAsia" w:ascii="宋体" w:hAnsi="宋体" w:cs="宋体"/>
          <w:color w:val="000000" w:themeColor="text1"/>
          <w:szCs w:val="21"/>
          <w:highlight w:val="none"/>
          <w:u w:val="single"/>
          <w14:textFill>
            <w14:solidFill>
              <w14:schemeClr w14:val="tx1"/>
            </w14:solidFill>
          </w14:textFill>
        </w:rPr>
        <w:t>月</w:t>
      </w:r>
      <w:r>
        <w:rPr>
          <w:rFonts w:hint="eastAsia" w:ascii="宋体" w:hAnsi="宋体" w:cs="宋体"/>
          <w:color w:val="000000" w:themeColor="text1"/>
          <w:szCs w:val="21"/>
          <w:highlight w:val="none"/>
          <w:u w:val="single"/>
          <w:lang w:val="en-US" w:eastAsia="zh-CN"/>
          <w14:textFill>
            <w14:solidFill>
              <w14:schemeClr w14:val="tx1"/>
            </w14:solidFill>
          </w14:textFill>
        </w:rPr>
        <w:t>14</w:t>
      </w:r>
      <w:r>
        <w:rPr>
          <w:rFonts w:hint="eastAsia" w:ascii="宋体" w:hAnsi="宋体" w:cs="宋体"/>
          <w:color w:val="000000" w:themeColor="text1"/>
          <w:szCs w:val="21"/>
          <w:highlight w:val="none"/>
          <w:u w:val="single"/>
          <w14:textFill>
            <w14:solidFill>
              <w14:schemeClr w14:val="tx1"/>
            </w14:solidFill>
          </w14:textFill>
        </w:rPr>
        <w:t>日</w:t>
      </w:r>
      <w:r>
        <w:rPr>
          <w:rFonts w:hint="eastAsia" w:ascii="宋体" w:hAnsi="宋体" w:cs="宋体"/>
          <w:bCs/>
          <w:color w:val="000000" w:themeColor="text1"/>
          <w:szCs w:val="21"/>
          <w:highlight w:val="none"/>
          <w:u w:val="single"/>
          <w14:textFill>
            <w14:solidFill>
              <w14:schemeClr w14:val="tx1"/>
            </w14:solidFill>
          </w14:textFill>
        </w:rPr>
        <w:t>09 时30分</w:t>
      </w:r>
      <w:r>
        <w:rPr>
          <w:rFonts w:hint="eastAsia" w:ascii="宋体" w:hAnsi="宋体"/>
          <w:color w:val="000000" w:themeColor="text1"/>
          <w:szCs w:val="21"/>
          <w14:textFill>
            <w14:solidFill>
              <w14:schemeClr w14:val="tx1"/>
            </w14:solidFill>
          </w14:textFill>
        </w:rPr>
        <w:t>在“广西</w:t>
      </w:r>
      <w:r>
        <w:rPr>
          <w:rFonts w:hint="eastAsia" w:ascii="宋体" w:hAnsi="宋体"/>
          <w:szCs w:val="21"/>
        </w:rPr>
        <w:t>政府采购云平台”电子开标大厅开标。</w:t>
      </w:r>
    </w:p>
    <w:p w14:paraId="7AAC1435">
      <w:pPr>
        <w:snapToGrid w:val="0"/>
        <w:spacing w:line="400" w:lineRule="exact"/>
        <w:ind w:firstLine="420" w:firstLineChars="200"/>
        <w:rPr>
          <w:rFonts w:ascii="宋体" w:hAnsi="宋体" w:cs="宋体"/>
          <w:kern w:val="0"/>
          <w:szCs w:val="21"/>
        </w:rPr>
      </w:pPr>
      <w:r>
        <w:rPr>
          <w:rFonts w:hint="eastAsia" w:ascii="宋体" w:hAnsi="宋体" w:cs="宋体"/>
          <w:kern w:val="0"/>
          <w:szCs w:val="21"/>
        </w:rPr>
        <w:t>（5）CA证书在线解密：投标人投标时，需携带制作投标文件时用来加密的有效数字证书（CA认证）登录“广西政府采购云平台”电子开标大厅现场按规定时间对加密的投标文件进行解密，否则后果自负。</w:t>
      </w:r>
    </w:p>
    <w:p w14:paraId="62C9E105">
      <w:pPr>
        <w:spacing w:line="400" w:lineRule="exact"/>
        <w:rPr>
          <w:rFonts w:ascii="黑体" w:hAnsi="黑体" w:eastAsia="黑体"/>
          <w:b/>
          <w:bCs/>
          <w:sz w:val="24"/>
        </w:rPr>
      </w:pPr>
      <w:r>
        <w:rPr>
          <w:rFonts w:hint="eastAsia" w:ascii="黑体" w:hAnsi="黑体" w:eastAsia="黑体"/>
          <w:b/>
          <w:bCs/>
          <w:sz w:val="24"/>
        </w:rPr>
        <w:t>五、公告期限</w:t>
      </w:r>
    </w:p>
    <w:p w14:paraId="684933D3">
      <w:pPr>
        <w:spacing w:line="400" w:lineRule="exact"/>
        <w:ind w:firstLine="420" w:firstLineChars="200"/>
        <w:rPr>
          <w:rFonts w:ascii="宋体" w:hAnsi="宋体" w:cs="宋体"/>
          <w:kern w:val="0"/>
          <w:szCs w:val="21"/>
        </w:rPr>
      </w:pPr>
      <w:r>
        <w:rPr>
          <w:rFonts w:hint="eastAsia" w:ascii="宋体" w:hAnsi="宋体" w:cs="宋体"/>
          <w:kern w:val="0"/>
          <w:szCs w:val="21"/>
        </w:rPr>
        <w:t>自本公告发布之日起5个工作日。</w:t>
      </w:r>
    </w:p>
    <w:p w14:paraId="78B5C508">
      <w:pPr>
        <w:spacing w:line="400" w:lineRule="exact"/>
        <w:rPr>
          <w:rFonts w:ascii="黑体" w:hAnsi="黑体" w:eastAsia="黑体"/>
          <w:b/>
          <w:bCs/>
          <w:sz w:val="24"/>
        </w:rPr>
      </w:pPr>
      <w:r>
        <w:rPr>
          <w:rFonts w:hint="eastAsia" w:ascii="黑体" w:hAnsi="黑体" w:eastAsia="黑体"/>
          <w:b/>
          <w:bCs/>
          <w:sz w:val="24"/>
        </w:rPr>
        <w:t>六、其他补充事宜</w:t>
      </w:r>
    </w:p>
    <w:p w14:paraId="17A8F1EF">
      <w:pPr>
        <w:spacing w:line="400" w:lineRule="exact"/>
        <w:ind w:firstLine="315" w:firstLineChars="150"/>
        <w:rPr>
          <w:rFonts w:ascii="宋体" w:hAnsi="宋体" w:cs="宋体"/>
          <w:kern w:val="0"/>
          <w:szCs w:val="21"/>
        </w:rPr>
      </w:pPr>
      <w:r>
        <w:rPr>
          <w:rFonts w:hint="eastAsia" w:ascii="宋体" w:hAnsi="宋体" w:cs="宋体"/>
          <w:kern w:val="0"/>
          <w:szCs w:val="21"/>
        </w:rPr>
        <w:t>1</w:t>
      </w:r>
      <w:r>
        <w:rPr>
          <w:rFonts w:ascii="宋体" w:hAnsi="宋体" w:cs="宋体"/>
          <w:kern w:val="0"/>
          <w:szCs w:val="21"/>
        </w:rPr>
        <w:t>.</w:t>
      </w:r>
      <w:r>
        <w:rPr>
          <w:rFonts w:hint="eastAsia" w:ascii="宋体" w:hAnsi="宋体" w:cs="宋体"/>
          <w:kern w:val="0"/>
          <w:szCs w:val="21"/>
        </w:rPr>
        <w:t>投标保证金：本项目不收取投标保证金</w:t>
      </w:r>
    </w:p>
    <w:p w14:paraId="15F5E31D">
      <w:pPr>
        <w:spacing w:line="400" w:lineRule="exact"/>
        <w:ind w:firstLine="315" w:firstLineChars="150"/>
        <w:jc w:val="left"/>
      </w:pPr>
      <w:r>
        <w:rPr>
          <w:rFonts w:hint="eastAsia" w:ascii="宋体" w:hAnsi="宋体" w:cs="宋体"/>
          <w:kern w:val="0"/>
          <w:szCs w:val="21"/>
        </w:rPr>
        <w:t>2.采购意向公开链接</w:t>
      </w:r>
      <w:r>
        <w:rPr>
          <w:rFonts w:hint="eastAsia"/>
        </w:rPr>
        <w:t xml:space="preserve"> ： http://www.ccgp-guangxi.gov.cn/site/detail?categoryCode=ZcyAnnouncement&amp;parentId=66485&amp;articleId=/U4PGk7mv9PBVwaYoxs/iw==</w:t>
      </w:r>
    </w:p>
    <w:p w14:paraId="1AA110FD">
      <w:pPr>
        <w:spacing w:line="400" w:lineRule="exact"/>
        <w:ind w:firstLine="315" w:firstLineChars="150"/>
        <w:rPr>
          <w:rFonts w:ascii="宋体" w:hAnsi="宋体" w:cs="宋体"/>
          <w:kern w:val="0"/>
          <w:szCs w:val="21"/>
        </w:rPr>
      </w:pPr>
      <w:r>
        <w:rPr>
          <w:rFonts w:ascii="宋体" w:hAnsi="宋体" w:cs="宋体"/>
          <w:kern w:val="0"/>
          <w:szCs w:val="21"/>
        </w:rPr>
        <w:t>3.</w:t>
      </w:r>
      <w:r>
        <w:rPr>
          <w:rFonts w:hint="eastAsia" w:ascii="宋体" w:hAnsi="宋体" w:cs="宋体"/>
          <w:kern w:val="0"/>
          <w:szCs w:val="21"/>
        </w:rPr>
        <w:t>网上查询地址</w:t>
      </w:r>
    </w:p>
    <w:p w14:paraId="435C1792">
      <w:pPr>
        <w:spacing w:line="470" w:lineRule="exact"/>
        <w:ind w:firstLine="315" w:firstLineChars="150"/>
        <w:rPr>
          <w:rFonts w:ascii="宋体" w:hAnsi="宋体" w:cs="宋体"/>
          <w:kern w:val="0"/>
          <w:szCs w:val="21"/>
        </w:rPr>
      </w:pPr>
      <w:r>
        <w:rPr>
          <w:rFonts w:hint="eastAsia" w:ascii="宋体" w:hAnsi="宋体" w:cs="宋体"/>
          <w:kern w:val="0"/>
          <w:szCs w:val="21"/>
        </w:rPr>
        <w:t xml:space="preserve">http://www.ccgp.gov.cn (中国政府采购网),http://zfcg.gxzf.gov.cn (广西政府采购网) , </w:t>
      </w:r>
      <w:r>
        <w:rPr>
          <w:rFonts w:ascii="宋体" w:hAnsi="宋体" w:cs="宋体"/>
          <w:kern w:val="0"/>
          <w:szCs w:val="21"/>
        </w:rPr>
        <w:t>http://ggzy.jgswj.gxzf.gov.cn/nnggzy/ (</w:t>
      </w:r>
      <w:r>
        <w:rPr>
          <w:rFonts w:hint="eastAsia" w:ascii="宋体" w:hAnsi="宋体" w:cs="宋体"/>
          <w:kern w:val="0"/>
          <w:szCs w:val="21"/>
        </w:rPr>
        <w:t>全国公共资源交易平台（广西·南宁）)</w:t>
      </w:r>
    </w:p>
    <w:p w14:paraId="5872766A">
      <w:pPr>
        <w:spacing w:line="400" w:lineRule="exact"/>
        <w:ind w:firstLine="315" w:firstLineChars="150"/>
        <w:rPr>
          <w:rFonts w:ascii="宋体" w:hAnsi="宋体" w:cs="宋体"/>
          <w:kern w:val="0"/>
          <w:szCs w:val="21"/>
        </w:rPr>
      </w:pPr>
      <w:r>
        <w:rPr>
          <w:rFonts w:hint="eastAsia" w:ascii="宋体" w:hAnsi="宋体"/>
          <w:szCs w:val="21"/>
        </w:rPr>
        <w:t xml:space="preserve">4. </w:t>
      </w:r>
      <w:r>
        <w:rPr>
          <w:rFonts w:hint="eastAsia" w:ascii="宋体" w:hAnsi="宋体" w:cs="宋体"/>
          <w:kern w:val="0"/>
          <w:szCs w:val="21"/>
        </w:rPr>
        <w:t>本项目需要落实的政府采购政策：</w:t>
      </w:r>
      <w:bookmarkStart w:id="4" w:name="PO_3000001867_PM023"/>
    </w:p>
    <w:bookmarkEnd w:id="4"/>
    <w:p w14:paraId="79EA5873">
      <w:pPr>
        <w:spacing w:line="470" w:lineRule="exact"/>
        <w:ind w:firstLine="315" w:firstLineChars="150"/>
        <w:rPr>
          <w:rFonts w:ascii="宋体" w:hAnsi="宋体" w:cs="宋体"/>
          <w:kern w:val="0"/>
          <w:szCs w:val="21"/>
        </w:rPr>
      </w:pPr>
      <w:r>
        <w:rPr>
          <w:rFonts w:hint="eastAsia" w:ascii="宋体" w:hAnsi="宋体" w:cs="宋体"/>
          <w:kern w:val="0"/>
          <w:szCs w:val="21"/>
        </w:rPr>
        <w:t>（1）政府采购促进中小企业发展。</w:t>
      </w:r>
    </w:p>
    <w:p w14:paraId="1816A71D">
      <w:pPr>
        <w:spacing w:line="470" w:lineRule="exact"/>
        <w:ind w:firstLine="315" w:firstLineChars="150"/>
        <w:rPr>
          <w:rFonts w:ascii="宋体" w:hAnsi="宋体" w:cs="宋体"/>
          <w:kern w:val="0"/>
          <w:szCs w:val="21"/>
        </w:rPr>
      </w:pPr>
      <w:r>
        <w:rPr>
          <w:rFonts w:hint="eastAsia" w:ascii="宋体" w:hAnsi="宋体" w:cs="宋体"/>
          <w:kern w:val="0"/>
          <w:szCs w:val="21"/>
        </w:rPr>
        <w:t>（2）政府采购支持采用本国产品的政策。</w:t>
      </w:r>
    </w:p>
    <w:p w14:paraId="66937D52">
      <w:pPr>
        <w:spacing w:line="470" w:lineRule="exact"/>
        <w:ind w:firstLine="315" w:firstLineChars="150"/>
        <w:rPr>
          <w:rFonts w:ascii="宋体" w:hAnsi="宋体" w:cs="宋体"/>
          <w:kern w:val="0"/>
          <w:szCs w:val="21"/>
        </w:rPr>
      </w:pPr>
      <w:r>
        <w:rPr>
          <w:rFonts w:hint="eastAsia" w:ascii="宋体" w:hAnsi="宋体" w:cs="宋体"/>
          <w:kern w:val="0"/>
          <w:szCs w:val="21"/>
        </w:rPr>
        <w:t>（3）强制采购节能产品；优先采购节能产品、环境标志产品。</w:t>
      </w:r>
    </w:p>
    <w:p w14:paraId="543C9558">
      <w:pPr>
        <w:spacing w:line="470" w:lineRule="exact"/>
        <w:ind w:firstLine="315" w:firstLineChars="150"/>
        <w:rPr>
          <w:rFonts w:ascii="宋体" w:hAnsi="宋体" w:cs="宋体"/>
          <w:kern w:val="0"/>
          <w:szCs w:val="21"/>
        </w:rPr>
      </w:pPr>
      <w:r>
        <w:rPr>
          <w:rFonts w:hint="eastAsia" w:ascii="宋体" w:hAnsi="宋体" w:cs="宋体"/>
          <w:kern w:val="0"/>
          <w:szCs w:val="21"/>
        </w:rPr>
        <w:t>（4）政府采购促进残疾人就业政策。</w:t>
      </w:r>
    </w:p>
    <w:p w14:paraId="751E7228">
      <w:pPr>
        <w:spacing w:line="470" w:lineRule="exact"/>
        <w:ind w:firstLine="315" w:firstLineChars="150"/>
        <w:rPr>
          <w:rFonts w:ascii="宋体" w:hAnsi="宋体" w:cs="宋体"/>
          <w:kern w:val="0"/>
          <w:szCs w:val="21"/>
        </w:rPr>
      </w:pPr>
      <w:r>
        <w:rPr>
          <w:rFonts w:hint="eastAsia" w:ascii="宋体" w:hAnsi="宋体" w:cs="宋体"/>
          <w:kern w:val="0"/>
          <w:szCs w:val="21"/>
        </w:rPr>
        <w:t>（5）政府采购支持监狱企业发展。</w:t>
      </w:r>
    </w:p>
    <w:p w14:paraId="521D7EC7">
      <w:pPr>
        <w:spacing w:line="400" w:lineRule="exact"/>
        <w:ind w:firstLine="315" w:firstLineChars="150"/>
      </w:pPr>
      <w:r>
        <w:rPr>
          <w:rFonts w:hint="eastAsia" w:ascii="宋体" w:hAnsi="宋体" w:cs="宋体"/>
          <w:kern w:val="0"/>
          <w:szCs w:val="21"/>
        </w:rPr>
        <w:t>（6）</w:t>
      </w:r>
      <w:r>
        <w:rPr>
          <w:rFonts w:hint="eastAsia"/>
        </w:rPr>
        <w:t>扶持不发达地区和少数民族地区政策</w:t>
      </w:r>
    </w:p>
    <w:p w14:paraId="45D9E94D">
      <w:pPr>
        <w:spacing w:line="400" w:lineRule="exact"/>
        <w:ind w:firstLine="315" w:firstLineChars="150"/>
        <w:rPr>
          <w:rFonts w:ascii="宋体" w:hAnsi="宋体" w:cs="宋体"/>
          <w:kern w:val="0"/>
          <w:szCs w:val="21"/>
        </w:rPr>
      </w:pPr>
      <w:r>
        <w:rPr>
          <w:rFonts w:ascii="宋体" w:hAnsi="宋体" w:cs="宋体"/>
          <w:kern w:val="0"/>
          <w:szCs w:val="21"/>
        </w:rPr>
        <w:t>5.</w:t>
      </w:r>
      <w:r>
        <w:rPr>
          <w:rFonts w:hint="eastAsia" w:ascii="宋体" w:hAnsi="宋体" w:cs="宋体"/>
          <w:kern w:val="0"/>
          <w:szCs w:val="21"/>
        </w:rPr>
        <w:t>投标人认为招标文件使自己的权益受到损害的，可以在知道或者应知其权益受到损害之日起7个工作日内，以书面形式向采购人、采购代理机构提出质疑。质疑投标人对采购人、采购代理机构的答复不满意或者采购人、采购代理机构未在规定的时间内作出答复的，可以在答复期满后十五个工作日内向同级政府采购监督管理部门投诉。</w:t>
      </w:r>
    </w:p>
    <w:p w14:paraId="49D1EBEE">
      <w:pPr>
        <w:spacing w:line="400" w:lineRule="exact"/>
        <w:ind w:firstLine="315" w:firstLineChars="150"/>
        <w:rPr>
          <w:rFonts w:ascii="宋体" w:hAnsi="宋体" w:cs="宋体"/>
          <w:kern w:val="0"/>
          <w:szCs w:val="21"/>
        </w:rPr>
      </w:pPr>
      <w:r>
        <w:rPr>
          <w:rFonts w:ascii="宋体" w:hAnsi="宋体" w:cs="宋体"/>
          <w:kern w:val="0"/>
          <w:szCs w:val="21"/>
        </w:rPr>
        <w:t>6.</w:t>
      </w:r>
      <w:r>
        <w:rPr>
          <w:rFonts w:hint="eastAsia" w:ascii="宋体" w:hAnsi="宋体" w:cs="宋体"/>
          <w:kern w:val="0"/>
          <w:szCs w:val="21"/>
        </w:rPr>
        <w:t xml:space="preserve"> 若对项目采购电子交易系统操作有疑问，可登录“广西政府采购云平台”（https://www.gcy.zfcg.gxzf.gov.cn/），点击右侧咨询小采，获取采小蜜智能服务管家帮助，或拨打广西政府采购云平台服务热线95763获取热线服务帮助。</w:t>
      </w:r>
    </w:p>
    <w:p w14:paraId="5F2EC53D">
      <w:pPr>
        <w:spacing w:line="380" w:lineRule="exact"/>
        <w:ind w:firstLine="315" w:firstLineChars="150"/>
      </w:pPr>
      <w:r>
        <w:rPr>
          <w:rFonts w:ascii="宋体" w:hAnsi="宋体" w:cs="宋体"/>
          <w:kern w:val="0"/>
          <w:szCs w:val="21"/>
        </w:rPr>
        <w:t>7.</w:t>
      </w:r>
      <w:r>
        <w:rPr>
          <w:rFonts w:hint="eastAsia"/>
        </w:rPr>
        <w:t>采购计划编号：NNZC[2026]2502号-001、NNZC[2026]2502号-002</w:t>
      </w:r>
    </w:p>
    <w:p w14:paraId="4B134FD8">
      <w:pPr>
        <w:spacing w:line="400" w:lineRule="exact"/>
        <w:rPr>
          <w:rFonts w:ascii="黑体" w:hAnsi="黑体" w:eastAsia="黑体"/>
          <w:b/>
          <w:bCs/>
          <w:sz w:val="24"/>
        </w:rPr>
      </w:pPr>
      <w:r>
        <w:rPr>
          <w:rFonts w:hint="eastAsia" w:ascii="黑体" w:hAnsi="黑体" w:eastAsia="黑体"/>
          <w:b/>
          <w:bCs/>
          <w:sz w:val="24"/>
        </w:rPr>
        <w:t>七、对本次招标提出询问，请按</w:t>
      </w:r>
      <w:r>
        <w:rPr>
          <w:rFonts w:ascii="黑体" w:hAnsi="黑体" w:eastAsia="黑体"/>
          <w:b/>
          <w:bCs/>
          <w:sz w:val="24"/>
        </w:rPr>
        <w:t>以下方式</w:t>
      </w:r>
      <w:r>
        <w:rPr>
          <w:rFonts w:hint="eastAsia" w:ascii="黑体" w:hAnsi="黑体" w:eastAsia="黑体"/>
          <w:b/>
          <w:bCs/>
          <w:sz w:val="24"/>
        </w:rPr>
        <w:t>联系。</w:t>
      </w:r>
    </w:p>
    <w:p w14:paraId="37FCB89F">
      <w:pPr>
        <w:spacing w:line="400" w:lineRule="exact"/>
        <w:jc w:val="left"/>
        <w:rPr>
          <w:rFonts w:ascii="宋体" w:hAnsi="宋体"/>
          <w:szCs w:val="21"/>
        </w:rPr>
      </w:pPr>
      <w:r>
        <w:rPr>
          <w:rFonts w:hint="eastAsia" w:ascii="宋体" w:hAnsi="宋体" w:cs="宋体"/>
          <w:szCs w:val="21"/>
        </w:rPr>
        <w:t>　　　 1.采购人信息</w:t>
      </w:r>
    </w:p>
    <w:p w14:paraId="78FB90E3">
      <w:pPr>
        <w:spacing w:line="400" w:lineRule="exact"/>
        <w:ind w:firstLine="735" w:firstLineChars="350"/>
        <w:rPr>
          <w:rFonts w:ascii="宋体" w:hAnsi="宋体"/>
          <w:szCs w:val="21"/>
        </w:rPr>
      </w:pPr>
      <w:r>
        <w:rPr>
          <w:rFonts w:hint="eastAsia" w:ascii="宋体" w:hAnsi="宋体"/>
          <w:szCs w:val="21"/>
        </w:rPr>
        <w:t>名 称：</w:t>
      </w:r>
      <w:bookmarkStart w:id="5" w:name="PO_3000001866_PM026_1"/>
      <w:r>
        <w:rPr>
          <w:rFonts w:hint="eastAsia" w:ascii="宋体" w:hAnsi="宋体"/>
          <w:szCs w:val="21"/>
        </w:rPr>
        <w:t>南宁市自然资源局</w:t>
      </w:r>
      <w:bookmarkEnd w:id="5"/>
    </w:p>
    <w:p w14:paraId="7CC949EB">
      <w:pPr>
        <w:spacing w:line="400" w:lineRule="exact"/>
        <w:ind w:firstLine="735" w:firstLineChars="350"/>
        <w:rPr>
          <w:rFonts w:ascii="宋体" w:hAnsi="宋体"/>
          <w:szCs w:val="21"/>
        </w:rPr>
      </w:pPr>
      <w:r>
        <w:rPr>
          <w:rFonts w:hint="eastAsia" w:ascii="宋体" w:hAnsi="宋体"/>
          <w:szCs w:val="21"/>
        </w:rPr>
        <w:t>地址：</w:t>
      </w:r>
      <w:bookmarkStart w:id="6" w:name="PO_3000001866_PM030"/>
      <w:r>
        <w:rPr>
          <w:rFonts w:hint="eastAsia" w:ascii="宋体" w:hAnsi="宋体"/>
          <w:szCs w:val="21"/>
        </w:rPr>
        <w:t>南宁市锦春路3-1号</w:t>
      </w:r>
      <w:bookmarkEnd w:id="6"/>
    </w:p>
    <w:p w14:paraId="0B8444AD">
      <w:pPr>
        <w:spacing w:line="400" w:lineRule="exact"/>
        <w:ind w:left="1041" w:leftChars="371" w:hanging="262" w:hangingChars="125"/>
        <w:jc w:val="left"/>
        <w:rPr>
          <w:rFonts w:ascii="宋体" w:hAnsi="宋体" w:cs="宋体"/>
          <w:szCs w:val="21"/>
        </w:rPr>
      </w:pPr>
      <w:r>
        <w:rPr>
          <w:rFonts w:hint="eastAsia" w:ascii="宋体" w:hAnsi="宋体" w:cs="宋体"/>
          <w:szCs w:val="21"/>
        </w:rPr>
        <w:t>项目联系人：卢嘉威</w:t>
      </w:r>
    </w:p>
    <w:p w14:paraId="12F309E4">
      <w:pPr>
        <w:spacing w:line="400" w:lineRule="exact"/>
        <w:ind w:left="1041" w:leftChars="371" w:hanging="262" w:hangingChars="125"/>
        <w:jc w:val="left"/>
        <w:rPr>
          <w:rFonts w:ascii="宋体" w:hAnsi="宋体" w:cs="宋体"/>
          <w:szCs w:val="21"/>
        </w:rPr>
      </w:pPr>
      <w:r>
        <w:rPr>
          <w:rFonts w:hint="eastAsia" w:ascii="宋体" w:hAnsi="宋体" w:cs="宋体"/>
          <w:szCs w:val="21"/>
        </w:rPr>
        <w:t>联系电话：0771-5609016</w:t>
      </w:r>
    </w:p>
    <w:p w14:paraId="02EA86DF">
      <w:pPr>
        <w:spacing w:line="400" w:lineRule="exact"/>
        <w:ind w:left="1041" w:leftChars="371" w:hanging="262" w:hangingChars="125"/>
        <w:jc w:val="left"/>
        <w:rPr>
          <w:rFonts w:ascii="宋体" w:hAnsi="宋体"/>
          <w:szCs w:val="21"/>
        </w:rPr>
      </w:pPr>
      <w:r>
        <w:rPr>
          <w:rFonts w:hint="eastAsia" w:ascii="宋体" w:hAnsi="宋体" w:cs="宋体"/>
          <w:szCs w:val="21"/>
        </w:rPr>
        <w:t>2.采购代理机构信息</w:t>
      </w:r>
    </w:p>
    <w:p w14:paraId="46252B44">
      <w:pPr>
        <w:spacing w:line="400" w:lineRule="exact"/>
        <w:ind w:firstLine="735" w:firstLineChars="350"/>
        <w:rPr>
          <w:rFonts w:ascii="宋体" w:hAnsi="宋体"/>
          <w:szCs w:val="21"/>
        </w:rPr>
      </w:pPr>
      <w:r>
        <w:rPr>
          <w:rFonts w:hint="eastAsia" w:ascii="宋体" w:hAnsi="宋体"/>
          <w:szCs w:val="21"/>
        </w:rPr>
        <w:t>名 称：广西机电设备招标有限公司</w:t>
      </w:r>
    </w:p>
    <w:p w14:paraId="40F1ED11">
      <w:pPr>
        <w:spacing w:line="400" w:lineRule="exact"/>
        <w:ind w:firstLine="735" w:firstLineChars="350"/>
        <w:rPr>
          <w:rFonts w:ascii="宋体" w:hAnsi="宋体"/>
          <w:szCs w:val="21"/>
        </w:rPr>
      </w:pPr>
      <w:r>
        <w:rPr>
          <w:rFonts w:hint="eastAsia" w:ascii="宋体" w:hAnsi="宋体"/>
          <w:szCs w:val="21"/>
        </w:rPr>
        <w:t>地　址：广西南宁市金湖路63号金源CBD现代城7层</w:t>
      </w:r>
    </w:p>
    <w:p w14:paraId="0CDA0C9A">
      <w:pPr>
        <w:spacing w:line="400" w:lineRule="exact"/>
        <w:ind w:firstLine="735" w:firstLineChars="350"/>
        <w:rPr>
          <w:rFonts w:ascii="宋体" w:hAnsi="宋体"/>
          <w:szCs w:val="21"/>
        </w:rPr>
      </w:pPr>
      <w:r>
        <w:rPr>
          <w:rFonts w:hint="eastAsia" w:ascii="宋体" w:hAnsi="宋体"/>
          <w:szCs w:val="21"/>
        </w:rPr>
        <w:t>联系电话：</w:t>
      </w:r>
      <w:r>
        <w:rPr>
          <w:rFonts w:ascii="宋体" w:hAnsi="宋体"/>
          <w:szCs w:val="21"/>
        </w:rPr>
        <w:t>0771-2808981</w:t>
      </w:r>
    </w:p>
    <w:p w14:paraId="63882C74">
      <w:pPr>
        <w:spacing w:line="400" w:lineRule="exact"/>
        <w:ind w:firstLine="707" w:firstLineChars="337"/>
        <w:rPr>
          <w:rFonts w:ascii="宋体" w:hAnsi="宋体"/>
          <w:szCs w:val="21"/>
        </w:rPr>
      </w:pPr>
      <w:r>
        <w:rPr>
          <w:rFonts w:hint="eastAsia" w:ascii="宋体" w:hAnsi="宋体"/>
          <w:szCs w:val="21"/>
        </w:rPr>
        <w:t>3.项目联系方式</w:t>
      </w:r>
    </w:p>
    <w:p w14:paraId="3397C175">
      <w:pPr>
        <w:spacing w:line="400" w:lineRule="exact"/>
        <w:ind w:firstLine="707" w:firstLineChars="337"/>
        <w:rPr>
          <w:rFonts w:hint="eastAsia" w:ascii="宋体" w:hAnsi="宋体" w:eastAsia="宋体"/>
          <w:szCs w:val="21"/>
          <w:lang w:eastAsia="zh-CN"/>
        </w:rPr>
      </w:pPr>
      <w:r>
        <w:rPr>
          <w:rFonts w:hint="eastAsia" w:ascii="宋体" w:hAnsi="宋体"/>
          <w:szCs w:val="21"/>
        </w:rPr>
        <w:t>项目联系人：</w:t>
      </w:r>
      <w:r>
        <w:rPr>
          <w:rFonts w:hint="eastAsia" w:ascii="宋体" w:hAnsi="宋体" w:cs="宋体"/>
          <w:szCs w:val="21"/>
        </w:rPr>
        <w:t>梁艳冰、谭玉华、</w:t>
      </w:r>
      <w:r>
        <w:rPr>
          <w:rFonts w:hint="eastAsia" w:ascii="宋体" w:hAnsi="宋体" w:cs="宋体"/>
          <w:szCs w:val="21"/>
          <w:lang w:val="en-US" w:eastAsia="zh-CN"/>
        </w:rPr>
        <w:t>陈健达</w:t>
      </w:r>
    </w:p>
    <w:p w14:paraId="1FD5084C">
      <w:pPr>
        <w:spacing w:line="400" w:lineRule="exact"/>
        <w:ind w:firstLine="707" w:firstLineChars="337"/>
        <w:rPr>
          <w:rFonts w:ascii="宋体" w:hAnsi="宋体"/>
          <w:szCs w:val="21"/>
          <w:u w:val="single"/>
        </w:rPr>
      </w:pPr>
      <w:r>
        <w:rPr>
          <w:rFonts w:hint="eastAsia" w:ascii="宋体" w:hAnsi="宋体"/>
          <w:szCs w:val="21"/>
        </w:rPr>
        <w:t>电话：</w:t>
      </w:r>
      <w:r>
        <w:rPr>
          <w:rFonts w:ascii="宋体" w:hAnsi="宋体"/>
          <w:szCs w:val="21"/>
        </w:rPr>
        <w:t>0771-2808981</w:t>
      </w:r>
    </w:p>
    <w:p w14:paraId="3ED5743F">
      <w:pPr>
        <w:spacing w:line="470" w:lineRule="exact"/>
        <w:ind w:firstLine="420" w:firstLineChars="200"/>
        <w:rPr>
          <w:rFonts w:ascii="宋体" w:hAnsi="宋体"/>
          <w:szCs w:val="21"/>
        </w:rPr>
      </w:pPr>
      <w:r>
        <w:rPr>
          <w:rFonts w:hint="eastAsia" w:ascii="宋体" w:hAnsi="宋体"/>
          <w:szCs w:val="21"/>
        </w:rPr>
        <w:t>附件： 1.招标文件</w:t>
      </w:r>
    </w:p>
    <w:p w14:paraId="1CEEE17C">
      <w:pPr>
        <w:spacing w:line="470" w:lineRule="exact"/>
        <w:ind w:firstLine="420" w:firstLineChars="200"/>
      </w:pPr>
      <w:r>
        <w:rPr>
          <w:rFonts w:hint="eastAsia" w:ascii="宋体" w:hAnsi="宋体"/>
          <w:szCs w:val="21"/>
        </w:rPr>
        <w:t xml:space="preserve">       2.CA证书申请方式及操作指南下载地址（现场申请方式见网址：</w:t>
      </w:r>
      <w:r>
        <w:fldChar w:fldCharType="begin"/>
      </w:r>
      <w:r>
        <w:instrText xml:space="preserve"> HYPERLINK "http://www.ccgp-guangxi.gov.cn/OfficeService/DownloadArea/8354055.html?utm=a0003.39a112b4.cmp001.d0002.f0464b20ff2a11eb873141bf9e381949" </w:instrText>
      </w:r>
      <w:r>
        <w:fldChar w:fldCharType="separate"/>
      </w:r>
      <w:r>
        <w:rPr>
          <w:rFonts w:hint="eastAsia"/>
        </w:rPr>
        <w:t>http://www.ccgp-guangxi.gov.cn/OfficeService/DownloadArea/8354055.html?utm=a0003.39a112b4.cmp001.d0002.f0464b20ff2a11eb873141bf9e381949</w:t>
      </w:r>
      <w:r>
        <w:rPr>
          <w:rFonts w:hint="eastAsia"/>
        </w:rPr>
        <w:fldChar w:fldCharType="end"/>
      </w:r>
      <w:r>
        <w:rPr>
          <w:rFonts w:hint="eastAsia"/>
        </w:rPr>
        <w:t xml:space="preserve">（广西政府采购网）/网上申请方式见网址： </w:t>
      </w:r>
      <w:r>
        <w:fldChar w:fldCharType="begin"/>
      </w:r>
      <w:r>
        <w:instrText xml:space="preserve"> HYPERLINK "http://nncz.nanning.gov.cn/" </w:instrText>
      </w:r>
      <w:r>
        <w:fldChar w:fldCharType="separate"/>
      </w:r>
      <w:r>
        <w:rPr>
          <w:rFonts w:hint="eastAsia"/>
        </w:rPr>
        <w:t>http://nncz.nanning.gov.cn/</w:t>
      </w:r>
      <w:r>
        <w:rPr>
          <w:rFonts w:hint="eastAsia"/>
        </w:rPr>
        <w:fldChar w:fldCharType="end"/>
      </w:r>
      <w:r>
        <w:rPr>
          <w:rFonts w:hint="eastAsia"/>
        </w:rPr>
        <w:t>（南宁市财政局官网）-下载专区-南宁市广西政府采购云平台CA证书办理操作指南</w:t>
      </w:r>
      <w:r>
        <w:rPr>
          <w:rFonts w:hint="eastAsia" w:ascii="宋体" w:hAnsi="宋体"/>
          <w:szCs w:val="21"/>
        </w:rPr>
        <w:t>）</w:t>
      </w:r>
    </w:p>
    <w:p w14:paraId="0F59F51D">
      <w:pPr>
        <w:spacing w:line="470" w:lineRule="exact"/>
        <w:ind w:firstLine="630" w:firstLineChars="300"/>
        <w:rPr>
          <w:rFonts w:ascii="宋体" w:hAnsi="宋体"/>
          <w:szCs w:val="21"/>
        </w:rPr>
      </w:pPr>
      <w:r>
        <w:rPr>
          <w:rFonts w:hint="eastAsia" w:ascii="宋体" w:hAnsi="宋体"/>
          <w:szCs w:val="21"/>
        </w:rPr>
        <w:t>3.电子投标文件制作与投送教程（在此网址下载：</w:t>
      </w:r>
      <w:r>
        <w:fldChar w:fldCharType="begin"/>
      </w:r>
      <w:r>
        <w:instrText xml:space="preserve"> HYPERLINK "http://nncz.nanning.gov.cn/" </w:instrText>
      </w:r>
      <w:r>
        <w:fldChar w:fldCharType="separate"/>
      </w:r>
      <w:r>
        <w:rPr>
          <w:rFonts w:hint="eastAsia"/>
        </w:rPr>
        <w:t>http://nncz.nanning.gov.cn/</w:t>
      </w:r>
      <w:r>
        <w:rPr>
          <w:rFonts w:hint="eastAsia"/>
        </w:rPr>
        <w:fldChar w:fldCharType="end"/>
      </w:r>
      <w:r>
        <w:rPr>
          <w:rFonts w:hint="eastAsia"/>
        </w:rPr>
        <w:t>（南宁市财政局官网）-下载专区</w:t>
      </w:r>
      <w:r>
        <w:rPr>
          <w:rFonts w:hint="eastAsia" w:ascii="宋体" w:hAnsi="宋体"/>
          <w:szCs w:val="21"/>
        </w:rPr>
        <w:t>）</w:t>
      </w:r>
    </w:p>
    <w:p w14:paraId="48C417DA">
      <w:pPr>
        <w:spacing w:line="400" w:lineRule="exact"/>
        <w:rPr>
          <w:rFonts w:ascii="宋体" w:hAnsi="宋体"/>
          <w:szCs w:val="21"/>
        </w:rPr>
      </w:pPr>
    </w:p>
    <w:p w14:paraId="15008B4B">
      <w:pPr>
        <w:spacing w:line="400" w:lineRule="exact"/>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广西机电设备招标有限公司</w:t>
      </w:r>
    </w:p>
    <w:p w14:paraId="03DF0B48">
      <w:pPr>
        <w:jc w:val="right"/>
        <w:rPr>
          <w:color w:val="000000" w:themeColor="text1"/>
          <w:szCs w:val="21"/>
          <w:highlight w:val="none"/>
          <w14:textFill>
            <w14:solidFill>
              <w14:schemeClr w14:val="tx1"/>
            </w14:solidFill>
          </w14:textFill>
        </w:rPr>
      </w:pPr>
      <w:r>
        <w:rPr>
          <w:color w:val="000000" w:themeColor="text1"/>
          <w:szCs w:val="21"/>
          <w:highlight w:val="none"/>
          <w14:textFill>
            <w14:solidFill>
              <w14:schemeClr w14:val="tx1"/>
            </w14:solidFill>
          </w14:textFill>
        </w:rPr>
        <w:t>2026年</w:t>
      </w:r>
      <w:r>
        <w:rPr>
          <w:rFonts w:hint="eastAsia"/>
          <w:color w:val="000000" w:themeColor="text1"/>
          <w:szCs w:val="21"/>
          <w:highlight w:val="none"/>
          <w:lang w:val="en-US" w:eastAsia="zh-CN"/>
          <w14:textFill>
            <w14:solidFill>
              <w14:schemeClr w14:val="tx1"/>
            </w14:solidFill>
          </w14:textFill>
        </w:rPr>
        <w:t>7</w:t>
      </w:r>
      <w:r>
        <w:rPr>
          <w:color w:val="000000" w:themeColor="text1"/>
          <w:szCs w:val="21"/>
          <w:highlight w:val="none"/>
          <w14:textFill>
            <w14:solidFill>
              <w14:schemeClr w14:val="tx1"/>
            </w14:solidFill>
          </w14:textFill>
        </w:rPr>
        <w:t>月</w:t>
      </w:r>
      <w:r>
        <w:rPr>
          <w:rFonts w:hint="eastAsia"/>
          <w:color w:val="000000" w:themeColor="text1"/>
          <w:szCs w:val="21"/>
          <w:highlight w:val="none"/>
          <w:lang w:val="en-US" w:eastAsia="zh-CN"/>
          <w14:textFill>
            <w14:solidFill>
              <w14:schemeClr w14:val="tx1"/>
            </w14:solidFill>
          </w14:textFill>
        </w:rPr>
        <w:t>23</w:t>
      </w:r>
      <w:r>
        <w:rPr>
          <w:color w:val="000000" w:themeColor="text1"/>
          <w:szCs w:val="21"/>
          <w:highlight w:val="none"/>
          <w14:textFill>
            <w14:solidFill>
              <w14:schemeClr w14:val="tx1"/>
            </w14:solidFill>
          </w14:textFill>
        </w:rPr>
        <w:t>日</w:t>
      </w:r>
    </w:p>
    <w:p w14:paraId="4D2C7C4B">
      <w:pPr>
        <w:jc w:val="center"/>
        <w:outlineLvl w:val="0"/>
        <w:rPr>
          <w:b/>
          <w:sz w:val="36"/>
        </w:rPr>
      </w:pPr>
      <w:r>
        <w:rPr>
          <w:rFonts w:hint="eastAsia"/>
          <w:b/>
          <w:sz w:val="36"/>
        </w:rPr>
        <w:br w:type="page"/>
      </w:r>
      <w:bookmarkStart w:id="7" w:name="_Toc28057"/>
      <w:bookmarkStart w:id="8" w:name="_Toc285"/>
      <w:r>
        <w:rPr>
          <w:rFonts w:hint="eastAsia"/>
          <w:b/>
          <w:sz w:val="36"/>
        </w:rPr>
        <w:t>第二章</w:t>
      </w:r>
      <w:r>
        <w:rPr>
          <w:b/>
          <w:sz w:val="36"/>
        </w:rPr>
        <w:t xml:space="preserve">  </w:t>
      </w:r>
      <w:r>
        <w:rPr>
          <w:rFonts w:hint="eastAsia"/>
          <w:b/>
          <w:sz w:val="36"/>
        </w:rPr>
        <w:t>采购需求</w:t>
      </w:r>
      <w:bookmarkEnd w:id="7"/>
      <w:bookmarkEnd w:id="8"/>
    </w:p>
    <w:p w14:paraId="1FC31A42">
      <w:pPr>
        <w:adjustRightInd w:val="0"/>
        <w:spacing w:line="340" w:lineRule="exact"/>
        <w:jc w:val="center"/>
        <w:rPr>
          <w:rFonts w:hAnsi="宋体"/>
          <w:b/>
          <w:szCs w:val="21"/>
        </w:rPr>
      </w:pPr>
    </w:p>
    <w:p w14:paraId="54042B1F">
      <w:pPr>
        <w:adjustRightInd w:val="0"/>
        <w:spacing w:line="340" w:lineRule="exact"/>
        <w:rPr>
          <w:rFonts w:hAnsi="宋体"/>
          <w:b/>
          <w:szCs w:val="21"/>
        </w:rPr>
      </w:pPr>
      <w:r>
        <w:rPr>
          <w:rFonts w:hint="eastAsia" w:hAnsi="宋体"/>
          <w:b/>
          <w:szCs w:val="21"/>
        </w:rPr>
        <w:t>说明：</w:t>
      </w:r>
    </w:p>
    <w:p w14:paraId="6928C6B7">
      <w:pPr>
        <w:spacing w:line="360" w:lineRule="auto"/>
        <w:ind w:firstLine="420" w:firstLineChars="200"/>
        <w:jc w:val="left"/>
        <w:rPr>
          <w:rFonts w:ascii="宋体" w:hAnsi="宋体" w:cs="宋体"/>
          <w:szCs w:val="21"/>
        </w:rPr>
      </w:pPr>
      <w:r>
        <w:t xml:space="preserve">1. </w:t>
      </w:r>
      <w:r>
        <w:rPr>
          <w:rFonts w:hint="eastAsia"/>
        </w:rPr>
        <w:t>为落实政府采购政策需满足的要求</w:t>
      </w:r>
    </w:p>
    <w:p w14:paraId="5A888349">
      <w:pPr>
        <w:spacing w:line="360" w:lineRule="auto"/>
        <w:ind w:firstLine="420" w:firstLineChars="200"/>
        <w:jc w:val="left"/>
        <w:rPr>
          <w:rFonts w:ascii="宋体" w:hAnsi="宋体" w:cs="宋体"/>
          <w:szCs w:val="21"/>
        </w:rPr>
      </w:pPr>
      <w:r>
        <w:rPr>
          <w:rFonts w:hint="eastAsia" w:ascii="宋体" w:hAnsi="宋体" w:cs="宋体"/>
          <w:szCs w:val="21"/>
        </w:rPr>
        <w:t>（1）本招标文件所称中小企业必须符合《政府采购促进中小企业发展管理办法》（财库〔2020〕46号）的规定。</w:t>
      </w:r>
    </w:p>
    <w:p w14:paraId="68FA7B98">
      <w:pPr>
        <w:spacing w:line="400" w:lineRule="exact"/>
        <w:ind w:firstLine="424" w:firstLineChars="202"/>
        <w:jc w:val="left"/>
        <w:rPr>
          <w:rFonts w:ascii="宋体" w:hAnsi="宋体" w:cs="宋体"/>
          <w:szCs w:val="21"/>
        </w:rPr>
      </w:pPr>
      <w:r>
        <w:rPr>
          <w:rFonts w:hint="eastAsia" w:ascii="宋体" w:hAnsi="宋体" w:cs="宋体"/>
          <w:szCs w:val="21"/>
        </w:rPr>
        <w:t>（2）服务项目中伴随货物的，根据《财政部 发展改革委 生态环境部 市场监管总局关于调整优化节能产品、环境标志产品政府采购执行机制的通知》（财库〔2019〕9号）和《关于印发节能产品政府采购品目清单的通知》（财库〔2019〕19号）的规定，采购需求中的产品属于节能产品政府采购品目清单内标注“★”的（详见本章后附的节能产品政府采购品目清单），投标人的投标货物必须使用政府强制采购的节能产品，投标人必须在投标文件中提供所投标产品的节能产品认证证书复印件（加盖投标人电子公章），</w:t>
      </w:r>
      <w:r>
        <w:rPr>
          <w:rFonts w:hint="eastAsia" w:ascii="宋体" w:hAnsi="宋体" w:cs="宋体"/>
          <w:b/>
          <w:bCs/>
          <w:szCs w:val="21"/>
        </w:rPr>
        <w:t>否则投标文件作无效处理</w:t>
      </w:r>
      <w:r>
        <w:rPr>
          <w:rFonts w:hint="eastAsia" w:ascii="宋体" w:hAnsi="宋体" w:cs="宋体"/>
          <w:szCs w:val="21"/>
        </w:rPr>
        <w:t>。如本项目包含的货物属于品目清单内非标注“★”的产品时，应优先采购，具体详见“第四章 评标方法及评标标准”。</w:t>
      </w:r>
    </w:p>
    <w:p w14:paraId="1EECA226">
      <w:pPr>
        <w:spacing w:line="400" w:lineRule="exact"/>
        <w:ind w:firstLine="424" w:firstLineChars="202"/>
        <w:jc w:val="left"/>
        <w:rPr>
          <w:rFonts w:ascii="宋体" w:hAnsi="宋体" w:cs="宋体"/>
          <w:szCs w:val="21"/>
        </w:rPr>
      </w:pPr>
      <w:r>
        <w:rPr>
          <w:rFonts w:hint="eastAsia" w:ascii="宋体" w:hAnsi="宋体" w:cs="宋体"/>
          <w:szCs w:val="21"/>
        </w:rPr>
        <w:t>（3）根据《关于调整网络安全专用产品安全管理有关事项的公告》（2023年1号）规定，本服务项目中伴随的货物包含《网络关键设备和网络安全专用产品目录》的网络安全专用产品，投标人在投标文件中应主动列明供货范围中属于网络安全专用产品的投标产品，并</w:t>
      </w:r>
      <w:r>
        <w:rPr>
          <w:rFonts w:hint="eastAsia" w:ascii="宋体" w:hAnsi="宋体" w:cs="宋体"/>
          <w:b/>
          <w:szCs w:val="21"/>
        </w:rPr>
        <w:t>在投标文件（商务及技术文件）中提供由中国网信网（http://www.cac.gov.cn/index.htm）最新发布的《网络关键设备和网络安全专用产品安全认证和安全检测结果》截图证明材料，不在《网络关键设备和网络安全专用产品安全认证和安全检测结果》中或不在有效期内或未提供有效的《计算机信息系统安全专用产品销售许可证》的，按无效投标处理</w:t>
      </w:r>
      <w:r>
        <w:rPr>
          <w:rFonts w:hint="eastAsia" w:ascii="宋体" w:hAnsi="宋体" w:cs="宋体"/>
          <w:szCs w:val="21"/>
        </w:rPr>
        <w:t>。如属于《网络关键设备和网络安全专用产品目录》中“二、网络安全专用产品”内“产品类别”中的所描述的产品，但不属于所列“产品描述”情形的，应提供相应的说明及证明材料。</w:t>
      </w:r>
    </w:p>
    <w:p w14:paraId="7DF236C6">
      <w:pPr>
        <w:spacing w:line="360" w:lineRule="auto"/>
        <w:ind w:firstLine="424" w:firstLineChars="202"/>
        <w:jc w:val="left"/>
        <w:rPr>
          <w:rFonts w:ascii="宋体" w:hAnsi="宋体" w:cs="宋体"/>
          <w:szCs w:val="21"/>
        </w:rPr>
      </w:pPr>
      <w:r>
        <w:rPr>
          <w:rFonts w:hint="eastAsia" w:ascii="宋体" w:hAnsi="宋体" w:cs="宋体"/>
          <w:szCs w:val="21"/>
        </w:rPr>
        <w:t>2.“实质性要求”是指招标文件中已经指明不满足则投标无效的条款，或者不能负偏离的条款，或者采购需求中带“▲”的条款。</w:t>
      </w:r>
    </w:p>
    <w:p w14:paraId="59671C66">
      <w:pPr>
        <w:spacing w:line="360" w:lineRule="auto"/>
        <w:ind w:firstLine="424" w:firstLineChars="202"/>
        <w:jc w:val="left"/>
        <w:rPr>
          <w:rFonts w:ascii="宋体" w:hAnsi="宋体" w:cs="宋体"/>
          <w:szCs w:val="21"/>
        </w:rPr>
      </w:pPr>
      <w:r>
        <w:rPr>
          <w:rFonts w:hint="eastAsia" w:ascii="宋体" w:hAnsi="宋体" w:cs="宋体"/>
          <w:szCs w:val="21"/>
        </w:rPr>
        <w:t>3.不需要投标人对采购需求响应为具体数值的，此采购需求的数值后将以◆号标注。</w:t>
      </w:r>
    </w:p>
    <w:p w14:paraId="319ACA65">
      <w:pPr>
        <w:spacing w:line="360" w:lineRule="auto"/>
        <w:ind w:firstLine="420" w:firstLineChars="200"/>
        <w:jc w:val="left"/>
      </w:pPr>
      <w:r>
        <w:rPr>
          <w:rFonts w:hint="eastAsia" w:ascii="宋体" w:hAnsi="宋体" w:cs="宋体"/>
          <w:szCs w:val="21"/>
        </w:rPr>
        <w:t>4.</w:t>
      </w:r>
      <w:r>
        <w:rPr>
          <w:rFonts w:hint="eastAsia"/>
        </w:rPr>
        <w:t>如投标人投标产品存在侵犯他人的知识产权或者专利成果行为的，应承担相应法律责任。</w:t>
      </w:r>
    </w:p>
    <w:p w14:paraId="00705669">
      <w:pPr>
        <w:spacing w:line="360" w:lineRule="auto"/>
        <w:ind w:firstLine="420" w:firstLineChars="200"/>
        <w:jc w:val="left"/>
      </w:pPr>
    </w:p>
    <w:p w14:paraId="7678DE53">
      <w:pPr>
        <w:spacing w:line="360" w:lineRule="auto"/>
        <w:ind w:firstLine="420" w:firstLineChars="200"/>
        <w:jc w:val="left"/>
      </w:pPr>
      <w:r>
        <w:rPr>
          <w:rFonts w:hint="eastAsia"/>
        </w:rPr>
        <w:br w:type="page"/>
      </w:r>
    </w:p>
    <w:tbl>
      <w:tblPr>
        <w:tblStyle w:val="35"/>
        <w:tblW w:w="964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9"/>
        <w:gridCol w:w="654"/>
        <w:gridCol w:w="7007"/>
        <w:gridCol w:w="1317"/>
      </w:tblGrid>
      <w:tr w14:paraId="738292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669" w:type="dxa"/>
            <w:vAlign w:val="center"/>
          </w:tcPr>
          <w:p w14:paraId="0D7D2B46">
            <w:pPr>
              <w:spacing w:line="360" w:lineRule="exact"/>
              <w:rPr>
                <w:rFonts w:ascii="宋体" w:hAnsi="宋体"/>
                <w:color w:val="000000"/>
                <w:szCs w:val="21"/>
              </w:rPr>
            </w:pPr>
            <w:r>
              <w:rPr>
                <w:rFonts w:hint="eastAsia" w:ascii="宋体" w:hAnsi="宋体"/>
                <w:color w:val="000000"/>
                <w:szCs w:val="21"/>
              </w:rPr>
              <w:t>序号</w:t>
            </w:r>
          </w:p>
        </w:tc>
        <w:tc>
          <w:tcPr>
            <w:tcW w:w="654" w:type="dxa"/>
            <w:vAlign w:val="center"/>
          </w:tcPr>
          <w:p w14:paraId="7836F0B3">
            <w:pPr>
              <w:spacing w:line="360" w:lineRule="exact"/>
              <w:rPr>
                <w:rFonts w:ascii="宋体" w:hAnsi="宋体"/>
                <w:color w:val="000000"/>
                <w:szCs w:val="21"/>
              </w:rPr>
            </w:pPr>
            <w:r>
              <w:rPr>
                <w:rFonts w:hint="eastAsia" w:ascii="宋体" w:hAnsi="宋体"/>
                <w:color w:val="000000"/>
                <w:szCs w:val="21"/>
              </w:rPr>
              <w:t>服务名称</w:t>
            </w:r>
          </w:p>
        </w:tc>
        <w:tc>
          <w:tcPr>
            <w:tcW w:w="7007" w:type="dxa"/>
            <w:vAlign w:val="center"/>
          </w:tcPr>
          <w:p w14:paraId="71A43540">
            <w:pPr>
              <w:spacing w:line="360" w:lineRule="exact"/>
              <w:ind w:firstLine="640"/>
              <w:jc w:val="center"/>
              <w:rPr>
                <w:rFonts w:ascii="宋体" w:hAnsi="宋体"/>
                <w:color w:val="000000"/>
                <w:szCs w:val="21"/>
              </w:rPr>
            </w:pPr>
            <w:r>
              <w:rPr>
                <w:rFonts w:hint="eastAsia" w:ascii="宋体" w:hAnsi="宋体"/>
                <w:color w:val="000000"/>
                <w:szCs w:val="21"/>
              </w:rPr>
              <w:t>服务内容及要求</w:t>
            </w:r>
          </w:p>
        </w:tc>
        <w:tc>
          <w:tcPr>
            <w:tcW w:w="1317" w:type="dxa"/>
            <w:vAlign w:val="center"/>
          </w:tcPr>
          <w:p w14:paraId="4C126401">
            <w:pPr>
              <w:spacing w:line="360" w:lineRule="exact"/>
              <w:rPr>
                <w:rFonts w:ascii="宋体" w:hAnsi="宋体"/>
                <w:color w:val="000000"/>
                <w:szCs w:val="21"/>
              </w:rPr>
            </w:pPr>
            <w:r>
              <w:rPr>
                <w:rFonts w:hint="eastAsia" w:ascii="宋体" w:hAnsi="宋体"/>
                <w:color w:val="000000"/>
                <w:szCs w:val="21"/>
              </w:rPr>
              <w:t>分项预算合价（元）</w:t>
            </w:r>
          </w:p>
        </w:tc>
      </w:tr>
      <w:tr w14:paraId="7DA58A8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69" w:type="dxa"/>
            <w:vAlign w:val="center"/>
          </w:tcPr>
          <w:p w14:paraId="47A4B250">
            <w:pPr>
              <w:spacing w:line="360" w:lineRule="exact"/>
              <w:ind w:firstLine="210" w:firstLineChars="100"/>
              <w:rPr>
                <w:rFonts w:ascii="宋体" w:hAnsi="宋体"/>
                <w:color w:val="000000"/>
                <w:szCs w:val="21"/>
              </w:rPr>
            </w:pPr>
            <w:r>
              <w:rPr>
                <w:rFonts w:hint="eastAsia" w:ascii="宋体" w:hAnsi="宋体"/>
                <w:color w:val="000000"/>
                <w:szCs w:val="21"/>
              </w:rPr>
              <w:t>1</w:t>
            </w:r>
          </w:p>
          <w:p w14:paraId="134E1A20">
            <w:pPr>
              <w:spacing w:line="360" w:lineRule="exact"/>
              <w:rPr>
                <w:rFonts w:ascii="宋体" w:hAnsi="宋体"/>
                <w:color w:val="000000"/>
                <w:szCs w:val="21"/>
              </w:rPr>
            </w:pPr>
          </w:p>
        </w:tc>
        <w:tc>
          <w:tcPr>
            <w:tcW w:w="654" w:type="dxa"/>
            <w:vAlign w:val="center"/>
          </w:tcPr>
          <w:p w14:paraId="63F7D9F4">
            <w:pPr>
              <w:spacing w:line="360" w:lineRule="exact"/>
              <w:rPr>
                <w:rFonts w:ascii="宋体" w:hAnsi="宋体"/>
                <w:color w:val="000000"/>
                <w:szCs w:val="21"/>
              </w:rPr>
            </w:pPr>
            <w:r>
              <w:rPr>
                <w:rFonts w:hint="eastAsia" w:ascii="宋体" w:hAnsi="宋体" w:cs="Arial"/>
                <w:bCs/>
                <w:color w:val="000000"/>
                <w:kern w:val="0"/>
                <w:szCs w:val="21"/>
              </w:rPr>
              <w:t>南宁市乡镇规划数据规整入库</w:t>
            </w:r>
          </w:p>
        </w:tc>
        <w:tc>
          <w:tcPr>
            <w:tcW w:w="7007" w:type="dxa"/>
          </w:tcPr>
          <w:p w14:paraId="75551057">
            <w:pPr>
              <w:snapToGrid w:val="0"/>
              <w:spacing w:line="360" w:lineRule="exact"/>
              <w:ind w:firstLine="420" w:firstLineChars="200"/>
              <w:rPr>
                <w:rFonts w:ascii="宋体" w:hAnsi="宋体"/>
                <w:b/>
                <w:color w:val="000000"/>
                <w:szCs w:val="21"/>
              </w:rPr>
            </w:pPr>
            <w:r>
              <w:rPr>
                <w:rFonts w:hint="eastAsia" w:ascii="宋体" w:hAnsi="宋体"/>
                <w:color w:val="000000"/>
                <w:szCs w:val="21"/>
              </w:rPr>
              <w:t>▲</w:t>
            </w:r>
            <w:r>
              <w:rPr>
                <w:rFonts w:hint="eastAsia" w:ascii="宋体" w:hAnsi="宋体"/>
                <w:b/>
                <w:color w:val="000000"/>
                <w:szCs w:val="21"/>
              </w:rPr>
              <w:t>一、调查范围及主要内容</w:t>
            </w:r>
          </w:p>
          <w:p w14:paraId="3F0546EE">
            <w:pPr>
              <w:snapToGrid w:val="0"/>
              <w:spacing w:line="360" w:lineRule="exact"/>
              <w:ind w:firstLine="420" w:firstLineChars="200"/>
              <w:rPr>
                <w:rFonts w:ascii="宋体" w:hAnsi="宋体"/>
                <w:color w:val="000000"/>
              </w:rPr>
            </w:pPr>
            <w:r>
              <w:rPr>
                <w:rFonts w:hint="eastAsia" w:ascii="宋体" w:hAnsi="宋体"/>
                <w:color w:val="000000"/>
              </w:rPr>
              <w:t>对南宁市乡镇规划编制成果进行规范化整理、入库及发布更新。通过进一步完善南宁市规划成果数据库，以确保南宁市规划成果管理的现势性和准确性，提高南宁市自然资源信息化建设水平，为采购人规划决策、日常业务审批以及国土空间规划动态维护提供基础数据。控制性详细规划数据整理入库：总面积约为52平方公里。</w:t>
            </w:r>
            <w:r>
              <w:rPr>
                <w:rFonts w:ascii="宋体" w:hAnsi="宋体"/>
                <w:color w:val="000000"/>
              </w:rPr>
              <w:t xml:space="preserve"> </w:t>
            </w:r>
          </w:p>
          <w:p w14:paraId="202871DC">
            <w:pPr>
              <w:snapToGrid w:val="0"/>
              <w:spacing w:line="360" w:lineRule="exact"/>
              <w:ind w:firstLine="420" w:firstLineChars="200"/>
              <w:rPr>
                <w:rFonts w:ascii="宋体" w:hAnsi="宋体"/>
                <w:b/>
                <w:color w:val="000000"/>
                <w:szCs w:val="21"/>
              </w:rPr>
            </w:pPr>
            <w:r>
              <w:rPr>
                <w:rFonts w:hint="eastAsia" w:ascii="宋体" w:hAnsi="宋体"/>
                <w:color w:val="000000"/>
                <w:szCs w:val="21"/>
              </w:rPr>
              <w:t>▲</w:t>
            </w:r>
            <w:r>
              <w:rPr>
                <w:rFonts w:hint="eastAsia" w:ascii="宋体" w:hAnsi="宋体"/>
                <w:b/>
                <w:color w:val="000000"/>
                <w:szCs w:val="21"/>
              </w:rPr>
              <w:t>二、作业要求</w:t>
            </w:r>
          </w:p>
          <w:p w14:paraId="2566FB7A">
            <w:pPr>
              <w:snapToGrid w:val="0"/>
              <w:spacing w:line="360" w:lineRule="exact"/>
              <w:ind w:firstLine="420" w:firstLineChars="200"/>
              <w:rPr>
                <w:rFonts w:ascii="宋体" w:hAnsi="宋体"/>
                <w:b/>
                <w:color w:val="000000"/>
                <w:szCs w:val="21"/>
              </w:rPr>
            </w:pPr>
            <w:r>
              <w:rPr>
                <w:rFonts w:hint="eastAsia" w:ascii="宋体" w:hAnsi="宋体"/>
                <w:color w:val="000000"/>
                <w:szCs w:val="21"/>
              </w:rPr>
              <w:t>乡镇规划数据入库审查：</w:t>
            </w:r>
          </w:p>
          <w:p w14:paraId="2FE7167D">
            <w:pPr>
              <w:snapToGrid w:val="0"/>
              <w:spacing w:line="360" w:lineRule="exact"/>
              <w:ind w:firstLine="420" w:firstLineChars="200"/>
              <w:rPr>
                <w:rFonts w:ascii="宋体" w:hAnsi="宋体"/>
                <w:color w:val="000000"/>
                <w:szCs w:val="21"/>
              </w:rPr>
            </w:pPr>
            <w:r>
              <w:rPr>
                <w:rFonts w:hint="eastAsia" w:ascii="宋体" w:hAnsi="宋体"/>
                <w:color w:val="000000"/>
                <w:szCs w:val="21"/>
              </w:rPr>
              <w:t>1、对本项目乡镇规划成果数据进行全面的梳理，使用坐标系、数据类型、数据现势性等情况。</w:t>
            </w:r>
          </w:p>
          <w:p w14:paraId="280D73D0">
            <w:pPr>
              <w:snapToGrid w:val="0"/>
              <w:spacing w:line="360" w:lineRule="exact"/>
              <w:ind w:firstLine="420" w:firstLineChars="200"/>
              <w:rPr>
                <w:color w:val="000000"/>
                <w:szCs w:val="21"/>
              </w:rPr>
            </w:pPr>
            <w:r>
              <w:rPr>
                <w:rFonts w:hint="eastAsia" w:ascii="宋体" w:hAnsi="宋体"/>
                <w:color w:val="000000"/>
                <w:szCs w:val="21"/>
              </w:rPr>
              <w:t>2、规划成果数据规范化整理，采集属性信息，数据成果及数据库标准化检查。规划成果中所有地块的指标</w:t>
            </w:r>
            <w:r>
              <w:rPr>
                <w:rFonts w:ascii="宋体" w:hAnsi="宋体"/>
                <w:color w:val="000000"/>
                <w:szCs w:val="21"/>
              </w:rPr>
              <w:t>按照</w:t>
            </w:r>
            <w:r>
              <w:rPr>
                <w:rFonts w:hint="eastAsia" w:ascii="宋体" w:hAnsi="宋体"/>
                <w:color w:val="000000"/>
                <w:szCs w:val="21"/>
              </w:rPr>
              <w:t>南宁市自然资源局规划辅助审批系统</w:t>
            </w:r>
            <w:r>
              <w:rPr>
                <w:rFonts w:ascii="宋体" w:hAnsi="宋体"/>
                <w:color w:val="000000"/>
                <w:szCs w:val="21"/>
              </w:rPr>
              <w:t>一键入库的标准要求进行规整。</w:t>
            </w:r>
          </w:p>
          <w:p w14:paraId="669B6994">
            <w:pPr>
              <w:snapToGrid w:val="0"/>
              <w:spacing w:line="360" w:lineRule="exact"/>
              <w:ind w:firstLine="420" w:firstLineChars="200"/>
              <w:rPr>
                <w:rFonts w:ascii="宋体" w:hAnsi="宋体"/>
                <w:color w:val="000000"/>
                <w:szCs w:val="21"/>
              </w:rPr>
            </w:pPr>
            <w:r>
              <w:rPr>
                <w:rFonts w:hint="eastAsia" w:ascii="宋体" w:hAnsi="宋体"/>
                <w:color w:val="000000"/>
                <w:szCs w:val="21"/>
              </w:rPr>
              <w:t>3、数据精度要求：</w:t>
            </w:r>
          </w:p>
          <w:p w14:paraId="4920ED6F">
            <w:pPr>
              <w:snapToGrid w:val="0"/>
              <w:spacing w:line="360" w:lineRule="exact"/>
              <w:ind w:firstLine="420" w:firstLineChars="200"/>
              <w:rPr>
                <w:rFonts w:ascii="宋体" w:hAnsi="宋体"/>
                <w:color w:val="000000"/>
                <w:szCs w:val="21"/>
              </w:rPr>
            </w:pPr>
            <w:r>
              <w:rPr>
                <w:rFonts w:hint="eastAsia" w:ascii="宋体" w:hAnsi="宋体"/>
                <w:color w:val="000000"/>
                <w:szCs w:val="21"/>
              </w:rPr>
              <w:t>（1）坐标数据以米为基本单位</w:t>
            </w:r>
            <w:r>
              <w:rPr>
                <w:rFonts w:ascii="宋体" w:hAnsi="宋体"/>
                <w:color w:val="000000"/>
                <w:szCs w:val="21"/>
              </w:rPr>
              <w:t>；</w:t>
            </w:r>
          </w:p>
          <w:p w14:paraId="12A1D811">
            <w:pPr>
              <w:snapToGrid w:val="0"/>
              <w:spacing w:line="360" w:lineRule="exact"/>
              <w:ind w:firstLine="420" w:firstLineChars="200"/>
              <w:rPr>
                <w:rFonts w:ascii="宋体" w:hAnsi="宋体"/>
                <w:color w:val="000000"/>
                <w:szCs w:val="21"/>
              </w:rPr>
            </w:pPr>
            <w:r>
              <w:rPr>
                <w:rFonts w:hint="eastAsia" w:ascii="宋体" w:hAnsi="宋体"/>
                <w:color w:val="000000"/>
                <w:szCs w:val="21"/>
              </w:rPr>
              <w:t>（2）</w:t>
            </w:r>
            <w:r>
              <w:rPr>
                <w:color w:val="000000"/>
              </w:rPr>
              <w:t>容积率、绿地率、建筑密度、建筑高度等指标精度以指标图则为准；</w:t>
            </w:r>
          </w:p>
          <w:p w14:paraId="7B0ADE32">
            <w:pPr>
              <w:snapToGrid w:val="0"/>
              <w:spacing w:line="360" w:lineRule="exact"/>
              <w:ind w:firstLine="420" w:firstLineChars="200"/>
              <w:rPr>
                <w:rFonts w:ascii="宋体" w:hAnsi="宋体"/>
                <w:color w:val="000000"/>
                <w:szCs w:val="21"/>
              </w:rPr>
            </w:pPr>
            <w:r>
              <w:rPr>
                <w:rFonts w:hint="eastAsia" w:ascii="宋体" w:hAnsi="宋体"/>
                <w:color w:val="000000"/>
                <w:szCs w:val="21"/>
              </w:rPr>
              <w:t>（3）</w:t>
            </w:r>
            <w:r>
              <w:rPr>
                <w:color w:val="000000"/>
              </w:rPr>
              <w:t>人口单位按人计，学位单位按班计，面积单位按平方米计</w:t>
            </w:r>
            <w:r>
              <w:rPr>
                <w:rFonts w:hint="eastAsia" w:ascii="宋体" w:hAnsi="宋体"/>
                <w:color w:val="000000"/>
                <w:szCs w:val="21"/>
              </w:rPr>
              <w:t>。</w:t>
            </w:r>
          </w:p>
          <w:p w14:paraId="5F11359E">
            <w:pPr>
              <w:snapToGrid w:val="0"/>
              <w:spacing w:line="360" w:lineRule="exact"/>
              <w:ind w:firstLine="420" w:firstLineChars="200"/>
              <w:rPr>
                <w:rFonts w:ascii="宋体" w:hAnsi="宋体"/>
                <w:color w:val="000000"/>
                <w:szCs w:val="21"/>
              </w:rPr>
            </w:pPr>
            <w:r>
              <w:rPr>
                <w:rFonts w:hint="eastAsia" w:ascii="宋体" w:hAnsi="宋体"/>
                <w:color w:val="000000"/>
                <w:szCs w:val="21"/>
              </w:rPr>
              <w:t>4、根据不同类型的成果数据采取对应的入库方式：</w:t>
            </w:r>
          </w:p>
          <w:p w14:paraId="19B57EA8">
            <w:pPr>
              <w:snapToGrid w:val="0"/>
              <w:spacing w:line="360" w:lineRule="exact"/>
              <w:ind w:firstLine="420" w:firstLineChars="200"/>
              <w:rPr>
                <w:rFonts w:ascii="宋体" w:hAnsi="宋体"/>
                <w:color w:val="000000"/>
                <w:szCs w:val="21"/>
              </w:rPr>
            </w:pPr>
            <w:r>
              <w:rPr>
                <w:rFonts w:hint="eastAsia" w:ascii="宋体" w:hAnsi="宋体"/>
                <w:color w:val="000000"/>
                <w:szCs w:val="21"/>
              </w:rPr>
              <w:t>（1）将文档资料成果上传至南宁市规划成果库；</w:t>
            </w:r>
          </w:p>
          <w:p w14:paraId="23B99493">
            <w:pPr>
              <w:snapToGrid w:val="0"/>
              <w:spacing w:line="360" w:lineRule="exact"/>
              <w:ind w:firstLine="420" w:firstLineChars="200"/>
              <w:rPr>
                <w:rFonts w:ascii="宋体" w:hAnsi="宋体"/>
                <w:color w:val="000000"/>
                <w:szCs w:val="21"/>
              </w:rPr>
            </w:pPr>
            <w:r>
              <w:rPr>
                <w:rFonts w:hint="eastAsia" w:ascii="宋体" w:hAnsi="宋体"/>
                <w:color w:val="000000"/>
                <w:szCs w:val="21"/>
              </w:rPr>
              <w:t>（2）文件资料成果入库后，执行属性入库操作，将规整的矢量图形文件与指标属性表进行属性关联。</w:t>
            </w:r>
          </w:p>
          <w:p w14:paraId="36A634A9">
            <w:pPr>
              <w:snapToGrid w:val="0"/>
              <w:spacing w:line="360" w:lineRule="exact"/>
              <w:ind w:firstLine="420" w:firstLineChars="200"/>
              <w:rPr>
                <w:rFonts w:ascii="宋体" w:hAnsi="宋体"/>
                <w:color w:val="000000"/>
                <w:szCs w:val="21"/>
              </w:rPr>
            </w:pPr>
            <w:r>
              <w:rPr>
                <w:rFonts w:hint="eastAsia" w:ascii="宋体" w:hAnsi="宋体"/>
                <w:color w:val="000000"/>
                <w:szCs w:val="21"/>
              </w:rPr>
              <w:t>（3）同时将规整的矢量图形文件与指标属性表进行属性关联，通过</w:t>
            </w:r>
            <w:r>
              <w:rPr>
                <w:rFonts w:ascii="宋体" w:hAnsi="宋体"/>
                <w:color w:val="000000"/>
                <w:szCs w:val="21"/>
              </w:rPr>
              <w:t>数据库实现对空间数据的管理</w:t>
            </w:r>
          </w:p>
          <w:p w14:paraId="3D47613C">
            <w:pPr>
              <w:snapToGrid w:val="0"/>
              <w:spacing w:line="360" w:lineRule="exact"/>
              <w:ind w:firstLine="420" w:firstLineChars="200"/>
              <w:rPr>
                <w:rFonts w:ascii="宋体" w:hAnsi="宋体"/>
                <w:color w:val="000000"/>
                <w:szCs w:val="21"/>
              </w:rPr>
            </w:pPr>
            <w:r>
              <w:rPr>
                <w:rFonts w:hint="eastAsia" w:ascii="宋体" w:hAnsi="宋体"/>
                <w:color w:val="000000"/>
                <w:szCs w:val="21"/>
              </w:rPr>
              <w:t>5、数据服务发布：</w:t>
            </w:r>
          </w:p>
          <w:p w14:paraId="25A13043">
            <w:pPr>
              <w:snapToGrid w:val="0"/>
              <w:spacing w:line="360" w:lineRule="exact"/>
              <w:ind w:firstLine="420" w:firstLineChars="200"/>
              <w:rPr>
                <w:rFonts w:ascii="宋体" w:hAnsi="宋体"/>
                <w:color w:val="000000"/>
                <w:szCs w:val="21"/>
              </w:rPr>
            </w:pPr>
            <w:r>
              <w:rPr>
                <w:rFonts w:hint="eastAsia" w:ascii="宋体" w:hAnsi="宋体"/>
                <w:color w:val="000000"/>
                <w:szCs w:val="21"/>
              </w:rPr>
              <w:t>数据发布结果可以 “在</w:t>
            </w:r>
            <w:r>
              <w:rPr>
                <w:rFonts w:ascii="宋体" w:hAnsi="宋体"/>
                <w:color w:val="000000"/>
                <w:szCs w:val="21"/>
              </w:rPr>
              <w:t>Web浏览器以及其他客户端应用程序中使用此地图服务”</w:t>
            </w:r>
            <w:r>
              <w:rPr>
                <w:rFonts w:hint="eastAsia" w:ascii="宋体" w:hAnsi="宋体"/>
                <w:color w:val="000000"/>
                <w:szCs w:val="21"/>
              </w:rPr>
              <w:t>。</w:t>
            </w:r>
          </w:p>
          <w:p w14:paraId="38AFCF28">
            <w:pPr>
              <w:snapToGrid w:val="0"/>
              <w:spacing w:line="360" w:lineRule="exact"/>
              <w:ind w:firstLine="420" w:firstLineChars="200"/>
              <w:rPr>
                <w:rFonts w:ascii="宋体" w:hAnsi="宋体"/>
                <w:color w:val="000000"/>
                <w:szCs w:val="21"/>
              </w:rPr>
            </w:pPr>
            <w:r>
              <w:rPr>
                <w:rFonts w:hint="eastAsia" w:ascii="宋体" w:hAnsi="宋体"/>
                <w:color w:val="000000"/>
                <w:szCs w:val="21"/>
              </w:rPr>
              <w:t>6、衔接现有系统：将已成功入库的规划空间数据成果以数据地图服务的形式与南宁市自然资源电子政务综合云平台等数据应用平台相衔接，保证在南宁市自然资源电子政务综合云平台、南宁市国土空间规划“一张图”实施监督信息系统等南宁市自然资源局辅助办公系统及时更新。</w:t>
            </w:r>
          </w:p>
          <w:p w14:paraId="1A6E13D9">
            <w:pPr>
              <w:snapToGrid w:val="0"/>
              <w:spacing w:line="360" w:lineRule="exact"/>
              <w:ind w:firstLine="420" w:firstLineChars="200"/>
              <w:rPr>
                <w:rFonts w:ascii="宋体" w:hAnsi="宋体"/>
                <w:color w:val="000000"/>
                <w:szCs w:val="21"/>
              </w:rPr>
            </w:pPr>
            <w:r>
              <w:rPr>
                <w:rFonts w:hint="eastAsia" w:ascii="宋体" w:hAnsi="宋体"/>
                <w:color w:val="000000"/>
                <w:szCs w:val="21"/>
              </w:rPr>
              <w:t>7、与现运行的国土空间规划“一张图”实施监督系统衔接，确保南宁市乡镇规划成果数据库满足南宁市国土空间规划“一张图”的数据库建设标准并与之衔接，</w:t>
            </w:r>
            <w:r>
              <w:rPr>
                <w:rFonts w:ascii="宋体" w:hAnsi="宋体"/>
                <w:color w:val="000000"/>
                <w:szCs w:val="21"/>
              </w:rPr>
              <w:t>实现数据互通共享</w:t>
            </w:r>
            <w:r>
              <w:rPr>
                <w:rFonts w:hint="eastAsia" w:ascii="宋体" w:hAnsi="宋体"/>
                <w:color w:val="000000"/>
                <w:szCs w:val="21"/>
              </w:rPr>
              <w:t>。</w:t>
            </w:r>
          </w:p>
          <w:p w14:paraId="66A731C1">
            <w:pPr>
              <w:snapToGrid w:val="0"/>
              <w:spacing w:line="360" w:lineRule="exact"/>
              <w:ind w:firstLine="422" w:firstLineChars="200"/>
              <w:rPr>
                <w:rFonts w:ascii="宋体" w:hAnsi="宋体"/>
                <w:b/>
                <w:color w:val="000000"/>
                <w:szCs w:val="21"/>
              </w:rPr>
            </w:pPr>
            <w:r>
              <w:rPr>
                <w:rFonts w:hint="eastAsia" w:ascii="宋体" w:hAnsi="宋体"/>
                <w:b/>
                <w:color w:val="000000"/>
                <w:szCs w:val="21"/>
              </w:rPr>
              <w:t>三、作业规范及依据</w:t>
            </w:r>
          </w:p>
          <w:p w14:paraId="53E6AA8F">
            <w:pPr>
              <w:snapToGrid w:val="0"/>
              <w:spacing w:line="360" w:lineRule="exact"/>
              <w:ind w:firstLine="422" w:firstLineChars="200"/>
              <w:rPr>
                <w:rFonts w:ascii="宋体" w:hAnsi="宋体"/>
                <w:b/>
                <w:color w:val="000000"/>
                <w:szCs w:val="21"/>
              </w:rPr>
            </w:pPr>
            <w:r>
              <w:rPr>
                <w:rFonts w:hint="eastAsia" w:ascii="宋体" w:hAnsi="宋体"/>
                <w:b/>
                <w:color w:val="000000"/>
                <w:szCs w:val="21"/>
              </w:rPr>
              <w:t>1、政策法规</w:t>
            </w:r>
          </w:p>
          <w:p w14:paraId="63DD7E83">
            <w:pPr>
              <w:snapToGrid w:val="0"/>
              <w:spacing w:line="360" w:lineRule="exact"/>
              <w:ind w:firstLine="420" w:firstLineChars="200"/>
              <w:jc w:val="left"/>
              <w:rPr>
                <w:rFonts w:ascii="宋体" w:hAnsi="宋体"/>
                <w:color w:val="000000"/>
                <w:szCs w:val="21"/>
              </w:rPr>
            </w:pPr>
            <w:r>
              <w:rPr>
                <w:rFonts w:hint="eastAsia" w:ascii="宋体" w:hAnsi="宋体"/>
                <w:color w:val="000000"/>
                <w:szCs w:val="21"/>
              </w:rPr>
              <w:t>（1）《自然资源部办公厅关于加强国土空间规划监督管理的通知》（自然资办发〔</w:t>
            </w:r>
            <w:r>
              <w:rPr>
                <w:rFonts w:ascii="宋体" w:hAnsi="宋体"/>
                <w:color w:val="000000"/>
                <w:szCs w:val="21"/>
              </w:rPr>
              <w:t>2020〕27 号）</w:t>
            </w:r>
            <w:r>
              <w:rPr>
                <w:rFonts w:hint="eastAsia" w:ascii="宋体" w:hAnsi="宋体"/>
                <w:color w:val="000000"/>
                <w:szCs w:val="21"/>
              </w:rPr>
              <w:t>；</w:t>
            </w:r>
          </w:p>
          <w:p w14:paraId="41BDF4DF">
            <w:pPr>
              <w:snapToGrid w:val="0"/>
              <w:spacing w:line="360" w:lineRule="exact"/>
              <w:ind w:firstLine="420" w:firstLineChars="200"/>
              <w:jc w:val="left"/>
              <w:rPr>
                <w:rFonts w:ascii="宋体" w:hAnsi="宋体"/>
                <w:color w:val="000000"/>
                <w:szCs w:val="21"/>
              </w:rPr>
            </w:pPr>
            <w:r>
              <w:rPr>
                <w:rFonts w:hint="eastAsia" w:ascii="宋体" w:hAnsi="宋体"/>
                <w:color w:val="000000"/>
                <w:szCs w:val="21"/>
              </w:rPr>
              <w:t>（2）自然资源部办公厅关于印发《省级国土空间规划编制指南》（试行）的通知（自然资办发〔</w:t>
            </w:r>
            <w:r>
              <w:rPr>
                <w:rFonts w:ascii="宋体" w:hAnsi="宋体"/>
                <w:color w:val="000000"/>
                <w:szCs w:val="21"/>
              </w:rPr>
              <w:t>2020〕5号）</w:t>
            </w:r>
            <w:r>
              <w:rPr>
                <w:rFonts w:hint="eastAsia" w:ascii="宋体" w:hAnsi="宋体"/>
                <w:color w:val="000000"/>
                <w:szCs w:val="21"/>
              </w:rPr>
              <w:t>；</w:t>
            </w:r>
          </w:p>
          <w:p w14:paraId="3B50036F">
            <w:pPr>
              <w:snapToGrid w:val="0"/>
              <w:spacing w:line="360" w:lineRule="exact"/>
              <w:ind w:firstLine="420" w:firstLineChars="200"/>
              <w:jc w:val="left"/>
              <w:rPr>
                <w:rFonts w:ascii="宋体" w:hAnsi="宋体"/>
                <w:color w:val="000000"/>
                <w:szCs w:val="21"/>
              </w:rPr>
            </w:pPr>
            <w:r>
              <w:rPr>
                <w:rFonts w:hint="eastAsia" w:ascii="宋体" w:hAnsi="宋体"/>
                <w:color w:val="000000"/>
                <w:szCs w:val="21"/>
              </w:rPr>
              <w:t>（3）《关于建立国土空间规划体系并监督实施的若干意见》（中发〔2019〕18号）；</w:t>
            </w:r>
          </w:p>
          <w:p w14:paraId="64CC6085">
            <w:pPr>
              <w:snapToGrid w:val="0"/>
              <w:spacing w:line="360" w:lineRule="exact"/>
              <w:ind w:firstLine="420" w:firstLineChars="200"/>
              <w:rPr>
                <w:rFonts w:ascii="宋体" w:hAnsi="宋体"/>
                <w:color w:val="000000"/>
                <w:szCs w:val="21"/>
              </w:rPr>
            </w:pPr>
            <w:r>
              <w:rPr>
                <w:rFonts w:hint="eastAsia" w:ascii="宋体" w:hAnsi="宋体"/>
                <w:color w:val="000000"/>
                <w:szCs w:val="21"/>
              </w:rPr>
              <w:t>（4）《自然资源部关于进一步加强国土空间规划编制和实施管理的通知》（自然资发〔</w:t>
            </w:r>
            <w:r>
              <w:rPr>
                <w:rFonts w:ascii="宋体" w:hAnsi="宋体"/>
                <w:color w:val="000000"/>
                <w:szCs w:val="21"/>
              </w:rPr>
              <w:t>2022〕186号）</w:t>
            </w:r>
            <w:r>
              <w:rPr>
                <w:rFonts w:hint="eastAsia" w:ascii="宋体" w:hAnsi="宋体"/>
                <w:color w:val="000000"/>
                <w:szCs w:val="21"/>
              </w:rPr>
              <w:t>；</w:t>
            </w:r>
          </w:p>
          <w:p w14:paraId="1872B17E">
            <w:pPr>
              <w:snapToGrid w:val="0"/>
              <w:spacing w:line="360" w:lineRule="exact"/>
              <w:ind w:firstLine="420" w:firstLineChars="200"/>
              <w:rPr>
                <w:rFonts w:ascii="宋体" w:hAnsi="宋体"/>
                <w:color w:val="000000"/>
                <w:szCs w:val="21"/>
              </w:rPr>
            </w:pPr>
            <w:r>
              <w:rPr>
                <w:rFonts w:hint="eastAsia" w:ascii="宋体" w:hAnsi="宋体"/>
                <w:color w:val="000000"/>
                <w:szCs w:val="21"/>
              </w:rPr>
              <w:t>（5）《自然资源部关于加强国土空间详细规划工作的通知》（自然资发</w:t>
            </w:r>
            <w:r>
              <w:rPr>
                <w:rFonts w:ascii="宋体" w:hAnsi="宋体"/>
                <w:color w:val="000000"/>
                <w:szCs w:val="21"/>
              </w:rPr>
              <w:t>[2023]43号）</w:t>
            </w:r>
            <w:r>
              <w:rPr>
                <w:rFonts w:hint="eastAsia" w:ascii="宋体" w:hAnsi="宋体"/>
                <w:color w:val="000000"/>
                <w:szCs w:val="21"/>
              </w:rPr>
              <w:t>；</w:t>
            </w:r>
          </w:p>
          <w:p w14:paraId="074B4AEC">
            <w:pPr>
              <w:snapToGrid w:val="0"/>
              <w:spacing w:line="360" w:lineRule="exact"/>
              <w:ind w:firstLine="420" w:firstLineChars="200"/>
              <w:rPr>
                <w:rFonts w:ascii="宋体" w:hAnsi="宋体"/>
                <w:color w:val="000000"/>
                <w:szCs w:val="21"/>
              </w:rPr>
            </w:pPr>
            <w:r>
              <w:rPr>
                <w:rFonts w:hint="eastAsia" w:ascii="宋体" w:hAnsi="宋体"/>
                <w:color w:val="000000"/>
                <w:szCs w:val="21"/>
              </w:rPr>
              <w:t>（6）《自然资源部关于加强和规范规划实施监督管理工作的通知》（自然资发〔</w:t>
            </w:r>
            <w:r>
              <w:rPr>
                <w:rFonts w:ascii="宋体" w:hAnsi="宋体"/>
                <w:color w:val="000000"/>
                <w:szCs w:val="21"/>
              </w:rPr>
              <w:t>2023〕237号）</w:t>
            </w:r>
            <w:r>
              <w:rPr>
                <w:rFonts w:hint="eastAsia" w:ascii="宋体" w:hAnsi="宋体"/>
                <w:color w:val="000000"/>
                <w:szCs w:val="21"/>
              </w:rPr>
              <w:t>；</w:t>
            </w:r>
          </w:p>
          <w:p w14:paraId="6B8BF53B">
            <w:pPr>
              <w:snapToGrid w:val="0"/>
              <w:spacing w:line="360" w:lineRule="exact"/>
              <w:ind w:firstLine="420" w:firstLineChars="200"/>
              <w:rPr>
                <w:color w:val="000000"/>
              </w:rPr>
            </w:pPr>
            <w:r>
              <w:rPr>
                <w:rFonts w:hint="eastAsia" w:ascii="宋体" w:hAnsi="宋体"/>
                <w:color w:val="000000"/>
                <w:szCs w:val="21"/>
              </w:rPr>
              <w:t>（7）《广西壮族自治区自然资源厅办公室关于加强和规范城镇开发边界内控制性详细规划编制管理的通知》（桂自然资发</w:t>
            </w:r>
            <w:r>
              <w:rPr>
                <w:rFonts w:ascii="宋体" w:hAnsi="宋体"/>
                <w:color w:val="000000"/>
                <w:szCs w:val="21"/>
              </w:rPr>
              <w:t>[2022]72号）</w:t>
            </w:r>
            <w:r>
              <w:rPr>
                <w:rFonts w:hint="eastAsia" w:ascii="宋体" w:hAnsi="宋体"/>
                <w:color w:val="000000"/>
                <w:szCs w:val="21"/>
              </w:rPr>
              <w:t>。</w:t>
            </w:r>
          </w:p>
          <w:p w14:paraId="5A7D9C3E">
            <w:pPr>
              <w:snapToGrid w:val="0"/>
              <w:spacing w:line="360" w:lineRule="exact"/>
              <w:ind w:firstLine="422" w:firstLineChars="200"/>
              <w:rPr>
                <w:rFonts w:ascii="宋体" w:hAnsi="宋体"/>
                <w:b/>
                <w:color w:val="000000"/>
                <w:szCs w:val="21"/>
              </w:rPr>
            </w:pPr>
            <w:r>
              <w:rPr>
                <w:rFonts w:hint="eastAsia" w:ascii="宋体" w:hAnsi="宋体"/>
                <w:b/>
                <w:color w:val="000000"/>
                <w:szCs w:val="21"/>
              </w:rPr>
              <w:t>2、规程规范</w:t>
            </w:r>
          </w:p>
          <w:p w14:paraId="36CA37D2">
            <w:pPr>
              <w:snapToGrid w:val="0"/>
              <w:spacing w:line="360" w:lineRule="exact"/>
              <w:ind w:firstLine="420" w:firstLineChars="200"/>
              <w:rPr>
                <w:rFonts w:ascii="宋体" w:hAnsi="宋体"/>
                <w:color w:val="000000"/>
                <w:szCs w:val="21"/>
              </w:rPr>
            </w:pPr>
            <w:r>
              <w:rPr>
                <w:rFonts w:hint="eastAsia" w:ascii="宋体" w:hAnsi="宋体"/>
                <w:color w:val="000000"/>
                <w:szCs w:val="21"/>
              </w:rPr>
              <w:t>（1）《中华人民共和国城乡规划法》主席令（第七十四号）；</w:t>
            </w:r>
          </w:p>
          <w:p w14:paraId="0F15D3E2">
            <w:pPr>
              <w:snapToGrid w:val="0"/>
              <w:spacing w:line="360" w:lineRule="exact"/>
              <w:ind w:firstLine="420" w:firstLineChars="200"/>
              <w:rPr>
                <w:rFonts w:ascii="宋体" w:hAnsi="宋体"/>
                <w:color w:val="000000"/>
                <w:szCs w:val="21"/>
              </w:rPr>
            </w:pPr>
            <w:r>
              <w:rPr>
                <w:rFonts w:hint="eastAsia" w:ascii="宋体" w:hAnsi="宋体"/>
                <w:color w:val="000000"/>
                <w:szCs w:val="21"/>
              </w:rPr>
              <w:t>（2）《村庄和集镇规划建设管理条例》国务院令第</w:t>
            </w:r>
            <w:r>
              <w:rPr>
                <w:rFonts w:ascii="宋体" w:hAnsi="宋体"/>
                <w:color w:val="000000"/>
                <w:szCs w:val="21"/>
              </w:rPr>
              <w:t>116号</w:t>
            </w:r>
            <w:r>
              <w:rPr>
                <w:rFonts w:hint="eastAsia" w:ascii="宋体" w:hAnsi="宋体"/>
                <w:color w:val="000000"/>
                <w:szCs w:val="21"/>
              </w:rPr>
              <w:t>；</w:t>
            </w:r>
          </w:p>
          <w:p w14:paraId="0AAD82CF">
            <w:pPr>
              <w:snapToGrid w:val="0"/>
              <w:spacing w:line="360" w:lineRule="exact"/>
              <w:ind w:firstLine="420" w:firstLineChars="200"/>
              <w:rPr>
                <w:rFonts w:ascii="宋体" w:hAnsi="宋体"/>
                <w:color w:val="000000"/>
                <w:szCs w:val="21"/>
              </w:rPr>
            </w:pPr>
            <w:r>
              <w:rPr>
                <w:rFonts w:hint="eastAsia" w:ascii="宋体" w:hAnsi="宋体"/>
                <w:color w:val="000000"/>
                <w:szCs w:val="21"/>
              </w:rPr>
              <w:t>（3）《省域城镇体系规划编制审批办法》住房城乡建设部令第</w:t>
            </w:r>
            <w:r>
              <w:rPr>
                <w:rFonts w:ascii="宋体" w:hAnsi="宋体"/>
                <w:color w:val="000000"/>
                <w:szCs w:val="21"/>
              </w:rPr>
              <w:t>3号</w:t>
            </w:r>
            <w:r>
              <w:rPr>
                <w:rFonts w:hint="eastAsia" w:ascii="宋体" w:hAnsi="宋体"/>
                <w:color w:val="000000"/>
                <w:szCs w:val="21"/>
              </w:rPr>
              <w:t>；</w:t>
            </w:r>
          </w:p>
          <w:p w14:paraId="57A67AAA">
            <w:pPr>
              <w:snapToGrid w:val="0"/>
              <w:spacing w:line="360" w:lineRule="exact"/>
              <w:ind w:firstLine="420" w:firstLineChars="200"/>
              <w:rPr>
                <w:rFonts w:ascii="宋体" w:hAnsi="宋体"/>
                <w:color w:val="000000"/>
                <w:szCs w:val="21"/>
              </w:rPr>
            </w:pPr>
            <w:r>
              <w:rPr>
                <w:rFonts w:hint="eastAsia" w:ascii="宋体" w:hAnsi="宋体"/>
                <w:color w:val="000000"/>
                <w:szCs w:val="21"/>
              </w:rPr>
              <w:t>（4）《城市规划基本术语标准》</w:t>
            </w:r>
            <w:r>
              <w:rPr>
                <w:rFonts w:ascii="宋体" w:hAnsi="宋体"/>
                <w:color w:val="000000"/>
                <w:szCs w:val="21"/>
              </w:rPr>
              <w:t>GB/T 50280—98</w:t>
            </w:r>
            <w:r>
              <w:rPr>
                <w:rFonts w:hint="eastAsia" w:ascii="宋体" w:hAnsi="宋体"/>
                <w:color w:val="000000"/>
                <w:szCs w:val="21"/>
              </w:rPr>
              <w:t>；</w:t>
            </w:r>
          </w:p>
          <w:p w14:paraId="69221183">
            <w:pPr>
              <w:snapToGrid w:val="0"/>
              <w:spacing w:line="360" w:lineRule="exact"/>
              <w:ind w:firstLine="420" w:firstLineChars="200"/>
              <w:rPr>
                <w:rFonts w:ascii="宋体" w:hAnsi="宋体"/>
                <w:color w:val="000000"/>
                <w:szCs w:val="21"/>
              </w:rPr>
            </w:pPr>
            <w:r>
              <w:rPr>
                <w:rFonts w:hint="eastAsia" w:ascii="宋体" w:hAnsi="宋体"/>
                <w:color w:val="000000"/>
                <w:szCs w:val="21"/>
              </w:rPr>
              <w:t>（5）《南宁市城市规划管理技术规定》</w:t>
            </w:r>
            <w:r>
              <w:rPr>
                <w:rFonts w:ascii="宋体" w:hAnsi="宋体"/>
                <w:color w:val="000000"/>
                <w:szCs w:val="21"/>
              </w:rPr>
              <w:t>2011年版</w:t>
            </w:r>
            <w:r>
              <w:rPr>
                <w:rFonts w:hint="eastAsia" w:ascii="宋体" w:hAnsi="宋体"/>
                <w:color w:val="000000"/>
                <w:szCs w:val="21"/>
              </w:rPr>
              <w:t>；</w:t>
            </w:r>
          </w:p>
          <w:p w14:paraId="6D03046B">
            <w:pPr>
              <w:snapToGrid w:val="0"/>
              <w:spacing w:line="360" w:lineRule="exact"/>
              <w:ind w:firstLine="420" w:firstLineChars="200"/>
              <w:rPr>
                <w:rFonts w:ascii="宋体" w:hAnsi="宋体"/>
                <w:color w:val="000000"/>
                <w:szCs w:val="21"/>
              </w:rPr>
            </w:pPr>
            <w:r>
              <w:rPr>
                <w:rFonts w:hint="eastAsia" w:ascii="宋体" w:hAnsi="宋体"/>
                <w:color w:val="000000"/>
                <w:szCs w:val="21"/>
              </w:rPr>
              <w:t>（6）《基础地理信息标准数据基本规定》</w:t>
            </w:r>
            <w:r>
              <w:rPr>
                <w:rFonts w:ascii="宋体" w:hAnsi="宋体"/>
                <w:color w:val="000000"/>
                <w:szCs w:val="21"/>
              </w:rPr>
              <w:t>GB 21139-2007</w:t>
            </w:r>
            <w:r>
              <w:rPr>
                <w:rFonts w:hint="eastAsia" w:ascii="宋体" w:hAnsi="宋体"/>
                <w:color w:val="000000"/>
                <w:szCs w:val="21"/>
              </w:rPr>
              <w:t>；</w:t>
            </w:r>
          </w:p>
          <w:p w14:paraId="2AA158C7">
            <w:pPr>
              <w:snapToGrid w:val="0"/>
              <w:spacing w:line="360" w:lineRule="exact"/>
              <w:ind w:firstLine="420" w:firstLineChars="200"/>
              <w:rPr>
                <w:rFonts w:ascii="宋体" w:hAnsi="宋体"/>
                <w:color w:val="000000"/>
                <w:szCs w:val="21"/>
              </w:rPr>
            </w:pPr>
            <w:r>
              <w:rPr>
                <w:rFonts w:hint="eastAsia" w:ascii="宋体" w:hAnsi="宋体"/>
                <w:color w:val="000000"/>
                <w:szCs w:val="21"/>
              </w:rPr>
              <w:t>（7）《地理空间数据交换格式》</w:t>
            </w:r>
            <w:r>
              <w:rPr>
                <w:rFonts w:ascii="宋体" w:hAnsi="宋体"/>
                <w:color w:val="000000"/>
                <w:szCs w:val="21"/>
              </w:rPr>
              <w:t>GB/T 17798-2007</w:t>
            </w:r>
            <w:r>
              <w:rPr>
                <w:rFonts w:hint="eastAsia" w:ascii="宋体" w:hAnsi="宋体"/>
                <w:color w:val="000000"/>
                <w:szCs w:val="21"/>
              </w:rPr>
              <w:t>；</w:t>
            </w:r>
          </w:p>
          <w:p w14:paraId="602BFE38">
            <w:pPr>
              <w:snapToGrid w:val="0"/>
              <w:spacing w:line="360" w:lineRule="exact"/>
              <w:ind w:firstLine="420" w:firstLineChars="200"/>
              <w:rPr>
                <w:rFonts w:ascii="宋体" w:hAnsi="宋体"/>
                <w:color w:val="000000"/>
                <w:szCs w:val="21"/>
              </w:rPr>
            </w:pPr>
            <w:r>
              <w:rPr>
                <w:rFonts w:hint="eastAsia" w:ascii="宋体" w:hAnsi="宋体"/>
                <w:color w:val="000000"/>
                <w:szCs w:val="21"/>
              </w:rPr>
              <w:t>（8）《地理信息</w:t>
            </w:r>
            <w:r>
              <w:rPr>
                <w:rFonts w:ascii="宋体" w:hAnsi="宋体"/>
                <w:color w:val="000000"/>
                <w:szCs w:val="21"/>
              </w:rPr>
              <w:t xml:space="preserve"> 元数据》GB/T 19710-20</w:t>
            </w:r>
            <w:r>
              <w:rPr>
                <w:rFonts w:hint="eastAsia" w:ascii="宋体" w:hAnsi="宋体"/>
                <w:color w:val="000000"/>
                <w:szCs w:val="21"/>
              </w:rPr>
              <w:t>23；</w:t>
            </w:r>
          </w:p>
          <w:p w14:paraId="42F96CF4">
            <w:pPr>
              <w:snapToGrid w:val="0"/>
              <w:spacing w:line="360" w:lineRule="exact"/>
              <w:ind w:firstLine="420" w:firstLineChars="200"/>
              <w:rPr>
                <w:rFonts w:ascii="宋体" w:hAnsi="宋体"/>
                <w:color w:val="000000"/>
                <w:szCs w:val="21"/>
              </w:rPr>
            </w:pPr>
            <w:r>
              <w:rPr>
                <w:rFonts w:hint="eastAsia" w:ascii="宋体" w:hAnsi="宋体"/>
                <w:color w:val="000000"/>
                <w:szCs w:val="21"/>
              </w:rPr>
              <w:t>（9）《数字测绘产品检查验收规定和质量评定》</w:t>
            </w:r>
            <w:r>
              <w:rPr>
                <w:rFonts w:ascii="宋体" w:hAnsi="宋体"/>
                <w:color w:val="000000"/>
                <w:szCs w:val="21"/>
              </w:rPr>
              <w:t>GB/T 18316-2008</w:t>
            </w:r>
            <w:r>
              <w:rPr>
                <w:rFonts w:hint="eastAsia" w:ascii="宋体" w:hAnsi="宋体"/>
                <w:color w:val="000000"/>
                <w:szCs w:val="21"/>
              </w:rPr>
              <w:t>；</w:t>
            </w:r>
          </w:p>
          <w:p w14:paraId="4B7A48A2">
            <w:pPr>
              <w:snapToGrid w:val="0"/>
              <w:spacing w:line="360" w:lineRule="exact"/>
              <w:ind w:firstLine="420" w:firstLineChars="200"/>
              <w:rPr>
                <w:rFonts w:ascii="宋体" w:hAnsi="宋体"/>
                <w:color w:val="000000"/>
                <w:szCs w:val="21"/>
              </w:rPr>
            </w:pPr>
            <w:r>
              <w:rPr>
                <w:rFonts w:hint="eastAsia" w:ascii="宋体" w:hAnsi="宋体"/>
                <w:color w:val="000000"/>
                <w:szCs w:val="21"/>
              </w:rPr>
              <w:t>（10）《自然资源部 城镇开发边界内详细规划数据库规范（试行）》；</w:t>
            </w:r>
          </w:p>
          <w:p w14:paraId="229B7874">
            <w:pPr>
              <w:snapToGrid w:val="0"/>
              <w:spacing w:line="360" w:lineRule="exact"/>
              <w:ind w:firstLine="420" w:firstLineChars="200"/>
              <w:rPr>
                <w:rFonts w:ascii="宋体" w:hAnsi="宋体"/>
                <w:color w:val="000000"/>
                <w:szCs w:val="21"/>
              </w:rPr>
            </w:pPr>
            <w:r>
              <w:rPr>
                <w:rFonts w:hint="eastAsia" w:ascii="宋体" w:hAnsi="宋体"/>
                <w:color w:val="000000"/>
                <w:szCs w:val="21"/>
              </w:rPr>
              <w:t>（11）《自然资源部 国土空间调查、规划、用途管制用地用海分类指南》；</w:t>
            </w:r>
          </w:p>
          <w:p w14:paraId="030DB465">
            <w:pPr>
              <w:snapToGrid w:val="0"/>
              <w:spacing w:line="360" w:lineRule="exact"/>
              <w:ind w:firstLine="420" w:firstLineChars="200"/>
              <w:rPr>
                <w:rFonts w:ascii="宋体" w:hAnsi="宋体"/>
                <w:color w:val="000000"/>
                <w:szCs w:val="21"/>
              </w:rPr>
            </w:pPr>
            <w:r>
              <w:rPr>
                <w:rFonts w:hint="eastAsia" w:ascii="宋体" w:hAnsi="宋体"/>
                <w:color w:val="000000"/>
                <w:szCs w:val="21"/>
              </w:rPr>
              <w:t>（12）《广西壮族自治区城镇开发边界内控制性详细规划编制导则（试行）》；</w:t>
            </w:r>
          </w:p>
          <w:p w14:paraId="282F55B4">
            <w:pPr>
              <w:snapToGrid w:val="0"/>
              <w:spacing w:line="360" w:lineRule="exact"/>
              <w:ind w:firstLine="420" w:firstLineChars="200"/>
              <w:rPr>
                <w:rFonts w:ascii="宋体" w:hAnsi="宋体"/>
                <w:color w:val="000000"/>
                <w:szCs w:val="21"/>
              </w:rPr>
            </w:pPr>
            <w:r>
              <w:rPr>
                <w:rFonts w:hint="eastAsia" w:ascii="宋体" w:hAnsi="宋体"/>
                <w:color w:val="000000"/>
                <w:szCs w:val="21"/>
              </w:rPr>
              <w:t>（13）《广西壮族自治区城镇开发边界内控制性详细规划数据库标准（试行）》；</w:t>
            </w:r>
          </w:p>
          <w:p w14:paraId="3A78A081">
            <w:pPr>
              <w:snapToGrid w:val="0"/>
              <w:spacing w:line="360" w:lineRule="exact"/>
              <w:ind w:firstLine="420" w:firstLineChars="200"/>
              <w:rPr>
                <w:rFonts w:ascii="宋体" w:hAnsi="宋体"/>
                <w:color w:val="000000"/>
                <w:szCs w:val="21"/>
              </w:rPr>
            </w:pPr>
            <w:bookmarkStart w:id="9" w:name="OLE_LINK4"/>
            <w:bookmarkStart w:id="10" w:name="OLE_LINK3"/>
            <w:r>
              <w:rPr>
                <w:rFonts w:hint="eastAsia" w:ascii="宋体" w:hAnsi="宋体"/>
                <w:color w:val="000000"/>
                <w:szCs w:val="21"/>
              </w:rPr>
              <w:t>（14）《</w:t>
            </w:r>
            <w:r>
              <w:rPr>
                <w:rFonts w:ascii="宋体" w:hAnsi="宋体"/>
                <w:color w:val="000000"/>
                <w:szCs w:val="21"/>
              </w:rPr>
              <w:t xml:space="preserve">GB50137-2011 </w:t>
            </w:r>
            <w:r>
              <w:rPr>
                <w:rFonts w:hint="eastAsia" w:ascii="宋体" w:hAnsi="宋体"/>
                <w:color w:val="000000"/>
                <w:szCs w:val="21"/>
              </w:rPr>
              <w:t>城市用地分类与规划建设用地标准》；</w:t>
            </w:r>
          </w:p>
          <w:bookmarkEnd w:id="9"/>
          <w:bookmarkEnd w:id="10"/>
          <w:p w14:paraId="1545FBCC">
            <w:pPr>
              <w:snapToGrid w:val="0"/>
              <w:spacing w:line="360" w:lineRule="exact"/>
              <w:ind w:firstLine="420" w:firstLineChars="200"/>
              <w:rPr>
                <w:rFonts w:ascii="宋体" w:hAnsi="宋体"/>
                <w:color w:val="000000"/>
                <w:szCs w:val="21"/>
              </w:rPr>
            </w:pPr>
            <w:r>
              <w:rPr>
                <w:rFonts w:hint="eastAsia" w:ascii="宋体" w:hAnsi="宋体"/>
                <w:color w:val="000000"/>
                <w:szCs w:val="21"/>
              </w:rPr>
              <w:t>（15）《南宁市控制性详细规划编技术导则》；</w:t>
            </w:r>
          </w:p>
          <w:p w14:paraId="79F565A4">
            <w:pPr>
              <w:snapToGrid w:val="0"/>
              <w:spacing w:line="360" w:lineRule="exact"/>
              <w:ind w:firstLine="420" w:firstLineChars="200"/>
              <w:rPr>
                <w:color w:val="000000"/>
              </w:rPr>
            </w:pPr>
            <w:r>
              <w:rPr>
                <w:rFonts w:hint="eastAsia" w:ascii="宋体" w:hAnsi="宋体"/>
                <w:color w:val="000000"/>
                <w:szCs w:val="21"/>
              </w:rPr>
              <w:t>（16）《南宁市控制性详细规划数据入库标准》。</w:t>
            </w:r>
          </w:p>
          <w:p w14:paraId="7A4980D0">
            <w:pPr>
              <w:snapToGrid w:val="0"/>
              <w:spacing w:line="360" w:lineRule="exact"/>
              <w:ind w:firstLine="422" w:firstLineChars="200"/>
              <w:rPr>
                <w:rFonts w:ascii="宋体" w:hAnsi="宋体"/>
                <w:b/>
                <w:color w:val="000000"/>
                <w:szCs w:val="21"/>
              </w:rPr>
            </w:pPr>
            <w:r>
              <w:rPr>
                <w:rFonts w:hint="eastAsia" w:ascii="宋体" w:hAnsi="宋体"/>
                <w:b/>
                <w:color w:val="000000"/>
                <w:szCs w:val="21"/>
              </w:rPr>
              <w:t>▲四、技术要求</w:t>
            </w:r>
          </w:p>
          <w:p w14:paraId="26E7E14F">
            <w:pPr>
              <w:snapToGrid w:val="0"/>
              <w:spacing w:line="360" w:lineRule="exact"/>
              <w:ind w:firstLine="420" w:firstLineChars="200"/>
              <w:rPr>
                <w:rFonts w:ascii="宋体" w:hAnsi="宋体"/>
                <w:color w:val="000000"/>
                <w:szCs w:val="21"/>
              </w:rPr>
            </w:pPr>
            <w:r>
              <w:rPr>
                <w:rFonts w:hint="eastAsia" w:ascii="宋体" w:hAnsi="宋体"/>
                <w:color w:val="000000"/>
                <w:szCs w:val="21"/>
              </w:rPr>
              <w:t>1、平面坐标系统：采用2000国家大地坐标系；</w:t>
            </w:r>
          </w:p>
          <w:p w14:paraId="02B2821F">
            <w:pPr>
              <w:snapToGrid w:val="0"/>
              <w:spacing w:line="360" w:lineRule="exact"/>
              <w:ind w:firstLine="420" w:firstLineChars="200"/>
              <w:rPr>
                <w:rFonts w:ascii="宋体" w:hAnsi="宋体"/>
                <w:color w:val="000000"/>
                <w:szCs w:val="21"/>
              </w:rPr>
            </w:pPr>
            <w:r>
              <w:rPr>
                <w:rFonts w:hint="eastAsia" w:ascii="宋体" w:hAnsi="宋体"/>
                <w:color w:val="000000"/>
                <w:szCs w:val="21"/>
              </w:rPr>
              <w:t>2、投影方式：高斯-克吕格投影；</w:t>
            </w:r>
          </w:p>
          <w:p w14:paraId="655C306C">
            <w:pPr>
              <w:snapToGrid w:val="0"/>
              <w:spacing w:line="360" w:lineRule="exact"/>
              <w:ind w:firstLine="420" w:firstLineChars="200"/>
              <w:rPr>
                <w:rFonts w:ascii="宋体" w:hAnsi="宋体"/>
                <w:color w:val="000000"/>
                <w:szCs w:val="21"/>
              </w:rPr>
            </w:pPr>
            <w:r>
              <w:rPr>
                <w:rFonts w:hint="eastAsia" w:ascii="宋体" w:hAnsi="宋体"/>
                <w:color w:val="000000"/>
                <w:szCs w:val="21"/>
              </w:rPr>
              <w:t>3、投影分带：按3°分带；</w:t>
            </w:r>
          </w:p>
          <w:p w14:paraId="18DE8438">
            <w:pPr>
              <w:snapToGrid w:val="0"/>
              <w:spacing w:line="360" w:lineRule="exact"/>
              <w:ind w:firstLine="420" w:firstLineChars="200"/>
              <w:rPr>
                <w:rFonts w:ascii="宋体" w:hAnsi="宋体"/>
                <w:color w:val="000000"/>
                <w:szCs w:val="21"/>
              </w:rPr>
            </w:pPr>
            <w:r>
              <w:rPr>
                <w:rFonts w:hint="eastAsia" w:ascii="宋体" w:hAnsi="宋体"/>
                <w:color w:val="000000"/>
                <w:szCs w:val="21"/>
              </w:rPr>
              <w:t>4、高程系统：1985国家高程基准。</w:t>
            </w:r>
          </w:p>
          <w:p w14:paraId="00FC746D">
            <w:pPr>
              <w:snapToGrid w:val="0"/>
              <w:spacing w:line="360" w:lineRule="exact"/>
              <w:ind w:firstLine="420" w:firstLineChars="200"/>
              <w:rPr>
                <w:rFonts w:ascii="宋体" w:hAnsi="宋体"/>
                <w:b/>
                <w:color w:val="000000"/>
                <w:szCs w:val="21"/>
              </w:rPr>
            </w:pPr>
            <w:r>
              <w:rPr>
                <w:rFonts w:hint="eastAsia" w:ascii="宋体" w:hAnsi="宋体"/>
                <w:color w:val="000000"/>
                <w:szCs w:val="21"/>
              </w:rPr>
              <w:t>▲</w:t>
            </w:r>
            <w:r>
              <w:rPr>
                <w:rFonts w:hint="eastAsia" w:ascii="宋体" w:hAnsi="宋体"/>
                <w:b/>
                <w:color w:val="000000"/>
                <w:szCs w:val="21"/>
              </w:rPr>
              <w:t>五、检查要求</w:t>
            </w:r>
          </w:p>
          <w:p w14:paraId="4802971F">
            <w:pPr>
              <w:snapToGrid w:val="0"/>
              <w:spacing w:line="360" w:lineRule="exact"/>
              <w:ind w:firstLine="420" w:firstLineChars="200"/>
              <w:rPr>
                <w:rFonts w:ascii="宋体" w:hAnsi="宋体"/>
                <w:color w:val="000000"/>
                <w:szCs w:val="21"/>
              </w:rPr>
            </w:pPr>
            <w:r>
              <w:rPr>
                <w:rFonts w:ascii="宋体" w:hAnsi="宋体"/>
                <w:color w:val="000000"/>
                <w:szCs w:val="21"/>
              </w:rPr>
              <w:t>1、检查图形实体对象是否齐全、完整，有无丢失、错漏的情况。</w:t>
            </w:r>
          </w:p>
          <w:p w14:paraId="0BF2C0BA">
            <w:pPr>
              <w:snapToGrid w:val="0"/>
              <w:spacing w:line="360" w:lineRule="exact"/>
              <w:ind w:firstLine="420" w:firstLineChars="200"/>
              <w:rPr>
                <w:rFonts w:ascii="宋体" w:hAnsi="宋体"/>
                <w:color w:val="000000"/>
                <w:szCs w:val="21"/>
              </w:rPr>
            </w:pPr>
            <w:r>
              <w:rPr>
                <w:rFonts w:ascii="宋体" w:hAnsi="宋体"/>
                <w:color w:val="000000"/>
                <w:szCs w:val="21"/>
              </w:rPr>
              <w:t>2、检查图形实体对象数据表信息录入是否完整、规范，附件是否挂接是否正确、规范。</w:t>
            </w:r>
          </w:p>
          <w:p w14:paraId="12014DE6">
            <w:pPr>
              <w:snapToGrid w:val="0"/>
              <w:spacing w:line="360" w:lineRule="exact"/>
              <w:ind w:firstLine="420" w:firstLineChars="200"/>
              <w:rPr>
                <w:rFonts w:ascii="宋体" w:hAnsi="宋体"/>
                <w:color w:val="000000"/>
                <w:szCs w:val="21"/>
              </w:rPr>
            </w:pPr>
            <w:r>
              <w:rPr>
                <w:rFonts w:ascii="宋体" w:hAnsi="宋体"/>
                <w:color w:val="000000"/>
                <w:szCs w:val="21"/>
              </w:rPr>
              <w:t>3、检查图形实体对象坐标是否转换统一、正确。</w:t>
            </w:r>
          </w:p>
          <w:p w14:paraId="4699B59B">
            <w:pPr>
              <w:snapToGrid w:val="0"/>
              <w:spacing w:line="360" w:lineRule="exact"/>
              <w:ind w:firstLine="420" w:firstLineChars="200"/>
              <w:rPr>
                <w:rFonts w:ascii="宋体" w:hAnsi="宋体"/>
                <w:color w:val="000000"/>
                <w:szCs w:val="21"/>
              </w:rPr>
            </w:pPr>
            <w:r>
              <w:rPr>
                <w:rFonts w:ascii="宋体" w:hAnsi="宋体"/>
                <w:color w:val="000000"/>
                <w:szCs w:val="21"/>
              </w:rPr>
              <w:t>4、检查</w:t>
            </w:r>
            <w:r>
              <w:rPr>
                <w:rFonts w:hint="eastAsia" w:ascii="宋体" w:hAnsi="宋体"/>
                <w:color w:val="000000"/>
                <w:szCs w:val="21"/>
              </w:rPr>
              <w:t>成果</w:t>
            </w:r>
            <w:r>
              <w:rPr>
                <w:rFonts w:ascii="宋体" w:hAnsi="宋体"/>
                <w:color w:val="000000"/>
                <w:szCs w:val="21"/>
              </w:rPr>
              <w:t>数据库能否与</w:t>
            </w:r>
            <w:r>
              <w:rPr>
                <w:rFonts w:hint="eastAsia" w:ascii="宋体" w:hAnsi="宋体"/>
                <w:color w:val="000000"/>
                <w:szCs w:val="21"/>
              </w:rPr>
              <w:t>“一张图”系统</w:t>
            </w:r>
            <w:r>
              <w:rPr>
                <w:rFonts w:ascii="宋体" w:hAnsi="宋体"/>
                <w:color w:val="000000"/>
                <w:szCs w:val="21"/>
              </w:rPr>
              <w:t>正常衔接。</w:t>
            </w:r>
          </w:p>
          <w:p w14:paraId="51ACAF43">
            <w:pPr>
              <w:snapToGrid w:val="0"/>
              <w:spacing w:line="360" w:lineRule="exact"/>
              <w:ind w:firstLine="420" w:firstLineChars="200"/>
              <w:rPr>
                <w:rFonts w:ascii="宋体" w:hAnsi="宋体"/>
                <w:b/>
                <w:color w:val="000000"/>
                <w:szCs w:val="21"/>
              </w:rPr>
            </w:pPr>
            <w:r>
              <w:rPr>
                <w:rFonts w:hint="eastAsia" w:ascii="宋体" w:hAnsi="宋体"/>
                <w:color w:val="000000"/>
                <w:szCs w:val="21"/>
              </w:rPr>
              <w:t>▲</w:t>
            </w:r>
            <w:r>
              <w:rPr>
                <w:rFonts w:hint="eastAsia" w:ascii="宋体" w:hAnsi="宋体"/>
                <w:b/>
                <w:color w:val="000000"/>
                <w:szCs w:val="21"/>
              </w:rPr>
              <w:t>六、提交成果资料</w:t>
            </w:r>
          </w:p>
          <w:p w14:paraId="52E8093C">
            <w:pPr>
              <w:snapToGrid w:val="0"/>
              <w:spacing w:line="360" w:lineRule="exact"/>
              <w:ind w:firstLine="420" w:firstLineChars="200"/>
              <w:rPr>
                <w:rFonts w:ascii="宋体" w:hAnsi="宋体"/>
                <w:color w:val="000000"/>
                <w:szCs w:val="21"/>
              </w:rPr>
            </w:pPr>
            <w:r>
              <w:rPr>
                <w:rFonts w:hint="eastAsia" w:ascii="宋体" w:hAnsi="宋体"/>
                <w:color w:val="000000"/>
                <w:szCs w:val="21"/>
              </w:rPr>
              <w:t>1、数据库成果资料：</w:t>
            </w:r>
          </w:p>
          <w:p w14:paraId="46CA4A12">
            <w:pPr>
              <w:snapToGrid w:val="0"/>
              <w:spacing w:line="360" w:lineRule="exact"/>
              <w:ind w:firstLine="420" w:firstLineChars="200"/>
              <w:rPr>
                <w:rFonts w:ascii="宋体" w:hAnsi="宋体"/>
                <w:color w:val="000000"/>
                <w:szCs w:val="21"/>
              </w:rPr>
            </w:pPr>
            <w:r>
              <w:rPr>
                <w:rFonts w:hint="eastAsia" w:ascii="宋体" w:hAnsi="宋体"/>
                <w:color w:val="000000"/>
                <w:szCs w:val="21"/>
              </w:rPr>
              <w:t>控制性详细规划编制成果库，电子版一套。</w:t>
            </w:r>
          </w:p>
          <w:p w14:paraId="10788A78">
            <w:pPr>
              <w:snapToGrid w:val="0"/>
              <w:spacing w:line="360" w:lineRule="exact"/>
              <w:ind w:firstLine="420" w:firstLineChars="200"/>
              <w:rPr>
                <w:rFonts w:ascii="宋体" w:hAnsi="宋体"/>
                <w:color w:val="000000"/>
                <w:szCs w:val="21"/>
              </w:rPr>
            </w:pPr>
            <w:r>
              <w:rPr>
                <w:rFonts w:hint="eastAsia" w:ascii="宋体" w:hAnsi="宋体"/>
                <w:color w:val="000000"/>
                <w:szCs w:val="21"/>
              </w:rPr>
              <w:t>2、报告类文本成果资料：</w:t>
            </w:r>
          </w:p>
          <w:p w14:paraId="72FF7AF3">
            <w:pPr>
              <w:snapToGrid w:val="0"/>
              <w:spacing w:line="360" w:lineRule="exact"/>
              <w:ind w:firstLine="420" w:firstLineChars="200"/>
              <w:rPr>
                <w:rFonts w:ascii="宋体" w:hAnsi="宋体"/>
                <w:color w:val="000000"/>
                <w:szCs w:val="21"/>
              </w:rPr>
            </w:pPr>
            <w:r>
              <w:rPr>
                <w:rFonts w:hint="eastAsia" w:ascii="宋体" w:hAnsi="宋体"/>
                <w:color w:val="000000"/>
                <w:szCs w:val="21"/>
              </w:rPr>
              <w:t>（1）项目工作报告，电子版1套，纸质版1套。</w:t>
            </w:r>
          </w:p>
          <w:p w14:paraId="30371B8F">
            <w:pPr>
              <w:snapToGrid w:val="0"/>
              <w:spacing w:line="360" w:lineRule="exact"/>
              <w:ind w:firstLine="420" w:firstLineChars="200"/>
              <w:rPr>
                <w:rFonts w:ascii="宋体" w:hAnsi="宋体"/>
                <w:color w:val="000000"/>
                <w:szCs w:val="21"/>
              </w:rPr>
            </w:pPr>
            <w:r>
              <w:rPr>
                <w:rFonts w:hint="eastAsia" w:ascii="宋体" w:hAnsi="宋体"/>
                <w:color w:val="000000"/>
                <w:szCs w:val="21"/>
              </w:rPr>
              <w:t>（2）项目技术报告，电子版1套，纸质版1套。</w:t>
            </w:r>
          </w:p>
        </w:tc>
        <w:tc>
          <w:tcPr>
            <w:tcW w:w="1317" w:type="dxa"/>
            <w:vAlign w:val="center"/>
          </w:tcPr>
          <w:p w14:paraId="055AAA2D">
            <w:pPr>
              <w:spacing w:line="360" w:lineRule="exact"/>
              <w:contextualSpacing/>
              <w:rPr>
                <w:rFonts w:ascii="宋体" w:hAnsi="宋体"/>
                <w:color w:val="000000"/>
                <w:szCs w:val="21"/>
              </w:rPr>
            </w:pPr>
            <w:r>
              <w:rPr>
                <w:rFonts w:hint="eastAsia" w:ascii="宋体" w:hAnsi="宋体"/>
                <w:color w:val="000000"/>
                <w:szCs w:val="21"/>
              </w:rPr>
              <w:t>386400.00</w:t>
            </w:r>
          </w:p>
        </w:tc>
      </w:tr>
      <w:tr w14:paraId="181AD5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25" w:hRule="atLeast"/>
        </w:trPr>
        <w:tc>
          <w:tcPr>
            <w:tcW w:w="669" w:type="dxa"/>
            <w:vAlign w:val="center"/>
          </w:tcPr>
          <w:p w14:paraId="015236BD">
            <w:pPr>
              <w:spacing w:line="360" w:lineRule="exact"/>
              <w:jc w:val="center"/>
              <w:rPr>
                <w:rFonts w:ascii="宋体" w:hAnsi="宋体" w:cs="Arial"/>
                <w:bCs/>
                <w:color w:val="000000"/>
                <w:kern w:val="0"/>
                <w:szCs w:val="21"/>
              </w:rPr>
            </w:pPr>
            <w:r>
              <w:rPr>
                <w:rFonts w:hint="eastAsia" w:ascii="宋体" w:hAnsi="宋体" w:cs="Arial"/>
                <w:bCs/>
                <w:color w:val="000000"/>
                <w:kern w:val="0"/>
                <w:szCs w:val="21"/>
              </w:rPr>
              <w:t>2</w:t>
            </w:r>
          </w:p>
        </w:tc>
        <w:tc>
          <w:tcPr>
            <w:tcW w:w="654" w:type="dxa"/>
            <w:vAlign w:val="center"/>
          </w:tcPr>
          <w:p w14:paraId="6AC5002E">
            <w:pPr>
              <w:spacing w:line="360" w:lineRule="exact"/>
              <w:rPr>
                <w:rFonts w:ascii="宋体" w:hAnsi="宋体"/>
                <w:color w:val="000000"/>
                <w:szCs w:val="21"/>
              </w:rPr>
            </w:pPr>
            <w:r>
              <w:rPr>
                <w:rFonts w:hint="eastAsia" w:ascii="宋体" w:hAnsi="宋体" w:cs="Arial"/>
                <w:bCs/>
                <w:color w:val="000000"/>
                <w:kern w:val="0"/>
                <w:szCs w:val="21"/>
              </w:rPr>
              <w:t>南宁市村庄规划审查</w:t>
            </w:r>
          </w:p>
        </w:tc>
        <w:tc>
          <w:tcPr>
            <w:tcW w:w="7007" w:type="dxa"/>
          </w:tcPr>
          <w:p w14:paraId="1888F30C">
            <w:pPr>
              <w:spacing w:line="360" w:lineRule="auto"/>
              <w:ind w:firstLine="420" w:firstLineChars="200"/>
              <w:contextualSpacing/>
              <w:rPr>
                <w:rFonts w:ascii="宋体" w:hAnsi="宋体"/>
                <w:b/>
                <w:color w:val="000000"/>
                <w:szCs w:val="21"/>
              </w:rPr>
            </w:pPr>
            <w:r>
              <w:rPr>
                <w:rFonts w:hint="eastAsia" w:ascii="宋体" w:hAnsi="宋体"/>
                <w:color w:val="000000"/>
                <w:szCs w:val="21"/>
              </w:rPr>
              <w:t>▲</w:t>
            </w:r>
            <w:r>
              <w:rPr>
                <w:rFonts w:hint="eastAsia" w:ascii="宋体" w:hAnsi="宋体"/>
                <w:b/>
                <w:color w:val="000000"/>
                <w:szCs w:val="21"/>
              </w:rPr>
              <w:t>一、工作内容</w:t>
            </w:r>
          </w:p>
          <w:p w14:paraId="4DF623A3">
            <w:pPr>
              <w:spacing w:line="360" w:lineRule="auto"/>
              <w:ind w:firstLine="420" w:firstLineChars="200"/>
              <w:contextualSpacing/>
              <w:rPr>
                <w:rFonts w:ascii="宋体" w:hAnsi="宋体"/>
                <w:color w:val="000000"/>
                <w:szCs w:val="21"/>
              </w:rPr>
            </w:pPr>
            <w:r>
              <w:rPr>
                <w:rFonts w:hint="eastAsia" w:ascii="宋体" w:hAnsi="宋体"/>
                <w:color w:val="000000"/>
                <w:szCs w:val="21"/>
              </w:rPr>
              <w:t>为进一步做好南宁市村庄规划的入库审查工作，更好的规范南宁市村庄规划编制、入库、管理等工作，加快完成已编制的村庄规划数据库审查和报备，拟开展90</w:t>
            </w:r>
            <w:r>
              <w:rPr>
                <w:rFonts w:ascii="宋体" w:hAnsi="宋体"/>
                <w:color w:val="000000"/>
                <w:szCs w:val="21"/>
              </w:rPr>
              <w:t>个</w:t>
            </w:r>
            <w:r>
              <w:rPr>
                <w:rFonts w:hint="eastAsia" w:ascii="宋体" w:hAnsi="宋体"/>
                <w:color w:val="000000"/>
                <w:szCs w:val="21"/>
              </w:rPr>
              <w:t>行政村</w:t>
            </w:r>
            <w:r>
              <w:rPr>
                <w:rFonts w:ascii="宋体" w:hAnsi="宋体"/>
                <w:color w:val="000000"/>
                <w:szCs w:val="21"/>
              </w:rPr>
              <w:t>村庄规划成果市级数据库技术审查工作</w:t>
            </w:r>
            <w:r>
              <w:rPr>
                <w:rFonts w:hint="eastAsia" w:ascii="宋体" w:hAnsi="宋体"/>
                <w:color w:val="000000"/>
                <w:szCs w:val="21"/>
              </w:rPr>
              <w:t>，审查内容</w:t>
            </w:r>
            <w:r>
              <w:rPr>
                <w:rFonts w:ascii="宋体" w:hAnsi="宋体"/>
                <w:color w:val="000000"/>
                <w:szCs w:val="21"/>
              </w:rPr>
              <w:t>主要包括</w:t>
            </w:r>
            <w:r>
              <w:rPr>
                <w:rFonts w:hint="eastAsia" w:ascii="宋体" w:hAnsi="宋体"/>
                <w:color w:val="000000"/>
                <w:szCs w:val="21"/>
              </w:rPr>
              <w:t>编制程序合法性、文件完整性、内容完整性、规划图件完整性和</w:t>
            </w:r>
            <w:r>
              <w:rPr>
                <w:rFonts w:ascii="宋体" w:hAnsi="宋体"/>
                <w:color w:val="000000"/>
                <w:szCs w:val="21"/>
              </w:rPr>
              <w:t>GIS数据库完整性五大部分：</w:t>
            </w:r>
          </w:p>
          <w:p w14:paraId="1181DB95">
            <w:pPr>
              <w:spacing w:line="360" w:lineRule="auto"/>
              <w:ind w:firstLine="422" w:firstLineChars="200"/>
              <w:contextualSpacing/>
              <w:rPr>
                <w:rFonts w:ascii="宋体" w:hAnsi="宋体"/>
                <w:b/>
                <w:color w:val="000000"/>
                <w:szCs w:val="21"/>
              </w:rPr>
            </w:pPr>
            <w:r>
              <w:rPr>
                <w:rFonts w:hint="eastAsia" w:ascii="宋体" w:hAnsi="宋体"/>
                <w:b/>
                <w:color w:val="000000"/>
                <w:szCs w:val="21"/>
              </w:rPr>
              <w:t>1、</w:t>
            </w:r>
            <w:r>
              <w:rPr>
                <w:rFonts w:ascii="宋体" w:hAnsi="宋体"/>
                <w:b/>
                <w:color w:val="000000"/>
                <w:szCs w:val="21"/>
              </w:rPr>
              <w:t>编制程序合法性</w:t>
            </w:r>
            <w:r>
              <w:rPr>
                <w:rFonts w:hint="eastAsia" w:ascii="宋体" w:hAnsi="宋体"/>
                <w:b/>
                <w:color w:val="000000"/>
                <w:szCs w:val="21"/>
              </w:rPr>
              <w:t>审查</w:t>
            </w:r>
          </w:p>
          <w:p w14:paraId="4CFE1E71">
            <w:pPr>
              <w:spacing w:line="360" w:lineRule="auto"/>
              <w:ind w:firstLine="420" w:firstLineChars="200"/>
              <w:contextualSpacing/>
              <w:rPr>
                <w:rFonts w:ascii="宋体" w:hAnsi="宋体"/>
                <w:color w:val="000000"/>
                <w:szCs w:val="21"/>
              </w:rPr>
            </w:pPr>
            <w:r>
              <w:rPr>
                <w:rFonts w:hint="eastAsia" w:ascii="宋体" w:hAnsi="宋体"/>
                <w:color w:val="000000"/>
                <w:szCs w:val="21"/>
              </w:rPr>
              <w:t>是否按要求进行现场调研、规划方案是否征求村民意见、是否按要求进行草案公示、是否通过村民代表大会同意、是否征求各部门意见、是否通过专家评审会审查、报送审批前是否按要求公示、是否通过上级（县、城区）政府批准、报送审批后是否按要求公布。</w:t>
            </w:r>
          </w:p>
          <w:p w14:paraId="4EAFB206">
            <w:pPr>
              <w:spacing w:line="360" w:lineRule="auto"/>
              <w:ind w:firstLine="422" w:firstLineChars="200"/>
              <w:contextualSpacing/>
              <w:rPr>
                <w:rFonts w:ascii="宋体" w:hAnsi="宋体"/>
                <w:b/>
                <w:color w:val="000000"/>
                <w:szCs w:val="21"/>
              </w:rPr>
            </w:pPr>
            <w:r>
              <w:rPr>
                <w:rFonts w:hint="eastAsia" w:ascii="宋体" w:hAnsi="宋体"/>
                <w:b/>
                <w:color w:val="000000"/>
                <w:szCs w:val="21"/>
              </w:rPr>
              <w:t>2、</w:t>
            </w:r>
            <w:r>
              <w:rPr>
                <w:rFonts w:ascii="宋体" w:hAnsi="宋体"/>
                <w:b/>
                <w:color w:val="000000"/>
                <w:szCs w:val="21"/>
              </w:rPr>
              <w:t>成果资料完整性</w:t>
            </w:r>
            <w:r>
              <w:rPr>
                <w:rFonts w:hint="eastAsia" w:ascii="宋体" w:hAnsi="宋体"/>
                <w:b/>
                <w:color w:val="000000"/>
                <w:szCs w:val="21"/>
              </w:rPr>
              <w:t>审查</w:t>
            </w:r>
          </w:p>
          <w:p w14:paraId="37719F9C">
            <w:pPr>
              <w:spacing w:line="360" w:lineRule="auto"/>
              <w:ind w:firstLine="420" w:firstLineChars="200"/>
              <w:contextualSpacing/>
              <w:rPr>
                <w:rFonts w:ascii="宋体" w:hAnsi="宋体"/>
                <w:color w:val="000000"/>
                <w:szCs w:val="21"/>
              </w:rPr>
            </w:pPr>
            <w:r>
              <w:rPr>
                <w:rFonts w:hint="eastAsia" w:ascii="宋体" w:hAnsi="宋体"/>
                <w:color w:val="000000"/>
                <w:szCs w:val="21"/>
              </w:rPr>
              <w:t>（1）文件归置完整性审查：</w:t>
            </w:r>
          </w:p>
          <w:p w14:paraId="34CD2E59">
            <w:pPr>
              <w:spacing w:line="360" w:lineRule="auto"/>
              <w:ind w:firstLine="420" w:firstLineChars="200"/>
              <w:contextualSpacing/>
              <w:rPr>
                <w:rFonts w:ascii="宋体" w:hAnsi="宋体"/>
                <w:color w:val="000000"/>
                <w:szCs w:val="21"/>
              </w:rPr>
            </w:pPr>
            <w:r>
              <w:rPr>
                <w:rFonts w:ascii="宋体" w:hAnsi="宋体"/>
                <w:color w:val="000000"/>
                <w:szCs w:val="21"/>
              </w:rPr>
              <w:t>1</w:t>
            </w:r>
            <w:r>
              <w:rPr>
                <w:rFonts w:hint="eastAsia" w:ascii="宋体" w:hAnsi="宋体"/>
                <w:color w:val="000000"/>
                <w:szCs w:val="21"/>
              </w:rPr>
              <w:t>）</w:t>
            </w:r>
            <w:r>
              <w:rPr>
                <w:rFonts w:ascii="宋体" w:hAnsi="宋体"/>
                <w:color w:val="000000"/>
                <w:szCs w:val="21"/>
              </w:rPr>
              <w:t>规划文档</w:t>
            </w:r>
            <w:r>
              <w:rPr>
                <w:rFonts w:hint="eastAsia" w:ascii="宋体" w:hAnsi="宋体"/>
                <w:color w:val="000000"/>
                <w:szCs w:val="21"/>
              </w:rPr>
              <w:t>；</w:t>
            </w:r>
          </w:p>
          <w:p w14:paraId="0C69C035">
            <w:pPr>
              <w:spacing w:line="360" w:lineRule="auto"/>
              <w:ind w:firstLine="420" w:firstLineChars="200"/>
              <w:contextualSpacing/>
              <w:rPr>
                <w:rFonts w:ascii="宋体" w:hAnsi="宋体"/>
                <w:color w:val="000000"/>
                <w:szCs w:val="21"/>
              </w:rPr>
            </w:pPr>
            <w:r>
              <w:rPr>
                <w:rFonts w:ascii="宋体" w:hAnsi="宋体"/>
                <w:color w:val="000000"/>
                <w:szCs w:val="21"/>
              </w:rPr>
              <w:t>2</w:t>
            </w:r>
            <w:r>
              <w:rPr>
                <w:rFonts w:hint="eastAsia" w:ascii="宋体" w:hAnsi="宋体"/>
                <w:color w:val="000000"/>
                <w:szCs w:val="21"/>
              </w:rPr>
              <w:t>）</w:t>
            </w:r>
            <w:r>
              <w:rPr>
                <w:rFonts w:ascii="宋体" w:hAnsi="宋体"/>
                <w:color w:val="000000"/>
                <w:szCs w:val="21"/>
              </w:rPr>
              <w:t>栅格图件</w:t>
            </w:r>
            <w:r>
              <w:rPr>
                <w:rFonts w:hint="eastAsia" w:ascii="宋体" w:hAnsi="宋体"/>
                <w:color w:val="000000"/>
                <w:szCs w:val="21"/>
              </w:rPr>
              <w:t>；</w:t>
            </w:r>
          </w:p>
          <w:p w14:paraId="3F049EEA">
            <w:pPr>
              <w:spacing w:line="360" w:lineRule="auto"/>
              <w:ind w:firstLine="420" w:firstLineChars="200"/>
              <w:contextualSpacing/>
              <w:rPr>
                <w:rFonts w:ascii="宋体" w:hAnsi="宋体"/>
                <w:color w:val="000000"/>
                <w:szCs w:val="21"/>
              </w:rPr>
            </w:pPr>
            <w:r>
              <w:rPr>
                <w:rFonts w:ascii="宋体" w:hAnsi="宋体"/>
                <w:color w:val="000000"/>
                <w:szCs w:val="21"/>
              </w:rPr>
              <w:t>3</w:t>
            </w:r>
            <w:r>
              <w:rPr>
                <w:rFonts w:hint="eastAsia" w:ascii="宋体" w:hAnsi="宋体"/>
                <w:color w:val="000000"/>
                <w:szCs w:val="21"/>
              </w:rPr>
              <w:t>）</w:t>
            </w:r>
            <w:r>
              <w:rPr>
                <w:rFonts w:ascii="宋体" w:hAnsi="宋体"/>
                <w:color w:val="000000"/>
                <w:szCs w:val="21"/>
              </w:rPr>
              <w:t>规划表格</w:t>
            </w:r>
            <w:r>
              <w:rPr>
                <w:rFonts w:hint="eastAsia" w:ascii="宋体" w:hAnsi="宋体"/>
                <w:color w:val="000000"/>
                <w:szCs w:val="21"/>
              </w:rPr>
              <w:t>；</w:t>
            </w:r>
          </w:p>
          <w:p w14:paraId="12D95794">
            <w:pPr>
              <w:spacing w:line="360" w:lineRule="auto"/>
              <w:ind w:firstLine="420" w:firstLineChars="200"/>
              <w:contextualSpacing/>
              <w:rPr>
                <w:rFonts w:ascii="宋体" w:hAnsi="宋体"/>
                <w:color w:val="000000"/>
                <w:szCs w:val="21"/>
              </w:rPr>
            </w:pPr>
            <w:r>
              <w:rPr>
                <w:rFonts w:ascii="宋体" w:hAnsi="宋体"/>
                <w:color w:val="000000"/>
                <w:szCs w:val="21"/>
              </w:rPr>
              <w:t>4</w:t>
            </w:r>
            <w:r>
              <w:rPr>
                <w:rFonts w:hint="eastAsia" w:ascii="宋体" w:hAnsi="宋体"/>
                <w:color w:val="000000"/>
                <w:szCs w:val="21"/>
              </w:rPr>
              <w:t>）</w:t>
            </w:r>
            <w:r>
              <w:rPr>
                <w:rFonts w:ascii="宋体" w:hAnsi="宋体"/>
                <w:color w:val="000000"/>
                <w:szCs w:val="21"/>
              </w:rPr>
              <w:t>矢量数据</w:t>
            </w:r>
            <w:r>
              <w:rPr>
                <w:rFonts w:hint="eastAsia" w:ascii="宋体" w:hAnsi="宋体"/>
                <w:color w:val="000000"/>
                <w:szCs w:val="21"/>
              </w:rPr>
              <w:t>；</w:t>
            </w:r>
          </w:p>
          <w:p w14:paraId="543189B2">
            <w:pPr>
              <w:spacing w:line="360" w:lineRule="auto"/>
              <w:ind w:firstLine="420" w:firstLineChars="200"/>
              <w:contextualSpacing/>
              <w:rPr>
                <w:rFonts w:ascii="宋体" w:hAnsi="宋体"/>
                <w:color w:val="000000"/>
                <w:szCs w:val="21"/>
              </w:rPr>
            </w:pPr>
            <w:r>
              <w:rPr>
                <w:rFonts w:ascii="宋体" w:hAnsi="宋体"/>
                <w:color w:val="000000"/>
                <w:szCs w:val="21"/>
              </w:rPr>
              <w:t>5</w:t>
            </w:r>
            <w:r>
              <w:rPr>
                <w:rFonts w:hint="eastAsia" w:ascii="宋体" w:hAnsi="宋体"/>
                <w:color w:val="000000"/>
                <w:szCs w:val="21"/>
              </w:rPr>
              <w:t>）</w:t>
            </w:r>
            <w:r>
              <w:rPr>
                <w:rFonts w:ascii="宋体" w:hAnsi="宋体"/>
                <w:color w:val="000000"/>
                <w:szCs w:val="21"/>
              </w:rPr>
              <w:t>数据说明文档</w:t>
            </w:r>
            <w:r>
              <w:rPr>
                <w:rFonts w:hint="eastAsia" w:ascii="宋体" w:hAnsi="宋体"/>
                <w:color w:val="000000"/>
                <w:szCs w:val="21"/>
              </w:rPr>
              <w:t>；</w:t>
            </w:r>
          </w:p>
          <w:p w14:paraId="62E2744D">
            <w:pPr>
              <w:spacing w:line="360" w:lineRule="auto"/>
              <w:ind w:firstLine="420" w:firstLineChars="200"/>
              <w:contextualSpacing/>
              <w:rPr>
                <w:rFonts w:ascii="宋体" w:hAnsi="宋体"/>
                <w:color w:val="000000"/>
                <w:szCs w:val="21"/>
              </w:rPr>
            </w:pPr>
            <w:r>
              <w:rPr>
                <w:rFonts w:ascii="宋体" w:hAnsi="宋体"/>
                <w:color w:val="000000"/>
                <w:szCs w:val="21"/>
              </w:rPr>
              <w:t>6</w:t>
            </w:r>
            <w:r>
              <w:rPr>
                <w:rFonts w:hint="eastAsia" w:ascii="宋体" w:hAnsi="宋体"/>
                <w:color w:val="000000"/>
                <w:szCs w:val="21"/>
              </w:rPr>
              <w:t>）</w:t>
            </w:r>
            <w:r>
              <w:rPr>
                <w:rFonts w:ascii="宋体" w:hAnsi="宋体"/>
                <w:color w:val="000000"/>
                <w:szCs w:val="21"/>
              </w:rPr>
              <w:t>元数据</w:t>
            </w:r>
            <w:r>
              <w:rPr>
                <w:rFonts w:hint="eastAsia" w:ascii="宋体" w:hAnsi="宋体"/>
                <w:color w:val="000000"/>
                <w:szCs w:val="21"/>
              </w:rPr>
              <w:t>；</w:t>
            </w:r>
          </w:p>
          <w:p w14:paraId="4A5754FE">
            <w:pPr>
              <w:spacing w:line="360" w:lineRule="auto"/>
              <w:ind w:firstLine="420" w:firstLineChars="200"/>
              <w:contextualSpacing/>
              <w:rPr>
                <w:rFonts w:ascii="宋体" w:hAnsi="宋体"/>
                <w:color w:val="000000"/>
                <w:szCs w:val="21"/>
              </w:rPr>
            </w:pPr>
            <w:r>
              <w:rPr>
                <w:rFonts w:hint="eastAsia" w:ascii="宋体" w:hAnsi="宋体"/>
                <w:color w:val="000000"/>
                <w:szCs w:val="21"/>
              </w:rPr>
              <w:t>7）</w:t>
            </w:r>
            <w:r>
              <w:rPr>
                <w:rFonts w:ascii="宋体" w:hAnsi="宋体"/>
                <w:color w:val="000000"/>
                <w:szCs w:val="21"/>
              </w:rPr>
              <w:t>各级会议意见汇总和处理情况</w:t>
            </w:r>
            <w:r>
              <w:rPr>
                <w:rFonts w:hint="eastAsia" w:ascii="宋体" w:hAnsi="宋体"/>
                <w:color w:val="000000"/>
                <w:szCs w:val="21"/>
              </w:rPr>
              <w:t>；</w:t>
            </w:r>
          </w:p>
          <w:p w14:paraId="41CE209F">
            <w:pPr>
              <w:spacing w:line="360" w:lineRule="auto"/>
              <w:ind w:firstLine="420" w:firstLineChars="200"/>
              <w:contextualSpacing/>
              <w:rPr>
                <w:rFonts w:ascii="宋体" w:hAnsi="宋体"/>
                <w:color w:val="000000"/>
                <w:szCs w:val="21"/>
              </w:rPr>
            </w:pPr>
            <w:r>
              <w:rPr>
                <w:rFonts w:hint="eastAsia" w:ascii="宋体" w:hAnsi="宋体"/>
                <w:color w:val="000000"/>
                <w:szCs w:val="21"/>
              </w:rPr>
              <w:t>8）</w:t>
            </w:r>
            <w:r>
              <w:rPr>
                <w:rFonts w:ascii="宋体" w:hAnsi="宋体"/>
                <w:color w:val="000000"/>
                <w:szCs w:val="21"/>
              </w:rPr>
              <w:t>其他（公示照片、公示通知、批文等佐证材料）</w:t>
            </w:r>
            <w:r>
              <w:rPr>
                <w:rFonts w:hint="eastAsia" w:ascii="宋体" w:hAnsi="宋体"/>
                <w:color w:val="000000"/>
                <w:szCs w:val="21"/>
              </w:rPr>
              <w:t>；</w:t>
            </w:r>
          </w:p>
          <w:p w14:paraId="63A55583">
            <w:pPr>
              <w:spacing w:line="360" w:lineRule="auto"/>
              <w:ind w:firstLine="420" w:firstLineChars="200"/>
              <w:contextualSpacing/>
              <w:rPr>
                <w:rFonts w:ascii="宋体" w:hAnsi="宋体"/>
                <w:color w:val="000000"/>
                <w:szCs w:val="21"/>
              </w:rPr>
            </w:pPr>
            <w:r>
              <w:rPr>
                <w:rFonts w:hint="eastAsia" w:ascii="宋体" w:hAnsi="宋体"/>
                <w:color w:val="000000"/>
                <w:szCs w:val="21"/>
              </w:rPr>
              <w:t>9）</w:t>
            </w:r>
            <w:r>
              <w:rPr>
                <w:rFonts w:ascii="宋体" w:hAnsi="宋体"/>
                <w:color w:val="000000"/>
                <w:szCs w:val="21"/>
              </w:rPr>
              <w:t>成果报送清单</w:t>
            </w:r>
            <w:r>
              <w:rPr>
                <w:rFonts w:hint="eastAsia" w:ascii="宋体" w:hAnsi="宋体"/>
                <w:color w:val="000000"/>
                <w:szCs w:val="21"/>
              </w:rPr>
              <w:t>。</w:t>
            </w:r>
          </w:p>
          <w:p w14:paraId="3A190D4E">
            <w:pPr>
              <w:spacing w:line="360" w:lineRule="auto"/>
              <w:ind w:firstLine="420" w:firstLineChars="200"/>
              <w:contextualSpacing/>
              <w:rPr>
                <w:rFonts w:ascii="宋体" w:hAnsi="宋体"/>
                <w:color w:val="000000"/>
                <w:szCs w:val="21"/>
              </w:rPr>
            </w:pPr>
            <w:r>
              <w:rPr>
                <w:rFonts w:hint="eastAsia" w:ascii="宋体" w:hAnsi="宋体"/>
                <w:color w:val="000000"/>
                <w:szCs w:val="21"/>
              </w:rPr>
              <w:t>（2）内容完整性审查：</w:t>
            </w:r>
          </w:p>
          <w:p w14:paraId="2ACF24CE">
            <w:pPr>
              <w:spacing w:line="360" w:lineRule="auto"/>
              <w:ind w:firstLine="420" w:firstLineChars="200"/>
              <w:contextualSpacing/>
              <w:rPr>
                <w:rFonts w:ascii="宋体" w:hAnsi="宋体"/>
                <w:color w:val="000000"/>
                <w:szCs w:val="21"/>
              </w:rPr>
            </w:pPr>
            <w:r>
              <w:rPr>
                <w:rFonts w:hint="eastAsia" w:ascii="宋体" w:hAnsi="宋体"/>
                <w:color w:val="000000"/>
                <w:szCs w:val="21"/>
              </w:rPr>
              <w:t>1）规划说明（主要审查编制单位信息及资质、发展目标与规模、底线红线及安全管控、国土空间布局优化、村庄建设边界划定、宅基地布局、产业发展空间布局、交通基础设施和公用公服设施空间布局、国土空间整治与生态修复等章节）；</w:t>
            </w:r>
          </w:p>
          <w:p w14:paraId="0C793435">
            <w:pPr>
              <w:spacing w:line="360" w:lineRule="auto"/>
              <w:ind w:firstLine="420" w:firstLineChars="200"/>
              <w:contextualSpacing/>
              <w:rPr>
                <w:rFonts w:ascii="宋体" w:hAnsi="宋体"/>
                <w:color w:val="000000"/>
                <w:szCs w:val="21"/>
              </w:rPr>
            </w:pPr>
            <w:r>
              <w:rPr>
                <w:rFonts w:hint="eastAsia" w:ascii="宋体" w:hAnsi="宋体"/>
                <w:color w:val="000000"/>
                <w:szCs w:val="21"/>
              </w:rPr>
              <w:t>2）规划图件（行政村规划图、自然村规划图）；</w:t>
            </w:r>
          </w:p>
          <w:p w14:paraId="21B60C2C">
            <w:pPr>
              <w:spacing w:line="360" w:lineRule="auto"/>
              <w:ind w:firstLine="420" w:firstLineChars="200"/>
              <w:contextualSpacing/>
              <w:rPr>
                <w:rFonts w:ascii="宋体" w:hAnsi="宋体"/>
                <w:color w:val="000000"/>
                <w:szCs w:val="21"/>
              </w:rPr>
            </w:pPr>
            <w:r>
              <w:rPr>
                <w:rFonts w:hint="eastAsia" w:ascii="宋体" w:hAnsi="宋体"/>
                <w:color w:val="000000"/>
                <w:szCs w:val="21"/>
              </w:rPr>
              <w:t>3）规划附表（村庄主要控制指标表、村庄（村域）新增建设用地指标结构表、村庄规划重大项目表）；</w:t>
            </w:r>
          </w:p>
          <w:p w14:paraId="52CECE11">
            <w:pPr>
              <w:spacing w:line="360" w:lineRule="auto"/>
              <w:ind w:firstLine="420" w:firstLineChars="200"/>
              <w:contextualSpacing/>
              <w:rPr>
                <w:rFonts w:ascii="宋体" w:hAnsi="宋体"/>
                <w:color w:val="000000"/>
                <w:szCs w:val="21"/>
              </w:rPr>
            </w:pPr>
            <w:r>
              <w:rPr>
                <w:rFonts w:hint="eastAsia" w:ascii="宋体" w:hAnsi="宋体"/>
                <w:color w:val="000000"/>
                <w:szCs w:val="21"/>
              </w:rPr>
              <w:t>4）其他（各级会议意见汇总和处理情况）。</w:t>
            </w:r>
          </w:p>
          <w:p w14:paraId="7DE94F0D">
            <w:pPr>
              <w:spacing w:line="360" w:lineRule="auto"/>
              <w:ind w:firstLine="422" w:firstLineChars="200"/>
              <w:contextualSpacing/>
              <w:rPr>
                <w:rFonts w:ascii="宋体" w:hAnsi="宋体"/>
                <w:b/>
                <w:color w:val="000000"/>
                <w:szCs w:val="21"/>
              </w:rPr>
            </w:pPr>
            <w:r>
              <w:rPr>
                <w:rFonts w:hint="eastAsia" w:ascii="宋体" w:hAnsi="宋体"/>
                <w:b/>
                <w:color w:val="000000"/>
                <w:szCs w:val="21"/>
              </w:rPr>
              <w:t>3、规划图纸内容完整性审查</w:t>
            </w:r>
          </w:p>
          <w:p w14:paraId="59B0C203">
            <w:pPr>
              <w:spacing w:line="360" w:lineRule="auto"/>
              <w:ind w:firstLine="420" w:firstLineChars="200"/>
              <w:contextualSpacing/>
              <w:rPr>
                <w:rFonts w:ascii="宋体" w:hAnsi="宋体"/>
                <w:color w:val="000000"/>
                <w:szCs w:val="21"/>
              </w:rPr>
            </w:pPr>
            <w:r>
              <w:rPr>
                <w:rFonts w:hint="eastAsia" w:ascii="宋体" w:hAnsi="宋体"/>
                <w:color w:val="000000"/>
                <w:szCs w:val="21"/>
              </w:rPr>
              <w:t>主要审查内容包含区位示意、比例尺、指北针、图例、用地布局、管制规划、永久基本农田保护区、生态红线保护区、永久基本农田储备区、建设区、其他区、道路交通设施、基本公共服务设施、乡村公用设施、重点建设项目等。</w:t>
            </w:r>
          </w:p>
          <w:p w14:paraId="06009683">
            <w:pPr>
              <w:spacing w:line="360" w:lineRule="auto"/>
              <w:ind w:firstLine="422" w:firstLineChars="200"/>
              <w:contextualSpacing/>
              <w:rPr>
                <w:rFonts w:ascii="宋体" w:hAnsi="宋体"/>
                <w:b/>
                <w:color w:val="000000"/>
                <w:szCs w:val="21"/>
              </w:rPr>
            </w:pPr>
            <w:r>
              <w:rPr>
                <w:rFonts w:hint="eastAsia" w:ascii="宋体" w:hAnsi="宋体"/>
                <w:b/>
                <w:color w:val="000000"/>
                <w:szCs w:val="21"/>
              </w:rPr>
              <w:t>4、矢量数据规范性审查</w:t>
            </w:r>
          </w:p>
          <w:p w14:paraId="06D38EFF">
            <w:pPr>
              <w:spacing w:line="360" w:lineRule="auto"/>
              <w:ind w:firstLine="420" w:firstLineChars="200"/>
              <w:contextualSpacing/>
              <w:rPr>
                <w:rFonts w:ascii="宋体" w:hAnsi="宋体"/>
                <w:color w:val="000000"/>
                <w:szCs w:val="21"/>
              </w:rPr>
            </w:pPr>
            <w:r>
              <w:rPr>
                <w:rFonts w:hint="eastAsia" w:ascii="宋体" w:hAnsi="宋体"/>
                <w:color w:val="000000"/>
                <w:szCs w:val="21"/>
              </w:rPr>
              <w:t>（1）数据库规范性审查，包括数据基础和拓扑关系。</w:t>
            </w:r>
          </w:p>
          <w:p w14:paraId="646251A7">
            <w:pPr>
              <w:spacing w:line="360" w:lineRule="auto"/>
              <w:ind w:firstLine="420" w:firstLineChars="200"/>
              <w:contextualSpacing/>
              <w:rPr>
                <w:rFonts w:ascii="宋体" w:hAnsi="宋体"/>
                <w:color w:val="000000"/>
                <w:szCs w:val="21"/>
              </w:rPr>
            </w:pPr>
            <w:r>
              <w:rPr>
                <w:rFonts w:hint="eastAsia" w:ascii="宋体" w:hAnsi="宋体"/>
                <w:color w:val="000000"/>
                <w:szCs w:val="21"/>
              </w:rPr>
              <w:t>（2）</w:t>
            </w:r>
            <w:r>
              <w:rPr>
                <w:rFonts w:ascii="宋体" w:hAnsi="宋体"/>
                <w:color w:val="000000"/>
                <w:szCs w:val="21"/>
              </w:rPr>
              <w:t>图层数据属性结构规范性</w:t>
            </w:r>
            <w:r>
              <w:rPr>
                <w:rFonts w:hint="eastAsia" w:ascii="宋体" w:hAnsi="宋体"/>
                <w:color w:val="000000"/>
                <w:szCs w:val="21"/>
              </w:rPr>
              <w:t>审查。含村级行政区、现状用地用海、现状历史文化遗存分布、现状自然灾害风险分布、耕地保护目标、永久基本农田、生态保护红线、城镇开发边界、村庄建设边界、规划用地用海等38个图层数据。</w:t>
            </w:r>
          </w:p>
          <w:p w14:paraId="4ED1D201">
            <w:pPr>
              <w:spacing w:line="360" w:lineRule="auto"/>
              <w:ind w:firstLine="422" w:firstLineChars="200"/>
              <w:contextualSpacing/>
              <w:rPr>
                <w:rFonts w:ascii="宋体" w:hAnsi="宋体"/>
                <w:b/>
                <w:color w:val="000000"/>
                <w:szCs w:val="21"/>
              </w:rPr>
            </w:pPr>
            <w:r>
              <w:rPr>
                <w:rFonts w:hint="eastAsia" w:ascii="宋体" w:hAnsi="宋体"/>
                <w:b/>
                <w:color w:val="000000"/>
                <w:szCs w:val="21"/>
              </w:rPr>
              <w:t>二、作业依据</w:t>
            </w:r>
          </w:p>
          <w:p w14:paraId="4E4EA6A1">
            <w:pPr>
              <w:spacing w:line="360" w:lineRule="auto"/>
              <w:ind w:firstLine="420" w:firstLineChars="200"/>
              <w:contextualSpacing/>
              <w:rPr>
                <w:rFonts w:ascii="宋体" w:hAnsi="宋体"/>
                <w:color w:val="000000"/>
                <w:szCs w:val="21"/>
              </w:rPr>
            </w:pPr>
            <w:r>
              <w:rPr>
                <w:rFonts w:hint="eastAsia" w:ascii="宋体" w:hAnsi="宋体"/>
                <w:color w:val="000000"/>
                <w:szCs w:val="21"/>
              </w:rPr>
              <w:t>（</w:t>
            </w:r>
            <w:r>
              <w:rPr>
                <w:rFonts w:ascii="宋体" w:hAnsi="宋体"/>
                <w:color w:val="000000"/>
                <w:szCs w:val="21"/>
              </w:rPr>
              <w:t>1</w:t>
            </w:r>
            <w:r>
              <w:rPr>
                <w:rFonts w:hint="eastAsia" w:ascii="宋体" w:hAnsi="宋体"/>
                <w:color w:val="000000"/>
                <w:szCs w:val="21"/>
              </w:rPr>
              <w:t>）《广西壮族自治区低成本实用性简易型村庄规划编制技术导则（试行）》（桂自然资办[2023]289号）；</w:t>
            </w:r>
          </w:p>
          <w:p w14:paraId="3CA47E0E">
            <w:pPr>
              <w:spacing w:line="360" w:lineRule="auto"/>
              <w:ind w:firstLine="420" w:firstLineChars="200"/>
              <w:contextualSpacing/>
              <w:rPr>
                <w:rFonts w:ascii="宋体" w:hAnsi="宋体"/>
                <w:color w:val="000000"/>
                <w:szCs w:val="21"/>
              </w:rPr>
            </w:pP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）《广西壮族自治区低成本实用性简易型村庄规划数据库规范（试行）》（桂自然资办〔2024〕26号）；</w:t>
            </w:r>
          </w:p>
          <w:p w14:paraId="6C4B4799">
            <w:pPr>
              <w:spacing w:line="360" w:lineRule="auto"/>
              <w:ind w:firstLine="420" w:firstLineChars="200"/>
              <w:contextualSpacing/>
              <w:rPr>
                <w:rFonts w:ascii="宋体" w:hAnsi="宋体"/>
                <w:color w:val="000000"/>
                <w:szCs w:val="21"/>
              </w:rPr>
            </w:pPr>
            <w:r>
              <w:rPr>
                <w:rFonts w:hint="eastAsia" w:ascii="宋体" w:hAnsi="宋体"/>
                <w:color w:val="000000"/>
                <w:szCs w:val="21"/>
              </w:rPr>
              <w:t>（</w:t>
            </w:r>
            <w:r>
              <w:rPr>
                <w:rFonts w:ascii="宋体" w:hAnsi="宋体"/>
                <w:color w:val="000000"/>
                <w:szCs w:val="21"/>
              </w:rPr>
              <w:t>3</w:t>
            </w:r>
            <w:r>
              <w:rPr>
                <w:rFonts w:hint="eastAsia" w:ascii="宋体" w:hAnsi="宋体"/>
                <w:color w:val="000000"/>
                <w:szCs w:val="21"/>
              </w:rPr>
              <w:t>）</w:t>
            </w:r>
            <w:r>
              <w:rPr>
                <w:rFonts w:ascii="宋体" w:hAnsi="宋体"/>
                <w:color w:val="000000"/>
                <w:szCs w:val="21"/>
              </w:rPr>
              <w:t>《广西壮族自治区简易型实用性村庄规划审查要点（试行）》（桂自然资办〔2021〕53号）</w:t>
            </w:r>
            <w:r>
              <w:rPr>
                <w:rFonts w:hint="eastAsia" w:ascii="宋体" w:hAnsi="宋体"/>
                <w:color w:val="000000"/>
                <w:szCs w:val="21"/>
              </w:rPr>
              <w:t>；</w:t>
            </w:r>
          </w:p>
          <w:p w14:paraId="610384B9">
            <w:pPr>
              <w:spacing w:line="360" w:lineRule="auto"/>
              <w:ind w:firstLine="420" w:firstLineChars="200"/>
              <w:contextualSpacing/>
              <w:rPr>
                <w:rFonts w:ascii="宋体" w:hAnsi="宋体"/>
                <w:color w:val="000000"/>
                <w:szCs w:val="21"/>
              </w:rPr>
            </w:pPr>
            <w:r>
              <w:rPr>
                <w:rFonts w:hint="eastAsia" w:ascii="宋体" w:hAnsi="宋体"/>
                <w:color w:val="000000"/>
                <w:szCs w:val="21"/>
              </w:rPr>
              <w:t>（</w:t>
            </w:r>
            <w:r>
              <w:rPr>
                <w:rFonts w:ascii="宋体" w:hAnsi="宋体"/>
                <w:color w:val="000000"/>
                <w:szCs w:val="21"/>
              </w:rPr>
              <w:t>4</w:t>
            </w:r>
            <w:r>
              <w:rPr>
                <w:rFonts w:hint="eastAsia" w:ascii="宋体" w:hAnsi="宋体"/>
                <w:color w:val="000000"/>
                <w:szCs w:val="21"/>
              </w:rPr>
              <w:t>）</w:t>
            </w:r>
            <w:r>
              <w:rPr>
                <w:rFonts w:ascii="宋体" w:hAnsi="宋体"/>
                <w:color w:val="000000"/>
                <w:szCs w:val="21"/>
              </w:rPr>
              <w:t>《</w:t>
            </w:r>
            <w:r>
              <w:rPr>
                <w:rFonts w:hint="eastAsia" w:ascii="宋体" w:hAnsi="宋体"/>
                <w:color w:val="000000"/>
                <w:szCs w:val="21"/>
              </w:rPr>
              <w:t>国土空间调查、规划、用途管制用地用海 分类指南</w:t>
            </w:r>
            <w:r>
              <w:rPr>
                <w:rFonts w:ascii="宋体" w:hAnsi="宋体"/>
                <w:color w:val="000000"/>
                <w:szCs w:val="21"/>
              </w:rPr>
              <w:t>》（自然资办发〔202</w:t>
            </w:r>
            <w:r>
              <w:rPr>
                <w:rFonts w:hint="eastAsia" w:ascii="宋体" w:hAnsi="宋体"/>
                <w:color w:val="000000"/>
                <w:szCs w:val="21"/>
              </w:rPr>
              <w:t>3</w:t>
            </w:r>
            <w:r>
              <w:rPr>
                <w:rFonts w:ascii="宋体" w:hAnsi="宋体"/>
                <w:color w:val="000000"/>
                <w:szCs w:val="21"/>
              </w:rPr>
              <w:t>〕</w:t>
            </w:r>
            <w:r>
              <w:rPr>
                <w:rFonts w:hint="eastAsia" w:ascii="宋体" w:hAnsi="宋体"/>
                <w:color w:val="000000"/>
                <w:szCs w:val="21"/>
              </w:rPr>
              <w:t>234</w:t>
            </w:r>
            <w:r>
              <w:rPr>
                <w:rFonts w:ascii="宋体" w:hAnsi="宋体"/>
                <w:color w:val="000000"/>
                <w:szCs w:val="21"/>
              </w:rPr>
              <w:t>号）</w:t>
            </w:r>
            <w:r>
              <w:rPr>
                <w:rFonts w:hint="eastAsia" w:ascii="宋体" w:hAnsi="宋体"/>
                <w:color w:val="000000"/>
                <w:szCs w:val="21"/>
              </w:rPr>
              <w:t>。</w:t>
            </w:r>
          </w:p>
          <w:p w14:paraId="7D6EE341">
            <w:pPr>
              <w:spacing w:line="360" w:lineRule="auto"/>
              <w:ind w:firstLine="420" w:firstLineChars="200"/>
              <w:contextualSpacing/>
              <w:rPr>
                <w:rFonts w:ascii="宋体" w:hAnsi="宋体"/>
                <w:b/>
                <w:color w:val="000000"/>
                <w:szCs w:val="21"/>
              </w:rPr>
            </w:pPr>
            <w:r>
              <w:rPr>
                <w:rFonts w:hint="eastAsia" w:ascii="宋体" w:hAnsi="宋体"/>
                <w:color w:val="000000"/>
                <w:szCs w:val="21"/>
              </w:rPr>
              <w:t>▲三</w:t>
            </w:r>
            <w:r>
              <w:rPr>
                <w:rFonts w:hint="eastAsia" w:ascii="宋体" w:hAnsi="宋体"/>
                <w:b/>
                <w:color w:val="000000"/>
                <w:szCs w:val="21"/>
              </w:rPr>
              <w:t>、质量要求</w:t>
            </w:r>
          </w:p>
          <w:p w14:paraId="25F2CCF8">
            <w:pPr>
              <w:spacing w:line="360" w:lineRule="auto"/>
              <w:ind w:firstLine="525" w:firstLineChars="250"/>
              <w:rPr>
                <w:rFonts w:ascii="宋体" w:hAnsi="宋体"/>
                <w:color w:val="000000"/>
                <w:szCs w:val="21"/>
              </w:rPr>
            </w:pPr>
            <w:r>
              <w:rPr>
                <w:rFonts w:hint="eastAsia" w:ascii="宋体" w:hAnsi="宋体"/>
                <w:color w:val="000000"/>
                <w:szCs w:val="21"/>
              </w:rPr>
              <w:t>针对每个村庄规划进行审查，审查结果应形成审查报告，报告应包含提交单位、编制单位、审查时间、审查内容、审查意见、结论等。</w:t>
            </w:r>
          </w:p>
          <w:p w14:paraId="16B6B49F">
            <w:pPr>
              <w:spacing w:line="360" w:lineRule="auto"/>
              <w:ind w:firstLine="525" w:firstLineChars="250"/>
              <w:rPr>
                <w:rFonts w:ascii="宋体" w:hAnsi="宋体"/>
                <w:b/>
                <w:color w:val="000000"/>
                <w:szCs w:val="21"/>
              </w:rPr>
            </w:pPr>
            <w:r>
              <w:rPr>
                <w:rFonts w:hint="eastAsia" w:ascii="宋体" w:hAnsi="宋体"/>
                <w:color w:val="000000"/>
                <w:szCs w:val="21"/>
              </w:rPr>
              <w:t>▲四</w:t>
            </w:r>
            <w:r>
              <w:rPr>
                <w:rFonts w:hint="eastAsia" w:ascii="宋体" w:hAnsi="宋体"/>
                <w:b/>
                <w:color w:val="000000"/>
                <w:szCs w:val="21"/>
              </w:rPr>
              <w:t>、提交成果及要求</w:t>
            </w:r>
          </w:p>
          <w:p w14:paraId="54CDA4BC">
            <w:pPr>
              <w:snapToGrid w:val="0"/>
              <w:spacing w:line="360" w:lineRule="exact"/>
              <w:ind w:firstLine="420" w:firstLineChars="200"/>
              <w:rPr>
                <w:rFonts w:ascii="宋体" w:hAnsi="宋体"/>
                <w:color w:val="000000"/>
                <w:szCs w:val="21"/>
              </w:rPr>
            </w:pPr>
            <w:r>
              <w:rPr>
                <w:rFonts w:hint="eastAsia" w:ascii="宋体" w:hAnsi="宋体"/>
                <w:color w:val="000000"/>
                <w:szCs w:val="21"/>
              </w:rPr>
              <w:t>以行政村为单位进行审查报告提交。包含纸质报告和扫描后的电子报告各一份。</w:t>
            </w:r>
          </w:p>
        </w:tc>
        <w:tc>
          <w:tcPr>
            <w:tcW w:w="1317" w:type="dxa"/>
            <w:vAlign w:val="center"/>
          </w:tcPr>
          <w:p w14:paraId="1D1DB8E9">
            <w:pPr>
              <w:spacing w:line="360" w:lineRule="exact"/>
              <w:contextualSpacing/>
              <w:rPr>
                <w:rFonts w:ascii="宋体" w:hAnsi="宋体"/>
                <w:color w:val="000000"/>
                <w:szCs w:val="21"/>
              </w:rPr>
            </w:pPr>
            <w:r>
              <w:rPr>
                <w:rFonts w:ascii="宋体" w:hAnsi="宋体"/>
                <w:color w:val="000000"/>
                <w:szCs w:val="21"/>
              </w:rPr>
              <w:t>643590.00</w:t>
            </w:r>
          </w:p>
        </w:tc>
      </w:tr>
      <w:tr w14:paraId="69748D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2" w:hRule="atLeast"/>
        </w:trPr>
        <w:tc>
          <w:tcPr>
            <w:tcW w:w="669" w:type="dxa"/>
            <w:vAlign w:val="center"/>
          </w:tcPr>
          <w:p w14:paraId="1D9F5DDF">
            <w:pPr>
              <w:widowControl/>
              <w:spacing w:line="360" w:lineRule="exact"/>
              <w:rPr>
                <w:rFonts w:ascii="宋体" w:hAnsi="宋体" w:cs="宋体"/>
                <w:color w:val="000000"/>
                <w:kern w:val="0"/>
                <w:szCs w:val="21"/>
              </w:rPr>
            </w:pPr>
            <w:r>
              <w:rPr>
                <w:rFonts w:hint="eastAsia" w:ascii="宋体" w:hAnsi="宋体"/>
                <w:color w:val="000000"/>
                <w:szCs w:val="21"/>
              </w:rPr>
              <w:t>商务条款</w:t>
            </w:r>
          </w:p>
        </w:tc>
        <w:tc>
          <w:tcPr>
            <w:tcW w:w="8978" w:type="dxa"/>
            <w:gridSpan w:val="3"/>
            <w:vAlign w:val="center"/>
          </w:tcPr>
          <w:p w14:paraId="0438CAED">
            <w:pPr>
              <w:widowControl/>
              <w:spacing w:line="360" w:lineRule="exact"/>
              <w:ind w:firstLine="640"/>
              <w:jc w:val="left"/>
              <w:rPr>
                <w:rFonts w:ascii="宋体" w:hAnsi="宋体"/>
                <w:color w:val="000000"/>
                <w:kern w:val="0"/>
                <w:szCs w:val="21"/>
              </w:rPr>
            </w:pPr>
            <w:r>
              <w:rPr>
                <w:rFonts w:hint="eastAsia" w:ascii="宋体" w:hAnsi="宋体"/>
                <w:color w:val="000000"/>
                <w:kern w:val="0"/>
                <w:szCs w:val="21"/>
              </w:rPr>
              <w:t>▲◆一、合同签订期：自中标通知书发出之日起</w:t>
            </w:r>
            <w:r>
              <w:rPr>
                <w:rFonts w:ascii="宋体" w:hAnsi="宋体"/>
                <w:color w:val="000000"/>
                <w:kern w:val="0"/>
                <w:szCs w:val="21"/>
              </w:rPr>
              <w:t xml:space="preserve"> 25日内。</w:t>
            </w:r>
          </w:p>
          <w:p w14:paraId="714C976A">
            <w:pPr>
              <w:widowControl/>
              <w:spacing w:line="360" w:lineRule="exact"/>
              <w:ind w:firstLine="640"/>
              <w:jc w:val="left"/>
              <w:rPr>
                <w:rFonts w:ascii="宋体" w:hAnsi="宋体"/>
                <w:color w:val="000000"/>
                <w:kern w:val="0"/>
                <w:szCs w:val="21"/>
              </w:rPr>
            </w:pPr>
            <w:r>
              <w:rPr>
                <w:rFonts w:hint="eastAsia" w:ascii="宋体" w:hAnsi="宋体"/>
                <w:color w:val="000000"/>
                <w:kern w:val="0"/>
                <w:szCs w:val="21"/>
              </w:rPr>
              <w:t>▲◆二、提交服务成果时间：</w:t>
            </w:r>
            <w:r>
              <w:rPr>
                <w:rFonts w:ascii="宋体" w:hAnsi="宋体"/>
                <w:color w:val="000000"/>
                <w:kern w:val="0"/>
                <w:szCs w:val="21"/>
                <w:u w:val="single"/>
              </w:rPr>
              <w:t>202</w:t>
            </w:r>
            <w:r>
              <w:rPr>
                <w:rFonts w:hint="eastAsia" w:ascii="宋体" w:hAnsi="宋体"/>
                <w:color w:val="000000"/>
                <w:kern w:val="0"/>
                <w:szCs w:val="21"/>
                <w:u w:val="single"/>
              </w:rPr>
              <w:t>6年11月10日前提交本项目</w:t>
            </w:r>
            <w:r>
              <w:rPr>
                <w:rFonts w:ascii="宋体" w:hAnsi="宋体"/>
                <w:color w:val="000000"/>
                <w:kern w:val="0"/>
                <w:szCs w:val="21"/>
                <w:u w:val="single"/>
              </w:rPr>
              <w:t>所有成果</w:t>
            </w:r>
            <w:r>
              <w:rPr>
                <w:rFonts w:hint="eastAsia" w:ascii="宋体" w:hAnsi="宋体"/>
                <w:color w:val="000000"/>
                <w:kern w:val="0"/>
                <w:szCs w:val="21"/>
                <w:u w:val="single"/>
              </w:rPr>
              <w:t>资料</w:t>
            </w:r>
            <w:r>
              <w:rPr>
                <w:rFonts w:ascii="宋体" w:hAnsi="宋体"/>
                <w:color w:val="000000"/>
                <w:kern w:val="0"/>
                <w:szCs w:val="21"/>
              </w:rPr>
              <w:t>。</w:t>
            </w:r>
          </w:p>
          <w:p w14:paraId="3A9A84FE">
            <w:pPr>
              <w:widowControl/>
              <w:spacing w:line="360" w:lineRule="exact"/>
              <w:ind w:firstLine="640"/>
              <w:jc w:val="left"/>
              <w:rPr>
                <w:rFonts w:ascii="宋体" w:hAnsi="宋体"/>
                <w:color w:val="000000"/>
                <w:kern w:val="0"/>
                <w:szCs w:val="21"/>
              </w:rPr>
            </w:pPr>
            <w:r>
              <w:rPr>
                <w:rFonts w:hint="eastAsia" w:ascii="宋体" w:hAnsi="宋体"/>
                <w:color w:val="000000"/>
                <w:kern w:val="0"/>
                <w:szCs w:val="21"/>
              </w:rPr>
              <w:t>三、提交服务成果地点：南宁市自然资源局</w:t>
            </w:r>
          </w:p>
          <w:p w14:paraId="163D0957">
            <w:pPr>
              <w:widowControl/>
              <w:shd w:val="clear" w:color="auto" w:fill="FFFFFF"/>
              <w:spacing w:line="380" w:lineRule="exact"/>
              <w:ind w:firstLine="640"/>
              <w:rPr>
                <w:rFonts w:ascii="宋体" w:hAnsi="宋体"/>
                <w:color w:val="000000"/>
                <w:szCs w:val="21"/>
              </w:rPr>
            </w:pPr>
            <w:r>
              <w:rPr>
                <w:rFonts w:ascii="宋体" w:hAnsi="宋体"/>
                <w:color w:val="000000"/>
                <w:szCs w:val="21"/>
              </w:rPr>
              <w:t>四、售后服务要求：</w:t>
            </w:r>
          </w:p>
          <w:p w14:paraId="397405EB">
            <w:pPr>
              <w:widowControl/>
              <w:shd w:val="clear" w:color="auto" w:fill="FFFFFF"/>
              <w:spacing w:line="380" w:lineRule="exact"/>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 xml:space="preserve">1、质量保证期 </w:t>
            </w:r>
            <w:r>
              <w:rPr>
                <w:rFonts w:hint="eastAsia" w:ascii="宋体" w:hAnsi="宋体"/>
                <w:color w:val="000000"/>
                <w:szCs w:val="21"/>
              </w:rPr>
              <w:t>1</w:t>
            </w:r>
            <w:r>
              <w:rPr>
                <w:rFonts w:ascii="宋体" w:hAnsi="宋体"/>
                <w:color w:val="000000"/>
                <w:szCs w:val="21"/>
              </w:rPr>
              <w:t xml:space="preserve"> 年（</w:t>
            </w:r>
            <w:r>
              <w:rPr>
                <w:rFonts w:hint="eastAsia" w:ascii="宋体" w:hAnsi="宋体"/>
                <w:color w:val="000000"/>
                <w:szCs w:val="21"/>
              </w:rPr>
              <w:t>自提交服务成果并验收合格之日起计</w:t>
            </w:r>
            <w:r>
              <w:rPr>
                <w:rFonts w:ascii="宋体" w:hAnsi="宋体"/>
                <w:color w:val="000000"/>
                <w:szCs w:val="21"/>
              </w:rPr>
              <w:t>）</w:t>
            </w:r>
            <w:r>
              <w:rPr>
                <w:rFonts w:hint="eastAsia" w:ascii="宋体" w:hAnsi="宋体"/>
                <w:color w:val="000000"/>
                <w:szCs w:val="21"/>
              </w:rPr>
              <w:t>，在质保期内，当国家标准、技术规范发生改变或成果出现质量问题时，中标人须修改完善相关内容（费用包含在报价里，采购人不再支付相关费用）。</w:t>
            </w:r>
          </w:p>
          <w:p w14:paraId="593A4E7A">
            <w:pPr>
              <w:widowControl/>
              <w:shd w:val="clear" w:color="auto" w:fill="FFFFFF"/>
              <w:spacing w:line="380" w:lineRule="exact"/>
              <w:ind w:firstLine="420" w:firstLineChars="200"/>
              <w:rPr>
                <w:rFonts w:ascii="宋体" w:hAnsi="宋体"/>
                <w:color w:val="000000"/>
                <w:szCs w:val="21"/>
              </w:rPr>
            </w:pPr>
            <w:r>
              <w:rPr>
                <w:rFonts w:hint="eastAsia" w:ascii="宋体" w:hAnsi="宋体"/>
                <w:color w:val="000000"/>
                <w:kern w:val="0"/>
                <w:szCs w:val="21"/>
              </w:rPr>
              <w:t>▲</w:t>
            </w:r>
            <w:r>
              <w:rPr>
                <w:rFonts w:hint="eastAsia" w:ascii="宋体" w:hAnsi="宋体"/>
                <w:color w:val="000000"/>
                <w:szCs w:val="21"/>
              </w:rPr>
              <w:t>◆</w:t>
            </w:r>
            <w:r>
              <w:rPr>
                <w:rFonts w:ascii="宋体" w:hAnsi="宋体"/>
                <w:color w:val="000000"/>
                <w:szCs w:val="21"/>
              </w:rPr>
              <w:t>2、</w:t>
            </w:r>
            <w:r>
              <w:rPr>
                <w:rFonts w:hint="eastAsia" w:ascii="宋体" w:hAnsi="宋体"/>
                <w:color w:val="000000"/>
                <w:szCs w:val="21"/>
              </w:rPr>
              <w:t>处理问题响应时间</w:t>
            </w:r>
            <w:r>
              <w:rPr>
                <w:rFonts w:ascii="宋体" w:hAnsi="宋体"/>
                <w:color w:val="000000"/>
                <w:szCs w:val="21"/>
              </w:rPr>
              <w:t>：</w:t>
            </w:r>
            <w:r>
              <w:rPr>
                <w:rFonts w:hint="eastAsia" w:ascii="宋体" w:hAnsi="宋体"/>
                <w:color w:val="000000"/>
                <w:szCs w:val="21"/>
              </w:rPr>
              <w:t>接到采购人处理问题通知后3</w:t>
            </w:r>
            <w:r>
              <w:rPr>
                <w:rFonts w:ascii="宋体" w:hAnsi="宋体"/>
                <w:color w:val="000000"/>
                <w:szCs w:val="21"/>
              </w:rPr>
              <w:t>小时内到达采购人指定现场，24小时内提出解决方案，3个工作日内完成问题处理。</w:t>
            </w:r>
          </w:p>
          <w:p w14:paraId="487A06AA">
            <w:pPr>
              <w:spacing w:line="380" w:lineRule="exact"/>
              <w:ind w:firstLine="640"/>
              <w:rPr>
                <w:rFonts w:ascii="宋体" w:hAnsi="宋体"/>
                <w:color w:val="000000"/>
                <w:szCs w:val="21"/>
              </w:rPr>
            </w:pPr>
            <w:r>
              <w:rPr>
                <w:rFonts w:ascii="宋体" w:hAnsi="宋体"/>
                <w:color w:val="000000"/>
                <w:szCs w:val="21"/>
              </w:rPr>
              <w:t>五、其他要求：</w:t>
            </w:r>
          </w:p>
          <w:p w14:paraId="52E06142">
            <w:pPr>
              <w:spacing w:line="288" w:lineRule="auto"/>
              <w:ind w:firstLine="420" w:firstLineChars="200"/>
              <w:rPr>
                <w:rFonts w:ascii="宋体" w:hAnsi="宋体"/>
                <w:color w:val="000000"/>
                <w:szCs w:val="21"/>
              </w:rPr>
            </w:pPr>
            <w:r>
              <w:rPr>
                <w:rFonts w:hint="eastAsia" w:ascii="宋体" w:hAnsi="宋体"/>
                <w:color w:val="000000"/>
                <w:szCs w:val="21"/>
              </w:rPr>
              <w:t>▲1、报价必须含以下部分，包括：</w:t>
            </w:r>
          </w:p>
          <w:p w14:paraId="7E0AE09B">
            <w:pPr>
              <w:widowControl/>
              <w:spacing w:line="36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1）服务的价格；</w:t>
            </w:r>
          </w:p>
          <w:p w14:paraId="4D9361F5">
            <w:pPr>
              <w:widowControl/>
              <w:spacing w:line="36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2）必要的保险费用和各项税金；</w:t>
            </w:r>
          </w:p>
          <w:p w14:paraId="580BE68D">
            <w:pPr>
              <w:widowControl/>
              <w:spacing w:line="36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3）项目验收的费用；</w:t>
            </w:r>
          </w:p>
          <w:p w14:paraId="3CF44658">
            <w:pPr>
              <w:widowControl/>
              <w:spacing w:line="36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4）技术支持、售后服务</w:t>
            </w:r>
            <w:r>
              <w:rPr>
                <w:rFonts w:hint="eastAsia" w:ascii="宋体" w:hAnsi="宋体"/>
                <w:color w:val="000000"/>
                <w:kern w:val="0"/>
                <w:szCs w:val="21"/>
              </w:rPr>
              <w:t>、代理费等</w:t>
            </w:r>
            <w:r>
              <w:rPr>
                <w:rFonts w:ascii="宋体" w:hAnsi="宋体"/>
                <w:color w:val="000000"/>
                <w:kern w:val="0"/>
                <w:szCs w:val="21"/>
              </w:rPr>
              <w:t>费用。</w:t>
            </w:r>
          </w:p>
          <w:p w14:paraId="7140E20A">
            <w:pPr>
              <w:widowControl/>
              <w:spacing w:line="360" w:lineRule="exact"/>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2、付款方式：</w:t>
            </w:r>
          </w:p>
          <w:p w14:paraId="694540CC">
            <w:pPr>
              <w:widowControl/>
              <w:spacing w:line="360" w:lineRule="exact"/>
              <w:ind w:firstLine="420" w:firstLineChars="200"/>
              <w:rPr>
                <w:rFonts w:ascii="宋体" w:hAnsi="宋体"/>
                <w:color w:val="000000"/>
                <w:kern w:val="0"/>
                <w:szCs w:val="21"/>
              </w:rPr>
            </w:pPr>
            <w:r>
              <w:rPr>
                <w:rFonts w:hint="eastAsia" w:ascii="宋体" w:hAnsi="宋体"/>
                <w:color w:val="000000"/>
                <w:kern w:val="0"/>
                <w:szCs w:val="21"/>
              </w:rPr>
              <w:t>合同签订生效后，采购人支付合同总金额的30%作为预付款，中标人提交本项目所有成果资料并通过采购人验收后，采购人一次性支付剩余合同款。</w:t>
            </w:r>
          </w:p>
          <w:p w14:paraId="57805988">
            <w:pPr>
              <w:widowControl/>
              <w:spacing w:line="360" w:lineRule="auto"/>
              <w:ind w:firstLine="420" w:firstLineChars="200"/>
              <w:jc w:val="left"/>
              <w:rPr>
                <w:rFonts w:ascii="宋体" w:hAnsi="宋体"/>
                <w:color w:val="000000"/>
                <w:kern w:val="0"/>
                <w:szCs w:val="21"/>
              </w:rPr>
            </w:pPr>
            <w:r>
              <w:rPr>
                <w:rFonts w:hint="eastAsia" w:ascii="宋体" w:hAnsi="宋体"/>
                <w:color w:val="000000"/>
                <w:kern w:val="0"/>
                <w:szCs w:val="21"/>
              </w:rPr>
              <w:t>▲</w:t>
            </w:r>
            <w:r>
              <w:rPr>
                <w:rFonts w:ascii="宋体" w:hAnsi="宋体"/>
                <w:color w:val="000000"/>
                <w:kern w:val="0"/>
                <w:szCs w:val="21"/>
              </w:rPr>
              <w:t>3、项目实施要求：</w:t>
            </w:r>
          </w:p>
          <w:p w14:paraId="0C109E00">
            <w:pPr>
              <w:spacing w:line="360" w:lineRule="auto"/>
              <w:ind w:firstLine="420" w:firstLineChars="200"/>
              <w:rPr>
                <w:rFonts w:ascii="宋体" w:hAnsi="宋体"/>
                <w:color w:val="000000"/>
                <w:szCs w:val="21"/>
              </w:rPr>
            </w:pPr>
            <w:r>
              <w:rPr>
                <w:rFonts w:hint="eastAsia" w:ascii="宋体" w:hAnsi="宋体"/>
                <w:color w:val="000000"/>
                <w:szCs w:val="21"/>
              </w:rPr>
              <w:t>（1）</w:t>
            </w:r>
            <w:r>
              <w:rPr>
                <w:rFonts w:ascii="宋体" w:hAnsi="宋体"/>
                <w:color w:val="000000"/>
                <w:szCs w:val="21"/>
              </w:rPr>
              <w:t>实施人员（包括项目负责人）必须是中标</w:t>
            </w:r>
            <w:r>
              <w:rPr>
                <w:rFonts w:hint="eastAsia" w:ascii="宋体" w:hAnsi="宋体"/>
                <w:color w:val="000000"/>
                <w:szCs w:val="21"/>
              </w:rPr>
              <w:t>人</w:t>
            </w:r>
            <w:r>
              <w:rPr>
                <w:rFonts w:ascii="宋体" w:hAnsi="宋体"/>
                <w:color w:val="000000"/>
                <w:szCs w:val="21"/>
              </w:rPr>
              <w:t>在职在岗员工，参与投标时须提供人员名册、</w:t>
            </w:r>
            <w:r>
              <w:rPr>
                <w:rFonts w:hint="eastAsia" w:ascii="宋体" w:hAnsi="宋体"/>
                <w:color w:val="000000"/>
                <w:szCs w:val="21"/>
              </w:rPr>
              <w:t>人员在职在岗证明材料扫描件（如：与投标人签订的劳动合同或投标人为其缴纳的投标截止之日前半年内投标人任意</w:t>
            </w:r>
            <w:r>
              <w:rPr>
                <w:rFonts w:ascii="宋体" w:hAnsi="宋体"/>
                <w:color w:val="000000"/>
                <w:szCs w:val="21"/>
              </w:rPr>
              <w:t>1个月社保证明）；</w:t>
            </w:r>
          </w:p>
          <w:p w14:paraId="37045E39">
            <w:pPr>
              <w:spacing w:line="360" w:lineRule="auto"/>
              <w:ind w:firstLine="420" w:firstLineChars="200"/>
              <w:rPr>
                <w:rFonts w:ascii="宋体" w:hAnsi="宋体"/>
                <w:color w:val="000000"/>
                <w:szCs w:val="21"/>
              </w:rPr>
            </w:pPr>
            <w:r>
              <w:rPr>
                <w:rFonts w:hint="eastAsia" w:ascii="宋体" w:hAnsi="宋体"/>
                <w:color w:val="000000"/>
                <w:szCs w:val="21"/>
              </w:rPr>
              <w:t>（2）</w:t>
            </w:r>
            <w:r>
              <w:rPr>
                <w:rFonts w:ascii="宋体" w:hAnsi="宋体"/>
                <w:color w:val="000000"/>
                <w:szCs w:val="21"/>
              </w:rPr>
              <w:t>项目开展后若要更换实施人员的，必须书面征得采购人的同意，同时替换的人员资质不低于被替换的人员，替换人数不</w:t>
            </w:r>
            <w:r>
              <w:rPr>
                <w:rFonts w:hint="eastAsia" w:ascii="宋体" w:hAnsi="宋体"/>
                <w:color w:val="000000"/>
                <w:szCs w:val="21"/>
              </w:rPr>
              <w:t>超过投入人员数量的2</w:t>
            </w:r>
            <w:r>
              <w:rPr>
                <w:rFonts w:ascii="宋体" w:hAnsi="宋体"/>
                <w:color w:val="000000"/>
                <w:szCs w:val="21"/>
              </w:rPr>
              <w:t>0</w:t>
            </w:r>
            <w:r>
              <w:rPr>
                <w:rFonts w:hint="eastAsia" w:ascii="宋体" w:hAnsi="宋体"/>
                <w:color w:val="000000"/>
                <w:szCs w:val="21"/>
              </w:rPr>
              <w:t>%；</w:t>
            </w:r>
          </w:p>
          <w:p w14:paraId="3C234013">
            <w:pPr>
              <w:spacing w:line="360" w:lineRule="auto"/>
              <w:ind w:firstLine="420" w:firstLineChars="200"/>
              <w:rPr>
                <w:rFonts w:ascii="宋体" w:hAnsi="宋体"/>
                <w:color w:val="000000"/>
                <w:szCs w:val="21"/>
              </w:rPr>
            </w:pPr>
            <w:r>
              <w:rPr>
                <w:rFonts w:hint="eastAsia" w:ascii="宋体" w:hAnsi="宋体"/>
                <w:color w:val="000000"/>
                <w:szCs w:val="21"/>
              </w:rPr>
              <w:t>（</w:t>
            </w:r>
            <w:r>
              <w:rPr>
                <w:rFonts w:ascii="宋体" w:hAnsi="宋体"/>
                <w:color w:val="000000"/>
                <w:szCs w:val="21"/>
              </w:rPr>
              <w:t>3）项目实施期间，采购人将现场核实实施人员身份，若发现与投标及报备时不一致的，采购人有权停止其服务并要求更换实施人员，若出现上诉问题累计达3次的，采购人有权向政府采购监督部门申请终止服务合同</w:t>
            </w:r>
            <w:r>
              <w:rPr>
                <w:rFonts w:hint="eastAsia" w:ascii="宋体" w:hAnsi="宋体"/>
                <w:color w:val="000000"/>
                <w:szCs w:val="21"/>
              </w:rPr>
              <w:t>；</w:t>
            </w:r>
          </w:p>
          <w:p w14:paraId="66C5C8B5">
            <w:pPr>
              <w:spacing w:line="288" w:lineRule="auto"/>
              <w:ind w:firstLine="420" w:firstLineChars="200"/>
              <w:rPr>
                <w:rFonts w:ascii="宋体" w:hAnsi="宋体"/>
                <w:color w:val="000000"/>
                <w:kern w:val="0"/>
                <w:szCs w:val="21"/>
              </w:rPr>
            </w:pPr>
            <w:r>
              <w:rPr>
                <w:rFonts w:hint="eastAsia" w:ascii="宋体" w:hAnsi="宋体"/>
                <w:color w:val="000000"/>
                <w:szCs w:val="21"/>
              </w:rPr>
              <w:t>▲</w:t>
            </w:r>
            <w:r>
              <w:rPr>
                <w:rFonts w:ascii="宋体" w:hAnsi="宋体"/>
                <w:color w:val="000000"/>
                <w:szCs w:val="21"/>
              </w:rPr>
              <w:t>4、保密要求：中标</w:t>
            </w:r>
            <w:r>
              <w:rPr>
                <w:rFonts w:hint="eastAsia" w:ascii="宋体" w:hAnsi="宋体"/>
                <w:color w:val="000000"/>
                <w:szCs w:val="21"/>
              </w:rPr>
              <w:t>人</w:t>
            </w:r>
            <w:r>
              <w:rPr>
                <w:rFonts w:ascii="宋体" w:hAnsi="宋体"/>
                <w:color w:val="000000"/>
                <w:szCs w:val="21"/>
              </w:rPr>
              <w:t>须严格遵守采购人保密制度要求，在项目开展过程中，对本项目所有项目信息以及接触到数据予以保密，未经采购人书面允许，不得以任何形式向第三方透露本项目的任何内容。</w:t>
            </w:r>
          </w:p>
        </w:tc>
      </w:tr>
      <w:tr w14:paraId="18FD4E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7" w:hRule="atLeast"/>
        </w:trPr>
        <w:tc>
          <w:tcPr>
            <w:tcW w:w="669" w:type="dxa"/>
            <w:tcBorders>
              <w:top w:val="single" w:color="auto" w:sz="4" w:space="0"/>
              <w:left w:val="single" w:color="auto" w:sz="4" w:space="0"/>
              <w:bottom w:val="single" w:color="auto" w:sz="4" w:space="0"/>
              <w:right w:val="single" w:color="auto" w:sz="4" w:space="0"/>
            </w:tcBorders>
            <w:vAlign w:val="center"/>
          </w:tcPr>
          <w:p w14:paraId="17E589B1">
            <w:pPr>
              <w:spacing w:line="360" w:lineRule="exact"/>
              <w:rPr>
                <w:rFonts w:ascii="宋体" w:hAnsi="宋体"/>
                <w:color w:val="000000"/>
                <w:szCs w:val="21"/>
              </w:rPr>
            </w:pPr>
            <w:r>
              <w:rPr>
                <w:rFonts w:hint="eastAsia" w:ascii="宋体" w:hAnsi="宋体"/>
                <w:color w:val="000000"/>
                <w:szCs w:val="21"/>
              </w:rPr>
              <w:t>其他说明</w:t>
            </w:r>
          </w:p>
        </w:tc>
        <w:tc>
          <w:tcPr>
            <w:tcW w:w="8978" w:type="dxa"/>
            <w:gridSpan w:val="3"/>
            <w:tcBorders>
              <w:top w:val="single" w:color="auto" w:sz="4" w:space="0"/>
              <w:left w:val="single" w:color="auto" w:sz="4" w:space="0"/>
              <w:bottom w:val="single" w:color="auto" w:sz="4" w:space="0"/>
              <w:right w:val="single" w:color="auto" w:sz="4" w:space="0"/>
            </w:tcBorders>
            <w:vAlign w:val="center"/>
          </w:tcPr>
          <w:p w14:paraId="2EC38D55">
            <w:pPr>
              <w:widowControl/>
              <w:spacing w:line="360" w:lineRule="exact"/>
              <w:ind w:firstLine="640"/>
              <w:jc w:val="left"/>
              <w:rPr>
                <w:rFonts w:ascii="宋体" w:hAnsi="宋体"/>
                <w:color w:val="000000"/>
                <w:kern w:val="0"/>
                <w:szCs w:val="21"/>
              </w:rPr>
            </w:pPr>
            <w:r>
              <w:rPr>
                <w:rFonts w:hint="eastAsia" w:ascii="宋体" w:hAnsi="宋体"/>
                <w:color w:val="000000"/>
                <w:kern w:val="0"/>
                <w:szCs w:val="21"/>
              </w:rPr>
              <w:t>1、本项目采购标的对应的中小企业划分标准所属行业：其他未列明行业。</w:t>
            </w:r>
          </w:p>
          <w:p w14:paraId="56944EAA">
            <w:pPr>
              <w:spacing w:line="400" w:lineRule="exact"/>
              <w:ind w:firstLine="630" w:firstLineChars="300"/>
              <w:jc w:val="left"/>
              <w:rPr>
                <w:rFonts w:ascii="宋体" w:hAnsi="宋体" w:cs="Calibri"/>
                <w:color w:val="000000"/>
                <w:kern w:val="0"/>
                <w:szCs w:val="21"/>
              </w:rPr>
            </w:pPr>
            <w:r>
              <w:rPr>
                <w:rFonts w:ascii="宋体" w:hAnsi="宋体" w:cs="Calibri"/>
                <w:color w:val="000000"/>
                <w:kern w:val="0"/>
                <w:szCs w:val="21"/>
              </w:rPr>
              <w:t>2</w:t>
            </w:r>
            <w:r>
              <w:rPr>
                <w:rFonts w:hint="eastAsia" w:ascii="宋体" w:hAnsi="宋体" w:cs="Calibri"/>
                <w:color w:val="000000"/>
                <w:kern w:val="0"/>
                <w:szCs w:val="21"/>
              </w:rPr>
              <w:t>、</w:t>
            </w:r>
            <w:r>
              <w:rPr>
                <w:rFonts w:ascii="宋体" w:hAnsi="宋体" w:cs="Calibri"/>
                <w:color w:val="000000"/>
                <w:kern w:val="0"/>
                <w:szCs w:val="21"/>
              </w:rPr>
              <w:t>本项目合同文本中的条款如与项目需求不一致的，以采购文件项目需求表、</w:t>
            </w:r>
            <w:r>
              <w:rPr>
                <w:rFonts w:hint="eastAsia" w:ascii="宋体" w:hAnsi="宋体" w:cs="Calibri"/>
                <w:color w:val="000000"/>
                <w:kern w:val="0"/>
                <w:szCs w:val="21"/>
              </w:rPr>
              <w:t>中标人</w:t>
            </w:r>
            <w:r>
              <w:rPr>
                <w:rFonts w:ascii="宋体" w:hAnsi="宋体" w:cs="Calibri"/>
                <w:color w:val="000000"/>
                <w:kern w:val="0"/>
                <w:szCs w:val="21"/>
              </w:rPr>
              <w:t>响应条款为准。</w:t>
            </w:r>
          </w:p>
          <w:p w14:paraId="0FBFD2E0">
            <w:pPr>
              <w:widowControl/>
              <w:spacing w:line="360" w:lineRule="exact"/>
              <w:ind w:firstLine="640"/>
              <w:jc w:val="left"/>
              <w:rPr>
                <w:rFonts w:ascii="宋体" w:hAnsi="宋体"/>
                <w:color w:val="000000"/>
                <w:kern w:val="0"/>
                <w:szCs w:val="21"/>
              </w:rPr>
            </w:pPr>
            <w:r>
              <w:rPr>
                <w:rFonts w:ascii="宋体" w:hAnsi="宋体" w:cs="宋体"/>
                <w:color w:val="000000"/>
                <w:szCs w:val="21"/>
              </w:rPr>
              <w:t>3</w:t>
            </w:r>
            <w:r>
              <w:rPr>
                <w:rFonts w:hint="eastAsia" w:ascii="宋体" w:hAnsi="宋体" w:cs="宋体"/>
                <w:color w:val="000000"/>
                <w:szCs w:val="21"/>
              </w:rPr>
              <w:t>、</w:t>
            </w:r>
            <w:r>
              <w:rPr>
                <w:rFonts w:ascii="宋体" w:hAnsi="宋体" w:cs="宋体"/>
                <w:color w:val="000000"/>
                <w:szCs w:val="21"/>
              </w:rPr>
              <w:t>本项目投标时请提供项目组织服务方案，如已通过ISO相关体系认证</w:t>
            </w:r>
            <w:r>
              <w:rPr>
                <w:rFonts w:hint="eastAsia" w:ascii="宋体" w:hAnsi="宋体" w:cs="宋体"/>
                <w:color w:val="000000"/>
                <w:szCs w:val="21"/>
              </w:rPr>
              <w:t>，</w:t>
            </w:r>
            <w:r>
              <w:rPr>
                <w:rFonts w:ascii="宋体" w:hAnsi="宋体" w:cs="宋体"/>
                <w:color w:val="000000"/>
                <w:szCs w:val="21"/>
              </w:rPr>
              <w:t>承担过类似项目业绩，请提供相关证明材料。</w:t>
            </w:r>
          </w:p>
          <w:p w14:paraId="4C6DA92B">
            <w:pPr>
              <w:widowControl/>
              <w:spacing w:line="360" w:lineRule="exact"/>
              <w:ind w:firstLine="640"/>
              <w:jc w:val="left"/>
              <w:rPr>
                <w:rFonts w:ascii="宋体" w:hAnsi="宋体"/>
                <w:color w:val="000000"/>
                <w:kern w:val="0"/>
                <w:szCs w:val="21"/>
              </w:rPr>
            </w:pPr>
            <w:r>
              <w:rPr>
                <w:rFonts w:ascii="宋体" w:hAnsi="宋体"/>
                <w:color w:val="000000"/>
                <w:kern w:val="0"/>
                <w:szCs w:val="21"/>
              </w:rPr>
              <w:t>4、合同延续年限、条件和方式：</w:t>
            </w:r>
            <w:r>
              <w:rPr>
                <w:rFonts w:hint="eastAsia" w:ascii="宋体" w:hAnsi="宋体"/>
                <w:color w:val="000000"/>
                <w:kern w:val="0"/>
                <w:szCs w:val="21"/>
              </w:rPr>
              <w:t>本项目合同履约期到期后，采购人依据本项目的服务履约评价情况及实际需求，并根据《财政部关于推进和完善服务项目政府有关问题的通知》（财库</w:t>
            </w:r>
            <w:r>
              <w:rPr>
                <w:rFonts w:ascii="宋体" w:hAnsi="宋体"/>
                <w:color w:val="000000"/>
                <w:kern w:val="0"/>
                <w:szCs w:val="21"/>
              </w:rPr>
              <w:t>[2014]37号）及《政府购买服务管理办法》（财政部令102号）等规定，在年度预算保障的前提下，对于购买内容（采购需求）相对固定、连续（延续）性强、经费来源稳定、价格变化幅度小的政府采购服务项目，可以通过一年一续签方式签订合同，期限总长不得超过三年。供应商可以自由选择接受或拒绝。</w:t>
            </w:r>
          </w:p>
        </w:tc>
      </w:tr>
    </w:tbl>
    <w:p w14:paraId="076F7128">
      <w:r>
        <w:br w:type="page"/>
      </w:r>
    </w:p>
    <w:p w14:paraId="14D6279C">
      <w:pPr>
        <w:spacing w:line="420" w:lineRule="exact"/>
        <w:ind w:firstLine="640" w:firstLineChars="200"/>
        <w:rPr>
          <w:rFonts w:ascii="仿宋" w:hAnsi="仿宋" w:eastAsia="仿宋" w:cs="Arial Unicode MS"/>
          <w:sz w:val="17"/>
          <w:szCs w:val="17"/>
        </w:rPr>
      </w:pPr>
      <w:r>
        <w:rPr>
          <w:rFonts w:hint="eastAsia" w:ascii="仿宋" w:hAnsi="仿宋" w:eastAsia="仿宋" w:cs="宋体"/>
          <w:sz w:val="32"/>
          <w:szCs w:val="32"/>
        </w:rPr>
        <w:t>附件</w:t>
      </w:r>
      <w:r>
        <w:rPr>
          <w:rFonts w:hint="eastAsia" w:ascii="仿宋" w:hAnsi="仿宋" w:eastAsia="仿宋" w:cs="Arial Unicode MS"/>
          <w:sz w:val="32"/>
          <w:szCs w:val="32"/>
        </w:rPr>
        <w:t>1</w:t>
      </w:r>
      <w:r>
        <w:rPr>
          <w:rFonts w:hint="eastAsia" w:ascii="仿宋" w:hAnsi="仿宋" w:eastAsia="仿宋" w:cs="宋体"/>
          <w:sz w:val="32"/>
          <w:szCs w:val="32"/>
        </w:rPr>
        <w:t>：</w:t>
      </w:r>
    </w:p>
    <w:p w14:paraId="1ACB1EB3">
      <w:pPr>
        <w:spacing w:line="528" w:lineRule="exact"/>
        <w:ind w:left="1871"/>
        <w:rPr>
          <w:rFonts w:ascii="仿宋" w:hAnsi="仿宋" w:eastAsia="仿宋" w:cs="Arial Unicode MS"/>
          <w:sz w:val="40"/>
          <w:szCs w:val="40"/>
        </w:rPr>
      </w:pPr>
      <w:r>
        <w:rPr>
          <w:rFonts w:hint="eastAsia" w:ascii="仿宋" w:hAnsi="仿宋" w:eastAsia="仿宋" w:cs="Arial Unicode MS"/>
          <w:sz w:val="40"/>
          <w:szCs w:val="40"/>
        </w:rPr>
        <w:t>节能产品政府采购品目清单</w:t>
      </w:r>
    </w:p>
    <w:tbl>
      <w:tblPr>
        <w:tblStyle w:val="35"/>
        <w:tblW w:w="9220" w:type="dxa"/>
        <w:tblInd w:w="93" w:type="dxa"/>
        <w:tblLayout w:type="fixed"/>
        <w:tblCellMar>
          <w:top w:w="0" w:type="dxa"/>
          <w:left w:w="108" w:type="dxa"/>
          <w:bottom w:w="0" w:type="dxa"/>
          <w:right w:w="108" w:type="dxa"/>
        </w:tblCellMar>
      </w:tblPr>
      <w:tblGrid>
        <w:gridCol w:w="641"/>
        <w:gridCol w:w="1116"/>
        <w:gridCol w:w="1516"/>
        <w:gridCol w:w="1612"/>
        <w:gridCol w:w="4335"/>
      </w:tblGrid>
      <w:tr w14:paraId="48AD0BF8">
        <w:tblPrEx>
          <w:tblCellMar>
            <w:top w:w="0" w:type="dxa"/>
            <w:left w:w="108" w:type="dxa"/>
            <w:bottom w:w="0" w:type="dxa"/>
            <w:right w:w="108" w:type="dxa"/>
          </w:tblCellMar>
        </w:tblPrEx>
        <w:trPr>
          <w:trHeight w:val="555" w:hRule="atLeast"/>
        </w:trPr>
        <w:tc>
          <w:tcPr>
            <w:tcW w:w="641" w:type="dxa"/>
            <w:tcBorders>
              <w:top w:val="single" w:color="000000" w:sz="8" w:space="0"/>
              <w:left w:val="single" w:color="000000" w:sz="8" w:space="0"/>
              <w:bottom w:val="single" w:color="000000" w:sz="8" w:space="0"/>
              <w:right w:val="single" w:color="000000" w:sz="8" w:space="0"/>
            </w:tcBorders>
          </w:tcPr>
          <w:p w14:paraId="0C07FA18">
            <w:pPr>
              <w:widowControl/>
              <w:jc w:val="center"/>
              <w:rPr>
                <w:rFonts w:ascii="仿宋" w:hAnsi="仿宋" w:eastAsia="仿宋" w:cs="宋体"/>
                <w:b/>
                <w:bCs/>
                <w:kern w:val="0"/>
                <w:sz w:val="22"/>
                <w:szCs w:val="22"/>
              </w:rPr>
            </w:pPr>
            <w:r>
              <w:rPr>
                <w:rFonts w:hint="eastAsia" w:ascii="仿宋" w:hAnsi="仿宋" w:eastAsia="仿宋" w:cs="宋体"/>
                <w:b/>
                <w:bCs/>
                <w:kern w:val="0"/>
                <w:sz w:val="22"/>
                <w:szCs w:val="22"/>
              </w:rPr>
              <w:t>品目序号</w:t>
            </w:r>
          </w:p>
        </w:tc>
        <w:tc>
          <w:tcPr>
            <w:tcW w:w="4244" w:type="dxa"/>
            <w:gridSpan w:val="3"/>
            <w:tcBorders>
              <w:top w:val="single" w:color="000000" w:sz="8" w:space="0"/>
              <w:left w:val="nil"/>
              <w:bottom w:val="single" w:color="000000" w:sz="8" w:space="0"/>
              <w:right w:val="single" w:color="000000" w:sz="8" w:space="0"/>
            </w:tcBorders>
            <w:vAlign w:val="center"/>
          </w:tcPr>
          <w:p w14:paraId="1072F45F">
            <w:pPr>
              <w:widowControl/>
              <w:jc w:val="center"/>
              <w:rPr>
                <w:rFonts w:ascii="仿宋" w:hAnsi="仿宋" w:eastAsia="仿宋" w:cs="宋体"/>
                <w:b/>
                <w:bCs/>
                <w:kern w:val="0"/>
                <w:sz w:val="22"/>
                <w:szCs w:val="22"/>
              </w:rPr>
            </w:pPr>
            <w:r>
              <w:rPr>
                <w:rFonts w:hint="eastAsia" w:ascii="仿宋" w:hAnsi="仿宋" w:eastAsia="仿宋" w:cs="宋体"/>
                <w:b/>
                <w:bCs/>
                <w:kern w:val="0"/>
                <w:sz w:val="22"/>
                <w:szCs w:val="22"/>
              </w:rPr>
              <w:t>名称</w:t>
            </w:r>
          </w:p>
        </w:tc>
        <w:tc>
          <w:tcPr>
            <w:tcW w:w="4335" w:type="dxa"/>
            <w:tcBorders>
              <w:top w:val="single" w:color="000000" w:sz="8" w:space="0"/>
              <w:left w:val="nil"/>
              <w:bottom w:val="single" w:color="000000" w:sz="8" w:space="0"/>
              <w:right w:val="single" w:color="000000" w:sz="8" w:space="0"/>
            </w:tcBorders>
            <w:vAlign w:val="center"/>
          </w:tcPr>
          <w:p w14:paraId="1B6ACE64">
            <w:pPr>
              <w:widowControl/>
              <w:jc w:val="center"/>
              <w:rPr>
                <w:rFonts w:ascii="仿宋" w:hAnsi="仿宋" w:eastAsia="仿宋" w:cs="宋体"/>
                <w:b/>
                <w:bCs/>
                <w:kern w:val="0"/>
                <w:sz w:val="22"/>
                <w:szCs w:val="22"/>
              </w:rPr>
            </w:pPr>
            <w:r>
              <w:rPr>
                <w:rFonts w:hint="eastAsia" w:ascii="仿宋" w:hAnsi="仿宋" w:eastAsia="仿宋" w:cs="宋体"/>
                <w:b/>
                <w:bCs/>
                <w:kern w:val="0"/>
                <w:sz w:val="22"/>
                <w:szCs w:val="22"/>
              </w:rPr>
              <w:t>依据的标准</w:t>
            </w:r>
          </w:p>
        </w:tc>
      </w:tr>
      <w:tr w14:paraId="28F75EA2">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20D42917">
            <w:pPr>
              <w:widowControl/>
              <w:jc w:val="center"/>
              <w:rPr>
                <w:rFonts w:ascii="仿宋" w:hAnsi="仿宋" w:eastAsia="仿宋" w:cs="宋体"/>
                <w:kern w:val="0"/>
                <w:sz w:val="20"/>
                <w:szCs w:val="20"/>
              </w:rPr>
            </w:pPr>
            <w:r>
              <w:rPr>
                <w:rFonts w:hint="eastAsia" w:ascii="仿宋" w:hAnsi="仿宋" w:eastAsia="仿宋" w:cs="宋体"/>
                <w:kern w:val="0"/>
                <w:sz w:val="20"/>
                <w:szCs w:val="20"/>
              </w:rPr>
              <w:t>1</w:t>
            </w:r>
          </w:p>
        </w:tc>
        <w:tc>
          <w:tcPr>
            <w:tcW w:w="1116" w:type="dxa"/>
            <w:vMerge w:val="restart"/>
            <w:tcBorders>
              <w:top w:val="nil"/>
              <w:left w:val="single" w:color="000000" w:sz="8" w:space="0"/>
              <w:bottom w:val="single" w:color="000000" w:sz="8" w:space="0"/>
              <w:right w:val="single" w:color="000000" w:sz="8" w:space="0"/>
            </w:tcBorders>
            <w:vAlign w:val="center"/>
          </w:tcPr>
          <w:p w14:paraId="43972412">
            <w:pPr>
              <w:widowControl/>
              <w:jc w:val="center"/>
              <w:rPr>
                <w:rFonts w:ascii="仿宋" w:hAnsi="仿宋" w:eastAsia="仿宋" w:cs="宋体"/>
                <w:kern w:val="0"/>
                <w:sz w:val="20"/>
                <w:szCs w:val="20"/>
              </w:rPr>
            </w:pPr>
            <w:r>
              <w:rPr>
                <w:rFonts w:hint="eastAsia" w:ascii="仿宋" w:hAnsi="仿宋" w:eastAsia="仿宋" w:cs="宋体"/>
                <w:kern w:val="0"/>
                <w:sz w:val="20"/>
                <w:szCs w:val="20"/>
              </w:rPr>
              <w:t>A020101计算机设备</w:t>
            </w:r>
          </w:p>
        </w:tc>
        <w:tc>
          <w:tcPr>
            <w:tcW w:w="1516" w:type="dxa"/>
            <w:tcBorders>
              <w:top w:val="nil"/>
              <w:left w:val="nil"/>
              <w:bottom w:val="single" w:color="000000" w:sz="8" w:space="0"/>
              <w:right w:val="single" w:color="000000" w:sz="8" w:space="0"/>
            </w:tcBorders>
            <w:vAlign w:val="center"/>
          </w:tcPr>
          <w:p w14:paraId="09401958">
            <w:pPr>
              <w:widowControl/>
              <w:jc w:val="center"/>
              <w:rPr>
                <w:rFonts w:ascii="仿宋" w:hAnsi="仿宋" w:eastAsia="仿宋" w:cs="宋体"/>
                <w:kern w:val="0"/>
                <w:sz w:val="20"/>
                <w:szCs w:val="20"/>
              </w:rPr>
            </w:pPr>
            <w:r>
              <w:rPr>
                <w:rFonts w:hint="eastAsia" w:ascii="仿宋" w:hAnsi="仿宋" w:eastAsia="仿宋" w:cs="宋体"/>
                <w:kern w:val="0"/>
                <w:sz w:val="20"/>
                <w:szCs w:val="20"/>
              </w:rPr>
              <w:t>★A02010104台式计算机</w:t>
            </w:r>
          </w:p>
        </w:tc>
        <w:tc>
          <w:tcPr>
            <w:tcW w:w="1612" w:type="dxa"/>
            <w:tcBorders>
              <w:top w:val="nil"/>
              <w:left w:val="nil"/>
              <w:bottom w:val="single" w:color="000000" w:sz="8" w:space="0"/>
              <w:right w:val="single" w:color="000000" w:sz="8" w:space="0"/>
            </w:tcBorders>
            <w:vAlign w:val="center"/>
          </w:tcPr>
          <w:p w14:paraId="6B9FE53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6A87EB2E">
            <w:pPr>
              <w:widowControl/>
              <w:jc w:val="left"/>
              <w:rPr>
                <w:rFonts w:ascii="仿宋" w:hAnsi="仿宋" w:eastAsia="仿宋" w:cs="宋体"/>
                <w:kern w:val="0"/>
                <w:sz w:val="20"/>
                <w:szCs w:val="20"/>
              </w:rPr>
            </w:pPr>
            <w:r>
              <w:rPr>
                <w:rFonts w:hint="eastAsia" w:ascii="仿宋" w:hAnsi="仿宋" w:eastAsia="仿宋" w:cs="宋体"/>
                <w:kern w:val="0"/>
                <w:sz w:val="20"/>
                <w:szCs w:val="20"/>
              </w:rPr>
              <w:t>《微型计算机能效限定值及能效等级》（GB28380）</w:t>
            </w:r>
          </w:p>
        </w:tc>
      </w:tr>
      <w:tr w14:paraId="7C8F9F0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648A8D9">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E297BE0">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341109F7">
            <w:pPr>
              <w:widowControl/>
              <w:jc w:val="center"/>
              <w:rPr>
                <w:rFonts w:ascii="仿宋" w:hAnsi="仿宋" w:eastAsia="仿宋" w:cs="宋体"/>
                <w:kern w:val="0"/>
                <w:sz w:val="20"/>
                <w:szCs w:val="20"/>
              </w:rPr>
            </w:pPr>
            <w:r>
              <w:rPr>
                <w:rFonts w:hint="eastAsia" w:ascii="仿宋" w:hAnsi="仿宋" w:eastAsia="仿宋" w:cs="宋体"/>
                <w:kern w:val="0"/>
                <w:sz w:val="20"/>
                <w:szCs w:val="20"/>
              </w:rPr>
              <w:t>★A02010105便携式计算机</w:t>
            </w:r>
          </w:p>
        </w:tc>
        <w:tc>
          <w:tcPr>
            <w:tcW w:w="1612" w:type="dxa"/>
            <w:tcBorders>
              <w:top w:val="nil"/>
              <w:left w:val="nil"/>
              <w:bottom w:val="single" w:color="000000" w:sz="8" w:space="0"/>
              <w:right w:val="single" w:color="000000" w:sz="8" w:space="0"/>
            </w:tcBorders>
            <w:vAlign w:val="center"/>
          </w:tcPr>
          <w:p w14:paraId="464D04D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0E555CC8">
            <w:pPr>
              <w:widowControl/>
              <w:jc w:val="left"/>
              <w:rPr>
                <w:rFonts w:ascii="仿宋" w:hAnsi="仿宋" w:eastAsia="仿宋" w:cs="宋体"/>
                <w:kern w:val="0"/>
                <w:sz w:val="20"/>
                <w:szCs w:val="20"/>
              </w:rPr>
            </w:pPr>
            <w:r>
              <w:rPr>
                <w:rFonts w:hint="eastAsia" w:ascii="仿宋" w:hAnsi="仿宋" w:eastAsia="仿宋" w:cs="宋体"/>
                <w:kern w:val="0"/>
                <w:sz w:val="20"/>
                <w:szCs w:val="20"/>
              </w:rPr>
              <w:t>《微型计算机能效限定值及能效等级》（GB28380）</w:t>
            </w:r>
          </w:p>
        </w:tc>
      </w:tr>
      <w:tr w14:paraId="71799D9D">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077D1F00">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511DF35">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77CA3EAE">
            <w:pPr>
              <w:widowControl/>
              <w:jc w:val="center"/>
              <w:rPr>
                <w:rFonts w:ascii="仿宋" w:hAnsi="仿宋" w:eastAsia="仿宋" w:cs="宋体"/>
                <w:kern w:val="0"/>
                <w:sz w:val="20"/>
                <w:szCs w:val="20"/>
              </w:rPr>
            </w:pPr>
            <w:r>
              <w:rPr>
                <w:rFonts w:hint="eastAsia" w:ascii="仿宋" w:hAnsi="仿宋" w:eastAsia="仿宋" w:cs="宋体"/>
                <w:kern w:val="0"/>
                <w:sz w:val="20"/>
                <w:szCs w:val="20"/>
              </w:rPr>
              <w:t>★A02010107平板式微型计算机</w:t>
            </w:r>
          </w:p>
        </w:tc>
        <w:tc>
          <w:tcPr>
            <w:tcW w:w="1612" w:type="dxa"/>
            <w:tcBorders>
              <w:top w:val="nil"/>
              <w:left w:val="nil"/>
              <w:bottom w:val="single" w:color="000000" w:sz="8" w:space="0"/>
              <w:right w:val="single" w:color="000000" w:sz="8" w:space="0"/>
            </w:tcBorders>
            <w:vAlign w:val="center"/>
          </w:tcPr>
          <w:p w14:paraId="7E7730C5">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355725D3">
            <w:pPr>
              <w:widowControl/>
              <w:jc w:val="left"/>
              <w:rPr>
                <w:rFonts w:ascii="仿宋" w:hAnsi="仿宋" w:eastAsia="仿宋" w:cs="宋体"/>
                <w:kern w:val="0"/>
                <w:sz w:val="20"/>
                <w:szCs w:val="20"/>
              </w:rPr>
            </w:pPr>
            <w:r>
              <w:rPr>
                <w:rFonts w:hint="eastAsia" w:ascii="仿宋" w:hAnsi="仿宋" w:eastAsia="仿宋" w:cs="宋体"/>
                <w:kern w:val="0"/>
                <w:sz w:val="20"/>
                <w:szCs w:val="20"/>
              </w:rPr>
              <w:t>《微型计算机能效限定值及能效等级》（GB28380）</w:t>
            </w:r>
          </w:p>
        </w:tc>
      </w:tr>
      <w:tr w14:paraId="37A782B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0F80935F">
            <w:pPr>
              <w:widowControl/>
              <w:jc w:val="center"/>
              <w:rPr>
                <w:rFonts w:ascii="仿宋" w:hAnsi="仿宋" w:eastAsia="仿宋" w:cs="宋体"/>
                <w:kern w:val="0"/>
                <w:sz w:val="20"/>
                <w:szCs w:val="20"/>
              </w:rPr>
            </w:pPr>
            <w:r>
              <w:rPr>
                <w:rFonts w:hint="eastAsia" w:ascii="仿宋" w:hAnsi="仿宋" w:eastAsia="仿宋" w:cs="宋体"/>
                <w:kern w:val="0"/>
                <w:sz w:val="20"/>
                <w:szCs w:val="20"/>
              </w:rPr>
              <w:t>2</w:t>
            </w:r>
          </w:p>
        </w:tc>
        <w:tc>
          <w:tcPr>
            <w:tcW w:w="1116" w:type="dxa"/>
            <w:vMerge w:val="restart"/>
            <w:tcBorders>
              <w:top w:val="nil"/>
              <w:left w:val="single" w:color="000000" w:sz="8" w:space="0"/>
              <w:bottom w:val="single" w:color="000000" w:sz="8" w:space="0"/>
              <w:right w:val="single" w:color="000000" w:sz="8" w:space="0"/>
            </w:tcBorders>
            <w:vAlign w:val="center"/>
          </w:tcPr>
          <w:p w14:paraId="2ECB2C3B">
            <w:pPr>
              <w:widowControl/>
              <w:jc w:val="center"/>
              <w:rPr>
                <w:rFonts w:ascii="仿宋" w:hAnsi="仿宋" w:eastAsia="仿宋" w:cs="宋体"/>
                <w:kern w:val="0"/>
                <w:sz w:val="20"/>
                <w:szCs w:val="20"/>
              </w:rPr>
            </w:pPr>
            <w:r>
              <w:rPr>
                <w:rFonts w:hint="eastAsia" w:ascii="仿宋" w:hAnsi="仿宋" w:eastAsia="仿宋" w:cs="宋体"/>
                <w:kern w:val="0"/>
                <w:sz w:val="20"/>
                <w:szCs w:val="20"/>
              </w:rPr>
              <w:t>A020106输入输出设备</w:t>
            </w:r>
          </w:p>
        </w:tc>
        <w:tc>
          <w:tcPr>
            <w:tcW w:w="1516" w:type="dxa"/>
            <w:vMerge w:val="restart"/>
            <w:tcBorders>
              <w:top w:val="nil"/>
              <w:left w:val="single" w:color="000000" w:sz="8" w:space="0"/>
              <w:bottom w:val="single" w:color="000000" w:sz="8" w:space="0"/>
              <w:right w:val="single" w:color="000000" w:sz="8" w:space="0"/>
            </w:tcBorders>
            <w:vAlign w:val="center"/>
          </w:tcPr>
          <w:p w14:paraId="2B881E5A">
            <w:pPr>
              <w:widowControl/>
              <w:jc w:val="center"/>
              <w:rPr>
                <w:rFonts w:ascii="仿宋" w:hAnsi="仿宋" w:eastAsia="仿宋" w:cs="宋体"/>
                <w:kern w:val="0"/>
                <w:sz w:val="20"/>
                <w:szCs w:val="20"/>
              </w:rPr>
            </w:pPr>
            <w:r>
              <w:rPr>
                <w:rFonts w:hint="eastAsia" w:ascii="仿宋" w:hAnsi="仿宋" w:eastAsia="仿宋" w:cs="宋体"/>
                <w:kern w:val="0"/>
                <w:sz w:val="20"/>
                <w:szCs w:val="20"/>
              </w:rPr>
              <w:t>A02010601打印设备</w:t>
            </w:r>
          </w:p>
        </w:tc>
        <w:tc>
          <w:tcPr>
            <w:tcW w:w="1612" w:type="dxa"/>
            <w:tcBorders>
              <w:top w:val="nil"/>
              <w:left w:val="nil"/>
              <w:bottom w:val="single" w:color="000000" w:sz="8" w:space="0"/>
              <w:right w:val="single" w:color="000000" w:sz="8" w:space="0"/>
            </w:tcBorders>
            <w:vAlign w:val="center"/>
          </w:tcPr>
          <w:p w14:paraId="38A8D97F">
            <w:pPr>
              <w:widowControl/>
              <w:jc w:val="center"/>
              <w:rPr>
                <w:rFonts w:ascii="仿宋" w:hAnsi="仿宋" w:eastAsia="仿宋" w:cs="宋体"/>
                <w:kern w:val="0"/>
                <w:sz w:val="20"/>
                <w:szCs w:val="20"/>
              </w:rPr>
            </w:pPr>
            <w:r>
              <w:rPr>
                <w:rFonts w:hint="eastAsia" w:ascii="仿宋" w:hAnsi="仿宋" w:eastAsia="仿宋" w:cs="宋体"/>
                <w:kern w:val="0"/>
                <w:sz w:val="20"/>
                <w:szCs w:val="20"/>
              </w:rPr>
              <w:t>A0201060101喷墨打印机</w:t>
            </w:r>
          </w:p>
        </w:tc>
        <w:tc>
          <w:tcPr>
            <w:tcW w:w="4335" w:type="dxa"/>
            <w:tcBorders>
              <w:top w:val="nil"/>
              <w:left w:val="nil"/>
              <w:bottom w:val="single" w:color="000000" w:sz="8" w:space="0"/>
              <w:right w:val="single" w:color="000000" w:sz="8" w:space="0"/>
            </w:tcBorders>
            <w:vAlign w:val="center"/>
          </w:tcPr>
          <w:p w14:paraId="3834DCE5">
            <w:pPr>
              <w:widowControl/>
              <w:jc w:val="left"/>
              <w:rPr>
                <w:rFonts w:ascii="仿宋" w:hAnsi="仿宋" w:eastAsia="仿宋" w:cs="宋体"/>
                <w:kern w:val="0"/>
                <w:sz w:val="20"/>
                <w:szCs w:val="20"/>
              </w:rPr>
            </w:pPr>
            <w:r>
              <w:rPr>
                <w:rFonts w:hint="eastAsia" w:ascii="仿宋" w:hAnsi="仿宋" w:eastAsia="仿宋" w:cs="宋体"/>
                <w:kern w:val="0"/>
                <w:sz w:val="20"/>
                <w:szCs w:val="20"/>
              </w:rPr>
              <w:t>《复印机、打印机和传真机能效限定值及能效等级》（GB21521）</w:t>
            </w:r>
          </w:p>
        </w:tc>
      </w:tr>
      <w:tr w14:paraId="22F0266A">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7CB44C3">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F553F1D">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5CF753CD">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24326D96">
            <w:pPr>
              <w:widowControl/>
              <w:jc w:val="center"/>
              <w:rPr>
                <w:rFonts w:ascii="仿宋" w:hAnsi="仿宋" w:eastAsia="仿宋" w:cs="宋体"/>
                <w:kern w:val="0"/>
                <w:sz w:val="20"/>
                <w:szCs w:val="20"/>
              </w:rPr>
            </w:pPr>
            <w:r>
              <w:rPr>
                <w:rFonts w:hint="eastAsia" w:ascii="仿宋" w:hAnsi="仿宋" w:eastAsia="仿宋" w:cs="宋体"/>
                <w:kern w:val="0"/>
                <w:sz w:val="20"/>
                <w:szCs w:val="20"/>
              </w:rPr>
              <w:t>★A0201060102激光打印机</w:t>
            </w:r>
          </w:p>
        </w:tc>
        <w:tc>
          <w:tcPr>
            <w:tcW w:w="4335" w:type="dxa"/>
            <w:tcBorders>
              <w:top w:val="nil"/>
              <w:left w:val="nil"/>
              <w:bottom w:val="single" w:color="000000" w:sz="8" w:space="0"/>
              <w:right w:val="single" w:color="000000" w:sz="8" w:space="0"/>
            </w:tcBorders>
            <w:vAlign w:val="center"/>
          </w:tcPr>
          <w:p w14:paraId="2DF0E686">
            <w:pPr>
              <w:widowControl/>
              <w:jc w:val="left"/>
              <w:rPr>
                <w:rFonts w:ascii="仿宋" w:hAnsi="仿宋" w:eastAsia="仿宋" w:cs="宋体"/>
                <w:kern w:val="0"/>
                <w:sz w:val="20"/>
                <w:szCs w:val="20"/>
              </w:rPr>
            </w:pPr>
            <w:r>
              <w:rPr>
                <w:rFonts w:hint="eastAsia" w:ascii="仿宋" w:hAnsi="仿宋" w:eastAsia="仿宋" w:cs="宋体"/>
                <w:kern w:val="0"/>
                <w:sz w:val="20"/>
                <w:szCs w:val="20"/>
              </w:rPr>
              <w:t>《复印机、打印机和传真机能效限定值及能效等级》（GB21521）</w:t>
            </w:r>
          </w:p>
        </w:tc>
      </w:tr>
      <w:tr w14:paraId="22ABF348">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A01E2DC">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F887F93">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748E912C">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3FC7BB63">
            <w:pPr>
              <w:widowControl/>
              <w:jc w:val="center"/>
              <w:rPr>
                <w:rFonts w:ascii="仿宋" w:hAnsi="仿宋" w:eastAsia="仿宋" w:cs="宋体"/>
                <w:kern w:val="0"/>
                <w:sz w:val="20"/>
                <w:szCs w:val="20"/>
              </w:rPr>
            </w:pPr>
            <w:r>
              <w:rPr>
                <w:rFonts w:hint="eastAsia" w:ascii="仿宋" w:hAnsi="仿宋" w:eastAsia="仿宋" w:cs="宋体"/>
                <w:kern w:val="0"/>
                <w:sz w:val="20"/>
                <w:szCs w:val="20"/>
              </w:rPr>
              <w:t>★A0201060104针式打印机</w:t>
            </w:r>
          </w:p>
        </w:tc>
        <w:tc>
          <w:tcPr>
            <w:tcW w:w="4335" w:type="dxa"/>
            <w:tcBorders>
              <w:top w:val="nil"/>
              <w:left w:val="nil"/>
              <w:bottom w:val="single" w:color="000000" w:sz="8" w:space="0"/>
              <w:right w:val="single" w:color="000000" w:sz="8" w:space="0"/>
            </w:tcBorders>
            <w:vAlign w:val="center"/>
          </w:tcPr>
          <w:p w14:paraId="65E4C2EF">
            <w:pPr>
              <w:widowControl/>
              <w:jc w:val="left"/>
              <w:rPr>
                <w:rFonts w:ascii="仿宋" w:hAnsi="仿宋" w:eastAsia="仿宋" w:cs="宋体"/>
                <w:kern w:val="0"/>
                <w:sz w:val="20"/>
                <w:szCs w:val="20"/>
              </w:rPr>
            </w:pPr>
            <w:r>
              <w:rPr>
                <w:rFonts w:hint="eastAsia" w:ascii="仿宋" w:hAnsi="仿宋" w:eastAsia="仿宋" w:cs="宋体"/>
                <w:kern w:val="0"/>
                <w:sz w:val="20"/>
                <w:szCs w:val="20"/>
              </w:rPr>
              <w:t>《复印机、打印机和传真机能效限定值及能效等级》（GB21521）</w:t>
            </w:r>
          </w:p>
        </w:tc>
      </w:tr>
      <w:tr w14:paraId="2DEE6271">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F773828">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C54210B">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121ED970">
            <w:pPr>
              <w:widowControl/>
              <w:jc w:val="center"/>
              <w:rPr>
                <w:rFonts w:ascii="仿宋" w:hAnsi="仿宋" w:eastAsia="仿宋" w:cs="宋体"/>
                <w:kern w:val="0"/>
                <w:sz w:val="20"/>
                <w:szCs w:val="20"/>
              </w:rPr>
            </w:pPr>
            <w:r>
              <w:rPr>
                <w:rFonts w:hint="eastAsia" w:ascii="仿宋" w:hAnsi="仿宋" w:eastAsia="仿宋" w:cs="宋体"/>
                <w:kern w:val="0"/>
                <w:sz w:val="20"/>
                <w:szCs w:val="20"/>
              </w:rPr>
              <w:t>A02010604显示设备</w:t>
            </w:r>
          </w:p>
        </w:tc>
        <w:tc>
          <w:tcPr>
            <w:tcW w:w="1612" w:type="dxa"/>
            <w:tcBorders>
              <w:top w:val="nil"/>
              <w:left w:val="nil"/>
              <w:bottom w:val="single" w:color="000000" w:sz="8" w:space="0"/>
              <w:right w:val="single" w:color="000000" w:sz="8" w:space="0"/>
            </w:tcBorders>
            <w:vAlign w:val="center"/>
          </w:tcPr>
          <w:p w14:paraId="7B9E4BE0">
            <w:pPr>
              <w:widowControl/>
              <w:jc w:val="center"/>
              <w:rPr>
                <w:rFonts w:ascii="仿宋" w:hAnsi="仿宋" w:eastAsia="仿宋" w:cs="宋体"/>
                <w:kern w:val="0"/>
                <w:sz w:val="20"/>
                <w:szCs w:val="20"/>
              </w:rPr>
            </w:pPr>
            <w:r>
              <w:rPr>
                <w:rFonts w:hint="eastAsia" w:ascii="仿宋" w:hAnsi="仿宋" w:eastAsia="仿宋" w:cs="宋体"/>
                <w:kern w:val="0"/>
                <w:sz w:val="20"/>
                <w:szCs w:val="20"/>
              </w:rPr>
              <w:t>★A0201060401液晶显示器</w:t>
            </w:r>
          </w:p>
        </w:tc>
        <w:tc>
          <w:tcPr>
            <w:tcW w:w="4335" w:type="dxa"/>
            <w:tcBorders>
              <w:top w:val="nil"/>
              <w:left w:val="nil"/>
              <w:bottom w:val="single" w:color="000000" w:sz="8" w:space="0"/>
              <w:right w:val="single" w:color="000000" w:sz="8" w:space="0"/>
            </w:tcBorders>
            <w:vAlign w:val="center"/>
          </w:tcPr>
          <w:p w14:paraId="3154A3FE">
            <w:pPr>
              <w:widowControl/>
              <w:jc w:val="left"/>
              <w:rPr>
                <w:rFonts w:ascii="仿宋" w:hAnsi="仿宋" w:eastAsia="仿宋" w:cs="宋体"/>
                <w:kern w:val="0"/>
                <w:sz w:val="20"/>
                <w:szCs w:val="20"/>
              </w:rPr>
            </w:pPr>
            <w:r>
              <w:rPr>
                <w:rFonts w:hint="eastAsia" w:ascii="仿宋" w:hAnsi="仿宋" w:eastAsia="仿宋" w:cs="宋体"/>
                <w:kern w:val="0"/>
                <w:sz w:val="20"/>
                <w:szCs w:val="20"/>
              </w:rPr>
              <w:t>《计算机显示器能效限定值及能效等级》（GB21520）</w:t>
            </w:r>
          </w:p>
        </w:tc>
      </w:tr>
      <w:tr w14:paraId="3561B819">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776CC3D8">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2EF01537">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17743250">
            <w:pPr>
              <w:widowControl/>
              <w:jc w:val="center"/>
              <w:rPr>
                <w:rFonts w:ascii="仿宋" w:hAnsi="仿宋" w:eastAsia="仿宋" w:cs="宋体"/>
                <w:kern w:val="0"/>
                <w:sz w:val="20"/>
                <w:szCs w:val="20"/>
              </w:rPr>
            </w:pPr>
            <w:r>
              <w:rPr>
                <w:rFonts w:hint="eastAsia" w:ascii="仿宋" w:hAnsi="仿宋" w:eastAsia="仿宋" w:cs="宋体"/>
                <w:kern w:val="0"/>
                <w:sz w:val="20"/>
                <w:szCs w:val="20"/>
              </w:rPr>
              <w:t>A02010609图形图像输入设备</w:t>
            </w:r>
          </w:p>
        </w:tc>
        <w:tc>
          <w:tcPr>
            <w:tcW w:w="1612" w:type="dxa"/>
            <w:tcBorders>
              <w:top w:val="nil"/>
              <w:left w:val="nil"/>
              <w:bottom w:val="single" w:color="000000" w:sz="8" w:space="0"/>
              <w:right w:val="single" w:color="000000" w:sz="8" w:space="0"/>
            </w:tcBorders>
            <w:vAlign w:val="center"/>
          </w:tcPr>
          <w:p w14:paraId="6D64A928">
            <w:pPr>
              <w:widowControl/>
              <w:jc w:val="center"/>
              <w:rPr>
                <w:rFonts w:ascii="仿宋" w:hAnsi="仿宋" w:eastAsia="仿宋" w:cs="宋体"/>
                <w:kern w:val="0"/>
                <w:sz w:val="20"/>
                <w:szCs w:val="20"/>
              </w:rPr>
            </w:pPr>
            <w:r>
              <w:rPr>
                <w:rFonts w:hint="eastAsia" w:ascii="仿宋" w:hAnsi="仿宋" w:eastAsia="仿宋" w:cs="宋体"/>
                <w:kern w:val="0"/>
                <w:sz w:val="20"/>
                <w:szCs w:val="20"/>
              </w:rPr>
              <w:t>A0201060901扫描仪</w:t>
            </w:r>
          </w:p>
        </w:tc>
        <w:tc>
          <w:tcPr>
            <w:tcW w:w="4335" w:type="dxa"/>
            <w:tcBorders>
              <w:top w:val="nil"/>
              <w:left w:val="nil"/>
              <w:bottom w:val="single" w:color="000000" w:sz="8" w:space="0"/>
              <w:right w:val="single" w:color="000000" w:sz="8" w:space="0"/>
            </w:tcBorders>
            <w:vAlign w:val="center"/>
          </w:tcPr>
          <w:p w14:paraId="70D83E2C">
            <w:pPr>
              <w:widowControl/>
              <w:jc w:val="left"/>
              <w:rPr>
                <w:rFonts w:ascii="仿宋" w:hAnsi="仿宋" w:eastAsia="仿宋" w:cs="宋体"/>
                <w:kern w:val="0"/>
                <w:sz w:val="20"/>
                <w:szCs w:val="20"/>
              </w:rPr>
            </w:pPr>
            <w:r>
              <w:rPr>
                <w:rFonts w:hint="eastAsia" w:ascii="仿宋" w:hAnsi="仿宋" w:eastAsia="仿宋" w:cs="宋体"/>
                <w:kern w:val="0"/>
                <w:sz w:val="20"/>
                <w:szCs w:val="20"/>
              </w:rPr>
              <w:t>参照《复印机、打印机和传真机能效限定值及能效等级》（GB21521中打印速度为15页/分的针式打印机相关要求中打印速度为15页/分的针式打印机相关要求</w:t>
            </w:r>
          </w:p>
        </w:tc>
      </w:tr>
      <w:tr w14:paraId="7CB1697D">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7DDDC78B">
            <w:pPr>
              <w:widowControl/>
              <w:jc w:val="center"/>
              <w:rPr>
                <w:rFonts w:ascii="仿宋" w:hAnsi="仿宋" w:eastAsia="仿宋" w:cs="宋体"/>
                <w:kern w:val="0"/>
                <w:sz w:val="20"/>
                <w:szCs w:val="20"/>
              </w:rPr>
            </w:pPr>
            <w:r>
              <w:rPr>
                <w:rFonts w:hint="eastAsia" w:ascii="仿宋" w:hAnsi="仿宋" w:eastAsia="仿宋" w:cs="宋体"/>
                <w:kern w:val="0"/>
                <w:sz w:val="20"/>
                <w:szCs w:val="20"/>
              </w:rPr>
              <w:t>3</w:t>
            </w:r>
          </w:p>
        </w:tc>
        <w:tc>
          <w:tcPr>
            <w:tcW w:w="1116" w:type="dxa"/>
            <w:tcBorders>
              <w:top w:val="nil"/>
              <w:left w:val="nil"/>
              <w:bottom w:val="single" w:color="000000" w:sz="8" w:space="0"/>
              <w:right w:val="single" w:color="000000" w:sz="8" w:space="0"/>
            </w:tcBorders>
            <w:vAlign w:val="center"/>
          </w:tcPr>
          <w:p w14:paraId="061133CE">
            <w:pPr>
              <w:widowControl/>
              <w:jc w:val="center"/>
              <w:rPr>
                <w:rFonts w:ascii="仿宋" w:hAnsi="仿宋" w:eastAsia="仿宋" w:cs="宋体"/>
                <w:kern w:val="0"/>
                <w:sz w:val="20"/>
                <w:szCs w:val="20"/>
              </w:rPr>
            </w:pPr>
            <w:r>
              <w:rPr>
                <w:rFonts w:hint="eastAsia" w:ascii="仿宋" w:hAnsi="仿宋" w:eastAsia="仿宋" w:cs="宋体"/>
                <w:kern w:val="0"/>
                <w:sz w:val="20"/>
                <w:szCs w:val="20"/>
              </w:rPr>
              <w:t>A020202投影仪</w:t>
            </w:r>
          </w:p>
        </w:tc>
        <w:tc>
          <w:tcPr>
            <w:tcW w:w="1516" w:type="dxa"/>
            <w:tcBorders>
              <w:top w:val="nil"/>
              <w:left w:val="nil"/>
              <w:bottom w:val="single" w:color="000000" w:sz="8" w:space="0"/>
              <w:right w:val="single" w:color="000000" w:sz="8" w:space="0"/>
            </w:tcBorders>
            <w:vAlign w:val="center"/>
          </w:tcPr>
          <w:p w14:paraId="1680ECC4">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612" w:type="dxa"/>
            <w:tcBorders>
              <w:top w:val="nil"/>
              <w:left w:val="nil"/>
              <w:bottom w:val="single" w:color="000000" w:sz="8" w:space="0"/>
              <w:right w:val="single" w:color="000000" w:sz="8" w:space="0"/>
            </w:tcBorders>
            <w:vAlign w:val="center"/>
          </w:tcPr>
          <w:p w14:paraId="45900EB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58A4C54E">
            <w:pPr>
              <w:widowControl/>
              <w:jc w:val="left"/>
              <w:rPr>
                <w:rFonts w:ascii="仿宋" w:hAnsi="仿宋" w:eastAsia="仿宋" w:cs="宋体"/>
                <w:kern w:val="0"/>
                <w:sz w:val="20"/>
                <w:szCs w:val="20"/>
              </w:rPr>
            </w:pPr>
            <w:r>
              <w:rPr>
                <w:rFonts w:hint="eastAsia" w:ascii="仿宋" w:hAnsi="仿宋" w:eastAsia="仿宋" w:cs="宋体"/>
                <w:kern w:val="0"/>
                <w:sz w:val="20"/>
                <w:szCs w:val="20"/>
              </w:rPr>
              <w:t>《投影机能效限定值及能效等级》（GB32028）</w:t>
            </w:r>
          </w:p>
        </w:tc>
      </w:tr>
      <w:tr w14:paraId="001B703C">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3D67E1AA">
            <w:pPr>
              <w:widowControl/>
              <w:jc w:val="center"/>
              <w:rPr>
                <w:rFonts w:ascii="仿宋" w:hAnsi="仿宋" w:eastAsia="仿宋" w:cs="宋体"/>
                <w:kern w:val="0"/>
                <w:sz w:val="20"/>
                <w:szCs w:val="20"/>
              </w:rPr>
            </w:pPr>
            <w:r>
              <w:rPr>
                <w:rFonts w:hint="eastAsia" w:ascii="仿宋" w:hAnsi="仿宋" w:eastAsia="仿宋" w:cs="宋体"/>
                <w:kern w:val="0"/>
                <w:sz w:val="20"/>
                <w:szCs w:val="20"/>
              </w:rPr>
              <w:t>4</w:t>
            </w:r>
          </w:p>
        </w:tc>
        <w:tc>
          <w:tcPr>
            <w:tcW w:w="1116" w:type="dxa"/>
            <w:tcBorders>
              <w:top w:val="nil"/>
              <w:left w:val="nil"/>
              <w:bottom w:val="single" w:color="000000" w:sz="8" w:space="0"/>
              <w:right w:val="single" w:color="000000" w:sz="8" w:space="0"/>
            </w:tcBorders>
            <w:vAlign w:val="center"/>
          </w:tcPr>
          <w:p w14:paraId="7C044E39">
            <w:pPr>
              <w:widowControl/>
              <w:jc w:val="center"/>
              <w:rPr>
                <w:rFonts w:ascii="仿宋" w:hAnsi="仿宋" w:eastAsia="仿宋" w:cs="宋体"/>
                <w:kern w:val="0"/>
                <w:sz w:val="20"/>
                <w:szCs w:val="20"/>
              </w:rPr>
            </w:pPr>
            <w:r>
              <w:rPr>
                <w:rFonts w:hint="eastAsia" w:ascii="仿宋" w:hAnsi="仿宋" w:eastAsia="仿宋" w:cs="宋体"/>
                <w:kern w:val="0"/>
                <w:sz w:val="20"/>
                <w:szCs w:val="20"/>
              </w:rPr>
              <w:t>A020204多功能一体机</w:t>
            </w:r>
          </w:p>
        </w:tc>
        <w:tc>
          <w:tcPr>
            <w:tcW w:w="1516" w:type="dxa"/>
            <w:tcBorders>
              <w:top w:val="nil"/>
              <w:left w:val="nil"/>
              <w:bottom w:val="single" w:color="000000" w:sz="8" w:space="0"/>
              <w:right w:val="single" w:color="000000" w:sz="8" w:space="0"/>
            </w:tcBorders>
            <w:vAlign w:val="center"/>
          </w:tcPr>
          <w:p w14:paraId="116ED0D4">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612" w:type="dxa"/>
            <w:tcBorders>
              <w:top w:val="nil"/>
              <w:left w:val="nil"/>
              <w:bottom w:val="single" w:color="000000" w:sz="8" w:space="0"/>
              <w:right w:val="single" w:color="000000" w:sz="8" w:space="0"/>
            </w:tcBorders>
            <w:vAlign w:val="center"/>
          </w:tcPr>
          <w:p w14:paraId="423DCD78">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23C3F73C">
            <w:pPr>
              <w:widowControl/>
              <w:jc w:val="left"/>
              <w:rPr>
                <w:rFonts w:ascii="仿宋" w:hAnsi="仿宋" w:eastAsia="仿宋" w:cs="宋体"/>
                <w:kern w:val="0"/>
                <w:sz w:val="20"/>
                <w:szCs w:val="20"/>
              </w:rPr>
            </w:pPr>
            <w:r>
              <w:rPr>
                <w:rFonts w:hint="eastAsia" w:ascii="仿宋" w:hAnsi="仿宋" w:eastAsia="仿宋" w:cs="宋体"/>
                <w:kern w:val="0"/>
                <w:sz w:val="20"/>
                <w:szCs w:val="20"/>
              </w:rPr>
              <w:t>《复印机、打印机和传真机能效限定值及能效等级》（GB21521）</w:t>
            </w:r>
          </w:p>
        </w:tc>
      </w:tr>
      <w:tr w14:paraId="6FF82549">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093581FA">
            <w:pPr>
              <w:widowControl/>
              <w:jc w:val="center"/>
              <w:rPr>
                <w:rFonts w:ascii="仿宋" w:hAnsi="仿宋" w:eastAsia="仿宋" w:cs="宋体"/>
                <w:kern w:val="0"/>
                <w:sz w:val="20"/>
                <w:szCs w:val="20"/>
              </w:rPr>
            </w:pPr>
            <w:r>
              <w:rPr>
                <w:rFonts w:hint="eastAsia" w:ascii="仿宋" w:hAnsi="仿宋" w:eastAsia="仿宋" w:cs="宋体"/>
                <w:kern w:val="0"/>
                <w:sz w:val="20"/>
                <w:szCs w:val="20"/>
              </w:rPr>
              <w:t>5</w:t>
            </w:r>
          </w:p>
        </w:tc>
        <w:tc>
          <w:tcPr>
            <w:tcW w:w="1116" w:type="dxa"/>
            <w:tcBorders>
              <w:top w:val="nil"/>
              <w:left w:val="nil"/>
              <w:bottom w:val="single" w:color="000000" w:sz="8" w:space="0"/>
              <w:right w:val="single" w:color="000000" w:sz="8" w:space="0"/>
            </w:tcBorders>
            <w:vAlign w:val="center"/>
          </w:tcPr>
          <w:p w14:paraId="579FD355">
            <w:pPr>
              <w:widowControl/>
              <w:jc w:val="center"/>
              <w:rPr>
                <w:rFonts w:ascii="仿宋" w:hAnsi="仿宋" w:eastAsia="仿宋" w:cs="宋体"/>
                <w:kern w:val="0"/>
                <w:sz w:val="20"/>
                <w:szCs w:val="20"/>
              </w:rPr>
            </w:pPr>
            <w:r>
              <w:rPr>
                <w:rFonts w:hint="eastAsia" w:ascii="仿宋" w:hAnsi="仿宋" w:eastAsia="仿宋" w:cs="宋体"/>
                <w:kern w:val="0"/>
                <w:sz w:val="20"/>
                <w:szCs w:val="20"/>
              </w:rPr>
              <w:t>A020519泵</w:t>
            </w:r>
          </w:p>
        </w:tc>
        <w:tc>
          <w:tcPr>
            <w:tcW w:w="1516" w:type="dxa"/>
            <w:tcBorders>
              <w:top w:val="nil"/>
              <w:left w:val="nil"/>
              <w:bottom w:val="single" w:color="000000" w:sz="8" w:space="0"/>
              <w:right w:val="single" w:color="000000" w:sz="8" w:space="0"/>
            </w:tcBorders>
            <w:vAlign w:val="center"/>
          </w:tcPr>
          <w:p w14:paraId="4F315909">
            <w:pPr>
              <w:widowControl/>
              <w:jc w:val="center"/>
              <w:rPr>
                <w:rFonts w:ascii="仿宋" w:hAnsi="仿宋" w:eastAsia="仿宋" w:cs="宋体"/>
                <w:kern w:val="0"/>
                <w:sz w:val="20"/>
                <w:szCs w:val="20"/>
              </w:rPr>
            </w:pPr>
            <w:r>
              <w:rPr>
                <w:rFonts w:hint="eastAsia" w:ascii="仿宋" w:hAnsi="仿宋" w:eastAsia="仿宋" w:cs="宋体"/>
                <w:kern w:val="0"/>
                <w:sz w:val="20"/>
                <w:szCs w:val="20"/>
              </w:rPr>
              <w:t>A02051901离心泵</w:t>
            </w:r>
          </w:p>
        </w:tc>
        <w:tc>
          <w:tcPr>
            <w:tcW w:w="1612" w:type="dxa"/>
            <w:tcBorders>
              <w:top w:val="nil"/>
              <w:left w:val="nil"/>
              <w:bottom w:val="single" w:color="000000" w:sz="8" w:space="0"/>
              <w:right w:val="single" w:color="000000" w:sz="8" w:space="0"/>
            </w:tcBorders>
            <w:vAlign w:val="center"/>
          </w:tcPr>
          <w:p w14:paraId="227740DE">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1009776C">
            <w:pPr>
              <w:widowControl/>
              <w:jc w:val="left"/>
              <w:rPr>
                <w:rFonts w:ascii="仿宋" w:hAnsi="仿宋" w:eastAsia="仿宋" w:cs="宋体"/>
                <w:kern w:val="0"/>
                <w:sz w:val="20"/>
                <w:szCs w:val="20"/>
              </w:rPr>
            </w:pPr>
            <w:r>
              <w:rPr>
                <w:rFonts w:hint="eastAsia" w:ascii="仿宋" w:hAnsi="仿宋" w:eastAsia="仿宋" w:cs="宋体"/>
                <w:kern w:val="0"/>
                <w:sz w:val="20"/>
                <w:szCs w:val="20"/>
              </w:rPr>
              <w:t>《清水离心泵能效限定值及节能评价值》（GB19762）</w:t>
            </w:r>
          </w:p>
        </w:tc>
      </w:tr>
      <w:tr w14:paraId="05ABD7CF">
        <w:tblPrEx>
          <w:tblCellMar>
            <w:top w:w="0" w:type="dxa"/>
            <w:left w:w="108" w:type="dxa"/>
            <w:bottom w:w="0" w:type="dxa"/>
            <w:right w:w="108" w:type="dxa"/>
          </w:tblCellMar>
        </w:tblPrEx>
        <w:trPr>
          <w:trHeight w:val="735" w:hRule="atLeast"/>
        </w:trPr>
        <w:tc>
          <w:tcPr>
            <w:tcW w:w="641" w:type="dxa"/>
            <w:vMerge w:val="restart"/>
            <w:tcBorders>
              <w:top w:val="nil"/>
              <w:left w:val="single" w:color="000000" w:sz="8" w:space="0"/>
              <w:bottom w:val="single" w:color="000000" w:sz="8" w:space="0"/>
              <w:right w:val="single" w:color="000000" w:sz="8" w:space="0"/>
            </w:tcBorders>
            <w:vAlign w:val="center"/>
          </w:tcPr>
          <w:p w14:paraId="2A4CBFA9">
            <w:pPr>
              <w:widowControl/>
              <w:jc w:val="center"/>
              <w:rPr>
                <w:rFonts w:ascii="仿宋" w:hAnsi="仿宋" w:eastAsia="仿宋" w:cs="宋体"/>
                <w:kern w:val="0"/>
                <w:sz w:val="20"/>
                <w:szCs w:val="20"/>
              </w:rPr>
            </w:pPr>
            <w:r>
              <w:rPr>
                <w:rFonts w:hint="eastAsia" w:ascii="仿宋" w:hAnsi="仿宋" w:eastAsia="仿宋" w:cs="宋体"/>
                <w:kern w:val="0"/>
                <w:sz w:val="20"/>
                <w:szCs w:val="20"/>
              </w:rPr>
              <w:t>6</w:t>
            </w:r>
          </w:p>
        </w:tc>
        <w:tc>
          <w:tcPr>
            <w:tcW w:w="1116" w:type="dxa"/>
            <w:vMerge w:val="restart"/>
            <w:tcBorders>
              <w:top w:val="nil"/>
              <w:left w:val="single" w:color="000000" w:sz="8" w:space="0"/>
              <w:bottom w:val="single" w:color="000000" w:sz="8" w:space="0"/>
              <w:right w:val="single" w:color="000000" w:sz="8" w:space="0"/>
            </w:tcBorders>
            <w:vAlign w:val="center"/>
          </w:tcPr>
          <w:p w14:paraId="694C008E">
            <w:pPr>
              <w:widowControl/>
              <w:jc w:val="center"/>
              <w:rPr>
                <w:rFonts w:ascii="仿宋" w:hAnsi="仿宋" w:eastAsia="仿宋" w:cs="宋体"/>
                <w:kern w:val="0"/>
                <w:sz w:val="20"/>
                <w:szCs w:val="20"/>
              </w:rPr>
            </w:pPr>
            <w:r>
              <w:rPr>
                <w:rFonts w:hint="eastAsia" w:ascii="仿宋" w:hAnsi="仿宋" w:eastAsia="仿宋" w:cs="宋体"/>
                <w:kern w:val="0"/>
                <w:sz w:val="20"/>
                <w:szCs w:val="20"/>
              </w:rPr>
              <w:t>A020523制冷空调设备</w:t>
            </w:r>
          </w:p>
        </w:tc>
        <w:tc>
          <w:tcPr>
            <w:tcW w:w="1516" w:type="dxa"/>
            <w:vMerge w:val="restart"/>
            <w:tcBorders>
              <w:top w:val="nil"/>
              <w:left w:val="single" w:color="000000" w:sz="8" w:space="0"/>
              <w:bottom w:val="single" w:color="000000" w:sz="8" w:space="0"/>
              <w:right w:val="single" w:color="000000" w:sz="8" w:space="0"/>
            </w:tcBorders>
            <w:vAlign w:val="center"/>
          </w:tcPr>
          <w:p w14:paraId="45034DAF">
            <w:pPr>
              <w:widowControl/>
              <w:jc w:val="center"/>
              <w:rPr>
                <w:rFonts w:ascii="仿宋" w:hAnsi="仿宋" w:eastAsia="仿宋" w:cs="宋体"/>
                <w:kern w:val="0"/>
                <w:sz w:val="20"/>
                <w:szCs w:val="20"/>
              </w:rPr>
            </w:pPr>
            <w:r>
              <w:rPr>
                <w:rFonts w:hint="eastAsia" w:ascii="仿宋" w:hAnsi="仿宋" w:eastAsia="仿宋" w:cs="宋体"/>
                <w:kern w:val="0"/>
                <w:sz w:val="20"/>
                <w:szCs w:val="20"/>
              </w:rPr>
              <w:t>★A02052301制冷压缩机</w:t>
            </w:r>
          </w:p>
        </w:tc>
        <w:tc>
          <w:tcPr>
            <w:tcW w:w="1612" w:type="dxa"/>
            <w:tcBorders>
              <w:top w:val="nil"/>
              <w:left w:val="nil"/>
              <w:bottom w:val="single" w:color="000000" w:sz="8" w:space="0"/>
              <w:right w:val="single" w:color="000000" w:sz="8" w:space="0"/>
            </w:tcBorders>
            <w:vAlign w:val="center"/>
          </w:tcPr>
          <w:p w14:paraId="49393AC1">
            <w:pPr>
              <w:widowControl/>
              <w:jc w:val="center"/>
              <w:rPr>
                <w:rFonts w:ascii="仿宋" w:hAnsi="仿宋" w:eastAsia="仿宋" w:cs="宋体"/>
                <w:kern w:val="0"/>
                <w:sz w:val="20"/>
                <w:szCs w:val="20"/>
              </w:rPr>
            </w:pPr>
            <w:r>
              <w:rPr>
                <w:rFonts w:hint="eastAsia" w:ascii="仿宋" w:hAnsi="仿宋" w:eastAsia="仿宋" w:cs="宋体"/>
                <w:kern w:val="0"/>
                <w:sz w:val="20"/>
                <w:szCs w:val="20"/>
              </w:rPr>
              <w:t>冷水机组</w:t>
            </w:r>
          </w:p>
        </w:tc>
        <w:tc>
          <w:tcPr>
            <w:tcW w:w="4335" w:type="dxa"/>
            <w:tcBorders>
              <w:top w:val="nil"/>
              <w:left w:val="nil"/>
              <w:bottom w:val="single" w:color="000000" w:sz="8" w:space="0"/>
              <w:right w:val="single" w:color="000000" w:sz="8" w:space="0"/>
            </w:tcBorders>
            <w:vAlign w:val="center"/>
          </w:tcPr>
          <w:p w14:paraId="2E6536C5">
            <w:pPr>
              <w:widowControl/>
              <w:jc w:val="left"/>
              <w:rPr>
                <w:rFonts w:ascii="仿宋" w:hAnsi="仿宋" w:eastAsia="仿宋" w:cs="宋体"/>
                <w:kern w:val="0"/>
                <w:sz w:val="20"/>
                <w:szCs w:val="20"/>
              </w:rPr>
            </w:pPr>
            <w:r>
              <w:rPr>
                <w:rFonts w:hint="eastAsia" w:ascii="仿宋" w:hAnsi="仿宋" w:eastAsia="仿宋" w:cs="宋体"/>
                <w:kern w:val="0"/>
                <w:sz w:val="20"/>
                <w:szCs w:val="20"/>
              </w:rPr>
              <w:t>《冷水机组能效限定值及能效等级》（GB19577），《低环境温度空气源热泵（冷水）机组能效限定值及能效等级》（GB37480）</w:t>
            </w:r>
          </w:p>
        </w:tc>
      </w:tr>
      <w:tr w14:paraId="1DA3AFDC">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D30EF77">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557F5A3">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6C49B80D">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32BD54D0">
            <w:pPr>
              <w:widowControl/>
              <w:jc w:val="center"/>
              <w:rPr>
                <w:rFonts w:ascii="仿宋" w:hAnsi="仿宋" w:eastAsia="仿宋" w:cs="宋体"/>
                <w:kern w:val="0"/>
                <w:sz w:val="20"/>
                <w:szCs w:val="20"/>
              </w:rPr>
            </w:pPr>
            <w:r>
              <w:rPr>
                <w:rFonts w:hint="eastAsia" w:ascii="仿宋" w:hAnsi="仿宋" w:eastAsia="仿宋" w:cs="宋体"/>
                <w:kern w:val="0"/>
                <w:sz w:val="20"/>
                <w:szCs w:val="20"/>
              </w:rPr>
              <w:t>水源热泵机组</w:t>
            </w:r>
          </w:p>
        </w:tc>
        <w:tc>
          <w:tcPr>
            <w:tcW w:w="4335" w:type="dxa"/>
            <w:tcBorders>
              <w:top w:val="nil"/>
              <w:left w:val="nil"/>
              <w:bottom w:val="single" w:color="000000" w:sz="8" w:space="0"/>
              <w:right w:val="single" w:color="000000" w:sz="8" w:space="0"/>
            </w:tcBorders>
            <w:vAlign w:val="center"/>
          </w:tcPr>
          <w:p w14:paraId="63DB98C8">
            <w:pPr>
              <w:widowControl/>
              <w:jc w:val="left"/>
              <w:rPr>
                <w:rFonts w:ascii="仿宋" w:hAnsi="仿宋" w:eastAsia="仿宋" w:cs="宋体"/>
                <w:kern w:val="0"/>
                <w:sz w:val="20"/>
                <w:szCs w:val="20"/>
              </w:rPr>
            </w:pPr>
            <w:r>
              <w:rPr>
                <w:rFonts w:hint="eastAsia" w:ascii="仿宋" w:hAnsi="仿宋" w:eastAsia="仿宋" w:cs="宋体"/>
                <w:kern w:val="0"/>
                <w:sz w:val="20"/>
                <w:szCs w:val="20"/>
              </w:rPr>
              <w:t>《水（地）源热泵机组能效限定值及能效等级》（GB30721）</w:t>
            </w:r>
          </w:p>
        </w:tc>
      </w:tr>
      <w:tr w14:paraId="1A575B7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7013BFA">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5CF1CE2">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63E376D0">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0E9E0E09">
            <w:pPr>
              <w:widowControl/>
              <w:jc w:val="center"/>
              <w:rPr>
                <w:rFonts w:ascii="仿宋" w:hAnsi="仿宋" w:eastAsia="仿宋" w:cs="宋体"/>
                <w:kern w:val="0"/>
                <w:sz w:val="20"/>
                <w:szCs w:val="20"/>
              </w:rPr>
            </w:pPr>
            <w:r>
              <w:rPr>
                <w:rFonts w:hint="eastAsia" w:ascii="仿宋" w:hAnsi="仿宋" w:eastAsia="仿宋" w:cs="宋体"/>
                <w:kern w:val="0"/>
                <w:sz w:val="20"/>
                <w:szCs w:val="20"/>
              </w:rPr>
              <w:t>溴化锂吸收式冷水机组</w:t>
            </w:r>
          </w:p>
        </w:tc>
        <w:tc>
          <w:tcPr>
            <w:tcW w:w="4335" w:type="dxa"/>
            <w:tcBorders>
              <w:top w:val="nil"/>
              <w:left w:val="nil"/>
              <w:bottom w:val="single" w:color="000000" w:sz="8" w:space="0"/>
              <w:right w:val="single" w:color="000000" w:sz="8" w:space="0"/>
            </w:tcBorders>
            <w:vAlign w:val="center"/>
          </w:tcPr>
          <w:p w14:paraId="724C9311">
            <w:pPr>
              <w:widowControl/>
              <w:jc w:val="left"/>
              <w:rPr>
                <w:rFonts w:ascii="仿宋" w:hAnsi="仿宋" w:eastAsia="仿宋" w:cs="宋体"/>
                <w:kern w:val="0"/>
                <w:sz w:val="20"/>
                <w:szCs w:val="20"/>
              </w:rPr>
            </w:pPr>
            <w:r>
              <w:rPr>
                <w:rFonts w:hint="eastAsia" w:ascii="仿宋" w:hAnsi="仿宋" w:eastAsia="仿宋" w:cs="宋体"/>
                <w:kern w:val="0"/>
                <w:sz w:val="20"/>
                <w:szCs w:val="20"/>
              </w:rPr>
              <w:t>《溴化锂吸收式冷水机组能效限定值及能效等级》（GB29540）</w:t>
            </w:r>
          </w:p>
        </w:tc>
      </w:tr>
      <w:tr w14:paraId="1F1C3F77">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EA85486">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5A094393">
            <w:pPr>
              <w:widowControl/>
              <w:jc w:val="left"/>
              <w:rPr>
                <w:rFonts w:ascii="仿宋" w:hAnsi="仿宋" w:eastAsia="仿宋" w:cs="宋体"/>
                <w:kern w:val="0"/>
                <w:sz w:val="20"/>
                <w:szCs w:val="20"/>
              </w:rPr>
            </w:pPr>
          </w:p>
        </w:tc>
        <w:tc>
          <w:tcPr>
            <w:tcW w:w="1516" w:type="dxa"/>
            <w:vMerge w:val="restart"/>
            <w:tcBorders>
              <w:top w:val="nil"/>
              <w:left w:val="single" w:color="000000" w:sz="8" w:space="0"/>
              <w:bottom w:val="single" w:color="000000" w:sz="8" w:space="0"/>
              <w:right w:val="single" w:color="000000" w:sz="8" w:space="0"/>
            </w:tcBorders>
            <w:vAlign w:val="center"/>
          </w:tcPr>
          <w:p w14:paraId="2EC7C2E3">
            <w:pPr>
              <w:widowControl/>
              <w:jc w:val="center"/>
              <w:rPr>
                <w:rFonts w:ascii="仿宋" w:hAnsi="仿宋" w:eastAsia="仿宋" w:cs="宋体"/>
                <w:kern w:val="0"/>
                <w:sz w:val="20"/>
                <w:szCs w:val="20"/>
              </w:rPr>
            </w:pPr>
            <w:r>
              <w:rPr>
                <w:rFonts w:hint="eastAsia" w:ascii="仿宋" w:hAnsi="仿宋" w:eastAsia="仿宋" w:cs="宋体"/>
                <w:kern w:val="0"/>
                <w:sz w:val="20"/>
                <w:szCs w:val="20"/>
              </w:rPr>
              <w:t>★A02052305空调机组</w:t>
            </w:r>
          </w:p>
        </w:tc>
        <w:tc>
          <w:tcPr>
            <w:tcW w:w="1612" w:type="dxa"/>
            <w:tcBorders>
              <w:top w:val="nil"/>
              <w:left w:val="nil"/>
              <w:bottom w:val="single" w:color="000000" w:sz="8" w:space="0"/>
              <w:right w:val="single" w:color="000000" w:sz="8" w:space="0"/>
            </w:tcBorders>
            <w:vAlign w:val="center"/>
          </w:tcPr>
          <w:p w14:paraId="62316157">
            <w:pPr>
              <w:widowControl/>
              <w:jc w:val="center"/>
              <w:rPr>
                <w:rFonts w:ascii="仿宋" w:hAnsi="仿宋" w:eastAsia="仿宋" w:cs="宋体"/>
                <w:kern w:val="0"/>
                <w:sz w:val="20"/>
                <w:szCs w:val="20"/>
              </w:rPr>
            </w:pPr>
            <w:r>
              <w:rPr>
                <w:rFonts w:hint="eastAsia" w:ascii="仿宋" w:hAnsi="仿宋" w:eastAsia="仿宋" w:cs="宋体"/>
                <w:kern w:val="0"/>
                <w:sz w:val="20"/>
                <w:szCs w:val="20"/>
              </w:rPr>
              <w:t>多联式空调（热泵）机组(制冷量&gt;14000W)</w:t>
            </w:r>
          </w:p>
        </w:tc>
        <w:tc>
          <w:tcPr>
            <w:tcW w:w="4335" w:type="dxa"/>
            <w:tcBorders>
              <w:top w:val="nil"/>
              <w:left w:val="nil"/>
              <w:bottom w:val="single" w:color="000000" w:sz="8" w:space="0"/>
              <w:right w:val="single" w:color="000000" w:sz="8" w:space="0"/>
            </w:tcBorders>
            <w:vAlign w:val="center"/>
          </w:tcPr>
          <w:p w14:paraId="24D68F71">
            <w:pPr>
              <w:widowControl/>
              <w:jc w:val="left"/>
              <w:rPr>
                <w:rFonts w:ascii="仿宋" w:hAnsi="仿宋" w:eastAsia="仿宋" w:cs="宋体"/>
                <w:kern w:val="0"/>
                <w:sz w:val="20"/>
                <w:szCs w:val="20"/>
              </w:rPr>
            </w:pPr>
            <w:r>
              <w:rPr>
                <w:rFonts w:hint="eastAsia" w:ascii="仿宋" w:hAnsi="仿宋" w:eastAsia="仿宋" w:cs="宋体"/>
                <w:kern w:val="0"/>
                <w:sz w:val="20"/>
                <w:szCs w:val="20"/>
              </w:rPr>
              <w:t>《多联式空调（热泵）机组能效限定值及能源效率等级》（GB21454）</w:t>
            </w:r>
          </w:p>
        </w:tc>
      </w:tr>
      <w:tr w14:paraId="39D7A386">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37A3110F">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1800EA07">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7E2AE359">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2DC1F413">
            <w:pPr>
              <w:widowControl/>
              <w:jc w:val="center"/>
              <w:rPr>
                <w:rFonts w:ascii="仿宋" w:hAnsi="仿宋" w:eastAsia="仿宋" w:cs="宋体"/>
                <w:kern w:val="0"/>
                <w:sz w:val="20"/>
                <w:szCs w:val="20"/>
              </w:rPr>
            </w:pPr>
            <w:r>
              <w:rPr>
                <w:rFonts w:hint="eastAsia" w:ascii="仿宋" w:hAnsi="仿宋" w:eastAsia="仿宋" w:cs="宋体"/>
                <w:kern w:val="0"/>
                <w:sz w:val="20"/>
                <w:szCs w:val="20"/>
              </w:rPr>
              <w:t>单元式空气调节机(制冷量&gt;14000W</w:t>
            </w:r>
          </w:p>
        </w:tc>
        <w:tc>
          <w:tcPr>
            <w:tcW w:w="4335" w:type="dxa"/>
            <w:tcBorders>
              <w:top w:val="nil"/>
              <w:left w:val="nil"/>
              <w:bottom w:val="single" w:color="000000" w:sz="8" w:space="0"/>
              <w:right w:val="single" w:color="000000" w:sz="8" w:space="0"/>
            </w:tcBorders>
            <w:vAlign w:val="center"/>
          </w:tcPr>
          <w:p w14:paraId="707E6BCD">
            <w:pPr>
              <w:widowControl/>
              <w:jc w:val="left"/>
              <w:rPr>
                <w:rFonts w:ascii="仿宋" w:hAnsi="仿宋" w:eastAsia="仿宋" w:cs="宋体"/>
                <w:kern w:val="0"/>
                <w:sz w:val="20"/>
                <w:szCs w:val="20"/>
              </w:rPr>
            </w:pPr>
            <w:r>
              <w:rPr>
                <w:rFonts w:hint="eastAsia" w:ascii="仿宋" w:hAnsi="仿宋" w:eastAsia="仿宋" w:cs="宋体"/>
                <w:kern w:val="0"/>
                <w:sz w:val="20"/>
                <w:szCs w:val="20"/>
              </w:rPr>
              <w:t>《单元式空气调节机能效限定值及能效等级》（GB19576）《风管送风式空调机组能效限定值及能效等级》（GB37479）</w:t>
            </w:r>
          </w:p>
        </w:tc>
      </w:tr>
      <w:tr w14:paraId="10809076">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27299651">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4E75E6C">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632319E9">
            <w:pPr>
              <w:widowControl/>
              <w:jc w:val="center"/>
              <w:rPr>
                <w:rFonts w:ascii="仿宋" w:hAnsi="仿宋" w:eastAsia="仿宋" w:cs="宋体"/>
                <w:kern w:val="0"/>
                <w:sz w:val="20"/>
                <w:szCs w:val="20"/>
              </w:rPr>
            </w:pPr>
            <w:r>
              <w:rPr>
                <w:rFonts w:hint="eastAsia" w:ascii="仿宋" w:hAnsi="仿宋" w:eastAsia="仿宋" w:cs="宋体"/>
                <w:kern w:val="0"/>
                <w:sz w:val="20"/>
                <w:szCs w:val="20"/>
              </w:rPr>
              <w:t>★A02052309专用制冷、空调设备</w:t>
            </w:r>
          </w:p>
        </w:tc>
        <w:tc>
          <w:tcPr>
            <w:tcW w:w="1612" w:type="dxa"/>
            <w:tcBorders>
              <w:top w:val="nil"/>
              <w:left w:val="nil"/>
              <w:bottom w:val="single" w:color="000000" w:sz="8" w:space="0"/>
              <w:right w:val="single" w:color="000000" w:sz="8" w:space="0"/>
            </w:tcBorders>
            <w:vAlign w:val="center"/>
          </w:tcPr>
          <w:p w14:paraId="1A28A762">
            <w:pPr>
              <w:widowControl/>
              <w:jc w:val="center"/>
              <w:rPr>
                <w:rFonts w:ascii="仿宋" w:hAnsi="仿宋" w:eastAsia="仿宋" w:cs="宋体"/>
                <w:kern w:val="0"/>
                <w:sz w:val="20"/>
                <w:szCs w:val="20"/>
              </w:rPr>
            </w:pPr>
            <w:r>
              <w:rPr>
                <w:rFonts w:hint="eastAsia" w:ascii="仿宋" w:hAnsi="仿宋" w:eastAsia="仿宋" w:cs="宋体"/>
                <w:kern w:val="0"/>
                <w:sz w:val="20"/>
                <w:szCs w:val="20"/>
              </w:rPr>
              <w:t>机房空调</w:t>
            </w:r>
          </w:p>
        </w:tc>
        <w:tc>
          <w:tcPr>
            <w:tcW w:w="4335" w:type="dxa"/>
            <w:tcBorders>
              <w:top w:val="nil"/>
              <w:left w:val="nil"/>
              <w:bottom w:val="single" w:color="000000" w:sz="8" w:space="0"/>
              <w:right w:val="single" w:color="000000" w:sz="8" w:space="0"/>
            </w:tcBorders>
            <w:vAlign w:val="center"/>
          </w:tcPr>
          <w:p w14:paraId="42D94B6A">
            <w:pPr>
              <w:widowControl/>
              <w:jc w:val="left"/>
              <w:rPr>
                <w:rFonts w:ascii="仿宋" w:hAnsi="仿宋" w:eastAsia="仿宋" w:cs="宋体"/>
                <w:kern w:val="0"/>
                <w:sz w:val="20"/>
                <w:szCs w:val="20"/>
              </w:rPr>
            </w:pPr>
            <w:r>
              <w:rPr>
                <w:rFonts w:hint="eastAsia" w:ascii="仿宋" w:hAnsi="仿宋" w:eastAsia="仿宋" w:cs="宋体"/>
                <w:kern w:val="0"/>
                <w:sz w:val="20"/>
                <w:szCs w:val="20"/>
              </w:rPr>
              <w:t>《单元式空气调节机能效限定值及能效等级》（GB19576）</w:t>
            </w:r>
          </w:p>
        </w:tc>
      </w:tr>
      <w:tr w14:paraId="3195C5E2">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6BFEFDBF">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76493A7D">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43CAA473">
            <w:pPr>
              <w:widowControl/>
              <w:jc w:val="center"/>
              <w:rPr>
                <w:rFonts w:ascii="仿宋" w:hAnsi="仿宋" w:eastAsia="仿宋" w:cs="宋体"/>
                <w:kern w:val="0"/>
                <w:sz w:val="20"/>
                <w:szCs w:val="20"/>
              </w:rPr>
            </w:pPr>
            <w:r>
              <w:rPr>
                <w:rFonts w:hint="eastAsia" w:ascii="仿宋" w:hAnsi="仿宋" w:eastAsia="仿宋" w:cs="宋体"/>
                <w:kern w:val="0"/>
                <w:sz w:val="20"/>
                <w:szCs w:val="20"/>
              </w:rPr>
              <w:t>A02052399其他制冷空调设备</w:t>
            </w:r>
          </w:p>
        </w:tc>
        <w:tc>
          <w:tcPr>
            <w:tcW w:w="1612" w:type="dxa"/>
            <w:tcBorders>
              <w:top w:val="nil"/>
              <w:left w:val="nil"/>
              <w:bottom w:val="single" w:color="000000" w:sz="8" w:space="0"/>
              <w:right w:val="single" w:color="000000" w:sz="8" w:space="0"/>
            </w:tcBorders>
            <w:vAlign w:val="center"/>
          </w:tcPr>
          <w:p w14:paraId="53644EE0">
            <w:pPr>
              <w:widowControl/>
              <w:jc w:val="center"/>
              <w:rPr>
                <w:rFonts w:ascii="仿宋" w:hAnsi="仿宋" w:eastAsia="仿宋" w:cs="宋体"/>
                <w:kern w:val="0"/>
                <w:sz w:val="20"/>
                <w:szCs w:val="20"/>
              </w:rPr>
            </w:pPr>
            <w:r>
              <w:rPr>
                <w:rFonts w:hint="eastAsia" w:ascii="仿宋" w:hAnsi="仿宋" w:eastAsia="仿宋" w:cs="宋体"/>
                <w:kern w:val="0"/>
                <w:sz w:val="20"/>
                <w:szCs w:val="20"/>
              </w:rPr>
              <w:t>冷却塔</w:t>
            </w:r>
          </w:p>
        </w:tc>
        <w:tc>
          <w:tcPr>
            <w:tcW w:w="4335" w:type="dxa"/>
            <w:tcBorders>
              <w:top w:val="nil"/>
              <w:left w:val="nil"/>
              <w:bottom w:val="single" w:color="000000" w:sz="8" w:space="0"/>
              <w:right w:val="single" w:color="000000" w:sz="8" w:space="0"/>
            </w:tcBorders>
            <w:vAlign w:val="center"/>
          </w:tcPr>
          <w:p w14:paraId="29FB5651">
            <w:pPr>
              <w:widowControl/>
              <w:jc w:val="left"/>
              <w:rPr>
                <w:rFonts w:ascii="仿宋" w:hAnsi="仿宋" w:eastAsia="仿宋" w:cs="宋体"/>
                <w:kern w:val="0"/>
                <w:sz w:val="20"/>
                <w:szCs w:val="20"/>
              </w:rPr>
            </w:pPr>
            <w:r>
              <w:rPr>
                <w:rFonts w:hint="eastAsia" w:ascii="仿宋" w:hAnsi="仿宋" w:eastAsia="仿宋" w:cs="宋体"/>
                <w:kern w:val="0"/>
                <w:sz w:val="20"/>
                <w:szCs w:val="20"/>
              </w:rPr>
              <w:t>《机械通风冷却塔第1部分：中小型开式冷却塔》（GB/T7190.1）；《机械通风冷却塔第2部分：大型开式冷却塔》（GB/T7190.2）</w:t>
            </w:r>
          </w:p>
        </w:tc>
      </w:tr>
      <w:tr w14:paraId="6F19FE3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7413B91D">
            <w:pPr>
              <w:widowControl/>
              <w:jc w:val="center"/>
              <w:rPr>
                <w:rFonts w:ascii="仿宋" w:hAnsi="仿宋" w:eastAsia="仿宋" w:cs="宋体"/>
                <w:kern w:val="0"/>
                <w:sz w:val="20"/>
                <w:szCs w:val="20"/>
              </w:rPr>
            </w:pPr>
            <w:r>
              <w:rPr>
                <w:rFonts w:hint="eastAsia" w:ascii="仿宋" w:hAnsi="仿宋" w:eastAsia="仿宋" w:cs="宋体"/>
                <w:kern w:val="0"/>
                <w:sz w:val="20"/>
                <w:szCs w:val="20"/>
              </w:rPr>
              <w:t>7</w:t>
            </w:r>
          </w:p>
        </w:tc>
        <w:tc>
          <w:tcPr>
            <w:tcW w:w="1116" w:type="dxa"/>
            <w:tcBorders>
              <w:top w:val="nil"/>
              <w:left w:val="nil"/>
              <w:bottom w:val="single" w:color="000000" w:sz="8" w:space="0"/>
              <w:right w:val="single" w:color="000000" w:sz="8" w:space="0"/>
            </w:tcBorders>
            <w:vAlign w:val="center"/>
          </w:tcPr>
          <w:p w14:paraId="79256DB9">
            <w:pPr>
              <w:widowControl/>
              <w:jc w:val="center"/>
              <w:rPr>
                <w:rFonts w:ascii="仿宋" w:hAnsi="仿宋" w:eastAsia="仿宋" w:cs="宋体"/>
                <w:kern w:val="0"/>
                <w:sz w:val="20"/>
                <w:szCs w:val="20"/>
              </w:rPr>
            </w:pPr>
            <w:r>
              <w:rPr>
                <w:rFonts w:hint="eastAsia" w:ascii="仿宋" w:hAnsi="仿宋" w:eastAsia="仿宋" w:cs="宋体"/>
                <w:kern w:val="0"/>
                <w:sz w:val="20"/>
                <w:szCs w:val="20"/>
              </w:rPr>
              <w:t>A020601电机</w:t>
            </w:r>
          </w:p>
        </w:tc>
        <w:tc>
          <w:tcPr>
            <w:tcW w:w="1516" w:type="dxa"/>
            <w:tcBorders>
              <w:top w:val="nil"/>
              <w:left w:val="nil"/>
              <w:bottom w:val="single" w:color="000000" w:sz="8" w:space="0"/>
              <w:right w:val="single" w:color="000000" w:sz="8" w:space="0"/>
            </w:tcBorders>
            <w:vAlign w:val="center"/>
          </w:tcPr>
          <w:p w14:paraId="3964C7D5">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612" w:type="dxa"/>
            <w:tcBorders>
              <w:top w:val="nil"/>
              <w:left w:val="nil"/>
              <w:bottom w:val="single" w:color="000000" w:sz="8" w:space="0"/>
              <w:right w:val="single" w:color="000000" w:sz="8" w:space="0"/>
            </w:tcBorders>
            <w:vAlign w:val="center"/>
          </w:tcPr>
          <w:p w14:paraId="3D5469A8">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2205306C">
            <w:pPr>
              <w:widowControl/>
              <w:jc w:val="left"/>
              <w:rPr>
                <w:rFonts w:ascii="仿宋" w:hAnsi="仿宋" w:eastAsia="仿宋" w:cs="宋体"/>
                <w:kern w:val="0"/>
                <w:sz w:val="20"/>
                <w:szCs w:val="20"/>
              </w:rPr>
            </w:pPr>
            <w:r>
              <w:rPr>
                <w:rFonts w:hint="eastAsia" w:ascii="仿宋" w:hAnsi="仿宋" w:eastAsia="仿宋" w:cs="宋体"/>
                <w:kern w:val="0"/>
                <w:sz w:val="20"/>
                <w:szCs w:val="20"/>
              </w:rPr>
              <w:t>《中小型三相异步电动机能效限定值及能效等级》（GB18613）</w:t>
            </w:r>
          </w:p>
        </w:tc>
      </w:tr>
      <w:tr w14:paraId="63763851">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2DF12F75">
            <w:pPr>
              <w:widowControl/>
              <w:jc w:val="center"/>
              <w:rPr>
                <w:rFonts w:ascii="仿宋" w:hAnsi="仿宋" w:eastAsia="仿宋" w:cs="宋体"/>
                <w:kern w:val="0"/>
                <w:sz w:val="20"/>
                <w:szCs w:val="20"/>
              </w:rPr>
            </w:pPr>
            <w:r>
              <w:rPr>
                <w:rFonts w:hint="eastAsia" w:ascii="仿宋" w:hAnsi="仿宋" w:eastAsia="仿宋" w:cs="宋体"/>
                <w:kern w:val="0"/>
                <w:sz w:val="20"/>
                <w:szCs w:val="20"/>
              </w:rPr>
              <w:t>8</w:t>
            </w:r>
          </w:p>
        </w:tc>
        <w:tc>
          <w:tcPr>
            <w:tcW w:w="1116" w:type="dxa"/>
            <w:tcBorders>
              <w:top w:val="nil"/>
              <w:left w:val="nil"/>
              <w:bottom w:val="single" w:color="000000" w:sz="8" w:space="0"/>
              <w:right w:val="single" w:color="000000" w:sz="8" w:space="0"/>
            </w:tcBorders>
            <w:vAlign w:val="center"/>
          </w:tcPr>
          <w:p w14:paraId="6E1C9383">
            <w:pPr>
              <w:widowControl/>
              <w:jc w:val="center"/>
              <w:rPr>
                <w:rFonts w:ascii="仿宋" w:hAnsi="仿宋" w:eastAsia="仿宋" w:cs="宋体"/>
                <w:kern w:val="0"/>
                <w:sz w:val="20"/>
                <w:szCs w:val="20"/>
              </w:rPr>
            </w:pPr>
            <w:r>
              <w:rPr>
                <w:rFonts w:hint="eastAsia" w:ascii="仿宋" w:hAnsi="仿宋" w:eastAsia="仿宋" w:cs="宋体"/>
                <w:kern w:val="0"/>
                <w:sz w:val="20"/>
                <w:szCs w:val="20"/>
              </w:rPr>
              <w:t>A020602变压器</w:t>
            </w:r>
          </w:p>
        </w:tc>
        <w:tc>
          <w:tcPr>
            <w:tcW w:w="1516" w:type="dxa"/>
            <w:tcBorders>
              <w:top w:val="nil"/>
              <w:left w:val="nil"/>
              <w:bottom w:val="single" w:color="000000" w:sz="8" w:space="0"/>
              <w:right w:val="single" w:color="000000" w:sz="8" w:space="0"/>
            </w:tcBorders>
            <w:vAlign w:val="center"/>
          </w:tcPr>
          <w:p w14:paraId="133222FF">
            <w:pPr>
              <w:widowControl/>
              <w:jc w:val="center"/>
              <w:rPr>
                <w:rFonts w:ascii="仿宋" w:hAnsi="仿宋" w:eastAsia="仿宋" w:cs="宋体"/>
                <w:kern w:val="0"/>
                <w:sz w:val="20"/>
                <w:szCs w:val="20"/>
              </w:rPr>
            </w:pPr>
            <w:r>
              <w:rPr>
                <w:rFonts w:hint="eastAsia" w:ascii="仿宋" w:hAnsi="仿宋" w:eastAsia="仿宋" w:cs="宋体"/>
                <w:kern w:val="0"/>
                <w:sz w:val="20"/>
                <w:szCs w:val="20"/>
              </w:rPr>
              <w:t>配电变压器</w:t>
            </w:r>
          </w:p>
        </w:tc>
        <w:tc>
          <w:tcPr>
            <w:tcW w:w="1612" w:type="dxa"/>
            <w:tcBorders>
              <w:top w:val="nil"/>
              <w:left w:val="nil"/>
              <w:bottom w:val="single" w:color="000000" w:sz="8" w:space="0"/>
              <w:right w:val="single" w:color="000000" w:sz="8" w:space="0"/>
            </w:tcBorders>
            <w:vAlign w:val="center"/>
          </w:tcPr>
          <w:p w14:paraId="09C9A4B9">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09A0BF99">
            <w:pPr>
              <w:widowControl/>
              <w:jc w:val="left"/>
              <w:rPr>
                <w:rFonts w:ascii="仿宋" w:hAnsi="仿宋" w:eastAsia="仿宋" w:cs="宋体"/>
                <w:kern w:val="0"/>
                <w:sz w:val="20"/>
                <w:szCs w:val="20"/>
              </w:rPr>
            </w:pPr>
            <w:r>
              <w:rPr>
                <w:rFonts w:hint="eastAsia" w:ascii="仿宋" w:hAnsi="仿宋" w:eastAsia="仿宋" w:cs="宋体"/>
                <w:kern w:val="0"/>
                <w:sz w:val="20"/>
                <w:szCs w:val="20"/>
              </w:rPr>
              <w:t>《三相配电变压器能效限定值及能效等级》（GB20052）</w:t>
            </w:r>
          </w:p>
        </w:tc>
      </w:tr>
      <w:tr w14:paraId="393E5E85">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1E880E94">
            <w:pPr>
              <w:widowControl/>
              <w:jc w:val="center"/>
              <w:rPr>
                <w:rFonts w:ascii="仿宋" w:hAnsi="仿宋" w:eastAsia="仿宋" w:cs="宋体"/>
                <w:kern w:val="0"/>
                <w:sz w:val="20"/>
                <w:szCs w:val="20"/>
              </w:rPr>
            </w:pPr>
            <w:r>
              <w:rPr>
                <w:rFonts w:hint="eastAsia" w:ascii="仿宋" w:hAnsi="仿宋" w:eastAsia="仿宋" w:cs="宋体"/>
                <w:kern w:val="0"/>
                <w:sz w:val="20"/>
                <w:szCs w:val="20"/>
              </w:rPr>
              <w:t>9</w:t>
            </w:r>
          </w:p>
        </w:tc>
        <w:tc>
          <w:tcPr>
            <w:tcW w:w="1116" w:type="dxa"/>
            <w:tcBorders>
              <w:top w:val="nil"/>
              <w:left w:val="nil"/>
              <w:bottom w:val="single" w:color="000000" w:sz="8" w:space="0"/>
              <w:right w:val="single" w:color="000000" w:sz="8" w:space="0"/>
            </w:tcBorders>
            <w:vAlign w:val="center"/>
          </w:tcPr>
          <w:p w14:paraId="6FF06B50">
            <w:pPr>
              <w:widowControl/>
              <w:jc w:val="center"/>
              <w:rPr>
                <w:rFonts w:ascii="仿宋" w:hAnsi="仿宋" w:eastAsia="仿宋" w:cs="宋体"/>
                <w:kern w:val="0"/>
                <w:sz w:val="20"/>
                <w:szCs w:val="20"/>
              </w:rPr>
            </w:pPr>
            <w:r>
              <w:rPr>
                <w:rFonts w:hint="eastAsia" w:ascii="仿宋" w:hAnsi="仿宋" w:eastAsia="仿宋" w:cs="宋体"/>
                <w:kern w:val="0"/>
                <w:sz w:val="20"/>
                <w:szCs w:val="20"/>
              </w:rPr>
              <w:t>★A020609镇流器</w:t>
            </w:r>
          </w:p>
        </w:tc>
        <w:tc>
          <w:tcPr>
            <w:tcW w:w="1516" w:type="dxa"/>
            <w:tcBorders>
              <w:top w:val="nil"/>
              <w:left w:val="nil"/>
              <w:bottom w:val="single" w:color="000000" w:sz="8" w:space="0"/>
              <w:right w:val="single" w:color="000000" w:sz="8" w:space="0"/>
            </w:tcBorders>
            <w:vAlign w:val="center"/>
          </w:tcPr>
          <w:p w14:paraId="6EC90EFD">
            <w:pPr>
              <w:widowControl/>
              <w:jc w:val="center"/>
              <w:rPr>
                <w:rFonts w:ascii="仿宋" w:hAnsi="仿宋" w:eastAsia="仿宋" w:cs="宋体"/>
                <w:kern w:val="0"/>
                <w:sz w:val="20"/>
                <w:szCs w:val="20"/>
              </w:rPr>
            </w:pPr>
            <w:r>
              <w:rPr>
                <w:rFonts w:hint="eastAsia" w:ascii="仿宋" w:hAnsi="仿宋" w:eastAsia="仿宋" w:cs="宋体"/>
                <w:kern w:val="0"/>
                <w:sz w:val="20"/>
                <w:szCs w:val="20"/>
              </w:rPr>
              <w:t>管型荧光灯镇流器</w:t>
            </w:r>
          </w:p>
        </w:tc>
        <w:tc>
          <w:tcPr>
            <w:tcW w:w="1612" w:type="dxa"/>
            <w:tcBorders>
              <w:top w:val="nil"/>
              <w:left w:val="nil"/>
              <w:bottom w:val="single" w:color="000000" w:sz="8" w:space="0"/>
              <w:right w:val="single" w:color="000000" w:sz="8" w:space="0"/>
            </w:tcBorders>
            <w:vAlign w:val="center"/>
          </w:tcPr>
          <w:p w14:paraId="28F0BB01">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1F575D4A">
            <w:pPr>
              <w:widowControl/>
              <w:jc w:val="left"/>
              <w:rPr>
                <w:rFonts w:ascii="仿宋" w:hAnsi="仿宋" w:eastAsia="仿宋" w:cs="宋体"/>
                <w:kern w:val="0"/>
                <w:sz w:val="20"/>
                <w:szCs w:val="20"/>
              </w:rPr>
            </w:pPr>
            <w:r>
              <w:rPr>
                <w:rFonts w:hint="eastAsia" w:ascii="仿宋" w:hAnsi="仿宋" w:eastAsia="仿宋" w:cs="宋体"/>
                <w:kern w:val="0"/>
                <w:sz w:val="20"/>
                <w:szCs w:val="20"/>
              </w:rPr>
              <w:t>《管形荧光灯镇流器能效限定值及能效等级》（GB17896）</w:t>
            </w:r>
          </w:p>
        </w:tc>
      </w:tr>
      <w:tr w14:paraId="465F48A9">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5EFAAAB7">
            <w:pPr>
              <w:widowControl/>
              <w:jc w:val="center"/>
              <w:rPr>
                <w:rFonts w:ascii="仿宋" w:hAnsi="仿宋" w:eastAsia="仿宋" w:cs="宋体"/>
                <w:kern w:val="0"/>
                <w:sz w:val="20"/>
                <w:szCs w:val="20"/>
              </w:rPr>
            </w:pPr>
            <w:r>
              <w:rPr>
                <w:rFonts w:hint="eastAsia" w:ascii="仿宋" w:hAnsi="仿宋" w:eastAsia="仿宋" w:cs="宋体"/>
                <w:kern w:val="0"/>
                <w:sz w:val="20"/>
                <w:szCs w:val="20"/>
              </w:rPr>
              <w:t>10</w:t>
            </w:r>
          </w:p>
        </w:tc>
        <w:tc>
          <w:tcPr>
            <w:tcW w:w="1116" w:type="dxa"/>
            <w:vMerge w:val="restart"/>
            <w:tcBorders>
              <w:top w:val="nil"/>
              <w:left w:val="single" w:color="000000" w:sz="8" w:space="0"/>
              <w:bottom w:val="single" w:color="000000" w:sz="8" w:space="0"/>
              <w:right w:val="single" w:color="000000" w:sz="8" w:space="0"/>
            </w:tcBorders>
            <w:vAlign w:val="center"/>
          </w:tcPr>
          <w:p w14:paraId="6648414E">
            <w:pPr>
              <w:widowControl/>
              <w:jc w:val="center"/>
              <w:rPr>
                <w:rFonts w:ascii="仿宋" w:hAnsi="仿宋" w:eastAsia="仿宋" w:cs="宋体"/>
                <w:kern w:val="0"/>
                <w:sz w:val="20"/>
                <w:szCs w:val="20"/>
              </w:rPr>
            </w:pPr>
            <w:r>
              <w:rPr>
                <w:rFonts w:hint="eastAsia" w:ascii="仿宋" w:hAnsi="仿宋" w:eastAsia="仿宋" w:cs="宋体"/>
                <w:kern w:val="0"/>
                <w:sz w:val="20"/>
                <w:szCs w:val="20"/>
              </w:rPr>
              <w:t>A020618生活用电器</w:t>
            </w:r>
          </w:p>
        </w:tc>
        <w:tc>
          <w:tcPr>
            <w:tcW w:w="1516" w:type="dxa"/>
            <w:tcBorders>
              <w:top w:val="nil"/>
              <w:left w:val="nil"/>
              <w:bottom w:val="single" w:color="000000" w:sz="8" w:space="0"/>
              <w:right w:val="single" w:color="000000" w:sz="8" w:space="0"/>
            </w:tcBorders>
            <w:vAlign w:val="center"/>
          </w:tcPr>
          <w:p w14:paraId="6901BDC1">
            <w:pPr>
              <w:widowControl/>
              <w:jc w:val="center"/>
              <w:rPr>
                <w:rFonts w:ascii="仿宋" w:hAnsi="仿宋" w:eastAsia="仿宋" w:cs="宋体"/>
                <w:kern w:val="0"/>
                <w:sz w:val="20"/>
                <w:szCs w:val="20"/>
              </w:rPr>
            </w:pPr>
            <w:r>
              <w:rPr>
                <w:rFonts w:hint="eastAsia" w:ascii="仿宋" w:hAnsi="仿宋" w:eastAsia="仿宋" w:cs="宋体"/>
                <w:kern w:val="0"/>
                <w:sz w:val="20"/>
                <w:szCs w:val="20"/>
              </w:rPr>
              <w:t>A0206180101电冰箱</w:t>
            </w:r>
          </w:p>
        </w:tc>
        <w:tc>
          <w:tcPr>
            <w:tcW w:w="1612" w:type="dxa"/>
            <w:tcBorders>
              <w:top w:val="nil"/>
              <w:left w:val="nil"/>
              <w:bottom w:val="single" w:color="000000" w:sz="8" w:space="0"/>
              <w:right w:val="single" w:color="000000" w:sz="8" w:space="0"/>
            </w:tcBorders>
            <w:vAlign w:val="center"/>
          </w:tcPr>
          <w:p w14:paraId="04089EFC">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58BE71C8">
            <w:pPr>
              <w:widowControl/>
              <w:jc w:val="left"/>
              <w:rPr>
                <w:rFonts w:ascii="仿宋" w:hAnsi="仿宋" w:eastAsia="仿宋" w:cs="宋体"/>
                <w:kern w:val="0"/>
                <w:sz w:val="20"/>
                <w:szCs w:val="20"/>
              </w:rPr>
            </w:pPr>
            <w:r>
              <w:rPr>
                <w:rFonts w:hint="eastAsia" w:ascii="仿宋" w:hAnsi="仿宋" w:eastAsia="仿宋" w:cs="宋体"/>
                <w:kern w:val="0"/>
                <w:sz w:val="20"/>
                <w:szCs w:val="20"/>
              </w:rPr>
              <w:t>《家用电冰箱耗电量限定值及能效等级》（GB 12021.2）</w:t>
            </w:r>
          </w:p>
        </w:tc>
      </w:tr>
      <w:tr w14:paraId="38A442DC">
        <w:tblPrEx>
          <w:tblCellMar>
            <w:top w:w="0" w:type="dxa"/>
            <w:left w:w="108" w:type="dxa"/>
            <w:bottom w:w="0" w:type="dxa"/>
            <w:right w:w="108" w:type="dxa"/>
          </w:tblCellMar>
        </w:tblPrEx>
        <w:trPr>
          <w:trHeight w:val="975" w:hRule="atLeast"/>
        </w:trPr>
        <w:tc>
          <w:tcPr>
            <w:tcW w:w="641" w:type="dxa"/>
            <w:vMerge w:val="continue"/>
            <w:tcBorders>
              <w:top w:val="nil"/>
              <w:left w:val="single" w:color="000000" w:sz="8" w:space="0"/>
              <w:bottom w:val="single" w:color="000000" w:sz="8" w:space="0"/>
              <w:right w:val="single" w:color="000000" w:sz="8" w:space="0"/>
            </w:tcBorders>
            <w:vAlign w:val="center"/>
          </w:tcPr>
          <w:p w14:paraId="4A8928D6">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6C1A6088">
            <w:pPr>
              <w:widowControl/>
              <w:jc w:val="left"/>
              <w:rPr>
                <w:rFonts w:ascii="仿宋" w:hAnsi="仿宋" w:eastAsia="仿宋" w:cs="宋体"/>
                <w:kern w:val="0"/>
                <w:sz w:val="20"/>
                <w:szCs w:val="20"/>
              </w:rPr>
            </w:pPr>
          </w:p>
        </w:tc>
        <w:tc>
          <w:tcPr>
            <w:tcW w:w="1516" w:type="dxa"/>
            <w:vMerge w:val="restart"/>
            <w:tcBorders>
              <w:top w:val="nil"/>
              <w:left w:val="single" w:color="000000" w:sz="8" w:space="0"/>
              <w:bottom w:val="single" w:color="000000" w:sz="8" w:space="0"/>
              <w:right w:val="single" w:color="000000" w:sz="8" w:space="0"/>
            </w:tcBorders>
            <w:vAlign w:val="center"/>
          </w:tcPr>
          <w:p w14:paraId="49B42E20">
            <w:pPr>
              <w:widowControl/>
              <w:jc w:val="center"/>
              <w:rPr>
                <w:rFonts w:ascii="仿宋" w:hAnsi="仿宋" w:eastAsia="仿宋" w:cs="宋体"/>
                <w:kern w:val="0"/>
                <w:sz w:val="20"/>
                <w:szCs w:val="20"/>
              </w:rPr>
            </w:pPr>
            <w:r>
              <w:rPr>
                <w:rFonts w:hint="eastAsia" w:ascii="仿宋" w:hAnsi="仿宋" w:eastAsia="仿宋" w:cs="宋体"/>
                <w:kern w:val="0"/>
                <w:sz w:val="20"/>
                <w:szCs w:val="20"/>
              </w:rPr>
              <w:t>★A0206180203空调机</w:t>
            </w:r>
          </w:p>
        </w:tc>
        <w:tc>
          <w:tcPr>
            <w:tcW w:w="1612" w:type="dxa"/>
            <w:tcBorders>
              <w:top w:val="nil"/>
              <w:left w:val="nil"/>
              <w:bottom w:val="single" w:color="000000" w:sz="8" w:space="0"/>
              <w:right w:val="single" w:color="000000" w:sz="8" w:space="0"/>
            </w:tcBorders>
            <w:vAlign w:val="center"/>
          </w:tcPr>
          <w:p w14:paraId="6920624A">
            <w:pPr>
              <w:widowControl/>
              <w:jc w:val="center"/>
              <w:rPr>
                <w:rFonts w:ascii="仿宋" w:hAnsi="仿宋" w:eastAsia="仿宋" w:cs="宋体"/>
                <w:kern w:val="0"/>
                <w:sz w:val="20"/>
                <w:szCs w:val="20"/>
              </w:rPr>
            </w:pPr>
            <w:r>
              <w:rPr>
                <w:rFonts w:hint="eastAsia" w:ascii="仿宋" w:hAnsi="仿宋" w:eastAsia="仿宋" w:cs="宋体"/>
                <w:kern w:val="0"/>
                <w:sz w:val="20"/>
                <w:szCs w:val="20"/>
              </w:rPr>
              <w:t>房间空气调节器</w:t>
            </w:r>
          </w:p>
        </w:tc>
        <w:tc>
          <w:tcPr>
            <w:tcW w:w="4335" w:type="dxa"/>
            <w:tcBorders>
              <w:top w:val="nil"/>
              <w:left w:val="nil"/>
              <w:bottom w:val="single" w:color="000000" w:sz="8" w:space="0"/>
              <w:right w:val="single" w:color="000000" w:sz="8" w:space="0"/>
            </w:tcBorders>
            <w:vAlign w:val="center"/>
          </w:tcPr>
          <w:p w14:paraId="0FEFEC2B">
            <w:pPr>
              <w:widowControl/>
              <w:jc w:val="left"/>
              <w:rPr>
                <w:rFonts w:ascii="仿宋" w:hAnsi="仿宋" w:eastAsia="仿宋" w:cs="宋体"/>
                <w:kern w:val="0"/>
                <w:sz w:val="20"/>
                <w:szCs w:val="20"/>
              </w:rPr>
            </w:pPr>
            <w:r>
              <w:rPr>
                <w:rFonts w:hint="eastAsia" w:ascii="仿宋" w:hAnsi="仿宋" w:eastAsia="仿宋" w:cs="宋体"/>
                <w:kern w:val="0"/>
                <w:sz w:val="20"/>
                <w:szCs w:val="20"/>
              </w:rPr>
              <w:t>《转速可控型房间空气调节器能效限定值及能效等级》（GB21455-2013），待2019年修订发布后，按《房间空气调节器能效限定值及能效等级》（GB21455-2019实施。</w:t>
            </w:r>
          </w:p>
        </w:tc>
      </w:tr>
      <w:tr w14:paraId="705DD374">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257CC0E">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790A8469">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06C54ECF">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02EA83D2">
            <w:pPr>
              <w:widowControl/>
              <w:jc w:val="center"/>
              <w:rPr>
                <w:rFonts w:ascii="仿宋" w:hAnsi="仿宋" w:eastAsia="仿宋" w:cs="宋体"/>
                <w:kern w:val="0"/>
                <w:sz w:val="20"/>
                <w:szCs w:val="20"/>
              </w:rPr>
            </w:pPr>
            <w:r>
              <w:rPr>
                <w:rFonts w:hint="eastAsia" w:ascii="仿宋" w:hAnsi="仿宋" w:eastAsia="仿宋" w:cs="宋体"/>
                <w:kern w:val="0"/>
                <w:sz w:val="20"/>
                <w:szCs w:val="20"/>
              </w:rPr>
              <w:t>多联式空调（热泵）机组（制冷量≤ 14000W）</w:t>
            </w:r>
          </w:p>
        </w:tc>
        <w:tc>
          <w:tcPr>
            <w:tcW w:w="4335" w:type="dxa"/>
            <w:tcBorders>
              <w:top w:val="nil"/>
              <w:left w:val="nil"/>
              <w:bottom w:val="single" w:color="000000" w:sz="8" w:space="0"/>
              <w:right w:val="single" w:color="000000" w:sz="8" w:space="0"/>
            </w:tcBorders>
            <w:vAlign w:val="center"/>
          </w:tcPr>
          <w:p w14:paraId="38C508FD">
            <w:pPr>
              <w:widowControl/>
              <w:jc w:val="left"/>
              <w:rPr>
                <w:rFonts w:ascii="仿宋" w:hAnsi="仿宋" w:eastAsia="仿宋" w:cs="宋体"/>
                <w:kern w:val="0"/>
                <w:sz w:val="20"/>
                <w:szCs w:val="20"/>
              </w:rPr>
            </w:pPr>
            <w:r>
              <w:rPr>
                <w:rFonts w:hint="eastAsia" w:ascii="仿宋" w:hAnsi="仿宋" w:eastAsia="仿宋" w:cs="宋体"/>
                <w:kern w:val="0"/>
                <w:sz w:val="20"/>
                <w:szCs w:val="20"/>
              </w:rPr>
              <w:t>《多联式空调（热泵）机组能效限定值及能源效率等级》（GB21454）</w:t>
            </w:r>
          </w:p>
        </w:tc>
      </w:tr>
      <w:tr w14:paraId="4F6AD9F0">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25F591D9">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46DB9A9">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011E46D7">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1B2FAFEE">
            <w:pPr>
              <w:widowControl/>
              <w:jc w:val="center"/>
              <w:rPr>
                <w:rFonts w:ascii="仿宋" w:hAnsi="仿宋" w:eastAsia="仿宋" w:cs="宋体"/>
                <w:kern w:val="0"/>
                <w:sz w:val="20"/>
                <w:szCs w:val="20"/>
              </w:rPr>
            </w:pPr>
            <w:r>
              <w:rPr>
                <w:rFonts w:hint="eastAsia" w:ascii="仿宋" w:hAnsi="仿宋" w:eastAsia="仿宋" w:cs="宋体"/>
                <w:kern w:val="0"/>
                <w:sz w:val="20"/>
                <w:szCs w:val="20"/>
              </w:rPr>
              <w:t>单元式空气调节机(制冷量≤14000W)</w:t>
            </w:r>
          </w:p>
        </w:tc>
        <w:tc>
          <w:tcPr>
            <w:tcW w:w="4335" w:type="dxa"/>
            <w:tcBorders>
              <w:top w:val="nil"/>
              <w:left w:val="nil"/>
              <w:bottom w:val="single" w:color="000000" w:sz="8" w:space="0"/>
              <w:right w:val="single" w:color="000000" w:sz="8" w:space="0"/>
            </w:tcBorders>
            <w:vAlign w:val="center"/>
          </w:tcPr>
          <w:p w14:paraId="0B75A865">
            <w:pPr>
              <w:widowControl/>
              <w:jc w:val="left"/>
              <w:rPr>
                <w:rFonts w:ascii="仿宋" w:hAnsi="仿宋" w:eastAsia="仿宋" w:cs="宋体"/>
                <w:kern w:val="0"/>
                <w:sz w:val="20"/>
                <w:szCs w:val="20"/>
              </w:rPr>
            </w:pPr>
            <w:r>
              <w:rPr>
                <w:rFonts w:hint="eastAsia" w:ascii="仿宋" w:hAnsi="仿宋" w:eastAsia="仿宋" w:cs="宋体"/>
                <w:kern w:val="0"/>
                <w:sz w:val="20"/>
                <w:szCs w:val="20"/>
              </w:rPr>
              <w:t>《单元式空气调节机能效限定值及能源效率等级》（GB19576）《风管送风式空调机组能效限定值及能效等级》（GB37479）</w:t>
            </w:r>
          </w:p>
        </w:tc>
      </w:tr>
      <w:tr w14:paraId="39839B0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E666935">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052A6A56">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0CB63697">
            <w:pPr>
              <w:widowControl/>
              <w:jc w:val="center"/>
              <w:rPr>
                <w:rFonts w:ascii="仿宋" w:hAnsi="仿宋" w:eastAsia="仿宋" w:cs="宋体"/>
                <w:kern w:val="0"/>
                <w:sz w:val="20"/>
                <w:szCs w:val="20"/>
              </w:rPr>
            </w:pPr>
            <w:r>
              <w:rPr>
                <w:rFonts w:hint="eastAsia" w:ascii="仿宋" w:hAnsi="仿宋" w:eastAsia="仿宋" w:cs="宋体"/>
                <w:kern w:val="0"/>
                <w:sz w:val="20"/>
                <w:szCs w:val="20"/>
              </w:rPr>
              <w:t>A0206180301洗衣机</w:t>
            </w:r>
          </w:p>
        </w:tc>
        <w:tc>
          <w:tcPr>
            <w:tcW w:w="1612" w:type="dxa"/>
            <w:tcBorders>
              <w:top w:val="nil"/>
              <w:left w:val="nil"/>
              <w:bottom w:val="single" w:color="000000" w:sz="8" w:space="0"/>
              <w:right w:val="single" w:color="000000" w:sz="8" w:space="0"/>
            </w:tcBorders>
            <w:vAlign w:val="center"/>
          </w:tcPr>
          <w:p w14:paraId="3085FA85">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2B03E51E">
            <w:pPr>
              <w:widowControl/>
              <w:jc w:val="left"/>
              <w:rPr>
                <w:rFonts w:ascii="仿宋" w:hAnsi="仿宋" w:eastAsia="仿宋" w:cs="宋体"/>
                <w:kern w:val="0"/>
                <w:sz w:val="20"/>
                <w:szCs w:val="20"/>
              </w:rPr>
            </w:pPr>
            <w:r>
              <w:rPr>
                <w:rFonts w:hint="eastAsia" w:ascii="仿宋" w:hAnsi="仿宋" w:eastAsia="仿宋" w:cs="宋体"/>
                <w:kern w:val="0"/>
                <w:sz w:val="20"/>
                <w:szCs w:val="20"/>
              </w:rPr>
              <w:t>《电动洗衣机能效水效限定值及等级》（GB12021.4）</w:t>
            </w:r>
          </w:p>
        </w:tc>
      </w:tr>
      <w:tr w14:paraId="637DB787">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33966819">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5A7B7211">
            <w:pPr>
              <w:widowControl/>
              <w:jc w:val="left"/>
              <w:rPr>
                <w:rFonts w:ascii="仿宋" w:hAnsi="仿宋" w:eastAsia="仿宋" w:cs="宋体"/>
                <w:kern w:val="0"/>
                <w:sz w:val="20"/>
                <w:szCs w:val="20"/>
              </w:rPr>
            </w:pPr>
          </w:p>
        </w:tc>
        <w:tc>
          <w:tcPr>
            <w:tcW w:w="1516" w:type="dxa"/>
            <w:vMerge w:val="restart"/>
            <w:tcBorders>
              <w:top w:val="nil"/>
              <w:left w:val="single" w:color="000000" w:sz="8" w:space="0"/>
              <w:bottom w:val="single" w:color="000000" w:sz="8" w:space="0"/>
              <w:right w:val="single" w:color="000000" w:sz="8" w:space="0"/>
            </w:tcBorders>
            <w:vAlign w:val="center"/>
          </w:tcPr>
          <w:p w14:paraId="6E65DE9E">
            <w:pPr>
              <w:widowControl/>
              <w:jc w:val="center"/>
              <w:rPr>
                <w:rFonts w:ascii="仿宋" w:hAnsi="仿宋" w:eastAsia="仿宋" w:cs="宋体"/>
                <w:kern w:val="0"/>
                <w:sz w:val="20"/>
                <w:szCs w:val="20"/>
              </w:rPr>
            </w:pPr>
            <w:r>
              <w:rPr>
                <w:rFonts w:hint="eastAsia" w:ascii="仿宋" w:hAnsi="仿宋" w:eastAsia="仿宋" w:cs="宋体"/>
                <w:kern w:val="0"/>
                <w:sz w:val="20"/>
                <w:szCs w:val="20"/>
              </w:rPr>
              <w:t>A02061808热水器</w:t>
            </w:r>
          </w:p>
        </w:tc>
        <w:tc>
          <w:tcPr>
            <w:tcW w:w="1612" w:type="dxa"/>
            <w:tcBorders>
              <w:top w:val="nil"/>
              <w:left w:val="nil"/>
              <w:bottom w:val="single" w:color="000000" w:sz="8" w:space="0"/>
              <w:right w:val="single" w:color="000000" w:sz="8" w:space="0"/>
            </w:tcBorders>
            <w:vAlign w:val="center"/>
          </w:tcPr>
          <w:p w14:paraId="57CEE328">
            <w:pPr>
              <w:widowControl/>
              <w:jc w:val="center"/>
              <w:rPr>
                <w:rFonts w:ascii="仿宋" w:hAnsi="仿宋" w:eastAsia="仿宋" w:cs="宋体"/>
                <w:kern w:val="0"/>
                <w:sz w:val="20"/>
                <w:szCs w:val="20"/>
              </w:rPr>
            </w:pPr>
            <w:r>
              <w:rPr>
                <w:rFonts w:hint="eastAsia" w:ascii="仿宋" w:hAnsi="仿宋" w:eastAsia="仿宋" w:cs="宋体"/>
                <w:kern w:val="0"/>
                <w:sz w:val="20"/>
                <w:szCs w:val="20"/>
              </w:rPr>
              <w:t>★电热水器</w:t>
            </w:r>
          </w:p>
        </w:tc>
        <w:tc>
          <w:tcPr>
            <w:tcW w:w="4335" w:type="dxa"/>
            <w:tcBorders>
              <w:top w:val="nil"/>
              <w:left w:val="nil"/>
              <w:bottom w:val="single" w:color="000000" w:sz="8" w:space="0"/>
              <w:right w:val="single" w:color="000000" w:sz="8" w:space="0"/>
            </w:tcBorders>
            <w:vAlign w:val="center"/>
          </w:tcPr>
          <w:p w14:paraId="6BF1763F">
            <w:pPr>
              <w:widowControl/>
              <w:jc w:val="left"/>
              <w:rPr>
                <w:rFonts w:ascii="仿宋" w:hAnsi="仿宋" w:eastAsia="仿宋" w:cs="宋体"/>
                <w:kern w:val="0"/>
                <w:sz w:val="20"/>
                <w:szCs w:val="20"/>
              </w:rPr>
            </w:pPr>
            <w:r>
              <w:rPr>
                <w:rFonts w:hint="eastAsia" w:ascii="仿宋" w:hAnsi="仿宋" w:eastAsia="仿宋" w:cs="宋体"/>
                <w:kern w:val="0"/>
                <w:sz w:val="20"/>
                <w:szCs w:val="20"/>
              </w:rPr>
              <w:t>《储水式电热水器能效限定值及能效等级》（GB21519）</w:t>
            </w:r>
          </w:p>
        </w:tc>
      </w:tr>
      <w:tr w14:paraId="66BF8DCB">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2CCC1467">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55B258ED">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79FDAE9B">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7EDA8565">
            <w:pPr>
              <w:widowControl/>
              <w:jc w:val="center"/>
              <w:rPr>
                <w:rFonts w:ascii="仿宋" w:hAnsi="仿宋" w:eastAsia="仿宋" w:cs="宋体"/>
                <w:kern w:val="0"/>
                <w:sz w:val="20"/>
                <w:szCs w:val="20"/>
              </w:rPr>
            </w:pPr>
            <w:r>
              <w:rPr>
                <w:rFonts w:hint="eastAsia" w:ascii="仿宋" w:hAnsi="仿宋" w:eastAsia="仿宋" w:cs="宋体"/>
                <w:kern w:val="0"/>
                <w:sz w:val="20"/>
                <w:szCs w:val="20"/>
              </w:rPr>
              <w:t>燃气热水器</w:t>
            </w:r>
          </w:p>
        </w:tc>
        <w:tc>
          <w:tcPr>
            <w:tcW w:w="4335" w:type="dxa"/>
            <w:tcBorders>
              <w:top w:val="nil"/>
              <w:left w:val="nil"/>
              <w:bottom w:val="single" w:color="000000" w:sz="8" w:space="0"/>
              <w:right w:val="single" w:color="000000" w:sz="8" w:space="0"/>
            </w:tcBorders>
            <w:vAlign w:val="center"/>
          </w:tcPr>
          <w:p w14:paraId="5E2039AE">
            <w:pPr>
              <w:widowControl/>
              <w:jc w:val="left"/>
              <w:rPr>
                <w:rFonts w:ascii="仿宋" w:hAnsi="仿宋" w:eastAsia="仿宋" w:cs="宋体"/>
                <w:kern w:val="0"/>
                <w:sz w:val="20"/>
                <w:szCs w:val="20"/>
              </w:rPr>
            </w:pPr>
            <w:r>
              <w:rPr>
                <w:rFonts w:hint="eastAsia" w:ascii="仿宋" w:hAnsi="仿宋" w:eastAsia="仿宋" w:cs="宋体"/>
                <w:kern w:val="0"/>
                <w:sz w:val="20"/>
                <w:szCs w:val="20"/>
              </w:rPr>
              <w:t>《家用燃气快速热水器和燃气采暖热水炉能效限定值及能效等级》（GB20665）</w:t>
            </w:r>
          </w:p>
        </w:tc>
      </w:tr>
      <w:tr w14:paraId="7AB9B480">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6193FA4F">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0F60077A">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45849F8C">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5BCD9062">
            <w:pPr>
              <w:widowControl/>
              <w:jc w:val="center"/>
              <w:rPr>
                <w:rFonts w:ascii="仿宋" w:hAnsi="仿宋" w:eastAsia="仿宋" w:cs="宋体"/>
                <w:kern w:val="0"/>
                <w:sz w:val="20"/>
                <w:szCs w:val="20"/>
              </w:rPr>
            </w:pPr>
            <w:r>
              <w:rPr>
                <w:rFonts w:hint="eastAsia" w:ascii="仿宋" w:hAnsi="仿宋" w:eastAsia="仿宋" w:cs="宋体"/>
                <w:kern w:val="0"/>
                <w:sz w:val="20"/>
                <w:szCs w:val="20"/>
              </w:rPr>
              <w:t>热泵热水器</w:t>
            </w:r>
          </w:p>
        </w:tc>
        <w:tc>
          <w:tcPr>
            <w:tcW w:w="4335" w:type="dxa"/>
            <w:tcBorders>
              <w:top w:val="nil"/>
              <w:left w:val="nil"/>
              <w:bottom w:val="single" w:color="000000" w:sz="8" w:space="0"/>
              <w:right w:val="single" w:color="000000" w:sz="8" w:space="0"/>
            </w:tcBorders>
            <w:vAlign w:val="center"/>
          </w:tcPr>
          <w:p w14:paraId="7CB9C977">
            <w:pPr>
              <w:widowControl/>
              <w:jc w:val="left"/>
              <w:rPr>
                <w:rFonts w:ascii="仿宋" w:hAnsi="仿宋" w:eastAsia="仿宋" w:cs="宋体"/>
                <w:kern w:val="0"/>
                <w:sz w:val="20"/>
                <w:szCs w:val="20"/>
              </w:rPr>
            </w:pPr>
            <w:r>
              <w:rPr>
                <w:rFonts w:hint="eastAsia" w:ascii="仿宋" w:hAnsi="仿宋" w:eastAsia="仿宋" w:cs="宋体"/>
                <w:kern w:val="0"/>
                <w:sz w:val="20"/>
                <w:szCs w:val="20"/>
              </w:rPr>
              <w:t>《热泵热水机（器）能效限定值及能效等级》（GB29541）</w:t>
            </w:r>
          </w:p>
        </w:tc>
      </w:tr>
      <w:tr w14:paraId="2809AAE6">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F7A1C76">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3961791D">
            <w:pPr>
              <w:widowControl/>
              <w:jc w:val="left"/>
              <w:rPr>
                <w:rFonts w:ascii="仿宋" w:hAnsi="仿宋" w:eastAsia="仿宋" w:cs="宋体"/>
                <w:kern w:val="0"/>
                <w:sz w:val="20"/>
                <w:szCs w:val="20"/>
              </w:rPr>
            </w:pPr>
          </w:p>
        </w:tc>
        <w:tc>
          <w:tcPr>
            <w:tcW w:w="1516" w:type="dxa"/>
            <w:vMerge w:val="continue"/>
            <w:tcBorders>
              <w:top w:val="nil"/>
              <w:left w:val="single" w:color="000000" w:sz="8" w:space="0"/>
              <w:bottom w:val="single" w:color="000000" w:sz="8" w:space="0"/>
              <w:right w:val="single" w:color="000000" w:sz="8" w:space="0"/>
            </w:tcBorders>
            <w:vAlign w:val="center"/>
          </w:tcPr>
          <w:p w14:paraId="2E8FDD52">
            <w:pPr>
              <w:widowControl/>
              <w:jc w:val="left"/>
              <w:rPr>
                <w:rFonts w:ascii="仿宋" w:hAnsi="仿宋" w:eastAsia="仿宋" w:cs="宋体"/>
                <w:kern w:val="0"/>
                <w:sz w:val="20"/>
                <w:szCs w:val="20"/>
              </w:rPr>
            </w:pPr>
          </w:p>
        </w:tc>
        <w:tc>
          <w:tcPr>
            <w:tcW w:w="1612" w:type="dxa"/>
            <w:tcBorders>
              <w:top w:val="nil"/>
              <w:left w:val="nil"/>
              <w:bottom w:val="single" w:color="000000" w:sz="8" w:space="0"/>
              <w:right w:val="single" w:color="000000" w:sz="8" w:space="0"/>
            </w:tcBorders>
            <w:vAlign w:val="center"/>
          </w:tcPr>
          <w:p w14:paraId="003B0644">
            <w:pPr>
              <w:widowControl/>
              <w:jc w:val="center"/>
              <w:rPr>
                <w:rFonts w:ascii="仿宋" w:hAnsi="仿宋" w:eastAsia="仿宋" w:cs="宋体"/>
                <w:kern w:val="0"/>
                <w:sz w:val="20"/>
                <w:szCs w:val="20"/>
              </w:rPr>
            </w:pPr>
            <w:r>
              <w:rPr>
                <w:rFonts w:hint="eastAsia" w:ascii="仿宋" w:hAnsi="仿宋" w:eastAsia="仿宋" w:cs="宋体"/>
                <w:kern w:val="0"/>
                <w:sz w:val="20"/>
                <w:szCs w:val="20"/>
              </w:rPr>
              <w:t>太阳能热水系统</w:t>
            </w:r>
          </w:p>
        </w:tc>
        <w:tc>
          <w:tcPr>
            <w:tcW w:w="4335" w:type="dxa"/>
            <w:tcBorders>
              <w:top w:val="nil"/>
              <w:left w:val="nil"/>
              <w:bottom w:val="single" w:color="000000" w:sz="8" w:space="0"/>
              <w:right w:val="single" w:color="000000" w:sz="8" w:space="0"/>
            </w:tcBorders>
            <w:vAlign w:val="center"/>
          </w:tcPr>
          <w:p w14:paraId="71960E9F">
            <w:pPr>
              <w:widowControl/>
              <w:jc w:val="left"/>
              <w:rPr>
                <w:rFonts w:ascii="仿宋" w:hAnsi="仿宋" w:eastAsia="仿宋" w:cs="宋体"/>
                <w:kern w:val="0"/>
                <w:sz w:val="20"/>
                <w:szCs w:val="20"/>
              </w:rPr>
            </w:pPr>
            <w:r>
              <w:rPr>
                <w:rFonts w:hint="eastAsia" w:ascii="仿宋" w:hAnsi="仿宋" w:eastAsia="仿宋" w:cs="宋体"/>
                <w:kern w:val="0"/>
                <w:sz w:val="20"/>
                <w:szCs w:val="20"/>
              </w:rPr>
              <w:t>《家用太阳能热水系统能效限定值及能效等级》（GB26969）</w:t>
            </w:r>
          </w:p>
        </w:tc>
      </w:tr>
      <w:tr w14:paraId="267CF623">
        <w:tblPrEx>
          <w:tblCellMar>
            <w:top w:w="0" w:type="dxa"/>
            <w:left w:w="108" w:type="dxa"/>
            <w:bottom w:w="0" w:type="dxa"/>
            <w:right w:w="108" w:type="dxa"/>
          </w:tblCellMar>
        </w:tblPrEx>
        <w:trPr>
          <w:trHeight w:val="495" w:hRule="atLeast"/>
        </w:trPr>
        <w:tc>
          <w:tcPr>
            <w:tcW w:w="641" w:type="dxa"/>
            <w:vMerge w:val="restart"/>
            <w:tcBorders>
              <w:top w:val="nil"/>
              <w:left w:val="single" w:color="000000" w:sz="8" w:space="0"/>
              <w:bottom w:val="single" w:color="000000" w:sz="8" w:space="0"/>
              <w:right w:val="single" w:color="000000" w:sz="8" w:space="0"/>
            </w:tcBorders>
            <w:vAlign w:val="center"/>
          </w:tcPr>
          <w:p w14:paraId="6029C932">
            <w:pPr>
              <w:widowControl/>
              <w:jc w:val="center"/>
              <w:rPr>
                <w:rFonts w:ascii="仿宋" w:hAnsi="仿宋" w:eastAsia="仿宋" w:cs="宋体"/>
                <w:kern w:val="0"/>
                <w:sz w:val="20"/>
                <w:szCs w:val="20"/>
              </w:rPr>
            </w:pPr>
            <w:r>
              <w:rPr>
                <w:rFonts w:hint="eastAsia" w:ascii="仿宋" w:hAnsi="仿宋" w:eastAsia="仿宋" w:cs="宋体"/>
                <w:kern w:val="0"/>
                <w:sz w:val="20"/>
                <w:szCs w:val="20"/>
              </w:rPr>
              <w:t>11</w:t>
            </w:r>
          </w:p>
        </w:tc>
        <w:tc>
          <w:tcPr>
            <w:tcW w:w="1116" w:type="dxa"/>
            <w:vMerge w:val="restart"/>
            <w:tcBorders>
              <w:top w:val="nil"/>
              <w:left w:val="single" w:color="000000" w:sz="8" w:space="0"/>
              <w:bottom w:val="single" w:color="000000" w:sz="8" w:space="0"/>
              <w:right w:val="single" w:color="000000" w:sz="8" w:space="0"/>
            </w:tcBorders>
            <w:vAlign w:val="center"/>
          </w:tcPr>
          <w:p w14:paraId="41DD140A">
            <w:pPr>
              <w:widowControl/>
              <w:jc w:val="center"/>
              <w:rPr>
                <w:rFonts w:ascii="仿宋" w:hAnsi="仿宋" w:eastAsia="仿宋" w:cs="宋体"/>
                <w:kern w:val="0"/>
                <w:sz w:val="20"/>
                <w:szCs w:val="20"/>
              </w:rPr>
            </w:pPr>
            <w:r>
              <w:rPr>
                <w:rFonts w:hint="eastAsia" w:ascii="仿宋" w:hAnsi="仿宋" w:eastAsia="仿宋" w:cs="宋体"/>
                <w:kern w:val="0"/>
                <w:sz w:val="20"/>
                <w:szCs w:val="20"/>
              </w:rPr>
              <w:t>A020619照明设备</w:t>
            </w:r>
          </w:p>
        </w:tc>
        <w:tc>
          <w:tcPr>
            <w:tcW w:w="1516" w:type="dxa"/>
            <w:tcBorders>
              <w:top w:val="nil"/>
              <w:left w:val="nil"/>
              <w:bottom w:val="single" w:color="000000" w:sz="8" w:space="0"/>
              <w:right w:val="single" w:color="000000" w:sz="8" w:space="0"/>
            </w:tcBorders>
            <w:vAlign w:val="center"/>
          </w:tcPr>
          <w:p w14:paraId="10B44887">
            <w:pPr>
              <w:widowControl/>
              <w:jc w:val="center"/>
              <w:rPr>
                <w:rFonts w:ascii="仿宋" w:hAnsi="仿宋" w:eastAsia="仿宋" w:cs="宋体"/>
                <w:kern w:val="0"/>
                <w:sz w:val="20"/>
                <w:szCs w:val="20"/>
              </w:rPr>
            </w:pPr>
            <w:r>
              <w:rPr>
                <w:rFonts w:hint="eastAsia" w:ascii="仿宋" w:hAnsi="仿宋" w:eastAsia="仿宋" w:cs="宋体"/>
                <w:kern w:val="0"/>
                <w:sz w:val="20"/>
                <w:szCs w:val="20"/>
              </w:rPr>
              <w:t>★普通照明用双端荧光灯</w:t>
            </w:r>
          </w:p>
        </w:tc>
        <w:tc>
          <w:tcPr>
            <w:tcW w:w="1612" w:type="dxa"/>
            <w:tcBorders>
              <w:top w:val="nil"/>
              <w:left w:val="nil"/>
              <w:bottom w:val="single" w:color="000000" w:sz="8" w:space="0"/>
              <w:right w:val="single" w:color="000000" w:sz="8" w:space="0"/>
            </w:tcBorders>
            <w:vAlign w:val="center"/>
          </w:tcPr>
          <w:p w14:paraId="33B926D2">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4119858E">
            <w:pPr>
              <w:widowControl/>
              <w:jc w:val="left"/>
              <w:rPr>
                <w:rFonts w:ascii="仿宋" w:hAnsi="仿宋" w:eastAsia="仿宋" w:cs="宋体"/>
                <w:kern w:val="0"/>
                <w:sz w:val="20"/>
                <w:szCs w:val="20"/>
              </w:rPr>
            </w:pPr>
            <w:r>
              <w:rPr>
                <w:rFonts w:hint="eastAsia" w:ascii="仿宋" w:hAnsi="仿宋" w:eastAsia="仿宋" w:cs="宋体"/>
                <w:kern w:val="0"/>
                <w:sz w:val="20"/>
                <w:szCs w:val="20"/>
              </w:rPr>
              <w:t>《普通照明用双端荧光灯能效限定值及能效等级》（GB19043）</w:t>
            </w:r>
          </w:p>
        </w:tc>
      </w:tr>
      <w:tr w14:paraId="5597F565">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1668B368">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7F43B0BB">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6D34CD51">
            <w:pPr>
              <w:widowControl/>
              <w:jc w:val="center"/>
              <w:rPr>
                <w:rFonts w:ascii="仿宋" w:hAnsi="仿宋" w:eastAsia="仿宋" w:cs="宋体"/>
                <w:kern w:val="0"/>
                <w:sz w:val="20"/>
                <w:szCs w:val="20"/>
              </w:rPr>
            </w:pPr>
            <w:r>
              <w:rPr>
                <w:rFonts w:hint="eastAsia" w:ascii="仿宋" w:hAnsi="仿宋" w:eastAsia="仿宋" w:cs="宋体"/>
                <w:kern w:val="0"/>
                <w:sz w:val="20"/>
                <w:szCs w:val="20"/>
              </w:rPr>
              <w:t>LED道路/隧道照明产品</w:t>
            </w:r>
          </w:p>
        </w:tc>
        <w:tc>
          <w:tcPr>
            <w:tcW w:w="1612" w:type="dxa"/>
            <w:tcBorders>
              <w:top w:val="nil"/>
              <w:left w:val="nil"/>
              <w:bottom w:val="single" w:color="000000" w:sz="8" w:space="0"/>
              <w:right w:val="single" w:color="000000" w:sz="8" w:space="0"/>
            </w:tcBorders>
            <w:vAlign w:val="center"/>
          </w:tcPr>
          <w:p w14:paraId="7D48CCE7">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7AFDBDCD">
            <w:pPr>
              <w:widowControl/>
              <w:jc w:val="left"/>
              <w:rPr>
                <w:rFonts w:ascii="仿宋" w:hAnsi="仿宋" w:eastAsia="仿宋" w:cs="宋体"/>
                <w:kern w:val="0"/>
                <w:sz w:val="20"/>
                <w:szCs w:val="20"/>
              </w:rPr>
            </w:pPr>
            <w:r>
              <w:rPr>
                <w:rFonts w:hint="eastAsia" w:ascii="仿宋" w:hAnsi="仿宋" w:eastAsia="仿宋" w:cs="宋体"/>
                <w:kern w:val="0"/>
                <w:sz w:val="20"/>
                <w:szCs w:val="20"/>
              </w:rPr>
              <w:t>《道路和隧道照明用LED灯具能效限定值及能效等级》（GB37478）</w:t>
            </w:r>
          </w:p>
        </w:tc>
      </w:tr>
      <w:tr w14:paraId="1835DF8D">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B9E3C47">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43FC49FA">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6F0E3CF5">
            <w:pPr>
              <w:widowControl/>
              <w:jc w:val="center"/>
              <w:rPr>
                <w:rFonts w:ascii="仿宋" w:hAnsi="仿宋" w:eastAsia="仿宋" w:cs="宋体"/>
                <w:kern w:val="0"/>
                <w:sz w:val="20"/>
                <w:szCs w:val="20"/>
              </w:rPr>
            </w:pPr>
            <w:r>
              <w:rPr>
                <w:rFonts w:hint="eastAsia" w:ascii="仿宋" w:hAnsi="仿宋" w:eastAsia="仿宋" w:cs="宋体"/>
                <w:kern w:val="0"/>
                <w:sz w:val="20"/>
                <w:szCs w:val="20"/>
              </w:rPr>
              <w:t>LED筒灯</w:t>
            </w:r>
          </w:p>
        </w:tc>
        <w:tc>
          <w:tcPr>
            <w:tcW w:w="1612" w:type="dxa"/>
            <w:tcBorders>
              <w:top w:val="nil"/>
              <w:left w:val="nil"/>
              <w:bottom w:val="single" w:color="000000" w:sz="8" w:space="0"/>
              <w:right w:val="single" w:color="000000" w:sz="8" w:space="0"/>
            </w:tcBorders>
            <w:vAlign w:val="center"/>
          </w:tcPr>
          <w:p w14:paraId="53C716D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6E1CF944">
            <w:pPr>
              <w:widowControl/>
              <w:jc w:val="left"/>
              <w:rPr>
                <w:rFonts w:ascii="仿宋" w:hAnsi="仿宋" w:eastAsia="仿宋" w:cs="宋体"/>
                <w:kern w:val="0"/>
                <w:sz w:val="20"/>
                <w:szCs w:val="20"/>
              </w:rPr>
            </w:pPr>
            <w:r>
              <w:rPr>
                <w:rFonts w:hint="eastAsia" w:ascii="仿宋" w:hAnsi="仿宋" w:eastAsia="仿宋" w:cs="宋体"/>
                <w:kern w:val="0"/>
                <w:sz w:val="20"/>
                <w:szCs w:val="20"/>
              </w:rPr>
              <w:t>《室内照明用LED产品能效限定值及能效等级》（GB30255）</w:t>
            </w:r>
          </w:p>
        </w:tc>
      </w:tr>
      <w:tr w14:paraId="1FB3D882">
        <w:tblPrEx>
          <w:tblCellMar>
            <w:top w:w="0" w:type="dxa"/>
            <w:left w:w="108" w:type="dxa"/>
            <w:bottom w:w="0" w:type="dxa"/>
            <w:right w:w="108" w:type="dxa"/>
          </w:tblCellMar>
        </w:tblPrEx>
        <w:trPr>
          <w:trHeight w:val="735" w:hRule="atLeast"/>
        </w:trPr>
        <w:tc>
          <w:tcPr>
            <w:tcW w:w="641" w:type="dxa"/>
            <w:vMerge w:val="continue"/>
            <w:tcBorders>
              <w:top w:val="nil"/>
              <w:left w:val="single" w:color="000000" w:sz="8" w:space="0"/>
              <w:bottom w:val="single" w:color="000000" w:sz="8" w:space="0"/>
              <w:right w:val="single" w:color="000000" w:sz="8" w:space="0"/>
            </w:tcBorders>
            <w:vAlign w:val="center"/>
          </w:tcPr>
          <w:p w14:paraId="7D1F8B56">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2522E87E">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5FA4B4A2">
            <w:pPr>
              <w:widowControl/>
              <w:jc w:val="center"/>
              <w:rPr>
                <w:rFonts w:ascii="仿宋" w:hAnsi="仿宋" w:eastAsia="仿宋" w:cs="宋体"/>
                <w:kern w:val="0"/>
                <w:sz w:val="20"/>
                <w:szCs w:val="20"/>
              </w:rPr>
            </w:pPr>
            <w:r>
              <w:rPr>
                <w:rFonts w:hint="eastAsia" w:ascii="仿宋" w:hAnsi="仿宋" w:eastAsia="仿宋" w:cs="宋体"/>
                <w:kern w:val="0"/>
                <w:sz w:val="20"/>
                <w:szCs w:val="20"/>
              </w:rPr>
              <w:t>普通照明用非定向自镇流LED灯</w:t>
            </w:r>
          </w:p>
        </w:tc>
        <w:tc>
          <w:tcPr>
            <w:tcW w:w="1612" w:type="dxa"/>
            <w:tcBorders>
              <w:top w:val="nil"/>
              <w:left w:val="nil"/>
              <w:bottom w:val="single" w:color="000000" w:sz="8" w:space="0"/>
              <w:right w:val="single" w:color="000000" w:sz="8" w:space="0"/>
            </w:tcBorders>
            <w:vAlign w:val="center"/>
          </w:tcPr>
          <w:p w14:paraId="7659B1FD">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14A59A96">
            <w:pPr>
              <w:widowControl/>
              <w:jc w:val="left"/>
              <w:rPr>
                <w:rFonts w:ascii="仿宋" w:hAnsi="仿宋" w:eastAsia="仿宋" w:cs="宋体"/>
                <w:kern w:val="0"/>
                <w:sz w:val="20"/>
                <w:szCs w:val="20"/>
              </w:rPr>
            </w:pPr>
            <w:r>
              <w:rPr>
                <w:rFonts w:hint="eastAsia" w:ascii="仿宋" w:hAnsi="仿宋" w:eastAsia="仿宋" w:cs="宋体"/>
                <w:kern w:val="0"/>
                <w:sz w:val="20"/>
                <w:szCs w:val="20"/>
              </w:rPr>
              <w:t>《室内照明用LED产品能效限定值及能效等级》（GB30255）</w:t>
            </w:r>
          </w:p>
        </w:tc>
      </w:tr>
      <w:tr w14:paraId="6DF03691">
        <w:tblPrEx>
          <w:tblCellMar>
            <w:top w:w="0" w:type="dxa"/>
            <w:left w:w="108" w:type="dxa"/>
            <w:bottom w:w="0" w:type="dxa"/>
            <w:right w:w="108" w:type="dxa"/>
          </w:tblCellMar>
        </w:tblPrEx>
        <w:trPr>
          <w:trHeight w:val="735" w:hRule="atLeast"/>
        </w:trPr>
        <w:tc>
          <w:tcPr>
            <w:tcW w:w="641" w:type="dxa"/>
            <w:tcBorders>
              <w:top w:val="nil"/>
              <w:left w:val="single" w:color="000000" w:sz="8" w:space="0"/>
              <w:bottom w:val="single" w:color="000000" w:sz="8" w:space="0"/>
              <w:right w:val="single" w:color="000000" w:sz="8" w:space="0"/>
            </w:tcBorders>
            <w:vAlign w:val="center"/>
          </w:tcPr>
          <w:p w14:paraId="6F2E86F8">
            <w:pPr>
              <w:widowControl/>
              <w:jc w:val="center"/>
              <w:rPr>
                <w:rFonts w:ascii="仿宋" w:hAnsi="仿宋" w:eastAsia="仿宋" w:cs="宋体"/>
                <w:kern w:val="0"/>
                <w:sz w:val="20"/>
                <w:szCs w:val="20"/>
              </w:rPr>
            </w:pPr>
            <w:r>
              <w:rPr>
                <w:rFonts w:hint="eastAsia" w:ascii="仿宋" w:hAnsi="仿宋" w:eastAsia="仿宋" w:cs="宋体"/>
                <w:kern w:val="0"/>
                <w:sz w:val="20"/>
                <w:szCs w:val="20"/>
              </w:rPr>
              <w:t>12</w:t>
            </w:r>
          </w:p>
        </w:tc>
        <w:tc>
          <w:tcPr>
            <w:tcW w:w="1116" w:type="dxa"/>
            <w:tcBorders>
              <w:top w:val="nil"/>
              <w:left w:val="nil"/>
              <w:bottom w:val="single" w:color="000000" w:sz="8" w:space="0"/>
              <w:right w:val="single" w:color="000000" w:sz="8" w:space="0"/>
            </w:tcBorders>
            <w:vAlign w:val="center"/>
          </w:tcPr>
          <w:p w14:paraId="2690D713">
            <w:pPr>
              <w:widowControl/>
              <w:jc w:val="center"/>
              <w:rPr>
                <w:rFonts w:ascii="仿宋" w:hAnsi="仿宋" w:eastAsia="仿宋" w:cs="宋体"/>
                <w:kern w:val="0"/>
                <w:sz w:val="20"/>
                <w:szCs w:val="20"/>
              </w:rPr>
            </w:pPr>
            <w:r>
              <w:rPr>
                <w:rFonts w:hint="eastAsia" w:ascii="仿宋" w:hAnsi="仿宋" w:eastAsia="仿宋" w:cs="宋体"/>
                <w:kern w:val="0"/>
                <w:sz w:val="20"/>
                <w:szCs w:val="20"/>
              </w:rPr>
              <w:t>★A020910电视设备</w:t>
            </w:r>
          </w:p>
        </w:tc>
        <w:tc>
          <w:tcPr>
            <w:tcW w:w="1516" w:type="dxa"/>
            <w:tcBorders>
              <w:top w:val="nil"/>
              <w:left w:val="nil"/>
              <w:bottom w:val="single" w:color="000000" w:sz="8" w:space="0"/>
              <w:right w:val="single" w:color="000000" w:sz="8" w:space="0"/>
            </w:tcBorders>
            <w:vAlign w:val="center"/>
          </w:tcPr>
          <w:p w14:paraId="7F352620">
            <w:pPr>
              <w:widowControl/>
              <w:jc w:val="center"/>
              <w:rPr>
                <w:rFonts w:ascii="仿宋" w:hAnsi="仿宋" w:eastAsia="仿宋" w:cs="宋体"/>
                <w:kern w:val="0"/>
                <w:sz w:val="20"/>
                <w:szCs w:val="20"/>
              </w:rPr>
            </w:pPr>
            <w:r>
              <w:rPr>
                <w:rFonts w:hint="eastAsia" w:ascii="仿宋" w:hAnsi="仿宋" w:eastAsia="仿宋" w:cs="宋体"/>
                <w:kern w:val="0"/>
                <w:sz w:val="20"/>
                <w:szCs w:val="20"/>
              </w:rPr>
              <w:t>A02091001普通电视设备（电视机）</w:t>
            </w:r>
          </w:p>
        </w:tc>
        <w:tc>
          <w:tcPr>
            <w:tcW w:w="1612" w:type="dxa"/>
            <w:tcBorders>
              <w:top w:val="nil"/>
              <w:left w:val="nil"/>
              <w:bottom w:val="single" w:color="000000" w:sz="8" w:space="0"/>
              <w:right w:val="single" w:color="000000" w:sz="8" w:space="0"/>
            </w:tcBorders>
            <w:vAlign w:val="center"/>
          </w:tcPr>
          <w:p w14:paraId="3C97FB3D">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39EFD987">
            <w:pPr>
              <w:widowControl/>
              <w:jc w:val="left"/>
              <w:rPr>
                <w:rFonts w:ascii="仿宋" w:hAnsi="仿宋" w:eastAsia="仿宋" w:cs="宋体"/>
                <w:kern w:val="0"/>
                <w:sz w:val="20"/>
                <w:szCs w:val="20"/>
              </w:rPr>
            </w:pPr>
            <w:r>
              <w:rPr>
                <w:rFonts w:hint="eastAsia" w:ascii="仿宋" w:hAnsi="仿宋" w:eastAsia="仿宋" w:cs="宋体"/>
                <w:kern w:val="0"/>
                <w:sz w:val="20"/>
                <w:szCs w:val="20"/>
              </w:rPr>
              <w:t>《平板电视能效限定值及能效等级》（GB24850）</w:t>
            </w:r>
          </w:p>
        </w:tc>
      </w:tr>
      <w:tr w14:paraId="45104C2A">
        <w:tblPrEx>
          <w:tblCellMar>
            <w:top w:w="0" w:type="dxa"/>
            <w:left w:w="108" w:type="dxa"/>
            <w:bottom w:w="0" w:type="dxa"/>
            <w:right w:w="108" w:type="dxa"/>
          </w:tblCellMar>
        </w:tblPrEx>
        <w:trPr>
          <w:trHeight w:val="975" w:hRule="atLeast"/>
        </w:trPr>
        <w:tc>
          <w:tcPr>
            <w:tcW w:w="641" w:type="dxa"/>
            <w:tcBorders>
              <w:top w:val="nil"/>
              <w:left w:val="single" w:color="000000" w:sz="8" w:space="0"/>
              <w:bottom w:val="single" w:color="000000" w:sz="8" w:space="0"/>
              <w:right w:val="single" w:color="000000" w:sz="8" w:space="0"/>
            </w:tcBorders>
            <w:vAlign w:val="center"/>
          </w:tcPr>
          <w:p w14:paraId="63E8919D">
            <w:pPr>
              <w:widowControl/>
              <w:jc w:val="center"/>
              <w:rPr>
                <w:rFonts w:ascii="仿宋" w:hAnsi="仿宋" w:eastAsia="仿宋" w:cs="宋体"/>
                <w:kern w:val="0"/>
                <w:sz w:val="20"/>
                <w:szCs w:val="20"/>
              </w:rPr>
            </w:pPr>
            <w:r>
              <w:rPr>
                <w:rFonts w:hint="eastAsia" w:ascii="仿宋" w:hAnsi="仿宋" w:eastAsia="仿宋" w:cs="宋体"/>
                <w:kern w:val="0"/>
                <w:sz w:val="20"/>
                <w:szCs w:val="20"/>
              </w:rPr>
              <w:t>13</w:t>
            </w:r>
          </w:p>
        </w:tc>
        <w:tc>
          <w:tcPr>
            <w:tcW w:w="1116" w:type="dxa"/>
            <w:tcBorders>
              <w:top w:val="nil"/>
              <w:left w:val="nil"/>
              <w:bottom w:val="single" w:color="000000" w:sz="8" w:space="0"/>
              <w:right w:val="single" w:color="000000" w:sz="8" w:space="0"/>
            </w:tcBorders>
            <w:vAlign w:val="center"/>
          </w:tcPr>
          <w:p w14:paraId="1001340A">
            <w:pPr>
              <w:widowControl/>
              <w:jc w:val="center"/>
              <w:rPr>
                <w:rFonts w:ascii="仿宋" w:hAnsi="仿宋" w:eastAsia="仿宋" w:cs="宋体"/>
                <w:kern w:val="0"/>
                <w:sz w:val="20"/>
                <w:szCs w:val="20"/>
              </w:rPr>
            </w:pPr>
            <w:r>
              <w:rPr>
                <w:rFonts w:hint="eastAsia" w:ascii="仿宋" w:hAnsi="仿宋" w:eastAsia="仿宋" w:cs="宋体"/>
                <w:kern w:val="0"/>
                <w:sz w:val="20"/>
                <w:szCs w:val="20"/>
              </w:rPr>
              <w:t>★A020911视频设备</w:t>
            </w:r>
          </w:p>
        </w:tc>
        <w:tc>
          <w:tcPr>
            <w:tcW w:w="1516" w:type="dxa"/>
            <w:tcBorders>
              <w:top w:val="nil"/>
              <w:left w:val="nil"/>
              <w:bottom w:val="single" w:color="000000" w:sz="8" w:space="0"/>
              <w:right w:val="single" w:color="000000" w:sz="8" w:space="0"/>
            </w:tcBorders>
            <w:vAlign w:val="center"/>
          </w:tcPr>
          <w:p w14:paraId="1392B117">
            <w:pPr>
              <w:widowControl/>
              <w:jc w:val="center"/>
              <w:rPr>
                <w:rFonts w:ascii="仿宋" w:hAnsi="仿宋" w:eastAsia="仿宋" w:cs="宋体"/>
                <w:kern w:val="0"/>
                <w:sz w:val="20"/>
                <w:szCs w:val="20"/>
              </w:rPr>
            </w:pPr>
            <w:r>
              <w:rPr>
                <w:rFonts w:hint="eastAsia" w:ascii="仿宋" w:hAnsi="仿宋" w:eastAsia="仿宋" w:cs="宋体"/>
                <w:kern w:val="0"/>
                <w:sz w:val="20"/>
                <w:szCs w:val="20"/>
              </w:rPr>
              <w:t>A02091107视频监控设备</w:t>
            </w:r>
          </w:p>
        </w:tc>
        <w:tc>
          <w:tcPr>
            <w:tcW w:w="1612" w:type="dxa"/>
            <w:tcBorders>
              <w:top w:val="nil"/>
              <w:left w:val="nil"/>
              <w:bottom w:val="single" w:color="000000" w:sz="8" w:space="0"/>
              <w:right w:val="single" w:color="000000" w:sz="8" w:space="0"/>
            </w:tcBorders>
            <w:vAlign w:val="center"/>
          </w:tcPr>
          <w:p w14:paraId="0470A952">
            <w:pPr>
              <w:widowControl/>
              <w:jc w:val="center"/>
              <w:rPr>
                <w:rFonts w:ascii="仿宋" w:hAnsi="仿宋" w:eastAsia="仿宋" w:cs="宋体"/>
                <w:kern w:val="0"/>
                <w:sz w:val="20"/>
                <w:szCs w:val="20"/>
              </w:rPr>
            </w:pPr>
            <w:r>
              <w:rPr>
                <w:rFonts w:hint="eastAsia" w:ascii="仿宋" w:hAnsi="仿宋" w:eastAsia="仿宋" w:cs="宋体"/>
                <w:kern w:val="0"/>
                <w:sz w:val="20"/>
                <w:szCs w:val="20"/>
              </w:rPr>
              <w:t>监视器</w:t>
            </w:r>
          </w:p>
        </w:tc>
        <w:tc>
          <w:tcPr>
            <w:tcW w:w="4335" w:type="dxa"/>
            <w:tcBorders>
              <w:top w:val="nil"/>
              <w:left w:val="nil"/>
              <w:bottom w:val="single" w:color="000000" w:sz="8" w:space="0"/>
              <w:right w:val="single" w:color="000000" w:sz="8" w:space="0"/>
            </w:tcBorders>
            <w:vAlign w:val="center"/>
          </w:tcPr>
          <w:p w14:paraId="36D71A27">
            <w:pPr>
              <w:widowControl/>
              <w:jc w:val="left"/>
              <w:rPr>
                <w:rFonts w:ascii="仿宋" w:hAnsi="仿宋" w:eastAsia="仿宋" w:cs="宋体"/>
                <w:kern w:val="0"/>
                <w:sz w:val="20"/>
                <w:szCs w:val="20"/>
              </w:rPr>
            </w:pPr>
            <w:r>
              <w:rPr>
                <w:rFonts w:hint="eastAsia" w:ascii="仿宋" w:hAnsi="仿宋" w:eastAsia="仿宋" w:cs="宋体"/>
                <w:kern w:val="0"/>
                <w:sz w:val="20"/>
                <w:szCs w:val="20"/>
              </w:rPr>
              <w:t>以射频信号为主要信号输入的监视器应符合《平板电视能效限定值及能效等级》（GB24850），以数字信号为主要信号输入的监视器应符合《计算机显示器能效限定值及能效等级》（GB21520）</w:t>
            </w:r>
          </w:p>
        </w:tc>
      </w:tr>
      <w:tr w14:paraId="046DBFA0">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7FCFE566">
            <w:pPr>
              <w:widowControl/>
              <w:jc w:val="center"/>
              <w:rPr>
                <w:rFonts w:ascii="仿宋" w:hAnsi="仿宋" w:eastAsia="仿宋" w:cs="宋体"/>
                <w:kern w:val="0"/>
                <w:sz w:val="20"/>
                <w:szCs w:val="20"/>
              </w:rPr>
            </w:pPr>
            <w:r>
              <w:rPr>
                <w:rFonts w:hint="eastAsia" w:ascii="仿宋" w:hAnsi="仿宋" w:eastAsia="仿宋" w:cs="宋体"/>
                <w:kern w:val="0"/>
                <w:sz w:val="20"/>
                <w:szCs w:val="20"/>
              </w:rPr>
              <w:t>14</w:t>
            </w:r>
          </w:p>
        </w:tc>
        <w:tc>
          <w:tcPr>
            <w:tcW w:w="1116" w:type="dxa"/>
            <w:tcBorders>
              <w:top w:val="nil"/>
              <w:left w:val="nil"/>
              <w:bottom w:val="single" w:color="000000" w:sz="8" w:space="0"/>
              <w:right w:val="single" w:color="000000" w:sz="8" w:space="0"/>
            </w:tcBorders>
            <w:vAlign w:val="center"/>
          </w:tcPr>
          <w:p w14:paraId="2FCDC8DB">
            <w:pPr>
              <w:widowControl/>
              <w:jc w:val="center"/>
              <w:rPr>
                <w:rFonts w:ascii="仿宋" w:hAnsi="仿宋" w:eastAsia="仿宋" w:cs="宋体"/>
                <w:kern w:val="0"/>
                <w:sz w:val="20"/>
                <w:szCs w:val="20"/>
              </w:rPr>
            </w:pPr>
            <w:r>
              <w:rPr>
                <w:rFonts w:hint="eastAsia" w:ascii="仿宋" w:hAnsi="仿宋" w:eastAsia="仿宋" w:cs="宋体"/>
                <w:kern w:val="0"/>
                <w:sz w:val="20"/>
                <w:szCs w:val="20"/>
              </w:rPr>
              <w:t>A031210饮食炊事机械</w:t>
            </w:r>
          </w:p>
        </w:tc>
        <w:tc>
          <w:tcPr>
            <w:tcW w:w="1516" w:type="dxa"/>
            <w:tcBorders>
              <w:top w:val="nil"/>
              <w:left w:val="nil"/>
              <w:bottom w:val="single" w:color="000000" w:sz="8" w:space="0"/>
              <w:right w:val="single" w:color="000000" w:sz="8" w:space="0"/>
            </w:tcBorders>
            <w:vAlign w:val="center"/>
          </w:tcPr>
          <w:p w14:paraId="403FA8DF">
            <w:pPr>
              <w:widowControl/>
              <w:jc w:val="center"/>
              <w:rPr>
                <w:rFonts w:ascii="仿宋" w:hAnsi="仿宋" w:eastAsia="仿宋" w:cs="宋体"/>
                <w:kern w:val="0"/>
                <w:sz w:val="20"/>
                <w:szCs w:val="20"/>
              </w:rPr>
            </w:pPr>
            <w:r>
              <w:rPr>
                <w:rFonts w:hint="eastAsia" w:ascii="仿宋" w:hAnsi="仿宋" w:eastAsia="仿宋" w:cs="宋体"/>
                <w:kern w:val="0"/>
                <w:sz w:val="20"/>
                <w:szCs w:val="20"/>
              </w:rPr>
              <w:t>商用燃气灶具</w:t>
            </w:r>
          </w:p>
        </w:tc>
        <w:tc>
          <w:tcPr>
            <w:tcW w:w="1612" w:type="dxa"/>
            <w:tcBorders>
              <w:top w:val="nil"/>
              <w:left w:val="nil"/>
              <w:bottom w:val="single" w:color="000000" w:sz="8" w:space="0"/>
              <w:right w:val="single" w:color="000000" w:sz="8" w:space="0"/>
            </w:tcBorders>
            <w:vAlign w:val="center"/>
          </w:tcPr>
          <w:p w14:paraId="5C3EA09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5C3AAA4B">
            <w:pPr>
              <w:widowControl/>
              <w:jc w:val="left"/>
              <w:rPr>
                <w:rFonts w:ascii="仿宋" w:hAnsi="仿宋" w:eastAsia="仿宋" w:cs="宋体"/>
                <w:kern w:val="0"/>
                <w:sz w:val="20"/>
                <w:szCs w:val="20"/>
              </w:rPr>
            </w:pPr>
            <w:r>
              <w:rPr>
                <w:rFonts w:hint="eastAsia" w:ascii="仿宋" w:hAnsi="仿宋" w:eastAsia="仿宋" w:cs="宋体"/>
                <w:kern w:val="0"/>
                <w:sz w:val="20"/>
                <w:szCs w:val="20"/>
              </w:rPr>
              <w:t>《商用燃气灶具能效限定值及能效等级》（GB30531）</w:t>
            </w:r>
          </w:p>
        </w:tc>
      </w:tr>
      <w:tr w14:paraId="542325A0">
        <w:tblPrEx>
          <w:tblCellMar>
            <w:top w:w="0" w:type="dxa"/>
            <w:left w:w="108" w:type="dxa"/>
            <w:bottom w:w="0" w:type="dxa"/>
            <w:right w:w="108" w:type="dxa"/>
          </w:tblCellMar>
        </w:tblPrEx>
        <w:trPr>
          <w:trHeight w:val="285" w:hRule="atLeast"/>
        </w:trPr>
        <w:tc>
          <w:tcPr>
            <w:tcW w:w="641" w:type="dxa"/>
            <w:vMerge w:val="restart"/>
            <w:tcBorders>
              <w:top w:val="nil"/>
              <w:left w:val="single" w:color="000000" w:sz="8" w:space="0"/>
              <w:bottom w:val="single" w:color="000000" w:sz="8" w:space="0"/>
              <w:right w:val="single" w:color="000000" w:sz="8" w:space="0"/>
            </w:tcBorders>
            <w:vAlign w:val="center"/>
          </w:tcPr>
          <w:p w14:paraId="690ABC8F">
            <w:pPr>
              <w:widowControl/>
              <w:jc w:val="center"/>
              <w:rPr>
                <w:rFonts w:ascii="仿宋" w:hAnsi="仿宋" w:eastAsia="仿宋" w:cs="宋体"/>
                <w:kern w:val="0"/>
                <w:sz w:val="20"/>
                <w:szCs w:val="20"/>
              </w:rPr>
            </w:pPr>
            <w:r>
              <w:rPr>
                <w:rFonts w:hint="eastAsia" w:ascii="仿宋" w:hAnsi="仿宋" w:eastAsia="仿宋" w:cs="宋体"/>
                <w:kern w:val="0"/>
                <w:sz w:val="20"/>
                <w:szCs w:val="20"/>
              </w:rPr>
              <w:t>15</w:t>
            </w:r>
          </w:p>
        </w:tc>
        <w:tc>
          <w:tcPr>
            <w:tcW w:w="1116" w:type="dxa"/>
            <w:vMerge w:val="restart"/>
            <w:tcBorders>
              <w:top w:val="nil"/>
              <w:left w:val="single" w:color="000000" w:sz="8" w:space="0"/>
              <w:bottom w:val="single" w:color="000000" w:sz="8" w:space="0"/>
              <w:right w:val="single" w:color="000000" w:sz="8" w:space="0"/>
            </w:tcBorders>
            <w:vAlign w:val="center"/>
          </w:tcPr>
          <w:p w14:paraId="1AEC9955">
            <w:pPr>
              <w:widowControl/>
              <w:jc w:val="center"/>
              <w:rPr>
                <w:rFonts w:ascii="仿宋" w:hAnsi="仿宋" w:eastAsia="仿宋" w:cs="宋体"/>
                <w:kern w:val="0"/>
                <w:sz w:val="20"/>
                <w:szCs w:val="20"/>
              </w:rPr>
            </w:pPr>
            <w:r>
              <w:rPr>
                <w:rFonts w:hint="eastAsia" w:ascii="仿宋" w:hAnsi="仿宋" w:eastAsia="仿宋" w:cs="宋体"/>
                <w:kern w:val="0"/>
                <w:sz w:val="20"/>
                <w:szCs w:val="20"/>
              </w:rPr>
              <w:t>★A060805便器</w:t>
            </w:r>
          </w:p>
        </w:tc>
        <w:tc>
          <w:tcPr>
            <w:tcW w:w="1516" w:type="dxa"/>
            <w:tcBorders>
              <w:top w:val="nil"/>
              <w:left w:val="nil"/>
              <w:bottom w:val="single" w:color="000000" w:sz="8" w:space="0"/>
              <w:right w:val="single" w:color="000000" w:sz="8" w:space="0"/>
            </w:tcBorders>
            <w:vAlign w:val="center"/>
          </w:tcPr>
          <w:p w14:paraId="76D3CB7C">
            <w:pPr>
              <w:widowControl/>
              <w:jc w:val="center"/>
              <w:rPr>
                <w:rFonts w:ascii="仿宋" w:hAnsi="仿宋" w:eastAsia="仿宋" w:cs="宋体"/>
                <w:kern w:val="0"/>
                <w:sz w:val="20"/>
                <w:szCs w:val="20"/>
              </w:rPr>
            </w:pPr>
            <w:r>
              <w:rPr>
                <w:rFonts w:hint="eastAsia" w:ascii="仿宋" w:hAnsi="仿宋" w:eastAsia="仿宋" w:cs="宋体"/>
                <w:kern w:val="0"/>
                <w:sz w:val="20"/>
                <w:szCs w:val="20"/>
              </w:rPr>
              <w:t>坐便器</w:t>
            </w:r>
          </w:p>
        </w:tc>
        <w:tc>
          <w:tcPr>
            <w:tcW w:w="1612" w:type="dxa"/>
            <w:tcBorders>
              <w:top w:val="nil"/>
              <w:left w:val="nil"/>
              <w:bottom w:val="single" w:color="000000" w:sz="8" w:space="0"/>
              <w:right w:val="single" w:color="000000" w:sz="8" w:space="0"/>
            </w:tcBorders>
            <w:vAlign w:val="center"/>
          </w:tcPr>
          <w:p w14:paraId="1D9ABDE0">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47FEF7F5">
            <w:pPr>
              <w:widowControl/>
              <w:jc w:val="left"/>
              <w:rPr>
                <w:rFonts w:ascii="仿宋" w:hAnsi="仿宋" w:eastAsia="仿宋" w:cs="宋体"/>
                <w:kern w:val="0"/>
                <w:sz w:val="20"/>
                <w:szCs w:val="20"/>
              </w:rPr>
            </w:pPr>
            <w:r>
              <w:rPr>
                <w:rFonts w:hint="eastAsia" w:ascii="仿宋" w:hAnsi="仿宋" w:eastAsia="仿宋" w:cs="宋体"/>
                <w:kern w:val="0"/>
                <w:sz w:val="20"/>
                <w:szCs w:val="20"/>
              </w:rPr>
              <w:t>《坐便器水效限定值及水效等级》（GB25502）</w:t>
            </w:r>
          </w:p>
        </w:tc>
      </w:tr>
      <w:tr w14:paraId="1F5F9A7E">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07E510C1">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5A431203">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43C2DD3E">
            <w:pPr>
              <w:widowControl/>
              <w:jc w:val="center"/>
              <w:rPr>
                <w:rFonts w:ascii="仿宋" w:hAnsi="仿宋" w:eastAsia="仿宋" w:cs="宋体"/>
                <w:kern w:val="0"/>
                <w:sz w:val="20"/>
                <w:szCs w:val="20"/>
              </w:rPr>
            </w:pPr>
            <w:r>
              <w:rPr>
                <w:rFonts w:hint="eastAsia" w:ascii="仿宋" w:hAnsi="仿宋" w:eastAsia="仿宋" w:cs="宋体"/>
                <w:kern w:val="0"/>
                <w:sz w:val="20"/>
                <w:szCs w:val="20"/>
              </w:rPr>
              <w:t>蹲便器</w:t>
            </w:r>
          </w:p>
        </w:tc>
        <w:tc>
          <w:tcPr>
            <w:tcW w:w="1612" w:type="dxa"/>
            <w:tcBorders>
              <w:top w:val="nil"/>
              <w:left w:val="nil"/>
              <w:bottom w:val="single" w:color="000000" w:sz="8" w:space="0"/>
              <w:right w:val="single" w:color="000000" w:sz="8" w:space="0"/>
            </w:tcBorders>
            <w:vAlign w:val="center"/>
          </w:tcPr>
          <w:p w14:paraId="4110E196">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39D78340">
            <w:pPr>
              <w:widowControl/>
              <w:jc w:val="left"/>
              <w:rPr>
                <w:rFonts w:ascii="仿宋" w:hAnsi="仿宋" w:eastAsia="仿宋" w:cs="宋体"/>
                <w:kern w:val="0"/>
                <w:sz w:val="20"/>
                <w:szCs w:val="20"/>
              </w:rPr>
            </w:pPr>
            <w:r>
              <w:rPr>
                <w:rFonts w:hint="eastAsia" w:ascii="仿宋" w:hAnsi="仿宋" w:eastAsia="仿宋" w:cs="宋体"/>
                <w:kern w:val="0"/>
                <w:sz w:val="20"/>
                <w:szCs w:val="20"/>
              </w:rPr>
              <w:t>《蹲便器用水效率限定值及用水效率等级》（GB30717）</w:t>
            </w:r>
          </w:p>
        </w:tc>
      </w:tr>
      <w:tr w14:paraId="33D67D69">
        <w:tblPrEx>
          <w:tblCellMar>
            <w:top w:w="0" w:type="dxa"/>
            <w:left w:w="108" w:type="dxa"/>
            <w:bottom w:w="0" w:type="dxa"/>
            <w:right w:w="108" w:type="dxa"/>
          </w:tblCellMar>
        </w:tblPrEx>
        <w:trPr>
          <w:trHeight w:val="495" w:hRule="atLeast"/>
        </w:trPr>
        <w:tc>
          <w:tcPr>
            <w:tcW w:w="641" w:type="dxa"/>
            <w:vMerge w:val="continue"/>
            <w:tcBorders>
              <w:top w:val="nil"/>
              <w:left w:val="single" w:color="000000" w:sz="8" w:space="0"/>
              <w:bottom w:val="single" w:color="000000" w:sz="8" w:space="0"/>
              <w:right w:val="single" w:color="000000" w:sz="8" w:space="0"/>
            </w:tcBorders>
            <w:vAlign w:val="center"/>
          </w:tcPr>
          <w:p w14:paraId="45D8C431">
            <w:pPr>
              <w:widowControl/>
              <w:jc w:val="left"/>
              <w:rPr>
                <w:rFonts w:ascii="仿宋" w:hAnsi="仿宋" w:eastAsia="仿宋" w:cs="宋体"/>
                <w:kern w:val="0"/>
                <w:sz w:val="20"/>
                <w:szCs w:val="20"/>
              </w:rPr>
            </w:pPr>
          </w:p>
        </w:tc>
        <w:tc>
          <w:tcPr>
            <w:tcW w:w="1116" w:type="dxa"/>
            <w:vMerge w:val="continue"/>
            <w:tcBorders>
              <w:top w:val="nil"/>
              <w:left w:val="single" w:color="000000" w:sz="8" w:space="0"/>
              <w:bottom w:val="single" w:color="000000" w:sz="8" w:space="0"/>
              <w:right w:val="single" w:color="000000" w:sz="8" w:space="0"/>
            </w:tcBorders>
            <w:vAlign w:val="center"/>
          </w:tcPr>
          <w:p w14:paraId="12B57D67">
            <w:pPr>
              <w:widowControl/>
              <w:jc w:val="left"/>
              <w:rPr>
                <w:rFonts w:ascii="仿宋" w:hAnsi="仿宋" w:eastAsia="仿宋" w:cs="宋体"/>
                <w:kern w:val="0"/>
                <w:sz w:val="20"/>
                <w:szCs w:val="20"/>
              </w:rPr>
            </w:pPr>
          </w:p>
        </w:tc>
        <w:tc>
          <w:tcPr>
            <w:tcW w:w="1516" w:type="dxa"/>
            <w:tcBorders>
              <w:top w:val="nil"/>
              <w:left w:val="nil"/>
              <w:bottom w:val="single" w:color="000000" w:sz="8" w:space="0"/>
              <w:right w:val="single" w:color="000000" w:sz="8" w:space="0"/>
            </w:tcBorders>
            <w:vAlign w:val="center"/>
          </w:tcPr>
          <w:p w14:paraId="2A95D98E">
            <w:pPr>
              <w:widowControl/>
              <w:jc w:val="center"/>
              <w:rPr>
                <w:rFonts w:ascii="仿宋" w:hAnsi="仿宋" w:eastAsia="仿宋" w:cs="宋体"/>
                <w:kern w:val="0"/>
                <w:sz w:val="20"/>
                <w:szCs w:val="20"/>
              </w:rPr>
            </w:pPr>
            <w:r>
              <w:rPr>
                <w:rFonts w:hint="eastAsia" w:ascii="仿宋" w:hAnsi="仿宋" w:eastAsia="仿宋" w:cs="宋体"/>
                <w:kern w:val="0"/>
                <w:sz w:val="20"/>
                <w:szCs w:val="20"/>
              </w:rPr>
              <w:t>小便器</w:t>
            </w:r>
          </w:p>
        </w:tc>
        <w:tc>
          <w:tcPr>
            <w:tcW w:w="1612" w:type="dxa"/>
            <w:tcBorders>
              <w:top w:val="nil"/>
              <w:left w:val="nil"/>
              <w:bottom w:val="single" w:color="000000" w:sz="8" w:space="0"/>
              <w:right w:val="single" w:color="000000" w:sz="8" w:space="0"/>
            </w:tcBorders>
            <w:vAlign w:val="center"/>
          </w:tcPr>
          <w:p w14:paraId="46ECA844">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38DB85AF">
            <w:pPr>
              <w:widowControl/>
              <w:jc w:val="left"/>
              <w:rPr>
                <w:rFonts w:ascii="仿宋" w:hAnsi="仿宋" w:eastAsia="仿宋" w:cs="宋体"/>
                <w:kern w:val="0"/>
                <w:sz w:val="20"/>
                <w:szCs w:val="20"/>
              </w:rPr>
            </w:pPr>
            <w:r>
              <w:rPr>
                <w:rFonts w:hint="eastAsia" w:ascii="仿宋" w:hAnsi="仿宋" w:eastAsia="仿宋" w:cs="宋体"/>
                <w:kern w:val="0"/>
                <w:sz w:val="20"/>
                <w:szCs w:val="20"/>
              </w:rPr>
              <w:t>《小便器用水效率限定值及用水效率等级》（GB28377）</w:t>
            </w:r>
          </w:p>
        </w:tc>
      </w:tr>
      <w:tr w14:paraId="583A8986">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41230C51">
            <w:pPr>
              <w:widowControl/>
              <w:jc w:val="center"/>
              <w:rPr>
                <w:rFonts w:ascii="仿宋" w:hAnsi="仿宋" w:eastAsia="仿宋" w:cs="宋体"/>
                <w:kern w:val="0"/>
                <w:sz w:val="20"/>
                <w:szCs w:val="20"/>
              </w:rPr>
            </w:pPr>
            <w:r>
              <w:rPr>
                <w:rFonts w:hint="eastAsia" w:ascii="仿宋" w:hAnsi="仿宋" w:eastAsia="仿宋" w:cs="宋体"/>
                <w:kern w:val="0"/>
                <w:sz w:val="20"/>
                <w:szCs w:val="20"/>
              </w:rPr>
              <w:t>16</w:t>
            </w:r>
          </w:p>
        </w:tc>
        <w:tc>
          <w:tcPr>
            <w:tcW w:w="1116" w:type="dxa"/>
            <w:tcBorders>
              <w:top w:val="nil"/>
              <w:left w:val="nil"/>
              <w:bottom w:val="single" w:color="000000" w:sz="8" w:space="0"/>
              <w:right w:val="single" w:color="000000" w:sz="8" w:space="0"/>
            </w:tcBorders>
            <w:vAlign w:val="center"/>
          </w:tcPr>
          <w:p w14:paraId="6B700F19">
            <w:pPr>
              <w:widowControl/>
              <w:jc w:val="center"/>
              <w:rPr>
                <w:rFonts w:ascii="仿宋" w:hAnsi="仿宋" w:eastAsia="仿宋" w:cs="宋体"/>
                <w:kern w:val="0"/>
                <w:sz w:val="20"/>
                <w:szCs w:val="20"/>
              </w:rPr>
            </w:pPr>
            <w:r>
              <w:rPr>
                <w:rFonts w:hint="eastAsia" w:ascii="仿宋" w:hAnsi="仿宋" w:eastAsia="仿宋" w:cs="宋体"/>
                <w:kern w:val="0"/>
                <w:sz w:val="20"/>
                <w:szCs w:val="20"/>
              </w:rPr>
              <w:t>★A060806水嘴</w:t>
            </w:r>
          </w:p>
        </w:tc>
        <w:tc>
          <w:tcPr>
            <w:tcW w:w="1516" w:type="dxa"/>
            <w:tcBorders>
              <w:top w:val="nil"/>
              <w:left w:val="nil"/>
              <w:bottom w:val="single" w:color="000000" w:sz="8" w:space="0"/>
              <w:right w:val="single" w:color="000000" w:sz="8" w:space="0"/>
            </w:tcBorders>
            <w:vAlign w:val="center"/>
          </w:tcPr>
          <w:p w14:paraId="23BAC659">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612" w:type="dxa"/>
            <w:tcBorders>
              <w:top w:val="nil"/>
              <w:left w:val="nil"/>
              <w:bottom w:val="single" w:color="000000" w:sz="8" w:space="0"/>
              <w:right w:val="single" w:color="000000" w:sz="8" w:space="0"/>
            </w:tcBorders>
            <w:vAlign w:val="center"/>
          </w:tcPr>
          <w:p w14:paraId="25D00F0F">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1D15ECF9">
            <w:pPr>
              <w:widowControl/>
              <w:jc w:val="left"/>
              <w:rPr>
                <w:rFonts w:ascii="仿宋" w:hAnsi="仿宋" w:eastAsia="仿宋" w:cs="宋体"/>
                <w:kern w:val="0"/>
                <w:sz w:val="20"/>
                <w:szCs w:val="20"/>
              </w:rPr>
            </w:pPr>
            <w:r>
              <w:rPr>
                <w:rFonts w:hint="eastAsia" w:ascii="仿宋" w:hAnsi="仿宋" w:eastAsia="仿宋" w:cs="宋体"/>
                <w:kern w:val="0"/>
                <w:sz w:val="20"/>
                <w:szCs w:val="20"/>
              </w:rPr>
              <w:t>《水嘴用水效率限定值及用水效率等级》（GB 25501）</w:t>
            </w:r>
          </w:p>
        </w:tc>
      </w:tr>
      <w:tr w14:paraId="78C0F863">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67815F5E">
            <w:pPr>
              <w:widowControl/>
              <w:jc w:val="center"/>
              <w:rPr>
                <w:rFonts w:ascii="仿宋" w:hAnsi="仿宋" w:eastAsia="仿宋" w:cs="宋体"/>
                <w:kern w:val="0"/>
                <w:sz w:val="20"/>
                <w:szCs w:val="20"/>
              </w:rPr>
            </w:pPr>
            <w:r>
              <w:rPr>
                <w:rFonts w:hint="eastAsia" w:ascii="仿宋" w:hAnsi="仿宋" w:eastAsia="仿宋" w:cs="宋体"/>
                <w:kern w:val="0"/>
                <w:sz w:val="20"/>
                <w:szCs w:val="20"/>
              </w:rPr>
              <w:t>17</w:t>
            </w:r>
          </w:p>
        </w:tc>
        <w:tc>
          <w:tcPr>
            <w:tcW w:w="1116" w:type="dxa"/>
            <w:tcBorders>
              <w:top w:val="nil"/>
              <w:left w:val="nil"/>
              <w:bottom w:val="single" w:color="000000" w:sz="8" w:space="0"/>
              <w:right w:val="single" w:color="000000" w:sz="8" w:space="0"/>
            </w:tcBorders>
            <w:vAlign w:val="center"/>
          </w:tcPr>
          <w:p w14:paraId="64518154">
            <w:pPr>
              <w:widowControl/>
              <w:jc w:val="center"/>
              <w:rPr>
                <w:rFonts w:ascii="仿宋" w:hAnsi="仿宋" w:eastAsia="仿宋" w:cs="宋体"/>
                <w:kern w:val="0"/>
                <w:sz w:val="20"/>
                <w:szCs w:val="20"/>
              </w:rPr>
            </w:pPr>
            <w:r>
              <w:rPr>
                <w:rFonts w:hint="eastAsia" w:ascii="仿宋" w:hAnsi="仿宋" w:eastAsia="仿宋" w:cs="宋体"/>
                <w:kern w:val="0"/>
                <w:sz w:val="20"/>
                <w:szCs w:val="20"/>
              </w:rPr>
              <w:t>A060807便器冲洗阀</w:t>
            </w:r>
          </w:p>
        </w:tc>
        <w:tc>
          <w:tcPr>
            <w:tcW w:w="1516" w:type="dxa"/>
            <w:tcBorders>
              <w:top w:val="nil"/>
              <w:left w:val="nil"/>
              <w:bottom w:val="single" w:color="000000" w:sz="8" w:space="0"/>
              <w:right w:val="single" w:color="000000" w:sz="8" w:space="0"/>
            </w:tcBorders>
            <w:vAlign w:val="center"/>
          </w:tcPr>
          <w:p w14:paraId="38997CB3">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612" w:type="dxa"/>
            <w:tcBorders>
              <w:top w:val="nil"/>
              <w:left w:val="nil"/>
              <w:bottom w:val="single" w:color="000000" w:sz="8" w:space="0"/>
              <w:right w:val="single" w:color="000000" w:sz="8" w:space="0"/>
            </w:tcBorders>
            <w:vAlign w:val="center"/>
          </w:tcPr>
          <w:p w14:paraId="4C9B16A8">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0F961A89">
            <w:pPr>
              <w:widowControl/>
              <w:jc w:val="left"/>
              <w:rPr>
                <w:rFonts w:ascii="仿宋" w:hAnsi="仿宋" w:eastAsia="仿宋" w:cs="宋体"/>
                <w:kern w:val="0"/>
                <w:sz w:val="20"/>
                <w:szCs w:val="20"/>
              </w:rPr>
            </w:pPr>
            <w:r>
              <w:rPr>
                <w:rFonts w:hint="eastAsia" w:ascii="仿宋" w:hAnsi="仿宋" w:eastAsia="仿宋" w:cs="宋体"/>
                <w:kern w:val="0"/>
                <w:sz w:val="20"/>
                <w:szCs w:val="20"/>
              </w:rPr>
              <w:t>《便器冲洗阀用水效率限定值及用水效率等级》（GB28379）</w:t>
            </w:r>
          </w:p>
        </w:tc>
      </w:tr>
      <w:tr w14:paraId="1555907A">
        <w:tblPrEx>
          <w:tblCellMar>
            <w:top w:w="0" w:type="dxa"/>
            <w:left w:w="108" w:type="dxa"/>
            <w:bottom w:w="0" w:type="dxa"/>
            <w:right w:w="108" w:type="dxa"/>
          </w:tblCellMar>
        </w:tblPrEx>
        <w:trPr>
          <w:trHeight w:val="495" w:hRule="atLeast"/>
        </w:trPr>
        <w:tc>
          <w:tcPr>
            <w:tcW w:w="641" w:type="dxa"/>
            <w:tcBorders>
              <w:top w:val="nil"/>
              <w:left w:val="single" w:color="000000" w:sz="8" w:space="0"/>
              <w:bottom w:val="single" w:color="000000" w:sz="8" w:space="0"/>
              <w:right w:val="single" w:color="000000" w:sz="8" w:space="0"/>
            </w:tcBorders>
            <w:vAlign w:val="center"/>
          </w:tcPr>
          <w:p w14:paraId="72CAE0FD">
            <w:pPr>
              <w:widowControl/>
              <w:jc w:val="center"/>
              <w:rPr>
                <w:rFonts w:ascii="仿宋" w:hAnsi="仿宋" w:eastAsia="仿宋" w:cs="宋体"/>
                <w:kern w:val="0"/>
                <w:sz w:val="20"/>
                <w:szCs w:val="20"/>
              </w:rPr>
            </w:pPr>
            <w:r>
              <w:rPr>
                <w:rFonts w:hint="eastAsia" w:ascii="仿宋" w:hAnsi="仿宋" w:eastAsia="仿宋" w:cs="宋体"/>
                <w:kern w:val="0"/>
                <w:sz w:val="20"/>
                <w:szCs w:val="20"/>
              </w:rPr>
              <w:t>18</w:t>
            </w:r>
          </w:p>
        </w:tc>
        <w:tc>
          <w:tcPr>
            <w:tcW w:w="1116" w:type="dxa"/>
            <w:tcBorders>
              <w:top w:val="nil"/>
              <w:left w:val="nil"/>
              <w:bottom w:val="single" w:color="000000" w:sz="8" w:space="0"/>
              <w:right w:val="single" w:color="000000" w:sz="8" w:space="0"/>
            </w:tcBorders>
            <w:vAlign w:val="center"/>
          </w:tcPr>
          <w:p w14:paraId="1AD73232">
            <w:pPr>
              <w:widowControl/>
              <w:jc w:val="center"/>
              <w:rPr>
                <w:rFonts w:ascii="仿宋" w:hAnsi="仿宋" w:eastAsia="仿宋" w:cs="宋体"/>
                <w:kern w:val="0"/>
                <w:sz w:val="20"/>
                <w:szCs w:val="20"/>
              </w:rPr>
            </w:pPr>
            <w:r>
              <w:rPr>
                <w:rFonts w:hint="eastAsia" w:ascii="仿宋" w:hAnsi="仿宋" w:eastAsia="仿宋" w:cs="宋体"/>
                <w:kern w:val="0"/>
                <w:sz w:val="20"/>
                <w:szCs w:val="20"/>
              </w:rPr>
              <w:t>A060810淋浴器</w:t>
            </w:r>
          </w:p>
        </w:tc>
        <w:tc>
          <w:tcPr>
            <w:tcW w:w="1516" w:type="dxa"/>
            <w:tcBorders>
              <w:top w:val="nil"/>
              <w:left w:val="nil"/>
              <w:bottom w:val="single" w:color="000000" w:sz="8" w:space="0"/>
              <w:right w:val="single" w:color="000000" w:sz="8" w:space="0"/>
            </w:tcBorders>
            <w:vAlign w:val="center"/>
          </w:tcPr>
          <w:p w14:paraId="1CBA0230">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1612" w:type="dxa"/>
            <w:tcBorders>
              <w:top w:val="nil"/>
              <w:left w:val="nil"/>
              <w:bottom w:val="single" w:color="000000" w:sz="8" w:space="0"/>
              <w:right w:val="single" w:color="000000" w:sz="8" w:space="0"/>
            </w:tcBorders>
            <w:vAlign w:val="center"/>
          </w:tcPr>
          <w:p w14:paraId="318FB65C">
            <w:pPr>
              <w:widowControl/>
              <w:jc w:val="center"/>
              <w:rPr>
                <w:rFonts w:ascii="仿宋" w:hAnsi="仿宋" w:eastAsia="仿宋" w:cs="宋体"/>
                <w:kern w:val="0"/>
                <w:sz w:val="20"/>
                <w:szCs w:val="20"/>
              </w:rPr>
            </w:pPr>
            <w:r>
              <w:rPr>
                <w:rFonts w:hint="eastAsia" w:ascii="仿宋" w:hAnsi="仿宋" w:eastAsia="仿宋" w:cs="宋体"/>
                <w:kern w:val="0"/>
                <w:sz w:val="20"/>
                <w:szCs w:val="20"/>
              </w:rPr>
              <w:t>　</w:t>
            </w:r>
          </w:p>
        </w:tc>
        <w:tc>
          <w:tcPr>
            <w:tcW w:w="4335" w:type="dxa"/>
            <w:tcBorders>
              <w:top w:val="nil"/>
              <w:left w:val="nil"/>
              <w:bottom w:val="single" w:color="000000" w:sz="8" w:space="0"/>
              <w:right w:val="single" w:color="000000" w:sz="8" w:space="0"/>
            </w:tcBorders>
            <w:vAlign w:val="center"/>
          </w:tcPr>
          <w:p w14:paraId="04C40CD6">
            <w:pPr>
              <w:widowControl/>
              <w:jc w:val="left"/>
              <w:rPr>
                <w:rFonts w:ascii="仿宋" w:hAnsi="仿宋" w:eastAsia="仿宋" w:cs="宋体"/>
                <w:kern w:val="0"/>
                <w:sz w:val="20"/>
                <w:szCs w:val="20"/>
              </w:rPr>
            </w:pPr>
            <w:r>
              <w:rPr>
                <w:rFonts w:hint="eastAsia" w:ascii="仿宋" w:hAnsi="仿宋" w:eastAsia="仿宋" w:cs="宋体"/>
                <w:kern w:val="0"/>
                <w:sz w:val="20"/>
                <w:szCs w:val="20"/>
              </w:rPr>
              <w:t>《淋浴器用水效率限定值及用水效率等级》（GB28378）</w:t>
            </w:r>
          </w:p>
        </w:tc>
      </w:tr>
    </w:tbl>
    <w:p w14:paraId="7DA13320">
      <w:pPr>
        <w:spacing w:line="360" w:lineRule="auto"/>
        <w:rPr>
          <w:rFonts w:ascii="仿宋" w:hAnsi="仿宋" w:eastAsia="仿宋"/>
          <w:szCs w:val="21"/>
        </w:rPr>
      </w:pPr>
      <w:r>
        <w:rPr>
          <w:rFonts w:hint="eastAsia" w:ascii="仿宋" w:hAnsi="仿宋" w:eastAsia="仿宋"/>
          <w:spacing w:val="-3"/>
          <w:szCs w:val="21"/>
        </w:rPr>
        <w:t>注：1.节能产品认证应依据相关国家标准的最新版本，依据国家标准中二级能效（水效）</w:t>
      </w:r>
      <w:r>
        <w:rPr>
          <w:rFonts w:hint="eastAsia" w:ascii="仿宋" w:hAnsi="仿宋" w:eastAsia="仿宋"/>
          <w:szCs w:val="21"/>
        </w:rPr>
        <w:t>指标。</w:t>
      </w:r>
    </w:p>
    <w:p w14:paraId="2E25E35F">
      <w:pPr>
        <w:spacing w:line="360" w:lineRule="auto"/>
        <w:rPr>
          <w:b/>
          <w:bCs/>
          <w:szCs w:val="21"/>
        </w:rPr>
      </w:pPr>
      <w:r>
        <w:rPr>
          <w:rFonts w:hint="eastAsia" w:ascii="仿宋" w:hAnsi="仿宋" w:eastAsia="仿宋"/>
        </w:rPr>
        <w:t xml:space="preserve">    2.以“★”标注的为政府强制采购产品。</w:t>
      </w:r>
    </w:p>
    <w:p w14:paraId="55FF5247">
      <w:pPr>
        <w:jc w:val="left"/>
        <w:rPr>
          <w:rFonts w:ascii="仿宋" w:hAnsi="仿宋" w:eastAsia="仿宋" w:cs="Arial Unicode MS"/>
          <w:sz w:val="32"/>
          <w:szCs w:val="32"/>
        </w:rPr>
      </w:pPr>
      <w:r>
        <w:rPr>
          <w:rFonts w:hAnsi="宋体"/>
        </w:rPr>
        <w:br w:type="page"/>
      </w:r>
      <w:r>
        <w:rPr>
          <w:rFonts w:hint="eastAsia" w:ascii="仿宋" w:hAnsi="仿宋" w:eastAsia="仿宋" w:cs="Arial Unicode MS"/>
          <w:sz w:val="32"/>
          <w:szCs w:val="32"/>
        </w:rPr>
        <w:t>附件2：</w:t>
      </w:r>
    </w:p>
    <w:p w14:paraId="49379DA8">
      <w:pPr>
        <w:spacing w:line="528" w:lineRule="exact"/>
        <w:ind w:left="1871" w:firstLine="1200" w:firstLineChars="300"/>
        <w:rPr>
          <w:rFonts w:ascii="仿宋" w:hAnsi="仿宋" w:eastAsia="仿宋" w:cs="Arial Unicode MS"/>
          <w:sz w:val="40"/>
          <w:szCs w:val="40"/>
        </w:rPr>
      </w:pPr>
      <w:r>
        <w:rPr>
          <w:rFonts w:hint="eastAsia" w:ascii="仿宋" w:hAnsi="仿宋" w:eastAsia="仿宋" w:cs="Arial Unicode MS"/>
          <w:sz w:val="40"/>
          <w:szCs w:val="40"/>
        </w:rPr>
        <w:t>中小微企业划型标准</w:t>
      </w:r>
    </w:p>
    <w:tbl>
      <w:tblPr>
        <w:tblStyle w:val="35"/>
        <w:tblW w:w="8748" w:type="dxa"/>
        <w:tblInd w:w="250" w:type="dxa"/>
        <w:tblLayout w:type="fixed"/>
        <w:tblCellMar>
          <w:top w:w="0" w:type="dxa"/>
          <w:left w:w="108" w:type="dxa"/>
          <w:bottom w:w="0" w:type="dxa"/>
          <w:right w:w="108" w:type="dxa"/>
        </w:tblCellMar>
      </w:tblPr>
      <w:tblGrid>
        <w:gridCol w:w="1985"/>
        <w:gridCol w:w="1676"/>
        <w:gridCol w:w="912"/>
        <w:gridCol w:w="1725"/>
        <w:gridCol w:w="1513"/>
        <w:gridCol w:w="937"/>
      </w:tblGrid>
      <w:tr w14:paraId="7B3B870A">
        <w:tblPrEx>
          <w:tblCellMar>
            <w:top w:w="0" w:type="dxa"/>
            <w:left w:w="108" w:type="dxa"/>
            <w:bottom w:w="0" w:type="dxa"/>
            <w:right w:w="108" w:type="dxa"/>
          </w:tblCellMar>
        </w:tblPrEx>
        <w:trPr>
          <w:trHeight w:val="285" w:hRule="atLeast"/>
        </w:trPr>
        <w:tc>
          <w:tcPr>
            <w:tcW w:w="1985" w:type="dxa"/>
            <w:tcBorders>
              <w:top w:val="single" w:color="auto" w:sz="4" w:space="0"/>
              <w:left w:val="single" w:color="auto" w:sz="4" w:space="0"/>
              <w:bottom w:val="single" w:color="auto" w:sz="4" w:space="0"/>
              <w:right w:val="single" w:color="auto" w:sz="4" w:space="0"/>
            </w:tcBorders>
            <w:vAlign w:val="center"/>
          </w:tcPr>
          <w:p w14:paraId="13860D26">
            <w:pPr>
              <w:widowControl/>
              <w:jc w:val="left"/>
              <w:rPr>
                <w:rFonts w:ascii="仿宋" w:hAnsi="仿宋" w:eastAsia="仿宋" w:cs="宋体"/>
                <w:b/>
                <w:kern w:val="0"/>
                <w:sz w:val="24"/>
              </w:rPr>
            </w:pPr>
            <w:r>
              <w:rPr>
                <w:rFonts w:hint="eastAsia" w:ascii="仿宋" w:hAnsi="仿宋" w:eastAsia="仿宋" w:cs="宋体"/>
                <w:b/>
                <w:kern w:val="0"/>
                <w:sz w:val="24"/>
              </w:rPr>
              <w:t>行业名称</w:t>
            </w:r>
          </w:p>
        </w:tc>
        <w:tc>
          <w:tcPr>
            <w:tcW w:w="1676" w:type="dxa"/>
            <w:tcBorders>
              <w:top w:val="single" w:color="auto" w:sz="4" w:space="0"/>
              <w:left w:val="nil"/>
              <w:bottom w:val="single" w:color="auto" w:sz="4" w:space="0"/>
              <w:right w:val="single" w:color="auto" w:sz="4" w:space="0"/>
            </w:tcBorders>
            <w:vAlign w:val="center"/>
          </w:tcPr>
          <w:p w14:paraId="308BCAAC">
            <w:pPr>
              <w:widowControl/>
              <w:jc w:val="left"/>
              <w:rPr>
                <w:rFonts w:ascii="仿宋" w:hAnsi="仿宋" w:eastAsia="仿宋" w:cs="宋体"/>
                <w:b/>
                <w:kern w:val="0"/>
                <w:sz w:val="24"/>
              </w:rPr>
            </w:pPr>
            <w:r>
              <w:rPr>
                <w:rFonts w:hint="eastAsia" w:ascii="仿宋" w:hAnsi="仿宋" w:eastAsia="仿宋" w:cs="宋体"/>
                <w:b/>
                <w:kern w:val="0"/>
                <w:sz w:val="24"/>
              </w:rPr>
              <w:t>指标名称</w:t>
            </w:r>
          </w:p>
        </w:tc>
        <w:tc>
          <w:tcPr>
            <w:tcW w:w="912" w:type="dxa"/>
            <w:tcBorders>
              <w:top w:val="single" w:color="auto" w:sz="4" w:space="0"/>
              <w:left w:val="nil"/>
              <w:bottom w:val="single" w:color="auto" w:sz="4" w:space="0"/>
              <w:right w:val="single" w:color="auto" w:sz="4" w:space="0"/>
            </w:tcBorders>
            <w:vAlign w:val="center"/>
          </w:tcPr>
          <w:p w14:paraId="72E722F9">
            <w:pPr>
              <w:widowControl/>
              <w:jc w:val="left"/>
              <w:rPr>
                <w:rFonts w:ascii="仿宋" w:hAnsi="仿宋" w:eastAsia="仿宋" w:cs="宋体"/>
                <w:b/>
                <w:kern w:val="0"/>
                <w:sz w:val="24"/>
              </w:rPr>
            </w:pPr>
            <w:r>
              <w:rPr>
                <w:rFonts w:hint="eastAsia" w:ascii="仿宋" w:hAnsi="仿宋" w:eastAsia="仿宋" w:cs="宋体"/>
                <w:b/>
                <w:kern w:val="0"/>
                <w:sz w:val="24"/>
              </w:rPr>
              <w:t>计量单位</w:t>
            </w:r>
          </w:p>
        </w:tc>
        <w:tc>
          <w:tcPr>
            <w:tcW w:w="1725" w:type="dxa"/>
            <w:tcBorders>
              <w:top w:val="single" w:color="auto" w:sz="4" w:space="0"/>
              <w:left w:val="nil"/>
              <w:bottom w:val="single" w:color="auto" w:sz="4" w:space="0"/>
              <w:right w:val="single" w:color="auto" w:sz="4" w:space="0"/>
            </w:tcBorders>
            <w:vAlign w:val="center"/>
          </w:tcPr>
          <w:p w14:paraId="11994302">
            <w:pPr>
              <w:widowControl/>
              <w:jc w:val="left"/>
              <w:rPr>
                <w:rFonts w:ascii="仿宋" w:hAnsi="仿宋" w:eastAsia="仿宋" w:cs="宋体"/>
                <w:b/>
                <w:kern w:val="0"/>
                <w:sz w:val="24"/>
              </w:rPr>
            </w:pPr>
            <w:r>
              <w:rPr>
                <w:rFonts w:hint="eastAsia" w:ascii="仿宋" w:hAnsi="仿宋" w:eastAsia="仿宋" w:cs="宋体"/>
                <w:b/>
                <w:kern w:val="0"/>
                <w:sz w:val="24"/>
              </w:rPr>
              <w:t>中型</w:t>
            </w:r>
          </w:p>
        </w:tc>
        <w:tc>
          <w:tcPr>
            <w:tcW w:w="1513" w:type="dxa"/>
            <w:tcBorders>
              <w:top w:val="single" w:color="auto" w:sz="4" w:space="0"/>
              <w:left w:val="nil"/>
              <w:bottom w:val="single" w:color="auto" w:sz="4" w:space="0"/>
              <w:right w:val="single" w:color="auto" w:sz="4" w:space="0"/>
            </w:tcBorders>
            <w:vAlign w:val="center"/>
          </w:tcPr>
          <w:p w14:paraId="3D5C9C7A">
            <w:pPr>
              <w:widowControl/>
              <w:jc w:val="left"/>
              <w:rPr>
                <w:rFonts w:ascii="仿宋" w:hAnsi="仿宋" w:eastAsia="仿宋" w:cs="宋体"/>
                <w:b/>
                <w:kern w:val="0"/>
                <w:sz w:val="24"/>
              </w:rPr>
            </w:pPr>
            <w:r>
              <w:rPr>
                <w:rFonts w:hint="eastAsia" w:ascii="仿宋" w:hAnsi="仿宋" w:eastAsia="仿宋" w:cs="宋体"/>
                <w:b/>
                <w:kern w:val="0"/>
                <w:sz w:val="24"/>
              </w:rPr>
              <w:t>小型</w:t>
            </w:r>
          </w:p>
        </w:tc>
        <w:tc>
          <w:tcPr>
            <w:tcW w:w="937" w:type="dxa"/>
            <w:tcBorders>
              <w:top w:val="single" w:color="auto" w:sz="4" w:space="0"/>
              <w:left w:val="nil"/>
              <w:bottom w:val="single" w:color="auto" w:sz="4" w:space="0"/>
              <w:right w:val="single" w:color="auto" w:sz="4" w:space="0"/>
            </w:tcBorders>
            <w:vAlign w:val="center"/>
          </w:tcPr>
          <w:p w14:paraId="45D9B0D3">
            <w:pPr>
              <w:widowControl/>
              <w:jc w:val="left"/>
              <w:rPr>
                <w:rFonts w:ascii="仿宋" w:hAnsi="仿宋" w:eastAsia="仿宋" w:cs="宋体"/>
                <w:b/>
                <w:kern w:val="0"/>
                <w:sz w:val="24"/>
              </w:rPr>
            </w:pPr>
            <w:r>
              <w:rPr>
                <w:rFonts w:hint="eastAsia" w:ascii="仿宋" w:hAnsi="仿宋" w:eastAsia="仿宋" w:cs="宋体"/>
                <w:b/>
                <w:kern w:val="0"/>
                <w:sz w:val="24"/>
              </w:rPr>
              <w:t>微型</w:t>
            </w:r>
          </w:p>
        </w:tc>
      </w:tr>
      <w:tr w14:paraId="3EDBEC8A">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27350769">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农、林、牧、渔</w:t>
            </w:r>
          </w:p>
        </w:tc>
        <w:tc>
          <w:tcPr>
            <w:tcW w:w="1676" w:type="dxa"/>
            <w:tcBorders>
              <w:top w:val="nil"/>
              <w:left w:val="nil"/>
              <w:bottom w:val="single" w:color="auto" w:sz="4" w:space="0"/>
              <w:right w:val="single" w:color="auto" w:sz="4" w:space="0"/>
            </w:tcBorders>
            <w:vAlign w:val="center"/>
          </w:tcPr>
          <w:p w14:paraId="7069BBAE">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6CDCD479">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6AF38D30">
            <w:pPr>
              <w:widowControl/>
              <w:jc w:val="left"/>
              <w:rPr>
                <w:rFonts w:ascii="仿宋" w:hAnsi="仿宋" w:eastAsia="仿宋" w:cs="宋体"/>
                <w:kern w:val="0"/>
                <w:sz w:val="18"/>
                <w:szCs w:val="18"/>
              </w:rPr>
            </w:pPr>
            <w:r>
              <w:rPr>
                <w:rFonts w:hint="eastAsia" w:ascii="仿宋" w:hAnsi="仿宋" w:eastAsia="仿宋" w:cs="宋体"/>
                <w:kern w:val="0"/>
                <w:sz w:val="18"/>
                <w:szCs w:val="18"/>
              </w:rPr>
              <w:t>500≤Y＜20000</w:t>
            </w:r>
          </w:p>
        </w:tc>
        <w:tc>
          <w:tcPr>
            <w:tcW w:w="1513" w:type="dxa"/>
            <w:tcBorders>
              <w:top w:val="nil"/>
              <w:left w:val="nil"/>
              <w:bottom w:val="single" w:color="auto" w:sz="4" w:space="0"/>
              <w:right w:val="single" w:color="auto" w:sz="4" w:space="0"/>
            </w:tcBorders>
            <w:vAlign w:val="center"/>
          </w:tcPr>
          <w:p w14:paraId="5E51680E">
            <w:pPr>
              <w:widowControl/>
              <w:jc w:val="left"/>
              <w:rPr>
                <w:rFonts w:ascii="仿宋" w:hAnsi="仿宋" w:eastAsia="仿宋" w:cs="宋体"/>
                <w:kern w:val="0"/>
                <w:sz w:val="18"/>
                <w:szCs w:val="18"/>
              </w:rPr>
            </w:pPr>
            <w:r>
              <w:rPr>
                <w:rFonts w:hint="eastAsia" w:ascii="仿宋" w:hAnsi="仿宋" w:eastAsia="仿宋" w:cs="宋体"/>
                <w:kern w:val="0"/>
                <w:sz w:val="18"/>
                <w:szCs w:val="18"/>
              </w:rPr>
              <w:t>50≤Y＜500</w:t>
            </w:r>
          </w:p>
        </w:tc>
        <w:tc>
          <w:tcPr>
            <w:tcW w:w="937" w:type="dxa"/>
            <w:tcBorders>
              <w:top w:val="nil"/>
              <w:left w:val="nil"/>
              <w:bottom w:val="single" w:color="auto" w:sz="4" w:space="0"/>
              <w:right w:val="single" w:color="auto" w:sz="4" w:space="0"/>
            </w:tcBorders>
            <w:vAlign w:val="center"/>
          </w:tcPr>
          <w:p w14:paraId="0BB48F70">
            <w:pPr>
              <w:widowControl/>
              <w:jc w:val="left"/>
              <w:rPr>
                <w:rFonts w:ascii="仿宋" w:hAnsi="仿宋" w:eastAsia="仿宋" w:cs="宋体"/>
                <w:kern w:val="0"/>
                <w:sz w:val="18"/>
                <w:szCs w:val="18"/>
              </w:rPr>
            </w:pPr>
            <w:r>
              <w:rPr>
                <w:rFonts w:hint="eastAsia" w:ascii="仿宋" w:hAnsi="仿宋" w:eastAsia="仿宋" w:cs="宋体"/>
                <w:kern w:val="0"/>
                <w:sz w:val="18"/>
                <w:szCs w:val="18"/>
              </w:rPr>
              <w:t>Y＜50</w:t>
            </w:r>
          </w:p>
        </w:tc>
      </w:tr>
      <w:tr w14:paraId="57FE2B60">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0336423">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工业</w:t>
            </w:r>
          </w:p>
        </w:tc>
        <w:tc>
          <w:tcPr>
            <w:tcW w:w="1676" w:type="dxa"/>
            <w:tcBorders>
              <w:top w:val="nil"/>
              <w:left w:val="nil"/>
              <w:bottom w:val="single" w:color="auto" w:sz="4" w:space="0"/>
              <w:right w:val="single" w:color="auto" w:sz="4" w:space="0"/>
            </w:tcBorders>
            <w:vAlign w:val="center"/>
          </w:tcPr>
          <w:p w14:paraId="3E32621E">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2655F353">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24983DC1">
            <w:pPr>
              <w:widowControl/>
              <w:jc w:val="left"/>
              <w:rPr>
                <w:rFonts w:ascii="仿宋" w:hAnsi="仿宋" w:eastAsia="仿宋" w:cs="宋体"/>
                <w:kern w:val="0"/>
                <w:sz w:val="18"/>
                <w:szCs w:val="18"/>
              </w:rPr>
            </w:pPr>
            <w:r>
              <w:rPr>
                <w:rFonts w:hint="eastAsia" w:ascii="仿宋" w:hAnsi="仿宋" w:eastAsia="仿宋" w:cs="宋体"/>
                <w:kern w:val="0"/>
                <w:sz w:val="18"/>
                <w:szCs w:val="18"/>
              </w:rPr>
              <w:t>300≤X＜1000</w:t>
            </w:r>
          </w:p>
        </w:tc>
        <w:tc>
          <w:tcPr>
            <w:tcW w:w="1513" w:type="dxa"/>
            <w:tcBorders>
              <w:top w:val="nil"/>
              <w:left w:val="nil"/>
              <w:bottom w:val="single" w:color="auto" w:sz="4" w:space="0"/>
              <w:right w:val="single" w:color="auto" w:sz="4" w:space="0"/>
            </w:tcBorders>
            <w:vAlign w:val="center"/>
          </w:tcPr>
          <w:p w14:paraId="06D701A2">
            <w:pPr>
              <w:widowControl/>
              <w:jc w:val="left"/>
              <w:rPr>
                <w:rFonts w:ascii="仿宋" w:hAnsi="仿宋" w:eastAsia="仿宋" w:cs="宋体"/>
                <w:kern w:val="0"/>
                <w:sz w:val="18"/>
                <w:szCs w:val="18"/>
              </w:rPr>
            </w:pPr>
            <w:r>
              <w:rPr>
                <w:rFonts w:hint="eastAsia" w:ascii="仿宋" w:hAnsi="仿宋" w:eastAsia="仿宋" w:cs="宋体"/>
                <w:kern w:val="0"/>
                <w:sz w:val="18"/>
                <w:szCs w:val="18"/>
              </w:rPr>
              <w:t>20≤X＜300</w:t>
            </w:r>
          </w:p>
        </w:tc>
        <w:tc>
          <w:tcPr>
            <w:tcW w:w="937" w:type="dxa"/>
            <w:tcBorders>
              <w:top w:val="nil"/>
              <w:left w:val="nil"/>
              <w:bottom w:val="single" w:color="auto" w:sz="4" w:space="0"/>
              <w:right w:val="single" w:color="auto" w:sz="4" w:space="0"/>
            </w:tcBorders>
            <w:vAlign w:val="center"/>
          </w:tcPr>
          <w:p w14:paraId="7F6DAEDE">
            <w:pPr>
              <w:widowControl/>
              <w:jc w:val="left"/>
              <w:rPr>
                <w:rFonts w:ascii="仿宋" w:hAnsi="仿宋" w:eastAsia="仿宋" w:cs="宋体"/>
                <w:kern w:val="0"/>
                <w:sz w:val="18"/>
                <w:szCs w:val="18"/>
              </w:rPr>
            </w:pPr>
            <w:r>
              <w:rPr>
                <w:rFonts w:hint="eastAsia" w:ascii="仿宋" w:hAnsi="仿宋" w:eastAsia="仿宋" w:cs="宋体"/>
                <w:kern w:val="0"/>
                <w:sz w:val="18"/>
                <w:szCs w:val="18"/>
              </w:rPr>
              <w:t>X＜20</w:t>
            </w:r>
          </w:p>
        </w:tc>
      </w:tr>
      <w:tr w14:paraId="728D0E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EF3B6EC">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5EAF2068">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04703BD1">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17719B11">
            <w:pPr>
              <w:widowControl/>
              <w:jc w:val="left"/>
              <w:rPr>
                <w:rFonts w:ascii="仿宋" w:hAnsi="仿宋" w:eastAsia="仿宋" w:cs="宋体"/>
                <w:kern w:val="0"/>
                <w:sz w:val="18"/>
                <w:szCs w:val="18"/>
              </w:rPr>
            </w:pPr>
            <w:r>
              <w:rPr>
                <w:rFonts w:hint="eastAsia" w:ascii="仿宋" w:hAnsi="仿宋" w:eastAsia="仿宋" w:cs="宋体"/>
                <w:kern w:val="0"/>
                <w:sz w:val="18"/>
                <w:szCs w:val="18"/>
              </w:rPr>
              <w:t>2000≤Y＜40000</w:t>
            </w:r>
          </w:p>
        </w:tc>
        <w:tc>
          <w:tcPr>
            <w:tcW w:w="1513" w:type="dxa"/>
            <w:tcBorders>
              <w:top w:val="nil"/>
              <w:left w:val="nil"/>
              <w:bottom w:val="single" w:color="auto" w:sz="4" w:space="0"/>
              <w:right w:val="single" w:color="auto" w:sz="4" w:space="0"/>
            </w:tcBorders>
            <w:vAlign w:val="center"/>
          </w:tcPr>
          <w:p w14:paraId="0BA5715F">
            <w:pPr>
              <w:widowControl/>
              <w:jc w:val="left"/>
              <w:rPr>
                <w:rFonts w:ascii="仿宋" w:hAnsi="仿宋" w:eastAsia="仿宋" w:cs="宋体"/>
                <w:kern w:val="0"/>
                <w:sz w:val="18"/>
                <w:szCs w:val="18"/>
              </w:rPr>
            </w:pPr>
            <w:r>
              <w:rPr>
                <w:rFonts w:hint="eastAsia" w:ascii="仿宋" w:hAnsi="仿宋" w:eastAsia="仿宋" w:cs="宋体"/>
                <w:kern w:val="0"/>
                <w:sz w:val="18"/>
                <w:szCs w:val="18"/>
              </w:rPr>
              <w:t>300≤Y＜2000</w:t>
            </w:r>
          </w:p>
        </w:tc>
        <w:tc>
          <w:tcPr>
            <w:tcW w:w="937" w:type="dxa"/>
            <w:tcBorders>
              <w:top w:val="nil"/>
              <w:left w:val="nil"/>
              <w:bottom w:val="single" w:color="auto" w:sz="4" w:space="0"/>
              <w:right w:val="single" w:color="auto" w:sz="4" w:space="0"/>
            </w:tcBorders>
            <w:vAlign w:val="center"/>
          </w:tcPr>
          <w:p w14:paraId="6DA5AB96">
            <w:pPr>
              <w:widowControl/>
              <w:jc w:val="left"/>
              <w:rPr>
                <w:rFonts w:ascii="仿宋" w:hAnsi="仿宋" w:eastAsia="仿宋" w:cs="宋体"/>
                <w:kern w:val="0"/>
                <w:sz w:val="18"/>
                <w:szCs w:val="18"/>
              </w:rPr>
            </w:pPr>
            <w:r>
              <w:rPr>
                <w:rFonts w:hint="eastAsia" w:ascii="仿宋" w:hAnsi="仿宋" w:eastAsia="仿宋" w:cs="宋体"/>
                <w:kern w:val="0"/>
                <w:sz w:val="18"/>
                <w:szCs w:val="18"/>
              </w:rPr>
              <w:t>Y＜300</w:t>
            </w:r>
          </w:p>
        </w:tc>
      </w:tr>
      <w:tr w14:paraId="586445A6">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1A8C5BB7">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建筑业</w:t>
            </w:r>
          </w:p>
        </w:tc>
        <w:tc>
          <w:tcPr>
            <w:tcW w:w="1676" w:type="dxa"/>
            <w:tcBorders>
              <w:top w:val="nil"/>
              <w:left w:val="nil"/>
              <w:bottom w:val="single" w:color="auto" w:sz="4" w:space="0"/>
              <w:right w:val="single" w:color="auto" w:sz="4" w:space="0"/>
            </w:tcBorders>
            <w:vAlign w:val="center"/>
          </w:tcPr>
          <w:p w14:paraId="42AC8258">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2D19AF4B">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76059B6C">
            <w:pPr>
              <w:widowControl/>
              <w:jc w:val="left"/>
              <w:rPr>
                <w:rFonts w:ascii="仿宋" w:hAnsi="仿宋" w:eastAsia="仿宋" w:cs="宋体"/>
                <w:kern w:val="0"/>
                <w:sz w:val="18"/>
                <w:szCs w:val="18"/>
              </w:rPr>
            </w:pPr>
            <w:r>
              <w:rPr>
                <w:rFonts w:hint="eastAsia" w:ascii="仿宋" w:hAnsi="仿宋" w:eastAsia="仿宋" w:cs="宋体"/>
                <w:kern w:val="0"/>
                <w:sz w:val="18"/>
                <w:szCs w:val="18"/>
              </w:rPr>
              <w:t>6000≤Y＜80000</w:t>
            </w:r>
          </w:p>
        </w:tc>
        <w:tc>
          <w:tcPr>
            <w:tcW w:w="1513" w:type="dxa"/>
            <w:tcBorders>
              <w:top w:val="nil"/>
              <w:left w:val="nil"/>
              <w:bottom w:val="single" w:color="auto" w:sz="4" w:space="0"/>
              <w:right w:val="single" w:color="auto" w:sz="4" w:space="0"/>
            </w:tcBorders>
            <w:vAlign w:val="center"/>
          </w:tcPr>
          <w:p w14:paraId="1562C4BA">
            <w:pPr>
              <w:widowControl/>
              <w:jc w:val="left"/>
              <w:rPr>
                <w:rFonts w:ascii="仿宋" w:hAnsi="仿宋" w:eastAsia="仿宋" w:cs="宋体"/>
                <w:kern w:val="0"/>
                <w:sz w:val="18"/>
                <w:szCs w:val="18"/>
              </w:rPr>
            </w:pPr>
            <w:r>
              <w:rPr>
                <w:rFonts w:hint="eastAsia" w:ascii="仿宋" w:hAnsi="仿宋" w:eastAsia="仿宋" w:cs="宋体"/>
                <w:kern w:val="0"/>
                <w:sz w:val="18"/>
                <w:szCs w:val="18"/>
              </w:rPr>
              <w:t>300≤Y＜6000</w:t>
            </w:r>
          </w:p>
        </w:tc>
        <w:tc>
          <w:tcPr>
            <w:tcW w:w="937" w:type="dxa"/>
            <w:tcBorders>
              <w:top w:val="nil"/>
              <w:left w:val="nil"/>
              <w:bottom w:val="single" w:color="auto" w:sz="4" w:space="0"/>
              <w:right w:val="single" w:color="auto" w:sz="4" w:space="0"/>
            </w:tcBorders>
            <w:vAlign w:val="center"/>
          </w:tcPr>
          <w:p w14:paraId="0D839085">
            <w:pPr>
              <w:widowControl/>
              <w:jc w:val="left"/>
              <w:rPr>
                <w:rFonts w:ascii="仿宋" w:hAnsi="仿宋" w:eastAsia="仿宋" w:cs="宋体"/>
                <w:kern w:val="0"/>
                <w:sz w:val="18"/>
                <w:szCs w:val="18"/>
              </w:rPr>
            </w:pPr>
            <w:r>
              <w:rPr>
                <w:rFonts w:hint="eastAsia" w:ascii="仿宋" w:hAnsi="仿宋" w:eastAsia="仿宋" w:cs="宋体"/>
                <w:kern w:val="0"/>
                <w:sz w:val="18"/>
                <w:szCs w:val="18"/>
              </w:rPr>
              <w:t>Y＜300</w:t>
            </w:r>
          </w:p>
        </w:tc>
      </w:tr>
      <w:tr w14:paraId="5157634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D5B9CD2">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418F828F">
            <w:pPr>
              <w:widowControl/>
              <w:jc w:val="left"/>
              <w:rPr>
                <w:rFonts w:ascii="仿宋" w:hAnsi="仿宋" w:eastAsia="仿宋" w:cs="宋体"/>
                <w:kern w:val="0"/>
                <w:sz w:val="18"/>
                <w:szCs w:val="18"/>
              </w:rPr>
            </w:pPr>
            <w:r>
              <w:rPr>
                <w:rFonts w:hint="eastAsia" w:ascii="仿宋" w:hAnsi="仿宋" w:eastAsia="仿宋" w:cs="宋体"/>
                <w:kern w:val="0"/>
                <w:sz w:val="18"/>
                <w:szCs w:val="18"/>
              </w:rPr>
              <w:t>资产总额（Z）</w:t>
            </w:r>
          </w:p>
        </w:tc>
        <w:tc>
          <w:tcPr>
            <w:tcW w:w="912" w:type="dxa"/>
            <w:tcBorders>
              <w:top w:val="nil"/>
              <w:left w:val="nil"/>
              <w:bottom w:val="single" w:color="auto" w:sz="4" w:space="0"/>
              <w:right w:val="single" w:color="auto" w:sz="4" w:space="0"/>
            </w:tcBorders>
            <w:vAlign w:val="center"/>
          </w:tcPr>
          <w:p w14:paraId="7996857F">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2F5FD023">
            <w:pPr>
              <w:widowControl/>
              <w:jc w:val="left"/>
              <w:rPr>
                <w:rFonts w:ascii="仿宋" w:hAnsi="仿宋" w:eastAsia="仿宋" w:cs="宋体"/>
                <w:kern w:val="0"/>
                <w:sz w:val="18"/>
                <w:szCs w:val="18"/>
              </w:rPr>
            </w:pPr>
            <w:r>
              <w:rPr>
                <w:rFonts w:hint="eastAsia" w:ascii="仿宋" w:hAnsi="仿宋" w:eastAsia="仿宋" w:cs="宋体"/>
                <w:kern w:val="0"/>
                <w:sz w:val="18"/>
                <w:szCs w:val="18"/>
              </w:rPr>
              <w:t>5000≤Z＜80000</w:t>
            </w:r>
          </w:p>
        </w:tc>
        <w:tc>
          <w:tcPr>
            <w:tcW w:w="1513" w:type="dxa"/>
            <w:tcBorders>
              <w:top w:val="nil"/>
              <w:left w:val="nil"/>
              <w:bottom w:val="single" w:color="auto" w:sz="4" w:space="0"/>
              <w:right w:val="single" w:color="auto" w:sz="4" w:space="0"/>
            </w:tcBorders>
            <w:vAlign w:val="center"/>
          </w:tcPr>
          <w:p w14:paraId="14031691">
            <w:pPr>
              <w:widowControl/>
              <w:jc w:val="left"/>
              <w:rPr>
                <w:rFonts w:ascii="仿宋" w:hAnsi="仿宋" w:eastAsia="仿宋" w:cs="宋体"/>
                <w:kern w:val="0"/>
                <w:sz w:val="18"/>
                <w:szCs w:val="18"/>
              </w:rPr>
            </w:pPr>
            <w:r>
              <w:rPr>
                <w:rFonts w:hint="eastAsia" w:ascii="仿宋" w:hAnsi="仿宋" w:eastAsia="仿宋" w:cs="宋体"/>
                <w:kern w:val="0"/>
                <w:sz w:val="18"/>
                <w:szCs w:val="18"/>
              </w:rPr>
              <w:t>300≤Z＜5000</w:t>
            </w:r>
          </w:p>
        </w:tc>
        <w:tc>
          <w:tcPr>
            <w:tcW w:w="937" w:type="dxa"/>
            <w:tcBorders>
              <w:top w:val="nil"/>
              <w:left w:val="nil"/>
              <w:bottom w:val="single" w:color="auto" w:sz="4" w:space="0"/>
              <w:right w:val="single" w:color="auto" w:sz="4" w:space="0"/>
            </w:tcBorders>
            <w:vAlign w:val="center"/>
          </w:tcPr>
          <w:p w14:paraId="6705B5D6">
            <w:pPr>
              <w:widowControl/>
              <w:jc w:val="left"/>
              <w:rPr>
                <w:rFonts w:ascii="仿宋" w:hAnsi="仿宋" w:eastAsia="仿宋" w:cs="宋体"/>
                <w:kern w:val="0"/>
                <w:sz w:val="18"/>
                <w:szCs w:val="18"/>
              </w:rPr>
            </w:pPr>
            <w:r>
              <w:rPr>
                <w:rFonts w:hint="eastAsia" w:ascii="仿宋" w:hAnsi="仿宋" w:eastAsia="仿宋" w:cs="宋体"/>
                <w:kern w:val="0"/>
                <w:sz w:val="18"/>
                <w:szCs w:val="18"/>
              </w:rPr>
              <w:t>Z＜300</w:t>
            </w:r>
          </w:p>
        </w:tc>
      </w:tr>
      <w:tr w14:paraId="100C1827">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443424D3">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批发业</w:t>
            </w:r>
          </w:p>
        </w:tc>
        <w:tc>
          <w:tcPr>
            <w:tcW w:w="1676" w:type="dxa"/>
            <w:tcBorders>
              <w:top w:val="nil"/>
              <w:left w:val="nil"/>
              <w:bottom w:val="single" w:color="auto" w:sz="4" w:space="0"/>
              <w:right w:val="single" w:color="auto" w:sz="4" w:space="0"/>
            </w:tcBorders>
            <w:vAlign w:val="center"/>
          </w:tcPr>
          <w:p w14:paraId="3AF5EDCF">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6822A90C">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4E4800E6">
            <w:pPr>
              <w:widowControl/>
              <w:jc w:val="left"/>
              <w:rPr>
                <w:rFonts w:ascii="仿宋" w:hAnsi="仿宋" w:eastAsia="仿宋" w:cs="宋体"/>
                <w:kern w:val="0"/>
                <w:sz w:val="18"/>
                <w:szCs w:val="18"/>
              </w:rPr>
            </w:pPr>
            <w:r>
              <w:rPr>
                <w:rFonts w:hint="eastAsia" w:ascii="仿宋" w:hAnsi="仿宋" w:eastAsia="仿宋" w:cs="宋体"/>
                <w:kern w:val="0"/>
                <w:sz w:val="18"/>
                <w:szCs w:val="18"/>
              </w:rPr>
              <w:t>20≤X＜200</w:t>
            </w:r>
          </w:p>
        </w:tc>
        <w:tc>
          <w:tcPr>
            <w:tcW w:w="1513" w:type="dxa"/>
            <w:tcBorders>
              <w:top w:val="nil"/>
              <w:left w:val="nil"/>
              <w:bottom w:val="single" w:color="auto" w:sz="4" w:space="0"/>
              <w:right w:val="single" w:color="auto" w:sz="4" w:space="0"/>
            </w:tcBorders>
            <w:vAlign w:val="center"/>
          </w:tcPr>
          <w:p w14:paraId="3EE76603">
            <w:pPr>
              <w:widowControl/>
              <w:jc w:val="left"/>
              <w:rPr>
                <w:rFonts w:ascii="仿宋" w:hAnsi="仿宋" w:eastAsia="仿宋" w:cs="宋体"/>
                <w:kern w:val="0"/>
                <w:sz w:val="18"/>
                <w:szCs w:val="18"/>
              </w:rPr>
            </w:pPr>
            <w:r>
              <w:rPr>
                <w:rFonts w:hint="eastAsia" w:ascii="仿宋" w:hAnsi="仿宋" w:eastAsia="仿宋" w:cs="宋体"/>
                <w:kern w:val="0"/>
                <w:sz w:val="18"/>
                <w:szCs w:val="18"/>
              </w:rPr>
              <w:t>5≤X＜20</w:t>
            </w:r>
          </w:p>
        </w:tc>
        <w:tc>
          <w:tcPr>
            <w:tcW w:w="937" w:type="dxa"/>
            <w:tcBorders>
              <w:top w:val="nil"/>
              <w:left w:val="nil"/>
              <w:bottom w:val="single" w:color="auto" w:sz="4" w:space="0"/>
              <w:right w:val="single" w:color="auto" w:sz="4" w:space="0"/>
            </w:tcBorders>
            <w:vAlign w:val="center"/>
          </w:tcPr>
          <w:p w14:paraId="69785157">
            <w:pPr>
              <w:widowControl/>
              <w:jc w:val="left"/>
              <w:rPr>
                <w:rFonts w:ascii="仿宋" w:hAnsi="仿宋" w:eastAsia="仿宋" w:cs="宋体"/>
                <w:kern w:val="0"/>
                <w:sz w:val="18"/>
                <w:szCs w:val="18"/>
              </w:rPr>
            </w:pPr>
            <w:r>
              <w:rPr>
                <w:rFonts w:hint="eastAsia" w:ascii="仿宋" w:hAnsi="仿宋" w:eastAsia="仿宋" w:cs="宋体"/>
                <w:kern w:val="0"/>
                <w:sz w:val="18"/>
                <w:szCs w:val="18"/>
              </w:rPr>
              <w:t>X＜5</w:t>
            </w:r>
          </w:p>
        </w:tc>
      </w:tr>
      <w:tr w14:paraId="5D5A47DF">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DB8F7C8">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77E97CCF">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281AE053">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17BF1A64">
            <w:pPr>
              <w:widowControl/>
              <w:jc w:val="left"/>
              <w:rPr>
                <w:rFonts w:ascii="仿宋" w:hAnsi="仿宋" w:eastAsia="仿宋" w:cs="宋体"/>
                <w:kern w:val="0"/>
                <w:sz w:val="18"/>
                <w:szCs w:val="18"/>
              </w:rPr>
            </w:pPr>
            <w:r>
              <w:rPr>
                <w:rFonts w:hint="eastAsia" w:ascii="仿宋" w:hAnsi="仿宋" w:eastAsia="仿宋" w:cs="宋体"/>
                <w:kern w:val="0"/>
                <w:sz w:val="18"/>
                <w:szCs w:val="18"/>
              </w:rPr>
              <w:t>5000≤Y＜40000</w:t>
            </w:r>
          </w:p>
        </w:tc>
        <w:tc>
          <w:tcPr>
            <w:tcW w:w="1513" w:type="dxa"/>
            <w:tcBorders>
              <w:top w:val="nil"/>
              <w:left w:val="nil"/>
              <w:bottom w:val="single" w:color="auto" w:sz="4" w:space="0"/>
              <w:right w:val="single" w:color="auto" w:sz="4" w:space="0"/>
            </w:tcBorders>
            <w:vAlign w:val="center"/>
          </w:tcPr>
          <w:p w14:paraId="7AE90594">
            <w:pPr>
              <w:widowControl/>
              <w:jc w:val="left"/>
              <w:rPr>
                <w:rFonts w:ascii="仿宋" w:hAnsi="仿宋" w:eastAsia="仿宋" w:cs="宋体"/>
                <w:kern w:val="0"/>
                <w:sz w:val="18"/>
                <w:szCs w:val="18"/>
              </w:rPr>
            </w:pPr>
            <w:r>
              <w:rPr>
                <w:rFonts w:hint="eastAsia" w:ascii="仿宋" w:hAnsi="仿宋" w:eastAsia="仿宋" w:cs="宋体"/>
                <w:kern w:val="0"/>
                <w:sz w:val="18"/>
                <w:szCs w:val="18"/>
              </w:rPr>
              <w:t>1000≤Y＜5000</w:t>
            </w:r>
          </w:p>
        </w:tc>
        <w:tc>
          <w:tcPr>
            <w:tcW w:w="937" w:type="dxa"/>
            <w:tcBorders>
              <w:top w:val="nil"/>
              <w:left w:val="nil"/>
              <w:bottom w:val="single" w:color="auto" w:sz="4" w:space="0"/>
              <w:right w:val="single" w:color="auto" w:sz="4" w:space="0"/>
            </w:tcBorders>
            <w:vAlign w:val="center"/>
          </w:tcPr>
          <w:p w14:paraId="7D66A868">
            <w:pPr>
              <w:widowControl/>
              <w:jc w:val="left"/>
              <w:rPr>
                <w:rFonts w:ascii="仿宋" w:hAnsi="仿宋" w:eastAsia="仿宋" w:cs="宋体"/>
                <w:kern w:val="0"/>
                <w:sz w:val="18"/>
                <w:szCs w:val="18"/>
              </w:rPr>
            </w:pPr>
            <w:r>
              <w:rPr>
                <w:rFonts w:hint="eastAsia" w:ascii="仿宋" w:hAnsi="仿宋" w:eastAsia="仿宋" w:cs="宋体"/>
                <w:kern w:val="0"/>
                <w:sz w:val="18"/>
                <w:szCs w:val="18"/>
              </w:rPr>
              <w:t>Y＜1000</w:t>
            </w:r>
          </w:p>
        </w:tc>
      </w:tr>
      <w:tr w14:paraId="0E8A434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A880ADC">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零售业</w:t>
            </w:r>
          </w:p>
        </w:tc>
        <w:tc>
          <w:tcPr>
            <w:tcW w:w="1676" w:type="dxa"/>
            <w:tcBorders>
              <w:top w:val="nil"/>
              <w:left w:val="nil"/>
              <w:bottom w:val="single" w:color="auto" w:sz="4" w:space="0"/>
              <w:right w:val="single" w:color="auto" w:sz="4" w:space="0"/>
            </w:tcBorders>
            <w:vAlign w:val="center"/>
          </w:tcPr>
          <w:p w14:paraId="7C3CED8A">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5D06D45C">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50C630D8">
            <w:pPr>
              <w:widowControl/>
              <w:jc w:val="left"/>
              <w:rPr>
                <w:rFonts w:ascii="仿宋" w:hAnsi="仿宋" w:eastAsia="仿宋" w:cs="宋体"/>
                <w:kern w:val="0"/>
                <w:sz w:val="18"/>
                <w:szCs w:val="18"/>
              </w:rPr>
            </w:pPr>
            <w:r>
              <w:rPr>
                <w:rFonts w:hint="eastAsia" w:ascii="仿宋" w:hAnsi="仿宋" w:eastAsia="仿宋" w:cs="宋体"/>
                <w:kern w:val="0"/>
                <w:sz w:val="18"/>
                <w:szCs w:val="18"/>
              </w:rPr>
              <w:t>50≤X＜300</w:t>
            </w:r>
          </w:p>
        </w:tc>
        <w:tc>
          <w:tcPr>
            <w:tcW w:w="1513" w:type="dxa"/>
            <w:tcBorders>
              <w:top w:val="nil"/>
              <w:left w:val="nil"/>
              <w:bottom w:val="single" w:color="auto" w:sz="4" w:space="0"/>
              <w:right w:val="single" w:color="auto" w:sz="4" w:space="0"/>
            </w:tcBorders>
            <w:vAlign w:val="center"/>
          </w:tcPr>
          <w:p w14:paraId="0846F7FE">
            <w:pPr>
              <w:widowControl/>
              <w:jc w:val="left"/>
              <w:rPr>
                <w:rFonts w:ascii="仿宋" w:hAnsi="仿宋" w:eastAsia="仿宋" w:cs="宋体"/>
                <w:kern w:val="0"/>
                <w:sz w:val="18"/>
                <w:szCs w:val="18"/>
              </w:rPr>
            </w:pPr>
            <w:r>
              <w:rPr>
                <w:rFonts w:hint="eastAsia" w:ascii="仿宋" w:hAnsi="仿宋" w:eastAsia="仿宋" w:cs="宋体"/>
                <w:kern w:val="0"/>
                <w:sz w:val="18"/>
                <w:szCs w:val="18"/>
              </w:rPr>
              <w:t>10≤X＜50</w:t>
            </w:r>
          </w:p>
        </w:tc>
        <w:tc>
          <w:tcPr>
            <w:tcW w:w="937" w:type="dxa"/>
            <w:tcBorders>
              <w:top w:val="nil"/>
              <w:left w:val="nil"/>
              <w:bottom w:val="single" w:color="auto" w:sz="4" w:space="0"/>
              <w:right w:val="single" w:color="auto" w:sz="4" w:space="0"/>
            </w:tcBorders>
            <w:vAlign w:val="center"/>
          </w:tcPr>
          <w:p w14:paraId="701F6F6A">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r w14:paraId="1627677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3AEA8D5">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4BC71D81">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31271284">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6F22B284">
            <w:pPr>
              <w:widowControl/>
              <w:jc w:val="left"/>
              <w:rPr>
                <w:rFonts w:ascii="仿宋" w:hAnsi="仿宋" w:eastAsia="仿宋" w:cs="宋体"/>
                <w:kern w:val="0"/>
                <w:sz w:val="18"/>
                <w:szCs w:val="18"/>
              </w:rPr>
            </w:pPr>
            <w:r>
              <w:rPr>
                <w:rFonts w:hint="eastAsia" w:ascii="仿宋" w:hAnsi="仿宋" w:eastAsia="仿宋" w:cs="宋体"/>
                <w:kern w:val="0"/>
                <w:sz w:val="18"/>
                <w:szCs w:val="18"/>
              </w:rPr>
              <w:t>500≤Y＜20000</w:t>
            </w:r>
          </w:p>
        </w:tc>
        <w:tc>
          <w:tcPr>
            <w:tcW w:w="1513" w:type="dxa"/>
            <w:tcBorders>
              <w:top w:val="nil"/>
              <w:left w:val="nil"/>
              <w:bottom w:val="single" w:color="auto" w:sz="4" w:space="0"/>
              <w:right w:val="single" w:color="auto" w:sz="4" w:space="0"/>
            </w:tcBorders>
            <w:vAlign w:val="center"/>
          </w:tcPr>
          <w:p w14:paraId="6080851D">
            <w:pPr>
              <w:widowControl/>
              <w:jc w:val="left"/>
              <w:rPr>
                <w:rFonts w:ascii="仿宋" w:hAnsi="仿宋" w:eastAsia="仿宋" w:cs="宋体"/>
                <w:kern w:val="0"/>
                <w:sz w:val="18"/>
                <w:szCs w:val="18"/>
              </w:rPr>
            </w:pPr>
            <w:r>
              <w:rPr>
                <w:rFonts w:hint="eastAsia" w:ascii="仿宋" w:hAnsi="仿宋" w:eastAsia="仿宋" w:cs="宋体"/>
                <w:kern w:val="0"/>
                <w:sz w:val="18"/>
                <w:szCs w:val="18"/>
              </w:rPr>
              <w:t>100≤Y＜500</w:t>
            </w:r>
          </w:p>
        </w:tc>
        <w:tc>
          <w:tcPr>
            <w:tcW w:w="937" w:type="dxa"/>
            <w:tcBorders>
              <w:top w:val="nil"/>
              <w:left w:val="nil"/>
              <w:bottom w:val="single" w:color="auto" w:sz="4" w:space="0"/>
              <w:right w:val="single" w:color="auto" w:sz="4" w:space="0"/>
            </w:tcBorders>
            <w:vAlign w:val="center"/>
          </w:tcPr>
          <w:p w14:paraId="1DC429BE">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4F001F45">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6C30B2F">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交通运输业</w:t>
            </w:r>
          </w:p>
        </w:tc>
        <w:tc>
          <w:tcPr>
            <w:tcW w:w="1676" w:type="dxa"/>
            <w:tcBorders>
              <w:top w:val="nil"/>
              <w:left w:val="nil"/>
              <w:bottom w:val="single" w:color="auto" w:sz="4" w:space="0"/>
              <w:right w:val="single" w:color="auto" w:sz="4" w:space="0"/>
            </w:tcBorders>
            <w:vAlign w:val="center"/>
          </w:tcPr>
          <w:p w14:paraId="184E4E2A">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33E3552C">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37C0834B">
            <w:pPr>
              <w:widowControl/>
              <w:jc w:val="left"/>
              <w:rPr>
                <w:rFonts w:ascii="仿宋" w:hAnsi="仿宋" w:eastAsia="仿宋" w:cs="宋体"/>
                <w:kern w:val="0"/>
                <w:sz w:val="18"/>
                <w:szCs w:val="18"/>
              </w:rPr>
            </w:pPr>
            <w:r>
              <w:rPr>
                <w:rFonts w:hint="eastAsia" w:ascii="仿宋" w:hAnsi="仿宋" w:eastAsia="仿宋" w:cs="宋体"/>
                <w:kern w:val="0"/>
                <w:sz w:val="18"/>
                <w:szCs w:val="18"/>
              </w:rPr>
              <w:t>300≤X＜1000</w:t>
            </w:r>
          </w:p>
        </w:tc>
        <w:tc>
          <w:tcPr>
            <w:tcW w:w="1513" w:type="dxa"/>
            <w:tcBorders>
              <w:top w:val="nil"/>
              <w:left w:val="nil"/>
              <w:bottom w:val="single" w:color="auto" w:sz="4" w:space="0"/>
              <w:right w:val="single" w:color="auto" w:sz="4" w:space="0"/>
            </w:tcBorders>
            <w:vAlign w:val="center"/>
          </w:tcPr>
          <w:p w14:paraId="2C7A6A9E">
            <w:pPr>
              <w:widowControl/>
              <w:jc w:val="left"/>
              <w:rPr>
                <w:rFonts w:ascii="仿宋" w:hAnsi="仿宋" w:eastAsia="仿宋" w:cs="宋体"/>
                <w:kern w:val="0"/>
                <w:sz w:val="18"/>
                <w:szCs w:val="18"/>
              </w:rPr>
            </w:pPr>
            <w:r>
              <w:rPr>
                <w:rFonts w:hint="eastAsia" w:ascii="仿宋" w:hAnsi="仿宋" w:eastAsia="仿宋" w:cs="宋体"/>
                <w:kern w:val="0"/>
                <w:sz w:val="18"/>
                <w:szCs w:val="18"/>
              </w:rPr>
              <w:t>20≤X＜300</w:t>
            </w:r>
          </w:p>
        </w:tc>
        <w:tc>
          <w:tcPr>
            <w:tcW w:w="937" w:type="dxa"/>
            <w:tcBorders>
              <w:top w:val="nil"/>
              <w:left w:val="nil"/>
              <w:bottom w:val="single" w:color="auto" w:sz="4" w:space="0"/>
              <w:right w:val="single" w:color="auto" w:sz="4" w:space="0"/>
            </w:tcBorders>
            <w:vAlign w:val="center"/>
          </w:tcPr>
          <w:p w14:paraId="2D8642AC">
            <w:pPr>
              <w:widowControl/>
              <w:jc w:val="left"/>
              <w:rPr>
                <w:rFonts w:ascii="仿宋" w:hAnsi="仿宋" w:eastAsia="仿宋" w:cs="宋体"/>
                <w:kern w:val="0"/>
                <w:sz w:val="18"/>
                <w:szCs w:val="18"/>
              </w:rPr>
            </w:pPr>
            <w:r>
              <w:rPr>
                <w:rFonts w:hint="eastAsia" w:ascii="仿宋" w:hAnsi="仿宋" w:eastAsia="仿宋" w:cs="宋体"/>
                <w:kern w:val="0"/>
                <w:sz w:val="18"/>
                <w:szCs w:val="18"/>
              </w:rPr>
              <w:t>X＜20</w:t>
            </w:r>
          </w:p>
        </w:tc>
      </w:tr>
      <w:tr w14:paraId="1524DE74">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34AF8DC">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0594D877">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7E1A0B7E">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08A1B9E2">
            <w:pPr>
              <w:widowControl/>
              <w:jc w:val="left"/>
              <w:rPr>
                <w:rFonts w:ascii="仿宋" w:hAnsi="仿宋" w:eastAsia="仿宋" w:cs="宋体"/>
                <w:kern w:val="0"/>
                <w:sz w:val="18"/>
                <w:szCs w:val="18"/>
              </w:rPr>
            </w:pPr>
            <w:r>
              <w:rPr>
                <w:rFonts w:hint="eastAsia" w:ascii="仿宋" w:hAnsi="仿宋" w:eastAsia="仿宋" w:cs="宋体"/>
                <w:kern w:val="0"/>
                <w:sz w:val="18"/>
                <w:szCs w:val="18"/>
              </w:rPr>
              <w:t>3000≤Y＜30000</w:t>
            </w:r>
          </w:p>
        </w:tc>
        <w:tc>
          <w:tcPr>
            <w:tcW w:w="1513" w:type="dxa"/>
            <w:tcBorders>
              <w:top w:val="nil"/>
              <w:left w:val="nil"/>
              <w:bottom w:val="single" w:color="auto" w:sz="4" w:space="0"/>
              <w:right w:val="single" w:color="auto" w:sz="4" w:space="0"/>
            </w:tcBorders>
            <w:vAlign w:val="center"/>
          </w:tcPr>
          <w:p w14:paraId="0B3FF91F">
            <w:pPr>
              <w:widowControl/>
              <w:jc w:val="left"/>
              <w:rPr>
                <w:rFonts w:ascii="仿宋" w:hAnsi="仿宋" w:eastAsia="仿宋" w:cs="宋体"/>
                <w:kern w:val="0"/>
                <w:sz w:val="18"/>
                <w:szCs w:val="18"/>
              </w:rPr>
            </w:pPr>
            <w:r>
              <w:rPr>
                <w:rFonts w:hint="eastAsia" w:ascii="仿宋" w:hAnsi="仿宋" w:eastAsia="仿宋" w:cs="宋体"/>
                <w:kern w:val="0"/>
                <w:sz w:val="18"/>
                <w:szCs w:val="18"/>
              </w:rPr>
              <w:t>200≤Y＜3000</w:t>
            </w:r>
          </w:p>
        </w:tc>
        <w:tc>
          <w:tcPr>
            <w:tcW w:w="937" w:type="dxa"/>
            <w:tcBorders>
              <w:top w:val="nil"/>
              <w:left w:val="nil"/>
              <w:bottom w:val="single" w:color="auto" w:sz="4" w:space="0"/>
              <w:right w:val="single" w:color="auto" w:sz="4" w:space="0"/>
            </w:tcBorders>
            <w:vAlign w:val="center"/>
          </w:tcPr>
          <w:p w14:paraId="3AAE71E0">
            <w:pPr>
              <w:widowControl/>
              <w:jc w:val="left"/>
              <w:rPr>
                <w:rFonts w:ascii="仿宋" w:hAnsi="仿宋" w:eastAsia="仿宋" w:cs="宋体"/>
                <w:kern w:val="0"/>
                <w:sz w:val="18"/>
                <w:szCs w:val="18"/>
              </w:rPr>
            </w:pPr>
            <w:r>
              <w:rPr>
                <w:rFonts w:hint="eastAsia" w:ascii="仿宋" w:hAnsi="仿宋" w:eastAsia="仿宋" w:cs="宋体"/>
                <w:kern w:val="0"/>
                <w:sz w:val="18"/>
                <w:szCs w:val="18"/>
              </w:rPr>
              <w:t>Y＜200</w:t>
            </w:r>
          </w:p>
        </w:tc>
      </w:tr>
      <w:tr w14:paraId="751C1618">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5FC7458">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仓储业</w:t>
            </w:r>
          </w:p>
        </w:tc>
        <w:tc>
          <w:tcPr>
            <w:tcW w:w="1676" w:type="dxa"/>
            <w:tcBorders>
              <w:top w:val="nil"/>
              <w:left w:val="nil"/>
              <w:bottom w:val="single" w:color="auto" w:sz="4" w:space="0"/>
              <w:right w:val="single" w:color="auto" w:sz="4" w:space="0"/>
            </w:tcBorders>
            <w:vAlign w:val="center"/>
          </w:tcPr>
          <w:p w14:paraId="0D6B0183">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635F4351">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1359F459">
            <w:pPr>
              <w:widowControl/>
              <w:jc w:val="left"/>
              <w:rPr>
                <w:rFonts w:ascii="仿宋" w:hAnsi="仿宋" w:eastAsia="仿宋" w:cs="宋体"/>
                <w:kern w:val="0"/>
                <w:sz w:val="18"/>
                <w:szCs w:val="18"/>
              </w:rPr>
            </w:pPr>
            <w:r>
              <w:rPr>
                <w:rFonts w:hint="eastAsia" w:ascii="仿宋" w:hAnsi="仿宋" w:eastAsia="仿宋" w:cs="宋体"/>
                <w:kern w:val="0"/>
                <w:sz w:val="18"/>
                <w:szCs w:val="18"/>
              </w:rPr>
              <w:t>100≤X＜200</w:t>
            </w:r>
          </w:p>
        </w:tc>
        <w:tc>
          <w:tcPr>
            <w:tcW w:w="1513" w:type="dxa"/>
            <w:tcBorders>
              <w:top w:val="nil"/>
              <w:left w:val="nil"/>
              <w:bottom w:val="single" w:color="auto" w:sz="4" w:space="0"/>
              <w:right w:val="single" w:color="auto" w:sz="4" w:space="0"/>
            </w:tcBorders>
            <w:vAlign w:val="center"/>
          </w:tcPr>
          <w:p w14:paraId="72C234A4">
            <w:pPr>
              <w:widowControl/>
              <w:jc w:val="left"/>
              <w:rPr>
                <w:rFonts w:ascii="仿宋" w:hAnsi="仿宋" w:eastAsia="仿宋" w:cs="宋体"/>
                <w:kern w:val="0"/>
                <w:sz w:val="18"/>
                <w:szCs w:val="18"/>
              </w:rPr>
            </w:pPr>
            <w:r>
              <w:rPr>
                <w:rFonts w:hint="eastAsia" w:ascii="仿宋" w:hAnsi="仿宋" w:eastAsia="仿宋" w:cs="宋体"/>
                <w:kern w:val="0"/>
                <w:sz w:val="18"/>
                <w:szCs w:val="18"/>
              </w:rPr>
              <w:t>20≤X＜100</w:t>
            </w:r>
          </w:p>
        </w:tc>
        <w:tc>
          <w:tcPr>
            <w:tcW w:w="937" w:type="dxa"/>
            <w:tcBorders>
              <w:top w:val="nil"/>
              <w:left w:val="nil"/>
              <w:bottom w:val="single" w:color="auto" w:sz="4" w:space="0"/>
              <w:right w:val="single" w:color="auto" w:sz="4" w:space="0"/>
            </w:tcBorders>
            <w:vAlign w:val="center"/>
          </w:tcPr>
          <w:p w14:paraId="43C24632">
            <w:pPr>
              <w:widowControl/>
              <w:jc w:val="left"/>
              <w:rPr>
                <w:rFonts w:ascii="仿宋" w:hAnsi="仿宋" w:eastAsia="仿宋" w:cs="宋体"/>
                <w:kern w:val="0"/>
                <w:sz w:val="18"/>
                <w:szCs w:val="18"/>
              </w:rPr>
            </w:pPr>
            <w:r>
              <w:rPr>
                <w:rFonts w:hint="eastAsia" w:ascii="仿宋" w:hAnsi="仿宋" w:eastAsia="仿宋" w:cs="宋体"/>
                <w:kern w:val="0"/>
                <w:sz w:val="18"/>
                <w:szCs w:val="18"/>
              </w:rPr>
              <w:t>X＜20</w:t>
            </w:r>
          </w:p>
        </w:tc>
      </w:tr>
      <w:tr w14:paraId="75DB2D0A">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F99C1EE">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75AFE212">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5FFBF4F5">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273048B1">
            <w:pPr>
              <w:widowControl/>
              <w:jc w:val="left"/>
              <w:rPr>
                <w:rFonts w:ascii="仿宋" w:hAnsi="仿宋" w:eastAsia="仿宋" w:cs="宋体"/>
                <w:kern w:val="0"/>
                <w:sz w:val="18"/>
                <w:szCs w:val="18"/>
              </w:rPr>
            </w:pPr>
            <w:r>
              <w:rPr>
                <w:rFonts w:hint="eastAsia" w:ascii="仿宋" w:hAnsi="仿宋" w:eastAsia="仿宋" w:cs="宋体"/>
                <w:kern w:val="0"/>
                <w:sz w:val="18"/>
                <w:szCs w:val="18"/>
              </w:rPr>
              <w:t>1000≤Y＜30000</w:t>
            </w:r>
          </w:p>
        </w:tc>
        <w:tc>
          <w:tcPr>
            <w:tcW w:w="1513" w:type="dxa"/>
            <w:tcBorders>
              <w:top w:val="nil"/>
              <w:left w:val="nil"/>
              <w:bottom w:val="single" w:color="auto" w:sz="4" w:space="0"/>
              <w:right w:val="single" w:color="auto" w:sz="4" w:space="0"/>
            </w:tcBorders>
            <w:vAlign w:val="center"/>
          </w:tcPr>
          <w:p w14:paraId="418F8B93">
            <w:pPr>
              <w:widowControl/>
              <w:jc w:val="left"/>
              <w:rPr>
                <w:rFonts w:ascii="仿宋" w:hAnsi="仿宋" w:eastAsia="仿宋" w:cs="宋体"/>
                <w:kern w:val="0"/>
                <w:sz w:val="18"/>
                <w:szCs w:val="18"/>
              </w:rPr>
            </w:pPr>
            <w:r>
              <w:rPr>
                <w:rFonts w:hint="eastAsia" w:ascii="仿宋" w:hAnsi="仿宋" w:eastAsia="仿宋" w:cs="宋体"/>
                <w:kern w:val="0"/>
                <w:sz w:val="18"/>
                <w:szCs w:val="18"/>
              </w:rPr>
              <w:t>100≤Y＜1000</w:t>
            </w:r>
          </w:p>
        </w:tc>
        <w:tc>
          <w:tcPr>
            <w:tcW w:w="937" w:type="dxa"/>
            <w:tcBorders>
              <w:top w:val="nil"/>
              <w:left w:val="nil"/>
              <w:bottom w:val="single" w:color="auto" w:sz="4" w:space="0"/>
              <w:right w:val="single" w:color="auto" w:sz="4" w:space="0"/>
            </w:tcBorders>
            <w:vAlign w:val="center"/>
          </w:tcPr>
          <w:p w14:paraId="045A8B5C">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3950AAB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7EF0154">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邮政业</w:t>
            </w:r>
          </w:p>
        </w:tc>
        <w:tc>
          <w:tcPr>
            <w:tcW w:w="1676" w:type="dxa"/>
            <w:tcBorders>
              <w:top w:val="nil"/>
              <w:left w:val="nil"/>
              <w:bottom w:val="single" w:color="auto" w:sz="4" w:space="0"/>
              <w:right w:val="single" w:color="auto" w:sz="4" w:space="0"/>
            </w:tcBorders>
            <w:vAlign w:val="center"/>
          </w:tcPr>
          <w:p w14:paraId="057AC547">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58A67631">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69D96041">
            <w:pPr>
              <w:widowControl/>
              <w:jc w:val="left"/>
              <w:rPr>
                <w:rFonts w:ascii="仿宋" w:hAnsi="仿宋" w:eastAsia="仿宋" w:cs="宋体"/>
                <w:kern w:val="0"/>
                <w:sz w:val="18"/>
                <w:szCs w:val="18"/>
              </w:rPr>
            </w:pPr>
            <w:r>
              <w:rPr>
                <w:rFonts w:hint="eastAsia" w:ascii="仿宋" w:hAnsi="仿宋" w:eastAsia="仿宋" w:cs="宋体"/>
                <w:kern w:val="0"/>
                <w:sz w:val="18"/>
                <w:szCs w:val="18"/>
              </w:rPr>
              <w:t>300≤X＜1000</w:t>
            </w:r>
          </w:p>
        </w:tc>
        <w:tc>
          <w:tcPr>
            <w:tcW w:w="1513" w:type="dxa"/>
            <w:tcBorders>
              <w:top w:val="nil"/>
              <w:left w:val="nil"/>
              <w:bottom w:val="single" w:color="auto" w:sz="4" w:space="0"/>
              <w:right w:val="single" w:color="auto" w:sz="4" w:space="0"/>
            </w:tcBorders>
            <w:vAlign w:val="center"/>
          </w:tcPr>
          <w:p w14:paraId="3BEAC4A3">
            <w:pPr>
              <w:widowControl/>
              <w:jc w:val="left"/>
              <w:rPr>
                <w:rFonts w:ascii="仿宋" w:hAnsi="仿宋" w:eastAsia="仿宋" w:cs="宋体"/>
                <w:kern w:val="0"/>
                <w:sz w:val="18"/>
                <w:szCs w:val="18"/>
              </w:rPr>
            </w:pPr>
            <w:r>
              <w:rPr>
                <w:rFonts w:hint="eastAsia" w:ascii="仿宋" w:hAnsi="仿宋" w:eastAsia="仿宋" w:cs="宋体"/>
                <w:kern w:val="0"/>
                <w:sz w:val="18"/>
                <w:szCs w:val="18"/>
              </w:rPr>
              <w:t>20≤X＜300</w:t>
            </w:r>
          </w:p>
        </w:tc>
        <w:tc>
          <w:tcPr>
            <w:tcW w:w="937" w:type="dxa"/>
            <w:tcBorders>
              <w:top w:val="nil"/>
              <w:left w:val="nil"/>
              <w:bottom w:val="single" w:color="auto" w:sz="4" w:space="0"/>
              <w:right w:val="single" w:color="auto" w:sz="4" w:space="0"/>
            </w:tcBorders>
            <w:vAlign w:val="center"/>
          </w:tcPr>
          <w:p w14:paraId="1578702F">
            <w:pPr>
              <w:widowControl/>
              <w:jc w:val="left"/>
              <w:rPr>
                <w:rFonts w:ascii="仿宋" w:hAnsi="仿宋" w:eastAsia="仿宋" w:cs="宋体"/>
                <w:kern w:val="0"/>
                <w:sz w:val="18"/>
                <w:szCs w:val="18"/>
              </w:rPr>
            </w:pPr>
            <w:r>
              <w:rPr>
                <w:rFonts w:hint="eastAsia" w:ascii="仿宋" w:hAnsi="仿宋" w:eastAsia="仿宋" w:cs="宋体"/>
                <w:kern w:val="0"/>
                <w:sz w:val="18"/>
                <w:szCs w:val="18"/>
              </w:rPr>
              <w:t>X＜20</w:t>
            </w:r>
          </w:p>
        </w:tc>
      </w:tr>
      <w:tr w14:paraId="10CBE0C8">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627F0D4C">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7F183448">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227DB2A7">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74D8DC89">
            <w:pPr>
              <w:widowControl/>
              <w:jc w:val="left"/>
              <w:rPr>
                <w:rFonts w:ascii="仿宋" w:hAnsi="仿宋" w:eastAsia="仿宋" w:cs="宋体"/>
                <w:kern w:val="0"/>
                <w:sz w:val="18"/>
                <w:szCs w:val="18"/>
              </w:rPr>
            </w:pPr>
            <w:r>
              <w:rPr>
                <w:rFonts w:hint="eastAsia" w:ascii="仿宋" w:hAnsi="仿宋" w:eastAsia="仿宋" w:cs="宋体"/>
                <w:kern w:val="0"/>
                <w:sz w:val="18"/>
                <w:szCs w:val="18"/>
              </w:rPr>
              <w:t>2000≤Y＜30000</w:t>
            </w:r>
          </w:p>
        </w:tc>
        <w:tc>
          <w:tcPr>
            <w:tcW w:w="1513" w:type="dxa"/>
            <w:tcBorders>
              <w:top w:val="nil"/>
              <w:left w:val="nil"/>
              <w:bottom w:val="single" w:color="auto" w:sz="4" w:space="0"/>
              <w:right w:val="single" w:color="auto" w:sz="4" w:space="0"/>
            </w:tcBorders>
            <w:vAlign w:val="center"/>
          </w:tcPr>
          <w:p w14:paraId="2226B552">
            <w:pPr>
              <w:widowControl/>
              <w:jc w:val="left"/>
              <w:rPr>
                <w:rFonts w:ascii="仿宋" w:hAnsi="仿宋" w:eastAsia="仿宋" w:cs="宋体"/>
                <w:kern w:val="0"/>
                <w:sz w:val="18"/>
                <w:szCs w:val="18"/>
              </w:rPr>
            </w:pPr>
            <w:r>
              <w:rPr>
                <w:rFonts w:hint="eastAsia" w:ascii="仿宋" w:hAnsi="仿宋" w:eastAsia="仿宋" w:cs="宋体"/>
                <w:kern w:val="0"/>
                <w:sz w:val="18"/>
                <w:szCs w:val="18"/>
              </w:rPr>
              <w:t>100≤Y＜2000</w:t>
            </w:r>
          </w:p>
        </w:tc>
        <w:tc>
          <w:tcPr>
            <w:tcW w:w="937" w:type="dxa"/>
            <w:tcBorders>
              <w:top w:val="nil"/>
              <w:left w:val="nil"/>
              <w:bottom w:val="single" w:color="auto" w:sz="4" w:space="0"/>
              <w:right w:val="single" w:color="auto" w:sz="4" w:space="0"/>
            </w:tcBorders>
            <w:vAlign w:val="center"/>
          </w:tcPr>
          <w:p w14:paraId="3A49A4FF">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2AAF3A89">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7949C498">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住宿业</w:t>
            </w:r>
          </w:p>
        </w:tc>
        <w:tc>
          <w:tcPr>
            <w:tcW w:w="1676" w:type="dxa"/>
            <w:tcBorders>
              <w:top w:val="nil"/>
              <w:left w:val="nil"/>
              <w:bottom w:val="single" w:color="auto" w:sz="4" w:space="0"/>
              <w:right w:val="single" w:color="auto" w:sz="4" w:space="0"/>
            </w:tcBorders>
            <w:vAlign w:val="center"/>
          </w:tcPr>
          <w:p w14:paraId="2B0AA9DD">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1A22C315">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24C2ABE6">
            <w:pPr>
              <w:widowControl/>
              <w:jc w:val="left"/>
              <w:rPr>
                <w:rFonts w:ascii="仿宋" w:hAnsi="仿宋" w:eastAsia="仿宋" w:cs="宋体"/>
                <w:kern w:val="0"/>
                <w:sz w:val="18"/>
                <w:szCs w:val="18"/>
              </w:rPr>
            </w:pPr>
            <w:r>
              <w:rPr>
                <w:rFonts w:hint="eastAsia" w:ascii="仿宋" w:hAnsi="仿宋" w:eastAsia="仿宋" w:cs="宋体"/>
                <w:kern w:val="0"/>
                <w:sz w:val="18"/>
                <w:szCs w:val="18"/>
              </w:rPr>
              <w:t>100≤X＜300</w:t>
            </w:r>
          </w:p>
        </w:tc>
        <w:tc>
          <w:tcPr>
            <w:tcW w:w="1513" w:type="dxa"/>
            <w:tcBorders>
              <w:top w:val="nil"/>
              <w:left w:val="nil"/>
              <w:bottom w:val="single" w:color="auto" w:sz="4" w:space="0"/>
              <w:right w:val="single" w:color="auto" w:sz="4" w:space="0"/>
            </w:tcBorders>
            <w:vAlign w:val="center"/>
          </w:tcPr>
          <w:p w14:paraId="0DF90221">
            <w:pPr>
              <w:widowControl/>
              <w:jc w:val="left"/>
              <w:rPr>
                <w:rFonts w:ascii="仿宋" w:hAnsi="仿宋" w:eastAsia="仿宋" w:cs="宋体"/>
                <w:kern w:val="0"/>
                <w:sz w:val="18"/>
                <w:szCs w:val="18"/>
              </w:rPr>
            </w:pPr>
            <w:r>
              <w:rPr>
                <w:rFonts w:hint="eastAsia" w:ascii="仿宋" w:hAnsi="仿宋" w:eastAsia="仿宋" w:cs="宋体"/>
                <w:kern w:val="0"/>
                <w:sz w:val="18"/>
                <w:szCs w:val="18"/>
              </w:rPr>
              <w:t>10≤X＜100</w:t>
            </w:r>
          </w:p>
        </w:tc>
        <w:tc>
          <w:tcPr>
            <w:tcW w:w="937" w:type="dxa"/>
            <w:tcBorders>
              <w:top w:val="nil"/>
              <w:left w:val="nil"/>
              <w:bottom w:val="single" w:color="auto" w:sz="4" w:space="0"/>
              <w:right w:val="single" w:color="auto" w:sz="4" w:space="0"/>
            </w:tcBorders>
            <w:vAlign w:val="center"/>
          </w:tcPr>
          <w:p w14:paraId="2CB776AB">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r w14:paraId="28D2163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7FC83B3D">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0F30DDA1">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74D03902">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35BCDB2D">
            <w:pPr>
              <w:widowControl/>
              <w:jc w:val="left"/>
              <w:rPr>
                <w:rFonts w:ascii="仿宋" w:hAnsi="仿宋" w:eastAsia="仿宋" w:cs="宋体"/>
                <w:kern w:val="0"/>
                <w:sz w:val="18"/>
                <w:szCs w:val="18"/>
              </w:rPr>
            </w:pPr>
            <w:r>
              <w:rPr>
                <w:rFonts w:hint="eastAsia" w:ascii="仿宋" w:hAnsi="仿宋" w:eastAsia="仿宋" w:cs="宋体"/>
                <w:kern w:val="0"/>
                <w:sz w:val="18"/>
                <w:szCs w:val="18"/>
              </w:rPr>
              <w:t>2000≤Y＜10000</w:t>
            </w:r>
          </w:p>
        </w:tc>
        <w:tc>
          <w:tcPr>
            <w:tcW w:w="1513" w:type="dxa"/>
            <w:tcBorders>
              <w:top w:val="nil"/>
              <w:left w:val="nil"/>
              <w:bottom w:val="single" w:color="auto" w:sz="4" w:space="0"/>
              <w:right w:val="single" w:color="auto" w:sz="4" w:space="0"/>
            </w:tcBorders>
            <w:vAlign w:val="center"/>
          </w:tcPr>
          <w:p w14:paraId="57CE7E03">
            <w:pPr>
              <w:widowControl/>
              <w:jc w:val="left"/>
              <w:rPr>
                <w:rFonts w:ascii="仿宋" w:hAnsi="仿宋" w:eastAsia="仿宋" w:cs="宋体"/>
                <w:kern w:val="0"/>
                <w:sz w:val="18"/>
                <w:szCs w:val="18"/>
              </w:rPr>
            </w:pPr>
            <w:r>
              <w:rPr>
                <w:rFonts w:hint="eastAsia" w:ascii="仿宋" w:hAnsi="仿宋" w:eastAsia="仿宋" w:cs="宋体"/>
                <w:kern w:val="0"/>
                <w:sz w:val="18"/>
                <w:szCs w:val="18"/>
              </w:rPr>
              <w:t>100≤Y＜2000</w:t>
            </w:r>
          </w:p>
        </w:tc>
        <w:tc>
          <w:tcPr>
            <w:tcW w:w="937" w:type="dxa"/>
            <w:tcBorders>
              <w:top w:val="nil"/>
              <w:left w:val="nil"/>
              <w:bottom w:val="single" w:color="auto" w:sz="4" w:space="0"/>
              <w:right w:val="single" w:color="auto" w:sz="4" w:space="0"/>
            </w:tcBorders>
            <w:vAlign w:val="center"/>
          </w:tcPr>
          <w:p w14:paraId="3431BBA4">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0A274653">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3B89BC2">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餐饮业</w:t>
            </w:r>
          </w:p>
        </w:tc>
        <w:tc>
          <w:tcPr>
            <w:tcW w:w="1676" w:type="dxa"/>
            <w:tcBorders>
              <w:top w:val="nil"/>
              <w:left w:val="nil"/>
              <w:bottom w:val="single" w:color="auto" w:sz="4" w:space="0"/>
              <w:right w:val="single" w:color="auto" w:sz="4" w:space="0"/>
            </w:tcBorders>
            <w:vAlign w:val="center"/>
          </w:tcPr>
          <w:p w14:paraId="532D40BF">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2DED8E8F">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55302276">
            <w:pPr>
              <w:widowControl/>
              <w:jc w:val="left"/>
              <w:rPr>
                <w:rFonts w:ascii="仿宋" w:hAnsi="仿宋" w:eastAsia="仿宋" w:cs="宋体"/>
                <w:kern w:val="0"/>
                <w:sz w:val="18"/>
                <w:szCs w:val="18"/>
              </w:rPr>
            </w:pPr>
            <w:r>
              <w:rPr>
                <w:rFonts w:hint="eastAsia" w:ascii="仿宋" w:hAnsi="仿宋" w:eastAsia="仿宋" w:cs="宋体"/>
                <w:kern w:val="0"/>
                <w:sz w:val="18"/>
                <w:szCs w:val="18"/>
              </w:rPr>
              <w:t>100≤X＜300</w:t>
            </w:r>
          </w:p>
        </w:tc>
        <w:tc>
          <w:tcPr>
            <w:tcW w:w="1513" w:type="dxa"/>
            <w:tcBorders>
              <w:top w:val="nil"/>
              <w:left w:val="nil"/>
              <w:bottom w:val="single" w:color="auto" w:sz="4" w:space="0"/>
              <w:right w:val="single" w:color="auto" w:sz="4" w:space="0"/>
            </w:tcBorders>
            <w:vAlign w:val="center"/>
          </w:tcPr>
          <w:p w14:paraId="31DD1A95">
            <w:pPr>
              <w:widowControl/>
              <w:jc w:val="left"/>
              <w:rPr>
                <w:rFonts w:ascii="仿宋" w:hAnsi="仿宋" w:eastAsia="仿宋" w:cs="宋体"/>
                <w:kern w:val="0"/>
                <w:sz w:val="18"/>
                <w:szCs w:val="18"/>
              </w:rPr>
            </w:pPr>
            <w:r>
              <w:rPr>
                <w:rFonts w:hint="eastAsia" w:ascii="仿宋" w:hAnsi="仿宋" w:eastAsia="仿宋" w:cs="宋体"/>
                <w:kern w:val="0"/>
                <w:sz w:val="18"/>
                <w:szCs w:val="18"/>
              </w:rPr>
              <w:t>10≤X＜100</w:t>
            </w:r>
          </w:p>
        </w:tc>
        <w:tc>
          <w:tcPr>
            <w:tcW w:w="937" w:type="dxa"/>
            <w:tcBorders>
              <w:top w:val="nil"/>
              <w:left w:val="nil"/>
              <w:bottom w:val="single" w:color="auto" w:sz="4" w:space="0"/>
              <w:right w:val="single" w:color="auto" w:sz="4" w:space="0"/>
            </w:tcBorders>
            <w:vAlign w:val="center"/>
          </w:tcPr>
          <w:p w14:paraId="5FF59BC3">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r w14:paraId="2F974F6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BDB2471">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232F1A7A">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74489E0D">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285B0127">
            <w:pPr>
              <w:widowControl/>
              <w:jc w:val="left"/>
              <w:rPr>
                <w:rFonts w:ascii="仿宋" w:hAnsi="仿宋" w:eastAsia="仿宋" w:cs="宋体"/>
                <w:kern w:val="0"/>
                <w:sz w:val="18"/>
                <w:szCs w:val="18"/>
              </w:rPr>
            </w:pPr>
            <w:r>
              <w:rPr>
                <w:rFonts w:hint="eastAsia" w:ascii="仿宋" w:hAnsi="仿宋" w:eastAsia="仿宋" w:cs="宋体"/>
                <w:kern w:val="0"/>
                <w:sz w:val="18"/>
                <w:szCs w:val="18"/>
              </w:rPr>
              <w:t>2000≤Y＜10000</w:t>
            </w:r>
          </w:p>
        </w:tc>
        <w:tc>
          <w:tcPr>
            <w:tcW w:w="1513" w:type="dxa"/>
            <w:tcBorders>
              <w:top w:val="nil"/>
              <w:left w:val="nil"/>
              <w:bottom w:val="single" w:color="auto" w:sz="4" w:space="0"/>
              <w:right w:val="single" w:color="auto" w:sz="4" w:space="0"/>
            </w:tcBorders>
            <w:vAlign w:val="center"/>
          </w:tcPr>
          <w:p w14:paraId="16D6D92D">
            <w:pPr>
              <w:widowControl/>
              <w:jc w:val="left"/>
              <w:rPr>
                <w:rFonts w:ascii="仿宋" w:hAnsi="仿宋" w:eastAsia="仿宋" w:cs="宋体"/>
                <w:kern w:val="0"/>
                <w:sz w:val="18"/>
                <w:szCs w:val="18"/>
              </w:rPr>
            </w:pPr>
            <w:r>
              <w:rPr>
                <w:rFonts w:hint="eastAsia" w:ascii="仿宋" w:hAnsi="仿宋" w:eastAsia="仿宋" w:cs="宋体"/>
                <w:kern w:val="0"/>
                <w:sz w:val="18"/>
                <w:szCs w:val="18"/>
              </w:rPr>
              <w:t>100≤Y＜2000</w:t>
            </w:r>
          </w:p>
        </w:tc>
        <w:tc>
          <w:tcPr>
            <w:tcW w:w="937" w:type="dxa"/>
            <w:tcBorders>
              <w:top w:val="nil"/>
              <w:left w:val="nil"/>
              <w:bottom w:val="single" w:color="auto" w:sz="4" w:space="0"/>
              <w:right w:val="single" w:color="auto" w:sz="4" w:space="0"/>
            </w:tcBorders>
            <w:vAlign w:val="center"/>
          </w:tcPr>
          <w:p w14:paraId="50EAB482">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19AC7D1F">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084158E3">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信息传输业</w:t>
            </w:r>
          </w:p>
        </w:tc>
        <w:tc>
          <w:tcPr>
            <w:tcW w:w="1676" w:type="dxa"/>
            <w:tcBorders>
              <w:top w:val="nil"/>
              <w:left w:val="nil"/>
              <w:bottom w:val="single" w:color="auto" w:sz="4" w:space="0"/>
              <w:right w:val="single" w:color="auto" w:sz="4" w:space="0"/>
            </w:tcBorders>
            <w:vAlign w:val="center"/>
          </w:tcPr>
          <w:p w14:paraId="6908D82E">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65F75BE1">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75902BE8">
            <w:pPr>
              <w:widowControl/>
              <w:jc w:val="left"/>
              <w:rPr>
                <w:rFonts w:ascii="仿宋" w:hAnsi="仿宋" w:eastAsia="仿宋" w:cs="宋体"/>
                <w:kern w:val="0"/>
                <w:sz w:val="18"/>
                <w:szCs w:val="18"/>
              </w:rPr>
            </w:pPr>
            <w:r>
              <w:rPr>
                <w:rFonts w:hint="eastAsia" w:ascii="仿宋" w:hAnsi="仿宋" w:eastAsia="仿宋" w:cs="宋体"/>
                <w:kern w:val="0"/>
                <w:sz w:val="18"/>
                <w:szCs w:val="18"/>
              </w:rPr>
              <w:t>100≤X＜2000</w:t>
            </w:r>
          </w:p>
        </w:tc>
        <w:tc>
          <w:tcPr>
            <w:tcW w:w="1513" w:type="dxa"/>
            <w:tcBorders>
              <w:top w:val="nil"/>
              <w:left w:val="nil"/>
              <w:bottom w:val="single" w:color="auto" w:sz="4" w:space="0"/>
              <w:right w:val="single" w:color="auto" w:sz="4" w:space="0"/>
            </w:tcBorders>
            <w:vAlign w:val="center"/>
          </w:tcPr>
          <w:p w14:paraId="07E0F620">
            <w:pPr>
              <w:widowControl/>
              <w:jc w:val="left"/>
              <w:rPr>
                <w:rFonts w:ascii="仿宋" w:hAnsi="仿宋" w:eastAsia="仿宋" w:cs="宋体"/>
                <w:kern w:val="0"/>
                <w:sz w:val="18"/>
                <w:szCs w:val="18"/>
              </w:rPr>
            </w:pPr>
            <w:r>
              <w:rPr>
                <w:rFonts w:hint="eastAsia" w:ascii="仿宋" w:hAnsi="仿宋" w:eastAsia="仿宋" w:cs="宋体"/>
                <w:kern w:val="0"/>
                <w:sz w:val="18"/>
                <w:szCs w:val="18"/>
              </w:rPr>
              <w:t>10≤X＜100</w:t>
            </w:r>
          </w:p>
        </w:tc>
        <w:tc>
          <w:tcPr>
            <w:tcW w:w="937" w:type="dxa"/>
            <w:tcBorders>
              <w:top w:val="nil"/>
              <w:left w:val="nil"/>
              <w:bottom w:val="single" w:color="auto" w:sz="4" w:space="0"/>
              <w:right w:val="single" w:color="auto" w:sz="4" w:space="0"/>
            </w:tcBorders>
            <w:vAlign w:val="center"/>
          </w:tcPr>
          <w:p w14:paraId="5B36559F">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r w14:paraId="01E052FE">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D61361D">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16E3BF76">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7A97880B">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6C19A331">
            <w:pPr>
              <w:widowControl/>
              <w:jc w:val="left"/>
              <w:rPr>
                <w:rFonts w:ascii="仿宋" w:hAnsi="仿宋" w:eastAsia="仿宋" w:cs="宋体"/>
                <w:kern w:val="0"/>
                <w:sz w:val="18"/>
                <w:szCs w:val="18"/>
              </w:rPr>
            </w:pPr>
            <w:r>
              <w:rPr>
                <w:rFonts w:hint="eastAsia" w:ascii="仿宋" w:hAnsi="仿宋" w:eastAsia="仿宋" w:cs="宋体"/>
                <w:kern w:val="0"/>
                <w:sz w:val="18"/>
                <w:szCs w:val="18"/>
              </w:rPr>
              <w:t>1000≤Y＜100000</w:t>
            </w:r>
          </w:p>
        </w:tc>
        <w:tc>
          <w:tcPr>
            <w:tcW w:w="1513" w:type="dxa"/>
            <w:tcBorders>
              <w:top w:val="nil"/>
              <w:left w:val="nil"/>
              <w:bottom w:val="single" w:color="auto" w:sz="4" w:space="0"/>
              <w:right w:val="single" w:color="auto" w:sz="4" w:space="0"/>
            </w:tcBorders>
            <w:vAlign w:val="center"/>
          </w:tcPr>
          <w:p w14:paraId="0ABEF795">
            <w:pPr>
              <w:widowControl/>
              <w:jc w:val="left"/>
              <w:rPr>
                <w:rFonts w:ascii="仿宋" w:hAnsi="仿宋" w:eastAsia="仿宋" w:cs="宋体"/>
                <w:kern w:val="0"/>
                <w:sz w:val="18"/>
                <w:szCs w:val="18"/>
              </w:rPr>
            </w:pPr>
            <w:r>
              <w:rPr>
                <w:rFonts w:hint="eastAsia" w:ascii="仿宋" w:hAnsi="仿宋" w:eastAsia="仿宋" w:cs="宋体"/>
                <w:kern w:val="0"/>
                <w:sz w:val="18"/>
                <w:szCs w:val="18"/>
              </w:rPr>
              <w:t>100≤Y＜1000</w:t>
            </w:r>
          </w:p>
        </w:tc>
        <w:tc>
          <w:tcPr>
            <w:tcW w:w="937" w:type="dxa"/>
            <w:tcBorders>
              <w:top w:val="nil"/>
              <w:left w:val="nil"/>
              <w:bottom w:val="single" w:color="auto" w:sz="4" w:space="0"/>
              <w:right w:val="single" w:color="auto" w:sz="4" w:space="0"/>
            </w:tcBorders>
            <w:vAlign w:val="center"/>
          </w:tcPr>
          <w:p w14:paraId="374F3BBC">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1BFF705A">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2D7F6F04">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软件和信息技术服务业</w:t>
            </w:r>
          </w:p>
        </w:tc>
        <w:tc>
          <w:tcPr>
            <w:tcW w:w="1676" w:type="dxa"/>
            <w:tcBorders>
              <w:top w:val="nil"/>
              <w:left w:val="nil"/>
              <w:bottom w:val="single" w:color="auto" w:sz="4" w:space="0"/>
              <w:right w:val="single" w:color="auto" w:sz="4" w:space="0"/>
            </w:tcBorders>
            <w:vAlign w:val="center"/>
          </w:tcPr>
          <w:p w14:paraId="11112DD6">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1CA0A97E">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7E200905">
            <w:pPr>
              <w:widowControl/>
              <w:jc w:val="left"/>
              <w:rPr>
                <w:rFonts w:ascii="仿宋" w:hAnsi="仿宋" w:eastAsia="仿宋" w:cs="宋体"/>
                <w:kern w:val="0"/>
                <w:sz w:val="18"/>
                <w:szCs w:val="18"/>
              </w:rPr>
            </w:pPr>
            <w:r>
              <w:rPr>
                <w:rFonts w:hint="eastAsia" w:ascii="仿宋" w:hAnsi="仿宋" w:eastAsia="仿宋" w:cs="宋体"/>
                <w:kern w:val="0"/>
                <w:sz w:val="18"/>
                <w:szCs w:val="18"/>
              </w:rPr>
              <w:t>100≤X＜300</w:t>
            </w:r>
          </w:p>
        </w:tc>
        <w:tc>
          <w:tcPr>
            <w:tcW w:w="1513" w:type="dxa"/>
            <w:tcBorders>
              <w:top w:val="nil"/>
              <w:left w:val="nil"/>
              <w:bottom w:val="single" w:color="auto" w:sz="4" w:space="0"/>
              <w:right w:val="single" w:color="auto" w:sz="4" w:space="0"/>
            </w:tcBorders>
            <w:vAlign w:val="center"/>
          </w:tcPr>
          <w:p w14:paraId="111214BF">
            <w:pPr>
              <w:widowControl/>
              <w:jc w:val="left"/>
              <w:rPr>
                <w:rFonts w:ascii="仿宋" w:hAnsi="仿宋" w:eastAsia="仿宋" w:cs="宋体"/>
                <w:kern w:val="0"/>
                <w:sz w:val="18"/>
                <w:szCs w:val="18"/>
              </w:rPr>
            </w:pPr>
            <w:r>
              <w:rPr>
                <w:rFonts w:hint="eastAsia" w:ascii="仿宋" w:hAnsi="仿宋" w:eastAsia="仿宋" w:cs="宋体"/>
                <w:kern w:val="0"/>
                <w:sz w:val="18"/>
                <w:szCs w:val="18"/>
              </w:rPr>
              <w:t>10≤X＜100</w:t>
            </w:r>
          </w:p>
        </w:tc>
        <w:tc>
          <w:tcPr>
            <w:tcW w:w="937" w:type="dxa"/>
            <w:tcBorders>
              <w:top w:val="nil"/>
              <w:left w:val="nil"/>
              <w:bottom w:val="single" w:color="auto" w:sz="4" w:space="0"/>
              <w:right w:val="single" w:color="auto" w:sz="4" w:space="0"/>
            </w:tcBorders>
            <w:vAlign w:val="center"/>
          </w:tcPr>
          <w:p w14:paraId="4C479DDA">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r w14:paraId="611B6D8B">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B7598F1">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1A8488C2">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004827B8">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5A457C07">
            <w:pPr>
              <w:widowControl/>
              <w:jc w:val="left"/>
              <w:rPr>
                <w:rFonts w:ascii="仿宋" w:hAnsi="仿宋" w:eastAsia="仿宋" w:cs="宋体"/>
                <w:kern w:val="0"/>
                <w:sz w:val="18"/>
                <w:szCs w:val="18"/>
              </w:rPr>
            </w:pPr>
            <w:r>
              <w:rPr>
                <w:rFonts w:hint="eastAsia" w:ascii="仿宋" w:hAnsi="仿宋" w:eastAsia="仿宋" w:cs="宋体"/>
                <w:kern w:val="0"/>
                <w:sz w:val="18"/>
                <w:szCs w:val="18"/>
              </w:rPr>
              <w:t>1000≤Y＜10000</w:t>
            </w:r>
          </w:p>
        </w:tc>
        <w:tc>
          <w:tcPr>
            <w:tcW w:w="1513" w:type="dxa"/>
            <w:tcBorders>
              <w:top w:val="nil"/>
              <w:left w:val="nil"/>
              <w:bottom w:val="single" w:color="auto" w:sz="4" w:space="0"/>
              <w:right w:val="single" w:color="auto" w:sz="4" w:space="0"/>
            </w:tcBorders>
            <w:vAlign w:val="center"/>
          </w:tcPr>
          <w:p w14:paraId="5457F97C">
            <w:pPr>
              <w:widowControl/>
              <w:jc w:val="left"/>
              <w:rPr>
                <w:rFonts w:ascii="仿宋" w:hAnsi="仿宋" w:eastAsia="仿宋" w:cs="宋体"/>
                <w:kern w:val="0"/>
                <w:sz w:val="18"/>
                <w:szCs w:val="18"/>
              </w:rPr>
            </w:pPr>
            <w:r>
              <w:rPr>
                <w:rFonts w:hint="eastAsia" w:ascii="仿宋" w:hAnsi="仿宋" w:eastAsia="仿宋" w:cs="宋体"/>
                <w:kern w:val="0"/>
                <w:sz w:val="18"/>
                <w:szCs w:val="18"/>
              </w:rPr>
              <w:t>50≤Y＜1000</w:t>
            </w:r>
          </w:p>
        </w:tc>
        <w:tc>
          <w:tcPr>
            <w:tcW w:w="937" w:type="dxa"/>
            <w:tcBorders>
              <w:top w:val="nil"/>
              <w:left w:val="nil"/>
              <w:bottom w:val="single" w:color="auto" w:sz="4" w:space="0"/>
              <w:right w:val="single" w:color="auto" w:sz="4" w:space="0"/>
            </w:tcBorders>
            <w:vAlign w:val="center"/>
          </w:tcPr>
          <w:p w14:paraId="6A4ECD67">
            <w:pPr>
              <w:widowControl/>
              <w:jc w:val="left"/>
              <w:rPr>
                <w:rFonts w:ascii="仿宋" w:hAnsi="仿宋" w:eastAsia="仿宋" w:cs="宋体"/>
                <w:kern w:val="0"/>
                <w:sz w:val="18"/>
                <w:szCs w:val="18"/>
              </w:rPr>
            </w:pPr>
            <w:r>
              <w:rPr>
                <w:rFonts w:hint="eastAsia" w:ascii="仿宋" w:hAnsi="仿宋" w:eastAsia="仿宋" w:cs="宋体"/>
                <w:kern w:val="0"/>
                <w:sz w:val="18"/>
                <w:szCs w:val="18"/>
              </w:rPr>
              <w:t>Y＜50</w:t>
            </w:r>
          </w:p>
        </w:tc>
      </w:tr>
      <w:tr w14:paraId="4CC39FCE">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76DA5A3">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房地产开发经营</w:t>
            </w:r>
          </w:p>
        </w:tc>
        <w:tc>
          <w:tcPr>
            <w:tcW w:w="1676" w:type="dxa"/>
            <w:tcBorders>
              <w:top w:val="nil"/>
              <w:left w:val="nil"/>
              <w:bottom w:val="single" w:color="auto" w:sz="4" w:space="0"/>
              <w:right w:val="single" w:color="auto" w:sz="4" w:space="0"/>
            </w:tcBorders>
            <w:vAlign w:val="center"/>
          </w:tcPr>
          <w:p w14:paraId="6199D081">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0975B27B">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508E80D8">
            <w:pPr>
              <w:widowControl/>
              <w:jc w:val="left"/>
              <w:rPr>
                <w:rFonts w:ascii="仿宋" w:hAnsi="仿宋" w:eastAsia="仿宋" w:cs="宋体"/>
                <w:kern w:val="0"/>
                <w:sz w:val="18"/>
                <w:szCs w:val="18"/>
              </w:rPr>
            </w:pPr>
            <w:r>
              <w:rPr>
                <w:rFonts w:hint="eastAsia" w:ascii="仿宋" w:hAnsi="仿宋" w:eastAsia="仿宋" w:cs="宋体"/>
                <w:kern w:val="0"/>
                <w:sz w:val="18"/>
                <w:szCs w:val="18"/>
              </w:rPr>
              <w:t>1000≤Y＜200000</w:t>
            </w:r>
          </w:p>
        </w:tc>
        <w:tc>
          <w:tcPr>
            <w:tcW w:w="1513" w:type="dxa"/>
            <w:tcBorders>
              <w:top w:val="nil"/>
              <w:left w:val="nil"/>
              <w:bottom w:val="single" w:color="auto" w:sz="4" w:space="0"/>
              <w:right w:val="single" w:color="auto" w:sz="4" w:space="0"/>
            </w:tcBorders>
            <w:vAlign w:val="center"/>
          </w:tcPr>
          <w:p w14:paraId="6ABFB412">
            <w:pPr>
              <w:widowControl/>
              <w:jc w:val="left"/>
              <w:rPr>
                <w:rFonts w:ascii="仿宋" w:hAnsi="仿宋" w:eastAsia="仿宋" w:cs="宋体"/>
                <w:kern w:val="0"/>
                <w:sz w:val="18"/>
                <w:szCs w:val="18"/>
              </w:rPr>
            </w:pPr>
            <w:r>
              <w:rPr>
                <w:rFonts w:hint="eastAsia" w:ascii="仿宋" w:hAnsi="仿宋" w:eastAsia="仿宋" w:cs="宋体"/>
                <w:kern w:val="0"/>
                <w:sz w:val="18"/>
                <w:szCs w:val="18"/>
              </w:rPr>
              <w:t>100≤X＜1000</w:t>
            </w:r>
          </w:p>
        </w:tc>
        <w:tc>
          <w:tcPr>
            <w:tcW w:w="937" w:type="dxa"/>
            <w:tcBorders>
              <w:top w:val="nil"/>
              <w:left w:val="nil"/>
              <w:bottom w:val="single" w:color="auto" w:sz="4" w:space="0"/>
              <w:right w:val="single" w:color="auto" w:sz="4" w:space="0"/>
            </w:tcBorders>
            <w:vAlign w:val="center"/>
          </w:tcPr>
          <w:p w14:paraId="6B785C1B">
            <w:pPr>
              <w:widowControl/>
              <w:jc w:val="left"/>
              <w:rPr>
                <w:rFonts w:ascii="仿宋" w:hAnsi="仿宋" w:eastAsia="仿宋" w:cs="宋体"/>
                <w:kern w:val="0"/>
                <w:sz w:val="18"/>
                <w:szCs w:val="18"/>
              </w:rPr>
            </w:pPr>
            <w:r>
              <w:rPr>
                <w:rFonts w:hint="eastAsia" w:ascii="仿宋" w:hAnsi="仿宋" w:eastAsia="仿宋" w:cs="宋体"/>
                <w:kern w:val="0"/>
                <w:sz w:val="18"/>
                <w:szCs w:val="18"/>
              </w:rPr>
              <w:t>X＜100</w:t>
            </w:r>
          </w:p>
        </w:tc>
      </w:tr>
      <w:tr w14:paraId="7B793510">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0BF299B9">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0E491452">
            <w:pPr>
              <w:widowControl/>
              <w:jc w:val="left"/>
              <w:rPr>
                <w:rFonts w:ascii="仿宋" w:hAnsi="仿宋" w:eastAsia="仿宋" w:cs="宋体"/>
                <w:kern w:val="0"/>
                <w:sz w:val="18"/>
                <w:szCs w:val="18"/>
              </w:rPr>
            </w:pPr>
            <w:r>
              <w:rPr>
                <w:rFonts w:hint="eastAsia" w:ascii="仿宋" w:hAnsi="仿宋" w:eastAsia="仿宋" w:cs="宋体"/>
                <w:kern w:val="0"/>
                <w:sz w:val="18"/>
                <w:szCs w:val="18"/>
              </w:rPr>
              <w:t>资产总额（Z）</w:t>
            </w:r>
          </w:p>
        </w:tc>
        <w:tc>
          <w:tcPr>
            <w:tcW w:w="912" w:type="dxa"/>
            <w:tcBorders>
              <w:top w:val="nil"/>
              <w:left w:val="nil"/>
              <w:bottom w:val="single" w:color="auto" w:sz="4" w:space="0"/>
              <w:right w:val="single" w:color="auto" w:sz="4" w:space="0"/>
            </w:tcBorders>
            <w:vAlign w:val="center"/>
          </w:tcPr>
          <w:p w14:paraId="4A3250A9">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6F55D4F0">
            <w:pPr>
              <w:widowControl/>
              <w:jc w:val="left"/>
              <w:rPr>
                <w:rFonts w:ascii="仿宋" w:hAnsi="仿宋" w:eastAsia="仿宋" w:cs="宋体"/>
                <w:kern w:val="0"/>
                <w:sz w:val="18"/>
                <w:szCs w:val="18"/>
              </w:rPr>
            </w:pPr>
            <w:r>
              <w:rPr>
                <w:rFonts w:hint="eastAsia" w:ascii="仿宋" w:hAnsi="仿宋" w:eastAsia="仿宋" w:cs="宋体"/>
                <w:kern w:val="0"/>
                <w:sz w:val="18"/>
                <w:szCs w:val="18"/>
              </w:rPr>
              <w:t>5000≤Z＜10000</w:t>
            </w:r>
          </w:p>
        </w:tc>
        <w:tc>
          <w:tcPr>
            <w:tcW w:w="1513" w:type="dxa"/>
            <w:tcBorders>
              <w:top w:val="nil"/>
              <w:left w:val="nil"/>
              <w:bottom w:val="single" w:color="auto" w:sz="4" w:space="0"/>
              <w:right w:val="single" w:color="auto" w:sz="4" w:space="0"/>
            </w:tcBorders>
            <w:vAlign w:val="center"/>
          </w:tcPr>
          <w:p w14:paraId="07C47824">
            <w:pPr>
              <w:widowControl/>
              <w:jc w:val="left"/>
              <w:rPr>
                <w:rFonts w:ascii="仿宋" w:hAnsi="仿宋" w:eastAsia="仿宋" w:cs="宋体"/>
                <w:kern w:val="0"/>
                <w:sz w:val="18"/>
                <w:szCs w:val="18"/>
              </w:rPr>
            </w:pPr>
            <w:r>
              <w:rPr>
                <w:rFonts w:hint="eastAsia" w:ascii="仿宋" w:hAnsi="仿宋" w:eastAsia="仿宋" w:cs="宋体"/>
                <w:kern w:val="0"/>
                <w:sz w:val="18"/>
                <w:szCs w:val="18"/>
              </w:rPr>
              <w:t>2000≤Y＜5000</w:t>
            </w:r>
          </w:p>
        </w:tc>
        <w:tc>
          <w:tcPr>
            <w:tcW w:w="937" w:type="dxa"/>
            <w:tcBorders>
              <w:top w:val="nil"/>
              <w:left w:val="nil"/>
              <w:bottom w:val="single" w:color="auto" w:sz="4" w:space="0"/>
              <w:right w:val="single" w:color="auto" w:sz="4" w:space="0"/>
            </w:tcBorders>
            <w:vAlign w:val="center"/>
          </w:tcPr>
          <w:p w14:paraId="6D5C2EE1">
            <w:pPr>
              <w:widowControl/>
              <w:jc w:val="left"/>
              <w:rPr>
                <w:rFonts w:ascii="仿宋" w:hAnsi="仿宋" w:eastAsia="仿宋" w:cs="宋体"/>
                <w:kern w:val="0"/>
                <w:sz w:val="18"/>
                <w:szCs w:val="18"/>
              </w:rPr>
            </w:pPr>
            <w:r>
              <w:rPr>
                <w:rFonts w:hint="eastAsia" w:ascii="仿宋" w:hAnsi="仿宋" w:eastAsia="仿宋" w:cs="宋体"/>
                <w:kern w:val="0"/>
                <w:sz w:val="18"/>
                <w:szCs w:val="18"/>
              </w:rPr>
              <w:t>Y＜2000</w:t>
            </w:r>
          </w:p>
        </w:tc>
      </w:tr>
      <w:tr w14:paraId="06F729E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6D03A0F9">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物业管理</w:t>
            </w:r>
          </w:p>
        </w:tc>
        <w:tc>
          <w:tcPr>
            <w:tcW w:w="1676" w:type="dxa"/>
            <w:tcBorders>
              <w:top w:val="nil"/>
              <w:left w:val="nil"/>
              <w:bottom w:val="single" w:color="auto" w:sz="4" w:space="0"/>
              <w:right w:val="single" w:color="auto" w:sz="4" w:space="0"/>
            </w:tcBorders>
            <w:vAlign w:val="center"/>
          </w:tcPr>
          <w:p w14:paraId="588DF674">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30A8611F">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5996D90B">
            <w:pPr>
              <w:widowControl/>
              <w:jc w:val="left"/>
              <w:rPr>
                <w:rFonts w:ascii="仿宋" w:hAnsi="仿宋" w:eastAsia="仿宋" w:cs="宋体"/>
                <w:kern w:val="0"/>
                <w:sz w:val="18"/>
                <w:szCs w:val="18"/>
              </w:rPr>
            </w:pPr>
            <w:r>
              <w:rPr>
                <w:rFonts w:hint="eastAsia" w:ascii="仿宋" w:hAnsi="仿宋" w:eastAsia="仿宋" w:cs="宋体"/>
                <w:kern w:val="0"/>
                <w:sz w:val="18"/>
                <w:szCs w:val="18"/>
              </w:rPr>
              <w:t>300≤X＜1000</w:t>
            </w:r>
          </w:p>
        </w:tc>
        <w:tc>
          <w:tcPr>
            <w:tcW w:w="1513" w:type="dxa"/>
            <w:tcBorders>
              <w:top w:val="nil"/>
              <w:left w:val="nil"/>
              <w:bottom w:val="single" w:color="auto" w:sz="4" w:space="0"/>
              <w:right w:val="single" w:color="auto" w:sz="4" w:space="0"/>
            </w:tcBorders>
            <w:vAlign w:val="center"/>
          </w:tcPr>
          <w:p w14:paraId="3FCEA4BD">
            <w:pPr>
              <w:widowControl/>
              <w:jc w:val="left"/>
              <w:rPr>
                <w:rFonts w:ascii="仿宋" w:hAnsi="仿宋" w:eastAsia="仿宋" w:cs="宋体"/>
                <w:kern w:val="0"/>
                <w:sz w:val="18"/>
                <w:szCs w:val="18"/>
              </w:rPr>
            </w:pPr>
            <w:r>
              <w:rPr>
                <w:rFonts w:hint="eastAsia" w:ascii="仿宋" w:hAnsi="仿宋" w:eastAsia="仿宋" w:cs="宋体"/>
                <w:kern w:val="0"/>
                <w:sz w:val="18"/>
                <w:szCs w:val="18"/>
              </w:rPr>
              <w:t>100≤X＜300</w:t>
            </w:r>
          </w:p>
        </w:tc>
        <w:tc>
          <w:tcPr>
            <w:tcW w:w="937" w:type="dxa"/>
            <w:tcBorders>
              <w:top w:val="nil"/>
              <w:left w:val="nil"/>
              <w:bottom w:val="single" w:color="auto" w:sz="4" w:space="0"/>
              <w:right w:val="single" w:color="auto" w:sz="4" w:space="0"/>
            </w:tcBorders>
            <w:vAlign w:val="center"/>
          </w:tcPr>
          <w:p w14:paraId="68F48D4A">
            <w:pPr>
              <w:widowControl/>
              <w:jc w:val="left"/>
              <w:rPr>
                <w:rFonts w:ascii="仿宋" w:hAnsi="仿宋" w:eastAsia="仿宋" w:cs="宋体"/>
                <w:kern w:val="0"/>
                <w:sz w:val="18"/>
                <w:szCs w:val="18"/>
              </w:rPr>
            </w:pPr>
            <w:r>
              <w:rPr>
                <w:rFonts w:hint="eastAsia" w:ascii="仿宋" w:hAnsi="仿宋" w:eastAsia="仿宋" w:cs="宋体"/>
                <w:kern w:val="0"/>
                <w:sz w:val="18"/>
                <w:szCs w:val="18"/>
              </w:rPr>
              <w:t>X＜100</w:t>
            </w:r>
          </w:p>
        </w:tc>
      </w:tr>
      <w:tr w14:paraId="3428B702">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375817C8">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44723961">
            <w:pPr>
              <w:widowControl/>
              <w:jc w:val="left"/>
              <w:rPr>
                <w:rFonts w:ascii="仿宋" w:hAnsi="仿宋" w:eastAsia="仿宋" w:cs="宋体"/>
                <w:kern w:val="0"/>
                <w:sz w:val="18"/>
                <w:szCs w:val="18"/>
              </w:rPr>
            </w:pPr>
            <w:r>
              <w:rPr>
                <w:rFonts w:hint="eastAsia" w:ascii="仿宋" w:hAnsi="仿宋" w:eastAsia="仿宋" w:cs="宋体"/>
                <w:kern w:val="0"/>
                <w:sz w:val="18"/>
                <w:szCs w:val="18"/>
              </w:rPr>
              <w:t>营业收入（Y）</w:t>
            </w:r>
          </w:p>
        </w:tc>
        <w:tc>
          <w:tcPr>
            <w:tcW w:w="912" w:type="dxa"/>
            <w:tcBorders>
              <w:top w:val="nil"/>
              <w:left w:val="nil"/>
              <w:bottom w:val="single" w:color="auto" w:sz="4" w:space="0"/>
              <w:right w:val="single" w:color="auto" w:sz="4" w:space="0"/>
            </w:tcBorders>
            <w:vAlign w:val="center"/>
          </w:tcPr>
          <w:p w14:paraId="39DE0FCD">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6DFEBEAC">
            <w:pPr>
              <w:widowControl/>
              <w:jc w:val="left"/>
              <w:rPr>
                <w:rFonts w:ascii="仿宋" w:hAnsi="仿宋" w:eastAsia="仿宋" w:cs="宋体"/>
                <w:kern w:val="0"/>
                <w:sz w:val="18"/>
                <w:szCs w:val="18"/>
              </w:rPr>
            </w:pPr>
            <w:r>
              <w:rPr>
                <w:rFonts w:hint="eastAsia" w:ascii="仿宋" w:hAnsi="仿宋" w:eastAsia="仿宋" w:cs="宋体"/>
                <w:kern w:val="0"/>
                <w:sz w:val="18"/>
                <w:szCs w:val="18"/>
              </w:rPr>
              <w:t>1000≤Y＜5000</w:t>
            </w:r>
          </w:p>
        </w:tc>
        <w:tc>
          <w:tcPr>
            <w:tcW w:w="1513" w:type="dxa"/>
            <w:tcBorders>
              <w:top w:val="nil"/>
              <w:left w:val="nil"/>
              <w:bottom w:val="single" w:color="auto" w:sz="4" w:space="0"/>
              <w:right w:val="single" w:color="auto" w:sz="4" w:space="0"/>
            </w:tcBorders>
            <w:vAlign w:val="center"/>
          </w:tcPr>
          <w:p w14:paraId="310B01E7">
            <w:pPr>
              <w:widowControl/>
              <w:jc w:val="left"/>
              <w:rPr>
                <w:rFonts w:ascii="仿宋" w:hAnsi="仿宋" w:eastAsia="仿宋" w:cs="宋体"/>
                <w:kern w:val="0"/>
                <w:sz w:val="18"/>
                <w:szCs w:val="18"/>
              </w:rPr>
            </w:pPr>
            <w:r>
              <w:rPr>
                <w:rFonts w:hint="eastAsia" w:ascii="仿宋" w:hAnsi="仿宋" w:eastAsia="仿宋" w:cs="宋体"/>
                <w:kern w:val="0"/>
                <w:sz w:val="18"/>
                <w:szCs w:val="18"/>
              </w:rPr>
              <w:t>500≤Y＜1000</w:t>
            </w:r>
          </w:p>
        </w:tc>
        <w:tc>
          <w:tcPr>
            <w:tcW w:w="937" w:type="dxa"/>
            <w:tcBorders>
              <w:top w:val="nil"/>
              <w:left w:val="nil"/>
              <w:bottom w:val="single" w:color="auto" w:sz="4" w:space="0"/>
              <w:right w:val="single" w:color="auto" w:sz="4" w:space="0"/>
            </w:tcBorders>
            <w:vAlign w:val="center"/>
          </w:tcPr>
          <w:p w14:paraId="0144F692">
            <w:pPr>
              <w:widowControl/>
              <w:jc w:val="left"/>
              <w:rPr>
                <w:rFonts w:ascii="仿宋" w:hAnsi="仿宋" w:eastAsia="仿宋" w:cs="宋体"/>
                <w:kern w:val="0"/>
                <w:sz w:val="18"/>
                <w:szCs w:val="18"/>
              </w:rPr>
            </w:pPr>
            <w:r>
              <w:rPr>
                <w:rFonts w:hint="eastAsia" w:ascii="仿宋" w:hAnsi="仿宋" w:eastAsia="仿宋" w:cs="宋体"/>
                <w:kern w:val="0"/>
                <w:sz w:val="18"/>
                <w:szCs w:val="18"/>
              </w:rPr>
              <w:t>Y＜500</w:t>
            </w:r>
          </w:p>
        </w:tc>
      </w:tr>
      <w:tr w14:paraId="41BDFFCB">
        <w:tblPrEx>
          <w:tblCellMar>
            <w:top w:w="0" w:type="dxa"/>
            <w:left w:w="108" w:type="dxa"/>
            <w:bottom w:w="0" w:type="dxa"/>
            <w:right w:w="108" w:type="dxa"/>
          </w:tblCellMar>
        </w:tblPrEx>
        <w:trPr>
          <w:trHeight w:val="225" w:hRule="atLeast"/>
        </w:trPr>
        <w:tc>
          <w:tcPr>
            <w:tcW w:w="1985" w:type="dxa"/>
            <w:vMerge w:val="restart"/>
            <w:tcBorders>
              <w:top w:val="nil"/>
              <w:left w:val="single" w:color="auto" w:sz="4" w:space="0"/>
              <w:bottom w:val="single" w:color="auto" w:sz="4" w:space="0"/>
              <w:right w:val="single" w:color="auto" w:sz="4" w:space="0"/>
            </w:tcBorders>
            <w:vAlign w:val="bottom"/>
          </w:tcPr>
          <w:p w14:paraId="5BDFB95C">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租赁和商务服务业</w:t>
            </w:r>
          </w:p>
        </w:tc>
        <w:tc>
          <w:tcPr>
            <w:tcW w:w="1676" w:type="dxa"/>
            <w:tcBorders>
              <w:top w:val="nil"/>
              <w:left w:val="nil"/>
              <w:bottom w:val="single" w:color="auto" w:sz="4" w:space="0"/>
              <w:right w:val="single" w:color="auto" w:sz="4" w:space="0"/>
            </w:tcBorders>
            <w:vAlign w:val="center"/>
          </w:tcPr>
          <w:p w14:paraId="7E4FD49D">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635C5327">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59E56EEB">
            <w:pPr>
              <w:widowControl/>
              <w:jc w:val="left"/>
              <w:rPr>
                <w:rFonts w:ascii="仿宋" w:hAnsi="仿宋" w:eastAsia="仿宋" w:cs="宋体"/>
                <w:kern w:val="0"/>
                <w:sz w:val="18"/>
                <w:szCs w:val="18"/>
              </w:rPr>
            </w:pPr>
            <w:r>
              <w:rPr>
                <w:rFonts w:hint="eastAsia" w:ascii="仿宋" w:hAnsi="仿宋" w:eastAsia="仿宋" w:cs="宋体"/>
                <w:kern w:val="0"/>
                <w:sz w:val="18"/>
                <w:szCs w:val="18"/>
              </w:rPr>
              <w:t>100≤X＜300</w:t>
            </w:r>
          </w:p>
        </w:tc>
        <w:tc>
          <w:tcPr>
            <w:tcW w:w="1513" w:type="dxa"/>
            <w:tcBorders>
              <w:top w:val="nil"/>
              <w:left w:val="nil"/>
              <w:bottom w:val="single" w:color="auto" w:sz="4" w:space="0"/>
              <w:right w:val="single" w:color="auto" w:sz="4" w:space="0"/>
            </w:tcBorders>
            <w:vAlign w:val="center"/>
          </w:tcPr>
          <w:p w14:paraId="30E407A4">
            <w:pPr>
              <w:widowControl/>
              <w:jc w:val="left"/>
              <w:rPr>
                <w:rFonts w:ascii="仿宋" w:hAnsi="仿宋" w:eastAsia="仿宋" w:cs="宋体"/>
                <w:kern w:val="0"/>
                <w:sz w:val="18"/>
                <w:szCs w:val="18"/>
              </w:rPr>
            </w:pPr>
            <w:r>
              <w:rPr>
                <w:rFonts w:hint="eastAsia" w:ascii="仿宋" w:hAnsi="仿宋" w:eastAsia="仿宋" w:cs="宋体"/>
                <w:kern w:val="0"/>
                <w:sz w:val="18"/>
                <w:szCs w:val="18"/>
              </w:rPr>
              <w:t>10≤X＜100</w:t>
            </w:r>
          </w:p>
        </w:tc>
        <w:tc>
          <w:tcPr>
            <w:tcW w:w="937" w:type="dxa"/>
            <w:tcBorders>
              <w:top w:val="nil"/>
              <w:left w:val="nil"/>
              <w:bottom w:val="single" w:color="auto" w:sz="4" w:space="0"/>
              <w:right w:val="single" w:color="auto" w:sz="4" w:space="0"/>
            </w:tcBorders>
            <w:vAlign w:val="center"/>
          </w:tcPr>
          <w:p w14:paraId="20B1D91D">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r w14:paraId="6F5EFFE3">
        <w:tblPrEx>
          <w:tblCellMar>
            <w:top w:w="0" w:type="dxa"/>
            <w:left w:w="108" w:type="dxa"/>
            <w:bottom w:w="0" w:type="dxa"/>
            <w:right w:w="108" w:type="dxa"/>
          </w:tblCellMar>
        </w:tblPrEx>
        <w:trPr>
          <w:trHeight w:val="225" w:hRule="atLeast"/>
        </w:trPr>
        <w:tc>
          <w:tcPr>
            <w:tcW w:w="1985" w:type="dxa"/>
            <w:vMerge w:val="continue"/>
            <w:tcBorders>
              <w:top w:val="nil"/>
              <w:left w:val="single" w:color="auto" w:sz="4" w:space="0"/>
              <w:bottom w:val="single" w:color="auto" w:sz="4" w:space="0"/>
              <w:right w:val="single" w:color="auto" w:sz="4" w:space="0"/>
            </w:tcBorders>
            <w:vAlign w:val="center"/>
          </w:tcPr>
          <w:p w14:paraId="2AF1A58D">
            <w:pPr>
              <w:widowControl/>
              <w:jc w:val="left"/>
              <w:rPr>
                <w:rFonts w:ascii="仿宋" w:hAnsi="仿宋" w:eastAsia="仿宋" w:cs="宋体"/>
                <w:b/>
                <w:bCs/>
                <w:kern w:val="0"/>
                <w:sz w:val="18"/>
                <w:szCs w:val="18"/>
              </w:rPr>
            </w:pPr>
          </w:p>
        </w:tc>
        <w:tc>
          <w:tcPr>
            <w:tcW w:w="1676" w:type="dxa"/>
            <w:tcBorders>
              <w:top w:val="nil"/>
              <w:left w:val="nil"/>
              <w:bottom w:val="single" w:color="auto" w:sz="4" w:space="0"/>
              <w:right w:val="single" w:color="auto" w:sz="4" w:space="0"/>
            </w:tcBorders>
            <w:vAlign w:val="center"/>
          </w:tcPr>
          <w:p w14:paraId="09A9D5B8">
            <w:pPr>
              <w:widowControl/>
              <w:jc w:val="left"/>
              <w:rPr>
                <w:rFonts w:ascii="仿宋" w:hAnsi="仿宋" w:eastAsia="仿宋" w:cs="宋体"/>
                <w:kern w:val="0"/>
                <w:sz w:val="18"/>
                <w:szCs w:val="18"/>
              </w:rPr>
            </w:pPr>
            <w:r>
              <w:rPr>
                <w:rFonts w:hint="eastAsia" w:ascii="仿宋" w:hAnsi="仿宋" w:eastAsia="仿宋" w:cs="宋体"/>
                <w:kern w:val="0"/>
                <w:sz w:val="18"/>
                <w:szCs w:val="18"/>
              </w:rPr>
              <w:t>资产总额（Z）</w:t>
            </w:r>
          </w:p>
        </w:tc>
        <w:tc>
          <w:tcPr>
            <w:tcW w:w="912" w:type="dxa"/>
            <w:tcBorders>
              <w:top w:val="nil"/>
              <w:left w:val="nil"/>
              <w:bottom w:val="single" w:color="auto" w:sz="4" w:space="0"/>
              <w:right w:val="single" w:color="auto" w:sz="4" w:space="0"/>
            </w:tcBorders>
            <w:vAlign w:val="center"/>
          </w:tcPr>
          <w:p w14:paraId="242A45CD">
            <w:pPr>
              <w:widowControl/>
              <w:jc w:val="left"/>
              <w:rPr>
                <w:rFonts w:ascii="仿宋" w:hAnsi="仿宋" w:eastAsia="仿宋" w:cs="宋体"/>
                <w:kern w:val="0"/>
                <w:sz w:val="18"/>
                <w:szCs w:val="18"/>
              </w:rPr>
            </w:pPr>
            <w:r>
              <w:rPr>
                <w:rFonts w:hint="eastAsia" w:ascii="仿宋" w:hAnsi="仿宋" w:eastAsia="仿宋" w:cs="宋体"/>
                <w:kern w:val="0"/>
                <w:sz w:val="18"/>
                <w:szCs w:val="18"/>
              </w:rPr>
              <w:t>万元</w:t>
            </w:r>
          </w:p>
        </w:tc>
        <w:tc>
          <w:tcPr>
            <w:tcW w:w="1725" w:type="dxa"/>
            <w:tcBorders>
              <w:top w:val="nil"/>
              <w:left w:val="nil"/>
              <w:bottom w:val="single" w:color="auto" w:sz="4" w:space="0"/>
              <w:right w:val="single" w:color="auto" w:sz="4" w:space="0"/>
            </w:tcBorders>
            <w:vAlign w:val="center"/>
          </w:tcPr>
          <w:p w14:paraId="15E6EE15">
            <w:pPr>
              <w:widowControl/>
              <w:jc w:val="left"/>
              <w:rPr>
                <w:rFonts w:ascii="仿宋" w:hAnsi="仿宋" w:eastAsia="仿宋" w:cs="宋体"/>
                <w:kern w:val="0"/>
                <w:sz w:val="18"/>
                <w:szCs w:val="18"/>
              </w:rPr>
            </w:pPr>
            <w:r>
              <w:rPr>
                <w:rFonts w:hint="eastAsia" w:ascii="仿宋" w:hAnsi="仿宋" w:eastAsia="仿宋" w:cs="宋体"/>
                <w:kern w:val="0"/>
                <w:sz w:val="18"/>
                <w:szCs w:val="18"/>
              </w:rPr>
              <w:t>8000≤Z＜120000</w:t>
            </w:r>
          </w:p>
        </w:tc>
        <w:tc>
          <w:tcPr>
            <w:tcW w:w="1513" w:type="dxa"/>
            <w:tcBorders>
              <w:top w:val="nil"/>
              <w:left w:val="nil"/>
              <w:bottom w:val="single" w:color="auto" w:sz="4" w:space="0"/>
              <w:right w:val="single" w:color="auto" w:sz="4" w:space="0"/>
            </w:tcBorders>
            <w:vAlign w:val="center"/>
          </w:tcPr>
          <w:p w14:paraId="1AD2F46B">
            <w:pPr>
              <w:widowControl/>
              <w:jc w:val="left"/>
              <w:rPr>
                <w:rFonts w:ascii="仿宋" w:hAnsi="仿宋" w:eastAsia="仿宋" w:cs="宋体"/>
                <w:kern w:val="0"/>
                <w:sz w:val="18"/>
                <w:szCs w:val="18"/>
              </w:rPr>
            </w:pPr>
            <w:r>
              <w:rPr>
                <w:rFonts w:hint="eastAsia" w:ascii="仿宋" w:hAnsi="仿宋" w:eastAsia="仿宋" w:cs="宋体"/>
                <w:kern w:val="0"/>
                <w:sz w:val="18"/>
                <w:szCs w:val="18"/>
              </w:rPr>
              <w:t>100≤Z＜8000</w:t>
            </w:r>
          </w:p>
        </w:tc>
        <w:tc>
          <w:tcPr>
            <w:tcW w:w="937" w:type="dxa"/>
            <w:tcBorders>
              <w:top w:val="nil"/>
              <w:left w:val="nil"/>
              <w:bottom w:val="single" w:color="auto" w:sz="4" w:space="0"/>
              <w:right w:val="single" w:color="auto" w:sz="4" w:space="0"/>
            </w:tcBorders>
            <w:vAlign w:val="center"/>
          </w:tcPr>
          <w:p w14:paraId="1A273299">
            <w:pPr>
              <w:widowControl/>
              <w:jc w:val="left"/>
              <w:rPr>
                <w:rFonts w:ascii="仿宋" w:hAnsi="仿宋" w:eastAsia="仿宋" w:cs="宋体"/>
                <w:kern w:val="0"/>
                <w:sz w:val="18"/>
                <w:szCs w:val="18"/>
              </w:rPr>
            </w:pPr>
            <w:r>
              <w:rPr>
                <w:rFonts w:hint="eastAsia" w:ascii="仿宋" w:hAnsi="仿宋" w:eastAsia="仿宋" w:cs="宋体"/>
                <w:kern w:val="0"/>
                <w:sz w:val="18"/>
                <w:szCs w:val="18"/>
              </w:rPr>
              <w:t>Y＜100</w:t>
            </w:r>
          </w:p>
        </w:tc>
      </w:tr>
      <w:tr w14:paraId="7761813D">
        <w:tblPrEx>
          <w:tblCellMar>
            <w:top w:w="0" w:type="dxa"/>
            <w:left w:w="108" w:type="dxa"/>
            <w:bottom w:w="0" w:type="dxa"/>
            <w:right w:w="108" w:type="dxa"/>
          </w:tblCellMar>
        </w:tblPrEx>
        <w:trPr>
          <w:trHeight w:val="225" w:hRule="atLeast"/>
        </w:trPr>
        <w:tc>
          <w:tcPr>
            <w:tcW w:w="1985" w:type="dxa"/>
            <w:tcBorders>
              <w:top w:val="nil"/>
              <w:left w:val="single" w:color="auto" w:sz="4" w:space="0"/>
              <w:bottom w:val="single" w:color="auto" w:sz="4" w:space="0"/>
              <w:right w:val="single" w:color="auto" w:sz="4" w:space="0"/>
            </w:tcBorders>
            <w:vAlign w:val="bottom"/>
          </w:tcPr>
          <w:p w14:paraId="395DE804">
            <w:pPr>
              <w:widowControl/>
              <w:jc w:val="center"/>
              <w:rPr>
                <w:rFonts w:ascii="仿宋" w:hAnsi="仿宋" w:eastAsia="仿宋" w:cs="宋体"/>
                <w:b/>
                <w:bCs/>
                <w:kern w:val="0"/>
                <w:sz w:val="18"/>
                <w:szCs w:val="18"/>
              </w:rPr>
            </w:pPr>
            <w:r>
              <w:rPr>
                <w:rFonts w:hint="eastAsia" w:ascii="仿宋" w:hAnsi="仿宋" w:eastAsia="仿宋" w:cs="宋体"/>
                <w:b/>
                <w:bCs/>
                <w:kern w:val="0"/>
                <w:sz w:val="18"/>
                <w:szCs w:val="18"/>
              </w:rPr>
              <w:t>其他未列明行业</w:t>
            </w:r>
          </w:p>
        </w:tc>
        <w:tc>
          <w:tcPr>
            <w:tcW w:w="1676" w:type="dxa"/>
            <w:tcBorders>
              <w:top w:val="nil"/>
              <w:left w:val="nil"/>
              <w:bottom w:val="single" w:color="auto" w:sz="4" w:space="0"/>
              <w:right w:val="single" w:color="auto" w:sz="4" w:space="0"/>
            </w:tcBorders>
            <w:vAlign w:val="center"/>
          </w:tcPr>
          <w:p w14:paraId="12D09633">
            <w:pPr>
              <w:widowControl/>
              <w:jc w:val="left"/>
              <w:rPr>
                <w:rFonts w:ascii="仿宋" w:hAnsi="仿宋" w:eastAsia="仿宋" w:cs="宋体"/>
                <w:kern w:val="0"/>
                <w:sz w:val="18"/>
                <w:szCs w:val="18"/>
              </w:rPr>
            </w:pPr>
            <w:r>
              <w:rPr>
                <w:rFonts w:hint="eastAsia" w:ascii="仿宋" w:hAnsi="仿宋" w:eastAsia="仿宋" w:cs="宋体"/>
                <w:kern w:val="0"/>
                <w:sz w:val="18"/>
                <w:szCs w:val="18"/>
              </w:rPr>
              <w:t>从业人员（X）</w:t>
            </w:r>
          </w:p>
        </w:tc>
        <w:tc>
          <w:tcPr>
            <w:tcW w:w="912" w:type="dxa"/>
            <w:tcBorders>
              <w:top w:val="nil"/>
              <w:left w:val="nil"/>
              <w:bottom w:val="single" w:color="auto" w:sz="4" w:space="0"/>
              <w:right w:val="single" w:color="auto" w:sz="4" w:space="0"/>
            </w:tcBorders>
            <w:vAlign w:val="center"/>
          </w:tcPr>
          <w:p w14:paraId="3C85FFCC">
            <w:pPr>
              <w:widowControl/>
              <w:jc w:val="left"/>
              <w:rPr>
                <w:rFonts w:ascii="仿宋" w:hAnsi="仿宋" w:eastAsia="仿宋" w:cs="宋体"/>
                <w:kern w:val="0"/>
                <w:sz w:val="18"/>
                <w:szCs w:val="18"/>
              </w:rPr>
            </w:pPr>
            <w:r>
              <w:rPr>
                <w:rFonts w:hint="eastAsia" w:ascii="仿宋" w:hAnsi="仿宋" w:eastAsia="仿宋" w:cs="宋体"/>
                <w:kern w:val="0"/>
                <w:sz w:val="18"/>
                <w:szCs w:val="18"/>
              </w:rPr>
              <w:t>人</w:t>
            </w:r>
          </w:p>
        </w:tc>
        <w:tc>
          <w:tcPr>
            <w:tcW w:w="1725" w:type="dxa"/>
            <w:tcBorders>
              <w:top w:val="nil"/>
              <w:left w:val="nil"/>
              <w:bottom w:val="single" w:color="auto" w:sz="4" w:space="0"/>
              <w:right w:val="single" w:color="auto" w:sz="4" w:space="0"/>
            </w:tcBorders>
            <w:vAlign w:val="center"/>
          </w:tcPr>
          <w:p w14:paraId="6879761B">
            <w:pPr>
              <w:widowControl/>
              <w:jc w:val="left"/>
              <w:rPr>
                <w:rFonts w:ascii="仿宋" w:hAnsi="仿宋" w:eastAsia="仿宋" w:cs="宋体"/>
                <w:kern w:val="0"/>
                <w:sz w:val="18"/>
                <w:szCs w:val="18"/>
              </w:rPr>
            </w:pPr>
            <w:r>
              <w:rPr>
                <w:rFonts w:hint="eastAsia" w:ascii="仿宋" w:hAnsi="仿宋" w:eastAsia="仿宋" w:cs="宋体"/>
                <w:kern w:val="0"/>
                <w:sz w:val="18"/>
                <w:szCs w:val="18"/>
              </w:rPr>
              <w:t>100≤X＜300</w:t>
            </w:r>
          </w:p>
        </w:tc>
        <w:tc>
          <w:tcPr>
            <w:tcW w:w="1513" w:type="dxa"/>
            <w:tcBorders>
              <w:top w:val="nil"/>
              <w:left w:val="nil"/>
              <w:bottom w:val="single" w:color="auto" w:sz="4" w:space="0"/>
              <w:right w:val="single" w:color="auto" w:sz="4" w:space="0"/>
            </w:tcBorders>
            <w:vAlign w:val="center"/>
          </w:tcPr>
          <w:p w14:paraId="2E331D35">
            <w:pPr>
              <w:widowControl/>
              <w:jc w:val="left"/>
              <w:rPr>
                <w:rFonts w:ascii="仿宋" w:hAnsi="仿宋" w:eastAsia="仿宋" w:cs="宋体"/>
                <w:kern w:val="0"/>
                <w:sz w:val="18"/>
                <w:szCs w:val="18"/>
              </w:rPr>
            </w:pPr>
            <w:r>
              <w:rPr>
                <w:rFonts w:hint="eastAsia" w:ascii="仿宋" w:hAnsi="仿宋" w:eastAsia="仿宋" w:cs="宋体"/>
                <w:kern w:val="0"/>
                <w:sz w:val="18"/>
                <w:szCs w:val="18"/>
              </w:rPr>
              <w:t>10≤X＜100</w:t>
            </w:r>
          </w:p>
        </w:tc>
        <w:tc>
          <w:tcPr>
            <w:tcW w:w="937" w:type="dxa"/>
            <w:tcBorders>
              <w:top w:val="nil"/>
              <w:left w:val="nil"/>
              <w:bottom w:val="single" w:color="auto" w:sz="4" w:space="0"/>
              <w:right w:val="single" w:color="auto" w:sz="4" w:space="0"/>
            </w:tcBorders>
            <w:vAlign w:val="center"/>
          </w:tcPr>
          <w:p w14:paraId="3343CA70">
            <w:pPr>
              <w:widowControl/>
              <w:jc w:val="left"/>
              <w:rPr>
                <w:rFonts w:ascii="仿宋" w:hAnsi="仿宋" w:eastAsia="仿宋" w:cs="宋体"/>
                <w:kern w:val="0"/>
                <w:sz w:val="18"/>
                <w:szCs w:val="18"/>
              </w:rPr>
            </w:pPr>
            <w:r>
              <w:rPr>
                <w:rFonts w:hint="eastAsia" w:ascii="仿宋" w:hAnsi="仿宋" w:eastAsia="仿宋" w:cs="宋体"/>
                <w:kern w:val="0"/>
                <w:sz w:val="18"/>
                <w:szCs w:val="18"/>
              </w:rPr>
              <w:t>X＜10</w:t>
            </w:r>
          </w:p>
        </w:tc>
      </w:tr>
    </w:tbl>
    <w:p w14:paraId="56E83B15">
      <w:pPr>
        <w:spacing w:line="560" w:lineRule="exact"/>
        <w:ind w:firstLine="525" w:firstLineChars="250"/>
        <w:rPr>
          <w:rFonts w:ascii="宋体" w:hAnsi="宋体"/>
        </w:rPr>
      </w:pPr>
      <w:r>
        <w:rPr>
          <w:rFonts w:hint="eastAsia" w:ascii="仿宋" w:hAnsi="仿宋" w:eastAsia="仿宋"/>
          <w:szCs w:val="21"/>
        </w:rPr>
        <w:t>说明：上述标准参照《关于印发中小企业划型标准规定的通知》（工信部联企业[2011]300号），大型、中型和小型企业须同时满足所列指标的下限，否则下划一档；微型企业只须满足所列指标中的一项即可。</w:t>
      </w:r>
    </w:p>
    <w:p w14:paraId="53853F81">
      <w:pPr>
        <w:snapToGrid w:val="0"/>
        <w:spacing w:line="400" w:lineRule="exact"/>
        <w:ind w:firstLine="420"/>
        <w:rPr>
          <w:rFonts w:ascii="宋体" w:hAnsi="宋体" w:cs="宋体"/>
          <w:sz w:val="24"/>
          <w:lang w:val="zh-CN"/>
        </w:rPr>
        <w:sectPr>
          <w:footerReference r:id="rId5" w:type="default"/>
          <w:pgSz w:w="11906" w:h="16838"/>
          <w:pgMar w:top="1134" w:right="1134" w:bottom="1134" w:left="1134" w:header="720" w:footer="720" w:gutter="0"/>
          <w:pgNumType w:start="1"/>
          <w:cols w:space="720" w:num="1"/>
          <w:docGrid w:type="lines" w:linePitch="331" w:charSpace="0"/>
        </w:sectPr>
      </w:pPr>
    </w:p>
    <w:p w14:paraId="3711F630">
      <w:pPr>
        <w:jc w:val="center"/>
        <w:outlineLvl w:val="0"/>
        <w:rPr>
          <w:rFonts w:hAnsi="宋体"/>
          <w:b/>
          <w:sz w:val="36"/>
          <w:szCs w:val="36"/>
        </w:rPr>
      </w:pPr>
      <w:bookmarkStart w:id="11" w:name="_Toc16127"/>
      <w:bookmarkStart w:id="12" w:name="_Toc8860"/>
      <w:r>
        <w:rPr>
          <w:rFonts w:hint="eastAsia"/>
          <w:b/>
          <w:sz w:val="36"/>
        </w:rPr>
        <w:t>第三章</w:t>
      </w:r>
      <w:r>
        <w:rPr>
          <w:b/>
          <w:sz w:val="36"/>
        </w:rPr>
        <w:t xml:space="preserve">  </w:t>
      </w:r>
      <w:bookmarkStart w:id="13" w:name="_Hlk197516800"/>
      <w:r>
        <w:rPr>
          <w:rFonts w:hint="eastAsia"/>
          <w:b/>
          <w:sz w:val="36"/>
        </w:rPr>
        <w:t>投标人须知</w:t>
      </w:r>
      <w:bookmarkEnd w:id="11"/>
      <w:bookmarkEnd w:id="12"/>
      <w:bookmarkEnd w:id="13"/>
    </w:p>
    <w:p w14:paraId="5B647779">
      <w:pPr>
        <w:spacing w:line="720" w:lineRule="auto"/>
        <w:jc w:val="center"/>
        <w:outlineLvl w:val="1"/>
        <w:rPr>
          <w:b/>
          <w:sz w:val="30"/>
          <w:szCs w:val="30"/>
        </w:rPr>
      </w:pPr>
      <w:bookmarkStart w:id="14" w:name="_Toc10677"/>
      <w:bookmarkStart w:id="15" w:name="_Toc25516"/>
      <w:r>
        <w:rPr>
          <w:rFonts w:hint="eastAsia"/>
          <w:b/>
          <w:sz w:val="30"/>
          <w:szCs w:val="30"/>
        </w:rPr>
        <w:t xml:space="preserve">第一节 </w:t>
      </w:r>
      <w:bookmarkStart w:id="16" w:name="_Hlk197516805"/>
      <w:r>
        <w:rPr>
          <w:rFonts w:hint="eastAsia"/>
          <w:b/>
          <w:sz w:val="30"/>
          <w:szCs w:val="30"/>
        </w:rPr>
        <w:t>投标人须知前附表</w:t>
      </w:r>
      <w:bookmarkEnd w:id="14"/>
      <w:bookmarkEnd w:id="15"/>
    </w:p>
    <w:bookmarkEnd w:id="16"/>
    <w:tbl>
      <w:tblPr>
        <w:tblStyle w:val="35"/>
        <w:tblW w:w="1024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675"/>
        <w:gridCol w:w="2268"/>
        <w:gridCol w:w="7297"/>
      </w:tblGrid>
      <w:tr w14:paraId="16230A6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E2C79C9">
            <w:pPr>
              <w:snapToGrid w:val="0"/>
              <w:spacing w:line="360" w:lineRule="auto"/>
              <w:jc w:val="center"/>
              <w:rPr>
                <w:rFonts w:ascii="宋体" w:hAnsi="宋体"/>
                <w:szCs w:val="21"/>
              </w:rPr>
            </w:pPr>
            <w:r>
              <w:rPr>
                <w:rFonts w:hint="eastAsia" w:ascii="宋体" w:hAnsi="宋体"/>
                <w:szCs w:val="21"/>
              </w:rPr>
              <w:t>条款号</w:t>
            </w:r>
          </w:p>
        </w:tc>
        <w:tc>
          <w:tcPr>
            <w:tcW w:w="2268" w:type="dxa"/>
            <w:tcBorders>
              <w:top w:val="single" w:color="auto" w:sz="4" w:space="0"/>
              <w:left w:val="single" w:color="auto" w:sz="4" w:space="0"/>
              <w:bottom w:val="single" w:color="auto" w:sz="4" w:space="0"/>
              <w:right w:val="single" w:color="auto" w:sz="4" w:space="0"/>
            </w:tcBorders>
            <w:vAlign w:val="center"/>
          </w:tcPr>
          <w:p w14:paraId="6BED646A">
            <w:pPr>
              <w:snapToGrid w:val="0"/>
              <w:spacing w:line="360" w:lineRule="auto"/>
              <w:jc w:val="center"/>
              <w:rPr>
                <w:rFonts w:ascii="宋体" w:hAnsi="宋体"/>
                <w:szCs w:val="21"/>
              </w:rPr>
            </w:pPr>
            <w:r>
              <w:rPr>
                <w:rFonts w:hint="eastAsia" w:ascii="宋体" w:hAnsi="宋体"/>
                <w:szCs w:val="21"/>
              </w:rPr>
              <w:t>项目内容</w:t>
            </w:r>
          </w:p>
        </w:tc>
        <w:tc>
          <w:tcPr>
            <w:tcW w:w="7297" w:type="dxa"/>
            <w:tcBorders>
              <w:top w:val="single" w:color="auto" w:sz="4" w:space="0"/>
              <w:left w:val="single" w:color="auto" w:sz="4" w:space="0"/>
              <w:bottom w:val="single" w:color="auto" w:sz="4" w:space="0"/>
              <w:right w:val="single" w:color="auto" w:sz="4" w:space="0"/>
            </w:tcBorders>
            <w:vAlign w:val="center"/>
          </w:tcPr>
          <w:p w14:paraId="547705ED">
            <w:pPr>
              <w:snapToGrid w:val="0"/>
              <w:spacing w:line="360" w:lineRule="auto"/>
              <w:jc w:val="center"/>
              <w:rPr>
                <w:rFonts w:ascii="宋体" w:hAnsi="宋体"/>
                <w:szCs w:val="21"/>
              </w:rPr>
            </w:pPr>
            <w:r>
              <w:rPr>
                <w:rFonts w:hint="eastAsia" w:ascii="宋体" w:hAnsi="宋体"/>
                <w:szCs w:val="21"/>
              </w:rPr>
              <w:t>编列内容</w:t>
            </w:r>
          </w:p>
        </w:tc>
      </w:tr>
      <w:tr w14:paraId="10BB69B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E29CD80">
            <w:pPr>
              <w:spacing w:line="380" w:lineRule="exact"/>
              <w:rPr>
                <w:rFonts w:ascii="宋体" w:hAnsi="宋体"/>
                <w:szCs w:val="21"/>
              </w:rPr>
            </w:pPr>
            <w:r>
              <w:rPr>
                <w:rFonts w:hint="eastAsia" w:ascii="宋体" w:hAnsi="宋体"/>
                <w:szCs w:val="21"/>
              </w:rPr>
              <w:t>6.1</w:t>
            </w:r>
          </w:p>
        </w:tc>
        <w:tc>
          <w:tcPr>
            <w:tcW w:w="2268" w:type="dxa"/>
            <w:tcBorders>
              <w:top w:val="single" w:color="auto" w:sz="4" w:space="0"/>
              <w:left w:val="single" w:color="auto" w:sz="4" w:space="0"/>
              <w:bottom w:val="single" w:color="auto" w:sz="4" w:space="0"/>
              <w:right w:val="single" w:color="auto" w:sz="4" w:space="0"/>
            </w:tcBorders>
            <w:vAlign w:val="center"/>
          </w:tcPr>
          <w:p w14:paraId="287C54DB">
            <w:pPr>
              <w:spacing w:line="380" w:lineRule="exact"/>
              <w:rPr>
                <w:rFonts w:ascii="宋体" w:hAnsi="宋体"/>
                <w:szCs w:val="21"/>
              </w:rPr>
            </w:pPr>
            <w:r>
              <w:rPr>
                <w:rFonts w:hint="eastAsia" w:ascii="宋体" w:hAnsi="宋体"/>
                <w:szCs w:val="21"/>
              </w:rPr>
              <w:t>是否接受联合体投标</w:t>
            </w:r>
          </w:p>
        </w:tc>
        <w:tc>
          <w:tcPr>
            <w:tcW w:w="7297" w:type="dxa"/>
            <w:tcBorders>
              <w:top w:val="single" w:color="auto" w:sz="4" w:space="0"/>
              <w:left w:val="single" w:color="auto" w:sz="4" w:space="0"/>
              <w:bottom w:val="single" w:color="auto" w:sz="4" w:space="0"/>
              <w:right w:val="single" w:color="auto" w:sz="4" w:space="0"/>
            </w:tcBorders>
            <w:vAlign w:val="center"/>
          </w:tcPr>
          <w:p w14:paraId="10D2EDE8">
            <w:pPr>
              <w:spacing w:line="380" w:lineRule="exact"/>
              <w:rPr>
                <w:rFonts w:ascii="宋体" w:hAnsi="宋体"/>
                <w:szCs w:val="21"/>
              </w:rPr>
            </w:pPr>
            <w:r>
              <w:rPr>
                <w:rFonts w:hint="eastAsia" w:ascii="仿宋_GB2312" w:eastAsia="仿宋_GB2312" w:cs="仿宋_GB2312"/>
                <w:kern w:val="0"/>
                <w:sz w:val="24"/>
                <w:lang w:val="zh-CN"/>
              </w:rPr>
              <w:sym w:font="Wingdings 2" w:char="00A3"/>
            </w:r>
            <w:r>
              <w:rPr>
                <w:rFonts w:hint="eastAsia" w:ascii="宋体" w:hAnsi="宋体"/>
                <w:szCs w:val="21"/>
              </w:rPr>
              <w:t>是/</w:t>
            </w:r>
            <w:r>
              <w:rPr>
                <w:rFonts w:hint="eastAsia" w:ascii="宋体" w:hAnsi="宋体"/>
                <w:szCs w:val="21"/>
              </w:rPr>
              <w:sym w:font="Wingdings 2" w:char="0052"/>
            </w:r>
            <w:r>
              <w:rPr>
                <w:rFonts w:hint="eastAsia" w:ascii="宋体" w:hAnsi="宋体"/>
                <w:szCs w:val="21"/>
              </w:rPr>
              <w:t>否。</w:t>
            </w:r>
          </w:p>
        </w:tc>
      </w:tr>
      <w:tr w14:paraId="65630C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EC192A0">
            <w:pPr>
              <w:spacing w:line="380" w:lineRule="exact"/>
              <w:rPr>
                <w:rFonts w:ascii="宋体" w:hAnsi="宋体"/>
                <w:szCs w:val="21"/>
              </w:rPr>
            </w:pPr>
            <w:r>
              <w:rPr>
                <w:rFonts w:ascii="宋体" w:hAnsi="宋体"/>
                <w:szCs w:val="21"/>
              </w:rPr>
              <w:t>6.2</w:t>
            </w:r>
          </w:p>
        </w:tc>
        <w:tc>
          <w:tcPr>
            <w:tcW w:w="2268" w:type="dxa"/>
            <w:tcBorders>
              <w:top w:val="single" w:color="auto" w:sz="4" w:space="0"/>
              <w:left w:val="single" w:color="auto" w:sz="4" w:space="0"/>
              <w:bottom w:val="single" w:color="auto" w:sz="4" w:space="0"/>
              <w:right w:val="single" w:color="auto" w:sz="4" w:space="0"/>
            </w:tcBorders>
            <w:vAlign w:val="center"/>
          </w:tcPr>
          <w:p w14:paraId="6C5C3533">
            <w:pPr>
              <w:spacing w:line="380" w:lineRule="exact"/>
              <w:rPr>
                <w:rFonts w:ascii="宋体" w:hAnsi="宋体"/>
                <w:szCs w:val="21"/>
              </w:rPr>
            </w:pPr>
            <w:r>
              <w:rPr>
                <w:rFonts w:hint="eastAsia" w:ascii="宋体" w:hAnsi="宋体"/>
                <w:szCs w:val="21"/>
              </w:rPr>
              <w:t>联合体投标要求</w:t>
            </w:r>
          </w:p>
        </w:tc>
        <w:tc>
          <w:tcPr>
            <w:tcW w:w="7297" w:type="dxa"/>
            <w:tcBorders>
              <w:top w:val="single" w:color="auto" w:sz="4" w:space="0"/>
              <w:left w:val="single" w:color="auto" w:sz="4" w:space="0"/>
              <w:bottom w:val="single" w:color="auto" w:sz="4" w:space="0"/>
              <w:right w:val="single" w:color="auto" w:sz="4" w:space="0"/>
            </w:tcBorders>
            <w:vAlign w:val="center"/>
          </w:tcPr>
          <w:p w14:paraId="07168949">
            <w:pPr>
              <w:spacing w:line="380" w:lineRule="exact"/>
              <w:rPr>
                <w:rFonts w:ascii="宋体" w:hAnsi="宋体"/>
                <w:szCs w:val="21"/>
              </w:rPr>
            </w:pPr>
            <w:r>
              <w:rPr>
                <w:rFonts w:hint="eastAsia" w:ascii="宋体" w:hAnsi="宋体"/>
                <w:szCs w:val="21"/>
              </w:rPr>
              <w:t>无</w:t>
            </w:r>
          </w:p>
        </w:tc>
      </w:tr>
      <w:tr w14:paraId="1003B36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31E48F98">
            <w:pPr>
              <w:spacing w:line="380" w:lineRule="exact"/>
              <w:rPr>
                <w:rFonts w:ascii="宋体" w:hAnsi="宋体"/>
                <w:szCs w:val="21"/>
              </w:rPr>
            </w:pPr>
            <w:r>
              <w:rPr>
                <w:rFonts w:hint="eastAsia" w:ascii="宋体" w:hAnsi="宋体"/>
                <w:szCs w:val="21"/>
              </w:rPr>
              <w:t>7.2</w:t>
            </w:r>
          </w:p>
        </w:tc>
        <w:tc>
          <w:tcPr>
            <w:tcW w:w="2268" w:type="dxa"/>
            <w:tcBorders>
              <w:top w:val="single" w:color="auto" w:sz="4" w:space="0"/>
              <w:left w:val="single" w:color="auto" w:sz="4" w:space="0"/>
              <w:bottom w:val="single" w:color="auto" w:sz="4" w:space="0"/>
              <w:right w:val="single" w:color="auto" w:sz="4" w:space="0"/>
            </w:tcBorders>
            <w:vAlign w:val="center"/>
          </w:tcPr>
          <w:p w14:paraId="7F200CC4">
            <w:pPr>
              <w:spacing w:line="380" w:lineRule="exact"/>
              <w:rPr>
                <w:rFonts w:ascii="宋体" w:hAnsi="宋体"/>
                <w:szCs w:val="21"/>
              </w:rPr>
            </w:pPr>
            <w:r>
              <w:rPr>
                <w:rFonts w:hint="eastAsia" w:ascii="宋体" w:hAnsi="宋体"/>
                <w:szCs w:val="21"/>
              </w:rPr>
              <w:t>是否允许转包/分包</w:t>
            </w:r>
          </w:p>
        </w:tc>
        <w:tc>
          <w:tcPr>
            <w:tcW w:w="7297" w:type="dxa"/>
            <w:tcBorders>
              <w:top w:val="single" w:color="auto" w:sz="4" w:space="0"/>
              <w:left w:val="single" w:color="auto" w:sz="4" w:space="0"/>
              <w:bottom w:val="single" w:color="auto" w:sz="4" w:space="0"/>
              <w:right w:val="single" w:color="auto" w:sz="4" w:space="0"/>
            </w:tcBorders>
            <w:vAlign w:val="center"/>
          </w:tcPr>
          <w:p w14:paraId="260AAFFF">
            <w:pPr>
              <w:spacing w:line="380" w:lineRule="exact"/>
              <w:rPr>
                <w:rFonts w:ascii="宋体" w:hAnsi="宋体"/>
                <w:b/>
                <w:bCs/>
                <w:szCs w:val="21"/>
              </w:rPr>
            </w:pPr>
            <w:r>
              <w:rPr>
                <w:rFonts w:hint="eastAsia" w:ascii="仿宋_GB2312" w:eastAsia="仿宋_GB2312" w:cs="仿宋_GB2312"/>
                <w:b/>
                <w:bCs/>
                <w:kern w:val="0"/>
                <w:sz w:val="24"/>
                <w:lang w:val="zh-CN"/>
              </w:rPr>
              <w:sym w:font="Wingdings 2" w:char="0052"/>
            </w:r>
            <w:r>
              <w:rPr>
                <w:rFonts w:hint="eastAsia" w:ascii="宋体" w:hAnsi="宋体"/>
                <w:b/>
                <w:bCs/>
                <w:szCs w:val="21"/>
              </w:rPr>
              <w:t>不允许转包/分包</w:t>
            </w:r>
          </w:p>
          <w:p w14:paraId="24B2BE27">
            <w:pPr>
              <w:spacing w:line="380" w:lineRule="exact"/>
              <w:rPr>
                <w:rFonts w:ascii="宋体" w:hAnsi="宋体"/>
                <w:szCs w:val="21"/>
              </w:rPr>
            </w:pPr>
            <w:r>
              <w:rPr>
                <w:rFonts w:hint="eastAsia" w:ascii="宋体" w:hAnsi="宋体"/>
                <w:szCs w:val="21"/>
              </w:rPr>
              <w:t>□允许转包/分包</w:t>
            </w:r>
          </w:p>
          <w:p w14:paraId="4257D6C4">
            <w:pPr>
              <w:spacing w:line="380" w:lineRule="exact"/>
              <w:rPr>
                <w:rFonts w:ascii="宋体" w:hAnsi="宋体"/>
                <w:szCs w:val="21"/>
              </w:rPr>
            </w:pPr>
            <w:r>
              <w:rPr>
                <w:rFonts w:hint="eastAsia" w:ascii="宋体" w:hAnsi="宋体"/>
                <w:szCs w:val="21"/>
              </w:rPr>
              <w:t>转包/分包内容：</w:t>
            </w:r>
            <w:r>
              <w:rPr>
                <w:rFonts w:hint="eastAsia" w:ascii="宋体" w:hAnsi="宋体"/>
                <w:szCs w:val="21"/>
                <w:u w:val="single"/>
              </w:rPr>
              <w:t xml:space="preserve">                                     。</w:t>
            </w:r>
          </w:p>
          <w:p w14:paraId="24324311">
            <w:pPr>
              <w:spacing w:line="380" w:lineRule="exact"/>
              <w:rPr>
                <w:rFonts w:ascii="宋体" w:hAnsi="宋体"/>
                <w:szCs w:val="21"/>
              </w:rPr>
            </w:pPr>
            <w:r>
              <w:rPr>
                <w:rFonts w:hint="eastAsia" w:ascii="宋体" w:hAnsi="宋体"/>
                <w:szCs w:val="21"/>
              </w:rPr>
              <w:t>转包/分包金额或者比例：</w:t>
            </w:r>
            <w:r>
              <w:rPr>
                <w:rFonts w:hint="eastAsia" w:ascii="宋体" w:hAnsi="宋体"/>
                <w:szCs w:val="21"/>
                <w:u w:val="single"/>
              </w:rPr>
              <w:t xml:space="preserve">                                     。</w:t>
            </w:r>
          </w:p>
        </w:tc>
      </w:tr>
      <w:tr w14:paraId="5C56549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6CD57AA">
            <w:pPr>
              <w:spacing w:line="380" w:lineRule="exact"/>
              <w:rPr>
                <w:rFonts w:ascii="宋体" w:hAnsi="宋体"/>
                <w:szCs w:val="21"/>
              </w:rPr>
            </w:pPr>
            <w:r>
              <w:rPr>
                <w:rFonts w:hint="eastAsia" w:ascii="宋体" w:hAnsi="宋体"/>
                <w:szCs w:val="21"/>
              </w:rPr>
              <w:t>1</w:t>
            </w:r>
            <w:r>
              <w:rPr>
                <w:rFonts w:ascii="宋体" w:hAnsi="宋体"/>
                <w:szCs w:val="21"/>
              </w:rPr>
              <w:t>1.2</w:t>
            </w:r>
          </w:p>
        </w:tc>
        <w:tc>
          <w:tcPr>
            <w:tcW w:w="2268" w:type="dxa"/>
            <w:tcBorders>
              <w:top w:val="single" w:color="auto" w:sz="4" w:space="0"/>
              <w:left w:val="single" w:color="auto" w:sz="4" w:space="0"/>
              <w:bottom w:val="single" w:color="auto" w:sz="4" w:space="0"/>
              <w:right w:val="single" w:color="auto" w:sz="4" w:space="0"/>
            </w:tcBorders>
            <w:vAlign w:val="center"/>
          </w:tcPr>
          <w:p w14:paraId="6D7AB585">
            <w:pPr>
              <w:spacing w:line="380" w:lineRule="exact"/>
              <w:rPr>
                <w:rFonts w:ascii="宋体" w:hAnsi="宋体"/>
                <w:szCs w:val="21"/>
              </w:rPr>
            </w:pPr>
            <w:r>
              <w:rPr>
                <w:rFonts w:hint="eastAsia" w:ascii="宋体" w:hAnsi="宋体"/>
                <w:szCs w:val="21"/>
              </w:rPr>
              <w:t>媒体发布渠道</w:t>
            </w:r>
          </w:p>
        </w:tc>
        <w:tc>
          <w:tcPr>
            <w:tcW w:w="7297" w:type="dxa"/>
            <w:tcBorders>
              <w:top w:val="single" w:color="auto" w:sz="4" w:space="0"/>
              <w:left w:val="single" w:color="auto" w:sz="4" w:space="0"/>
              <w:bottom w:val="single" w:color="auto" w:sz="4" w:space="0"/>
              <w:right w:val="single" w:color="auto" w:sz="4" w:space="0"/>
            </w:tcBorders>
            <w:vAlign w:val="center"/>
          </w:tcPr>
          <w:p w14:paraId="132396E9">
            <w:pPr>
              <w:rPr>
                <w:sz w:val="28"/>
                <w:szCs w:val="18"/>
              </w:rPr>
            </w:pPr>
            <w:r>
              <w:rPr>
                <w:rFonts w:hint="eastAsia" w:ascii="宋体" w:hAnsi="宋体" w:cs="宋体"/>
                <w:szCs w:val="21"/>
              </w:rPr>
              <w:t>与本项目相关的政府采购业务澄清、更正及与之相关的事项将在采购公告中“</w:t>
            </w:r>
            <w:r>
              <w:rPr>
                <w:rFonts w:hint="eastAsia" w:ascii="宋体" w:hAnsi="宋体"/>
                <w:szCs w:val="21"/>
              </w:rPr>
              <w:t>六、其他补充事宜”中网上查询地址</w:t>
            </w:r>
            <w:r>
              <w:rPr>
                <w:rFonts w:hint="eastAsia" w:ascii="宋体" w:hAnsi="宋体" w:cs="宋体"/>
                <w:szCs w:val="21"/>
              </w:rPr>
              <w:t>上发布</w:t>
            </w:r>
            <w:r>
              <w:rPr>
                <w:rFonts w:hint="eastAsia" w:ascii="宋体" w:hAnsi="宋体" w:cs="宋体"/>
                <w:kern w:val="0"/>
                <w:szCs w:val="21"/>
              </w:rPr>
              <w:t>。</w:t>
            </w:r>
          </w:p>
        </w:tc>
      </w:tr>
      <w:tr w14:paraId="3396497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4EDB6099">
            <w:pPr>
              <w:spacing w:line="380" w:lineRule="exact"/>
              <w:rPr>
                <w:rFonts w:ascii="宋体" w:hAnsi="宋体"/>
                <w:szCs w:val="21"/>
              </w:rPr>
            </w:pPr>
            <w:r>
              <w:rPr>
                <w:rFonts w:hint="eastAsia" w:ascii="宋体" w:hAnsi="宋体"/>
                <w:szCs w:val="21"/>
              </w:rPr>
              <w:t>11.6</w:t>
            </w:r>
          </w:p>
        </w:tc>
        <w:tc>
          <w:tcPr>
            <w:tcW w:w="2268" w:type="dxa"/>
            <w:tcBorders>
              <w:top w:val="single" w:color="auto" w:sz="4" w:space="0"/>
              <w:left w:val="single" w:color="auto" w:sz="4" w:space="0"/>
              <w:bottom w:val="single" w:color="auto" w:sz="4" w:space="0"/>
              <w:right w:val="single" w:color="auto" w:sz="4" w:space="0"/>
            </w:tcBorders>
            <w:vAlign w:val="center"/>
          </w:tcPr>
          <w:p w14:paraId="53708246">
            <w:pPr>
              <w:spacing w:line="380" w:lineRule="exact"/>
              <w:rPr>
                <w:rFonts w:ascii="宋体" w:hAnsi="宋体"/>
                <w:szCs w:val="21"/>
              </w:rPr>
            </w:pPr>
            <w:r>
              <w:rPr>
                <w:rFonts w:hint="eastAsia" w:ascii="宋体" w:hAnsi="宋体"/>
                <w:szCs w:val="21"/>
              </w:rPr>
              <w:t>是否组织标前答疑会</w:t>
            </w:r>
          </w:p>
        </w:tc>
        <w:tc>
          <w:tcPr>
            <w:tcW w:w="7297" w:type="dxa"/>
            <w:tcBorders>
              <w:top w:val="single" w:color="auto" w:sz="4" w:space="0"/>
              <w:left w:val="single" w:color="auto" w:sz="4" w:space="0"/>
              <w:bottom w:val="single" w:color="auto" w:sz="4" w:space="0"/>
              <w:right w:val="single" w:color="auto" w:sz="4" w:space="0"/>
            </w:tcBorders>
            <w:vAlign w:val="center"/>
          </w:tcPr>
          <w:p w14:paraId="2FB293BC">
            <w:pPr>
              <w:snapToGrid w:val="0"/>
              <w:spacing w:line="380" w:lineRule="exact"/>
              <w:rPr>
                <w:rFonts w:ascii="宋体" w:hAnsi="宋体"/>
                <w:b/>
                <w:bCs/>
                <w:szCs w:val="21"/>
              </w:rPr>
            </w:pPr>
            <w:r>
              <w:rPr>
                <w:rFonts w:hint="eastAsia" w:ascii="仿宋_GB2312" w:eastAsia="仿宋_GB2312" w:cs="仿宋_GB2312"/>
                <w:b/>
                <w:bCs/>
                <w:kern w:val="0"/>
                <w:sz w:val="24"/>
                <w:lang w:val="zh-CN"/>
              </w:rPr>
              <w:sym w:font="Wingdings 2" w:char="0052"/>
            </w:r>
            <w:r>
              <w:rPr>
                <w:rFonts w:hint="eastAsia" w:ascii="宋体" w:hAnsi="宋体"/>
                <w:b/>
                <w:bCs/>
                <w:szCs w:val="21"/>
              </w:rPr>
              <w:t>不组织召开开标前答疑会</w:t>
            </w:r>
          </w:p>
          <w:p w14:paraId="353F7D66">
            <w:pPr>
              <w:snapToGrid w:val="0"/>
              <w:spacing w:line="380" w:lineRule="exact"/>
              <w:rPr>
                <w:rFonts w:ascii="宋体" w:hAnsi="宋体"/>
                <w:szCs w:val="21"/>
              </w:rPr>
            </w:pPr>
            <w:r>
              <w:rPr>
                <w:rFonts w:hint="eastAsia" w:ascii="宋体" w:hAnsi="宋体"/>
                <w:szCs w:val="21"/>
              </w:rPr>
              <w:t>□组织召开开标前答疑会</w:t>
            </w:r>
          </w:p>
          <w:p w14:paraId="6305B8E5">
            <w:pPr>
              <w:snapToGrid w:val="0"/>
              <w:spacing w:line="380" w:lineRule="exact"/>
              <w:rPr>
                <w:rFonts w:ascii="宋体" w:hAnsi="宋体"/>
                <w:szCs w:val="21"/>
                <w:u w:val="single"/>
              </w:rPr>
            </w:pPr>
            <w:r>
              <w:rPr>
                <w:rFonts w:hint="eastAsia" w:ascii="宋体" w:hAnsi="宋体"/>
                <w:szCs w:val="21"/>
              </w:rPr>
              <w:t>会议开始时间：</w:t>
            </w:r>
            <w:r>
              <w:rPr>
                <w:rFonts w:hint="eastAsia" w:ascii="宋体" w:hAnsi="宋体"/>
                <w:szCs w:val="21"/>
                <w:u w:val="single"/>
              </w:rPr>
              <w:t xml:space="preserve">   </w:t>
            </w:r>
            <w:r>
              <w:rPr>
                <w:rFonts w:hint="eastAsia" w:ascii="宋体" w:hAnsi="宋体"/>
                <w:szCs w:val="21"/>
              </w:rPr>
              <w:t>年</w:t>
            </w:r>
            <w:r>
              <w:rPr>
                <w:rFonts w:hint="eastAsia" w:ascii="宋体" w:hAnsi="宋体"/>
                <w:szCs w:val="21"/>
                <w:u w:val="single"/>
              </w:rPr>
              <w:t xml:space="preserve">  </w:t>
            </w:r>
            <w:r>
              <w:rPr>
                <w:rFonts w:hint="eastAsia" w:ascii="宋体" w:hAnsi="宋体"/>
                <w:szCs w:val="21"/>
              </w:rPr>
              <w:t>月</w:t>
            </w:r>
            <w:r>
              <w:rPr>
                <w:rFonts w:hint="eastAsia" w:ascii="宋体" w:hAnsi="宋体"/>
                <w:szCs w:val="21"/>
                <w:u w:val="single"/>
              </w:rPr>
              <w:t xml:space="preserve">  </w:t>
            </w:r>
            <w:r>
              <w:rPr>
                <w:rFonts w:hint="eastAsia" w:ascii="宋体" w:hAnsi="宋体"/>
                <w:szCs w:val="21"/>
              </w:rPr>
              <w:t xml:space="preserve">日 </w:t>
            </w:r>
            <w:r>
              <w:rPr>
                <w:rFonts w:hint="eastAsia" w:ascii="宋体" w:hAnsi="宋体"/>
                <w:szCs w:val="21"/>
                <w:u w:val="single"/>
              </w:rPr>
              <w:t xml:space="preserve">  </w:t>
            </w:r>
            <w:r>
              <w:rPr>
                <w:rFonts w:hint="eastAsia" w:ascii="宋体" w:hAnsi="宋体"/>
                <w:szCs w:val="21"/>
              </w:rPr>
              <w:t>时</w:t>
            </w:r>
            <w:r>
              <w:rPr>
                <w:rFonts w:hint="eastAsia" w:ascii="宋体" w:hAnsi="宋体"/>
                <w:szCs w:val="21"/>
                <w:u w:val="single"/>
              </w:rPr>
              <w:t xml:space="preserve">  分</w:t>
            </w:r>
            <w:r>
              <w:rPr>
                <w:rFonts w:hint="eastAsia" w:ascii="宋体" w:hAnsi="宋体"/>
                <w:szCs w:val="21"/>
              </w:rPr>
              <w:t>，逾期后果自负。会议地点：</w:t>
            </w:r>
            <w:r>
              <w:rPr>
                <w:rFonts w:hint="eastAsia" w:ascii="宋体" w:hAnsi="宋体"/>
                <w:szCs w:val="21"/>
                <w:u w:val="single"/>
              </w:rPr>
              <w:t xml:space="preserve"> </w:t>
            </w:r>
            <w:r>
              <w:rPr>
                <w:rFonts w:ascii="宋体" w:hAnsi="宋体"/>
                <w:szCs w:val="21"/>
                <w:u w:val="single"/>
              </w:rPr>
              <w:t xml:space="preserve">             </w:t>
            </w:r>
          </w:p>
        </w:tc>
      </w:tr>
      <w:tr w14:paraId="52B143E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right w:val="single" w:color="auto" w:sz="4" w:space="0"/>
            </w:tcBorders>
            <w:vAlign w:val="center"/>
          </w:tcPr>
          <w:p w14:paraId="0A9FB771">
            <w:pPr>
              <w:spacing w:line="380" w:lineRule="exact"/>
              <w:rPr>
                <w:rFonts w:ascii="宋体" w:hAnsi="宋体"/>
                <w:szCs w:val="21"/>
              </w:rPr>
            </w:pPr>
            <w:r>
              <w:rPr>
                <w:rFonts w:hint="eastAsia" w:ascii="宋体" w:hAnsi="宋体"/>
                <w:szCs w:val="21"/>
              </w:rPr>
              <w:t>13.1</w:t>
            </w:r>
          </w:p>
        </w:tc>
        <w:tc>
          <w:tcPr>
            <w:tcW w:w="2268" w:type="dxa"/>
            <w:tcBorders>
              <w:top w:val="single" w:color="auto" w:sz="4" w:space="0"/>
              <w:left w:val="single" w:color="auto" w:sz="4" w:space="0"/>
              <w:bottom w:val="single" w:color="auto" w:sz="4" w:space="0"/>
              <w:right w:val="single" w:color="auto" w:sz="4" w:space="0"/>
            </w:tcBorders>
            <w:vAlign w:val="center"/>
          </w:tcPr>
          <w:p w14:paraId="42A04140">
            <w:pPr>
              <w:snapToGrid w:val="0"/>
              <w:spacing w:line="380" w:lineRule="exact"/>
              <w:jc w:val="left"/>
              <w:rPr>
                <w:rFonts w:ascii="宋体" w:hAnsi="宋体" w:cs="Courier New"/>
                <w:szCs w:val="21"/>
              </w:rPr>
            </w:pPr>
            <w:bookmarkStart w:id="17" w:name="_Hlk197516820"/>
            <w:r>
              <w:rPr>
                <w:rFonts w:hint="eastAsia" w:ascii="宋体" w:hAnsi="宋体" w:cs="Courier New"/>
                <w:szCs w:val="21"/>
              </w:rPr>
              <w:t>资格证明文件组成</w:t>
            </w:r>
            <w:bookmarkEnd w:id="17"/>
          </w:p>
        </w:tc>
        <w:tc>
          <w:tcPr>
            <w:tcW w:w="7297" w:type="dxa"/>
            <w:tcBorders>
              <w:top w:val="single" w:color="auto" w:sz="4" w:space="0"/>
              <w:left w:val="single" w:color="auto" w:sz="4" w:space="0"/>
              <w:bottom w:val="single" w:color="auto" w:sz="4" w:space="0"/>
              <w:right w:val="single" w:color="auto" w:sz="4" w:space="0"/>
            </w:tcBorders>
            <w:vAlign w:val="center"/>
          </w:tcPr>
          <w:p w14:paraId="29BD886B">
            <w:pPr>
              <w:snapToGrid w:val="0"/>
              <w:spacing w:line="380" w:lineRule="exact"/>
              <w:jc w:val="left"/>
              <w:rPr>
                <w:rFonts w:ascii="宋体" w:hAnsi="宋体"/>
                <w:szCs w:val="21"/>
              </w:rPr>
            </w:pPr>
            <w:r>
              <w:rPr>
                <w:rFonts w:hint="eastAsia" w:ascii="宋体" w:hAnsi="宋体"/>
                <w:szCs w:val="21"/>
              </w:rPr>
              <w:t>1、投标人为法人或者其他组织的，提供营业执照等证明文件</w:t>
            </w:r>
            <w:r>
              <w:rPr>
                <w:rFonts w:hint="eastAsia" w:ascii="宋体" w:hAnsi="宋体" w:cs="宋体"/>
                <w:szCs w:val="21"/>
              </w:rPr>
              <w:t>（如营业执照或者事业单位法人证书或者</w:t>
            </w:r>
            <w:r>
              <w:rPr>
                <w:rStyle w:val="86"/>
                <w:szCs w:val="21"/>
              </w:rPr>
              <w:t>执业许可证</w:t>
            </w:r>
            <w:r>
              <w:rPr>
                <w:rFonts w:hint="eastAsia" w:ascii="宋体" w:hAnsi="宋体" w:cs="宋体"/>
                <w:szCs w:val="21"/>
              </w:rPr>
              <w:t>等）</w:t>
            </w:r>
            <w:r>
              <w:rPr>
                <w:rFonts w:hint="eastAsia" w:ascii="宋体" w:hAnsi="宋体"/>
                <w:szCs w:val="21"/>
              </w:rPr>
              <w:t>，投标人为自然人的，提供身份证</w:t>
            </w:r>
            <w:r>
              <w:rPr>
                <w:rFonts w:hint="eastAsia" w:ascii="宋体" w:hAnsi="宋体" w:cs="宋体"/>
                <w:szCs w:val="21"/>
              </w:rPr>
              <w:t>复印件</w:t>
            </w:r>
            <w:r>
              <w:rPr>
                <w:rFonts w:hint="eastAsia" w:ascii="宋体" w:hAnsi="宋体"/>
                <w:szCs w:val="21"/>
              </w:rPr>
              <w:t>；（</w:t>
            </w:r>
            <w:r>
              <w:rPr>
                <w:rFonts w:hint="eastAsia" w:ascii="宋体" w:hAnsi="宋体"/>
                <w:b/>
                <w:szCs w:val="21"/>
              </w:rPr>
              <w:t>必须提供，否则作无效投标处理</w:t>
            </w:r>
            <w:r>
              <w:rPr>
                <w:rFonts w:hint="eastAsia" w:ascii="宋体" w:hAnsi="宋体"/>
                <w:szCs w:val="21"/>
              </w:rPr>
              <w:t>）</w:t>
            </w:r>
          </w:p>
          <w:p w14:paraId="5A77F810">
            <w:pPr>
              <w:snapToGrid w:val="0"/>
              <w:spacing w:line="380" w:lineRule="exact"/>
              <w:jc w:val="left"/>
              <w:rPr>
                <w:rFonts w:ascii="宋体" w:hAnsi="宋体"/>
                <w:szCs w:val="21"/>
              </w:rPr>
            </w:pPr>
            <w:r>
              <w:rPr>
                <w:rFonts w:hint="eastAsia" w:ascii="宋体" w:hAnsi="宋体" w:cs="宋体"/>
                <w:szCs w:val="21"/>
              </w:rPr>
              <w:t>2、投标人依法缴纳税收的相关材料</w:t>
            </w:r>
            <w:r>
              <w:rPr>
                <w:rFonts w:ascii="宋体" w:hAnsi="宋体" w:cs="宋体"/>
                <w:szCs w:val="21"/>
              </w:rPr>
              <w:t>[</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w:t>
            </w:r>
            <w:r>
              <w:rPr>
                <w:rFonts w:ascii="宋体" w:hAnsi="宋体"/>
                <w:szCs w:val="21"/>
              </w:rPr>
              <w:t>]</w:t>
            </w:r>
            <w:r>
              <w:rPr>
                <w:rFonts w:hint="eastAsia" w:ascii="宋体" w:hAnsi="宋体"/>
                <w:szCs w:val="21"/>
              </w:rPr>
              <w:t>期间</w:t>
            </w:r>
            <w:r>
              <w:rPr>
                <w:rFonts w:hint="eastAsia" w:ascii="宋体" w:hAnsi="宋体" w:cs="宋体"/>
                <w:szCs w:val="21"/>
              </w:rPr>
              <w:t>任意1</w:t>
            </w:r>
            <w:r>
              <w:rPr>
                <w:rFonts w:hint="eastAsia" w:ascii="宋体" w:hAnsi="宋体" w:cs="宋体"/>
                <w:szCs w:val="21"/>
                <w:u w:val="single"/>
              </w:rPr>
              <w:t xml:space="preserve"> </w:t>
            </w:r>
            <w:r>
              <w:rPr>
                <w:rFonts w:hint="eastAsia" w:ascii="宋体" w:hAnsi="宋体" w:cs="宋体"/>
                <w:szCs w:val="21"/>
              </w:rPr>
              <w:t>个月的依法缴纳税收的凭据复印件；依</w:t>
            </w:r>
            <w:r>
              <w:rPr>
                <w:rFonts w:hint="eastAsia" w:ascii="宋体" w:hAnsi="宋体"/>
                <w:szCs w:val="21"/>
              </w:rPr>
              <w:t>法免税的投标人，必须提供相应文件证明其依法免税。</w:t>
            </w:r>
            <w:r>
              <w:rPr>
                <w:rFonts w:hint="eastAsia" w:ascii="宋体" w:hAnsi="宋体" w:cs="宋体"/>
                <w:szCs w:val="21"/>
              </w:rPr>
              <w:t>从取得营业执照时间起到投标文件提交截止时间为止不足要求月数的，只需提供从取得营业执照起的依法缴纳税收</w:t>
            </w:r>
            <w:r>
              <w:rPr>
                <w:rFonts w:hint="eastAsia" w:ascii="宋体" w:hAnsi="宋体"/>
                <w:szCs w:val="21"/>
              </w:rPr>
              <w:t>相应证明文件</w:t>
            </w:r>
            <w:r>
              <w:rPr>
                <w:rFonts w:hint="eastAsia" w:ascii="宋体" w:hAnsi="宋体" w:cs="宋体"/>
                <w:szCs w:val="21"/>
              </w:rPr>
              <w:t>）</w:t>
            </w:r>
            <w:r>
              <w:rPr>
                <w:rFonts w:hint="eastAsia" w:ascii="宋体" w:hAnsi="宋体"/>
                <w:szCs w:val="21"/>
              </w:rPr>
              <w:t>；（</w:t>
            </w:r>
            <w:r>
              <w:rPr>
                <w:rFonts w:hint="eastAsia" w:ascii="宋体" w:hAnsi="宋体"/>
                <w:b/>
                <w:szCs w:val="21"/>
              </w:rPr>
              <w:t>必须提供，否则作无效投标处理</w:t>
            </w:r>
            <w:r>
              <w:rPr>
                <w:rFonts w:hint="eastAsia" w:ascii="宋体" w:hAnsi="宋体"/>
                <w:szCs w:val="21"/>
              </w:rPr>
              <w:t>）</w:t>
            </w:r>
          </w:p>
          <w:p w14:paraId="6487D890">
            <w:pPr>
              <w:snapToGrid w:val="0"/>
              <w:spacing w:line="380" w:lineRule="exact"/>
              <w:jc w:val="left"/>
              <w:rPr>
                <w:rFonts w:ascii="宋体" w:hAnsi="宋体"/>
                <w:szCs w:val="21"/>
              </w:rPr>
            </w:pPr>
            <w:r>
              <w:rPr>
                <w:rFonts w:hint="eastAsia" w:ascii="宋体" w:hAnsi="宋体" w:cs="宋体"/>
                <w:szCs w:val="21"/>
              </w:rPr>
              <w:t>3、投标人依法缴纳社会保障资金的相关材料</w:t>
            </w:r>
            <w:r>
              <w:rPr>
                <w:rFonts w:ascii="宋体" w:hAnsi="宋体" w:cs="宋体"/>
                <w:szCs w:val="21"/>
              </w:rPr>
              <w:t>[</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1</w:t>
            </w:r>
            <w:r>
              <w:rPr>
                <w:rFonts w:hint="eastAsia" w:ascii="宋体" w:hAnsi="宋体" w:cs="宋体"/>
                <w:szCs w:val="21"/>
              </w:rPr>
              <w:t>月至</w:t>
            </w:r>
            <w:r>
              <w:rPr>
                <w:rFonts w:ascii="宋体" w:hAnsi="宋体" w:cs="宋体"/>
                <w:szCs w:val="21"/>
                <w:u w:val="single"/>
              </w:rPr>
              <w:t>202</w:t>
            </w:r>
            <w:r>
              <w:rPr>
                <w:rFonts w:hint="eastAsia" w:ascii="宋体" w:hAnsi="宋体" w:cs="宋体"/>
                <w:szCs w:val="21"/>
                <w:u w:val="single"/>
              </w:rPr>
              <w:t>6</w:t>
            </w:r>
            <w:r>
              <w:rPr>
                <w:rFonts w:hint="eastAsia" w:ascii="宋体" w:hAnsi="宋体" w:cs="宋体"/>
                <w:szCs w:val="21"/>
              </w:rPr>
              <w:t>年</w:t>
            </w:r>
            <w:r>
              <w:rPr>
                <w:rFonts w:hint="eastAsia" w:ascii="宋体" w:hAnsi="宋体" w:cs="宋体"/>
                <w:szCs w:val="21"/>
                <w:u w:val="single"/>
              </w:rPr>
              <w:t>6</w:t>
            </w:r>
            <w:r>
              <w:rPr>
                <w:rFonts w:hint="eastAsia" w:ascii="宋体" w:hAnsi="宋体" w:cs="宋体"/>
                <w:szCs w:val="21"/>
              </w:rPr>
              <w:t>月</w:t>
            </w:r>
            <w:r>
              <w:rPr>
                <w:rFonts w:ascii="宋体" w:hAnsi="宋体"/>
                <w:szCs w:val="21"/>
              </w:rPr>
              <w:t>]</w:t>
            </w:r>
            <w:r>
              <w:rPr>
                <w:rFonts w:hint="eastAsia" w:ascii="宋体" w:hAnsi="宋体"/>
                <w:szCs w:val="21"/>
              </w:rPr>
              <w:t>期间</w:t>
            </w:r>
            <w:r>
              <w:rPr>
                <w:rFonts w:hint="eastAsia" w:ascii="宋体" w:hAnsi="宋体" w:cs="宋体"/>
                <w:szCs w:val="21"/>
              </w:rPr>
              <w:t>任意1</w:t>
            </w:r>
            <w:r>
              <w:rPr>
                <w:rFonts w:hint="eastAsia" w:ascii="宋体" w:hAnsi="宋体" w:cs="宋体"/>
                <w:szCs w:val="21"/>
                <w:u w:val="single"/>
              </w:rPr>
              <w:t xml:space="preserve"> </w:t>
            </w:r>
            <w:r>
              <w:rPr>
                <w:rFonts w:hint="eastAsia" w:ascii="宋体" w:hAnsi="宋体" w:cs="宋体"/>
                <w:szCs w:val="21"/>
              </w:rPr>
              <w:t>个月的依法缴纳社会保障资金的缴费凭证（专用收据或者社会保险缴纳清单）复印件；</w:t>
            </w:r>
            <w:r>
              <w:rPr>
                <w:rFonts w:hint="eastAsia" w:ascii="宋体" w:hAnsi="宋体"/>
                <w:szCs w:val="21"/>
              </w:rPr>
              <w:t>依法不需要缴纳社会保障资金的投标人，必须提供相应文件证明不需要缴纳社会保障资金。</w:t>
            </w:r>
            <w:r>
              <w:rPr>
                <w:rFonts w:hint="eastAsia" w:ascii="宋体" w:hAnsi="宋体" w:cs="宋体"/>
                <w:szCs w:val="21"/>
              </w:rPr>
              <w:t>从取得营业执照时间起到投标文件提交截止时间为止不足要求月数的只需提供从取得营业执照起的依法缴纳社会保障资金的</w:t>
            </w:r>
            <w:r>
              <w:rPr>
                <w:rFonts w:hint="eastAsia" w:ascii="宋体" w:hAnsi="宋体"/>
                <w:szCs w:val="21"/>
              </w:rPr>
              <w:t>相应证明文件</w:t>
            </w:r>
            <w:r>
              <w:rPr>
                <w:rFonts w:hint="eastAsia" w:ascii="宋体" w:hAnsi="宋体" w:cs="宋体"/>
                <w:szCs w:val="21"/>
              </w:rPr>
              <w:t>]</w:t>
            </w:r>
            <w:r>
              <w:rPr>
                <w:rFonts w:hint="eastAsia" w:ascii="宋体" w:hAnsi="宋体"/>
                <w:szCs w:val="21"/>
              </w:rPr>
              <w:t>；（</w:t>
            </w:r>
            <w:r>
              <w:rPr>
                <w:rFonts w:hint="eastAsia" w:ascii="宋体" w:hAnsi="宋体"/>
                <w:b/>
                <w:szCs w:val="21"/>
              </w:rPr>
              <w:t>必须提供，否则作无效投标处理</w:t>
            </w:r>
            <w:r>
              <w:rPr>
                <w:rFonts w:hint="eastAsia" w:ascii="宋体" w:hAnsi="宋体"/>
                <w:szCs w:val="21"/>
              </w:rPr>
              <w:t>）</w:t>
            </w:r>
          </w:p>
          <w:p w14:paraId="324C32EB">
            <w:pPr>
              <w:snapToGrid w:val="0"/>
              <w:spacing w:line="380" w:lineRule="exact"/>
              <w:jc w:val="left"/>
              <w:rPr>
                <w:rFonts w:ascii="宋体" w:hAnsi="宋体"/>
                <w:szCs w:val="21"/>
              </w:rPr>
            </w:pPr>
            <w:r>
              <w:rPr>
                <w:rFonts w:hint="eastAsia" w:ascii="宋体" w:hAnsi="宋体" w:cs="宋体"/>
                <w:szCs w:val="21"/>
              </w:rPr>
              <w:t>4、投标人财务状况报告：</w:t>
            </w:r>
            <w:r>
              <w:rPr>
                <w:rFonts w:hint="eastAsia" w:ascii="宋体" w:hAnsi="宋体"/>
                <w:szCs w:val="21"/>
              </w:rPr>
              <w:t>[</w:t>
            </w:r>
            <w:r>
              <w:rPr>
                <w:rFonts w:hint="eastAsia" w:ascii="宋体" w:hAnsi="宋体"/>
                <w:szCs w:val="21"/>
                <w:u w:val="single"/>
              </w:rPr>
              <w:t>2024年</w:t>
            </w:r>
            <w:r>
              <w:rPr>
                <w:rFonts w:hint="eastAsia" w:ascii="宋体" w:hAnsi="宋体"/>
                <w:szCs w:val="21"/>
              </w:rPr>
              <w:t>]或[</w:t>
            </w:r>
            <w:r>
              <w:rPr>
                <w:rFonts w:hint="eastAsia" w:ascii="宋体" w:hAnsi="宋体"/>
                <w:szCs w:val="21"/>
                <w:u w:val="single"/>
              </w:rPr>
              <w:t>2025年</w:t>
            </w:r>
            <w:r>
              <w:rPr>
                <w:rFonts w:hint="eastAsia" w:ascii="宋体" w:hAnsi="宋体"/>
                <w:szCs w:val="21"/>
              </w:rPr>
              <w:t>]财务状况报告复印件投标人成立不满一年的应按提供截标之日上一个月的财务状况报告复印件。（上述财务状况报告包括：投标人执行《企业会计准则》的，提供资产负债表、利润表、现金流量表、所有者权益变动表及其附注（以下称“四表一注”）；投标人执行《小企业会计准则》的，提供资产负债表、利润表、现金流量表及其附注（以下称“三表一注”）；投标人执行《政府会计制度》的，提供资产负债表、收入费用表和净资产变动表及其附注)；（</w:t>
            </w:r>
            <w:r>
              <w:rPr>
                <w:rFonts w:hint="eastAsia" w:ascii="宋体" w:hAnsi="宋体"/>
                <w:b/>
                <w:szCs w:val="21"/>
              </w:rPr>
              <w:t>必须提供，否则作无效投标处理</w:t>
            </w:r>
            <w:r>
              <w:rPr>
                <w:rFonts w:hint="eastAsia" w:ascii="宋体" w:hAnsi="宋体"/>
                <w:szCs w:val="21"/>
              </w:rPr>
              <w:t xml:space="preserve">） </w:t>
            </w:r>
          </w:p>
          <w:p w14:paraId="192413A8">
            <w:pPr>
              <w:snapToGrid w:val="0"/>
              <w:spacing w:line="380" w:lineRule="exact"/>
              <w:jc w:val="left"/>
              <w:rPr>
                <w:rFonts w:ascii="宋体" w:hAnsi="宋体"/>
                <w:szCs w:val="21"/>
              </w:rPr>
            </w:pPr>
            <w:r>
              <w:rPr>
                <w:rFonts w:hint="eastAsia" w:ascii="宋体" w:hAnsi="宋体"/>
                <w:szCs w:val="21"/>
              </w:rPr>
              <w:t>5、投标资格声明（格式后附）；（</w:t>
            </w:r>
            <w:r>
              <w:rPr>
                <w:rFonts w:hint="eastAsia" w:ascii="宋体" w:hAnsi="宋体"/>
                <w:b/>
                <w:szCs w:val="21"/>
              </w:rPr>
              <w:t>必须提供，否则作无效投标处理</w:t>
            </w:r>
            <w:r>
              <w:rPr>
                <w:rFonts w:hint="eastAsia" w:ascii="宋体" w:hAnsi="宋体"/>
                <w:szCs w:val="21"/>
              </w:rPr>
              <w:t>）</w:t>
            </w:r>
          </w:p>
          <w:p w14:paraId="5549FA5E">
            <w:pPr>
              <w:snapToGrid w:val="0"/>
              <w:spacing w:line="380" w:lineRule="exact"/>
              <w:jc w:val="left"/>
              <w:rPr>
                <w:rFonts w:ascii="宋体" w:hAnsi="宋体"/>
                <w:szCs w:val="21"/>
              </w:rPr>
            </w:pPr>
            <w:r>
              <w:rPr>
                <w:rFonts w:hint="eastAsia" w:ascii="宋体" w:hAnsi="宋体"/>
                <w:szCs w:val="21"/>
              </w:rPr>
              <w:t>6、投标人直接控股、管理关系信息表（格式后附）；（</w:t>
            </w:r>
            <w:r>
              <w:rPr>
                <w:rFonts w:hint="eastAsia" w:ascii="宋体" w:hAnsi="宋体"/>
                <w:b/>
                <w:szCs w:val="21"/>
              </w:rPr>
              <w:t>必须提供，否则作无效投标处理</w:t>
            </w:r>
            <w:r>
              <w:rPr>
                <w:rFonts w:hint="eastAsia" w:ascii="宋体" w:hAnsi="宋体"/>
                <w:szCs w:val="21"/>
              </w:rPr>
              <w:t>）</w:t>
            </w:r>
          </w:p>
          <w:p w14:paraId="7F331F1C">
            <w:pPr>
              <w:snapToGrid w:val="0"/>
              <w:spacing w:line="380" w:lineRule="exact"/>
              <w:jc w:val="left"/>
              <w:rPr>
                <w:rFonts w:ascii="宋体" w:hAnsi="宋体" w:cs="宋体"/>
                <w:szCs w:val="21"/>
                <w:highlight w:val="yellow"/>
              </w:rPr>
            </w:pPr>
            <w:bookmarkStart w:id="18" w:name="_Hlk197516828"/>
            <w:r>
              <w:rPr>
                <w:rFonts w:hint="eastAsia" w:ascii="宋体" w:hAnsi="宋体"/>
                <w:szCs w:val="21"/>
              </w:rPr>
              <w:t>7、</w:t>
            </w:r>
            <w:r>
              <w:rPr>
                <w:rFonts w:hint="eastAsia" w:ascii="宋体" w:hAnsi="宋体" w:cs="宋体"/>
                <w:szCs w:val="21"/>
              </w:rPr>
              <w:t xml:space="preserve">本项目特定资格要求及特定条件的资格证明材料（具体内容详见公告，必须提供，否则作无效投标处理）； </w:t>
            </w:r>
            <w:r>
              <w:rPr>
                <w:rFonts w:hint="eastAsia" w:ascii="宋体" w:hAnsi="宋体"/>
                <w:b/>
                <w:color w:val="0D0D0D"/>
                <w:szCs w:val="21"/>
              </w:rPr>
              <w:t>（必须提供，否则作无效投标处理）。</w:t>
            </w:r>
          </w:p>
          <w:p w14:paraId="0A7C15A1">
            <w:pPr>
              <w:snapToGrid w:val="0"/>
              <w:spacing w:line="400" w:lineRule="exact"/>
              <w:jc w:val="left"/>
              <w:rPr>
                <w:rFonts w:ascii="宋体" w:hAnsi="宋体" w:cs="宋体"/>
                <w:szCs w:val="21"/>
              </w:rPr>
            </w:pPr>
            <w:r>
              <w:rPr>
                <w:rFonts w:hint="eastAsia" w:ascii="宋体" w:hAnsi="宋体" w:cs="宋体"/>
                <w:szCs w:val="21"/>
              </w:rPr>
              <w:t>8、除招标文件规定必须提供以外，投标人认为需要提供的其他证明材料。</w:t>
            </w:r>
            <w:bookmarkEnd w:id="18"/>
          </w:p>
          <w:p w14:paraId="259EBC95">
            <w:pPr>
              <w:snapToGrid w:val="0"/>
              <w:spacing w:line="380" w:lineRule="exact"/>
              <w:jc w:val="left"/>
              <w:rPr>
                <w:rFonts w:ascii="宋体" w:hAnsi="宋体" w:cs="Courier New"/>
                <w:b/>
                <w:szCs w:val="21"/>
              </w:rPr>
            </w:pPr>
            <w:r>
              <w:rPr>
                <w:rFonts w:hint="eastAsia" w:ascii="宋体" w:hAnsi="宋体"/>
                <w:b/>
                <w:bCs/>
                <w:szCs w:val="21"/>
              </w:rPr>
              <w:t>注：1.</w:t>
            </w:r>
            <w:r>
              <w:rPr>
                <w:rFonts w:hint="eastAsia" w:ascii="宋体" w:hAnsi="宋体"/>
                <w:szCs w:val="21"/>
              </w:rPr>
              <w:t xml:space="preserve"> </w:t>
            </w:r>
            <w:r>
              <w:rPr>
                <w:rFonts w:hint="eastAsia" w:ascii="宋体" w:hAnsi="宋体"/>
                <w:b/>
                <w:bCs/>
                <w:szCs w:val="21"/>
              </w:rPr>
              <w:t>以上标明“必须提供”的材料属于复印件的，必须加盖投标人电子公章，否则</w:t>
            </w:r>
            <w:r>
              <w:rPr>
                <w:rFonts w:hint="eastAsia" w:ascii="宋体" w:hAnsi="宋体" w:cs="Courier New"/>
                <w:b/>
                <w:szCs w:val="21"/>
              </w:rPr>
              <w:t>作无效投标处理。</w:t>
            </w:r>
          </w:p>
          <w:p w14:paraId="450E3668">
            <w:pPr>
              <w:snapToGrid w:val="0"/>
              <w:spacing w:line="380" w:lineRule="exact"/>
              <w:ind w:firstLine="422" w:firstLineChars="200"/>
              <w:jc w:val="left"/>
            </w:pPr>
            <w:r>
              <w:rPr>
                <w:rFonts w:hint="eastAsia" w:ascii="宋体" w:hAnsi="宋体" w:cs="Courier New"/>
                <w:b/>
                <w:szCs w:val="21"/>
              </w:rPr>
              <w:t>2.</w:t>
            </w:r>
            <w:r>
              <w:rPr>
                <w:rFonts w:hint="eastAsia" w:ascii="宋体" w:hAnsi="宋体"/>
                <w:b/>
                <w:bCs/>
                <w:szCs w:val="21"/>
              </w:rPr>
              <w:t>投标资格声明必须在规定签章处加盖投标人电子公章，否则作无效投标处理。</w:t>
            </w:r>
          </w:p>
        </w:tc>
      </w:tr>
      <w:tr w14:paraId="5950241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right w:val="single" w:color="auto" w:sz="4" w:space="0"/>
            </w:tcBorders>
            <w:vAlign w:val="center"/>
          </w:tcPr>
          <w:p w14:paraId="3C19D298">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70E8BE4">
            <w:pPr>
              <w:snapToGrid w:val="0"/>
              <w:spacing w:line="380" w:lineRule="exact"/>
              <w:jc w:val="left"/>
              <w:rPr>
                <w:rFonts w:ascii="宋体" w:hAnsi="宋体"/>
                <w:szCs w:val="21"/>
              </w:rPr>
            </w:pPr>
            <w:r>
              <w:rPr>
                <w:rFonts w:hint="eastAsia" w:ascii="宋体" w:hAnsi="宋体" w:cs="Courier New"/>
                <w:szCs w:val="21"/>
              </w:rPr>
              <w:t>商务文件组成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034BE7BF">
            <w:pPr>
              <w:snapToGrid w:val="0"/>
              <w:spacing w:line="380" w:lineRule="exact"/>
              <w:jc w:val="left"/>
              <w:rPr>
                <w:rFonts w:ascii="宋体" w:hAnsi="宋体"/>
                <w:szCs w:val="21"/>
              </w:rPr>
            </w:pPr>
            <w:r>
              <w:rPr>
                <w:rFonts w:hint="eastAsia" w:ascii="宋体" w:hAnsi="宋体"/>
                <w:szCs w:val="21"/>
              </w:rPr>
              <w:t>1、无串通投标行为的承诺函（格式后附）；（</w:t>
            </w:r>
            <w:r>
              <w:rPr>
                <w:rFonts w:hint="eastAsia" w:ascii="宋体" w:hAnsi="宋体"/>
                <w:b/>
                <w:szCs w:val="21"/>
              </w:rPr>
              <w:t>必须提供，否则作无效投标处理</w:t>
            </w:r>
            <w:r>
              <w:rPr>
                <w:rFonts w:hint="eastAsia" w:ascii="宋体" w:hAnsi="宋体"/>
                <w:szCs w:val="21"/>
              </w:rPr>
              <w:t>）</w:t>
            </w:r>
          </w:p>
          <w:p w14:paraId="7D1C16C4">
            <w:pPr>
              <w:snapToGrid w:val="0"/>
              <w:spacing w:line="380" w:lineRule="exact"/>
              <w:jc w:val="left"/>
              <w:rPr>
                <w:rFonts w:ascii="宋体" w:hAnsi="宋体"/>
                <w:szCs w:val="21"/>
              </w:rPr>
            </w:pPr>
            <w:r>
              <w:rPr>
                <w:rFonts w:hint="eastAsia" w:ascii="宋体" w:hAnsi="宋体"/>
                <w:szCs w:val="21"/>
              </w:rPr>
              <w:t>2、法定代表人身份证明及法定代表人有效身份证正反面复印件（格式后附）；（</w:t>
            </w:r>
            <w:r>
              <w:rPr>
                <w:rFonts w:hint="eastAsia" w:ascii="宋体" w:hAnsi="宋体" w:cs="宋体"/>
                <w:b/>
                <w:bCs/>
                <w:szCs w:val="21"/>
              </w:rPr>
              <w:t>除自然人投标外</w:t>
            </w:r>
            <w:r>
              <w:rPr>
                <w:rFonts w:hint="eastAsia" w:ascii="宋体" w:hAnsi="宋体"/>
                <w:b/>
                <w:szCs w:val="21"/>
              </w:rPr>
              <w:t>必须提供，否则作无效投标处理</w:t>
            </w:r>
            <w:r>
              <w:rPr>
                <w:rFonts w:hint="eastAsia" w:ascii="宋体" w:hAnsi="宋体"/>
                <w:szCs w:val="21"/>
              </w:rPr>
              <w:t>）</w:t>
            </w:r>
          </w:p>
          <w:p w14:paraId="182FE4B9">
            <w:pPr>
              <w:snapToGrid w:val="0"/>
              <w:spacing w:line="380" w:lineRule="exact"/>
              <w:jc w:val="left"/>
              <w:rPr>
                <w:rFonts w:ascii="宋体" w:hAnsi="宋体"/>
                <w:szCs w:val="21"/>
              </w:rPr>
            </w:pPr>
            <w:r>
              <w:rPr>
                <w:rFonts w:hint="eastAsia" w:ascii="宋体" w:hAnsi="宋体"/>
                <w:szCs w:val="21"/>
              </w:rPr>
              <w:t>3、法定代表人授权委托书及委托代理人有效身份证正反面复印件（格式后附）；（</w:t>
            </w:r>
            <w:r>
              <w:rPr>
                <w:rFonts w:hint="eastAsia" w:ascii="宋体" w:hAnsi="宋体"/>
                <w:b/>
                <w:szCs w:val="21"/>
              </w:rPr>
              <w:t>委托时必须提供，否则作无效投标处理</w:t>
            </w:r>
            <w:r>
              <w:rPr>
                <w:rFonts w:hint="eastAsia" w:ascii="宋体" w:hAnsi="宋体"/>
                <w:szCs w:val="21"/>
              </w:rPr>
              <w:t>）</w:t>
            </w:r>
          </w:p>
          <w:p w14:paraId="1351A8EB">
            <w:pPr>
              <w:snapToGrid w:val="0"/>
              <w:spacing w:line="380" w:lineRule="exact"/>
              <w:jc w:val="left"/>
              <w:rPr>
                <w:rFonts w:ascii="宋体" w:hAnsi="宋体"/>
                <w:szCs w:val="21"/>
              </w:rPr>
            </w:pPr>
            <w:r>
              <w:rPr>
                <w:rFonts w:hint="eastAsia" w:ascii="宋体" w:hAnsi="宋体"/>
                <w:szCs w:val="21"/>
              </w:rPr>
              <w:t>4、商务条款偏离表（格式后附）；（</w:t>
            </w:r>
            <w:r>
              <w:rPr>
                <w:rFonts w:hint="eastAsia" w:ascii="宋体" w:hAnsi="宋体"/>
                <w:b/>
                <w:szCs w:val="21"/>
              </w:rPr>
              <w:t>必须提供，否则作无效投标处理</w:t>
            </w:r>
            <w:r>
              <w:rPr>
                <w:rFonts w:hint="eastAsia" w:ascii="宋体" w:hAnsi="宋体"/>
                <w:szCs w:val="21"/>
              </w:rPr>
              <w:t>）</w:t>
            </w:r>
          </w:p>
          <w:p w14:paraId="0D52158B">
            <w:pPr>
              <w:snapToGrid w:val="0"/>
              <w:spacing w:line="380" w:lineRule="exact"/>
              <w:jc w:val="left"/>
              <w:rPr>
                <w:rFonts w:ascii="宋体" w:hAnsi="宋体"/>
                <w:szCs w:val="21"/>
              </w:rPr>
            </w:pPr>
            <w:r>
              <w:rPr>
                <w:rFonts w:hint="eastAsia" w:ascii="宋体" w:hAnsi="宋体"/>
                <w:szCs w:val="21"/>
              </w:rPr>
              <w:t>5、投标人情况介绍（格式自拟）；</w:t>
            </w:r>
          </w:p>
          <w:p w14:paraId="2B05A691">
            <w:pPr>
              <w:snapToGrid w:val="0"/>
              <w:spacing w:line="380" w:lineRule="exact"/>
              <w:jc w:val="left"/>
              <w:rPr>
                <w:rFonts w:ascii="宋体" w:hAnsi="宋体"/>
                <w:szCs w:val="21"/>
              </w:rPr>
            </w:pPr>
            <w:r>
              <w:rPr>
                <w:rFonts w:hint="eastAsia" w:ascii="宋体" w:hAnsi="宋体"/>
                <w:szCs w:val="21"/>
              </w:rPr>
              <w:t>6、除招标文件规定必须提供以外，投标人认为需要提供的其他证明材料（格式自拟）。（投标人根据“第二章 采购需求”及“第四章 评标方法及评标标准”提供有关证明材料）。</w:t>
            </w:r>
          </w:p>
          <w:p w14:paraId="2296D6F4">
            <w:pPr>
              <w:snapToGrid w:val="0"/>
              <w:spacing w:line="380" w:lineRule="exact"/>
              <w:jc w:val="left"/>
              <w:rPr>
                <w:rFonts w:ascii="宋体" w:hAnsi="宋体"/>
                <w:b/>
                <w:bCs/>
                <w:szCs w:val="21"/>
              </w:rPr>
            </w:pPr>
            <w:r>
              <w:rPr>
                <w:rFonts w:hint="eastAsia" w:ascii="宋体" w:hAnsi="宋体"/>
                <w:b/>
                <w:bCs/>
                <w:szCs w:val="21"/>
              </w:rPr>
              <w:t>注：1.法定代表人授权委托书必须由法定代表人及委托代理人签字，并加盖投标人电子公章，否则作无效投标处理。</w:t>
            </w:r>
          </w:p>
          <w:p w14:paraId="416DC7BF">
            <w:pPr>
              <w:snapToGrid w:val="0"/>
              <w:spacing w:line="380" w:lineRule="exact"/>
              <w:ind w:firstLine="422" w:firstLineChars="200"/>
              <w:jc w:val="left"/>
              <w:rPr>
                <w:rFonts w:ascii="宋体" w:hAnsi="宋体" w:cs="Courier New"/>
                <w:b/>
                <w:szCs w:val="21"/>
              </w:rPr>
            </w:pPr>
            <w:r>
              <w:rPr>
                <w:rFonts w:hint="eastAsia" w:ascii="宋体" w:hAnsi="宋体"/>
                <w:b/>
                <w:bCs/>
                <w:szCs w:val="21"/>
              </w:rPr>
              <w:t>2.</w:t>
            </w:r>
            <w:r>
              <w:rPr>
                <w:rFonts w:hint="eastAsia" w:ascii="宋体" w:hAnsi="宋体"/>
                <w:szCs w:val="21"/>
              </w:rPr>
              <w:t xml:space="preserve"> </w:t>
            </w:r>
            <w:r>
              <w:rPr>
                <w:rFonts w:hint="eastAsia" w:ascii="宋体" w:hAnsi="宋体"/>
                <w:b/>
                <w:bCs/>
                <w:szCs w:val="21"/>
              </w:rPr>
              <w:t>以上标明“必须提供”的材料属于复印件的，必须加盖投标人电子公章，否则</w:t>
            </w:r>
            <w:r>
              <w:rPr>
                <w:rFonts w:hint="eastAsia" w:ascii="宋体" w:hAnsi="宋体" w:cs="Courier New"/>
                <w:b/>
                <w:szCs w:val="21"/>
              </w:rPr>
              <w:t>作无效投标处理</w:t>
            </w:r>
            <w:r>
              <w:rPr>
                <w:rFonts w:hint="eastAsia" w:ascii="宋体" w:hAnsi="宋体"/>
                <w:b/>
                <w:bCs/>
                <w:szCs w:val="21"/>
              </w:rPr>
              <w:t>。</w:t>
            </w:r>
          </w:p>
        </w:tc>
      </w:tr>
      <w:tr w14:paraId="6CEB6EE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left w:val="single" w:color="auto" w:sz="4" w:space="0"/>
              <w:right w:val="single" w:color="auto" w:sz="4" w:space="0"/>
            </w:tcBorders>
            <w:vAlign w:val="center"/>
          </w:tcPr>
          <w:p w14:paraId="250F74FA">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C90BC64">
            <w:pPr>
              <w:snapToGrid w:val="0"/>
              <w:spacing w:line="380" w:lineRule="exact"/>
              <w:jc w:val="left"/>
              <w:rPr>
                <w:rFonts w:ascii="宋体" w:hAnsi="宋体"/>
                <w:szCs w:val="21"/>
              </w:rPr>
            </w:pPr>
            <w:r>
              <w:rPr>
                <w:rFonts w:hint="eastAsia" w:ascii="宋体" w:hAnsi="宋体" w:cs="Courier New"/>
                <w:szCs w:val="21"/>
              </w:rPr>
              <w:t>技术文件组成</w:t>
            </w:r>
          </w:p>
        </w:tc>
        <w:tc>
          <w:tcPr>
            <w:tcW w:w="7297" w:type="dxa"/>
            <w:tcBorders>
              <w:top w:val="single" w:color="auto" w:sz="4" w:space="0"/>
              <w:left w:val="single" w:color="auto" w:sz="4" w:space="0"/>
              <w:bottom w:val="single" w:color="auto" w:sz="4" w:space="0"/>
              <w:right w:val="single" w:color="auto" w:sz="4" w:space="0"/>
            </w:tcBorders>
            <w:vAlign w:val="center"/>
          </w:tcPr>
          <w:p w14:paraId="53E2A4BA">
            <w:pPr>
              <w:snapToGrid w:val="0"/>
              <w:spacing w:line="380" w:lineRule="exact"/>
              <w:jc w:val="left"/>
              <w:rPr>
                <w:rFonts w:ascii="宋体" w:hAnsi="宋体"/>
                <w:szCs w:val="21"/>
              </w:rPr>
            </w:pPr>
            <w:r>
              <w:rPr>
                <w:rFonts w:ascii="宋体" w:hAnsi="宋体"/>
                <w:szCs w:val="21"/>
              </w:rPr>
              <w:t>1</w:t>
            </w:r>
            <w:r>
              <w:rPr>
                <w:rFonts w:hint="eastAsia" w:ascii="宋体" w:hAnsi="宋体"/>
                <w:szCs w:val="21"/>
              </w:rPr>
              <w:t>.服务需求、技术需求偏离表；（</w:t>
            </w:r>
            <w:r>
              <w:rPr>
                <w:rFonts w:hint="eastAsia" w:ascii="宋体" w:hAnsi="宋体"/>
                <w:b/>
                <w:szCs w:val="21"/>
              </w:rPr>
              <w:t>必须提供，否则作无效投标处理</w:t>
            </w:r>
            <w:r>
              <w:rPr>
                <w:rFonts w:hint="eastAsia" w:ascii="宋体" w:hAnsi="宋体"/>
                <w:szCs w:val="21"/>
              </w:rPr>
              <w:t>）</w:t>
            </w:r>
          </w:p>
          <w:p w14:paraId="57ACCE9B">
            <w:pPr>
              <w:snapToGrid w:val="0"/>
              <w:spacing w:line="380" w:lineRule="exact"/>
              <w:jc w:val="left"/>
              <w:rPr>
                <w:rFonts w:ascii="宋体" w:hAnsi="宋体"/>
                <w:szCs w:val="21"/>
              </w:rPr>
            </w:pPr>
            <w:r>
              <w:rPr>
                <w:rFonts w:ascii="宋体" w:hAnsi="宋体"/>
                <w:szCs w:val="21"/>
              </w:rPr>
              <w:t>2</w:t>
            </w:r>
            <w:r>
              <w:rPr>
                <w:rFonts w:hint="eastAsia" w:ascii="宋体" w:hAnsi="宋体"/>
                <w:szCs w:val="21"/>
              </w:rPr>
              <w:t>.组织服务方案；</w:t>
            </w:r>
            <w:r>
              <w:rPr>
                <w:rFonts w:hint="eastAsia" w:ascii="宋体" w:hAnsi="宋体"/>
                <w:b/>
                <w:color w:val="0D0D0D"/>
                <w:szCs w:val="21"/>
              </w:rPr>
              <w:t>（依据采购需求提供）</w:t>
            </w:r>
          </w:p>
          <w:p w14:paraId="791B7D79">
            <w:pPr>
              <w:snapToGrid w:val="0"/>
              <w:spacing w:line="380" w:lineRule="exact"/>
              <w:jc w:val="left"/>
              <w:rPr>
                <w:rFonts w:ascii="宋体" w:hAnsi="宋体"/>
                <w:b/>
                <w:color w:val="0D0D0D"/>
                <w:szCs w:val="21"/>
              </w:rPr>
            </w:pPr>
            <w:r>
              <w:rPr>
                <w:rFonts w:hint="eastAsia" w:ascii="宋体" w:hAnsi="宋体"/>
                <w:szCs w:val="21"/>
              </w:rPr>
              <w:t>3.售后服务方案；</w:t>
            </w:r>
            <w:r>
              <w:rPr>
                <w:rFonts w:hint="eastAsia" w:ascii="宋体" w:hAnsi="宋体"/>
                <w:b/>
                <w:color w:val="0D0D0D"/>
                <w:szCs w:val="21"/>
              </w:rPr>
              <w:t>（依据采购需求提供）</w:t>
            </w:r>
          </w:p>
          <w:p w14:paraId="51DF4C63">
            <w:pPr>
              <w:snapToGrid w:val="0"/>
              <w:spacing w:line="380" w:lineRule="exact"/>
              <w:jc w:val="left"/>
              <w:rPr>
                <w:rFonts w:ascii="宋体" w:hAnsi="宋体"/>
                <w:szCs w:val="21"/>
              </w:rPr>
            </w:pPr>
            <w:r>
              <w:rPr>
                <w:rFonts w:hint="eastAsia" w:ascii="宋体" w:hAnsi="宋体"/>
                <w:szCs w:val="21"/>
              </w:rPr>
              <w:t>4.项目实施人员一览表；</w:t>
            </w:r>
            <w:r>
              <w:rPr>
                <w:rFonts w:hint="eastAsia" w:ascii="宋体" w:hAnsi="宋体"/>
                <w:b/>
                <w:color w:val="0D0D0D"/>
                <w:szCs w:val="21"/>
              </w:rPr>
              <w:t>（依据采购需求提供）</w:t>
            </w:r>
          </w:p>
          <w:p w14:paraId="61EE8A08">
            <w:pPr>
              <w:snapToGrid w:val="0"/>
              <w:spacing w:line="380" w:lineRule="exact"/>
              <w:jc w:val="left"/>
              <w:rPr>
                <w:rFonts w:ascii="宋体" w:hAnsi="宋体"/>
                <w:szCs w:val="21"/>
              </w:rPr>
            </w:pPr>
            <w:r>
              <w:rPr>
                <w:rFonts w:hint="eastAsia" w:ascii="宋体" w:hAnsi="宋体"/>
                <w:szCs w:val="21"/>
              </w:rPr>
              <w:t>5.投标人对本项目的合理化建议和改进措施；</w:t>
            </w:r>
            <w:r>
              <w:rPr>
                <w:rFonts w:hint="eastAsia" w:ascii="宋体" w:hAnsi="宋体"/>
                <w:b/>
                <w:color w:val="0D0D0D"/>
                <w:szCs w:val="21"/>
              </w:rPr>
              <w:t>（依据采购需求提供）</w:t>
            </w:r>
          </w:p>
          <w:p w14:paraId="0846A096">
            <w:pPr>
              <w:snapToGrid w:val="0"/>
              <w:spacing w:line="380" w:lineRule="exact"/>
              <w:jc w:val="left"/>
              <w:rPr>
                <w:rFonts w:ascii="宋体" w:hAnsi="宋体"/>
                <w:bCs/>
                <w:szCs w:val="21"/>
              </w:rPr>
            </w:pPr>
            <w:r>
              <w:rPr>
                <w:rFonts w:hint="eastAsia" w:ascii="宋体" w:hAnsi="宋体"/>
                <w:szCs w:val="21"/>
              </w:rPr>
              <w:t>6.除招标文件规定必须提供以外，投标人需要说明的其他文件和说明。（投标人根据“第二章 采购需求”及“第四章 评标方法及评标标准”提供有关证明材料）。</w:t>
            </w:r>
          </w:p>
          <w:p w14:paraId="6E3F4EA3">
            <w:pPr>
              <w:snapToGrid w:val="0"/>
              <w:spacing w:line="380" w:lineRule="exact"/>
              <w:jc w:val="left"/>
              <w:rPr>
                <w:rFonts w:ascii="宋体" w:hAnsi="宋体"/>
                <w:b/>
                <w:bCs/>
                <w:szCs w:val="21"/>
              </w:rPr>
            </w:pPr>
            <w:r>
              <w:rPr>
                <w:rFonts w:hint="eastAsia" w:ascii="宋体" w:hAnsi="宋体"/>
                <w:b/>
                <w:bCs/>
                <w:szCs w:val="21"/>
              </w:rPr>
              <w:t>注：以上标明“必须提供”的材料属于复印件的，必须加盖投标人电子公章，否则</w:t>
            </w:r>
            <w:r>
              <w:rPr>
                <w:rFonts w:hint="eastAsia" w:ascii="宋体" w:hAnsi="宋体" w:cs="Courier New"/>
                <w:b/>
                <w:szCs w:val="21"/>
              </w:rPr>
              <w:t>作无效投标处理</w:t>
            </w:r>
            <w:r>
              <w:rPr>
                <w:rFonts w:hint="eastAsia" w:ascii="宋体" w:hAnsi="宋体"/>
                <w:b/>
                <w:bCs/>
                <w:szCs w:val="21"/>
              </w:rPr>
              <w:t>。</w:t>
            </w:r>
          </w:p>
        </w:tc>
      </w:tr>
      <w:tr w14:paraId="0DC240B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5ED59F59">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CE7D734">
            <w:pPr>
              <w:snapToGrid w:val="0"/>
              <w:spacing w:line="380" w:lineRule="exact"/>
              <w:jc w:val="left"/>
              <w:rPr>
                <w:rFonts w:ascii="宋体" w:hAnsi="宋体" w:cs="Courier New"/>
                <w:szCs w:val="21"/>
              </w:rPr>
            </w:pPr>
            <w:r>
              <w:rPr>
                <w:rFonts w:hint="eastAsia" w:ascii="宋体" w:hAnsi="宋体" w:cs="Courier New"/>
                <w:szCs w:val="21"/>
              </w:rPr>
              <w:t>报价文件</w:t>
            </w:r>
            <w:r>
              <w:rPr>
                <w:rFonts w:hint="eastAsia" w:ascii="宋体" w:hAnsi="宋体"/>
                <w:szCs w:val="21"/>
              </w:rPr>
              <w:t>组成</w:t>
            </w:r>
          </w:p>
        </w:tc>
        <w:tc>
          <w:tcPr>
            <w:tcW w:w="7297" w:type="dxa"/>
            <w:tcBorders>
              <w:top w:val="single" w:color="auto" w:sz="4" w:space="0"/>
              <w:left w:val="single" w:color="auto" w:sz="4" w:space="0"/>
              <w:bottom w:val="single" w:color="auto" w:sz="4" w:space="0"/>
              <w:right w:val="single" w:color="auto" w:sz="4" w:space="0"/>
            </w:tcBorders>
            <w:vAlign w:val="center"/>
          </w:tcPr>
          <w:p w14:paraId="5FFBB3C0">
            <w:pPr>
              <w:snapToGrid w:val="0"/>
              <w:spacing w:line="380" w:lineRule="exact"/>
              <w:jc w:val="left"/>
              <w:rPr>
                <w:rFonts w:ascii="宋体" w:hAnsi="宋体"/>
                <w:b/>
                <w:bCs/>
                <w:szCs w:val="21"/>
              </w:rPr>
            </w:pPr>
            <w:r>
              <w:rPr>
                <w:rFonts w:hint="eastAsia" w:ascii="宋体" w:hAnsi="宋体"/>
                <w:szCs w:val="21"/>
              </w:rPr>
              <w:t>1、投标函；</w:t>
            </w:r>
            <w:r>
              <w:rPr>
                <w:rFonts w:hint="eastAsia" w:ascii="宋体" w:hAnsi="宋体"/>
                <w:b/>
                <w:bCs/>
                <w:szCs w:val="21"/>
              </w:rPr>
              <w:t>（必须提供，否则作无效投标处理）</w:t>
            </w:r>
          </w:p>
          <w:p w14:paraId="423E72D4">
            <w:pPr>
              <w:snapToGrid w:val="0"/>
              <w:spacing w:line="380" w:lineRule="exact"/>
              <w:jc w:val="left"/>
              <w:rPr>
                <w:rFonts w:ascii="宋体" w:hAnsi="宋体"/>
                <w:b/>
                <w:bCs/>
                <w:szCs w:val="21"/>
              </w:rPr>
            </w:pPr>
            <w:r>
              <w:rPr>
                <w:rFonts w:hint="eastAsia" w:ascii="宋体" w:hAnsi="宋体"/>
                <w:szCs w:val="21"/>
              </w:rPr>
              <w:t>2、开标一览表；</w:t>
            </w:r>
            <w:r>
              <w:rPr>
                <w:rFonts w:hint="eastAsia" w:ascii="宋体" w:hAnsi="宋体"/>
                <w:b/>
                <w:bCs/>
                <w:szCs w:val="21"/>
              </w:rPr>
              <w:t>（必须提供，否则作无效投标处理）</w:t>
            </w:r>
          </w:p>
          <w:p w14:paraId="5C547E8A">
            <w:pPr>
              <w:snapToGrid w:val="0"/>
              <w:spacing w:line="380" w:lineRule="exact"/>
              <w:jc w:val="left"/>
              <w:rPr>
                <w:rFonts w:ascii="宋体" w:hAnsi="宋体"/>
                <w:szCs w:val="21"/>
              </w:rPr>
            </w:pPr>
            <w:r>
              <w:rPr>
                <w:rFonts w:hint="eastAsia" w:ascii="宋体" w:hAnsi="宋体"/>
                <w:szCs w:val="21"/>
              </w:rPr>
              <w:t>3、投标人针对报价需要说明的其他文件和说明。</w:t>
            </w:r>
          </w:p>
          <w:p w14:paraId="1D6729A0">
            <w:pPr>
              <w:pStyle w:val="2"/>
            </w:pPr>
            <w:r>
              <w:rPr>
                <w:rFonts w:hint="eastAsia" w:ascii="宋体" w:hAnsi="宋体"/>
                <w:b/>
                <w:bCs/>
                <w:szCs w:val="21"/>
              </w:rPr>
              <w:t>注：以上标明“必须提供”的材料属于复印件的，必须加盖投标人电子公章，否则</w:t>
            </w:r>
            <w:r>
              <w:rPr>
                <w:rFonts w:hint="eastAsia" w:ascii="宋体" w:hAnsi="宋体" w:cs="Courier New"/>
                <w:b/>
                <w:szCs w:val="21"/>
              </w:rPr>
              <w:t>作无效投标处理</w:t>
            </w:r>
            <w:r>
              <w:rPr>
                <w:rFonts w:hint="eastAsia" w:ascii="宋体" w:hAnsi="宋体"/>
                <w:b/>
                <w:bCs/>
                <w:szCs w:val="21"/>
              </w:rPr>
              <w:t>。</w:t>
            </w:r>
          </w:p>
        </w:tc>
      </w:tr>
      <w:tr w14:paraId="147E6F55">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9DC7B81">
            <w:pPr>
              <w:spacing w:line="380" w:lineRule="exact"/>
              <w:rPr>
                <w:rFonts w:ascii="宋体" w:hAnsi="宋体"/>
                <w:szCs w:val="21"/>
              </w:rPr>
            </w:pPr>
            <w:r>
              <w:rPr>
                <w:rFonts w:hint="eastAsia" w:ascii="宋体" w:hAnsi="宋体"/>
                <w:szCs w:val="21"/>
              </w:rPr>
              <w:t>16.2</w:t>
            </w:r>
          </w:p>
        </w:tc>
        <w:tc>
          <w:tcPr>
            <w:tcW w:w="2268" w:type="dxa"/>
            <w:tcBorders>
              <w:top w:val="single" w:color="auto" w:sz="4" w:space="0"/>
              <w:left w:val="single" w:color="auto" w:sz="4" w:space="0"/>
              <w:bottom w:val="single" w:color="auto" w:sz="4" w:space="0"/>
              <w:right w:val="single" w:color="auto" w:sz="4" w:space="0"/>
            </w:tcBorders>
            <w:vAlign w:val="center"/>
          </w:tcPr>
          <w:p w14:paraId="78921FA4">
            <w:pPr>
              <w:spacing w:line="380" w:lineRule="exact"/>
              <w:rPr>
                <w:rFonts w:ascii="宋体" w:hAnsi="宋体"/>
                <w:szCs w:val="21"/>
              </w:rPr>
            </w:pPr>
            <w:r>
              <w:rPr>
                <w:rFonts w:hint="eastAsia" w:ascii="宋体" w:hAnsi="宋体"/>
                <w:szCs w:val="21"/>
              </w:rPr>
              <w:t>投标报价要求</w:t>
            </w:r>
          </w:p>
        </w:tc>
        <w:tc>
          <w:tcPr>
            <w:tcW w:w="7297" w:type="dxa"/>
            <w:tcBorders>
              <w:top w:val="single" w:color="auto" w:sz="4" w:space="0"/>
              <w:left w:val="single" w:color="auto" w:sz="4" w:space="0"/>
              <w:bottom w:val="single" w:color="auto" w:sz="4" w:space="0"/>
              <w:right w:val="single" w:color="auto" w:sz="4" w:space="0"/>
            </w:tcBorders>
            <w:vAlign w:val="center"/>
          </w:tcPr>
          <w:p w14:paraId="0907D380">
            <w:pPr>
              <w:snapToGrid w:val="0"/>
              <w:spacing w:line="380" w:lineRule="exact"/>
              <w:rPr>
                <w:rFonts w:ascii="宋体" w:hAnsi="宋体"/>
                <w:b/>
                <w:szCs w:val="21"/>
              </w:rPr>
            </w:pPr>
            <w:r>
              <w:rPr>
                <w:rFonts w:hint="eastAsia" w:ascii="宋体" w:hAnsi="宋体"/>
                <w:color w:val="0D0D0D"/>
                <w:szCs w:val="21"/>
              </w:rPr>
              <w:t>投标报价是履行合同的最终价格，</w:t>
            </w:r>
            <w:r>
              <w:rPr>
                <w:rFonts w:hint="eastAsia" w:ascii="宋体" w:hAnsi="宋体" w:cs="宋体"/>
                <w:color w:val="0D0D0D"/>
                <w:szCs w:val="21"/>
              </w:rPr>
              <w:t>必须包含满足本次投标全部采购需求所应提供的服务，以及伴随的货物和工程（如有）的价格；包含投标服务、货物、工程的成本、运输（含保险）、安装（如有）、调试、检验、技术服务、培训、税费、代理费等所有费用。（采购需求另有约定的，从其约定）</w:t>
            </w:r>
          </w:p>
        </w:tc>
      </w:tr>
      <w:tr w14:paraId="143FDEC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E4E0979">
            <w:pPr>
              <w:spacing w:line="380" w:lineRule="exact"/>
              <w:rPr>
                <w:rFonts w:ascii="宋体" w:hAnsi="宋体"/>
                <w:szCs w:val="21"/>
              </w:rPr>
            </w:pPr>
            <w:r>
              <w:rPr>
                <w:rFonts w:hint="eastAsia" w:ascii="宋体" w:hAnsi="宋体"/>
                <w:szCs w:val="21"/>
              </w:rPr>
              <w:t>17.</w:t>
            </w:r>
            <w:r>
              <w:rPr>
                <w:rFonts w:ascii="宋体" w:hAnsi="宋体"/>
                <w:szCs w:val="21"/>
              </w:rPr>
              <w:t>2</w:t>
            </w:r>
          </w:p>
        </w:tc>
        <w:tc>
          <w:tcPr>
            <w:tcW w:w="2268" w:type="dxa"/>
            <w:tcBorders>
              <w:top w:val="single" w:color="auto" w:sz="4" w:space="0"/>
              <w:left w:val="single" w:color="auto" w:sz="4" w:space="0"/>
              <w:bottom w:val="single" w:color="auto" w:sz="4" w:space="0"/>
              <w:right w:val="single" w:color="auto" w:sz="4" w:space="0"/>
            </w:tcBorders>
            <w:vAlign w:val="center"/>
          </w:tcPr>
          <w:p w14:paraId="6CCD6A0E">
            <w:pPr>
              <w:spacing w:line="380" w:lineRule="exact"/>
              <w:rPr>
                <w:rFonts w:ascii="宋体" w:hAnsi="宋体"/>
                <w:szCs w:val="21"/>
              </w:rPr>
            </w:pPr>
            <w:r>
              <w:rPr>
                <w:rFonts w:hint="eastAsia" w:ascii="宋体" w:hAnsi="宋体"/>
                <w:szCs w:val="21"/>
              </w:rPr>
              <w:t>投标有效期</w:t>
            </w:r>
          </w:p>
        </w:tc>
        <w:tc>
          <w:tcPr>
            <w:tcW w:w="7297" w:type="dxa"/>
            <w:tcBorders>
              <w:top w:val="single" w:color="auto" w:sz="4" w:space="0"/>
              <w:left w:val="single" w:color="auto" w:sz="4" w:space="0"/>
              <w:bottom w:val="single" w:color="auto" w:sz="4" w:space="0"/>
              <w:right w:val="single" w:color="auto" w:sz="4" w:space="0"/>
            </w:tcBorders>
            <w:vAlign w:val="center"/>
          </w:tcPr>
          <w:p w14:paraId="2723EE34">
            <w:pPr>
              <w:snapToGrid w:val="0"/>
              <w:spacing w:line="380" w:lineRule="exact"/>
              <w:rPr>
                <w:rFonts w:ascii="宋体" w:hAnsi="宋体"/>
                <w:szCs w:val="21"/>
              </w:rPr>
            </w:pPr>
            <w:r>
              <w:rPr>
                <w:rFonts w:hint="eastAsia" w:ascii="宋体" w:hAnsi="宋体"/>
                <w:szCs w:val="21"/>
              </w:rPr>
              <w:t>自投标截止之日起</w:t>
            </w:r>
            <w:r>
              <w:rPr>
                <w:rFonts w:ascii="宋体" w:hAnsi="宋体"/>
                <w:szCs w:val="21"/>
                <w:u w:val="single"/>
              </w:rPr>
              <w:t xml:space="preserve"> 90 </w:t>
            </w:r>
            <w:r>
              <w:rPr>
                <w:rFonts w:hint="eastAsia" w:ascii="宋体" w:hAnsi="宋体"/>
                <w:szCs w:val="21"/>
              </w:rPr>
              <w:t>日。</w:t>
            </w:r>
          </w:p>
        </w:tc>
      </w:tr>
      <w:tr w14:paraId="0C8EC53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3204021">
            <w:pPr>
              <w:spacing w:line="380" w:lineRule="exact"/>
              <w:rPr>
                <w:rFonts w:ascii="宋体" w:hAnsi="宋体"/>
                <w:szCs w:val="21"/>
              </w:rPr>
            </w:pPr>
            <w:r>
              <w:rPr>
                <w:rFonts w:hint="eastAsia" w:ascii="宋体" w:hAnsi="宋体"/>
                <w:szCs w:val="21"/>
              </w:rPr>
              <w:t>18</w:t>
            </w:r>
            <w:r>
              <w:rPr>
                <w:rFonts w:ascii="宋体" w:hAnsi="宋体"/>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79A9F69B">
            <w:pPr>
              <w:spacing w:line="380" w:lineRule="exact"/>
              <w:rPr>
                <w:rFonts w:ascii="宋体" w:hAnsi="宋体"/>
                <w:szCs w:val="21"/>
              </w:rPr>
            </w:pPr>
            <w:r>
              <w:rPr>
                <w:rFonts w:hint="eastAsia" w:ascii="宋体" w:hAnsi="宋体"/>
                <w:szCs w:val="21"/>
              </w:rPr>
              <w:t>投标保证金金额</w:t>
            </w:r>
          </w:p>
        </w:tc>
        <w:tc>
          <w:tcPr>
            <w:tcW w:w="7297" w:type="dxa"/>
            <w:tcBorders>
              <w:top w:val="single" w:color="auto" w:sz="4" w:space="0"/>
              <w:left w:val="single" w:color="auto" w:sz="4" w:space="0"/>
              <w:bottom w:val="single" w:color="auto" w:sz="4" w:space="0"/>
              <w:right w:val="single" w:color="auto" w:sz="4" w:space="0"/>
            </w:tcBorders>
            <w:vAlign w:val="center"/>
          </w:tcPr>
          <w:p w14:paraId="57563900">
            <w:pPr>
              <w:autoSpaceDE w:val="0"/>
              <w:autoSpaceDN w:val="0"/>
              <w:snapToGrid w:val="0"/>
              <w:spacing w:line="380" w:lineRule="exact"/>
              <w:textAlignment w:val="bottom"/>
              <w:rPr>
                <w:rFonts w:ascii="宋体" w:hAnsi="宋体"/>
                <w:szCs w:val="21"/>
              </w:rPr>
            </w:pPr>
            <w:r>
              <w:rPr>
                <w:rFonts w:hint="eastAsia" w:ascii="宋体" w:hAnsi="宋体"/>
                <w:szCs w:val="21"/>
              </w:rPr>
              <w:t>本项目不收取投标保证金。</w:t>
            </w:r>
          </w:p>
        </w:tc>
      </w:tr>
      <w:tr w14:paraId="62FD260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28C8CB9A">
            <w:pPr>
              <w:spacing w:line="380" w:lineRule="exact"/>
              <w:rPr>
                <w:rFonts w:ascii="宋体" w:hAnsi="宋体"/>
                <w:szCs w:val="21"/>
              </w:rPr>
            </w:pPr>
            <w:r>
              <w:rPr>
                <w:rFonts w:hint="eastAsia" w:ascii="宋体" w:hAnsi="宋体"/>
                <w:szCs w:val="21"/>
              </w:rPr>
              <w:t>19.1</w:t>
            </w:r>
          </w:p>
        </w:tc>
        <w:tc>
          <w:tcPr>
            <w:tcW w:w="2268" w:type="dxa"/>
            <w:tcBorders>
              <w:top w:val="single" w:color="auto" w:sz="4" w:space="0"/>
              <w:left w:val="single" w:color="auto" w:sz="4" w:space="0"/>
              <w:bottom w:val="single" w:color="auto" w:sz="4" w:space="0"/>
              <w:right w:val="single" w:color="auto" w:sz="4" w:space="0"/>
            </w:tcBorders>
            <w:vAlign w:val="center"/>
          </w:tcPr>
          <w:p w14:paraId="3081162E">
            <w:pPr>
              <w:spacing w:line="380" w:lineRule="exact"/>
              <w:rPr>
                <w:rFonts w:ascii="宋体" w:hAnsi="宋体"/>
                <w:szCs w:val="21"/>
              </w:rPr>
            </w:pPr>
            <w:r>
              <w:rPr>
                <w:rFonts w:hint="eastAsia" w:ascii="宋体" w:hAnsi="宋体"/>
                <w:szCs w:val="21"/>
              </w:rPr>
              <w:t>投标文件编制要求</w:t>
            </w:r>
          </w:p>
        </w:tc>
        <w:tc>
          <w:tcPr>
            <w:tcW w:w="7297" w:type="dxa"/>
            <w:tcBorders>
              <w:top w:val="single" w:color="auto" w:sz="4" w:space="0"/>
              <w:left w:val="single" w:color="auto" w:sz="4" w:space="0"/>
              <w:bottom w:val="single" w:color="auto" w:sz="4" w:space="0"/>
              <w:right w:val="single" w:color="auto" w:sz="4" w:space="0"/>
            </w:tcBorders>
            <w:vAlign w:val="center"/>
          </w:tcPr>
          <w:p w14:paraId="6CDDCA6E">
            <w:pPr>
              <w:spacing w:line="360" w:lineRule="auto"/>
              <w:ind w:firstLine="420" w:firstLineChars="200"/>
              <w:rPr>
                <w:rFonts w:ascii="宋体" w:hAnsi="宋体"/>
                <w:b/>
                <w:szCs w:val="21"/>
                <w:u w:val="single"/>
              </w:rPr>
            </w:pPr>
            <w:r>
              <w:rPr>
                <w:rFonts w:hint="eastAsia" w:hAnsi="宋体"/>
                <w:szCs w:val="21"/>
              </w:rPr>
              <w:t>投标文件应按报价文件、资格证明文件、商务文件、技术文件分别编制，报价文件、资格证明文件分别生成电子文件，商务文件和技术文件按顺序合并生成电子文件。</w:t>
            </w:r>
            <w:r>
              <w:rPr>
                <w:rFonts w:hint="eastAsia" w:ascii="宋体" w:hAnsi="宋体"/>
                <w:b/>
                <w:szCs w:val="21"/>
                <w:u w:val="single"/>
              </w:rPr>
              <w:t>电子版投标文件制作方式见招标公告附件。</w:t>
            </w:r>
          </w:p>
        </w:tc>
      </w:tr>
      <w:tr w14:paraId="4F56D6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66A53328">
            <w:pPr>
              <w:spacing w:line="380" w:lineRule="exact"/>
              <w:rPr>
                <w:rFonts w:ascii="宋体" w:hAnsi="宋体"/>
                <w:szCs w:val="21"/>
              </w:rPr>
            </w:pPr>
            <w:r>
              <w:rPr>
                <w:rFonts w:hint="eastAsia" w:ascii="宋体" w:hAnsi="宋体"/>
                <w:szCs w:val="21"/>
              </w:rPr>
              <w:t>2</w:t>
            </w:r>
            <w:r>
              <w:rPr>
                <w:rFonts w:ascii="宋体" w:hAnsi="宋体"/>
                <w:szCs w:val="21"/>
              </w:rPr>
              <w:t>0</w:t>
            </w:r>
          </w:p>
        </w:tc>
        <w:tc>
          <w:tcPr>
            <w:tcW w:w="2268" w:type="dxa"/>
            <w:tcBorders>
              <w:top w:val="single" w:color="auto" w:sz="4" w:space="0"/>
              <w:left w:val="single" w:color="auto" w:sz="4" w:space="0"/>
              <w:bottom w:val="single" w:color="auto" w:sz="4" w:space="0"/>
              <w:right w:val="single" w:color="auto" w:sz="4" w:space="0"/>
            </w:tcBorders>
            <w:vAlign w:val="center"/>
          </w:tcPr>
          <w:p w14:paraId="647BEC25">
            <w:pPr>
              <w:spacing w:line="380" w:lineRule="exact"/>
              <w:rPr>
                <w:rFonts w:ascii="宋体" w:hAnsi="宋体"/>
                <w:szCs w:val="21"/>
              </w:rPr>
            </w:pPr>
            <w:r>
              <w:rPr>
                <w:rFonts w:hint="eastAsia" w:ascii="宋体" w:hAnsi="宋体"/>
                <w:szCs w:val="21"/>
              </w:rPr>
              <w:t>备份投标文件</w:t>
            </w:r>
          </w:p>
        </w:tc>
        <w:tc>
          <w:tcPr>
            <w:tcW w:w="7297" w:type="dxa"/>
            <w:tcBorders>
              <w:top w:val="single" w:color="auto" w:sz="4" w:space="0"/>
              <w:left w:val="single" w:color="auto" w:sz="4" w:space="0"/>
              <w:bottom w:val="single" w:color="auto" w:sz="4" w:space="0"/>
              <w:right w:val="single" w:color="auto" w:sz="4" w:space="0"/>
            </w:tcBorders>
            <w:vAlign w:val="center"/>
          </w:tcPr>
          <w:p w14:paraId="46FBEE1F">
            <w:pPr>
              <w:autoSpaceDE w:val="0"/>
              <w:autoSpaceDN w:val="0"/>
              <w:snapToGrid w:val="0"/>
              <w:spacing w:line="380" w:lineRule="exact"/>
              <w:textAlignment w:val="bottom"/>
              <w:rPr>
                <w:rFonts w:ascii="宋体" w:hAnsi="宋体"/>
                <w:szCs w:val="21"/>
              </w:rPr>
            </w:pPr>
            <w:r>
              <w:rPr>
                <w:rFonts w:hint="eastAsia" w:ascii="宋体" w:hAnsi="宋体"/>
                <w:szCs w:val="21"/>
              </w:rPr>
              <w:t>本项目不接受备份投标文件。</w:t>
            </w:r>
          </w:p>
        </w:tc>
      </w:tr>
      <w:tr w14:paraId="1765671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0D5243AF">
            <w:pPr>
              <w:spacing w:line="380" w:lineRule="exact"/>
              <w:rPr>
                <w:rFonts w:ascii="宋体" w:hAnsi="宋体"/>
                <w:szCs w:val="21"/>
              </w:rPr>
            </w:pPr>
            <w:r>
              <w:rPr>
                <w:rFonts w:hint="eastAsia" w:ascii="宋体" w:hAnsi="宋体"/>
                <w:szCs w:val="21"/>
              </w:rPr>
              <w:t>21.1</w:t>
            </w:r>
          </w:p>
        </w:tc>
        <w:tc>
          <w:tcPr>
            <w:tcW w:w="2268" w:type="dxa"/>
            <w:tcBorders>
              <w:top w:val="single" w:color="auto" w:sz="4" w:space="0"/>
              <w:left w:val="single" w:color="auto" w:sz="4" w:space="0"/>
              <w:bottom w:val="single" w:color="auto" w:sz="4" w:space="0"/>
              <w:right w:val="single" w:color="auto" w:sz="4" w:space="0"/>
            </w:tcBorders>
            <w:vAlign w:val="center"/>
          </w:tcPr>
          <w:p w14:paraId="05229CC5">
            <w:pPr>
              <w:spacing w:line="380" w:lineRule="exact"/>
              <w:rPr>
                <w:rFonts w:ascii="宋体" w:hAnsi="宋体"/>
                <w:szCs w:val="21"/>
              </w:rPr>
            </w:pPr>
            <w:r>
              <w:rPr>
                <w:rFonts w:hint="eastAsia" w:ascii="宋体" w:hAnsi="宋体"/>
                <w:szCs w:val="21"/>
              </w:rPr>
              <w:t>投标截止时间</w:t>
            </w:r>
          </w:p>
        </w:tc>
        <w:tc>
          <w:tcPr>
            <w:tcW w:w="7297" w:type="dxa"/>
            <w:tcBorders>
              <w:top w:val="single" w:color="auto" w:sz="4" w:space="0"/>
              <w:left w:val="single" w:color="auto" w:sz="4" w:space="0"/>
              <w:bottom w:val="single" w:color="auto" w:sz="4" w:space="0"/>
              <w:right w:val="single" w:color="auto" w:sz="4" w:space="0"/>
            </w:tcBorders>
            <w:vAlign w:val="center"/>
          </w:tcPr>
          <w:p w14:paraId="1CB59070">
            <w:pPr>
              <w:snapToGrid w:val="0"/>
              <w:spacing w:line="380" w:lineRule="exact"/>
              <w:rPr>
                <w:rFonts w:ascii="宋体" w:hAnsi="宋体"/>
                <w:szCs w:val="21"/>
                <w:u w:val="single"/>
              </w:rPr>
            </w:pPr>
            <w:r>
              <w:rPr>
                <w:rFonts w:hint="eastAsia" w:ascii="宋体" w:hAnsi="宋体"/>
                <w:szCs w:val="21"/>
              </w:rPr>
              <w:t>详见招标公告</w:t>
            </w:r>
          </w:p>
        </w:tc>
      </w:tr>
      <w:tr w14:paraId="74E1B61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6B7ACE91">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479E1654">
            <w:pPr>
              <w:spacing w:line="380" w:lineRule="exact"/>
              <w:rPr>
                <w:rFonts w:ascii="宋体" w:hAnsi="宋体"/>
                <w:szCs w:val="21"/>
              </w:rPr>
            </w:pPr>
            <w:r>
              <w:rPr>
                <w:rFonts w:hint="eastAsia" w:ascii="宋体" w:hAnsi="宋体"/>
                <w:szCs w:val="21"/>
              </w:rPr>
              <w:t>投标文件提交起止时间</w:t>
            </w:r>
          </w:p>
        </w:tc>
        <w:tc>
          <w:tcPr>
            <w:tcW w:w="7297" w:type="dxa"/>
            <w:tcBorders>
              <w:top w:val="single" w:color="auto" w:sz="4" w:space="0"/>
              <w:left w:val="single" w:color="auto" w:sz="4" w:space="0"/>
              <w:bottom w:val="single" w:color="auto" w:sz="4" w:space="0"/>
              <w:right w:val="single" w:color="auto" w:sz="4" w:space="0"/>
            </w:tcBorders>
            <w:vAlign w:val="center"/>
          </w:tcPr>
          <w:p w14:paraId="53F25997">
            <w:pPr>
              <w:snapToGrid w:val="0"/>
              <w:spacing w:line="380" w:lineRule="exact"/>
              <w:rPr>
                <w:rFonts w:ascii="宋体" w:hAnsi="宋体"/>
                <w:szCs w:val="21"/>
              </w:rPr>
            </w:pPr>
            <w:r>
              <w:rPr>
                <w:rFonts w:hint="eastAsia" w:ascii="宋体" w:hAnsi="宋体"/>
                <w:szCs w:val="21"/>
              </w:rPr>
              <w:t>详见招标公告</w:t>
            </w:r>
          </w:p>
        </w:tc>
      </w:tr>
      <w:tr w14:paraId="61E3E54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1CF8EB5A">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F298C84">
            <w:pPr>
              <w:spacing w:line="380" w:lineRule="exact"/>
              <w:rPr>
                <w:rFonts w:ascii="宋体" w:hAnsi="宋体"/>
                <w:szCs w:val="21"/>
              </w:rPr>
            </w:pPr>
            <w:r>
              <w:rPr>
                <w:rFonts w:hint="eastAsia" w:ascii="宋体" w:hAnsi="宋体"/>
                <w:szCs w:val="21"/>
              </w:rPr>
              <w:t>投标地点</w:t>
            </w:r>
          </w:p>
        </w:tc>
        <w:tc>
          <w:tcPr>
            <w:tcW w:w="7297" w:type="dxa"/>
            <w:tcBorders>
              <w:top w:val="single" w:color="auto" w:sz="4" w:space="0"/>
              <w:left w:val="single" w:color="auto" w:sz="4" w:space="0"/>
              <w:bottom w:val="single" w:color="auto" w:sz="4" w:space="0"/>
              <w:right w:val="single" w:color="auto" w:sz="4" w:space="0"/>
            </w:tcBorders>
            <w:vAlign w:val="center"/>
          </w:tcPr>
          <w:p w14:paraId="158E9786">
            <w:pPr>
              <w:snapToGrid w:val="0"/>
              <w:spacing w:line="380" w:lineRule="exact"/>
              <w:rPr>
                <w:rFonts w:ascii="宋体" w:hAnsi="宋体"/>
                <w:szCs w:val="21"/>
              </w:rPr>
            </w:pPr>
            <w:r>
              <w:rPr>
                <w:rFonts w:hint="eastAsia" w:ascii="宋体" w:hAnsi="宋体"/>
                <w:szCs w:val="21"/>
              </w:rPr>
              <w:t>详见招标公告</w:t>
            </w:r>
          </w:p>
        </w:tc>
      </w:tr>
      <w:tr w14:paraId="5E5EC88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3E5EE4B6">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A41B128">
            <w:pPr>
              <w:spacing w:line="380" w:lineRule="exact"/>
              <w:rPr>
                <w:rFonts w:ascii="宋体" w:hAnsi="宋体"/>
                <w:szCs w:val="21"/>
              </w:rPr>
            </w:pPr>
            <w:r>
              <w:rPr>
                <w:rFonts w:hint="eastAsia" w:ascii="宋体" w:hAnsi="宋体"/>
                <w:szCs w:val="21"/>
              </w:rPr>
              <w:t>投标人递交投标样品截止时间及地点</w:t>
            </w:r>
          </w:p>
        </w:tc>
        <w:tc>
          <w:tcPr>
            <w:tcW w:w="7297" w:type="dxa"/>
            <w:tcBorders>
              <w:top w:val="single" w:color="auto" w:sz="4" w:space="0"/>
              <w:left w:val="single" w:color="auto" w:sz="4" w:space="0"/>
              <w:bottom w:val="single" w:color="auto" w:sz="4" w:space="0"/>
              <w:right w:val="single" w:color="auto" w:sz="4" w:space="0"/>
            </w:tcBorders>
            <w:vAlign w:val="center"/>
          </w:tcPr>
          <w:p w14:paraId="1EEBBD5D">
            <w:pPr>
              <w:snapToGrid w:val="0"/>
              <w:spacing w:line="380" w:lineRule="exact"/>
              <w:rPr>
                <w:rFonts w:ascii="宋体" w:hAnsi="宋体"/>
                <w:szCs w:val="21"/>
              </w:rPr>
            </w:pPr>
            <w:r>
              <w:rPr>
                <w:rFonts w:hint="eastAsia" w:ascii="宋体" w:hAnsi="宋体"/>
                <w:bCs/>
                <w:szCs w:val="21"/>
              </w:rPr>
              <w:t>无</w:t>
            </w:r>
          </w:p>
        </w:tc>
      </w:tr>
      <w:tr w14:paraId="1FCF975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7782224E">
            <w:pPr>
              <w:spacing w:line="380" w:lineRule="exact"/>
              <w:rPr>
                <w:rFonts w:ascii="宋体" w:hAnsi="宋体"/>
                <w:szCs w:val="21"/>
              </w:rPr>
            </w:pPr>
            <w:r>
              <w:rPr>
                <w:rFonts w:hint="eastAsia" w:ascii="宋体" w:hAnsi="宋体"/>
                <w:szCs w:val="21"/>
              </w:rPr>
              <w:t>23</w:t>
            </w:r>
          </w:p>
        </w:tc>
        <w:tc>
          <w:tcPr>
            <w:tcW w:w="2268" w:type="dxa"/>
            <w:tcBorders>
              <w:top w:val="single" w:color="auto" w:sz="4" w:space="0"/>
              <w:left w:val="single" w:color="auto" w:sz="4" w:space="0"/>
              <w:bottom w:val="single" w:color="auto" w:sz="4" w:space="0"/>
              <w:right w:val="single" w:color="auto" w:sz="4" w:space="0"/>
            </w:tcBorders>
            <w:vAlign w:val="center"/>
          </w:tcPr>
          <w:p w14:paraId="323EA32B">
            <w:pPr>
              <w:spacing w:line="380" w:lineRule="exact"/>
              <w:rPr>
                <w:rFonts w:ascii="宋体" w:hAnsi="宋体"/>
                <w:szCs w:val="21"/>
              </w:rPr>
            </w:pPr>
            <w:r>
              <w:rPr>
                <w:rFonts w:hint="eastAsia" w:ascii="宋体" w:hAnsi="宋体"/>
                <w:szCs w:val="21"/>
              </w:rPr>
              <w:t>开标时间、地点</w:t>
            </w:r>
          </w:p>
        </w:tc>
        <w:tc>
          <w:tcPr>
            <w:tcW w:w="7297" w:type="dxa"/>
            <w:tcBorders>
              <w:top w:val="single" w:color="auto" w:sz="4" w:space="0"/>
              <w:left w:val="single" w:color="auto" w:sz="4" w:space="0"/>
              <w:bottom w:val="single" w:color="auto" w:sz="4" w:space="0"/>
              <w:right w:val="single" w:color="auto" w:sz="4" w:space="0"/>
            </w:tcBorders>
            <w:vAlign w:val="center"/>
          </w:tcPr>
          <w:p w14:paraId="53F022D5">
            <w:pPr>
              <w:snapToGrid w:val="0"/>
              <w:spacing w:line="380" w:lineRule="exact"/>
              <w:rPr>
                <w:rFonts w:ascii="宋体" w:hAnsi="宋体"/>
                <w:szCs w:val="21"/>
              </w:rPr>
            </w:pPr>
            <w:r>
              <w:rPr>
                <w:rFonts w:hint="eastAsia" w:ascii="宋体" w:hAnsi="宋体"/>
                <w:szCs w:val="21"/>
              </w:rPr>
              <w:t xml:space="preserve">详见招标公告 </w:t>
            </w:r>
          </w:p>
        </w:tc>
      </w:tr>
      <w:tr w14:paraId="6F4A41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7CF13236">
            <w:pPr>
              <w:spacing w:line="380" w:lineRule="exact"/>
              <w:rPr>
                <w:rFonts w:ascii="宋体" w:hAnsi="宋体"/>
                <w:szCs w:val="21"/>
              </w:rPr>
            </w:pPr>
            <w:r>
              <w:rPr>
                <w:rFonts w:hint="eastAsia" w:ascii="宋体" w:hAnsi="宋体"/>
                <w:szCs w:val="21"/>
              </w:rPr>
              <w:t>25.3（2）</w:t>
            </w:r>
          </w:p>
        </w:tc>
        <w:tc>
          <w:tcPr>
            <w:tcW w:w="2268" w:type="dxa"/>
            <w:tcBorders>
              <w:top w:val="single" w:color="auto" w:sz="4" w:space="0"/>
              <w:left w:val="single" w:color="auto" w:sz="4" w:space="0"/>
              <w:bottom w:val="single" w:color="auto" w:sz="4" w:space="0"/>
              <w:right w:val="single" w:color="auto" w:sz="4" w:space="0"/>
            </w:tcBorders>
            <w:vAlign w:val="center"/>
          </w:tcPr>
          <w:p w14:paraId="299E7CB1">
            <w:pPr>
              <w:spacing w:line="380" w:lineRule="exact"/>
              <w:rPr>
                <w:rFonts w:ascii="宋体" w:hAnsi="宋体"/>
                <w:szCs w:val="21"/>
              </w:rPr>
            </w:pPr>
            <w:r>
              <w:rPr>
                <w:rFonts w:hint="eastAsia" w:ascii="宋体" w:hAnsi="宋体"/>
                <w:szCs w:val="21"/>
              </w:rPr>
              <w:t>投标人信用查询渠道</w:t>
            </w:r>
          </w:p>
        </w:tc>
        <w:tc>
          <w:tcPr>
            <w:tcW w:w="7297" w:type="dxa"/>
            <w:tcBorders>
              <w:top w:val="single" w:color="auto" w:sz="4" w:space="0"/>
              <w:left w:val="single" w:color="auto" w:sz="4" w:space="0"/>
              <w:bottom w:val="single" w:color="auto" w:sz="4" w:space="0"/>
              <w:right w:val="single" w:color="auto" w:sz="4" w:space="0"/>
            </w:tcBorders>
            <w:vAlign w:val="center"/>
          </w:tcPr>
          <w:p w14:paraId="1230DCCB">
            <w:pPr>
              <w:snapToGrid w:val="0"/>
              <w:spacing w:line="380" w:lineRule="exact"/>
              <w:rPr>
                <w:rFonts w:ascii="宋体" w:hAnsi="宋体"/>
                <w:szCs w:val="21"/>
              </w:rPr>
            </w:pPr>
            <w:r>
              <w:rPr>
                <w:rFonts w:hint="eastAsia" w:ascii="宋体" w:hAnsi="宋体"/>
                <w:szCs w:val="21"/>
              </w:rPr>
              <w:t>采购人或者采购代理机构在资格审查结束前，对投标人进行信用查询。</w:t>
            </w:r>
          </w:p>
          <w:p w14:paraId="5AE396B4">
            <w:pPr>
              <w:snapToGrid w:val="0"/>
              <w:spacing w:line="380" w:lineRule="exact"/>
              <w:rPr>
                <w:rFonts w:ascii="宋体" w:hAnsi="宋体"/>
                <w:szCs w:val="21"/>
              </w:rPr>
            </w:pPr>
            <w:r>
              <w:rPr>
                <w:rFonts w:hint="eastAsia" w:ascii="宋体" w:hAnsi="宋体"/>
                <w:szCs w:val="21"/>
              </w:rPr>
              <w:t>查询渠道：“信用中国”网站(www.creditchina.gov.cn) 、中国政府采购网(www.ccgp.gov.cn)。</w:t>
            </w:r>
          </w:p>
        </w:tc>
      </w:tr>
      <w:tr w14:paraId="771AF10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66CB9B58">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B28D3ED">
            <w:pPr>
              <w:spacing w:line="380" w:lineRule="exact"/>
              <w:rPr>
                <w:rFonts w:ascii="宋体" w:hAnsi="宋体"/>
                <w:szCs w:val="21"/>
              </w:rPr>
            </w:pPr>
            <w:r>
              <w:rPr>
                <w:rFonts w:hint="eastAsia" w:ascii="宋体" w:hAnsi="宋体"/>
                <w:szCs w:val="21"/>
              </w:rPr>
              <w:t>信用查询截止时点</w:t>
            </w:r>
          </w:p>
        </w:tc>
        <w:tc>
          <w:tcPr>
            <w:tcW w:w="7297" w:type="dxa"/>
            <w:tcBorders>
              <w:top w:val="single" w:color="auto" w:sz="4" w:space="0"/>
              <w:left w:val="single" w:color="auto" w:sz="4" w:space="0"/>
              <w:bottom w:val="single" w:color="auto" w:sz="4" w:space="0"/>
              <w:right w:val="single" w:color="auto" w:sz="4" w:space="0"/>
            </w:tcBorders>
            <w:vAlign w:val="center"/>
          </w:tcPr>
          <w:p w14:paraId="2F2228AF">
            <w:pPr>
              <w:snapToGrid w:val="0"/>
              <w:spacing w:line="380" w:lineRule="exact"/>
              <w:rPr>
                <w:rFonts w:ascii="宋体" w:hAnsi="宋体"/>
                <w:szCs w:val="21"/>
              </w:rPr>
            </w:pPr>
            <w:r>
              <w:rPr>
                <w:rFonts w:hint="eastAsia" w:ascii="宋体" w:hAnsi="宋体"/>
                <w:szCs w:val="21"/>
              </w:rPr>
              <w:t>资格审查结束前</w:t>
            </w:r>
          </w:p>
        </w:tc>
      </w:tr>
      <w:tr w14:paraId="1C9900E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1459AE85">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2F4C9938">
            <w:pPr>
              <w:spacing w:line="380" w:lineRule="exact"/>
              <w:rPr>
                <w:rFonts w:ascii="宋体" w:hAnsi="宋体"/>
                <w:szCs w:val="21"/>
              </w:rPr>
            </w:pPr>
            <w:r>
              <w:rPr>
                <w:rFonts w:hint="eastAsia" w:ascii="宋体" w:hAnsi="宋体"/>
                <w:szCs w:val="21"/>
              </w:rPr>
              <w:t>查询记录和证据留存方式</w:t>
            </w:r>
          </w:p>
        </w:tc>
        <w:tc>
          <w:tcPr>
            <w:tcW w:w="7297" w:type="dxa"/>
            <w:tcBorders>
              <w:top w:val="single" w:color="auto" w:sz="4" w:space="0"/>
              <w:left w:val="single" w:color="auto" w:sz="4" w:space="0"/>
              <w:bottom w:val="single" w:color="auto" w:sz="4" w:space="0"/>
              <w:right w:val="single" w:color="auto" w:sz="4" w:space="0"/>
            </w:tcBorders>
            <w:vAlign w:val="center"/>
          </w:tcPr>
          <w:p w14:paraId="10F2E283">
            <w:pPr>
              <w:snapToGrid w:val="0"/>
              <w:spacing w:line="380" w:lineRule="exact"/>
              <w:rPr>
                <w:rFonts w:ascii="宋体" w:hAnsi="宋体"/>
                <w:szCs w:val="21"/>
              </w:rPr>
            </w:pPr>
            <w:r>
              <w:rPr>
                <w:rFonts w:hint="eastAsia" w:ascii="宋体" w:hAnsi="宋体"/>
                <w:szCs w:val="21"/>
              </w:rPr>
              <w:t>在查询网站中直接截图查询记录，截图作为在“广西政府采购云平台”作为附件上传保存。</w:t>
            </w:r>
          </w:p>
        </w:tc>
      </w:tr>
      <w:tr w14:paraId="6BD7D77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3DAE2F75">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83BB6F1">
            <w:pPr>
              <w:spacing w:line="380" w:lineRule="exact"/>
              <w:rPr>
                <w:rFonts w:ascii="宋体" w:hAnsi="宋体"/>
                <w:szCs w:val="21"/>
              </w:rPr>
            </w:pPr>
            <w:r>
              <w:rPr>
                <w:rFonts w:hint="eastAsia" w:ascii="宋体" w:hAnsi="宋体"/>
                <w:szCs w:val="21"/>
              </w:rPr>
              <w:t>信用信息使用规则</w:t>
            </w:r>
          </w:p>
        </w:tc>
        <w:tc>
          <w:tcPr>
            <w:tcW w:w="7297" w:type="dxa"/>
            <w:tcBorders>
              <w:top w:val="single" w:color="auto" w:sz="4" w:space="0"/>
              <w:left w:val="single" w:color="auto" w:sz="4" w:space="0"/>
              <w:bottom w:val="single" w:color="auto" w:sz="4" w:space="0"/>
              <w:right w:val="single" w:color="auto" w:sz="4" w:space="0"/>
            </w:tcBorders>
            <w:vAlign w:val="center"/>
          </w:tcPr>
          <w:p w14:paraId="4394BF99">
            <w:pPr>
              <w:snapToGrid w:val="0"/>
              <w:spacing w:line="380" w:lineRule="exact"/>
              <w:rPr>
                <w:rFonts w:ascii="宋体" w:hAnsi="宋体"/>
                <w:szCs w:val="21"/>
              </w:rPr>
            </w:pPr>
            <w:r>
              <w:rPr>
                <w:rFonts w:hint="eastAsia" w:ascii="宋体" w:hAnsi="宋体"/>
                <w:szCs w:val="21"/>
              </w:rPr>
              <w:t>对在“信用中国”网站(www.creditchina.gov.cn) 、中国政府采购网(www.ccgp.gov.cn)被列入失信被执行人、重大税收违法案件当事人名单、政府采购严重违法失信行为记录名单及其他不符合《中华人民共和国政府采购法》第二十二条规定条件的投标人，采购人或者采购代理机构</w:t>
            </w:r>
            <w:r>
              <w:rPr>
                <w:rFonts w:hint="eastAsia"/>
                <w:sz w:val="22"/>
                <w:szCs w:val="22"/>
              </w:rPr>
              <w:t>应当拒绝其参与政府采购活动</w:t>
            </w:r>
            <w:r>
              <w:rPr>
                <w:rFonts w:hint="eastAsia" w:ascii="宋体" w:hAnsi="宋体"/>
                <w:szCs w:val="21"/>
              </w:rPr>
              <w:t>。两个以上的自然人、法人或者其他组织组成一个联合体，以一个投标人的身份共同参加政府采购活动的，应当对所有联合体成员进行信用记录查询，联合体成员存在不良信用记录的，视同联合体存在不良信用记录。</w:t>
            </w:r>
          </w:p>
        </w:tc>
      </w:tr>
      <w:tr w14:paraId="0D7D4BD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55ABCF5B">
            <w:pPr>
              <w:spacing w:line="380" w:lineRule="exact"/>
              <w:rPr>
                <w:rFonts w:ascii="宋体" w:hAnsi="宋体"/>
                <w:szCs w:val="21"/>
              </w:rPr>
            </w:pPr>
            <w:r>
              <w:rPr>
                <w:rFonts w:ascii="宋体" w:hAnsi="宋体"/>
                <w:szCs w:val="21"/>
              </w:rPr>
              <w:t>29.1</w:t>
            </w:r>
          </w:p>
        </w:tc>
        <w:tc>
          <w:tcPr>
            <w:tcW w:w="2268" w:type="dxa"/>
            <w:tcBorders>
              <w:top w:val="single" w:color="auto" w:sz="4" w:space="0"/>
              <w:left w:val="single" w:color="auto" w:sz="4" w:space="0"/>
              <w:bottom w:val="single" w:color="auto" w:sz="4" w:space="0"/>
              <w:right w:val="single" w:color="auto" w:sz="4" w:space="0"/>
            </w:tcBorders>
            <w:vAlign w:val="center"/>
          </w:tcPr>
          <w:p w14:paraId="5E6B79D0">
            <w:pPr>
              <w:spacing w:line="380" w:lineRule="exact"/>
              <w:rPr>
                <w:rFonts w:ascii="宋体" w:hAnsi="宋体"/>
                <w:szCs w:val="21"/>
              </w:rPr>
            </w:pPr>
            <w:r>
              <w:rPr>
                <w:rFonts w:hint="eastAsia" w:ascii="宋体" w:hAnsi="宋体"/>
                <w:szCs w:val="21"/>
              </w:rPr>
              <w:t>评标方法</w:t>
            </w:r>
          </w:p>
        </w:tc>
        <w:tc>
          <w:tcPr>
            <w:tcW w:w="7297" w:type="dxa"/>
            <w:tcBorders>
              <w:top w:val="single" w:color="auto" w:sz="4" w:space="0"/>
              <w:left w:val="single" w:color="auto" w:sz="4" w:space="0"/>
              <w:bottom w:val="single" w:color="auto" w:sz="4" w:space="0"/>
              <w:right w:val="single" w:color="auto" w:sz="4" w:space="0"/>
            </w:tcBorders>
            <w:vAlign w:val="center"/>
          </w:tcPr>
          <w:p w14:paraId="14EE9152">
            <w:pPr>
              <w:autoSpaceDE w:val="0"/>
              <w:autoSpaceDN w:val="0"/>
              <w:snapToGrid w:val="0"/>
              <w:spacing w:line="380" w:lineRule="exact"/>
              <w:textAlignment w:val="bottom"/>
              <w:rPr>
                <w:rFonts w:ascii="宋体" w:hAnsi="宋体"/>
                <w:szCs w:val="21"/>
              </w:rPr>
            </w:pPr>
            <w:r>
              <w:rPr>
                <w:rFonts w:hint="eastAsia" w:ascii="仿宋_GB2312" w:eastAsia="仿宋_GB2312" w:cs="仿宋_GB2312"/>
                <w:b/>
                <w:bCs/>
                <w:kern w:val="0"/>
                <w:sz w:val="24"/>
                <w:lang w:val="zh-CN"/>
              </w:rPr>
              <w:sym w:font="Wingdings 2" w:char="0052"/>
            </w:r>
            <w:r>
              <w:rPr>
                <w:rFonts w:hint="eastAsia" w:ascii="宋体" w:hAnsi="宋体"/>
                <w:b/>
                <w:bCs/>
                <w:szCs w:val="21"/>
              </w:rPr>
              <w:t>综合评分法</w:t>
            </w:r>
          </w:p>
          <w:p w14:paraId="219B663C">
            <w:pPr>
              <w:autoSpaceDE w:val="0"/>
              <w:autoSpaceDN w:val="0"/>
              <w:snapToGrid w:val="0"/>
              <w:spacing w:line="380" w:lineRule="exact"/>
              <w:textAlignment w:val="bottom"/>
              <w:rPr>
                <w:rFonts w:ascii="宋体" w:hAnsi="宋体"/>
                <w:szCs w:val="21"/>
              </w:rPr>
            </w:pPr>
            <w:r>
              <w:rPr>
                <w:rFonts w:hint="eastAsia" w:ascii="宋体" w:hAnsi="宋体"/>
                <w:szCs w:val="21"/>
              </w:rPr>
              <w:t>□最低评标价法</w:t>
            </w:r>
          </w:p>
        </w:tc>
      </w:tr>
      <w:tr w14:paraId="4E21653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right w:val="single" w:color="auto" w:sz="4" w:space="0"/>
            </w:tcBorders>
            <w:vAlign w:val="center"/>
          </w:tcPr>
          <w:p w14:paraId="7F407A5E">
            <w:pPr>
              <w:spacing w:line="380" w:lineRule="exact"/>
              <w:rPr>
                <w:rFonts w:ascii="宋体" w:hAnsi="宋体"/>
                <w:szCs w:val="21"/>
              </w:rPr>
            </w:pPr>
            <w:r>
              <w:rPr>
                <w:rFonts w:hint="eastAsia" w:ascii="宋体" w:hAnsi="宋体"/>
                <w:szCs w:val="21"/>
              </w:rPr>
              <w:t>29</w:t>
            </w:r>
            <w:r>
              <w:rPr>
                <w:rFonts w:ascii="宋体" w:hAnsi="宋体"/>
                <w:szCs w:val="21"/>
              </w:rPr>
              <w:t>.2</w:t>
            </w:r>
          </w:p>
        </w:tc>
        <w:tc>
          <w:tcPr>
            <w:tcW w:w="2268" w:type="dxa"/>
            <w:tcBorders>
              <w:top w:val="single" w:color="auto" w:sz="4" w:space="0"/>
              <w:left w:val="single" w:color="auto" w:sz="4" w:space="0"/>
              <w:right w:val="single" w:color="auto" w:sz="4" w:space="0"/>
            </w:tcBorders>
            <w:vAlign w:val="center"/>
          </w:tcPr>
          <w:p w14:paraId="0E232500">
            <w:pPr>
              <w:spacing w:line="380" w:lineRule="exact"/>
              <w:rPr>
                <w:rFonts w:ascii="宋体" w:hAnsi="宋体"/>
                <w:szCs w:val="21"/>
              </w:rPr>
            </w:pPr>
            <w:r>
              <w:rPr>
                <w:rFonts w:hint="eastAsia" w:ascii="宋体" w:hAnsi="宋体"/>
                <w:szCs w:val="21"/>
              </w:rPr>
              <w:t>允许负偏离项</w:t>
            </w:r>
          </w:p>
        </w:tc>
        <w:tc>
          <w:tcPr>
            <w:tcW w:w="7297" w:type="dxa"/>
            <w:tcBorders>
              <w:top w:val="single" w:color="auto" w:sz="4" w:space="0"/>
              <w:left w:val="single" w:color="auto" w:sz="4" w:space="0"/>
              <w:right w:val="single" w:color="auto" w:sz="4" w:space="0"/>
            </w:tcBorders>
            <w:vAlign w:val="center"/>
          </w:tcPr>
          <w:p w14:paraId="7278EFBD">
            <w:pPr>
              <w:snapToGrid w:val="0"/>
              <w:spacing w:line="380" w:lineRule="exact"/>
              <w:rPr>
                <w:rFonts w:ascii="宋体" w:hAnsi="宋体"/>
                <w:szCs w:val="21"/>
              </w:rPr>
            </w:pPr>
            <w:r>
              <w:rPr>
                <w:rFonts w:hint="eastAsia" w:ascii="宋体" w:hAnsi="宋体" w:cs="宋体"/>
                <w:szCs w:val="21"/>
              </w:rPr>
              <w:t>商务条款</w:t>
            </w:r>
            <w:r>
              <w:rPr>
                <w:rFonts w:hint="eastAsia" w:ascii="宋体" w:hAnsi="宋体"/>
                <w:szCs w:val="21"/>
              </w:rPr>
              <w:t>评审中允许负偏离的条款数为</w:t>
            </w:r>
            <w:r>
              <w:rPr>
                <w:rFonts w:hint="eastAsia" w:ascii="宋体" w:hAnsi="宋体"/>
                <w:szCs w:val="21"/>
                <w:u w:val="single"/>
              </w:rPr>
              <w:t xml:space="preserve"> </w:t>
            </w:r>
            <w:r>
              <w:rPr>
                <w:rFonts w:ascii="宋体" w:hAnsi="宋体"/>
                <w:szCs w:val="21"/>
                <w:u w:val="single"/>
              </w:rPr>
              <w:t>0</w:t>
            </w:r>
            <w:r>
              <w:rPr>
                <w:rFonts w:hint="eastAsia" w:ascii="宋体" w:hAnsi="宋体"/>
                <w:szCs w:val="21"/>
                <w:u w:val="single"/>
              </w:rPr>
              <w:t xml:space="preserve"> </w:t>
            </w:r>
            <w:r>
              <w:rPr>
                <w:rFonts w:hint="eastAsia" w:ascii="宋体" w:hAnsi="宋体"/>
                <w:szCs w:val="21"/>
              </w:rPr>
              <w:t>项。</w:t>
            </w:r>
          </w:p>
          <w:p w14:paraId="2004ADD4">
            <w:pPr>
              <w:snapToGrid w:val="0"/>
              <w:spacing w:line="380" w:lineRule="exact"/>
              <w:rPr>
                <w:rFonts w:ascii="宋体" w:hAnsi="宋体"/>
                <w:szCs w:val="21"/>
              </w:rPr>
            </w:pPr>
            <w:r>
              <w:rPr>
                <w:rFonts w:hint="eastAsia" w:ascii="宋体" w:hAnsi="宋体" w:cs="宋体"/>
                <w:szCs w:val="21"/>
              </w:rPr>
              <w:t>技术需求</w:t>
            </w:r>
            <w:r>
              <w:rPr>
                <w:rFonts w:hint="eastAsia" w:ascii="宋体" w:hAnsi="宋体"/>
                <w:szCs w:val="21"/>
              </w:rPr>
              <w:t>评审中允许负偏离的条款数为</w:t>
            </w:r>
            <w:r>
              <w:rPr>
                <w:rFonts w:hint="eastAsia" w:ascii="宋体" w:hAnsi="宋体"/>
                <w:szCs w:val="21"/>
                <w:u w:val="single"/>
              </w:rPr>
              <w:t xml:space="preserve"> </w:t>
            </w:r>
            <w:r>
              <w:rPr>
                <w:rFonts w:ascii="宋体" w:hAnsi="宋体"/>
                <w:szCs w:val="21"/>
                <w:u w:val="single"/>
              </w:rPr>
              <w:t>0</w:t>
            </w:r>
            <w:r>
              <w:rPr>
                <w:rFonts w:hint="eastAsia" w:ascii="宋体" w:hAnsi="宋体"/>
                <w:szCs w:val="21"/>
                <w:u w:val="single"/>
              </w:rPr>
              <w:t xml:space="preserve"> </w:t>
            </w:r>
            <w:r>
              <w:rPr>
                <w:rFonts w:hint="eastAsia" w:ascii="宋体" w:hAnsi="宋体"/>
                <w:szCs w:val="21"/>
              </w:rPr>
              <w:t>项。</w:t>
            </w:r>
          </w:p>
        </w:tc>
      </w:tr>
      <w:tr w14:paraId="0630BCD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F341163">
            <w:pPr>
              <w:spacing w:line="380" w:lineRule="exact"/>
              <w:rPr>
                <w:rFonts w:ascii="宋体" w:hAnsi="宋体"/>
                <w:szCs w:val="21"/>
              </w:rPr>
            </w:pPr>
            <w:r>
              <w:rPr>
                <w:rFonts w:hint="eastAsia" w:ascii="宋体" w:hAnsi="宋体"/>
                <w:szCs w:val="21"/>
              </w:rPr>
              <w:t>30</w:t>
            </w:r>
            <w:r>
              <w:rPr>
                <w:rFonts w:ascii="宋体" w:hAnsi="宋体"/>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4357AE32">
            <w:pPr>
              <w:autoSpaceDE w:val="0"/>
              <w:autoSpaceDN w:val="0"/>
              <w:snapToGrid w:val="0"/>
              <w:spacing w:line="380" w:lineRule="exact"/>
              <w:textAlignment w:val="bottom"/>
              <w:rPr>
                <w:rFonts w:ascii="宋体" w:hAnsi="宋体"/>
                <w:szCs w:val="21"/>
              </w:rPr>
            </w:pPr>
            <w:r>
              <w:rPr>
                <w:rFonts w:hint="eastAsia" w:ascii="宋体" w:hAnsi="宋体"/>
                <w:szCs w:val="21"/>
              </w:rPr>
              <w:t xml:space="preserve">确定中标人时，出现中标候选人分数并列的情形，确定中标人方式 </w:t>
            </w:r>
          </w:p>
        </w:tc>
        <w:tc>
          <w:tcPr>
            <w:tcW w:w="7297" w:type="dxa"/>
            <w:tcBorders>
              <w:top w:val="single" w:color="auto" w:sz="4" w:space="0"/>
              <w:left w:val="single" w:color="auto" w:sz="4" w:space="0"/>
              <w:bottom w:val="single" w:color="auto" w:sz="4" w:space="0"/>
              <w:right w:val="single" w:color="auto" w:sz="4" w:space="0"/>
            </w:tcBorders>
            <w:vAlign w:val="center"/>
          </w:tcPr>
          <w:p w14:paraId="71E26618">
            <w:pPr>
              <w:autoSpaceDE w:val="0"/>
              <w:autoSpaceDN w:val="0"/>
              <w:snapToGrid w:val="0"/>
              <w:spacing w:line="380" w:lineRule="exact"/>
              <w:textAlignment w:val="bottom"/>
              <w:rPr>
                <w:rFonts w:ascii="宋体" w:hAnsi="宋体"/>
                <w:szCs w:val="21"/>
              </w:rPr>
            </w:pPr>
            <w:r>
              <w:rPr>
                <w:rFonts w:hint="eastAsia" w:ascii="宋体" w:hAnsi="宋体"/>
                <w:szCs w:val="21"/>
              </w:rPr>
              <w:t xml:space="preserve">□采用最低评标价法的，投标文件满足招标文件全部实质性要求且投标报价最低的投标人为排名第一的中标候选人； </w:t>
            </w:r>
          </w:p>
          <w:p w14:paraId="1D53AD01">
            <w:pPr>
              <w:autoSpaceDE w:val="0"/>
              <w:autoSpaceDN w:val="0"/>
              <w:snapToGrid w:val="0"/>
              <w:spacing w:line="380" w:lineRule="exact"/>
              <w:textAlignment w:val="bottom"/>
              <w:rPr>
                <w:rFonts w:ascii="宋体" w:hAnsi="宋体"/>
                <w:b/>
                <w:szCs w:val="21"/>
              </w:rPr>
            </w:pPr>
            <w:r>
              <w:rPr>
                <w:rFonts w:hint="eastAsia" w:ascii="仿宋_GB2312" w:eastAsia="仿宋_GB2312" w:cs="仿宋_GB2312"/>
                <w:b/>
                <w:bCs/>
                <w:kern w:val="0"/>
                <w:sz w:val="24"/>
                <w:lang w:val="zh-CN"/>
              </w:rPr>
              <w:sym w:font="Wingdings 2" w:char="0052"/>
            </w:r>
            <w:r>
              <w:rPr>
                <w:rFonts w:hint="eastAsia" w:ascii="宋体" w:hAnsi="宋体"/>
                <w:szCs w:val="21"/>
              </w:rPr>
              <w:t>采用综合评分法的，按投标报价由低到高顺序排列。得分且投标报价相同的并列。投标文件满足招标文件全部实质性要求，且按照评审因素的量化指标评审得分最高的投标人为排名第一的中标候选人。</w:t>
            </w:r>
          </w:p>
        </w:tc>
      </w:tr>
      <w:tr w14:paraId="44760EE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460322DB">
            <w:pPr>
              <w:spacing w:line="380" w:lineRule="exact"/>
              <w:rPr>
                <w:rFonts w:ascii="宋体" w:hAnsi="宋体"/>
                <w:szCs w:val="21"/>
              </w:rPr>
            </w:pPr>
            <w:r>
              <w:rPr>
                <w:rFonts w:hint="eastAsia" w:ascii="宋体" w:hAnsi="宋体"/>
                <w:szCs w:val="21"/>
              </w:rPr>
              <w:t>35</w:t>
            </w:r>
            <w:r>
              <w:rPr>
                <w:rFonts w:ascii="宋体" w:hAnsi="宋体"/>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238AD006">
            <w:pPr>
              <w:spacing w:line="380" w:lineRule="exact"/>
              <w:rPr>
                <w:rFonts w:ascii="宋体" w:hAnsi="宋体"/>
                <w:szCs w:val="21"/>
              </w:rPr>
            </w:pPr>
            <w:r>
              <w:rPr>
                <w:rFonts w:hint="eastAsia" w:ascii="宋体" w:hAnsi="宋体"/>
                <w:szCs w:val="21"/>
              </w:rPr>
              <w:t>履约保证金金额</w:t>
            </w:r>
          </w:p>
        </w:tc>
        <w:tc>
          <w:tcPr>
            <w:tcW w:w="7297" w:type="dxa"/>
            <w:tcBorders>
              <w:top w:val="single" w:color="auto" w:sz="4" w:space="0"/>
              <w:left w:val="single" w:color="auto" w:sz="4" w:space="0"/>
              <w:bottom w:val="single" w:color="auto" w:sz="4" w:space="0"/>
              <w:right w:val="single" w:color="auto" w:sz="4" w:space="0"/>
            </w:tcBorders>
            <w:vAlign w:val="bottom"/>
          </w:tcPr>
          <w:p w14:paraId="55EF1EB9">
            <w:pPr>
              <w:autoSpaceDE w:val="0"/>
              <w:autoSpaceDN w:val="0"/>
              <w:snapToGrid w:val="0"/>
              <w:spacing w:line="380" w:lineRule="exact"/>
              <w:jc w:val="left"/>
              <w:textAlignment w:val="bottom"/>
              <w:rPr>
                <w:rFonts w:ascii="宋体" w:hAnsi="宋体"/>
                <w:szCs w:val="21"/>
              </w:rPr>
            </w:pPr>
            <w:r>
              <w:rPr>
                <w:rFonts w:hint="eastAsia" w:ascii="宋体" w:hAnsi="宋体"/>
                <w:szCs w:val="21"/>
              </w:rPr>
              <w:t>本项目不收取履约保证金。</w:t>
            </w:r>
          </w:p>
        </w:tc>
      </w:tr>
      <w:tr w14:paraId="5098F68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16798965">
            <w:pPr>
              <w:spacing w:line="380" w:lineRule="exact"/>
              <w:rPr>
                <w:rFonts w:ascii="宋体" w:hAnsi="宋体"/>
                <w:szCs w:val="21"/>
              </w:rPr>
            </w:pPr>
            <w:r>
              <w:rPr>
                <w:rFonts w:hint="eastAsia" w:ascii="宋体" w:hAnsi="宋体"/>
                <w:szCs w:val="21"/>
              </w:rPr>
              <w:t>36.1</w:t>
            </w:r>
          </w:p>
        </w:tc>
        <w:tc>
          <w:tcPr>
            <w:tcW w:w="2268" w:type="dxa"/>
            <w:tcBorders>
              <w:top w:val="single" w:color="auto" w:sz="4" w:space="0"/>
              <w:left w:val="single" w:color="auto" w:sz="4" w:space="0"/>
              <w:bottom w:val="single" w:color="auto" w:sz="4" w:space="0"/>
              <w:right w:val="single" w:color="auto" w:sz="4" w:space="0"/>
            </w:tcBorders>
            <w:vAlign w:val="center"/>
          </w:tcPr>
          <w:p w14:paraId="69247877">
            <w:pPr>
              <w:spacing w:line="380" w:lineRule="exact"/>
              <w:rPr>
                <w:rFonts w:ascii="宋体" w:hAnsi="宋体"/>
                <w:szCs w:val="21"/>
              </w:rPr>
            </w:pPr>
            <w:r>
              <w:rPr>
                <w:rFonts w:hint="eastAsia" w:ascii="宋体" w:hAnsi="宋体"/>
                <w:szCs w:val="21"/>
              </w:rPr>
              <w:t>签订电子合同携带的材料</w:t>
            </w:r>
          </w:p>
        </w:tc>
        <w:tc>
          <w:tcPr>
            <w:tcW w:w="7297" w:type="dxa"/>
            <w:tcBorders>
              <w:top w:val="single" w:color="auto" w:sz="4" w:space="0"/>
              <w:left w:val="single" w:color="auto" w:sz="4" w:space="0"/>
              <w:bottom w:val="single" w:color="auto" w:sz="4" w:space="0"/>
              <w:right w:val="single" w:color="auto" w:sz="4" w:space="0"/>
            </w:tcBorders>
            <w:vAlign w:val="center"/>
          </w:tcPr>
          <w:p w14:paraId="75047459">
            <w:pPr>
              <w:autoSpaceDE w:val="0"/>
              <w:autoSpaceDN w:val="0"/>
              <w:snapToGrid w:val="0"/>
              <w:spacing w:line="380" w:lineRule="exact"/>
              <w:textAlignment w:val="bottom"/>
              <w:rPr>
                <w:rFonts w:ascii="宋体" w:hAnsi="宋体"/>
                <w:szCs w:val="21"/>
              </w:rPr>
            </w:pPr>
            <w:r>
              <w:rPr>
                <w:rFonts w:hint="eastAsia" w:ascii="宋体" w:hAnsi="宋体"/>
                <w:szCs w:val="21"/>
              </w:rPr>
              <w:t>电子采购合同需要投标人通过有效CA证书进行电子签名与签章</w:t>
            </w:r>
          </w:p>
        </w:tc>
      </w:tr>
      <w:tr w14:paraId="2662097C">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19CC063F">
            <w:pPr>
              <w:spacing w:line="380" w:lineRule="exact"/>
              <w:rPr>
                <w:rFonts w:ascii="宋体" w:hAnsi="宋体"/>
                <w:szCs w:val="21"/>
              </w:rPr>
            </w:pPr>
            <w:r>
              <w:rPr>
                <w:rFonts w:hint="eastAsia" w:ascii="宋体" w:hAnsi="宋体"/>
                <w:szCs w:val="21"/>
              </w:rPr>
              <w:t>3</w:t>
            </w:r>
            <w:r>
              <w:rPr>
                <w:rFonts w:ascii="宋体" w:hAnsi="宋体"/>
                <w:szCs w:val="21"/>
              </w:rPr>
              <w:t>8.2</w:t>
            </w:r>
            <w:r>
              <w:rPr>
                <w:rFonts w:hint="eastAsia" w:ascii="宋体" w:hAnsi="宋体"/>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137934C1">
            <w:pPr>
              <w:spacing w:line="380" w:lineRule="exact"/>
              <w:rPr>
                <w:rFonts w:ascii="宋体" w:hAnsi="宋体"/>
                <w:szCs w:val="21"/>
              </w:rPr>
            </w:pPr>
            <w:r>
              <w:rPr>
                <w:rFonts w:hint="eastAsia" w:ascii="宋体" w:hAnsi="宋体"/>
                <w:szCs w:val="21"/>
              </w:rPr>
              <w:t>接收质疑函方式</w:t>
            </w:r>
          </w:p>
        </w:tc>
        <w:tc>
          <w:tcPr>
            <w:tcW w:w="7297" w:type="dxa"/>
            <w:tcBorders>
              <w:top w:val="single" w:color="auto" w:sz="4" w:space="0"/>
              <w:left w:val="single" w:color="auto" w:sz="4" w:space="0"/>
              <w:bottom w:val="single" w:color="auto" w:sz="4" w:space="0"/>
              <w:right w:val="single" w:color="auto" w:sz="4" w:space="0"/>
            </w:tcBorders>
            <w:vAlign w:val="center"/>
          </w:tcPr>
          <w:p w14:paraId="47D2A376">
            <w:pPr>
              <w:snapToGrid w:val="0"/>
              <w:spacing w:line="380" w:lineRule="exact"/>
              <w:rPr>
                <w:rFonts w:ascii="宋体" w:hAnsi="宋体"/>
                <w:szCs w:val="21"/>
              </w:rPr>
            </w:pPr>
            <w:r>
              <w:rPr>
                <w:rFonts w:hint="eastAsia" w:ascii="宋体" w:hAnsi="宋体"/>
                <w:szCs w:val="21"/>
              </w:rPr>
              <w:t>以书面形式</w:t>
            </w:r>
          </w:p>
        </w:tc>
      </w:tr>
      <w:tr w14:paraId="1211038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right w:val="single" w:color="auto" w:sz="4" w:space="0"/>
            </w:tcBorders>
            <w:vAlign w:val="center"/>
          </w:tcPr>
          <w:p w14:paraId="0D9A90D1">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67DAF8FD">
            <w:pPr>
              <w:spacing w:line="380" w:lineRule="exact"/>
              <w:rPr>
                <w:rFonts w:ascii="宋体" w:hAnsi="宋体"/>
                <w:szCs w:val="21"/>
              </w:rPr>
            </w:pPr>
            <w:r>
              <w:rPr>
                <w:rFonts w:hint="eastAsia" w:ascii="宋体" w:hAnsi="宋体"/>
                <w:szCs w:val="21"/>
              </w:rPr>
              <w:t>质疑联系部门及联系方式</w:t>
            </w:r>
          </w:p>
        </w:tc>
        <w:tc>
          <w:tcPr>
            <w:tcW w:w="7297" w:type="dxa"/>
            <w:tcBorders>
              <w:top w:val="single" w:color="auto" w:sz="4" w:space="0"/>
              <w:left w:val="single" w:color="auto" w:sz="4" w:space="0"/>
              <w:bottom w:val="single" w:color="auto" w:sz="4" w:space="0"/>
              <w:right w:val="single" w:color="auto" w:sz="4" w:space="0"/>
            </w:tcBorders>
            <w:vAlign w:val="center"/>
          </w:tcPr>
          <w:p w14:paraId="1DF8E2D0">
            <w:pPr>
              <w:snapToGrid w:val="0"/>
              <w:spacing w:line="380" w:lineRule="exact"/>
              <w:rPr>
                <w:rFonts w:ascii="宋体" w:hAnsi="宋体"/>
                <w:szCs w:val="21"/>
              </w:rPr>
            </w:pPr>
            <w:r>
              <w:rPr>
                <w:rFonts w:hint="eastAsia" w:ascii="宋体" w:hAnsi="宋体"/>
                <w:szCs w:val="21"/>
                <w:u w:val="single"/>
              </w:rPr>
              <w:t xml:space="preserve">（1）广西机电设备招标有限公司 </w:t>
            </w:r>
            <w:r>
              <w:rPr>
                <w:rFonts w:hint="eastAsia" w:ascii="宋体" w:hAnsi="宋体"/>
                <w:szCs w:val="21"/>
              </w:rPr>
              <w:t>；</w:t>
            </w:r>
          </w:p>
          <w:p w14:paraId="0085D501">
            <w:pPr>
              <w:snapToGrid w:val="0"/>
              <w:spacing w:line="380" w:lineRule="exact"/>
              <w:rPr>
                <w:rFonts w:ascii="宋体" w:hAnsi="宋体"/>
                <w:szCs w:val="21"/>
              </w:rPr>
            </w:pPr>
            <w:r>
              <w:rPr>
                <w:rFonts w:hint="eastAsia" w:ascii="宋体" w:hAnsi="宋体"/>
                <w:szCs w:val="21"/>
              </w:rPr>
              <w:t>联系电话：</w:t>
            </w:r>
            <w:r>
              <w:rPr>
                <w:rFonts w:ascii="宋体" w:hAnsi="宋体"/>
                <w:szCs w:val="21"/>
                <w:u w:val="single"/>
              </w:rPr>
              <w:t>0771-2808981</w:t>
            </w:r>
          </w:p>
          <w:p w14:paraId="69BD0914">
            <w:pPr>
              <w:snapToGrid w:val="0"/>
              <w:spacing w:line="380" w:lineRule="exact"/>
              <w:rPr>
                <w:rFonts w:ascii="宋体" w:hAnsi="宋体"/>
                <w:szCs w:val="21"/>
              </w:rPr>
            </w:pPr>
            <w:r>
              <w:rPr>
                <w:rFonts w:hint="eastAsia" w:ascii="宋体" w:hAnsi="宋体"/>
                <w:szCs w:val="21"/>
              </w:rPr>
              <w:t>通讯地址</w:t>
            </w:r>
            <w:r>
              <w:rPr>
                <w:rFonts w:hint="eastAsia" w:ascii="宋体" w:hAnsi="宋体" w:cs="Helvetica"/>
                <w:szCs w:val="21"/>
              </w:rPr>
              <w:t>：</w:t>
            </w:r>
            <w:r>
              <w:rPr>
                <w:rFonts w:hint="eastAsia" w:ascii="宋体" w:hAnsi="宋体"/>
                <w:szCs w:val="21"/>
                <w:u w:val="single"/>
              </w:rPr>
              <w:t>广西南宁市金湖路63号金源CBD现代城7层</w:t>
            </w:r>
          </w:p>
          <w:p w14:paraId="2CC2D364">
            <w:pPr>
              <w:snapToGrid w:val="0"/>
              <w:spacing w:line="380" w:lineRule="exact"/>
              <w:rPr>
                <w:rFonts w:ascii="宋体" w:hAnsi="宋体"/>
                <w:szCs w:val="21"/>
              </w:rPr>
            </w:pPr>
            <w:r>
              <w:rPr>
                <w:rFonts w:hint="eastAsia" w:ascii="宋体" w:hAnsi="宋体"/>
                <w:szCs w:val="21"/>
                <w:u w:val="single"/>
              </w:rPr>
              <w:t xml:space="preserve">（2）南宁市自然资源局  </w:t>
            </w:r>
            <w:r>
              <w:rPr>
                <w:rFonts w:hint="eastAsia" w:ascii="宋体" w:hAnsi="宋体"/>
                <w:szCs w:val="21"/>
              </w:rPr>
              <w:t>；</w:t>
            </w:r>
          </w:p>
          <w:p w14:paraId="2FF983E2">
            <w:pPr>
              <w:snapToGrid w:val="0"/>
              <w:spacing w:line="380" w:lineRule="exact"/>
              <w:rPr>
                <w:rFonts w:ascii="宋体" w:hAnsi="宋体" w:cs="Arial"/>
                <w:bCs/>
                <w:color w:val="000000"/>
                <w:kern w:val="0"/>
                <w:szCs w:val="21"/>
                <w:u w:val="single"/>
              </w:rPr>
            </w:pPr>
            <w:r>
              <w:rPr>
                <w:rFonts w:ascii="宋体" w:hAnsi="宋体"/>
                <w:szCs w:val="21"/>
              </w:rPr>
              <w:t>联系电话</w:t>
            </w:r>
            <w:r>
              <w:rPr>
                <w:rFonts w:hint="eastAsia" w:ascii="宋体" w:hAnsi="宋体"/>
                <w:szCs w:val="21"/>
              </w:rPr>
              <w:t>：</w:t>
            </w:r>
            <w:r>
              <w:rPr>
                <w:rFonts w:hint="eastAsia" w:ascii="宋体" w:hAnsi="宋体"/>
                <w:szCs w:val="21"/>
                <w:u w:val="single"/>
              </w:rPr>
              <w:t xml:space="preserve"> 0771-5609019</w:t>
            </w:r>
            <w:r>
              <w:rPr>
                <w:rFonts w:hint="eastAsia" w:ascii="宋体" w:hAnsi="宋体"/>
                <w:szCs w:val="21"/>
              </w:rPr>
              <w:t xml:space="preserve"> </w:t>
            </w:r>
          </w:p>
          <w:p w14:paraId="203FCA2A">
            <w:pPr>
              <w:snapToGrid w:val="0"/>
              <w:spacing w:line="380" w:lineRule="exact"/>
              <w:rPr>
                <w:rFonts w:ascii="宋体" w:hAnsi="宋体"/>
                <w:szCs w:val="21"/>
              </w:rPr>
            </w:pPr>
            <w:r>
              <w:rPr>
                <w:rFonts w:ascii="宋体" w:hAnsi="宋体"/>
                <w:szCs w:val="21"/>
              </w:rPr>
              <w:t>通讯地址</w:t>
            </w:r>
            <w:r>
              <w:rPr>
                <w:rFonts w:hint="eastAsia" w:ascii="宋体" w:hAnsi="宋体" w:cs="Helvetica"/>
                <w:szCs w:val="21"/>
              </w:rPr>
              <w:t>：</w:t>
            </w:r>
            <w:bookmarkStart w:id="19" w:name="PO_3000001866_PM030_2"/>
            <w:r>
              <w:rPr>
                <w:rFonts w:hint="eastAsia" w:ascii="宋体" w:hAnsi="宋体"/>
                <w:color w:val="0D0D0D"/>
                <w:szCs w:val="21"/>
                <w:u w:val="single"/>
              </w:rPr>
              <w:t>南宁市锦春路3-1号</w:t>
            </w:r>
            <w:bookmarkEnd w:id="19"/>
            <w:r>
              <w:rPr>
                <w:rFonts w:hint="eastAsia" w:ascii="宋体" w:hAnsi="宋体"/>
                <w:color w:val="0D0D0D"/>
                <w:szCs w:val="21"/>
                <w:u w:val="single"/>
              </w:rPr>
              <w:t xml:space="preserve"> </w:t>
            </w:r>
          </w:p>
        </w:tc>
      </w:tr>
      <w:tr w14:paraId="5A6269D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28310C55">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5B6DEEBD">
            <w:pPr>
              <w:spacing w:line="380" w:lineRule="exact"/>
              <w:rPr>
                <w:rFonts w:ascii="宋体" w:hAnsi="宋体"/>
                <w:szCs w:val="21"/>
              </w:rPr>
            </w:pPr>
            <w:r>
              <w:rPr>
                <w:rFonts w:hint="eastAsia" w:hAnsi="宋体"/>
              </w:rPr>
              <w:t>现场提交质疑办理业务时间</w:t>
            </w:r>
          </w:p>
        </w:tc>
        <w:tc>
          <w:tcPr>
            <w:tcW w:w="7297" w:type="dxa"/>
            <w:tcBorders>
              <w:top w:val="single" w:color="auto" w:sz="4" w:space="0"/>
              <w:left w:val="single" w:color="auto" w:sz="4" w:space="0"/>
              <w:bottom w:val="single" w:color="auto" w:sz="4" w:space="0"/>
              <w:right w:val="single" w:color="auto" w:sz="4" w:space="0"/>
            </w:tcBorders>
            <w:vAlign w:val="center"/>
          </w:tcPr>
          <w:p w14:paraId="54A31DF9">
            <w:pPr>
              <w:snapToGrid w:val="0"/>
              <w:spacing w:line="380" w:lineRule="exact"/>
              <w:rPr>
                <w:rFonts w:ascii="宋体" w:hAnsi="宋体"/>
                <w:szCs w:val="21"/>
              </w:rPr>
            </w:pPr>
            <w:r>
              <w:rPr>
                <w:rFonts w:hint="eastAsia" w:ascii="宋体" w:hAnsi="宋体"/>
              </w:rPr>
              <w:t>质疑期内每个工作日</w:t>
            </w:r>
            <w:r>
              <w:rPr>
                <w:rFonts w:ascii="宋体" w:hAnsi="宋体"/>
                <w:u w:val="single"/>
              </w:rPr>
              <w:t xml:space="preserve"> </w:t>
            </w:r>
            <w:r>
              <w:rPr>
                <w:rFonts w:hint="eastAsia" w:ascii="宋体" w:hAnsi="宋体"/>
                <w:u w:val="single"/>
              </w:rPr>
              <w:t>09</w:t>
            </w:r>
            <w:r>
              <w:rPr>
                <w:rFonts w:hint="eastAsia" w:ascii="宋体" w:hAnsi="宋体"/>
              </w:rPr>
              <w:t>时</w:t>
            </w:r>
            <w:r>
              <w:rPr>
                <w:rFonts w:ascii="宋体" w:hAnsi="宋体"/>
                <w:u w:val="single"/>
              </w:rPr>
              <w:t xml:space="preserve"> </w:t>
            </w:r>
            <w:r>
              <w:rPr>
                <w:rFonts w:hint="eastAsia" w:ascii="宋体" w:hAnsi="宋体"/>
                <w:u w:val="single"/>
              </w:rPr>
              <w:t>0</w:t>
            </w:r>
            <w:r>
              <w:rPr>
                <w:rFonts w:ascii="宋体" w:hAnsi="宋体"/>
                <w:u w:val="single"/>
              </w:rPr>
              <w:t xml:space="preserve">0 </w:t>
            </w:r>
            <w:r>
              <w:rPr>
                <w:rFonts w:hint="eastAsia" w:ascii="宋体" w:hAnsi="宋体"/>
              </w:rPr>
              <w:t>分到</w:t>
            </w:r>
            <w:r>
              <w:rPr>
                <w:rFonts w:ascii="宋体" w:hAnsi="宋体"/>
                <w:u w:val="single"/>
              </w:rPr>
              <w:t xml:space="preserve"> 12</w:t>
            </w:r>
            <w:r>
              <w:rPr>
                <w:rFonts w:hint="eastAsia" w:ascii="宋体" w:hAnsi="宋体"/>
              </w:rPr>
              <w:t>时</w:t>
            </w:r>
            <w:r>
              <w:rPr>
                <w:rFonts w:ascii="宋体" w:hAnsi="宋体"/>
                <w:u w:val="single"/>
              </w:rPr>
              <w:t xml:space="preserve">00 </w:t>
            </w:r>
            <w:r>
              <w:rPr>
                <w:rFonts w:hint="eastAsia" w:ascii="宋体" w:hAnsi="宋体"/>
              </w:rPr>
              <w:t>分，</w:t>
            </w:r>
            <w:r>
              <w:rPr>
                <w:rFonts w:ascii="宋体" w:hAnsi="宋体"/>
                <w:u w:val="single"/>
              </w:rPr>
              <w:t>1</w:t>
            </w:r>
            <w:r>
              <w:rPr>
                <w:rFonts w:hint="eastAsia" w:ascii="宋体" w:hAnsi="宋体"/>
                <w:u w:val="single"/>
              </w:rPr>
              <w:t>5</w:t>
            </w:r>
            <w:r>
              <w:rPr>
                <w:rFonts w:ascii="宋体" w:hAnsi="宋体"/>
                <w:u w:val="single"/>
              </w:rPr>
              <w:t xml:space="preserve"> </w:t>
            </w:r>
            <w:r>
              <w:rPr>
                <w:rFonts w:hint="eastAsia" w:ascii="宋体" w:hAnsi="宋体"/>
              </w:rPr>
              <w:t>时</w:t>
            </w:r>
            <w:r>
              <w:rPr>
                <w:rFonts w:hint="eastAsia" w:ascii="宋体" w:hAnsi="宋体"/>
                <w:u w:val="single"/>
              </w:rPr>
              <w:t>0</w:t>
            </w:r>
            <w:r>
              <w:rPr>
                <w:rFonts w:ascii="宋体" w:hAnsi="宋体"/>
                <w:u w:val="single"/>
              </w:rPr>
              <w:t xml:space="preserve">0 </w:t>
            </w:r>
            <w:r>
              <w:rPr>
                <w:rFonts w:hint="eastAsia" w:ascii="宋体" w:hAnsi="宋体"/>
              </w:rPr>
              <w:t>分到</w:t>
            </w:r>
            <w:r>
              <w:rPr>
                <w:rFonts w:ascii="宋体" w:hAnsi="宋体"/>
                <w:u w:val="single"/>
              </w:rPr>
              <w:t xml:space="preserve"> 1</w:t>
            </w:r>
            <w:r>
              <w:rPr>
                <w:rFonts w:hint="eastAsia" w:ascii="宋体" w:hAnsi="宋体"/>
                <w:u w:val="single"/>
              </w:rPr>
              <w:t>8</w:t>
            </w:r>
            <w:r>
              <w:rPr>
                <w:rFonts w:hint="eastAsia" w:ascii="宋体" w:hAnsi="宋体"/>
              </w:rPr>
              <w:t>时</w:t>
            </w:r>
            <w:r>
              <w:rPr>
                <w:rFonts w:ascii="宋体" w:hAnsi="宋体"/>
                <w:u w:val="single"/>
              </w:rPr>
              <w:t xml:space="preserve"> 00 </w:t>
            </w:r>
            <w:r>
              <w:rPr>
                <w:rFonts w:hint="eastAsia" w:ascii="宋体" w:hAnsi="宋体"/>
              </w:rPr>
              <w:t>分</w:t>
            </w:r>
          </w:p>
        </w:tc>
      </w:tr>
      <w:tr w14:paraId="4460FFB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left w:val="single" w:color="auto" w:sz="4" w:space="0"/>
              <w:bottom w:val="single" w:color="auto" w:sz="4" w:space="0"/>
              <w:right w:val="single" w:color="auto" w:sz="4" w:space="0"/>
            </w:tcBorders>
            <w:vAlign w:val="center"/>
          </w:tcPr>
          <w:p w14:paraId="1A115DAD">
            <w:pPr>
              <w:spacing w:line="380" w:lineRule="exact"/>
              <w:rPr>
                <w:rFonts w:ascii="宋体" w:hAnsi="宋体"/>
                <w:szCs w:val="21"/>
              </w:rPr>
            </w:pPr>
            <w:r>
              <w:rPr>
                <w:rFonts w:hint="eastAsia" w:ascii="宋体" w:hAnsi="宋体"/>
                <w:szCs w:val="21"/>
              </w:rPr>
              <w:t>38.3.1</w:t>
            </w:r>
          </w:p>
        </w:tc>
        <w:tc>
          <w:tcPr>
            <w:tcW w:w="2268" w:type="dxa"/>
            <w:tcBorders>
              <w:top w:val="single" w:color="auto" w:sz="4" w:space="0"/>
              <w:left w:val="single" w:color="auto" w:sz="4" w:space="0"/>
              <w:bottom w:val="single" w:color="auto" w:sz="4" w:space="0"/>
              <w:right w:val="single" w:color="auto" w:sz="4" w:space="0"/>
            </w:tcBorders>
            <w:vAlign w:val="center"/>
          </w:tcPr>
          <w:p w14:paraId="4880B218">
            <w:pPr>
              <w:spacing w:line="380" w:lineRule="exact"/>
              <w:rPr>
                <w:rFonts w:hAnsi="宋体"/>
              </w:rPr>
            </w:pPr>
            <w:r>
              <w:rPr>
                <w:rFonts w:hint="eastAsia" w:hAnsi="宋体"/>
              </w:rPr>
              <w:t>投诉受理方式</w:t>
            </w:r>
          </w:p>
        </w:tc>
        <w:tc>
          <w:tcPr>
            <w:tcW w:w="7297" w:type="dxa"/>
            <w:tcBorders>
              <w:top w:val="single" w:color="auto" w:sz="4" w:space="0"/>
              <w:left w:val="single" w:color="auto" w:sz="4" w:space="0"/>
              <w:bottom w:val="single" w:color="auto" w:sz="4" w:space="0"/>
              <w:right w:val="single" w:color="auto" w:sz="4" w:space="0"/>
            </w:tcBorders>
            <w:vAlign w:val="center"/>
          </w:tcPr>
          <w:p w14:paraId="52A0B159">
            <w:pPr>
              <w:snapToGrid w:val="0"/>
              <w:spacing w:line="380" w:lineRule="exact"/>
              <w:rPr>
                <w:rFonts w:hAnsi="宋体"/>
              </w:rPr>
            </w:pPr>
            <w:r>
              <w:rPr>
                <w:rFonts w:hAnsi="宋体"/>
              </w:rPr>
              <w:t>1</w:t>
            </w:r>
            <w:r>
              <w:rPr>
                <w:rFonts w:hint="eastAsia" w:hAnsi="宋体"/>
              </w:rPr>
              <w:t>、受理方式：纸质方式受理，投诉书正、副本（经过质疑的事项才可投诉）。</w:t>
            </w:r>
          </w:p>
          <w:p w14:paraId="649C2986">
            <w:pPr>
              <w:snapToGrid w:val="0"/>
              <w:spacing w:line="380" w:lineRule="exact"/>
              <w:rPr>
                <w:rFonts w:hAnsi="宋体"/>
              </w:rPr>
            </w:pPr>
            <w:r>
              <w:rPr>
                <w:rFonts w:hAnsi="宋体"/>
              </w:rPr>
              <w:t>2</w:t>
            </w:r>
            <w:r>
              <w:rPr>
                <w:rFonts w:hint="eastAsia" w:hAnsi="宋体"/>
              </w:rPr>
              <w:t>、邮寄地址：</w:t>
            </w:r>
          </w:p>
          <w:p w14:paraId="651910DF">
            <w:pPr>
              <w:snapToGrid w:val="0"/>
              <w:spacing w:line="380" w:lineRule="exact"/>
              <w:rPr>
                <w:rFonts w:hAnsi="宋体"/>
              </w:rPr>
            </w:pPr>
            <w:r>
              <w:rPr>
                <w:rFonts w:hint="eastAsia" w:hAnsi="宋体"/>
              </w:rPr>
              <w:t>名称：南宁市财政局政府采购监督管理科</w:t>
            </w:r>
          </w:p>
          <w:p w14:paraId="5507EC89">
            <w:pPr>
              <w:snapToGrid w:val="0"/>
              <w:spacing w:line="380" w:lineRule="exact"/>
              <w:rPr>
                <w:rFonts w:hAnsi="宋体"/>
              </w:rPr>
            </w:pPr>
            <w:r>
              <w:rPr>
                <w:rFonts w:hint="eastAsia" w:hAnsi="宋体"/>
              </w:rPr>
              <w:t>地址：南宁市青秀区东葛路129号</w:t>
            </w:r>
          </w:p>
          <w:p w14:paraId="70813E3E">
            <w:pPr>
              <w:snapToGrid w:val="0"/>
              <w:spacing w:line="380" w:lineRule="exact"/>
              <w:rPr>
                <w:rFonts w:ascii="宋体" w:hAnsi="宋体"/>
              </w:rPr>
            </w:pPr>
            <w:r>
              <w:rPr>
                <w:rFonts w:hint="eastAsia" w:hAnsi="宋体"/>
              </w:rPr>
              <w:t>联系电话：</w:t>
            </w:r>
            <w:r>
              <w:rPr>
                <w:rFonts w:hint="eastAsia" w:ascii="宋体" w:hAnsi="宋体" w:cs="宋体"/>
                <w:szCs w:val="21"/>
              </w:rPr>
              <w:t>0771-2189091</w:t>
            </w:r>
          </w:p>
        </w:tc>
      </w:tr>
      <w:tr w14:paraId="3F052E2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restart"/>
            <w:tcBorders>
              <w:top w:val="single" w:color="auto" w:sz="4" w:space="0"/>
              <w:left w:val="single" w:color="auto" w:sz="4" w:space="0"/>
              <w:right w:val="single" w:color="auto" w:sz="4" w:space="0"/>
            </w:tcBorders>
            <w:vAlign w:val="center"/>
          </w:tcPr>
          <w:p w14:paraId="62254375">
            <w:pPr>
              <w:spacing w:line="380" w:lineRule="exact"/>
              <w:rPr>
                <w:rFonts w:ascii="宋体" w:hAnsi="宋体"/>
                <w:szCs w:val="21"/>
              </w:rPr>
            </w:pPr>
            <w:r>
              <w:rPr>
                <w:rFonts w:hint="eastAsia" w:ascii="宋体" w:hAnsi="宋体"/>
                <w:szCs w:val="21"/>
              </w:rPr>
              <w:t>40</w:t>
            </w:r>
          </w:p>
        </w:tc>
        <w:tc>
          <w:tcPr>
            <w:tcW w:w="2268" w:type="dxa"/>
            <w:tcBorders>
              <w:top w:val="single" w:color="auto" w:sz="4" w:space="0"/>
              <w:left w:val="single" w:color="auto" w:sz="4" w:space="0"/>
              <w:bottom w:val="single" w:color="auto" w:sz="4" w:space="0"/>
              <w:right w:val="single" w:color="auto" w:sz="4" w:space="0"/>
            </w:tcBorders>
            <w:vAlign w:val="center"/>
          </w:tcPr>
          <w:p w14:paraId="77752609">
            <w:pPr>
              <w:spacing w:line="380" w:lineRule="exact"/>
              <w:rPr>
                <w:rFonts w:ascii="宋体" w:hAnsi="宋体"/>
                <w:szCs w:val="21"/>
              </w:rPr>
            </w:pPr>
            <w:r>
              <w:rPr>
                <w:rFonts w:hint="eastAsia" w:hAnsi="宋体" w:cs="宋体"/>
              </w:rPr>
              <w:t>采购代理费支付方式</w:t>
            </w:r>
          </w:p>
        </w:tc>
        <w:tc>
          <w:tcPr>
            <w:tcW w:w="7297" w:type="dxa"/>
            <w:tcBorders>
              <w:top w:val="single" w:color="auto" w:sz="4" w:space="0"/>
              <w:left w:val="single" w:color="auto" w:sz="4" w:space="0"/>
              <w:bottom w:val="single" w:color="auto" w:sz="4" w:space="0"/>
              <w:right w:val="single" w:color="auto" w:sz="4" w:space="0"/>
            </w:tcBorders>
            <w:vAlign w:val="center"/>
          </w:tcPr>
          <w:p w14:paraId="59CEC1DE">
            <w:pPr>
              <w:snapToGrid w:val="0"/>
              <w:spacing w:line="380" w:lineRule="exact"/>
              <w:rPr>
                <w:rFonts w:hAnsi="宋体" w:cs="宋体"/>
              </w:rPr>
            </w:pPr>
            <w:r>
              <w:rPr>
                <w:rFonts w:hint="eastAsia" w:ascii="仿宋_GB2312" w:eastAsia="仿宋_GB2312" w:cs="仿宋_GB2312"/>
                <w:b/>
                <w:bCs/>
                <w:kern w:val="0"/>
                <w:sz w:val="24"/>
                <w:lang w:val="zh-CN"/>
              </w:rPr>
              <w:sym w:font="Wingdings 2" w:char="0052"/>
            </w:r>
            <w:r>
              <w:rPr>
                <w:rFonts w:hint="eastAsia" w:hAnsi="宋体" w:cs="宋体"/>
                <w:b/>
                <w:bCs/>
              </w:rPr>
              <w:t>本项目代理服务费由</w:t>
            </w:r>
            <w:r>
              <w:rPr>
                <w:rFonts w:hint="eastAsia" w:hAnsi="宋体" w:cs="宋体"/>
                <w:b/>
                <w:bCs/>
                <w:u w:val="single"/>
              </w:rPr>
              <w:t>中标人</w:t>
            </w:r>
            <w:r>
              <w:rPr>
                <w:rFonts w:hint="eastAsia" w:hAnsi="宋体" w:cs="宋体"/>
                <w:b/>
                <w:bCs/>
              </w:rPr>
              <w:t>在领取中标通知书前，一次性向采购代理机构支付。</w:t>
            </w:r>
          </w:p>
          <w:p w14:paraId="48BEA518">
            <w:pPr>
              <w:snapToGrid w:val="0"/>
              <w:spacing w:line="380" w:lineRule="exact"/>
              <w:rPr>
                <w:rFonts w:hAnsi="宋体" w:cs="宋体"/>
              </w:rPr>
            </w:pPr>
            <w:r>
              <w:rPr>
                <w:rFonts w:hint="eastAsia" w:hAnsi="宋体" w:cs="宋体"/>
              </w:rPr>
              <w:t>□采购人支付。</w:t>
            </w:r>
          </w:p>
          <w:p w14:paraId="312EF4DA">
            <w:pPr>
              <w:snapToGrid w:val="0"/>
              <w:spacing w:line="380" w:lineRule="exact"/>
              <w:rPr>
                <w:rFonts w:hAnsi="宋体" w:cs="宋体"/>
              </w:rPr>
            </w:pPr>
            <w:r>
              <w:rPr>
                <w:rFonts w:hint="eastAsia" w:hAnsi="宋体" w:cs="宋体"/>
              </w:rPr>
              <w:t>□本项目不收取代理服务费。</w:t>
            </w:r>
          </w:p>
        </w:tc>
      </w:tr>
      <w:tr w14:paraId="3228F5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152" w:hRule="atLeast"/>
        </w:trPr>
        <w:tc>
          <w:tcPr>
            <w:tcW w:w="675" w:type="dxa"/>
            <w:vMerge w:val="continue"/>
            <w:tcBorders>
              <w:left w:val="single" w:color="auto" w:sz="4" w:space="0"/>
              <w:right w:val="single" w:color="auto" w:sz="4" w:space="0"/>
            </w:tcBorders>
            <w:vAlign w:val="center"/>
          </w:tcPr>
          <w:p w14:paraId="5F8961C5">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3ED0AA0A">
            <w:pPr>
              <w:spacing w:line="380" w:lineRule="exact"/>
              <w:rPr>
                <w:rFonts w:ascii="宋体" w:hAnsi="宋体"/>
                <w:szCs w:val="21"/>
              </w:rPr>
            </w:pPr>
            <w:r>
              <w:rPr>
                <w:rFonts w:hint="eastAsia" w:hAnsi="宋体" w:cs="宋体"/>
              </w:rPr>
              <w:t>采购代理费收取标准</w:t>
            </w:r>
          </w:p>
        </w:tc>
        <w:tc>
          <w:tcPr>
            <w:tcW w:w="7297" w:type="dxa"/>
            <w:tcBorders>
              <w:top w:val="single" w:color="auto" w:sz="4" w:space="0"/>
              <w:left w:val="single" w:color="auto" w:sz="4" w:space="0"/>
              <w:bottom w:val="single" w:color="auto" w:sz="4" w:space="0"/>
              <w:right w:val="single" w:color="auto" w:sz="4" w:space="0"/>
            </w:tcBorders>
            <w:vAlign w:val="center"/>
          </w:tcPr>
          <w:p w14:paraId="6271F10F">
            <w:pPr>
              <w:snapToGrid w:val="0"/>
              <w:spacing w:line="380" w:lineRule="exact"/>
            </w:pPr>
            <w:r>
              <w:rPr>
                <w:rFonts w:hint="eastAsia"/>
              </w:rPr>
              <w:sym w:font="Wingdings 2" w:char="0052"/>
            </w:r>
            <w:r>
              <w:rPr>
                <w:rFonts w:hint="eastAsia"/>
              </w:rPr>
              <w:t>以分标（☑中标金额/□采购预算/□暂定中标金额/□其他）为计费额，按服务招标采用差额定率累进法计算出收费基准价格，采购代理收费以（</w:t>
            </w:r>
            <w:r>
              <w:rPr/>
              <w:sym w:font="Wingdings 2" w:char="00A3"/>
            </w:r>
            <w:r>
              <w:rPr>
                <w:rFonts w:hint="eastAsia"/>
              </w:rPr>
              <w:t>收费基准价格/☑收费基准价格下浮</w:t>
            </w:r>
            <w:r>
              <w:rPr>
                <w:rFonts w:hint="eastAsia"/>
                <w:u w:val="single"/>
              </w:rPr>
              <w:t xml:space="preserve"> </w:t>
            </w:r>
            <w:r>
              <w:rPr>
                <w:u w:val="single"/>
              </w:rPr>
              <w:t>25</w:t>
            </w:r>
            <w:r>
              <w:rPr>
                <w:rFonts w:hint="eastAsia"/>
                <w:u w:val="single"/>
              </w:rPr>
              <w:t xml:space="preserve">% </w:t>
            </w:r>
            <w:r>
              <w:rPr/>
              <w:sym w:font="Wingdings" w:char="00A8"/>
            </w:r>
            <w:r>
              <w:rPr>
                <w:rFonts w:hint="eastAsia"/>
              </w:rPr>
              <w:t>收费基准价格上</w:t>
            </w:r>
            <w:r>
              <w:rPr>
                <w:rFonts w:hint="eastAsia"/>
                <w:u w:val="single"/>
              </w:rPr>
              <w:t>浮</w:t>
            </w:r>
            <w:r>
              <w:rPr>
                <w:rFonts w:hint="eastAsia"/>
              </w:rPr>
              <w:t>）收取。</w:t>
            </w:r>
          </w:p>
          <w:p w14:paraId="528B964A">
            <w:pPr>
              <w:snapToGrid w:val="0"/>
              <w:spacing w:line="380" w:lineRule="exact"/>
            </w:pPr>
            <w:r>
              <w:rPr>
                <w:rFonts w:hint="eastAsia"/>
              </w:rPr>
              <w:t>□固定采购代理收费</w:t>
            </w:r>
            <w:r>
              <w:rPr>
                <w:rFonts w:hint="eastAsia"/>
                <w:u w:val="single"/>
              </w:rPr>
              <w:t xml:space="preserve">    </w:t>
            </w:r>
            <w:r>
              <w:rPr>
                <w:rFonts w:hint="eastAsia" w:hAnsi="宋体" w:cs="宋体"/>
                <w:szCs w:val="21"/>
                <w:u w:val="single"/>
              </w:rPr>
              <w:t>/</w:t>
            </w:r>
            <w:r>
              <w:rPr>
                <w:rFonts w:hint="eastAsia"/>
                <w:u w:val="single"/>
              </w:rPr>
              <w:t xml:space="preserve">  </w:t>
            </w:r>
            <w:r>
              <w:rPr>
                <w:rFonts w:hint="eastAsia"/>
              </w:rPr>
              <w:t>。</w:t>
            </w:r>
          </w:p>
          <w:p w14:paraId="2362B5DD">
            <w:pPr>
              <w:snapToGrid w:val="0"/>
              <w:spacing w:line="380" w:lineRule="exact"/>
              <w:rPr>
                <w:b/>
                <w:bCs/>
                <w:u w:val="single"/>
              </w:rPr>
            </w:pPr>
            <w:r>
              <w:rPr>
                <w:rFonts w:hint="eastAsia"/>
                <w:b/>
                <w:bCs/>
                <w:u w:val="single"/>
              </w:rPr>
              <w:t>基准价计算标准如下：</w:t>
            </w:r>
          </w:p>
          <w:p w14:paraId="27E45A3D">
            <w:pPr>
              <w:ind w:firstLine="420" w:firstLineChars="200"/>
              <w:rPr>
                <w:rFonts w:ascii="宋体" w:hAnsi="宋体" w:cs="Calibri"/>
                <w:szCs w:val="21"/>
              </w:rPr>
            </w:pPr>
            <w:r>
              <w:rPr>
                <w:rFonts w:hint="eastAsia" w:ascii="宋体" w:hAnsi="宋体" w:cs="Calibri"/>
                <w:szCs w:val="21"/>
              </w:rPr>
              <w:t>（1）采购项目预算金额在400万元以下（含400万元）的项目采用</w:t>
            </w:r>
            <w:r>
              <w:rPr>
                <w:rFonts w:hint="eastAsia" w:ascii="宋体" w:hAnsi="宋体" w:cs="宋体"/>
                <w:kern w:val="0"/>
                <w:szCs w:val="21"/>
              </w:rPr>
              <w:t>差额定率累进法计算基准价，计算费率如下表：</w:t>
            </w:r>
          </w:p>
          <w:tbl>
            <w:tblPr>
              <w:tblStyle w:val="35"/>
              <w:tblW w:w="577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65"/>
              <w:gridCol w:w="2714"/>
            </w:tblGrid>
            <w:tr w14:paraId="369FD7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83" w:hRule="atLeast"/>
                <w:jc w:val="center"/>
              </w:trPr>
              <w:tc>
                <w:tcPr>
                  <w:tcW w:w="3065" w:type="dxa"/>
                  <w:tcBorders>
                    <w:tl2br w:val="single" w:color="auto" w:sz="4" w:space="0"/>
                  </w:tcBorders>
                </w:tcPr>
                <w:p w14:paraId="028D7489">
                  <w:pPr>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p>
                <w:p w14:paraId="482EF80C">
                  <w:pPr>
                    <w:ind w:firstLine="2100" w:firstLineChars="1000"/>
                    <w:rPr>
                      <w:rFonts w:ascii="宋体" w:hAnsi="宋体"/>
                      <w:szCs w:val="21"/>
                    </w:rPr>
                  </w:pPr>
                  <w:r>
                    <w:rPr>
                      <w:rFonts w:hint="eastAsia" w:ascii="宋体" w:hAnsi="宋体"/>
                      <w:szCs w:val="21"/>
                    </w:rPr>
                    <w:t>费率</w:t>
                  </w:r>
                </w:p>
                <w:p w14:paraId="42440F89">
                  <w:pPr>
                    <w:rPr>
                      <w:rFonts w:ascii="宋体" w:hAnsi="宋体"/>
                      <w:szCs w:val="21"/>
                    </w:rPr>
                  </w:pPr>
                  <w:r>
                    <w:rPr>
                      <w:rFonts w:hint="eastAsia" w:ascii="宋体" w:hAnsi="宋体"/>
                      <w:szCs w:val="21"/>
                    </w:rPr>
                    <w:t>中标金额（或预算金额）</w:t>
                  </w:r>
                </w:p>
              </w:tc>
              <w:tc>
                <w:tcPr>
                  <w:tcW w:w="2714" w:type="dxa"/>
                  <w:vAlign w:val="center"/>
                </w:tcPr>
                <w:p w14:paraId="194B1F31">
                  <w:pPr>
                    <w:jc w:val="center"/>
                    <w:rPr>
                      <w:rFonts w:ascii="宋体" w:hAnsi="宋体"/>
                      <w:szCs w:val="21"/>
                    </w:rPr>
                  </w:pPr>
                  <w:r>
                    <w:rPr>
                      <w:rFonts w:hint="eastAsia" w:ascii="宋体" w:hAnsi="宋体"/>
                      <w:szCs w:val="21"/>
                    </w:rPr>
                    <w:t>费率或金额（元）</w:t>
                  </w:r>
                </w:p>
              </w:tc>
            </w:tr>
            <w:tr w14:paraId="457413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7" w:hRule="atLeast"/>
                <w:jc w:val="center"/>
              </w:trPr>
              <w:tc>
                <w:tcPr>
                  <w:tcW w:w="3065" w:type="dxa"/>
                </w:tcPr>
                <w:p w14:paraId="47CBEB08">
                  <w:pPr>
                    <w:jc w:val="left"/>
                    <w:rPr>
                      <w:rFonts w:ascii="宋体" w:hAnsi="宋体"/>
                      <w:szCs w:val="21"/>
                    </w:rPr>
                  </w:pPr>
                  <w:r>
                    <w:rPr>
                      <w:rFonts w:hint="eastAsia" w:ascii="宋体" w:hAnsi="宋体"/>
                      <w:szCs w:val="21"/>
                    </w:rPr>
                    <w:t>100万元以下(含100万元）</w:t>
                  </w:r>
                </w:p>
              </w:tc>
              <w:tc>
                <w:tcPr>
                  <w:tcW w:w="2714" w:type="dxa"/>
                </w:tcPr>
                <w:p w14:paraId="019D0705">
                  <w:pPr>
                    <w:ind w:firstLine="210" w:firstLineChars="100"/>
                    <w:rPr>
                      <w:rFonts w:ascii="宋体" w:hAnsi="宋体"/>
                      <w:szCs w:val="21"/>
                    </w:rPr>
                  </w:pPr>
                  <w:r>
                    <w:rPr>
                      <w:rFonts w:hint="eastAsia" w:ascii="宋体" w:hAnsi="宋体" w:cs="宋体"/>
                      <w:kern w:val="0"/>
                      <w:szCs w:val="21"/>
                    </w:rPr>
                    <w:t>1.5%</w:t>
                  </w:r>
                </w:p>
              </w:tc>
            </w:tr>
            <w:tr w14:paraId="0EF5E9E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3065" w:type="dxa"/>
                </w:tcPr>
                <w:p w14:paraId="6E6412D9">
                  <w:pPr>
                    <w:jc w:val="left"/>
                    <w:rPr>
                      <w:rFonts w:ascii="宋体" w:hAnsi="宋体"/>
                      <w:szCs w:val="21"/>
                    </w:rPr>
                  </w:pPr>
                  <w:r>
                    <w:rPr>
                      <w:rFonts w:hint="eastAsia" w:ascii="宋体" w:hAnsi="宋体"/>
                      <w:szCs w:val="21"/>
                    </w:rPr>
                    <w:t>100～400万元（含400万元）</w:t>
                  </w:r>
                </w:p>
              </w:tc>
              <w:tc>
                <w:tcPr>
                  <w:tcW w:w="2714" w:type="dxa"/>
                </w:tcPr>
                <w:p w14:paraId="23906589">
                  <w:pPr>
                    <w:ind w:firstLine="210" w:firstLineChars="100"/>
                    <w:rPr>
                      <w:rFonts w:ascii="宋体" w:hAnsi="宋体"/>
                      <w:szCs w:val="21"/>
                    </w:rPr>
                  </w:pPr>
                  <w:r>
                    <w:rPr>
                      <w:rFonts w:hint="eastAsia" w:ascii="宋体" w:hAnsi="宋体" w:cs="宋体"/>
                      <w:kern w:val="0"/>
                      <w:szCs w:val="21"/>
                    </w:rPr>
                    <w:t>0.8%</w:t>
                  </w:r>
                </w:p>
              </w:tc>
            </w:tr>
            <w:tr w14:paraId="63059E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9" w:hRule="atLeast"/>
                <w:jc w:val="center"/>
              </w:trPr>
              <w:tc>
                <w:tcPr>
                  <w:tcW w:w="5779" w:type="dxa"/>
                  <w:gridSpan w:val="2"/>
                </w:tcPr>
                <w:p w14:paraId="53EBE987">
                  <w:pPr>
                    <w:rPr>
                      <w:rFonts w:ascii="宋体" w:hAnsi="宋体" w:cs="宋体"/>
                      <w:kern w:val="0"/>
                      <w:szCs w:val="21"/>
                    </w:rPr>
                  </w:pPr>
                  <w:r>
                    <w:rPr>
                      <w:rFonts w:hint="eastAsia" w:ascii="宋体" w:hAnsi="宋体"/>
                      <w:szCs w:val="21"/>
                    </w:rPr>
                    <w:t>按以上费率计算不足5000.00元的，以5000.00元为基准价。</w:t>
                  </w:r>
                </w:p>
              </w:tc>
            </w:tr>
          </w:tbl>
          <w:p w14:paraId="638634FB">
            <w:pPr>
              <w:rPr>
                <w:rFonts w:ascii="宋体" w:hAnsi="宋体" w:cs="Calibri"/>
                <w:szCs w:val="21"/>
              </w:rPr>
            </w:pPr>
          </w:p>
          <w:p w14:paraId="78C3B310">
            <w:pPr>
              <w:ind w:firstLine="420" w:firstLineChars="200"/>
              <w:rPr>
                <w:rFonts w:ascii="宋体" w:hAnsi="宋体" w:cs="Calibri"/>
                <w:szCs w:val="21"/>
              </w:rPr>
            </w:pPr>
            <w:r>
              <w:rPr>
                <w:rFonts w:hint="eastAsia" w:ascii="宋体" w:hAnsi="宋体" w:cs="Calibri"/>
                <w:szCs w:val="21"/>
              </w:rPr>
              <w:t>（2）采购项目预算金额在400万元以上的项目按定额计取基准价</w:t>
            </w:r>
          </w:p>
          <w:tbl>
            <w:tblPr>
              <w:tblStyle w:val="35"/>
              <w:tblW w:w="5759"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054"/>
              <w:gridCol w:w="2705"/>
            </w:tblGrid>
            <w:tr w14:paraId="45078E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84" w:hRule="atLeast"/>
                <w:jc w:val="center"/>
              </w:trPr>
              <w:tc>
                <w:tcPr>
                  <w:tcW w:w="3054" w:type="dxa"/>
                  <w:tcBorders>
                    <w:tl2br w:val="single" w:color="auto" w:sz="4" w:space="0"/>
                  </w:tcBorders>
                </w:tcPr>
                <w:p w14:paraId="40826B9D">
                  <w:pPr>
                    <w:rPr>
                      <w:rFonts w:ascii="宋体" w:hAnsi="宋体"/>
                      <w:szCs w:val="21"/>
                    </w:rPr>
                  </w:pPr>
                  <w:r>
                    <w:rPr>
                      <w:rFonts w:hint="eastAsia" w:ascii="宋体" w:hAnsi="宋体"/>
                      <w:szCs w:val="21"/>
                    </w:rPr>
                    <w:t xml:space="preserve">              </w:t>
                  </w:r>
                  <w:r>
                    <w:rPr>
                      <w:rFonts w:ascii="宋体" w:hAnsi="宋体"/>
                      <w:szCs w:val="21"/>
                    </w:rPr>
                    <w:t xml:space="preserve">          </w:t>
                  </w:r>
                  <w:r>
                    <w:rPr>
                      <w:rFonts w:hint="eastAsia" w:ascii="宋体" w:hAnsi="宋体"/>
                      <w:szCs w:val="21"/>
                    </w:rPr>
                    <w:t xml:space="preserve"> </w:t>
                  </w:r>
                </w:p>
                <w:p w14:paraId="78D6F27F">
                  <w:pPr>
                    <w:ind w:firstLine="2310" w:firstLineChars="1100"/>
                    <w:rPr>
                      <w:rFonts w:ascii="宋体" w:hAnsi="宋体"/>
                      <w:szCs w:val="21"/>
                    </w:rPr>
                  </w:pPr>
                  <w:r>
                    <w:rPr>
                      <w:rFonts w:hint="eastAsia" w:ascii="宋体" w:hAnsi="宋体"/>
                      <w:szCs w:val="21"/>
                    </w:rPr>
                    <w:t>费率</w:t>
                  </w:r>
                </w:p>
                <w:p w14:paraId="217E0E79">
                  <w:pPr>
                    <w:ind w:firstLine="420" w:firstLineChars="200"/>
                    <w:rPr>
                      <w:rFonts w:ascii="宋体" w:hAnsi="宋体" w:cs="Calibri"/>
                      <w:szCs w:val="21"/>
                    </w:rPr>
                  </w:pPr>
                </w:p>
                <w:p w14:paraId="21A203F3">
                  <w:pPr>
                    <w:rPr>
                      <w:rFonts w:ascii="宋体" w:hAnsi="宋体"/>
                      <w:szCs w:val="21"/>
                    </w:rPr>
                  </w:pPr>
                  <w:r>
                    <w:rPr>
                      <w:rFonts w:hint="eastAsia" w:ascii="宋体" w:hAnsi="宋体"/>
                      <w:szCs w:val="21"/>
                    </w:rPr>
                    <w:t>中标金额（或预算金额）</w:t>
                  </w:r>
                </w:p>
              </w:tc>
              <w:tc>
                <w:tcPr>
                  <w:tcW w:w="2705" w:type="dxa"/>
                  <w:vAlign w:val="center"/>
                </w:tcPr>
                <w:p w14:paraId="24E6F895">
                  <w:pPr>
                    <w:jc w:val="center"/>
                    <w:rPr>
                      <w:rFonts w:ascii="宋体" w:hAnsi="宋体"/>
                      <w:szCs w:val="21"/>
                    </w:rPr>
                  </w:pPr>
                  <w:r>
                    <w:rPr>
                      <w:rFonts w:hint="eastAsia" w:ascii="宋体" w:hAnsi="宋体"/>
                      <w:szCs w:val="21"/>
                    </w:rPr>
                    <w:t>费率或金额（元）</w:t>
                  </w:r>
                </w:p>
              </w:tc>
            </w:tr>
            <w:tr w14:paraId="2C1E5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6" w:hRule="atLeast"/>
                <w:jc w:val="center"/>
              </w:trPr>
              <w:tc>
                <w:tcPr>
                  <w:tcW w:w="3054" w:type="dxa"/>
                </w:tcPr>
                <w:p w14:paraId="67BECC68">
                  <w:pPr>
                    <w:jc w:val="left"/>
                    <w:rPr>
                      <w:rFonts w:ascii="宋体" w:hAnsi="宋体"/>
                      <w:szCs w:val="21"/>
                    </w:rPr>
                  </w:pPr>
                  <w:r>
                    <w:rPr>
                      <w:rFonts w:ascii="宋体" w:hAnsi="宋体"/>
                      <w:szCs w:val="21"/>
                    </w:rPr>
                    <w:t>4</w:t>
                  </w:r>
                  <w:r>
                    <w:rPr>
                      <w:rFonts w:hint="eastAsia" w:ascii="宋体" w:hAnsi="宋体"/>
                      <w:szCs w:val="21"/>
                    </w:rPr>
                    <w:t>00～1000万元（含1000万元）</w:t>
                  </w:r>
                </w:p>
              </w:tc>
              <w:tc>
                <w:tcPr>
                  <w:tcW w:w="2705" w:type="dxa"/>
                </w:tcPr>
                <w:p w14:paraId="2D76F7A2">
                  <w:pPr>
                    <w:ind w:firstLine="210" w:firstLineChars="100"/>
                    <w:rPr>
                      <w:rFonts w:ascii="宋体" w:hAnsi="宋体"/>
                      <w:szCs w:val="21"/>
                    </w:rPr>
                  </w:pPr>
                  <w:r>
                    <w:rPr>
                      <w:rFonts w:ascii="宋体" w:hAnsi="宋体" w:cs="宋体"/>
                      <w:kern w:val="0"/>
                      <w:szCs w:val="21"/>
                    </w:rPr>
                    <w:t>4</w:t>
                  </w:r>
                  <w:r>
                    <w:rPr>
                      <w:rFonts w:hint="eastAsia" w:ascii="宋体" w:hAnsi="宋体" w:cs="宋体"/>
                      <w:kern w:val="0"/>
                      <w:szCs w:val="21"/>
                    </w:rPr>
                    <w:t>3</w:t>
                  </w:r>
                  <w:r>
                    <w:rPr>
                      <w:rFonts w:ascii="宋体" w:hAnsi="宋体" w:cs="宋体"/>
                      <w:kern w:val="0"/>
                      <w:szCs w:val="21"/>
                    </w:rPr>
                    <w:t>000.00</w:t>
                  </w:r>
                </w:p>
              </w:tc>
            </w:tr>
            <w:tr w14:paraId="5A64B9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56" w:hRule="atLeast"/>
                <w:jc w:val="center"/>
              </w:trPr>
              <w:tc>
                <w:tcPr>
                  <w:tcW w:w="3054" w:type="dxa"/>
                </w:tcPr>
                <w:p w14:paraId="75F019F6">
                  <w:pPr>
                    <w:jc w:val="left"/>
                    <w:rPr>
                      <w:rFonts w:ascii="宋体" w:hAnsi="宋体"/>
                      <w:szCs w:val="21"/>
                    </w:rPr>
                  </w:pPr>
                  <w:r>
                    <w:rPr>
                      <w:rFonts w:hint="eastAsia" w:ascii="宋体" w:hAnsi="宋体"/>
                      <w:szCs w:val="21"/>
                    </w:rPr>
                    <w:t>1000万元以上</w:t>
                  </w:r>
                </w:p>
              </w:tc>
              <w:tc>
                <w:tcPr>
                  <w:tcW w:w="2705" w:type="dxa"/>
                </w:tcPr>
                <w:p w14:paraId="4E8D0F26">
                  <w:pPr>
                    <w:ind w:firstLine="210" w:firstLineChars="100"/>
                    <w:rPr>
                      <w:rFonts w:ascii="宋体" w:hAnsi="宋体"/>
                      <w:szCs w:val="21"/>
                    </w:rPr>
                  </w:pPr>
                  <w:r>
                    <w:rPr>
                      <w:rFonts w:ascii="宋体" w:hAnsi="宋体" w:cs="宋体"/>
                      <w:kern w:val="0"/>
                      <w:szCs w:val="21"/>
                    </w:rPr>
                    <w:t>48</w:t>
                  </w:r>
                  <w:r>
                    <w:rPr>
                      <w:rFonts w:hint="eastAsia" w:ascii="宋体" w:hAnsi="宋体" w:cs="宋体"/>
                      <w:kern w:val="0"/>
                      <w:szCs w:val="21"/>
                    </w:rPr>
                    <w:t>000.00</w:t>
                  </w:r>
                </w:p>
              </w:tc>
            </w:tr>
          </w:tbl>
          <w:p w14:paraId="01CE7F0A"/>
        </w:tc>
      </w:tr>
      <w:tr w14:paraId="396C75C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vMerge w:val="continue"/>
            <w:tcBorders>
              <w:left w:val="single" w:color="auto" w:sz="4" w:space="0"/>
              <w:bottom w:val="single" w:color="auto" w:sz="4" w:space="0"/>
              <w:right w:val="single" w:color="auto" w:sz="4" w:space="0"/>
            </w:tcBorders>
            <w:vAlign w:val="center"/>
          </w:tcPr>
          <w:p w14:paraId="238A1F65">
            <w:pPr>
              <w:spacing w:line="380" w:lineRule="exact"/>
              <w:rPr>
                <w:rFonts w:ascii="宋体" w:hAnsi="宋体"/>
                <w:szCs w:val="21"/>
              </w:rPr>
            </w:pPr>
          </w:p>
        </w:tc>
        <w:tc>
          <w:tcPr>
            <w:tcW w:w="2268" w:type="dxa"/>
            <w:tcBorders>
              <w:top w:val="single" w:color="auto" w:sz="4" w:space="0"/>
              <w:left w:val="single" w:color="auto" w:sz="4" w:space="0"/>
              <w:bottom w:val="single" w:color="auto" w:sz="4" w:space="0"/>
              <w:right w:val="single" w:color="auto" w:sz="4" w:space="0"/>
            </w:tcBorders>
            <w:vAlign w:val="center"/>
          </w:tcPr>
          <w:p w14:paraId="190680CC">
            <w:pPr>
              <w:spacing w:line="380" w:lineRule="exact"/>
              <w:rPr>
                <w:rFonts w:ascii="宋体" w:hAnsi="宋体"/>
                <w:szCs w:val="21"/>
              </w:rPr>
            </w:pPr>
            <w:r>
              <w:rPr>
                <w:rFonts w:hint="eastAsia" w:hAnsi="宋体" w:cs="宋体"/>
              </w:rPr>
              <w:t>代理服务费收款账户信息</w:t>
            </w:r>
          </w:p>
        </w:tc>
        <w:tc>
          <w:tcPr>
            <w:tcW w:w="7297" w:type="dxa"/>
            <w:tcBorders>
              <w:top w:val="single" w:color="auto" w:sz="4" w:space="0"/>
              <w:left w:val="single" w:color="auto" w:sz="4" w:space="0"/>
              <w:bottom w:val="single" w:color="auto" w:sz="4" w:space="0"/>
              <w:right w:val="single" w:color="auto" w:sz="4" w:space="0"/>
            </w:tcBorders>
            <w:vAlign w:val="center"/>
          </w:tcPr>
          <w:p w14:paraId="77FE2A45">
            <w:pPr>
              <w:spacing w:line="400" w:lineRule="exact"/>
              <w:rPr>
                <w:rFonts w:ascii="宋体" w:hAnsi="宋体" w:cs="宋体"/>
                <w:szCs w:val="21"/>
              </w:rPr>
            </w:pPr>
            <w:r>
              <w:t>开户名称：广西机电设备招标有限公司</w:t>
            </w:r>
          </w:p>
          <w:p w14:paraId="37B85C23">
            <w:pPr>
              <w:snapToGrid w:val="0"/>
              <w:spacing w:line="400" w:lineRule="exact"/>
              <w:rPr>
                <w:rFonts w:ascii="宋体" w:hAnsi="宋体" w:cs="宋体"/>
                <w:szCs w:val="21"/>
              </w:rPr>
            </w:pPr>
            <w:r>
              <w:rPr>
                <w:rFonts w:hint="eastAsia" w:ascii="宋体" w:hAnsi="宋体" w:cs="宋体"/>
                <w:szCs w:val="21"/>
              </w:rPr>
              <w:t>开户银行：广西北部湾银行南宁市金湖支行</w:t>
            </w:r>
          </w:p>
          <w:p w14:paraId="4A0BA7AF">
            <w:pPr>
              <w:snapToGrid w:val="0"/>
              <w:spacing w:line="400" w:lineRule="exact"/>
              <w:rPr>
                <w:rFonts w:ascii="宋体" w:hAnsi="宋体" w:cs="宋体"/>
                <w:szCs w:val="21"/>
              </w:rPr>
            </w:pPr>
            <w:r>
              <w:rPr>
                <w:rFonts w:hint="eastAsia" w:ascii="宋体" w:hAnsi="宋体" w:cs="宋体"/>
                <w:szCs w:val="21"/>
              </w:rPr>
              <w:t>银行账号：</w:t>
            </w:r>
            <w:r>
              <w:rPr>
                <w:rFonts w:ascii="宋体" w:hAnsi="宋体" w:cs="宋体"/>
                <w:szCs w:val="21"/>
              </w:rPr>
              <w:t>1705012090027723</w:t>
            </w:r>
          </w:p>
          <w:p w14:paraId="44942A1A">
            <w:pPr>
              <w:snapToGrid w:val="0"/>
              <w:spacing w:line="400" w:lineRule="exact"/>
              <w:rPr>
                <w:rFonts w:ascii="宋体" w:hAnsi="宋体" w:cs="宋体"/>
                <w:szCs w:val="21"/>
              </w:rPr>
            </w:pPr>
            <w:r>
              <w:rPr>
                <w:rFonts w:hint="eastAsia" w:ascii="宋体" w:hAnsi="宋体" w:cs="宋体"/>
                <w:szCs w:val="21"/>
              </w:rPr>
              <w:t>开户行行号：</w:t>
            </w:r>
            <w:r>
              <w:rPr>
                <w:rFonts w:ascii="宋体" w:hAnsi="宋体" w:cs="宋体"/>
                <w:szCs w:val="21"/>
              </w:rPr>
              <w:t>313611017053</w:t>
            </w:r>
          </w:p>
          <w:p w14:paraId="77478B0C">
            <w:pPr>
              <w:snapToGrid w:val="0"/>
              <w:spacing w:line="380" w:lineRule="exact"/>
              <w:rPr>
                <w:rFonts w:hAnsi="宋体" w:cs="宋体"/>
              </w:rPr>
            </w:pPr>
            <w:r>
              <w:rPr>
                <w:rFonts w:hint="eastAsia" w:hAnsi="宋体" w:cs="宋体"/>
                <w:szCs w:val="21"/>
              </w:rPr>
              <w:t>财务联系人：吴茜（电话：0771-2821398）</w:t>
            </w:r>
          </w:p>
        </w:tc>
      </w:tr>
      <w:tr w14:paraId="01B11A9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42ECC2F">
            <w:pPr>
              <w:snapToGrid w:val="0"/>
              <w:spacing w:line="380" w:lineRule="exact"/>
              <w:jc w:val="center"/>
              <w:rPr>
                <w:rFonts w:ascii="宋体" w:hAnsi="宋体"/>
                <w:szCs w:val="21"/>
              </w:rPr>
            </w:pPr>
            <w:r>
              <w:rPr>
                <w:rFonts w:ascii="宋体" w:hAnsi="宋体"/>
                <w:szCs w:val="21"/>
              </w:rPr>
              <w:t>4</w:t>
            </w:r>
            <w:r>
              <w:rPr>
                <w:rFonts w:hint="eastAsia" w:ascii="宋体" w:hAnsi="宋体"/>
                <w:szCs w:val="21"/>
              </w:rPr>
              <w:t>1</w:t>
            </w:r>
            <w:r>
              <w:rPr>
                <w:rFonts w:ascii="宋体" w:hAnsi="宋体"/>
                <w:szCs w:val="21"/>
              </w:rPr>
              <w:t>.1</w:t>
            </w:r>
          </w:p>
        </w:tc>
        <w:tc>
          <w:tcPr>
            <w:tcW w:w="2268" w:type="dxa"/>
            <w:tcBorders>
              <w:top w:val="single" w:color="auto" w:sz="4" w:space="0"/>
              <w:left w:val="single" w:color="auto" w:sz="4" w:space="0"/>
              <w:bottom w:val="single" w:color="auto" w:sz="4" w:space="0"/>
              <w:right w:val="single" w:color="auto" w:sz="4" w:space="0"/>
            </w:tcBorders>
            <w:vAlign w:val="center"/>
          </w:tcPr>
          <w:p w14:paraId="490D435E">
            <w:pPr>
              <w:snapToGrid w:val="0"/>
              <w:spacing w:line="380" w:lineRule="exact"/>
              <w:rPr>
                <w:rFonts w:ascii="宋体" w:hAnsi="宋体"/>
                <w:szCs w:val="21"/>
              </w:rPr>
            </w:pPr>
            <w:r>
              <w:rPr>
                <w:rFonts w:hint="eastAsia" w:ascii="宋体" w:hAnsi="宋体"/>
                <w:szCs w:val="21"/>
              </w:rPr>
              <w:t>解释</w:t>
            </w:r>
          </w:p>
        </w:tc>
        <w:tc>
          <w:tcPr>
            <w:tcW w:w="7297" w:type="dxa"/>
            <w:tcBorders>
              <w:top w:val="single" w:color="auto" w:sz="4" w:space="0"/>
              <w:left w:val="single" w:color="auto" w:sz="4" w:space="0"/>
              <w:bottom w:val="single" w:color="auto" w:sz="4" w:space="0"/>
              <w:right w:val="single" w:color="auto" w:sz="4" w:space="0"/>
            </w:tcBorders>
            <w:vAlign w:val="center"/>
          </w:tcPr>
          <w:p w14:paraId="397CB9A2">
            <w:pPr>
              <w:snapToGrid w:val="0"/>
              <w:spacing w:line="380" w:lineRule="exact"/>
              <w:rPr>
                <w:rFonts w:ascii="宋体" w:hAnsi="宋体"/>
                <w:szCs w:val="21"/>
              </w:rPr>
            </w:pPr>
            <w:r>
              <w:rPr>
                <w:rFonts w:hint="eastAsia" w:ascii="宋体" w:hAnsi="宋体"/>
                <w:b/>
                <w:szCs w:val="21"/>
              </w:rPr>
              <w:t>解释权：</w:t>
            </w:r>
            <w:r>
              <w:rPr>
                <w:rFonts w:ascii="宋体" w:hAnsi="宋体"/>
                <w:szCs w:val="21"/>
              </w:rPr>
              <w:t>构成本招标文件的各个组成文件应互为解释，互为说明；除招标文件中有特别规定外，仅适用于招标投标阶段的规定，按</w:t>
            </w:r>
            <w:r>
              <w:rPr>
                <w:rFonts w:hint="eastAsia" w:ascii="宋体" w:hAnsi="宋体"/>
                <w:szCs w:val="21"/>
              </w:rPr>
              <w:t>更正公告（澄清公告）</w:t>
            </w:r>
            <w:r>
              <w:rPr>
                <w:rFonts w:ascii="宋体" w:hAnsi="宋体"/>
                <w:szCs w:val="21"/>
              </w:rPr>
              <w:t>、招标公告、</w:t>
            </w:r>
            <w:r>
              <w:rPr>
                <w:rFonts w:hint="eastAsia" w:ascii="宋体" w:hAnsi="宋体"/>
                <w:szCs w:val="21"/>
              </w:rPr>
              <w:t>采购需求、</w:t>
            </w:r>
            <w:r>
              <w:rPr>
                <w:rFonts w:ascii="宋体" w:hAnsi="宋体"/>
                <w:szCs w:val="21"/>
              </w:rPr>
              <w:t>投标人须知、</w:t>
            </w:r>
            <w:r>
              <w:rPr>
                <w:rFonts w:hint="eastAsia" w:ascii="宋体" w:hAnsi="宋体"/>
                <w:szCs w:val="21"/>
              </w:rPr>
              <w:t>评标方法及评标标准</w:t>
            </w:r>
            <w:r>
              <w:rPr>
                <w:rFonts w:ascii="宋体" w:hAnsi="宋体"/>
                <w:szCs w:val="21"/>
              </w:rPr>
              <w:t>、</w:t>
            </w:r>
            <w:r>
              <w:rPr>
                <w:rFonts w:hint="eastAsia" w:ascii="宋体" w:hAnsi="宋体"/>
                <w:szCs w:val="21"/>
              </w:rPr>
              <w:t>拟签订的合同文本、</w:t>
            </w:r>
            <w:r>
              <w:rPr>
                <w:rFonts w:ascii="宋体" w:hAnsi="宋体"/>
                <w:szCs w:val="21"/>
              </w:rPr>
              <w:t>投标文件格式的先后顺序解释；同一组成文件中就同一事项的规定或者约定不一致的，以编排顺序在后者为准；同一组成文件不同版本之间有不一致的，以形成时间在后者为准；</w:t>
            </w:r>
            <w:r>
              <w:rPr>
                <w:rFonts w:hint="eastAsia" w:ascii="宋体" w:hAnsi="宋体"/>
                <w:szCs w:val="21"/>
              </w:rPr>
              <w:t>更正公告（澄清公告）</w:t>
            </w:r>
            <w:r>
              <w:rPr>
                <w:rFonts w:ascii="宋体" w:hAnsi="宋体"/>
                <w:szCs w:val="21"/>
              </w:rPr>
              <w:t>与同步更新的招标文件不一致时以</w:t>
            </w:r>
            <w:r>
              <w:rPr>
                <w:rFonts w:hint="eastAsia" w:ascii="宋体" w:hAnsi="宋体"/>
                <w:szCs w:val="21"/>
              </w:rPr>
              <w:t>更正公告（澄清公告）</w:t>
            </w:r>
            <w:r>
              <w:rPr>
                <w:rFonts w:ascii="宋体" w:hAnsi="宋体"/>
                <w:szCs w:val="21"/>
              </w:rPr>
              <w:t>为准。按本款前述规定仍不能形成结论的，由</w:t>
            </w:r>
            <w:r>
              <w:rPr>
                <w:rFonts w:hint="eastAsia" w:ascii="宋体" w:hAnsi="宋体"/>
                <w:szCs w:val="21"/>
              </w:rPr>
              <w:t>采购</w:t>
            </w:r>
            <w:r>
              <w:rPr>
                <w:rFonts w:ascii="宋体" w:hAnsi="宋体"/>
                <w:szCs w:val="21"/>
              </w:rPr>
              <w:t>人</w:t>
            </w:r>
            <w:r>
              <w:rPr>
                <w:rFonts w:hint="eastAsia" w:ascii="宋体" w:hAnsi="宋体"/>
                <w:szCs w:val="21"/>
              </w:rPr>
              <w:t>或者采购代理机构</w:t>
            </w:r>
            <w:r>
              <w:rPr>
                <w:rFonts w:ascii="宋体" w:hAnsi="宋体"/>
                <w:szCs w:val="21"/>
              </w:rPr>
              <w:t>负责解释。</w:t>
            </w:r>
          </w:p>
          <w:p w14:paraId="428E5EBF">
            <w:pPr>
              <w:snapToGrid w:val="0"/>
              <w:spacing w:line="380" w:lineRule="exact"/>
              <w:rPr>
                <w:rFonts w:ascii="宋体" w:hAnsi="宋体"/>
                <w:b/>
                <w:szCs w:val="21"/>
              </w:rPr>
            </w:pPr>
            <w:r>
              <w:rPr>
                <w:rFonts w:hint="eastAsia" w:ascii="宋体" w:hAnsi="宋体"/>
                <w:b/>
                <w:szCs w:val="21"/>
              </w:rPr>
              <w:t>法律责任：</w:t>
            </w:r>
          </w:p>
          <w:p w14:paraId="6A3381EC">
            <w:pPr>
              <w:snapToGrid w:val="0"/>
              <w:spacing w:line="380" w:lineRule="exact"/>
              <w:rPr>
                <w:rFonts w:ascii="宋体" w:hAnsi="宋体"/>
                <w:szCs w:val="21"/>
              </w:rPr>
            </w:pPr>
            <w:r>
              <w:rPr>
                <w:rFonts w:hint="eastAsia" w:ascii="宋体" w:hAnsi="宋体"/>
                <w:szCs w:val="21"/>
              </w:rPr>
              <w:t>1.本招标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7ABB5DAC">
            <w:pPr>
              <w:snapToGrid w:val="0"/>
              <w:spacing w:line="380" w:lineRule="exact"/>
              <w:rPr>
                <w:rFonts w:ascii="宋体" w:hAnsi="宋体"/>
                <w:szCs w:val="21"/>
              </w:rPr>
            </w:pPr>
            <w:r>
              <w:rPr>
                <w:rFonts w:hint="eastAsia" w:ascii="宋体" w:hAnsi="宋体"/>
                <w:b/>
                <w:szCs w:val="21"/>
              </w:rPr>
              <w:t>2.本项目采购代理机构应严格按照“广西政府采购云平台”项目采购全流程电子化电子开评标规程执行项目采购活动，代理机构在“广西政府采购云平台”的“项目管理”—“招标文件管理”内开评标规则设置作为本招标文件的组成部分，截标之后不可更改，因代理机构开评标规则设置错误导致采购活动无法开展下去的情况，由代理机构负责解释并承担其后果。</w:t>
            </w:r>
          </w:p>
        </w:tc>
      </w:tr>
      <w:tr w14:paraId="7EFEC870">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 w:hRule="atLeast"/>
        </w:trPr>
        <w:tc>
          <w:tcPr>
            <w:tcW w:w="675" w:type="dxa"/>
            <w:tcBorders>
              <w:top w:val="single" w:color="auto" w:sz="4" w:space="0"/>
              <w:left w:val="single" w:color="auto" w:sz="4" w:space="0"/>
              <w:bottom w:val="single" w:color="auto" w:sz="4" w:space="0"/>
              <w:right w:val="single" w:color="auto" w:sz="4" w:space="0"/>
            </w:tcBorders>
            <w:vAlign w:val="center"/>
          </w:tcPr>
          <w:p w14:paraId="0ED51148">
            <w:pPr>
              <w:snapToGrid w:val="0"/>
              <w:spacing w:line="380" w:lineRule="exact"/>
              <w:jc w:val="center"/>
              <w:rPr>
                <w:rFonts w:ascii="宋体" w:hAnsi="宋体"/>
                <w:szCs w:val="21"/>
              </w:rPr>
            </w:pPr>
            <w:r>
              <w:rPr>
                <w:rFonts w:ascii="宋体" w:hAnsi="宋体"/>
                <w:szCs w:val="21"/>
              </w:rPr>
              <w:t>4</w:t>
            </w:r>
            <w:r>
              <w:rPr>
                <w:rFonts w:hint="eastAsia" w:ascii="宋体" w:hAnsi="宋体"/>
                <w:szCs w:val="21"/>
              </w:rPr>
              <w:t>1</w:t>
            </w:r>
            <w:r>
              <w:rPr>
                <w:rFonts w:ascii="宋体" w:hAnsi="宋体"/>
                <w:szCs w:val="21"/>
              </w:rPr>
              <w:t>.2</w:t>
            </w:r>
          </w:p>
        </w:tc>
        <w:tc>
          <w:tcPr>
            <w:tcW w:w="2268" w:type="dxa"/>
            <w:tcBorders>
              <w:top w:val="single" w:color="auto" w:sz="4" w:space="0"/>
              <w:left w:val="single" w:color="auto" w:sz="4" w:space="0"/>
              <w:bottom w:val="single" w:color="auto" w:sz="4" w:space="0"/>
              <w:right w:val="single" w:color="auto" w:sz="4" w:space="0"/>
            </w:tcBorders>
            <w:vAlign w:val="center"/>
          </w:tcPr>
          <w:p w14:paraId="5B6C2DA9">
            <w:pPr>
              <w:snapToGrid w:val="0"/>
              <w:spacing w:line="380" w:lineRule="exact"/>
              <w:rPr>
                <w:rFonts w:ascii="宋体" w:hAnsi="宋体"/>
                <w:szCs w:val="21"/>
              </w:rPr>
            </w:pPr>
            <w:r>
              <w:rPr>
                <w:rFonts w:hint="eastAsia" w:ascii="宋体" w:hAnsi="宋体"/>
                <w:szCs w:val="21"/>
              </w:rPr>
              <w:t>其他释义</w:t>
            </w:r>
          </w:p>
        </w:tc>
        <w:tc>
          <w:tcPr>
            <w:tcW w:w="7297" w:type="dxa"/>
            <w:tcBorders>
              <w:top w:val="single" w:color="auto" w:sz="4" w:space="0"/>
              <w:left w:val="single" w:color="auto" w:sz="4" w:space="0"/>
              <w:bottom w:val="single" w:color="auto" w:sz="4" w:space="0"/>
              <w:right w:val="single" w:color="auto" w:sz="4" w:space="0"/>
            </w:tcBorders>
            <w:vAlign w:val="center"/>
          </w:tcPr>
          <w:p w14:paraId="4A1F68D1">
            <w:pPr>
              <w:snapToGrid w:val="0"/>
              <w:spacing w:line="380" w:lineRule="exact"/>
              <w:rPr>
                <w:rFonts w:hAnsi="宋体" w:cs="宋体"/>
                <w:b/>
                <w:bCs/>
              </w:rPr>
            </w:pPr>
            <w:r>
              <w:rPr>
                <w:rFonts w:hint="eastAsia" w:hAnsi="宋体" w:cs="宋体"/>
                <w:b/>
                <w:bCs/>
              </w:rPr>
              <w:t>1.本招标文件中描述投标人的“公章”是指根据我国对公章的管理规定，用投标人法定主体行为名称制作的印章，除本招标文件有特殊规定外，投标人的财务章、部门章、分公司章、工会章、合同章、投标专用章、业务专用章及银行的转账章、现金收讫章、现金付讫章等其他形式印章均不能代替公章。</w:t>
            </w:r>
          </w:p>
          <w:p w14:paraId="23EBB4C9">
            <w:pPr>
              <w:snapToGrid w:val="0"/>
              <w:spacing w:line="380" w:lineRule="exact"/>
              <w:rPr>
                <w:rFonts w:hAnsi="宋体" w:cs="宋体"/>
                <w:b/>
                <w:bCs/>
              </w:rPr>
            </w:pPr>
            <w:r>
              <w:rPr>
                <w:rFonts w:hint="eastAsia" w:hAnsi="宋体" w:cs="宋体"/>
                <w:b/>
                <w:bCs/>
              </w:rPr>
              <w:t>2.投标人为其他组织或者自然人时，本招标文件规定的法定代表人指负责人或者自然人。本招标文件所称负责人是指参加投标的其他组织营业执照上的负责人，本招标文件所称自然人指参与投标的自然人本人。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652878B7">
            <w:pPr>
              <w:snapToGrid w:val="0"/>
              <w:spacing w:line="380" w:lineRule="exact"/>
              <w:rPr>
                <w:rFonts w:hAnsi="宋体" w:cs="宋体"/>
                <w:b/>
                <w:bCs/>
              </w:rPr>
            </w:pPr>
            <w:r>
              <w:rPr>
                <w:rFonts w:hint="eastAsia" w:hAnsi="宋体" w:cs="宋体"/>
                <w:b/>
                <w:bCs/>
              </w:rPr>
              <w:t>3.本招标文件中描述投标人的“签字”是指投标人的法定代表人或者委托代理人亲自在文件规定签署处亲笔写上个人的名字的行为，私章、签字章、印鉴、影印等其他形式均不能代替亲笔签字。</w:t>
            </w:r>
          </w:p>
          <w:p w14:paraId="39D093C0">
            <w:pPr>
              <w:snapToGrid w:val="0"/>
              <w:spacing w:line="380" w:lineRule="exact"/>
              <w:rPr>
                <w:rFonts w:hAnsi="宋体" w:cs="宋体"/>
                <w:b/>
                <w:bCs/>
              </w:rPr>
            </w:pPr>
            <w:r>
              <w:rPr>
                <w:rFonts w:hint="eastAsia" w:hAnsi="宋体" w:cs="宋体"/>
                <w:b/>
                <w:bCs/>
              </w:rPr>
              <w:t>4.自然人投标的，招标文件规定盖公章处由自然人摁手指指印。</w:t>
            </w:r>
          </w:p>
          <w:p w14:paraId="1FD82E64">
            <w:pPr>
              <w:spacing w:line="380" w:lineRule="exact"/>
              <w:jc w:val="left"/>
              <w:rPr>
                <w:rFonts w:ascii="宋体" w:hAnsi="宋体"/>
                <w:szCs w:val="21"/>
              </w:rPr>
            </w:pPr>
            <w:r>
              <w:rPr>
                <w:rFonts w:hint="eastAsia" w:ascii="宋体" w:hAnsi="宋体" w:cs="宋体"/>
                <w:b/>
                <w:bCs/>
                <w:szCs w:val="21"/>
              </w:rPr>
              <w:t>5.本招标文件所称的“以上”“以下”“以内”“届满”，包括本数；所称的“不满”“超过”“以外”，不包括本数。</w:t>
            </w:r>
          </w:p>
        </w:tc>
      </w:tr>
    </w:tbl>
    <w:p w14:paraId="3912761B">
      <w:pPr>
        <w:pStyle w:val="4"/>
        <w:sectPr>
          <w:footerReference r:id="rId6" w:type="default"/>
          <w:pgSz w:w="11906" w:h="16838"/>
          <w:pgMar w:top="1134" w:right="1134" w:bottom="1134" w:left="1134" w:header="720" w:footer="720" w:gutter="0"/>
          <w:cols w:space="720" w:num="1"/>
          <w:docGrid w:type="lines" w:linePitch="331" w:charSpace="0"/>
        </w:sectPr>
      </w:pPr>
    </w:p>
    <w:p w14:paraId="71F4B3FA">
      <w:pPr>
        <w:pStyle w:val="4"/>
        <w:ind w:firstLine="3213" w:firstLineChars="1000"/>
      </w:pPr>
      <w:bookmarkStart w:id="20" w:name="_Toc17106"/>
      <w:bookmarkStart w:id="21" w:name="_Toc11708"/>
      <w:r>
        <w:rPr>
          <w:rFonts w:hint="eastAsia"/>
        </w:rPr>
        <w:t>第二节 投标人须知正文</w:t>
      </w:r>
      <w:bookmarkEnd w:id="20"/>
      <w:bookmarkEnd w:id="21"/>
    </w:p>
    <w:p w14:paraId="2F6E758F">
      <w:pPr>
        <w:pStyle w:val="5"/>
        <w:keepNext w:val="0"/>
        <w:keepLines w:val="0"/>
        <w:spacing w:line="400" w:lineRule="exact"/>
        <w:jc w:val="center"/>
      </w:pPr>
      <w:bookmarkStart w:id="22" w:name="_Toc5513"/>
      <w:bookmarkStart w:id="23" w:name="_Toc9040"/>
      <w:bookmarkStart w:id="24" w:name="_Toc3207"/>
      <w:r>
        <w:rPr>
          <w:rFonts w:hint="eastAsia"/>
        </w:rPr>
        <w:t>一、总  则</w:t>
      </w:r>
      <w:bookmarkEnd w:id="22"/>
      <w:bookmarkEnd w:id="23"/>
      <w:bookmarkEnd w:id="24"/>
    </w:p>
    <w:p w14:paraId="5F802AEC">
      <w:pPr>
        <w:spacing w:line="360" w:lineRule="auto"/>
        <w:ind w:firstLine="480" w:firstLineChars="200"/>
        <w:rPr>
          <w:rFonts w:ascii="黑体" w:hAnsi="黑体" w:eastAsia="黑体"/>
          <w:sz w:val="24"/>
        </w:rPr>
      </w:pPr>
      <w:r>
        <w:rPr>
          <w:rFonts w:hint="eastAsia" w:ascii="黑体" w:hAnsi="黑体" w:eastAsia="黑体"/>
          <w:sz w:val="24"/>
        </w:rPr>
        <w:t>1.适用范围</w:t>
      </w:r>
    </w:p>
    <w:p w14:paraId="3CF0D109">
      <w:pPr>
        <w:spacing w:line="360" w:lineRule="auto"/>
        <w:ind w:firstLine="420" w:firstLineChars="200"/>
        <w:rPr>
          <w:rFonts w:ascii="宋体" w:hAnsi="宋体"/>
          <w:szCs w:val="21"/>
        </w:rPr>
      </w:pPr>
      <w:r>
        <w:rPr>
          <w:rFonts w:hint="eastAsia" w:ascii="宋体" w:hAnsi="宋体"/>
          <w:szCs w:val="21"/>
        </w:rPr>
        <w:t>1.1适用法律：本项目采购人、采购代理机构、投标人、评标委员会的相关行为均受《中华人民共和国政府采购法》、《中华人民共和国政府采购法实施条例》、《政府采购货物和货物招标投标管理办法》及本项目本级和上级财政部门政府采购有关规定的约束和保护。</w:t>
      </w:r>
    </w:p>
    <w:p w14:paraId="7AAEB8F3">
      <w:pPr>
        <w:spacing w:line="360" w:lineRule="auto"/>
        <w:ind w:firstLine="420" w:firstLineChars="200"/>
        <w:rPr>
          <w:rFonts w:ascii="宋体" w:hAnsi="宋体"/>
          <w:szCs w:val="21"/>
        </w:rPr>
      </w:pPr>
      <w:r>
        <w:rPr>
          <w:rFonts w:hint="eastAsia" w:ascii="宋体" w:hAnsi="宋体"/>
          <w:szCs w:val="21"/>
        </w:rPr>
        <w:t>1.2本招标文件</w:t>
      </w:r>
      <w:r>
        <w:rPr>
          <w:rFonts w:hint="eastAsia" w:ascii="宋体" w:hAnsi="宋体" w:cs="宋体"/>
          <w:spacing w:val="-6"/>
          <w:szCs w:val="21"/>
        </w:rPr>
        <w:t>适用于本项目的所有采购程序和环节（法律、法规另有规定的，从其规定）。</w:t>
      </w:r>
    </w:p>
    <w:p w14:paraId="6114AF53">
      <w:pPr>
        <w:spacing w:line="360" w:lineRule="auto"/>
        <w:ind w:firstLine="480" w:firstLineChars="200"/>
        <w:rPr>
          <w:rFonts w:ascii="黑体" w:hAnsi="黑体" w:eastAsia="黑体"/>
          <w:sz w:val="24"/>
        </w:rPr>
      </w:pPr>
      <w:r>
        <w:rPr>
          <w:rFonts w:hint="eastAsia" w:ascii="黑体" w:hAnsi="黑体" w:eastAsia="黑体"/>
          <w:sz w:val="24"/>
        </w:rPr>
        <w:t>2.定义</w:t>
      </w:r>
    </w:p>
    <w:p w14:paraId="48AFCC03">
      <w:pPr>
        <w:spacing w:line="360" w:lineRule="auto"/>
        <w:ind w:firstLine="422" w:firstLineChars="200"/>
        <w:rPr>
          <w:rFonts w:ascii="宋体" w:hAnsi="宋体"/>
          <w:b/>
          <w:szCs w:val="21"/>
        </w:rPr>
      </w:pPr>
      <w:r>
        <w:rPr>
          <w:rFonts w:hint="eastAsia" w:ascii="宋体" w:hAnsi="宋体"/>
          <w:b/>
          <w:szCs w:val="21"/>
        </w:rPr>
        <w:t>2.1“采购人”是指依法进行政府采购的国家机关、事业单位、团体组织。</w:t>
      </w:r>
    </w:p>
    <w:p w14:paraId="5751FC49">
      <w:pPr>
        <w:spacing w:line="360" w:lineRule="auto"/>
        <w:ind w:firstLine="422" w:firstLineChars="200"/>
        <w:rPr>
          <w:rFonts w:ascii="宋体" w:hAnsi="宋体"/>
          <w:b/>
          <w:szCs w:val="21"/>
        </w:rPr>
      </w:pPr>
      <w:r>
        <w:rPr>
          <w:rFonts w:hint="eastAsia" w:ascii="宋体" w:hAnsi="宋体"/>
          <w:b/>
          <w:szCs w:val="21"/>
        </w:rPr>
        <w:t>2.2“采购代理机构” 指政府采购集中采购机构和集中采购机构以外的采购代理机构。</w:t>
      </w:r>
    </w:p>
    <w:p w14:paraId="7B8EEE3E">
      <w:pPr>
        <w:spacing w:line="360" w:lineRule="auto"/>
        <w:ind w:firstLine="422" w:firstLineChars="200"/>
        <w:rPr>
          <w:rFonts w:ascii="宋体" w:hAnsi="宋体"/>
          <w:b/>
          <w:szCs w:val="21"/>
        </w:rPr>
      </w:pPr>
      <w:r>
        <w:rPr>
          <w:rFonts w:hint="eastAsia" w:ascii="宋体" w:hAnsi="宋体"/>
          <w:b/>
          <w:szCs w:val="21"/>
        </w:rPr>
        <w:t>2.3“供应商”是指向采购人提供货物、工程或者服务的法人、其他组织或者自然人。</w:t>
      </w:r>
    </w:p>
    <w:p w14:paraId="3C5DBF29">
      <w:pPr>
        <w:spacing w:line="360" w:lineRule="auto"/>
        <w:ind w:firstLine="420" w:firstLineChars="200"/>
        <w:rPr>
          <w:rFonts w:ascii="宋体" w:hAnsi="宋体"/>
          <w:szCs w:val="21"/>
        </w:rPr>
      </w:pPr>
      <w:r>
        <w:rPr>
          <w:rFonts w:hint="eastAsia" w:ascii="宋体" w:hAnsi="宋体"/>
          <w:szCs w:val="21"/>
        </w:rPr>
        <w:t>2.4“投标人”是指响应招标、参加投标竞争的法人、非法人组织或者自然人。</w:t>
      </w:r>
    </w:p>
    <w:p w14:paraId="7D79B566">
      <w:pPr>
        <w:spacing w:line="360" w:lineRule="auto"/>
        <w:ind w:firstLine="422" w:firstLineChars="200"/>
        <w:rPr>
          <w:rFonts w:ascii="宋体" w:hAnsi="宋体"/>
          <w:b/>
          <w:szCs w:val="21"/>
        </w:rPr>
      </w:pPr>
      <w:r>
        <w:rPr>
          <w:rFonts w:hint="eastAsia" w:ascii="宋体" w:hAnsi="宋体"/>
          <w:b/>
          <w:szCs w:val="21"/>
        </w:rPr>
        <w:t>2.5“服务”是指除货物和工程以外的其他政府采购对象。</w:t>
      </w:r>
    </w:p>
    <w:p w14:paraId="4FEB7D8F">
      <w:pPr>
        <w:spacing w:line="360" w:lineRule="auto"/>
        <w:ind w:firstLine="422" w:firstLineChars="200"/>
        <w:rPr>
          <w:rFonts w:ascii="宋体" w:hAnsi="宋体"/>
          <w:b/>
          <w:szCs w:val="21"/>
        </w:rPr>
      </w:pPr>
      <w:r>
        <w:rPr>
          <w:rFonts w:hint="eastAsia" w:ascii="宋体" w:hAnsi="宋体"/>
          <w:b/>
          <w:szCs w:val="21"/>
        </w:rPr>
        <w:t>2.6“书面形式”是指合同书、信件和数据电文（包括电报、电传、传真、短信、电子数据交换和电子邮件）等可以有形地表现所载内容的形式。</w:t>
      </w:r>
    </w:p>
    <w:p w14:paraId="3EA567B0">
      <w:pPr>
        <w:spacing w:line="360" w:lineRule="auto"/>
        <w:ind w:firstLine="422" w:firstLineChars="200"/>
        <w:rPr>
          <w:rFonts w:ascii="宋体" w:hAnsi="宋体"/>
          <w:b/>
          <w:szCs w:val="21"/>
        </w:rPr>
      </w:pPr>
      <w:r>
        <w:rPr>
          <w:rFonts w:hint="eastAsia" w:ascii="宋体" w:hAnsi="宋体"/>
          <w:b/>
          <w:szCs w:val="21"/>
        </w:rPr>
        <w:t>2.7“实质性要求”是指招标文件中已经指明不满足则投标无效的条款，或者不能负偏离的条款，或者采购需求中带“</w:t>
      </w:r>
      <w:r>
        <w:rPr>
          <w:rFonts w:hint="eastAsia" w:ascii="宋体" w:hAnsi="宋体"/>
          <w:b/>
          <w:bCs/>
          <w:szCs w:val="21"/>
        </w:rPr>
        <w:t>▲</w:t>
      </w:r>
      <w:r>
        <w:rPr>
          <w:rFonts w:hint="eastAsia" w:ascii="宋体" w:hAnsi="宋体"/>
          <w:b/>
          <w:szCs w:val="21"/>
        </w:rPr>
        <w:t>”的条款。</w:t>
      </w:r>
    </w:p>
    <w:p w14:paraId="5AF5E875">
      <w:pPr>
        <w:spacing w:line="360" w:lineRule="auto"/>
        <w:ind w:firstLine="420" w:firstLineChars="200"/>
        <w:rPr>
          <w:rFonts w:ascii="宋体" w:hAnsi="宋体" w:cs="宋体"/>
          <w:szCs w:val="21"/>
        </w:rPr>
      </w:pPr>
      <w:r>
        <w:rPr>
          <w:rFonts w:hint="eastAsia" w:ascii="宋体" w:hAnsi="宋体"/>
          <w:szCs w:val="21"/>
        </w:rPr>
        <w:t>2.8</w:t>
      </w:r>
      <w:r>
        <w:rPr>
          <w:rFonts w:hint="eastAsia" w:ascii="宋体" w:hAnsi="宋体" w:cs="宋体"/>
          <w:szCs w:val="21"/>
        </w:rPr>
        <w:t>“正偏离”，是指投标文件对招标文件“采购需求”中有关条款作出的响应优于条款要求并有利于采购人的情形。</w:t>
      </w:r>
    </w:p>
    <w:p w14:paraId="794957CE">
      <w:pPr>
        <w:spacing w:line="360" w:lineRule="auto"/>
        <w:ind w:firstLine="420" w:firstLineChars="200"/>
        <w:rPr>
          <w:rFonts w:ascii="宋体" w:hAnsi="宋体" w:cs="宋体"/>
          <w:szCs w:val="21"/>
        </w:rPr>
      </w:pPr>
      <w:r>
        <w:rPr>
          <w:rFonts w:hint="eastAsia" w:ascii="宋体" w:hAnsi="宋体" w:cs="宋体"/>
          <w:szCs w:val="21"/>
        </w:rPr>
        <w:t>2.9“负偏离”，是指投标文件对招标文件“采购需求”中有关条款作出的响应不满足条款要求，导致采购人要求不能得到满足的情形。</w:t>
      </w:r>
    </w:p>
    <w:p w14:paraId="3CF16B9C">
      <w:pPr>
        <w:spacing w:line="360" w:lineRule="auto"/>
        <w:ind w:firstLine="420" w:firstLineChars="200"/>
        <w:rPr>
          <w:rFonts w:ascii="宋体" w:hAnsi="宋体"/>
          <w:szCs w:val="21"/>
        </w:rPr>
      </w:pPr>
      <w:r>
        <w:rPr>
          <w:rFonts w:hint="eastAsia" w:ascii="宋体" w:hAnsi="宋体"/>
          <w:szCs w:val="21"/>
        </w:rPr>
        <w:t>2.10</w:t>
      </w:r>
      <w:r>
        <w:rPr>
          <w:rFonts w:hint="eastAsia" w:ascii="宋体" w:hAnsi="宋体" w:cs="宋体"/>
          <w:szCs w:val="21"/>
        </w:rPr>
        <w:t>“允许负偏离的条款”是指采购需求中的不属于“实质性要求”的条款。</w:t>
      </w:r>
    </w:p>
    <w:p w14:paraId="493AFDA0">
      <w:pPr>
        <w:spacing w:line="360" w:lineRule="auto"/>
        <w:ind w:firstLine="480" w:firstLineChars="200"/>
        <w:rPr>
          <w:rFonts w:ascii="黑体" w:hAnsi="黑体" w:eastAsia="黑体"/>
          <w:sz w:val="24"/>
        </w:rPr>
      </w:pPr>
      <w:r>
        <w:rPr>
          <w:rFonts w:hint="eastAsia" w:ascii="黑体" w:hAnsi="黑体" w:eastAsia="黑体"/>
          <w:sz w:val="24"/>
        </w:rPr>
        <w:t>3.投标人的资格要求</w:t>
      </w:r>
    </w:p>
    <w:p w14:paraId="22D9919D">
      <w:pPr>
        <w:spacing w:line="360" w:lineRule="auto"/>
        <w:ind w:firstLine="420" w:firstLineChars="200"/>
        <w:rPr>
          <w:rFonts w:ascii="宋体" w:hAnsi="宋体"/>
          <w:szCs w:val="21"/>
        </w:rPr>
      </w:pPr>
      <w:r>
        <w:rPr>
          <w:rFonts w:hint="eastAsia" w:ascii="宋体" w:hAnsi="宋体"/>
          <w:szCs w:val="21"/>
        </w:rPr>
        <w:t>投标人的资格要求详见“招标公告”。</w:t>
      </w:r>
    </w:p>
    <w:p w14:paraId="0991BC6A">
      <w:pPr>
        <w:spacing w:line="360" w:lineRule="auto"/>
        <w:ind w:firstLine="480" w:firstLineChars="200"/>
        <w:rPr>
          <w:rFonts w:ascii="黑体" w:hAnsi="黑体" w:eastAsia="黑体"/>
          <w:sz w:val="24"/>
        </w:rPr>
      </w:pPr>
      <w:r>
        <w:rPr>
          <w:rFonts w:hint="eastAsia" w:ascii="黑体" w:hAnsi="黑体" w:eastAsia="黑体"/>
          <w:sz w:val="24"/>
        </w:rPr>
        <w:t>4.投标委托</w:t>
      </w:r>
    </w:p>
    <w:p w14:paraId="11D32F93">
      <w:pPr>
        <w:spacing w:line="360" w:lineRule="auto"/>
        <w:ind w:firstLine="420" w:firstLineChars="200"/>
        <w:rPr>
          <w:rFonts w:ascii="宋体" w:hAnsi="宋体"/>
          <w:szCs w:val="21"/>
        </w:rPr>
      </w:pPr>
      <w:r>
        <w:rPr>
          <w:rFonts w:hint="eastAsia" w:ascii="宋体" w:hAnsi="宋体"/>
          <w:szCs w:val="21"/>
        </w:rPr>
        <w:t>投标人代表参加投标活动过程中必须携带个人有效身份证件。如投标人代表不是法定代表人，须持有法定代表人授权委托书（正本用原件，副本用复印件，按第六章要求格式填写）。</w:t>
      </w:r>
    </w:p>
    <w:p w14:paraId="4C5002CE">
      <w:pPr>
        <w:spacing w:line="360" w:lineRule="auto"/>
        <w:ind w:firstLine="480" w:firstLineChars="200"/>
        <w:rPr>
          <w:rFonts w:ascii="黑体" w:hAnsi="黑体" w:eastAsia="黑体"/>
          <w:sz w:val="24"/>
        </w:rPr>
      </w:pPr>
      <w:r>
        <w:rPr>
          <w:rFonts w:hint="eastAsia" w:ascii="黑体" w:hAnsi="黑体" w:eastAsia="黑体"/>
          <w:sz w:val="24"/>
        </w:rPr>
        <w:t>5.投标费用</w:t>
      </w:r>
    </w:p>
    <w:p w14:paraId="028E9970">
      <w:pPr>
        <w:spacing w:line="360" w:lineRule="auto"/>
        <w:ind w:firstLine="420" w:firstLineChars="200"/>
        <w:rPr>
          <w:rFonts w:ascii="宋体" w:hAnsi="宋体"/>
          <w:szCs w:val="21"/>
        </w:rPr>
      </w:pPr>
      <w:r>
        <w:rPr>
          <w:rFonts w:hint="eastAsia" w:ascii="宋体" w:hAnsi="宋体" w:cs="宋体"/>
          <w:szCs w:val="21"/>
        </w:rPr>
        <w:t>投标费用：投标人应承担参与本次采购活动有关的所有费用，包括但不限于勘查现场、编制投标文件、参加澄清说明、签订合同等，不论投标结果如何，均应自行承担。</w:t>
      </w:r>
    </w:p>
    <w:p w14:paraId="64A69907">
      <w:pPr>
        <w:spacing w:line="360" w:lineRule="auto"/>
        <w:ind w:firstLine="480" w:firstLineChars="200"/>
        <w:rPr>
          <w:rFonts w:ascii="黑体" w:hAnsi="黑体" w:eastAsia="黑体"/>
          <w:sz w:val="24"/>
        </w:rPr>
      </w:pPr>
      <w:r>
        <w:rPr>
          <w:rFonts w:hint="eastAsia" w:ascii="黑体" w:hAnsi="黑体" w:eastAsia="黑体"/>
          <w:sz w:val="24"/>
        </w:rPr>
        <w:t>6.联合体投标</w:t>
      </w:r>
    </w:p>
    <w:p w14:paraId="126FE482">
      <w:pPr>
        <w:spacing w:line="360" w:lineRule="auto"/>
        <w:ind w:firstLine="420" w:firstLineChars="200"/>
        <w:rPr>
          <w:rFonts w:ascii="宋体" w:hAnsi="宋体"/>
          <w:szCs w:val="21"/>
        </w:rPr>
      </w:pPr>
      <w:r>
        <w:rPr>
          <w:rFonts w:hint="eastAsia" w:ascii="宋体" w:hAnsi="宋体"/>
          <w:szCs w:val="21"/>
        </w:rPr>
        <w:t>6.1本项目是否接受联合体投标，详见“投标人须知前附表”。</w:t>
      </w:r>
    </w:p>
    <w:p w14:paraId="67AB7D05">
      <w:pPr>
        <w:spacing w:line="360" w:lineRule="auto"/>
        <w:ind w:firstLine="420" w:firstLineChars="200"/>
        <w:rPr>
          <w:rFonts w:ascii="宋体" w:hAnsi="宋体"/>
          <w:bCs/>
          <w:szCs w:val="21"/>
        </w:rPr>
      </w:pPr>
      <w:r>
        <w:rPr>
          <w:rFonts w:hint="eastAsia" w:ascii="宋体" w:hAnsi="宋体"/>
          <w:bCs/>
          <w:szCs w:val="21"/>
        </w:rPr>
        <w:t>6.2如接受联合体投标，联合体投标要求详见“投标人须知前附表”。</w:t>
      </w:r>
    </w:p>
    <w:p w14:paraId="18602E99">
      <w:pPr>
        <w:spacing w:line="360" w:lineRule="auto"/>
        <w:ind w:firstLine="420" w:firstLineChars="200"/>
        <w:rPr>
          <w:rFonts w:ascii="Helvetica Neue"/>
          <w:sz w:val="24"/>
          <w:shd w:val="clear" w:color="auto" w:fill="FFFFFF"/>
        </w:rPr>
      </w:pPr>
      <w:r>
        <w:rPr>
          <w:rFonts w:hint="eastAsia" w:ascii="宋体" w:hAnsi="宋体"/>
          <w:bCs/>
          <w:szCs w:val="21"/>
        </w:rPr>
        <w:t>6.3根据《政府采购促进中小企业发展管理办法》（财库[2020]46号）第九条、</w:t>
      </w:r>
      <w:r>
        <w:rPr>
          <w:rFonts w:hint="eastAsia" w:ascii="宋体" w:hAnsi="宋体"/>
          <w:szCs w:val="21"/>
        </w:rPr>
        <w:t>《广西壮族自治区财政厅关于进一步发挥政府采购政策功能促进企业发展的通知》（桂财采〔2022〕30号）及《广西壮族自治区财政厅广西壮族自治区工业和信息化厅转发财政部工业和信息化部政府采购促进中小企业发展管理办法的通知》（桂财采〔2021〕70号）</w:t>
      </w:r>
      <w:r>
        <w:rPr>
          <w:rFonts w:hint="eastAsia" w:ascii="宋体" w:hAnsi="宋体"/>
          <w:bCs/>
          <w:szCs w:val="21"/>
        </w:rPr>
        <w:t>规定，接受大中型企业与小微企业组成联合体的采购项目，对于联合协议约定小微企业的合同份额占到合同总金额 30%以上的，采购人、采购代理机构应当对联合体的报价给予4%-6%的扣除，用扣除后的价格参加评审。组成联合体的小微企业与联合体内其他企业、分包企业之间存在直接控股、管理关系的，不享受价格扣除优惠政策。</w:t>
      </w:r>
    </w:p>
    <w:p w14:paraId="5075D2DC">
      <w:pPr>
        <w:spacing w:line="360" w:lineRule="auto"/>
        <w:ind w:firstLine="480" w:firstLineChars="200"/>
        <w:rPr>
          <w:rFonts w:ascii="黑体" w:hAnsi="黑体" w:eastAsia="黑体"/>
          <w:sz w:val="24"/>
        </w:rPr>
      </w:pPr>
      <w:r>
        <w:rPr>
          <w:rFonts w:hint="eastAsia" w:ascii="黑体" w:hAnsi="黑体" w:eastAsia="黑体"/>
          <w:sz w:val="24"/>
        </w:rPr>
        <w:t>7.转包与分包</w:t>
      </w:r>
    </w:p>
    <w:p w14:paraId="3022D9BA">
      <w:pPr>
        <w:spacing w:line="360" w:lineRule="auto"/>
        <w:ind w:firstLine="422" w:firstLineChars="200"/>
        <w:rPr>
          <w:rFonts w:ascii="宋体" w:hAnsi="宋体"/>
          <w:b/>
          <w:szCs w:val="21"/>
        </w:rPr>
      </w:pPr>
      <w:r>
        <w:rPr>
          <w:rFonts w:hint="eastAsia" w:ascii="宋体" w:hAnsi="宋体"/>
          <w:b/>
          <w:szCs w:val="21"/>
        </w:rPr>
        <w:t>7.1本项目是否允许分包详见“投标人须知前附表”，本项目不允许违法分包。投标人根据招标文件的规定和采购项目的实际情况，拟在中标后将中标项目的非主体、非关键性工作分包的，应当在投标文件中载明分包承担主体，分包承担主体应当具备相应资质条件且不得再次分包。</w:t>
      </w:r>
    </w:p>
    <w:p w14:paraId="548CBA5F">
      <w:pPr>
        <w:spacing w:line="360" w:lineRule="auto"/>
        <w:ind w:firstLine="420" w:firstLineChars="200"/>
        <w:rPr>
          <w:rFonts w:ascii="宋体" w:hAnsi="宋体"/>
          <w:bCs/>
          <w:szCs w:val="21"/>
        </w:rPr>
      </w:pPr>
      <w:r>
        <w:rPr>
          <w:rFonts w:hint="eastAsia" w:ascii="宋体" w:hAnsi="宋体"/>
          <w:bCs/>
          <w:szCs w:val="21"/>
        </w:rPr>
        <w:t>7.2根据《政府采购促进中小企业发展管理办法》（财库[2020]46号）第九条及《广西壮族自治区财政厅关于进一步发挥政府采购政策功能促进企业发展的通知》（桂财采〔2022〕30号）规定，允许大中型企业向一家或者多家小微企业分包的采购项目，对于分包意向协议约定小微企业的合同份额占到合同总金额 30%以上的，采购人、采购代理机构应当对大中型企业的报价给予 4%-6%的扣除，用扣除后的价格参加评审。接受分包的小微企业与分包企业之间存在直接控股、管理关系的，不享受价格扣除优惠政策。</w:t>
      </w:r>
    </w:p>
    <w:p w14:paraId="6C723987">
      <w:pPr>
        <w:spacing w:line="360" w:lineRule="auto"/>
        <w:ind w:firstLine="480" w:firstLineChars="200"/>
        <w:rPr>
          <w:rFonts w:ascii="黑体" w:hAnsi="黑体" w:eastAsia="黑体"/>
          <w:sz w:val="24"/>
        </w:rPr>
      </w:pPr>
      <w:r>
        <w:rPr>
          <w:rFonts w:hint="eastAsia" w:ascii="黑体" w:hAnsi="黑体" w:eastAsia="黑体"/>
          <w:sz w:val="24"/>
        </w:rPr>
        <w:t>8.特别说明：</w:t>
      </w:r>
    </w:p>
    <w:p w14:paraId="3D943887">
      <w:pPr>
        <w:spacing w:line="360" w:lineRule="auto"/>
        <w:ind w:firstLine="422" w:firstLineChars="200"/>
        <w:rPr>
          <w:rFonts w:ascii="宋体" w:hAnsi="宋体"/>
          <w:b/>
          <w:szCs w:val="21"/>
        </w:rPr>
      </w:pPr>
      <w:r>
        <w:rPr>
          <w:rFonts w:hint="eastAsia" w:ascii="宋体" w:hAnsi="宋体"/>
          <w:b/>
          <w:szCs w:val="21"/>
        </w:rPr>
        <w:t>8.1如果本招标文件要求投标人提供资格、信誉、荣誉、业绩与企业认证等材料的，则投标人所提供的以上材料必须为投标人所拥有。</w:t>
      </w:r>
    </w:p>
    <w:p w14:paraId="7F142A06">
      <w:pPr>
        <w:spacing w:line="360" w:lineRule="auto"/>
        <w:ind w:firstLine="422" w:firstLineChars="200"/>
        <w:rPr>
          <w:rFonts w:ascii="宋体" w:hAnsi="宋体"/>
          <w:b/>
          <w:szCs w:val="21"/>
        </w:rPr>
      </w:pPr>
      <w:r>
        <w:rPr>
          <w:rFonts w:hint="eastAsia" w:ascii="宋体" w:hAnsi="宋体"/>
          <w:b/>
          <w:szCs w:val="21"/>
        </w:rPr>
        <w:t>8.2投标人应仔细阅读招标文件的所有内容，按照招标文件的要求提交投标文件，并对所提供的全部资料的真实性承担法律责任。</w:t>
      </w:r>
    </w:p>
    <w:p w14:paraId="3D2446ED">
      <w:pPr>
        <w:spacing w:line="360" w:lineRule="auto"/>
        <w:ind w:firstLine="422" w:firstLineChars="200"/>
        <w:rPr>
          <w:rFonts w:ascii="宋体" w:hAnsi="宋体"/>
          <w:b/>
          <w:szCs w:val="21"/>
        </w:rPr>
      </w:pPr>
      <w:r>
        <w:rPr>
          <w:rFonts w:hint="eastAsia" w:ascii="宋体" w:hAnsi="宋体"/>
          <w:b/>
          <w:szCs w:val="21"/>
        </w:rPr>
        <w:t>8.3投标人在投标活动中提供任何虚假材料，将报监管部门查处；中标后发现的，中标人须依照《中华人民共和国消费者权益保护法》规定赔偿采购人，且民事赔偿并不免除违法投标人的行政与刑事责任。</w:t>
      </w:r>
    </w:p>
    <w:p w14:paraId="13367401">
      <w:pPr>
        <w:spacing w:line="360" w:lineRule="auto"/>
        <w:ind w:firstLine="480" w:firstLineChars="200"/>
        <w:rPr>
          <w:rFonts w:ascii="黑体" w:hAnsi="黑体" w:eastAsia="黑体"/>
          <w:sz w:val="24"/>
        </w:rPr>
      </w:pPr>
      <w:r>
        <w:rPr>
          <w:rFonts w:hint="eastAsia" w:ascii="黑体" w:hAnsi="黑体" w:eastAsia="黑体"/>
          <w:sz w:val="24"/>
        </w:rPr>
        <w:t>9.回避与串通投标</w:t>
      </w:r>
    </w:p>
    <w:p w14:paraId="69220533">
      <w:pPr>
        <w:spacing w:line="360" w:lineRule="auto"/>
        <w:ind w:firstLine="422" w:firstLineChars="200"/>
        <w:rPr>
          <w:rFonts w:ascii="宋体" w:hAnsi="宋体"/>
          <w:b/>
          <w:szCs w:val="21"/>
        </w:rPr>
      </w:pPr>
      <w:r>
        <w:rPr>
          <w:rFonts w:hint="eastAsia" w:ascii="宋体" w:hAnsi="宋体"/>
          <w:b/>
          <w:szCs w:val="21"/>
        </w:rPr>
        <w:t>9.1在政府采购活动中，采购人员及相关人员与投标人有下列利害关系之一的，应当回避：</w:t>
      </w:r>
    </w:p>
    <w:p w14:paraId="5D15A80E">
      <w:pPr>
        <w:spacing w:line="360" w:lineRule="auto"/>
        <w:ind w:firstLine="420" w:firstLineChars="200"/>
        <w:rPr>
          <w:rFonts w:hAnsi="宋体"/>
        </w:rPr>
      </w:pPr>
      <w:r>
        <w:rPr>
          <w:rFonts w:hint="eastAsia" w:hAnsi="宋体"/>
        </w:rPr>
        <w:t>（</w:t>
      </w:r>
      <w:r>
        <w:rPr>
          <w:rFonts w:hAnsi="宋体"/>
        </w:rPr>
        <w:t>1</w:t>
      </w:r>
      <w:r>
        <w:rPr>
          <w:rFonts w:hint="eastAsia" w:hAnsi="宋体"/>
        </w:rPr>
        <w:t>）参加采购活动前</w:t>
      </w:r>
      <w:r>
        <w:rPr>
          <w:rFonts w:hAnsi="宋体"/>
        </w:rPr>
        <w:t>3</w:t>
      </w:r>
      <w:r>
        <w:rPr>
          <w:rFonts w:hint="eastAsia" w:hAnsi="宋体"/>
        </w:rPr>
        <w:t>年内与投标人存在劳动关系；</w:t>
      </w:r>
    </w:p>
    <w:p w14:paraId="33E40B8E">
      <w:pPr>
        <w:spacing w:line="360" w:lineRule="auto"/>
        <w:ind w:firstLine="420" w:firstLineChars="200"/>
        <w:rPr>
          <w:rFonts w:hAnsi="宋体"/>
        </w:rPr>
      </w:pPr>
      <w:r>
        <w:rPr>
          <w:rFonts w:hint="eastAsia" w:hAnsi="宋体"/>
        </w:rPr>
        <w:t>（</w:t>
      </w:r>
      <w:r>
        <w:rPr>
          <w:rFonts w:hAnsi="宋体"/>
        </w:rPr>
        <w:t>2</w:t>
      </w:r>
      <w:r>
        <w:rPr>
          <w:rFonts w:hint="eastAsia" w:hAnsi="宋体"/>
        </w:rPr>
        <w:t>）参加采购活动前</w:t>
      </w:r>
      <w:r>
        <w:rPr>
          <w:rFonts w:hAnsi="宋体"/>
        </w:rPr>
        <w:t>3</w:t>
      </w:r>
      <w:r>
        <w:rPr>
          <w:rFonts w:hint="eastAsia" w:hAnsi="宋体"/>
        </w:rPr>
        <w:t>年内担任投标人的董事、监事；</w:t>
      </w:r>
    </w:p>
    <w:p w14:paraId="12270FE9">
      <w:pPr>
        <w:spacing w:line="360" w:lineRule="auto"/>
        <w:ind w:firstLine="420" w:firstLineChars="200"/>
        <w:rPr>
          <w:rFonts w:hAnsi="宋体"/>
        </w:rPr>
      </w:pPr>
      <w:r>
        <w:rPr>
          <w:rFonts w:hint="eastAsia" w:hAnsi="宋体"/>
        </w:rPr>
        <w:t>（</w:t>
      </w:r>
      <w:r>
        <w:rPr>
          <w:rFonts w:hAnsi="宋体"/>
        </w:rPr>
        <w:t>3</w:t>
      </w:r>
      <w:r>
        <w:rPr>
          <w:rFonts w:hint="eastAsia" w:hAnsi="宋体"/>
        </w:rPr>
        <w:t>）参加采购活动前</w:t>
      </w:r>
      <w:r>
        <w:rPr>
          <w:rFonts w:hAnsi="宋体"/>
        </w:rPr>
        <w:t>3</w:t>
      </w:r>
      <w:r>
        <w:rPr>
          <w:rFonts w:hint="eastAsia" w:hAnsi="宋体"/>
        </w:rPr>
        <w:t>年内是投标人的控股股东或者实际控制人；</w:t>
      </w:r>
    </w:p>
    <w:p w14:paraId="1B1E94C2">
      <w:pPr>
        <w:spacing w:line="360" w:lineRule="auto"/>
        <w:ind w:firstLine="420" w:firstLineChars="200"/>
        <w:rPr>
          <w:rFonts w:hAnsi="宋体"/>
        </w:rPr>
      </w:pPr>
      <w:r>
        <w:rPr>
          <w:rFonts w:hint="eastAsia" w:hAnsi="宋体"/>
        </w:rPr>
        <w:t>（</w:t>
      </w:r>
      <w:r>
        <w:rPr>
          <w:rFonts w:hAnsi="宋体"/>
        </w:rPr>
        <w:t>4</w:t>
      </w:r>
      <w:r>
        <w:rPr>
          <w:rFonts w:hint="eastAsia" w:hAnsi="宋体"/>
        </w:rPr>
        <w:t>）与投标人的法定代表人或者负责人有夫妻、直系血亲、三代以内旁系血亲或者近姻亲关系；</w:t>
      </w:r>
    </w:p>
    <w:p w14:paraId="3A47884C">
      <w:pPr>
        <w:spacing w:line="360" w:lineRule="auto"/>
        <w:ind w:firstLine="420" w:firstLineChars="200"/>
        <w:rPr>
          <w:rFonts w:hAnsi="宋体"/>
        </w:rPr>
      </w:pPr>
      <w:r>
        <w:rPr>
          <w:rFonts w:hint="eastAsia" w:hAnsi="宋体"/>
        </w:rPr>
        <w:t>（</w:t>
      </w:r>
      <w:r>
        <w:rPr>
          <w:rFonts w:hAnsi="宋体"/>
        </w:rPr>
        <w:t>5</w:t>
      </w:r>
      <w:r>
        <w:rPr>
          <w:rFonts w:hint="eastAsia" w:hAnsi="宋体"/>
        </w:rPr>
        <w:t>）与投标人有其他可能影响政府采购活动公平、公正进行的关系。</w:t>
      </w:r>
    </w:p>
    <w:p w14:paraId="5163BBC8">
      <w:pPr>
        <w:spacing w:line="360" w:lineRule="auto"/>
        <w:ind w:firstLine="420" w:firstLineChars="200"/>
        <w:rPr>
          <w:rFonts w:hAnsi="宋体"/>
        </w:rPr>
      </w:pPr>
      <w:r>
        <w:rPr>
          <w:rFonts w:hint="eastAsia" w:hAnsi="宋体"/>
        </w:rPr>
        <w:t>投标人认为采购人员及相关人员与其他投标人有利害关系的，可以向采购人或者采购代理机构书面提出回避申请，并说明理由。采购人或者采购代理机构应当及时询问被申请回避人员，有利害关系的被申请回避人员应当回避。</w:t>
      </w:r>
    </w:p>
    <w:p w14:paraId="6AD788F6">
      <w:pPr>
        <w:spacing w:line="360" w:lineRule="auto"/>
        <w:ind w:firstLine="420" w:firstLineChars="200"/>
        <w:rPr>
          <w:rFonts w:ascii="宋体" w:hAnsi="宋体"/>
          <w:szCs w:val="21"/>
        </w:rPr>
      </w:pPr>
      <w:r>
        <w:rPr>
          <w:rFonts w:hint="eastAsia" w:ascii="宋体" w:hAnsi="宋体"/>
          <w:szCs w:val="21"/>
        </w:rPr>
        <w:t>9.2有下列情形之一的视为投标人相互串通投标，投标文件将被视为无效：</w:t>
      </w:r>
    </w:p>
    <w:p w14:paraId="62B65B74">
      <w:pPr>
        <w:spacing w:line="360" w:lineRule="auto"/>
        <w:ind w:firstLine="422" w:firstLineChars="200"/>
        <w:rPr>
          <w:rFonts w:hAnsi="宋体"/>
          <w:b/>
        </w:rPr>
      </w:pPr>
      <w:r>
        <w:rPr>
          <w:rFonts w:hint="eastAsia" w:hAnsi="宋体"/>
          <w:b/>
        </w:rPr>
        <w:t>（</w:t>
      </w:r>
      <w:r>
        <w:rPr>
          <w:rFonts w:hAnsi="宋体"/>
          <w:b/>
        </w:rPr>
        <w:t>1</w:t>
      </w:r>
      <w:r>
        <w:rPr>
          <w:rFonts w:hint="eastAsia" w:hAnsi="宋体"/>
          <w:b/>
        </w:rPr>
        <w:t>）不同投标人的投标文件由同一单位或者个人编制；或者不同投标人报名的</w:t>
      </w:r>
      <w:r>
        <w:rPr>
          <w:rFonts w:hAnsi="宋体"/>
          <w:b/>
        </w:rPr>
        <w:t>IP</w:t>
      </w:r>
      <w:r>
        <w:rPr>
          <w:rFonts w:hint="eastAsia" w:hAnsi="宋体"/>
          <w:b/>
        </w:rPr>
        <w:t>地址一致的；或者编制标书硬件设备</w:t>
      </w:r>
      <w:r>
        <w:rPr>
          <w:rFonts w:hAnsi="宋体"/>
          <w:b/>
        </w:rPr>
        <w:t>CPU</w:t>
      </w:r>
      <w:r>
        <w:rPr>
          <w:rFonts w:hint="eastAsia" w:hAnsi="宋体"/>
          <w:b/>
        </w:rPr>
        <w:t>编号、硬盘编号、网卡地址一致的情况。</w:t>
      </w:r>
    </w:p>
    <w:p w14:paraId="3CA08491">
      <w:pPr>
        <w:spacing w:line="360" w:lineRule="auto"/>
        <w:ind w:firstLine="422" w:firstLineChars="200"/>
        <w:rPr>
          <w:rFonts w:hAnsi="宋体"/>
          <w:b/>
        </w:rPr>
      </w:pPr>
      <w:r>
        <w:rPr>
          <w:rFonts w:hint="eastAsia" w:hAnsi="宋体"/>
          <w:b/>
        </w:rPr>
        <w:t>（</w:t>
      </w:r>
      <w:r>
        <w:rPr>
          <w:rFonts w:hAnsi="宋体"/>
          <w:b/>
        </w:rPr>
        <w:t>2</w:t>
      </w:r>
      <w:r>
        <w:rPr>
          <w:rFonts w:hint="eastAsia" w:hAnsi="宋体"/>
          <w:b/>
        </w:rPr>
        <w:t>）不同投标人委托同一单位或者个人办理投标事宜；</w:t>
      </w:r>
    </w:p>
    <w:p w14:paraId="1D52C50F">
      <w:pPr>
        <w:spacing w:line="360" w:lineRule="auto"/>
        <w:ind w:firstLine="422" w:firstLineChars="200"/>
        <w:rPr>
          <w:rFonts w:hAnsi="宋体"/>
          <w:b/>
        </w:rPr>
      </w:pPr>
      <w:r>
        <w:rPr>
          <w:rFonts w:hint="eastAsia" w:hAnsi="宋体"/>
          <w:b/>
        </w:rPr>
        <w:t>（</w:t>
      </w:r>
      <w:r>
        <w:rPr>
          <w:rFonts w:hAnsi="宋体"/>
          <w:b/>
        </w:rPr>
        <w:t>3</w:t>
      </w:r>
      <w:r>
        <w:rPr>
          <w:rFonts w:hint="eastAsia" w:hAnsi="宋体"/>
          <w:b/>
        </w:rPr>
        <w:t>）不同的投标人的投标文件载明的项目管理员为同一个人；</w:t>
      </w:r>
    </w:p>
    <w:p w14:paraId="571145E6">
      <w:pPr>
        <w:spacing w:line="360" w:lineRule="auto"/>
        <w:ind w:firstLine="422" w:firstLineChars="200"/>
        <w:rPr>
          <w:rFonts w:hAnsi="宋体"/>
          <w:b/>
        </w:rPr>
      </w:pPr>
      <w:r>
        <w:rPr>
          <w:rFonts w:hint="eastAsia" w:hAnsi="宋体"/>
          <w:b/>
        </w:rPr>
        <w:t>（</w:t>
      </w:r>
      <w:r>
        <w:rPr>
          <w:rFonts w:hAnsi="宋体"/>
          <w:b/>
        </w:rPr>
        <w:t>4</w:t>
      </w:r>
      <w:r>
        <w:rPr>
          <w:rFonts w:hint="eastAsia" w:hAnsi="宋体"/>
          <w:b/>
        </w:rPr>
        <w:t>）不同投标人的电子或纸质投标文件异常一致或者投标报价呈规律性差异；</w:t>
      </w:r>
    </w:p>
    <w:p w14:paraId="0BF15ECE">
      <w:pPr>
        <w:spacing w:line="360" w:lineRule="auto"/>
        <w:ind w:firstLine="422" w:firstLineChars="200"/>
        <w:rPr>
          <w:rFonts w:hAnsi="宋体"/>
          <w:b/>
        </w:rPr>
      </w:pPr>
      <w:r>
        <w:rPr>
          <w:rFonts w:hint="eastAsia" w:hAnsi="宋体"/>
          <w:b/>
        </w:rPr>
        <w:t>（</w:t>
      </w:r>
      <w:r>
        <w:rPr>
          <w:rFonts w:hAnsi="宋体"/>
          <w:b/>
        </w:rPr>
        <w:t>5</w:t>
      </w:r>
      <w:r>
        <w:rPr>
          <w:rFonts w:hint="eastAsia" w:hAnsi="宋体"/>
          <w:b/>
        </w:rPr>
        <w:t>）不同投标人的纸质投标文件相互混装；</w:t>
      </w:r>
    </w:p>
    <w:p w14:paraId="7FD6CB56">
      <w:pPr>
        <w:spacing w:line="360" w:lineRule="auto"/>
        <w:ind w:firstLine="420" w:firstLineChars="200"/>
        <w:rPr>
          <w:rFonts w:ascii="宋体" w:hAnsi="宋体"/>
          <w:szCs w:val="21"/>
        </w:rPr>
      </w:pPr>
      <w:r>
        <w:rPr>
          <w:rFonts w:hint="eastAsia" w:ascii="宋体" w:hAnsi="宋体"/>
          <w:szCs w:val="21"/>
        </w:rPr>
        <w:t>9.3投标人有下列情形之一的，属于恶意串通行为，将报同级监督管理部门：</w:t>
      </w:r>
    </w:p>
    <w:p w14:paraId="2A9FB25B">
      <w:pPr>
        <w:spacing w:line="360" w:lineRule="auto"/>
        <w:ind w:firstLine="420" w:firstLineChars="200"/>
        <w:rPr>
          <w:rFonts w:hAnsi="宋体"/>
        </w:rPr>
      </w:pPr>
      <w:r>
        <w:rPr>
          <w:rFonts w:hint="eastAsia" w:hAnsi="宋体"/>
        </w:rPr>
        <w:t>（</w:t>
      </w:r>
      <w:r>
        <w:rPr>
          <w:rFonts w:hAnsi="宋体"/>
        </w:rPr>
        <w:t>1</w:t>
      </w:r>
      <w:r>
        <w:rPr>
          <w:rFonts w:hint="eastAsia" w:hAnsi="宋体"/>
        </w:rPr>
        <w:t>）投标人直接或者间接从采购人或者采购代理机构处获得其他投标人的相关信息并修改其投标文件或者投标文件；</w:t>
      </w:r>
    </w:p>
    <w:p w14:paraId="7FE1BA22">
      <w:pPr>
        <w:spacing w:line="360" w:lineRule="auto"/>
        <w:ind w:firstLine="420" w:firstLineChars="200"/>
        <w:rPr>
          <w:rFonts w:hAnsi="宋体"/>
        </w:rPr>
      </w:pPr>
      <w:r>
        <w:rPr>
          <w:rFonts w:hint="eastAsia" w:hAnsi="宋体"/>
        </w:rPr>
        <w:t>（</w:t>
      </w:r>
      <w:r>
        <w:rPr>
          <w:rFonts w:hAnsi="宋体"/>
        </w:rPr>
        <w:t>2</w:t>
      </w:r>
      <w:r>
        <w:rPr>
          <w:rFonts w:hint="eastAsia" w:hAnsi="宋体"/>
        </w:rPr>
        <w:t>）投标人按照采购人或者采购代理机构的授意撤换、修改投标文件或者投标文件；</w:t>
      </w:r>
    </w:p>
    <w:p w14:paraId="7CD02E07">
      <w:pPr>
        <w:spacing w:line="360" w:lineRule="auto"/>
        <w:ind w:firstLine="420" w:firstLineChars="200"/>
        <w:rPr>
          <w:rFonts w:hAnsi="宋体"/>
        </w:rPr>
      </w:pPr>
      <w:r>
        <w:rPr>
          <w:rFonts w:hint="eastAsia" w:hAnsi="宋体"/>
        </w:rPr>
        <w:t>（</w:t>
      </w:r>
      <w:r>
        <w:rPr>
          <w:rFonts w:hAnsi="宋体"/>
        </w:rPr>
        <w:t>3</w:t>
      </w:r>
      <w:r>
        <w:rPr>
          <w:rFonts w:hint="eastAsia" w:hAnsi="宋体"/>
        </w:rPr>
        <w:t>）投标人之间协商报价、技术方案等投标文件或者投标文件的实质性内容；</w:t>
      </w:r>
    </w:p>
    <w:p w14:paraId="5A51D491">
      <w:pPr>
        <w:spacing w:line="360" w:lineRule="auto"/>
        <w:ind w:firstLine="420" w:firstLineChars="200"/>
        <w:rPr>
          <w:rFonts w:hAnsi="宋体"/>
        </w:rPr>
      </w:pPr>
      <w:r>
        <w:rPr>
          <w:rFonts w:hint="eastAsia" w:hAnsi="宋体"/>
        </w:rPr>
        <w:t>（</w:t>
      </w:r>
      <w:r>
        <w:rPr>
          <w:rFonts w:hAnsi="宋体"/>
        </w:rPr>
        <w:t>4</w:t>
      </w:r>
      <w:r>
        <w:rPr>
          <w:rFonts w:hint="eastAsia" w:hAnsi="宋体"/>
        </w:rPr>
        <w:t>）属于同一集团、协会、商会等组织成员的投标人按照该组织要求协同参加政府采购活动；</w:t>
      </w:r>
    </w:p>
    <w:p w14:paraId="45F4714D">
      <w:pPr>
        <w:spacing w:line="360" w:lineRule="auto"/>
        <w:ind w:firstLine="420" w:firstLineChars="200"/>
        <w:rPr>
          <w:rFonts w:hAnsi="宋体"/>
        </w:rPr>
      </w:pPr>
      <w:r>
        <w:rPr>
          <w:rFonts w:hint="eastAsia" w:hAnsi="宋体"/>
        </w:rPr>
        <w:t>（</w:t>
      </w:r>
      <w:r>
        <w:rPr>
          <w:rFonts w:hAnsi="宋体"/>
        </w:rPr>
        <w:t>5</w:t>
      </w:r>
      <w:r>
        <w:rPr>
          <w:rFonts w:hint="eastAsia" w:hAnsi="宋体"/>
        </w:rPr>
        <w:t>）投标人之间事先约定一致抬高或者压低投标报价，或者在招标项目中事先约定轮流以高价位或者低价位中标，或者事先约定由某一特定投标人中标，然后再参加投标；</w:t>
      </w:r>
    </w:p>
    <w:p w14:paraId="40BFE476">
      <w:pPr>
        <w:spacing w:line="360" w:lineRule="auto"/>
        <w:ind w:firstLine="420" w:firstLineChars="200"/>
        <w:rPr>
          <w:rFonts w:hAnsi="宋体"/>
        </w:rPr>
      </w:pPr>
      <w:r>
        <w:rPr>
          <w:rFonts w:hint="eastAsia" w:hAnsi="宋体"/>
        </w:rPr>
        <w:t>（</w:t>
      </w:r>
      <w:r>
        <w:rPr>
          <w:rFonts w:hAnsi="宋体"/>
        </w:rPr>
        <w:t>6</w:t>
      </w:r>
      <w:r>
        <w:rPr>
          <w:rFonts w:hint="eastAsia" w:hAnsi="宋体"/>
        </w:rPr>
        <w:t>）投标人之间商定部分投标人放弃参加政府采购活动或者放弃中标；</w:t>
      </w:r>
    </w:p>
    <w:p w14:paraId="1A0FD767">
      <w:pPr>
        <w:spacing w:line="360" w:lineRule="auto"/>
        <w:ind w:firstLine="420" w:firstLineChars="200"/>
        <w:rPr>
          <w:rFonts w:hAnsi="宋体"/>
        </w:rPr>
      </w:pPr>
      <w:r>
        <w:rPr>
          <w:rFonts w:hint="eastAsia" w:hAnsi="宋体"/>
        </w:rPr>
        <w:t>（</w:t>
      </w:r>
      <w:r>
        <w:rPr>
          <w:rFonts w:hAnsi="宋体"/>
        </w:rPr>
        <w:t>7</w:t>
      </w:r>
      <w:r>
        <w:rPr>
          <w:rFonts w:hint="eastAsia" w:hAnsi="宋体"/>
        </w:rPr>
        <w:t>）投标人与采购人或者采购代理机构之间、投标人相互之间，为谋求特定投标人中标或者排斥其他投标人的其他串通行为。</w:t>
      </w:r>
    </w:p>
    <w:p w14:paraId="5F0074B0">
      <w:pPr>
        <w:rPr>
          <w:rFonts w:hAnsi="宋体"/>
        </w:rPr>
      </w:pPr>
      <w:r>
        <w:rPr>
          <w:rFonts w:hint="eastAsia" w:hAnsi="宋体"/>
        </w:rPr>
        <w:br w:type="page"/>
      </w:r>
    </w:p>
    <w:p w14:paraId="12279DDE">
      <w:pPr>
        <w:spacing w:line="400" w:lineRule="exact"/>
        <w:ind w:firstLine="3534" w:firstLineChars="1100"/>
        <w:outlineLvl w:val="2"/>
        <w:rPr>
          <w:b/>
          <w:bCs/>
          <w:sz w:val="32"/>
          <w:szCs w:val="32"/>
        </w:rPr>
      </w:pPr>
      <w:bookmarkStart w:id="25" w:name="_Toc6447"/>
      <w:bookmarkStart w:id="26" w:name="_Toc89075995"/>
      <w:bookmarkStart w:id="27" w:name="_Toc15536"/>
      <w:bookmarkStart w:id="28" w:name="_Toc110956110"/>
      <w:r>
        <w:rPr>
          <w:rFonts w:hint="eastAsia"/>
          <w:b/>
          <w:bCs/>
          <w:sz w:val="32"/>
          <w:szCs w:val="32"/>
        </w:rPr>
        <w:t>二、招标文件</w:t>
      </w:r>
      <w:bookmarkEnd w:id="25"/>
      <w:bookmarkEnd w:id="26"/>
      <w:bookmarkEnd w:id="27"/>
      <w:bookmarkEnd w:id="28"/>
    </w:p>
    <w:p w14:paraId="6A643D3E">
      <w:pPr>
        <w:spacing w:line="360" w:lineRule="auto"/>
        <w:ind w:firstLine="480" w:firstLineChars="200"/>
        <w:rPr>
          <w:rFonts w:ascii="黑体" w:hAnsi="黑体" w:eastAsia="黑体"/>
          <w:sz w:val="24"/>
        </w:rPr>
      </w:pPr>
      <w:r>
        <w:rPr>
          <w:rFonts w:hint="eastAsia" w:ascii="黑体" w:hAnsi="黑体" w:eastAsia="黑体"/>
          <w:sz w:val="24"/>
        </w:rPr>
        <w:t>10.招标文件的组成</w:t>
      </w:r>
    </w:p>
    <w:p w14:paraId="4A80B2D0">
      <w:pPr>
        <w:spacing w:line="360" w:lineRule="auto"/>
        <w:ind w:firstLine="420" w:firstLineChars="200"/>
        <w:rPr>
          <w:rFonts w:ascii="宋体" w:hAnsi="宋体"/>
          <w:szCs w:val="21"/>
        </w:rPr>
      </w:pPr>
      <w:r>
        <w:rPr>
          <w:rFonts w:hint="eastAsia" w:ascii="宋体" w:hAnsi="宋体"/>
          <w:szCs w:val="21"/>
        </w:rPr>
        <w:t>第一章招标公告；</w:t>
      </w:r>
    </w:p>
    <w:p w14:paraId="25EF6580">
      <w:pPr>
        <w:spacing w:line="360" w:lineRule="auto"/>
        <w:ind w:firstLine="420" w:firstLineChars="200"/>
        <w:rPr>
          <w:rFonts w:ascii="宋体" w:hAnsi="宋体"/>
          <w:szCs w:val="21"/>
        </w:rPr>
      </w:pPr>
      <w:r>
        <w:rPr>
          <w:rFonts w:hint="eastAsia" w:ascii="宋体" w:hAnsi="宋体"/>
          <w:szCs w:val="21"/>
        </w:rPr>
        <w:t>第二章采购需求；</w:t>
      </w:r>
    </w:p>
    <w:p w14:paraId="7BFB811F">
      <w:pPr>
        <w:spacing w:line="360" w:lineRule="auto"/>
        <w:ind w:firstLine="420" w:firstLineChars="200"/>
        <w:rPr>
          <w:rFonts w:ascii="宋体" w:hAnsi="宋体"/>
          <w:szCs w:val="21"/>
        </w:rPr>
      </w:pPr>
      <w:r>
        <w:rPr>
          <w:rFonts w:hint="eastAsia" w:ascii="宋体" w:hAnsi="宋体"/>
          <w:szCs w:val="21"/>
        </w:rPr>
        <w:t>第三章投标人须知；</w:t>
      </w:r>
    </w:p>
    <w:p w14:paraId="2499A208">
      <w:pPr>
        <w:spacing w:line="360" w:lineRule="auto"/>
        <w:ind w:firstLine="420" w:firstLineChars="200"/>
        <w:rPr>
          <w:rFonts w:ascii="宋体" w:hAnsi="宋体"/>
          <w:szCs w:val="21"/>
        </w:rPr>
      </w:pPr>
      <w:r>
        <w:rPr>
          <w:rFonts w:hint="eastAsia" w:ascii="宋体" w:hAnsi="宋体"/>
          <w:szCs w:val="21"/>
        </w:rPr>
        <w:t>第四章评标方法及评标标准；</w:t>
      </w:r>
    </w:p>
    <w:p w14:paraId="3EAD01AB">
      <w:pPr>
        <w:spacing w:line="360" w:lineRule="auto"/>
        <w:ind w:firstLine="420" w:firstLineChars="200"/>
        <w:rPr>
          <w:rFonts w:ascii="宋体" w:hAnsi="宋体"/>
          <w:szCs w:val="21"/>
        </w:rPr>
      </w:pPr>
      <w:r>
        <w:rPr>
          <w:rFonts w:hint="eastAsia" w:ascii="宋体" w:hAnsi="宋体"/>
          <w:szCs w:val="21"/>
        </w:rPr>
        <w:t>第五章拟签订的合同文本；</w:t>
      </w:r>
    </w:p>
    <w:p w14:paraId="332027A6">
      <w:pPr>
        <w:spacing w:line="360" w:lineRule="auto"/>
        <w:ind w:firstLine="420" w:firstLineChars="200"/>
        <w:rPr>
          <w:rFonts w:ascii="宋体" w:hAnsi="宋体"/>
          <w:szCs w:val="21"/>
        </w:rPr>
      </w:pPr>
      <w:r>
        <w:rPr>
          <w:rFonts w:hint="eastAsia" w:ascii="宋体" w:hAnsi="宋体"/>
          <w:szCs w:val="21"/>
        </w:rPr>
        <w:t>第六章投标文件格式；</w:t>
      </w:r>
    </w:p>
    <w:p w14:paraId="3F741C77">
      <w:pPr>
        <w:spacing w:line="360" w:lineRule="auto"/>
        <w:ind w:firstLine="420" w:firstLineChars="200"/>
        <w:rPr>
          <w:rFonts w:ascii="宋体" w:hAnsi="宋体"/>
          <w:szCs w:val="21"/>
        </w:rPr>
      </w:pPr>
      <w:r>
        <w:rPr>
          <w:rFonts w:hint="eastAsia" w:ascii="宋体" w:hAnsi="宋体"/>
          <w:szCs w:val="21"/>
        </w:rPr>
        <w:t>第七章质疑、投诉材料格式</w:t>
      </w:r>
    </w:p>
    <w:p w14:paraId="5CDAAF94">
      <w:pPr>
        <w:spacing w:line="360" w:lineRule="auto"/>
        <w:ind w:firstLine="420" w:firstLineChars="200"/>
        <w:rPr>
          <w:rFonts w:hAnsi="宋体"/>
        </w:rPr>
      </w:pPr>
      <w:r>
        <w:rPr>
          <w:rFonts w:hint="eastAsia" w:hAnsi="宋体"/>
        </w:rPr>
        <w:t>根据本章第</w:t>
      </w:r>
      <w:r>
        <w:rPr>
          <w:rFonts w:hAnsi="宋体"/>
        </w:rPr>
        <w:t>11.1</w:t>
      </w:r>
      <w:r>
        <w:rPr>
          <w:rFonts w:hint="eastAsia" w:hAnsi="宋体"/>
        </w:rPr>
        <w:t>项的规定对公开招标文件所做的澄清、修改，构成招标文件的组成部分。当公开招标文件与招标文件的澄清和修改就同一内容的表述不一致时，</w:t>
      </w:r>
      <w:r>
        <w:rPr>
          <w:rFonts w:hint="eastAsia"/>
        </w:rPr>
        <w:t>以最后澄清或修改公告为准。</w:t>
      </w:r>
    </w:p>
    <w:p w14:paraId="139B86A3">
      <w:pPr>
        <w:spacing w:line="360" w:lineRule="auto"/>
        <w:ind w:firstLine="480" w:firstLineChars="200"/>
        <w:rPr>
          <w:rFonts w:ascii="黑体" w:hAnsi="黑体" w:eastAsia="黑体"/>
          <w:sz w:val="24"/>
        </w:rPr>
      </w:pPr>
      <w:r>
        <w:rPr>
          <w:rFonts w:hint="eastAsia" w:ascii="黑体" w:hAnsi="黑体" w:eastAsia="黑体"/>
          <w:sz w:val="24"/>
        </w:rPr>
        <w:t>11.招标文件的澄清、修改、现场考察和答疑会</w:t>
      </w:r>
    </w:p>
    <w:p w14:paraId="721EF6CE">
      <w:pPr>
        <w:spacing w:line="360" w:lineRule="auto"/>
        <w:ind w:firstLine="422" w:firstLineChars="200"/>
        <w:rPr>
          <w:rFonts w:ascii="宋体" w:hAnsi="宋体"/>
          <w:b/>
          <w:szCs w:val="21"/>
        </w:rPr>
      </w:pPr>
      <w:r>
        <w:rPr>
          <w:rFonts w:hint="eastAsia" w:ascii="宋体" w:hAnsi="宋体"/>
          <w:b/>
          <w:szCs w:val="21"/>
        </w:rPr>
        <w:t xml:space="preserve"> 11.1采购人或者采购代理机构可以对已发出的招标文件进行必要的澄清或者修改，但不得改变采购标的和资格条件。澄清或者修改应当在原公告发布媒体上发布澄清公告。澄清或者修改的内容为招标文件的组成部分。</w:t>
      </w:r>
    </w:p>
    <w:p w14:paraId="5F07B5F9">
      <w:pPr>
        <w:spacing w:line="360" w:lineRule="auto"/>
        <w:ind w:firstLine="420" w:firstLineChars="200"/>
        <w:rPr>
          <w:rFonts w:hAnsi="宋体"/>
        </w:rPr>
      </w:pPr>
      <w:r>
        <w:rPr>
          <w:rFonts w:hAnsi="宋体"/>
        </w:rPr>
        <w:t xml:space="preserve">11.2 </w:t>
      </w:r>
      <w:r>
        <w:rPr>
          <w:rFonts w:hint="eastAsia" w:hAnsi="宋体"/>
        </w:rPr>
        <w:t>投标人应认真审阅本公开招标文件，如有疑问，或发现其中有误或有要求不合理的，应在投标人须知前附表规定的</w:t>
      </w:r>
      <w:r>
        <w:rPr>
          <w:rFonts w:hint="eastAsia" w:cs="宋体"/>
          <w:kern w:val="0"/>
          <w:szCs w:val="21"/>
        </w:rPr>
        <w:t>投标截止时间</w:t>
      </w:r>
      <w:r>
        <w:rPr>
          <w:rFonts w:hint="eastAsia" w:hAnsi="宋体"/>
        </w:rPr>
        <w:t>前以书面形式要求采购人或采购代理机构对招标文件予以澄清；否则，由此产生的后果由投标人自行负责。</w:t>
      </w:r>
    </w:p>
    <w:p w14:paraId="1AE0D05B">
      <w:pPr>
        <w:spacing w:line="360" w:lineRule="auto"/>
        <w:ind w:firstLine="420" w:firstLineChars="200"/>
      </w:pPr>
      <w:r>
        <w:rPr>
          <w:rFonts w:hAnsi="宋体"/>
        </w:rPr>
        <w:t xml:space="preserve">11.3 </w:t>
      </w:r>
      <w:r>
        <w:rPr>
          <w:rFonts w:hint="eastAsia" w:hAnsi="宋体"/>
        </w:rPr>
        <w:t>采购人或者采购代理机构可以对已发出的招标文件进行必要的澄清或者修改。澄清或者修改的内容可能影响投标文件编制的，采购人或者采购代理机构应当在投标截止时间至少</w:t>
      </w:r>
      <w:r>
        <w:rPr>
          <w:rFonts w:hAnsi="宋体"/>
        </w:rPr>
        <w:t>15</w:t>
      </w:r>
      <w:r>
        <w:rPr>
          <w:rFonts w:hint="eastAsia" w:hAnsi="宋体"/>
        </w:rPr>
        <w:t>日前，以书面形式通知</w:t>
      </w:r>
      <w:r>
        <w:rPr>
          <w:rFonts w:hAnsi="宋体"/>
        </w:rPr>
        <w:t>(</w:t>
      </w:r>
      <w:r>
        <w:rPr>
          <w:rFonts w:hint="eastAsia" w:hAnsi="宋体"/>
        </w:rPr>
        <w:t>在“</w:t>
      </w:r>
      <w:r>
        <w:rPr>
          <w:rFonts w:hint="eastAsia" w:hAnsi="宋体"/>
          <w:szCs w:val="21"/>
        </w:rPr>
        <w:t>投标人须知前附表”</w:t>
      </w:r>
      <w:r>
        <w:rPr>
          <w:rFonts w:hint="eastAsia" w:hAnsi="宋体"/>
        </w:rPr>
        <w:t>规定的政府采购信息发布媒体上发布更正公告及平台短信通知</w:t>
      </w:r>
      <w:r>
        <w:rPr>
          <w:rFonts w:hAnsi="宋体"/>
        </w:rPr>
        <w:t>)</w:t>
      </w:r>
      <w:r>
        <w:rPr>
          <w:rFonts w:hint="eastAsia" w:hAnsi="宋体"/>
        </w:rPr>
        <w:t>所有获取招标文件的潜在投标人；不足</w:t>
      </w:r>
      <w:r>
        <w:rPr>
          <w:rFonts w:hAnsi="宋体"/>
        </w:rPr>
        <w:t>15</w:t>
      </w:r>
      <w:r>
        <w:rPr>
          <w:rFonts w:hint="eastAsia" w:hAnsi="宋体"/>
        </w:rPr>
        <w:t>日的，采购人或者采购代理机构应当顺延提交投标文件的截止时间。发出的澄清或者修改不影响投标文件编制的也应在截标前</w:t>
      </w:r>
      <w:r>
        <w:rPr>
          <w:rFonts w:hAnsi="宋体"/>
        </w:rPr>
        <w:t>3</w:t>
      </w:r>
      <w:r>
        <w:rPr>
          <w:rFonts w:hint="eastAsia" w:hAnsi="宋体"/>
        </w:rPr>
        <w:t>日发出。</w:t>
      </w:r>
    </w:p>
    <w:p w14:paraId="729EC465">
      <w:pPr>
        <w:spacing w:line="360" w:lineRule="auto"/>
        <w:ind w:firstLine="420" w:firstLineChars="200"/>
      </w:pPr>
      <w:r>
        <w:rPr>
          <w:rFonts w:hAnsi="宋体"/>
        </w:rPr>
        <w:t xml:space="preserve">11.4 </w:t>
      </w:r>
      <w:r>
        <w:rPr>
          <w:rFonts w:hint="eastAsia"/>
        </w:rPr>
        <w:t>采购人和采购代理机构可以视采购具体情况，变更投标截止时间和开标时间，将变更时间将在</w:t>
      </w:r>
      <w:r>
        <w:rPr>
          <w:rFonts w:hint="eastAsia" w:hAnsi="宋体"/>
        </w:rPr>
        <w:t>“</w:t>
      </w:r>
      <w:r>
        <w:rPr>
          <w:rFonts w:hint="eastAsia" w:hAnsi="宋体"/>
          <w:szCs w:val="21"/>
        </w:rPr>
        <w:t>投标人须知前附表”</w:t>
      </w:r>
      <w:r>
        <w:rPr>
          <w:rFonts w:hint="eastAsia" w:cs="宋体"/>
          <w:kern w:val="0"/>
          <w:szCs w:val="21"/>
        </w:rPr>
        <w:t>规定的政府采购信息发布媒体上</w:t>
      </w:r>
      <w:r>
        <w:rPr>
          <w:rFonts w:hint="eastAsia"/>
        </w:rPr>
        <w:t>发布更正公告。</w:t>
      </w:r>
    </w:p>
    <w:p w14:paraId="43675B6B">
      <w:pPr>
        <w:spacing w:line="360" w:lineRule="auto"/>
        <w:ind w:firstLine="420" w:firstLineChars="200"/>
        <w:rPr>
          <w:rFonts w:hAnsi="宋体"/>
        </w:rPr>
      </w:pPr>
      <w:r>
        <w:rPr>
          <w:rFonts w:hAnsi="宋体"/>
        </w:rPr>
        <w:t>11.5</w:t>
      </w:r>
      <w:r>
        <w:rPr>
          <w:rFonts w:hint="eastAsia" w:hAnsi="宋体"/>
        </w:rPr>
        <w:t>采购人或者采购代理机构可以在招标文件提供期限截止后，组织已获取招标文件的潜在投标人现场考察或者召开开标前答疑会，具体详见“投标人须知前附表”。</w:t>
      </w:r>
    </w:p>
    <w:p w14:paraId="4BB8E6E8">
      <w:pPr>
        <w:spacing w:line="400" w:lineRule="exact"/>
        <w:ind w:firstLine="643" w:firstLineChars="200"/>
        <w:jc w:val="center"/>
        <w:rPr>
          <w:b/>
          <w:bCs/>
          <w:sz w:val="32"/>
          <w:szCs w:val="32"/>
        </w:rPr>
      </w:pPr>
      <w:bookmarkStart w:id="29" w:name="_Toc110956111"/>
      <w:bookmarkStart w:id="30" w:name="_Toc89075996"/>
    </w:p>
    <w:p w14:paraId="42F82E9A">
      <w:pPr>
        <w:spacing w:line="400" w:lineRule="exact"/>
        <w:ind w:firstLine="643" w:firstLineChars="200"/>
        <w:jc w:val="center"/>
        <w:rPr>
          <w:b/>
          <w:bCs/>
          <w:sz w:val="32"/>
          <w:szCs w:val="32"/>
        </w:rPr>
      </w:pPr>
    </w:p>
    <w:p w14:paraId="5E4401D1">
      <w:pPr>
        <w:spacing w:line="400" w:lineRule="exact"/>
        <w:ind w:firstLine="643" w:firstLineChars="200"/>
        <w:jc w:val="center"/>
        <w:outlineLvl w:val="2"/>
        <w:rPr>
          <w:b/>
          <w:bCs/>
          <w:sz w:val="32"/>
          <w:szCs w:val="32"/>
        </w:rPr>
      </w:pPr>
      <w:bookmarkStart w:id="31" w:name="_Toc24324"/>
      <w:bookmarkStart w:id="32" w:name="_Toc32250"/>
      <w:r>
        <w:rPr>
          <w:rFonts w:hint="eastAsia"/>
          <w:b/>
          <w:bCs/>
          <w:sz w:val="32"/>
          <w:szCs w:val="32"/>
        </w:rPr>
        <w:t>三、投标文件的编制</w:t>
      </w:r>
      <w:bookmarkEnd w:id="29"/>
      <w:bookmarkEnd w:id="30"/>
      <w:bookmarkEnd w:id="31"/>
      <w:bookmarkEnd w:id="32"/>
    </w:p>
    <w:p w14:paraId="475F884F">
      <w:pPr>
        <w:spacing w:line="360" w:lineRule="auto"/>
        <w:ind w:firstLine="480" w:firstLineChars="200"/>
        <w:rPr>
          <w:rFonts w:ascii="黑体" w:hAnsi="黑体" w:eastAsia="黑体"/>
          <w:sz w:val="24"/>
        </w:rPr>
      </w:pPr>
      <w:r>
        <w:rPr>
          <w:rFonts w:hint="eastAsia" w:ascii="黑体" w:hAnsi="黑体" w:eastAsia="黑体"/>
          <w:sz w:val="24"/>
        </w:rPr>
        <w:t>12.投标文件的编制原则</w:t>
      </w:r>
    </w:p>
    <w:p w14:paraId="705CC413">
      <w:pPr>
        <w:spacing w:line="360" w:lineRule="auto"/>
        <w:ind w:firstLine="420" w:firstLineChars="200"/>
        <w:rPr>
          <w:rFonts w:ascii="宋体" w:hAnsi="宋体"/>
          <w:szCs w:val="21"/>
        </w:rPr>
      </w:pPr>
      <w:r>
        <w:rPr>
          <w:rFonts w:hint="eastAsia" w:ascii="宋体" w:hAnsi="宋体"/>
          <w:szCs w:val="21"/>
        </w:rPr>
        <w:t>12.1投标人必须按照招标文件的要求编制投标文件。投标文件必须对招标文件提出的要求和条件作出明确响应。</w:t>
      </w:r>
    </w:p>
    <w:p w14:paraId="1A160654">
      <w:pPr>
        <w:spacing w:line="360" w:lineRule="auto"/>
        <w:ind w:firstLine="420" w:firstLineChars="200"/>
        <w:rPr>
          <w:rFonts w:ascii="宋体" w:hAnsi="宋体"/>
          <w:szCs w:val="21"/>
        </w:rPr>
      </w:pPr>
      <w:r>
        <w:rPr>
          <w:rFonts w:hint="eastAsia" w:ascii="宋体" w:hAnsi="宋体"/>
          <w:szCs w:val="21"/>
        </w:rPr>
        <w:t>12.2投标人应根据自身实际情况如实响应招标文件，不得仅将招标文件内容简单复制粘贴作为投标响应，还应当提供相关证明材料，否则将作无效响应处理（定制采购项目不适用本条款）。对于重要技术条款或技术参数应当在投标文件中提供技术支持资料，技术支持资料以招标文件中规定的形式为准，否则将视为无效技术支持资料。</w:t>
      </w:r>
    </w:p>
    <w:p w14:paraId="475B645A">
      <w:pPr>
        <w:spacing w:line="360" w:lineRule="auto"/>
        <w:ind w:firstLine="480" w:firstLineChars="200"/>
        <w:rPr>
          <w:rFonts w:ascii="黑体" w:hAnsi="黑体" w:eastAsia="黑体"/>
          <w:sz w:val="24"/>
        </w:rPr>
      </w:pPr>
      <w:r>
        <w:rPr>
          <w:rFonts w:hint="eastAsia" w:ascii="黑体" w:hAnsi="黑体" w:eastAsia="黑体"/>
          <w:sz w:val="24"/>
        </w:rPr>
        <w:t>13.投标文件的组成</w:t>
      </w:r>
    </w:p>
    <w:p w14:paraId="6E81D4EA">
      <w:pPr>
        <w:spacing w:line="360" w:lineRule="auto"/>
        <w:ind w:firstLine="420" w:firstLineChars="200"/>
        <w:rPr>
          <w:rFonts w:ascii="宋体" w:hAnsi="宋体"/>
          <w:szCs w:val="21"/>
        </w:rPr>
      </w:pPr>
      <w:r>
        <w:rPr>
          <w:rFonts w:hint="eastAsia" w:ascii="宋体" w:hAnsi="宋体"/>
          <w:szCs w:val="21"/>
        </w:rPr>
        <w:t>13.1投标文件由报价文件、资格证明文件、商务文件、技术文件四部分组成。</w:t>
      </w:r>
    </w:p>
    <w:p w14:paraId="598B044D">
      <w:pPr>
        <w:spacing w:line="360" w:lineRule="auto"/>
        <w:ind w:firstLine="420" w:firstLineChars="200"/>
        <w:rPr>
          <w:rFonts w:ascii="宋体" w:hAnsi="宋体"/>
          <w:bCs/>
          <w:szCs w:val="21"/>
        </w:rPr>
      </w:pPr>
      <w:r>
        <w:rPr>
          <w:rFonts w:hint="eastAsia" w:ascii="宋体" w:hAnsi="宋体"/>
          <w:bCs/>
          <w:szCs w:val="21"/>
        </w:rPr>
        <w:t>（1）资格证明文件：具体材料见“投标人须知前附表”。</w:t>
      </w:r>
    </w:p>
    <w:p w14:paraId="622B44DA">
      <w:pPr>
        <w:spacing w:line="360" w:lineRule="auto"/>
        <w:ind w:firstLine="420" w:firstLineChars="200"/>
        <w:rPr>
          <w:rFonts w:ascii="宋体" w:hAnsi="宋体"/>
          <w:bCs/>
          <w:szCs w:val="21"/>
        </w:rPr>
      </w:pPr>
      <w:r>
        <w:rPr>
          <w:rFonts w:hint="eastAsia" w:ascii="宋体" w:hAnsi="宋体"/>
          <w:bCs/>
          <w:szCs w:val="21"/>
        </w:rPr>
        <w:t>（2）商务文件：具体材料见“投标人须知前附表”。</w:t>
      </w:r>
    </w:p>
    <w:p w14:paraId="4F9E0050">
      <w:pPr>
        <w:spacing w:line="360" w:lineRule="auto"/>
        <w:ind w:firstLine="420" w:firstLineChars="200"/>
        <w:rPr>
          <w:rFonts w:ascii="宋体" w:hAnsi="宋体"/>
          <w:bCs/>
          <w:szCs w:val="21"/>
        </w:rPr>
      </w:pPr>
      <w:r>
        <w:rPr>
          <w:rFonts w:hint="eastAsia" w:ascii="宋体" w:hAnsi="宋体"/>
          <w:bCs/>
          <w:szCs w:val="21"/>
        </w:rPr>
        <w:t>（3）技术文件：具体材料见“投标人须知前附表”。</w:t>
      </w:r>
    </w:p>
    <w:p w14:paraId="15646D7F">
      <w:pPr>
        <w:spacing w:line="360" w:lineRule="auto"/>
        <w:ind w:firstLine="420" w:firstLineChars="200"/>
        <w:rPr>
          <w:rFonts w:ascii="宋体" w:hAnsi="宋体"/>
          <w:bCs/>
          <w:szCs w:val="21"/>
        </w:rPr>
      </w:pPr>
      <w:r>
        <w:rPr>
          <w:rFonts w:hint="eastAsia" w:ascii="宋体" w:hAnsi="宋体"/>
          <w:bCs/>
          <w:szCs w:val="21"/>
        </w:rPr>
        <w:t>（4）报价文件：具体材料见“投标人须知前附表”。</w:t>
      </w:r>
    </w:p>
    <w:p w14:paraId="520D605A">
      <w:pPr>
        <w:spacing w:line="360" w:lineRule="auto"/>
        <w:ind w:firstLine="420" w:firstLineChars="200"/>
        <w:rPr>
          <w:rFonts w:ascii="宋体" w:hAnsi="宋体"/>
          <w:bCs/>
          <w:szCs w:val="21"/>
        </w:rPr>
      </w:pPr>
      <w:r>
        <w:rPr>
          <w:rFonts w:hint="eastAsia" w:ascii="宋体" w:hAnsi="宋体"/>
          <w:bCs/>
          <w:szCs w:val="21"/>
        </w:rPr>
        <w:t>13.2投标文件电子版：具体要求见本节19.投标文件编制。</w:t>
      </w:r>
    </w:p>
    <w:p w14:paraId="61E20BD2">
      <w:pPr>
        <w:spacing w:line="360" w:lineRule="auto"/>
        <w:ind w:firstLine="480" w:firstLineChars="200"/>
        <w:rPr>
          <w:rFonts w:ascii="黑体" w:hAnsi="黑体" w:eastAsia="黑体"/>
          <w:sz w:val="24"/>
        </w:rPr>
      </w:pPr>
      <w:r>
        <w:rPr>
          <w:rFonts w:hint="eastAsia" w:ascii="黑体" w:hAnsi="黑体" w:eastAsia="黑体"/>
          <w:sz w:val="24"/>
        </w:rPr>
        <w:t>14.投标文件的语言及计量</w:t>
      </w:r>
    </w:p>
    <w:p w14:paraId="0FD43865">
      <w:pPr>
        <w:spacing w:line="360" w:lineRule="auto"/>
        <w:ind w:firstLine="420" w:firstLineChars="200"/>
        <w:rPr>
          <w:rFonts w:ascii="宋体" w:hAnsi="宋体"/>
          <w:bCs/>
          <w:szCs w:val="21"/>
        </w:rPr>
      </w:pPr>
      <w:r>
        <w:rPr>
          <w:rFonts w:hint="eastAsia" w:ascii="宋体" w:hAnsi="宋体"/>
          <w:bCs/>
          <w:szCs w:val="21"/>
        </w:rPr>
        <w:t>14.1语言文字</w:t>
      </w:r>
    </w:p>
    <w:p w14:paraId="585B0685">
      <w:pPr>
        <w:spacing w:line="360" w:lineRule="auto"/>
        <w:ind w:firstLine="420" w:firstLineChars="200"/>
        <w:rPr>
          <w:rFonts w:ascii="宋体" w:hAnsi="宋体"/>
          <w:bCs/>
          <w:szCs w:val="21"/>
        </w:rPr>
      </w:pPr>
      <w:r>
        <w:rPr>
          <w:rFonts w:hint="eastAsia" w:ascii="宋体" w:hAnsi="宋体"/>
          <w:bCs/>
          <w:szCs w:val="21"/>
        </w:rPr>
        <w:t>投标文件以及投标人与采购人就有关投标事宜的所有来往函电，均应以中文书写（除专用术语外，与招标投标有关的语言均使用中文。必要时专用术语应附有中文注释）。投标人提交的支持文件和印刷的文献可以使用别的语言，但其相应内容应同时附中文翻译文本，在解释投标文件时以中文翻译文本为主。对不同文字文本投标文件的解释发生异议的，以中文文本为准。</w:t>
      </w:r>
    </w:p>
    <w:p w14:paraId="5E34CDFD">
      <w:pPr>
        <w:spacing w:line="360" w:lineRule="auto"/>
        <w:ind w:firstLine="420" w:firstLineChars="200"/>
        <w:rPr>
          <w:rFonts w:ascii="宋体" w:hAnsi="宋体"/>
          <w:bCs/>
          <w:szCs w:val="21"/>
        </w:rPr>
      </w:pPr>
      <w:r>
        <w:rPr>
          <w:rFonts w:hint="eastAsia" w:ascii="宋体" w:hAnsi="宋体"/>
          <w:bCs/>
          <w:szCs w:val="21"/>
        </w:rPr>
        <w:t>14.2投标计量单位</w:t>
      </w:r>
    </w:p>
    <w:p w14:paraId="422F3428">
      <w:pPr>
        <w:spacing w:line="360" w:lineRule="auto"/>
        <w:ind w:firstLine="420" w:firstLineChars="200"/>
        <w:rPr>
          <w:rFonts w:ascii="宋体" w:hAnsi="宋体"/>
          <w:bCs/>
          <w:szCs w:val="21"/>
        </w:rPr>
      </w:pPr>
      <w:r>
        <w:rPr>
          <w:rFonts w:hint="eastAsia" w:ascii="宋体" w:hAnsi="宋体"/>
          <w:bCs/>
          <w:szCs w:val="21"/>
        </w:rPr>
        <w:t>招标文件已有明确规定的，使用招标文件规定的计量单位；招标文件没有规定的，应采用中华人民共和国法定计量单位，货币种类为人民币，否则视同未响应。</w:t>
      </w:r>
    </w:p>
    <w:p w14:paraId="7D5B363A">
      <w:pPr>
        <w:spacing w:line="360" w:lineRule="auto"/>
        <w:ind w:firstLine="480" w:firstLineChars="200"/>
        <w:rPr>
          <w:rFonts w:ascii="黑体" w:hAnsi="黑体" w:eastAsia="黑体"/>
          <w:sz w:val="24"/>
        </w:rPr>
      </w:pPr>
      <w:r>
        <w:rPr>
          <w:rFonts w:hint="eastAsia" w:ascii="黑体" w:hAnsi="黑体" w:eastAsia="黑体"/>
          <w:sz w:val="24"/>
        </w:rPr>
        <w:t>15.投标的风险</w:t>
      </w:r>
    </w:p>
    <w:p w14:paraId="19DF21F2">
      <w:pPr>
        <w:spacing w:line="360" w:lineRule="auto"/>
        <w:ind w:firstLine="420" w:firstLineChars="200"/>
        <w:rPr>
          <w:rFonts w:hAnsi="宋体"/>
          <w:b/>
          <w:bCs/>
        </w:rPr>
      </w:pPr>
      <w:r>
        <w:rPr>
          <w:rFonts w:hint="eastAsia" w:hAnsi="宋体"/>
        </w:rPr>
        <w:t>投标文件分为资格文件、商务文件、技术文件、报价文件四部分（其中：商务文件与技术文件合并编辑成一个电子文档）。各投标人在编制投标文件时请按照招标文件规定的格式进行，混乱的编排导致投标文件被误读或评标委员会查找不到有效文件是投标人的风险。▲</w:t>
      </w:r>
      <w:r>
        <w:rPr>
          <w:rFonts w:hint="eastAsia" w:hAnsi="宋体"/>
          <w:b/>
          <w:bCs/>
        </w:rPr>
        <w:t>投标文件未按规定的格式编制的、没有按照招标文件要求提供全部资料、没有对招标文件作出实质性响应，投标无效；</w:t>
      </w:r>
    </w:p>
    <w:p w14:paraId="7494844B">
      <w:pPr>
        <w:spacing w:line="360" w:lineRule="auto"/>
        <w:ind w:firstLine="480" w:firstLineChars="200"/>
        <w:rPr>
          <w:rFonts w:ascii="黑体" w:hAnsi="黑体" w:eastAsia="黑体"/>
          <w:sz w:val="24"/>
        </w:rPr>
      </w:pPr>
      <w:r>
        <w:rPr>
          <w:rFonts w:hint="eastAsia" w:ascii="黑体" w:hAnsi="黑体" w:eastAsia="黑体"/>
          <w:sz w:val="24"/>
        </w:rPr>
        <w:t>16.投标报价</w:t>
      </w:r>
    </w:p>
    <w:p w14:paraId="14600139">
      <w:pPr>
        <w:spacing w:line="360" w:lineRule="auto"/>
        <w:ind w:firstLine="420" w:firstLineChars="200"/>
        <w:rPr>
          <w:rFonts w:ascii="宋体" w:hAnsi="宋体"/>
          <w:bCs/>
          <w:szCs w:val="21"/>
        </w:rPr>
      </w:pPr>
      <w:r>
        <w:rPr>
          <w:rFonts w:hint="eastAsia" w:ascii="宋体" w:hAnsi="宋体"/>
          <w:bCs/>
          <w:szCs w:val="21"/>
        </w:rPr>
        <w:t>16.1投标报价应</w:t>
      </w:r>
      <w:r>
        <w:rPr>
          <w:rFonts w:hint="eastAsia" w:ascii="宋体" w:hAnsi="宋体"/>
          <w:bCs/>
          <w:szCs w:val="20"/>
        </w:rPr>
        <w:t>按“第六章　投标文件格式”中“开标一览表”格式填写。</w:t>
      </w:r>
    </w:p>
    <w:p w14:paraId="748149D4">
      <w:pPr>
        <w:spacing w:line="360" w:lineRule="auto"/>
        <w:ind w:firstLine="420" w:firstLineChars="200"/>
        <w:rPr>
          <w:rFonts w:ascii="宋体" w:hAnsi="宋体"/>
          <w:bCs/>
          <w:szCs w:val="21"/>
        </w:rPr>
      </w:pPr>
      <w:r>
        <w:rPr>
          <w:rFonts w:hint="eastAsia" w:ascii="宋体" w:hAnsi="宋体"/>
          <w:bCs/>
          <w:szCs w:val="21"/>
        </w:rPr>
        <w:t>16.2投标报价具体包括内容详见“投标人须知前附表”。</w:t>
      </w:r>
    </w:p>
    <w:p w14:paraId="3362E0F0">
      <w:pPr>
        <w:spacing w:line="360" w:lineRule="auto"/>
        <w:ind w:firstLine="420" w:firstLineChars="200"/>
        <w:rPr>
          <w:rFonts w:ascii="宋体" w:hAnsi="宋体"/>
          <w:bCs/>
          <w:szCs w:val="21"/>
        </w:rPr>
      </w:pPr>
      <w:r>
        <w:rPr>
          <w:rFonts w:hint="eastAsia" w:ascii="宋体" w:hAnsi="宋体"/>
          <w:bCs/>
          <w:szCs w:val="21"/>
        </w:rPr>
        <w:t>16.3投标人必须就所投每个分标的全部内容分别作完整唯一总价报价，不得存在漏项报价；投标人必须就所投分标的单项内容作唯一报价。</w:t>
      </w:r>
    </w:p>
    <w:p w14:paraId="194D567B">
      <w:pPr>
        <w:spacing w:line="360" w:lineRule="auto"/>
        <w:ind w:firstLine="480" w:firstLineChars="200"/>
        <w:rPr>
          <w:rFonts w:ascii="黑体" w:hAnsi="黑体" w:eastAsia="黑体"/>
          <w:sz w:val="24"/>
        </w:rPr>
      </w:pPr>
      <w:r>
        <w:rPr>
          <w:rFonts w:hint="eastAsia" w:ascii="黑体" w:hAnsi="黑体" w:eastAsia="黑体"/>
          <w:sz w:val="24"/>
        </w:rPr>
        <w:t>17.投标有效期</w:t>
      </w:r>
    </w:p>
    <w:p w14:paraId="0BA668B5">
      <w:pPr>
        <w:spacing w:line="360" w:lineRule="auto"/>
        <w:ind w:firstLine="420" w:firstLineChars="200"/>
        <w:rPr>
          <w:rFonts w:ascii="宋体" w:hAnsi="宋体"/>
          <w:bCs/>
          <w:szCs w:val="21"/>
        </w:rPr>
      </w:pPr>
      <w:r>
        <w:rPr>
          <w:rFonts w:hint="eastAsia" w:ascii="宋体" w:hAnsi="宋体"/>
          <w:bCs/>
          <w:szCs w:val="21"/>
        </w:rPr>
        <w:t>17.1投标有效期是指为保证采购人有足够的时间在开标后完成评标、定标、合同签订等工作而要求投标人提交的投标文件在一定时间内保持有效的期限。</w:t>
      </w:r>
    </w:p>
    <w:p w14:paraId="0641C74C">
      <w:pPr>
        <w:spacing w:line="360" w:lineRule="auto"/>
        <w:ind w:firstLine="420" w:firstLineChars="200"/>
        <w:rPr>
          <w:rFonts w:ascii="宋体" w:hAnsi="宋体"/>
          <w:bCs/>
          <w:szCs w:val="21"/>
        </w:rPr>
      </w:pPr>
      <w:r>
        <w:rPr>
          <w:rFonts w:hint="eastAsia" w:ascii="宋体" w:hAnsi="宋体"/>
          <w:bCs/>
          <w:szCs w:val="21"/>
        </w:rPr>
        <w:t>17.2投标有效期应按规定的期限作出承诺，具体详见“投标人须知前附表”。</w:t>
      </w:r>
    </w:p>
    <w:p w14:paraId="53377CF5">
      <w:pPr>
        <w:spacing w:line="360" w:lineRule="auto"/>
        <w:ind w:firstLine="420" w:firstLineChars="200"/>
        <w:rPr>
          <w:rFonts w:ascii="宋体" w:hAnsi="宋体"/>
          <w:bCs/>
          <w:szCs w:val="21"/>
        </w:rPr>
      </w:pPr>
      <w:r>
        <w:rPr>
          <w:rFonts w:hint="eastAsia" w:ascii="宋体" w:hAnsi="宋体"/>
          <w:bCs/>
          <w:szCs w:val="21"/>
        </w:rPr>
        <w:t>17.3投标人的投标文件在投标有效期内均保持有效。</w:t>
      </w:r>
    </w:p>
    <w:p w14:paraId="04C93032">
      <w:pPr>
        <w:spacing w:line="360" w:lineRule="auto"/>
        <w:ind w:firstLine="480" w:firstLineChars="200"/>
        <w:rPr>
          <w:rFonts w:ascii="黑体" w:hAnsi="黑体" w:eastAsia="黑体"/>
          <w:sz w:val="24"/>
        </w:rPr>
      </w:pPr>
      <w:r>
        <w:rPr>
          <w:rFonts w:hint="eastAsia" w:ascii="黑体" w:hAnsi="黑体" w:eastAsia="黑体"/>
          <w:sz w:val="24"/>
        </w:rPr>
        <w:t>18.投标保证金</w:t>
      </w:r>
    </w:p>
    <w:p w14:paraId="087A5755">
      <w:pPr>
        <w:spacing w:line="360" w:lineRule="auto"/>
        <w:ind w:firstLine="420" w:firstLineChars="200"/>
        <w:rPr>
          <w:rFonts w:ascii="宋体" w:hAnsi="宋体"/>
          <w:bCs/>
          <w:szCs w:val="21"/>
        </w:rPr>
      </w:pPr>
      <w:r>
        <w:rPr>
          <w:rFonts w:hint="eastAsia" w:ascii="宋体" w:hAnsi="宋体"/>
          <w:bCs/>
          <w:szCs w:val="21"/>
        </w:rPr>
        <w:t>见“投标人须知前附表”。</w:t>
      </w:r>
    </w:p>
    <w:p w14:paraId="596F3223">
      <w:pPr>
        <w:spacing w:line="360" w:lineRule="auto"/>
        <w:ind w:firstLine="480" w:firstLineChars="200"/>
        <w:rPr>
          <w:rFonts w:ascii="黑体" w:hAnsi="黑体" w:eastAsia="黑体"/>
          <w:sz w:val="24"/>
        </w:rPr>
      </w:pPr>
      <w:r>
        <w:rPr>
          <w:rFonts w:hint="eastAsia" w:ascii="黑体" w:hAnsi="黑体" w:eastAsia="黑体"/>
          <w:sz w:val="24"/>
        </w:rPr>
        <w:t>19.投标文件的编制</w:t>
      </w:r>
    </w:p>
    <w:p w14:paraId="5AB366D6">
      <w:pPr>
        <w:spacing w:line="360" w:lineRule="auto"/>
        <w:ind w:firstLine="420" w:firstLineChars="200"/>
        <w:rPr>
          <w:rFonts w:hAnsi="宋体"/>
          <w:szCs w:val="21"/>
        </w:rPr>
      </w:pPr>
      <w:r>
        <w:rPr>
          <w:rFonts w:hAnsi="宋体"/>
          <w:szCs w:val="21"/>
        </w:rPr>
        <w:t>19.1</w:t>
      </w:r>
      <w:r>
        <w:rPr>
          <w:rFonts w:hint="eastAsia" w:hAnsi="宋体"/>
          <w:szCs w:val="21"/>
        </w:rPr>
        <w:t>投标文件编制要求详见“投标人须知前附表”。投标人应按本招标文件规定的格式和顺序编制、装订投标文件并标注页码，投标文件内容不完整、编排混乱导致投标文件被误读、漏读或者查找不到相关内容的，由此引发的后果由投标人承担。</w:t>
      </w:r>
    </w:p>
    <w:p w14:paraId="0BB171EF">
      <w:pPr>
        <w:adjustRightInd w:val="0"/>
        <w:snapToGrid w:val="0"/>
        <w:spacing w:line="360" w:lineRule="auto"/>
        <w:ind w:firstLine="420" w:firstLineChars="200"/>
        <w:rPr>
          <w:rFonts w:hAnsi="宋体"/>
          <w:szCs w:val="21"/>
        </w:rPr>
      </w:pPr>
      <w:r>
        <w:rPr>
          <w:rFonts w:hAnsi="宋体"/>
          <w:szCs w:val="21"/>
        </w:rPr>
        <w:t>19.2</w:t>
      </w:r>
      <w:r>
        <w:rPr>
          <w:rFonts w:hint="eastAsia" w:hAnsi="宋体"/>
          <w:szCs w:val="21"/>
        </w:rPr>
        <w:t>投标文件按照招标文件第六章格式要求在规定位置进行签署、盖章。投标人的投标文件未按照招标文件要求签署、盖章的，</w:t>
      </w:r>
      <w:r>
        <w:rPr>
          <w:rFonts w:hint="eastAsia" w:hAnsi="宋体"/>
          <w:b/>
          <w:szCs w:val="21"/>
        </w:rPr>
        <w:t>其投标无效。</w:t>
      </w:r>
      <w:r>
        <w:rPr>
          <w:rFonts w:hint="eastAsia" w:hAnsi="宋体"/>
          <w:szCs w:val="21"/>
        </w:rPr>
        <w:t>骑缝盖公章不视为在规定位置盖章。</w:t>
      </w:r>
    </w:p>
    <w:p w14:paraId="77A256BD">
      <w:pPr>
        <w:adjustRightInd w:val="0"/>
        <w:snapToGrid w:val="0"/>
        <w:spacing w:line="360" w:lineRule="auto"/>
        <w:ind w:firstLine="420" w:firstLineChars="200"/>
        <w:rPr>
          <w:rFonts w:hAnsi="宋体"/>
          <w:szCs w:val="21"/>
        </w:rPr>
      </w:pPr>
      <w:r>
        <w:rPr>
          <w:rFonts w:hAnsi="宋体"/>
          <w:szCs w:val="21"/>
        </w:rPr>
        <w:t>19.3</w:t>
      </w:r>
      <w:r>
        <w:rPr>
          <w:rFonts w:hint="eastAsia" w:hAnsi="宋体"/>
          <w:szCs w:val="21"/>
        </w:rPr>
        <w:t>为确保网上操作合法、有效和安全，投标人应当在投标截止时间前完成在“广西政府采购云平台”的身份认证，确保在电子投标过程中能够对相关数据电文进行加密和使用电子签名。</w:t>
      </w:r>
    </w:p>
    <w:p w14:paraId="2DE07F49">
      <w:pPr>
        <w:spacing w:line="360" w:lineRule="auto"/>
        <w:ind w:firstLine="422" w:firstLineChars="200"/>
        <w:rPr>
          <w:rFonts w:ascii="宋体" w:hAnsi="宋体"/>
          <w:b/>
          <w:szCs w:val="21"/>
        </w:rPr>
      </w:pPr>
      <w:r>
        <w:rPr>
          <w:rFonts w:hint="eastAsia" w:ascii="宋体" w:hAnsi="宋体"/>
          <w:b/>
          <w:szCs w:val="21"/>
        </w:rPr>
        <w:t>19.4投标文件中标注的投标人名称应与主体资格证明（如营业执照、事业单位法人证书、执业许可证、自然人身份证等）及公章一致，</w:t>
      </w:r>
      <w:r>
        <w:rPr>
          <w:rFonts w:hint="eastAsia" w:ascii="宋体" w:hAnsi="宋体"/>
          <w:szCs w:val="21"/>
        </w:rPr>
        <w:t>否则作无效投标处理</w:t>
      </w:r>
      <w:r>
        <w:rPr>
          <w:rFonts w:hint="eastAsia" w:ascii="宋体" w:hAnsi="宋体"/>
          <w:b/>
          <w:szCs w:val="21"/>
        </w:rPr>
        <w:t>。</w:t>
      </w:r>
    </w:p>
    <w:p w14:paraId="59DD71ED">
      <w:pPr>
        <w:spacing w:line="360" w:lineRule="auto"/>
        <w:ind w:firstLine="420" w:firstLineChars="200"/>
        <w:rPr>
          <w:rFonts w:ascii="宋体" w:hAnsi="宋体" w:cs="宋体"/>
          <w:b/>
          <w:szCs w:val="21"/>
        </w:rPr>
      </w:pPr>
      <w:r>
        <w:rPr>
          <w:rFonts w:hAnsi="宋体"/>
          <w:szCs w:val="21"/>
        </w:rPr>
        <w:t xml:space="preserve"> 19.5</w:t>
      </w:r>
      <w:r>
        <w:rPr>
          <w:rFonts w:hint="eastAsia" w:hAnsi="宋体"/>
          <w:szCs w:val="21"/>
        </w:rPr>
        <w:t>投标文件应避免涂改、行间插字或者删除，</w:t>
      </w:r>
      <w:r>
        <w:rPr>
          <w:rFonts w:hint="eastAsia" w:ascii="宋体" w:hAnsi="宋体" w:cs="宋体"/>
          <w:b/>
          <w:szCs w:val="21"/>
        </w:rPr>
        <w:t>否则其投标无效。</w:t>
      </w:r>
    </w:p>
    <w:p w14:paraId="6EE06601">
      <w:pPr>
        <w:spacing w:line="360" w:lineRule="auto"/>
        <w:ind w:firstLine="520" w:firstLineChars="248"/>
        <w:rPr>
          <w:rFonts w:hAnsi="宋体"/>
        </w:rPr>
      </w:pPr>
      <w:r>
        <w:rPr>
          <w:rFonts w:hAnsi="宋体"/>
        </w:rPr>
        <w:t xml:space="preserve">19.6 </w:t>
      </w:r>
      <w:r>
        <w:rPr>
          <w:rFonts w:hint="eastAsia" w:hAnsi="宋体"/>
        </w:rPr>
        <w:t>对招标文件的实质性要求和条件作出响应是指投标人必须对招标文件中标注为实质性要求和条件的</w:t>
      </w:r>
      <w:r>
        <w:rPr>
          <w:rFonts w:hint="eastAsia"/>
          <w:szCs w:val="21"/>
        </w:rPr>
        <w:t>货物内容及要求</w:t>
      </w:r>
      <w:r>
        <w:rPr>
          <w:rFonts w:hint="eastAsia" w:hAnsi="宋体"/>
        </w:rPr>
        <w:t>、商务条款及其它内容</w:t>
      </w:r>
      <w:r>
        <w:rPr>
          <w:rFonts w:hint="eastAsia"/>
          <w:b/>
        </w:rPr>
        <w:t>作出满足或者优于原要求和条件的承诺</w:t>
      </w:r>
      <w:r>
        <w:rPr>
          <w:rFonts w:hint="eastAsia"/>
        </w:rPr>
        <w:t>。</w:t>
      </w:r>
    </w:p>
    <w:p w14:paraId="022F1F02">
      <w:pPr>
        <w:spacing w:line="360" w:lineRule="auto"/>
        <w:ind w:firstLine="422" w:firstLineChars="200"/>
        <w:rPr>
          <w:rFonts w:ascii="宋体" w:hAnsi="宋体"/>
          <w:b/>
          <w:szCs w:val="21"/>
          <w:u w:val="single"/>
        </w:rPr>
      </w:pPr>
      <w:r>
        <w:rPr>
          <w:rFonts w:hint="eastAsia" w:ascii="宋体" w:hAnsi="宋体"/>
          <w:b/>
          <w:szCs w:val="21"/>
          <w:u w:val="single"/>
        </w:rPr>
        <w:t>19.7本项目为南宁市全流程电子化项目，异常情况见“第二节投标人须知正文”中“四、24.2开标程序。</w:t>
      </w:r>
    </w:p>
    <w:p w14:paraId="3BDD6D99">
      <w:pPr>
        <w:spacing w:line="360" w:lineRule="auto"/>
        <w:ind w:firstLine="480" w:firstLineChars="200"/>
        <w:rPr>
          <w:rFonts w:ascii="黑体" w:hAnsi="黑体" w:eastAsia="黑体"/>
          <w:sz w:val="24"/>
        </w:rPr>
      </w:pPr>
      <w:r>
        <w:rPr>
          <w:rFonts w:hint="eastAsia" w:ascii="黑体" w:hAnsi="黑体" w:eastAsia="黑体"/>
          <w:sz w:val="24"/>
        </w:rPr>
        <w:t>20.备份投标文件</w:t>
      </w:r>
    </w:p>
    <w:p w14:paraId="5EF049D3">
      <w:pPr>
        <w:spacing w:line="360" w:lineRule="auto"/>
        <w:ind w:firstLine="420" w:firstLineChars="200"/>
        <w:rPr>
          <w:rFonts w:ascii="黑体" w:hAnsi="黑体" w:eastAsia="黑体"/>
          <w:sz w:val="24"/>
        </w:rPr>
      </w:pPr>
      <w:r>
        <w:rPr>
          <w:rFonts w:hint="eastAsia" w:hAnsi="宋体"/>
          <w:bCs/>
          <w:szCs w:val="21"/>
        </w:rPr>
        <w:t>详见在“投标人须知前附表”。</w:t>
      </w:r>
    </w:p>
    <w:p w14:paraId="6237D2EF">
      <w:pPr>
        <w:spacing w:line="360" w:lineRule="auto"/>
        <w:ind w:firstLine="480" w:firstLineChars="200"/>
        <w:rPr>
          <w:rFonts w:ascii="黑体" w:hAnsi="黑体" w:eastAsia="黑体"/>
          <w:sz w:val="24"/>
        </w:rPr>
      </w:pPr>
      <w:r>
        <w:rPr>
          <w:rFonts w:hint="eastAsia" w:ascii="黑体" w:hAnsi="黑体" w:eastAsia="黑体"/>
          <w:sz w:val="24"/>
        </w:rPr>
        <w:t>21.投标文件的提交</w:t>
      </w:r>
    </w:p>
    <w:p w14:paraId="5A26EAAF">
      <w:pPr>
        <w:spacing w:line="360" w:lineRule="auto"/>
        <w:ind w:firstLine="420" w:firstLineChars="200"/>
        <w:rPr>
          <w:rFonts w:hAnsi="宋体"/>
          <w:b/>
        </w:rPr>
      </w:pPr>
      <w:r>
        <w:rPr>
          <w:rFonts w:hAnsi="宋体"/>
          <w:bCs/>
          <w:szCs w:val="21"/>
        </w:rPr>
        <w:t>21.1</w:t>
      </w:r>
      <w:r>
        <w:rPr>
          <w:rFonts w:hint="eastAsia" w:hAnsi="宋体"/>
          <w:bCs/>
          <w:szCs w:val="21"/>
        </w:rPr>
        <w:t>投标人必须在“投标人须知前附表”规定的投标文件接收时间和投标地点提交电子版投标文件。电子投标文件应在制作完成后，在投标截止时间前通过有效数字证书（</w:t>
      </w:r>
      <w:r>
        <w:rPr>
          <w:rFonts w:hAnsi="宋体"/>
          <w:bCs/>
          <w:szCs w:val="21"/>
        </w:rPr>
        <w:t>CA</w:t>
      </w:r>
      <w:r>
        <w:rPr>
          <w:rFonts w:hint="eastAsia" w:hAnsi="宋体"/>
          <w:bCs/>
          <w:szCs w:val="21"/>
        </w:rPr>
        <w:t xml:space="preserve">认证锁）进行电子签章、加密，然后通过网络将加密的电子投标文件递交至“广西政府采购云平台”。 </w:t>
      </w:r>
      <w:r>
        <w:rPr>
          <w:rFonts w:hint="eastAsia" w:hAnsi="宋体"/>
          <w:b/>
        </w:rPr>
        <w:t xml:space="preserve"> </w:t>
      </w:r>
    </w:p>
    <w:p w14:paraId="7AB348E4">
      <w:pPr>
        <w:spacing w:line="360" w:lineRule="auto"/>
        <w:ind w:firstLine="422" w:firstLineChars="200"/>
        <w:rPr>
          <w:rFonts w:ascii="宋体" w:hAnsi="宋体"/>
          <w:b/>
          <w:szCs w:val="20"/>
        </w:rPr>
      </w:pPr>
      <w:r>
        <w:rPr>
          <w:rFonts w:hint="eastAsia" w:ascii="宋体" w:hAnsi="宋体"/>
          <w:b/>
          <w:szCs w:val="21"/>
        </w:rPr>
        <w:t>21.2未在规定时间内提交或者未按照招标文件要求密封或者标记的电子投标文件，“广西政府采购云平台”将拒收。</w:t>
      </w:r>
    </w:p>
    <w:p w14:paraId="25A4CA72">
      <w:pPr>
        <w:spacing w:line="360" w:lineRule="auto"/>
        <w:ind w:firstLine="420" w:firstLineChars="200"/>
        <w:rPr>
          <w:rFonts w:ascii="宋体" w:hAnsi="宋体"/>
          <w:szCs w:val="21"/>
        </w:rPr>
      </w:pPr>
      <w:r>
        <w:rPr>
          <w:rFonts w:hint="eastAsia" w:ascii="宋体" w:hAnsi="宋体"/>
          <w:szCs w:val="21"/>
        </w:rPr>
        <w:t>21.3电子版投标文件提交方式见“招标公告”中“四、提交投标文件截止时间、开标时间和地点”</w:t>
      </w:r>
      <w:r>
        <w:rPr>
          <w:rFonts w:hint="eastAsia" w:ascii="宋体" w:hAnsi="宋体"/>
          <w:b/>
          <w:szCs w:val="21"/>
        </w:rPr>
        <w:t>。</w:t>
      </w:r>
    </w:p>
    <w:p w14:paraId="16AB01E4">
      <w:pPr>
        <w:spacing w:line="360" w:lineRule="auto"/>
        <w:ind w:firstLine="480" w:firstLineChars="200"/>
        <w:rPr>
          <w:rFonts w:ascii="黑体" w:hAnsi="黑体" w:eastAsia="黑体"/>
          <w:sz w:val="24"/>
        </w:rPr>
      </w:pPr>
      <w:r>
        <w:rPr>
          <w:rFonts w:hint="eastAsia" w:ascii="黑体" w:hAnsi="黑体" w:eastAsia="黑体"/>
          <w:sz w:val="24"/>
        </w:rPr>
        <w:t>22. 投标文件的补充、修改、撤回与退回</w:t>
      </w:r>
    </w:p>
    <w:p w14:paraId="558FA9B8">
      <w:pPr>
        <w:spacing w:line="360" w:lineRule="auto"/>
        <w:ind w:firstLine="420" w:firstLineChars="200"/>
        <w:rPr>
          <w:rFonts w:ascii="黑体" w:hAnsi="黑体" w:eastAsia="黑体"/>
          <w:sz w:val="24"/>
        </w:rPr>
      </w:pPr>
      <w:r>
        <w:rPr>
          <w:rFonts w:hint="eastAsia" w:ascii="宋体" w:hAnsi="宋体" w:cs="宋体"/>
          <w:szCs w:val="21"/>
        </w:rPr>
        <w:t>22.1 投标人应当在投标截止时间前完成投标文件的传输递交，并可以补充、修改或者撤回投标文件。补充或者修改投标文件的，应当先行撤回原文件，补充、修改后重新传输递交。投标截止时间前未完成传输的，视为撤回投标文件。投标截止时间后递交的投标文件，“广西政府采购云平台”将拒收。（补充、修改或者撤回方式见公告附件“电子投标文件制作与投送教程”）</w:t>
      </w:r>
    </w:p>
    <w:p w14:paraId="57B6F234">
      <w:pPr>
        <w:adjustRightInd w:val="0"/>
        <w:spacing w:line="360" w:lineRule="auto"/>
        <w:ind w:firstLine="420" w:firstLineChars="200"/>
        <w:rPr>
          <w:rFonts w:ascii="宋体" w:hAnsi="宋体" w:cs="宋体"/>
          <w:szCs w:val="21"/>
        </w:rPr>
      </w:pPr>
      <w:r>
        <w:rPr>
          <w:rFonts w:hint="eastAsia" w:ascii="宋体" w:hAnsi="宋体" w:cs="宋体"/>
          <w:szCs w:val="21"/>
        </w:rPr>
        <w:t>22.2“广西政府采购云平台”收到投标文件，将妥善保存并即时向投标人发出确认回执通知。在投标截止时间前，除投标人补充、修改或者撤回投标文件外，任何单位和个人不得解密或提取投标文件。</w:t>
      </w:r>
    </w:p>
    <w:p w14:paraId="0226CBAC">
      <w:pPr>
        <w:spacing w:line="360" w:lineRule="auto"/>
        <w:ind w:firstLine="420" w:firstLineChars="200"/>
        <w:rPr>
          <w:rFonts w:ascii="宋体" w:hAnsi="宋体" w:cs="宋体"/>
          <w:szCs w:val="21"/>
        </w:rPr>
      </w:pPr>
      <w:r>
        <w:rPr>
          <w:rFonts w:hint="eastAsia" w:ascii="宋体" w:hAnsi="宋体" w:cs="宋体"/>
          <w:szCs w:val="21"/>
        </w:rPr>
        <w:t>22.3在投标截止时间止提交电子版投标文件的投标人不足3家时，电子版投标文件由代理机构在“广西政府采购云平台”平台操作退回，除此之外采购人和采购代理机构对已提交的投标文件概不退回。</w:t>
      </w:r>
    </w:p>
    <w:p w14:paraId="76950EE8">
      <w:pPr>
        <w:snapToGrid w:val="0"/>
        <w:spacing w:line="400" w:lineRule="exact"/>
        <w:ind w:firstLine="739"/>
        <w:rPr>
          <w:rFonts w:ascii="宋体" w:hAnsi="宋体"/>
          <w:snapToGrid w:val="0"/>
          <w:spacing w:val="-4"/>
          <w:szCs w:val="21"/>
        </w:rPr>
      </w:pPr>
    </w:p>
    <w:p w14:paraId="6B08BC6B">
      <w:pPr>
        <w:spacing w:line="400" w:lineRule="exact"/>
        <w:ind w:firstLine="643" w:firstLineChars="200"/>
        <w:jc w:val="center"/>
        <w:outlineLvl w:val="2"/>
        <w:rPr>
          <w:b/>
          <w:bCs/>
          <w:sz w:val="32"/>
          <w:szCs w:val="32"/>
        </w:rPr>
      </w:pPr>
      <w:bookmarkStart w:id="33" w:name="_Toc89075997"/>
      <w:bookmarkStart w:id="34" w:name="_Toc5909"/>
      <w:bookmarkStart w:id="35" w:name="_Toc110956112"/>
      <w:bookmarkStart w:id="36" w:name="_Toc22094"/>
      <w:r>
        <w:rPr>
          <w:rFonts w:hint="eastAsia"/>
          <w:b/>
          <w:bCs/>
          <w:sz w:val="32"/>
          <w:szCs w:val="32"/>
        </w:rPr>
        <w:t>四、开标</w:t>
      </w:r>
      <w:bookmarkEnd w:id="33"/>
      <w:bookmarkEnd w:id="34"/>
      <w:bookmarkEnd w:id="35"/>
      <w:bookmarkEnd w:id="36"/>
    </w:p>
    <w:p w14:paraId="31CD6F9A">
      <w:pPr>
        <w:spacing w:line="360" w:lineRule="auto"/>
        <w:ind w:firstLine="480" w:firstLineChars="200"/>
        <w:rPr>
          <w:rFonts w:ascii="黑体" w:hAnsi="黑体" w:eastAsia="黑体"/>
          <w:sz w:val="24"/>
        </w:rPr>
      </w:pPr>
      <w:r>
        <w:rPr>
          <w:rFonts w:hint="eastAsia" w:ascii="黑体" w:hAnsi="黑体" w:eastAsia="黑体"/>
          <w:sz w:val="24"/>
        </w:rPr>
        <w:t>23.开标时间和地点</w:t>
      </w:r>
    </w:p>
    <w:p w14:paraId="451A0AF1">
      <w:pPr>
        <w:spacing w:line="360" w:lineRule="auto"/>
        <w:ind w:firstLine="420" w:firstLineChars="200"/>
        <w:rPr>
          <w:rFonts w:hAnsi="宋体"/>
          <w:bCs/>
        </w:rPr>
      </w:pPr>
      <w:r>
        <w:rPr>
          <w:rFonts w:hAnsi="宋体"/>
          <w:bCs/>
        </w:rPr>
        <w:t>23.1</w:t>
      </w:r>
      <w:r>
        <w:rPr>
          <w:rFonts w:hint="eastAsia" w:hAnsi="宋体"/>
          <w:bCs/>
        </w:rPr>
        <w:t>开标时间及地点详见“投标人须知前附表”</w:t>
      </w:r>
    </w:p>
    <w:p w14:paraId="51388EAD">
      <w:pPr>
        <w:spacing w:line="360" w:lineRule="auto"/>
        <w:ind w:firstLine="420" w:firstLineChars="200"/>
      </w:pPr>
      <w:r>
        <w:rPr>
          <w:rFonts w:hAnsi="宋体"/>
        </w:rPr>
        <w:t>23.2</w:t>
      </w:r>
      <w:r>
        <w:rPr>
          <w:rFonts w:hint="eastAsia" w:hAnsi="宋体"/>
        </w:rPr>
        <w:t>如</w:t>
      </w:r>
      <w:r>
        <w:rPr>
          <w:rFonts w:hint="eastAsia" w:hAnsi="宋体"/>
          <w:bCs/>
        </w:rPr>
        <w:t>投标人成功解密投标文件，但未在</w:t>
      </w:r>
      <w:r>
        <w:rPr>
          <w:rFonts w:hint="eastAsia" w:ascii="宋体" w:hAnsi="宋体"/>
          <w:bCs/>
          <w:szCs w:val="21"/>
        </w:rPr>
        <w:t>“广西政府采购云平台”</w:t>
      </w:r>
      <w:r>
        <w:rPr>
          <w:rFonts w:hint="eastAsia" w:hAnsi="宋体"/>
          <w:bCs/>
        </w:rPr>
        <w:t>电子开标大厅参加开标的，视同认可开标过程和结果，</w:t>
      </w:r>
      <w:r>
        <w:rPr>
          <w:rFonts w:hint="eastAsia" w:hAnsi="宋体"/>
        </w:rPr>
        <w:t>由此产生的后果由投标人自行负责。</w:t>
      </w:r>
      <w:r>
        <w:rPr>
          <w:rFonts w:hint="eastAsia"/>
        </w:rPr>
        <w:t>投标人不足</w:t>
      </w:r>
      <w:r>
        <w:t>3</w:t>
      </w:r>
      <w:r>
        <w:rPr>
          <w:rFonts w:hint="eastAsia"/>
        </w:rPr>
        <w:t>家的，不得开标。</w:t>
      </w:r>
    </w:p>
    <w:p w14:paraId="28A46956">
      <w:pPr>
        <w:spacing w:line="360" w:lineRule="auto"/>
        <w:ind w:firstLine="480" w:firstLineChars="200"/>
        <w:rPr>
          <w:rFonts w:ascii="黑体" w:hAnsi="黑体" w:eastAsia="黑体"/>
          <w:sz w:val="24"/>
        </w:rPr>
      </w:pPr>
      <w:r>
        <w:rPr>
          <w:rFonts w:hint="eastAsia" w:ascii="黑体" w:hAnsi="黑体" w:eastAsia="黑体"/>
          <w:sz w:val="24"/>
        </w:rPr>
        <w:t>24.开标程序</w:t>
      </w:r>
    </w:p>
    <w:p w14:paraId="571A5992">
      <w:pPr>
        <w:autoSpaceDE w:val="0"/>
        <w:autoSpaceDN w:val="0"/>
        <w:adjustRightInd w:val="0"/>
        <w:spacing w:line="440" w:lineRule="exact"/>
        <w:ind w:firstLine="420" w:firstLineChars="200"/>
        <w:rPr>
          <w:rFonts w:ascii="宋体" w:hAnsi="宋体"/>
          <w:kern w:val="0"/>
          <w:szCs w:val="21"/>
        </w:rPr>
      </w:pPr>
      <w:r>
        <w:rPr>
          <w:rFonts w:hint="eastAsia" w:ascii="宋体" w:hAnsi="宋体"/>
          <w:bCs/>
          <w:szCs w:val="21"/>
        </w:rPr>
        <w:t>24.1</w:t>
      </w:r>
      <w:r>
        <w:rPr>
          <w:rFonts w:hint="eastAsia" w:ascii="宋体" w:hAnsi="宋体"/>
          <w:kern w:val="0"/>
          <w:szCs w:val="21"/>
        </w:rPr>
        <w:t>开标形式：</w:t>
      </w:r>
    </w:p>
    <w:p w14:paraId="2FD97029">
      <w:pPr>
        <w:autoSpaceDE w:val="0"/>
        <w:autoSpaceDN w:val="0"/>
        <w:adjustRightInd w:val="0"/>
        <w:spacing w:line="440" w:lineRule="exact"/>
        <w:ind w:firstLine="420" w:firstLineChars="200"/>
        <w:rPr>
          <w:rFonts w:ascii="宋体" w:hAnsi="宋体"/>
          <w:bCs/>
          <w:szCs w:val="21"/>
        </w:rPr>
      </w:pPr>
      <w:r>
        <w:rPr>
          <w:rFonts w:hint="eastAsia" w:ascii="宋体" w:hAnsi="宋体"/>
          <w:szCs w:val="21"/>
        </w:rPr>
        <w:t>（1）</w:t>
      </w:r>
      <w:r>
        <w:rPr>
          <w:rFonts w:hint="eastAsia" w:ascii="宋体" w:hAnsi="宋体"/>
          <w:bCs/>
          <w:szCs w:val="21"/>
        </w:rPr>
        <w:t>开标的准备工作由采购代理机构负责落实，采购代理机构必须基于“广西政府采购云平台”选取评审专家，如采购代理机构未按规定选取专家的，视为本次开评标无效，应当重新采购；</w:t>
      </w:r>
    </w:p>
    <w:p w14:paraId="10700B27">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采购代理机构将按照招标文件规定的时间通过“广西政府采购云平台”组织线上开标活动、开启投标文件，所有投标人均应当准时在线参加。投标人如不参加开标大会的，视同认可开标结果，事后不得对采购相关人员、开标过程和开标结果提出异议，同时投标人因未在线参加开标而导致投标文件无法按时解密等一切后果由投标人自己承担。</w:t>
      </w:r>
    </w:p>
    <w:p w14:paraId="51CDFF72">
      <w:pPr>
        <w:autoSpaceDE w:val="0"/>
        <w:autoSpaceDN w:val="0"/>
        <w:adjustRightInd w:val="0"/>
        <w:spacing w:line="440" w:lineRule="exact"/>
        <w:ind w:firstLine="420" w:firstLineChars="200"/>
        <w:rPr>
          <w:rFonts w:ascii="宋体" w:hAnsi="宋体"/>
          <w:bCs/>
          <w:szCs w:val="21"/>
        </w:rPr>
      </w:pPr>
      <w:r>
        <w:rPr>
          <w:rFonts w:hint="eastAsia" w:ascii="宋体" w:hAnsi="宋体"/>
          <w:bCs/>
          <w:szCs w:val="21"/>
        </w:rPr>
        <w:t>24.2开标程序：</w:t>
      </w:r>
    </w:p>
    <w:p w14:paraId="2EB3E204">
      <w:pPr>
        <w:snapToGrid w:val="0"/>
        <w:spacing w:line="440" w:lineRule="exact"/>
        <w:ind w:firstLine="422" w:firstLineChars="200"/>
        <w:rPr>
          <w:rFonts w:ascii="宋体" w:hAnsi="宋体"/>
          <w:szCs w:val="21"/>
        </w:rPr>
      </w:pPr>
      <w:r>
        <w:rPr>
          <w:rFonts w:hint="eastAsia" w:ascii="宋体" w:hAnsi="宋体"/>
          <w:b/>
          <w:szCs w:val="21"/>
        </w:rPr>
        <w:t>（1）解密电子投标文件。</w:t>
      </w:r>
      <w:r>
        <w:rPr>
          <w:rFonts w:hint="eastAsia" w:ascii="宋体" w:hAnsi="宋体"/>
          <w:bCs/>
          <w:szCs w:val="21"/>
        </w:rPr>
        <w:t>“广西政府采购云平台”</w:t>
      </w:r>
      <w:r>
        <w:rPr>
          <w:rFonts w:hint="eastAsia" w:ascii="宋体" w:hAnsi="宋体" w:cs="仿宋_GB2312"/>
          <w:szCs w:val="21"/>
        </w:rPr>
        <w:t>按开标时间自动提取所有投标文件。采购代理机构依托</w:t>
      </w:r>
      <w:r>
        <w:rPr>
          <w:rFonts w:hint="eastAsia" w:ascii="宋体" w:hAnsi="宋体"/>
          <w:bCs/>
          <w:szCs w:val="21"/>
        </w:rPr>
        <w:t>“广西政府采购云平台”</w:t>
      </w:r>
      <w:r>
        <w:rPr>
          <w:rFonts w:hint="eastAsia" w:ascii="宋体" w:hAnsi="宋体"/>
          <w:szCs w:val="21"/>
        </w:rPr>
        <w:t>向各投标人发出电子加密投标文件【开始解密】通知，由投标人按招标文件规定的时间内自行进行投标文件解密。投标人的法定代表人或其委托代理人</w:t>
      </w:r>
      <w:r>
        <w:rPr>
          <w:rFonts w:hint="eastAsia" w:ascii="宋体" w:hAnsi="宋体"/>
          <w:b/>
          <w:szCs w:val="21"/>
        </w:rPr>
        <w:t>须携带加密时所用的CA锁准时登录到“广西政府采购云平台”电子开标大厅签到并对电子投标文件解密</w:t>
      </w:r>
      <w:r>
        <w:rPr>
          <w:rFonts w:hint="eastAsia" w:ascii="宋体" w:hAnsi="宋体"/>
          <w:szCs w:val="21"/>
        </w:rPr>
        <w:t>。开标后5分钟投标人还未进行解密的，代理机构要通知投标人。通知后，</w:t>
      </w:r>
      <w:r>
        <w:rPr>
          <w:rFonts w:hint="eastAsia" w:ascii="宋体" w:hAnsi="宋体" w:cs="仿宋_GB2312"/>
          <w:szCs w:val="21"/>
        </w:rPr>
        <w:t>投标文件仍未按时解密，</w:t>
      </w:r>
      <w:r>
        <w:rPr>
          <w:rFonts w:hint="eastAsia" w:ascii="宋体" w:hAnsi="宋体"/>
          <w:szCs w:val="21"/>
        </w:rPr>
        <w:t>或者投标人没预留联系方式或预留联系方式无效，导致代理机构无法联系到投标人进行解密的，</w:t>
      </w:r>
      <w:r>
        <w:rPr>
          <w:rFonts w:hint="eastAsia" w:ascii="宋体" w:hAnsi="宋体"/>
          <w:b/>
          <w:szCs w:val="21"/>
        </w:rPr>
        <w:t>均视为无效投标。</w:t>
      </w:r>
    </w:p>
    <w:p w14:paraId="151126C4">
      <w:pPr>
        <w:snapToGrid w:val="0"/>
        <w:spacing w:line="440" w:lineRule="exact"/>
        <w:ind w:firstLine="420" w:firstLineChars="200"/>
        <w:rPr>
          <w:rFonts w:ascii="宋体" w:hAnsi="宋体"/>
          <w:szCs w:val="21"/>
        </w:rPr>
      </w:pPr>
      <w:r>
        <w:rPr>
          <w:rFonts w:hint="eastAsia" w:ascii="宋体" w:hAnsi="宋体"/>
          <w:szCs w:val="21"/>
        </w:rPr>
        <w:t>（解密</w:t>
      </w:r>
      <w:r>
        <w:rPr>
          <w:rFonts w:hint="eastAsia" w:ascii="宋体" w:hAnsi="宋体"/>
          <w:bCs/>
          <w:szCs w:val="21"/>
        </w:rPr>
        <w:t>异常情况处理：详见本章</w:t>
      </w:r>
      <w:r>
        <w:rPr>
          <w:rFonts w:hint="eastAsia" w:ascii="宋体" w:hAnsi="宋体"/>
          <w:szCs w:val="20"/>
        </w:rPr>
        <w:t>29.3 电子交易活动的中止。</w:t>
      </w:r>
      <w:r>
        <w:rPr>
          <w:rFonts w:hint="eastAsia" w:ascii="宋体" w:hAnsi="宋体"/>
          <w:szCs w:val="21"/>
        </w:rPr>
        <w:t>）</w:t>
      </w:r>
    </w:p>
    <w:p w14:paraId="1C526E8C">
      <w:pPr>
        <w:spacing w:line="360" w:lineRule="auto"/>
        <w:ind w:firstLine="420" w:firstLineChars="200"/>
        <w:rPr>
          <w:rFonts w:ascii="宋体" w:hAnsi="宋体"/>
          <w:szCs w:val="21"/>
        </w:rPr>
      </w:pPr>
      <w:r>
        <w:rPr>
          <w:rFonts w:hint="eastAsia" w:ascii="宋体" w:hAnsi="宋体"/>
          <w:szCs w:val="21"/>
        </w:rPr>
        <w:t>（2）</w:t>
      </w:r>
      <w:r>
        <w:rPr>
          <w:rFonts w:hint="eastAsia" w:ascii="宋体" w:hAnsi="宋体"/>
          <w:b/>
          <w:szCs w:val="21"/>
        </w:rPr>
        <w:t>电子唱标。</w:t>
      </w:r>
      <w:r>
        <w:rPr>
          <w:rFonts w:hint="eastAsia" w:ascii="宋体" w:hAnsi="宋体"/>
          <w:szCs w:val="21"/>
        </w:rPr>
        <w:t>投标文件解密结束，各投标人报价均在</w:t>
      </w:r>
      <w:r>
        <w:rPr>
          <w:rFonts w:hint="eastAsia" w:ascii="宋体" w:hAnsi="宋体"/>
          <w:bCs/>
          <w:szCs w:val="21"/>
        </w:rPr>
        <w:t>“广西政府采购云平台”</w:t>
      </w:r>
      <w:r>
        <w:rPr>
          <w:rFonts w:hint="eastAsia" w:ascii="宋体" w:hAnsi="宋体"/>
          <w:szCs w:val="21"/>
        </w:rPr>
        <w:t>远程不见面开标大厅展示；</w:t>
      </w:r>
    </w:p>
    <w:p w14:paraId="7A883D30">
      <w:pPr>
        <w:spacing w:line="360" w:lineRule="auto"/>
        <w:ind w:firstLine="420" w:firstLineChars="200"/>
        <w:rPr>
          <w:rFonts w:ascii="宋体" w:hAnsi="宋体"/>
          <w:szCs w:val="21"/>
        </w:rPr>
      </w:pPr>
      <w:r>
        <w:rPr>
          <w:rFonts w:hint="eastAsia" w:ascii="宋体" w:hAnsi="宋体"/>
          <w:szCs w:val="21"/>
        </w:rPr>
        <w:t>（3）</w:t>
      </w:r>
      <w:r>
        <w:rPr>
          <w:rFonts w:hint="eastAsia" w:ascii="宋体" w:hAnsi="宋体"/>
          <w:b/>
          <w:szCs w:val="21"/>
        </w:rPr>
        <w:t>签署电子《政府采购活动现场确认声明书》。</w:t>
      </w:r>
      <w:r>
        <w:rPr>
          <w:rFonts w:hint="eastAsia" w:ascii="宋体" w:hAnsi="宋体"/>
          <w:szCs w:val="21"/>
        </w:rPr>
        <w:t>通过邮件形式在远程不见面开标大厅发送各投标人签署电子《政府采购活动现场确认声明书》。</w:t>
      </w:r>
    </w:p>
    <w:p w14:paraId="7D94C186">
      <w:pPr>
        <w:spacing w:line="360" w:lineRule="auto"/>
        <w:ind w:firstLine="420" w:firstLineChars="200"/>
        <w:rPr>
          <w:rFonts w:ascii="宋体" w:hAnsi="宋体"/>
          <w:bCs/>
          <w:szCs w:val="21"/>
        </w:rPr>
      </w:pPr>
      <w:r>
        <w:rPr>
          <w:rFonts w:hint="eastAsia" w:ascii="宋体" w:hAnsi="宋体"/>
          <w:bCs/>
          <w:szCs w:val="21"/>
        </w:rPr>
        <w:t>（4）开标过程由采购代理机构如实记录，并电子留痕，由参加电子开标的各投标人代表对电子开标记录在开标记录公布后15分钟内进行当场校核及勘误，并线上确认，未确认的视同认可开标结果。</w:t>
      </w:r>
    </w:p>
    <w:p w14:paraId="2F0D5DD2">
      <w:pPr>
        <w:spacing w:line="360" w:lineRule="auto"/>
        <w:ind w:firstLine="420" w:firstLineChars="200"/>
        <w:rPr>
          <w:rFonts w:ascii="宋体" w:hAnsi="宋体"/>
          <w:bCs/>
          <w:szCs w:val="21"/>
        </w:rPr>
      </w:pPr>
      <w:r>
        <w:rPr>
          <w:rFonts w:hint="eastAsia" w:ascii="宋体" w:hAnsi="宋体"/>
          <w:bCs/>
          <w:szCs w:val="21"/>
        </w:rPr>
        <w:t>（5）投标人代表对开标过程和开标记录有疑义，以及认为采购人、采购代理机构相关工作人员有需要回避的情形的，应当场提出在线询问或者回避申请。采购人、采购代理机构对投标人代表提出的询问或者回避申请应当及时处理。</w:t>
      </w:r>
    </w:p>
    <w:p w14:paraId="28724694">
      <w:pPr>
        <w:spacing w:line="360" w:lineRule="auto"/>
        <w:ind w:firstLine="420" w:firstLineChars="200"/>
        <w:rPr>
          <w:rFonts w:ascii="宋体" w:hAnsi="宋体"/>
          <w:bCs/>
          <w:szCs w:val="21"/>
        </w:rPr>
      </w:pPr>
      <w:r>
        <w:rPr>
          <w:rFonts w:hint="eastAsia" w:ascii="宋体" w:hAnsi="宋体"/>
          <w:bCs/>
          <w:szCs w:val="21"/>
        </w:rPr>
        <w:t>（6）开标结束。</w:t>
      </w:r>
    </w:p>
    <w:p w14:paraId="514592C0">
      <w:pPr>
        <w:snapToGrid w:val="0"/>
        <w:spacing w:line="440" w:lineRule="exact"/>
        <w:ind w:firstLine="422" w:firstLineChars="200"/>
        <w:rPr>
          <w:rFonts w:ascii="宋体" w:hAnsi="宋体"/>
          <w:szCs w:val="21"/>
        </w:rPr>
      </w:pPr>
      <w:r>
        <w:rPr>
          <w:rFonts w:hint="eastAsia" w:ascii="宋体" w:hAnsi="宋体"/>
          <w:b/>
          <w:bCs/>
          <w:szCs w:val="21"/>
        </w:rPr>
        <w:t>特别说明：</w:t>
      </w:r>
      <w:r>
        <w:rPr>
          <w:rFonts w:hint="eastAsia" w:ascii="宋体" w:hAnsi="宋体"/>
          <w:szCs w:val="21"/>
        </w:rPr>
        <w:t>如遇</w:t>
      </w:r>
      <w:r>
        <w:rPr>
          <w:rFonts w:hint="eastAsia" w:ascii="宋体" w:hAnsi="宋体"/>
          <w:bCs/>
          <w:szCs w:val="21"/>
        </w:rPr>
        <w:t>“广西政府采购云平台”</w:t>
      </w:r>
      <w:r>
        <w:rPr>
          <w:rFonts w:hint="eastAsia" w:ascii="宋体" w:hAnsi="宋体"/>
          <w:szCs w:val="21"/>
        </w:rPr>
        <w:t>电子化开标或评审程序调整的，按调整后执行。</w:t>
      </w:r>
    </w:p>
    <w:p w14:paraId="7571E727">
      <w:pPr>
        <w:snapToGrid w:val="0"/>
        <w:spacing w:line="400" w:lineRule="exact"/>
        <w:ind w:left="689" w:leftChars="228" w:hanging="210" w:hangingChars="100"/>
        <w:rPr>
          <w:rFonts w:ascii="宋体" w:hAnsi="宋体"/>
          <w:szCs w:val="20"/>
        </w:rPr>
      </w:pPr>
    </w:p>
    <w:p w14:paraId="753D986E">
      <w:pPr>
        <w:spacing w:line="400" w:lineRule="exact"/>
        <w:ind w:firstLine="643" w:firstLineChars="200"/>
        <w:jc w:val="center"/>
        <w:outlineLvl w:val="2"/>
        <w:rPr>
          <w:b/>
          <w:bCs/>
          <w:sz w:val="32"/>
          <w:szCs w:val="32"/>
        </w:rPr>
      </w:pPr>
      <w:bookmarkStart w:id="37" w:name="_Toc110956113"/>
      <w:bookmarkStart w:id="38" w:name="_Toc25923"/>
      <w:bookmarkStart w:id="39" w:name="_Toc89075998"/>
      <w:bookmarkStart w:id="40" w:name="_Toc12685"/>
      <w:r>
        <w:rPr>
          <w:rFonts w:hint="eastAsia"/>
          <w:b/>
          <w:bCs/>
          <w:sz w:val="32"/>
          <w:szCs w:val="32"/>
        </w:rPr>
        <w:t>五、资格审查</w:t>
      </w:r>
      <w:bookmarkEnd w:id="37"/>
      <w:bookmarkEnd w:id="38"/>
      <w:bookmarkEnd w:id="39"/>
      <w:bookmarkEnd w:id="40"/>
    </w:p>
    <w:p w14:paraId="5F1DDF61">
      <w:pPr>
        <w:spacing w:line="360" w:lineRule="auto"/>
        <w:ind w:firstLine="482" w:firstLineChars="200"/>
        <w:rPr>
          <w:rFonts w:ascii="黑体" w:hAnsi="黑体" w:eastAsia="黑体"/>
          <w:b/>
          <w:bCs/>
          <w:sz w:val="24"/>
          <w:szCs w:val="28"/>
        </w:rPr>
      </w:pPr>
      <w:r>
        <w:rPr>
          <w:rFonts w:hint="eastAsia" w:ascii="黑体" w:hAnsi="黑体" w:eastAsia="黑体"/>
          <w:b/>
          <w:bCs/>
          <w:sz w:val="24"/>
          <w:szCs w:val="28"/>
        </w:rPr>
        <w:t>25.资格审查</w:t>
      </w:r>
    </w:p>
    <w:p w14:paraId="2D6626CE">
      <w:pPr>
        <w:spacing w:line="360" w:lineRule="auto"/>
        <w:ind w:firstLine="422" w:firstLineChars="200"/>
        <w:rPr>
          <w:rFonts w:ascii="宋体" w:hAnsi="宋体"/>
          <w:b/>
          <w:bCs/>
          <w:szCs w:val="20"/>
        </w:rPr>
      </w:pPr>
      <w:r>
        <w:rPr>
          <w:rFonts w:hint="eastAsia" w:ascii="宋体" w:hAnsi="宋体"/>
          <w:b/>
          <w:bCs/>
          <w:szCs w:val="20"/>
        </w:rPr>
        <w:t xml:space="preserve"> 25.1开标结束后，采购人或采购机构依法通过电子投标文件对投标人的资格进行线上审查。</w:t>
      </w:r>
    </w:p>
    <w:p w14:paraId="2FA80107">
      <w:pPr>
        <w:spacing w:line="360" w:lineRule="auto"/>
        <w:ind w:firstLine="422" w:firstLineChars="200"/>
        <w:rPr>
          <w:rFonts w:ascii="宋体" w:hAnsi="宋体"/>
          <w:b/>
          <w:bCs/>
          <w:szCs w:val="20"/>
        </w:rPr>
      </w:pPr>
      <w:r>
        <w:rPr>
          <w:rFonts w:hint="eastAsia" w:ascii="宋体" w:hAnsi="宋体"/>
          <w:b/>
          <w:bCs/>
          <w:szCs w:val="20"/>
        </w:rPr>
        <w:t xml:space="preserve"> 25.2采购人或采购机构依据法律法规和招标文件的规定，对投标人的基本资格条件、特定资格条件进行审查。</w:t>
      </w:r>
    </w:p>
    <w:p w14:paraId="2BF89524">
      <w:pPr>
        <w:spacing w:line="360" w:lineRule="auto"/>
        <w:ind w:firstLine="420" w:firstLineChars="200"/>
        <w:rPr>
          <w:rFonts w:ascii="宋体" w:hAnsi="宋体"/>
        </w:rPr>
      </w:pPr>
      <w:r>
        <w:rPr>
          <w:rFonts w:hint="eastAsia" w:ascii="宋体" w:hAnsi="宋体"/>
        </w:rPr>
        <w:t>25.3资格审查标准为本“招标文件”中“投标人须知前附表”13.1点载明对投标人资格要求的条件。本项目资格审查采用合格制，凡符合招标文件规定的投标人资格要求的投标人均通过资格审查。</w:t>
      </w:r>
    </w:p>
    <w:p w14:paraId="595D2D82">
      <w:pPr>
        <w:spacing w:line="360" w:lineRule="auto"/>
        <w:ind w:firstLine="422" w:firstLineChars="200"/>
        <w:rPr>
          <w:rFonts w:ascii="宋体" w:hAnsi="宋体"/>
          <w:b/>
          <w:bCs/>
          <w:szCs w:val="20"/>
        </w:rPr>
      </w:pPr>
      <w:r>
        <w:rPr>
          <w:rFonts w:hint="eastAsia" w:ascii="宋体" w:hAnsi="宋体"/>
          <w:b/>
          <w:bCs/>
          <w:szCs w:val="20"/>
        </w:rPr>
        <w:t>25.4投标人有下列情形之一的，资格审查不通过，作无效投标处理：</w:t>
      </w:r>
    </w:p>
    <w:p w14:paraId="0AE9EB44">
      <w:pPr>
        <w:spacing w:line="360" w:lineRule="auto"/>
        <w:ind w:firstLine="420" w:firstLineChars="200"/>
        <w:rPr>
          <w:rFonts w:hAnsi="宋体"/>
        </w:rPr>
      </w:pPr>
      <w:r>
        <w:rPr>
          <w:rFonts w:hint="eastAsia" w:hAnsi="宋体"/>
        </w:rPr>
        <w:t>（</w:t>
      </w:r>
      <w:r>
        <w:rPr>
          <w:rFonts w:hAnsi="宋体"/>
        </w:rPr>
        <w:t>1</w:t>
      </w:r>
      <w:r>
        <w:rPr>
          <w:rFonts w:hint="eastAsia" w:hAnsi="宋体"/>
        </w:rPr>
        <w:t>）不具备招标文件中规定的资格要求的；（注：其中信用查询规则见“投标人须知前附表”，“广西政府采购云平台”已与“信用中国”平台做接口，审查专家可直接在线查询）</w:t>
      </w:r>
    </w:p>
    <w:p w14:paraId="6C4C9B1C">
      <w:pPr>
        <w:spacing w:line="360" w:lineRule="auto"/>
        <w:ind w:firstLine="420" w:firstLineChars="200"/>
        <w:rPr>
          <w:rFonts w:hAnsi="宋体"/>
        </w:rPr>
      </w:pPr>
      <w:r>
        <w:rPr>
          <w:rFonts w:hint="eastAsia" w:hAnsi="宋体"/>
        </w:rPr>
        <w:t>（</w:t>
      </w:r>
      <w:r>
        <w:rPr>
          <w:rFonts w:hAnsi="宋体"/>
        </w:rPr>
        <w:t>2</w:t>
      </w:r>
      <w:r>
        <w:rPr>
          <w:rFonts w:hint="eastAsia" w:hAnsi="宋体"/>
        </w:rPr>
        <w:t>）投标文件未提供任一项“投标人须知前附表”资格证明文件规定的“必须提供”的文件资料的；</w:t>
      </w:r>
    </w:p>
    <w:p w14:paraId="27578F27">
      <w:pPr>
        <w:spacing w:line="360" w:lineRule="auto"/>
        <w:ind w:firstLine="420" w:firstLineChars="200"/>
        <w:rPr>
          <w:rFonts w:hAnsi="宋体"/>
        </w:rPr>
      </w:pPr>
      <w:r>
        <w:rPr>
          <w:rFonts w:hint="eastAsia" w:hAnsi="宋体"/>
        </w:rPr>
        <w:t>（</w:t>
      </w:r>
      <w:r>
        <w:rPr>
          <w:rFonts w:hAnsi="宋体"/>
        </w:rPr>
        <w:t>3</w:t>
      </w:r>
      <w:r>
        <w:rPr>
          <w:rFonts w:hint="eastAsia" w:hAnsi="宋体"/>
        </w:rPr>
        <w:t>）投标文件提供的资格证明文件出现任一项不符合“投标人须知前附表”资格证明文件规定的“必须提供”的文件资料要求或者无效的。</w:t>
      </w:r>
    </w:p>
    <w:p w14:paraId="7B947FBC">
      <w:pPr>
        <w:spacing w:line="360" w:lineRule="auto"/>
        <w:ind w:firstLine="420" w:firstLineChars="200"/>
        <w:rPr>
          <w:rFonts w:ascii="宋体" w:hAnsi="宋体"/>
          <w:szCs w:val="20"/>
        </w:rPr>
      </w:pPr>
      <w:r>
        <w:rPr>
          <w:rFonts w:hint="eastAsia" w:ascii="宋体" w:hAnsi="宋体"/>
          <w:szCs w:val="20"/>
        </w:rPr>
        <w:t>25.5资格审查的合格投标人不足3家的，不得评标。</w:t>
      </w:r>
    </w:p>
    <w:p w14:paraId="59C3AFCA">
      <w:pPr>
        <w:spacing w:line="360" w:lineRule="auto"/>
        <w:ind w:firstLine="643" w:firstLineChars="200"/>
        <w:jc w:val="center"/>
        <w:outlineLvl w:val="2"/>
        <w:rPr>
          <w:b/>
          <w:bCs/>
          <w:sz w:val="32"/>
          <w:szCs w:val="32"/>
        </w:rPr>
      </w:pPr>
      <w:bookmarkStart w:id="41" w:name="_Toc2217"/>
      <w:bookmarkStart w:id="42" w:name="_Toc110956114"/>
      <w:bookmarkStart w:id="43" w:name="_Toc89075999"/>
      <w:bookmarkStart w:id="44" w:name="_Toc7790"/>
      <w:r>
        <w:rPr>
          <w:rFonts w:hint="eastAsia"/>
          <w:b/>
          <w:bCs/>
          <w:sz w:val="32"/>
          <w:szCs w:val="32"/>
        </w:rPr>
        <w:t>六、评标</w:t>
      </w:r>
      <w:bookmarkEnd w:id="41"/>
      <w:bookmarkEnd w:id="42"/>
      <w:bookmarkEnd w:id="43"/>
      <w:bookmarkEnd w:id="44"/>
    </w:p>
    <w:p w14:paraId="6AE9B3DD">
      <w:pPr>
        <w:spacing w:line="360" w:lineRule="auto"/>
        <w:ind w:firstLine="480" w:firstLineChars="200"/>
        <w:rPr>
          <w:rFonts w:ascii="黑体" w:hAnsi="黑体" w:eastAsia="黑体"/>
          <w:sz w:val="24"/>
        </w:rPr>
      </w:pPr>
      <w:r>
        <w:rPr>
          <w:rFonts w:hint="eastAsia" w:ascii="黑体" w:hAnsi="黑体" w:eastAsia="黑体"/>
          <w:sz w:val="24"/>
        </w:rPr>
        <w:t>26.组建评标委员会</w:t>
      </w:r>
    </w:p>
    <w:p w14:paraId="18B45330">
      <w:pPr>
        <w:spacing w:line="360" w:lineRule="auto"/>
        <w:ind w:firstLine="420" w:firstLineChars="200"/>
        <w:rPr>
          <w:rFonts w:hAnsi="宋体"/>
        </w:rPr>
      </w:pPr>
      <w:r>
        <w:rPr>
          <w:rFonts w:hint="eastAsia" w:hAnsi="宋体"/>
        </w:rPr>
        <w:t>评标委员会由采购人代表和评审专家组成，人数为</w:t>
      </w:r>
      <w:r>
        <w:rPr>
          <w:rFonts w:hAnsi="宋体"/>
        </w:rPr>
        <w:t>5</w:t>
      </w:r>
      <w:r>
        <w:rPr>
          <w:rFonts w:hint="eastAsia" w:hAnsi="宋体"/>
        </w:rPr>
        <w:t>人以上单数，其中评审专家不得少于成员总数的三分之二。</w:t>
      </w:r>
    </w:p>
    <w:p w14:paraId="484C81D8">
      <w:pPr>
        <w:spacing w:line="360" w:lineRule="auto"/>
        <w:ind w:firstLine="420" w:firstLineChars="200"/>
        <w:rPr>
          <w:rFonts w:hAnsi="宋体"/>
        </w:rPr>
      </w:pPr>
      <w:r>
        <w:rPr>
          <w:rFonts w:hint="eastAsia" w:hAnsi="宋体"/>
        </w:rPr>
        <w:t>参加过采购项目前期咨询论证的专家，不得参加该采购项目的评审活动。</w:t>
      </w:r>
    </w:p>
    <w:p w14:paraId="7C5BAA15">
      <w:pPr>
        <w:spacing w:line="360" w:lineRule="auto"/>
        <w:ind w:firstLine="480" w:firstLineChars="200"/>
        <w:rPr>
          <w:rFonts w:ascii="黑体" w:hAnsi="黑体" w:eastAsia="黑体"/>
          <w:sz w:val="24"/>
        </w:rPr>
      </w:pPr>
      <w:r>
        <w:rPr>
          <w:rFonts w:hint="eastAsia" w:ascii="黑体" w:hAnsi="黑体" w:eastAsia="黑体"/>
          <w:sz w:val="24"/>
        </w:rPr>
        <w:t>27.评标的依据</w:t>
      </w:r>
    </w:p>
    <w:p w14:paraId="5DDB4E72">
      <w:pPr>
        <w:spacing w:line="360" w:lineRule="auto"/>
        <w:ind w:firstLine="420" w:firstLineChars="200"/>
        <w:rPr>
          <w:rFonts w:hAnsi="宋体"/>
        </w:rPr>
      </w:pPr>
      <w:r>
        <w:rPr>
          <w:rFonts w:hint="eastAsia" w:hAnsi="宋体"/>
        </w:rPr>
        <w:t>评标委员会以招标文件为依据对投标文件进行评审，</w:t>
      </w:r>
      <w:r>
        <w:rPr>
          <w:rFonts w:hint="eastAsia" w:hAnsi="宋体" w:cs="宋体"/>
        </w:rPr>
        <w:t>“第四章评标方法和评标标准”</w:t>
      </w:r>
      <w:r>
        <w:rPr>
          <w:rFonts w:hint="eastAsia" w:hAnsi="宋体"/>
        </w:rPr>
        <w:t>没有规定的方法、评审因素和标准，不作为评标依据。</w:t>
      </w:r>
    </w:p>
    <w:p w14:paraId="1E53AB1F">
      <w:pPr>
        <w:spacing w:line="360" w:lineRule="auto"/>
        <w:ind w:firstLine="480" w:firstLineChars="200"/>
        <w:rPr>
          <w:rFonts w:ascii="黑体" w:hAnsi="黑体" w:eastAsia="黑体"/>
          <w:sz w:val="24"/>
        </w:rPr>
      </w:pPr>
      <w:r>
        <w:rPr>
          <w:rFonts w:hint="eastAsia" w:ascii="黑体" w:hAnsi="黑体" w:eastAsia="黑体"/>
          <w:sz w:val="24"/>
        </w:rPr>
        <w:t>28.评标原则</w:t>
      </w:r>
    </w:p>
    <w:p w14:paraId="5CCC747E">
      <w:pPr>
        <w:spacing w:line="360" w:lineRule="auto"/>
        <w:ind w:firstLine="420" w:firstLineChars="200"/>
        <w:rPr>
          <w:rFonts w:hAnsi="宋体"/>
        </w:rPr>
      </w:pPr>
      <w:r>
        <w:rPr>
          <w:rFonts w:hAnsi="宋体"/>
        </w:rPr>
        <w:t>28.1</w:t>
      </w:r>
      <w:r>
        <w:rPr>
          <w:rFonts w:hint="eastAsia" w:hAnsi="宋体"/>
        </w:rPr>
        <w:t>评标原则。评标委员会评标时必须公平、公正、客观，不带任何倾向性和启发性；不得向外界透露任何与评标有关的内容；任何单位和个人不得干扰、影响评标的正常进行；评标委员会及有关工作人员不得私下与投标人接触，不得收受利害关系人的财物或者其他好处。</w:t>
      </w:r>
    </w:p>
    <w:p w14:paraId="07E9F05A">
      <w:pPr>
        <w:spacing w:line="360" w:lineRule="auto"/>
        <w:ind w:firstLine="420" w:firstLineChars="200"/>
        <w:rPr>
          <w:rFonts w:hAnsi="宋体"/>
        </w:rPr>
      </w:pPr>
      <w:r>
        <w:rPr>
          <w:rFonts w:hAnsi="宋体"/>
        </w:rPr>
        <w:t>28.2</w:t>
      </w:r>
      <w:r>
        <w:rPr>
          <w:rFonts w:hint="eastAsia" w:hAnsi="宋体"/>
        </w:rPr>
        <w:t>评委表决。在评标过程中出现法律法规和招标文件均没有明确规定的情形时，由评标委员会现场协商解决，协商不一致的，由全体评委投票表决，以得票率二分之一以上专家的意见为准并由采购代理机构作记录。</w:t>
      </w:r>
    </w:p>
    <w:p w14:paraId="48952F88">
      <w:pPr>
        <w:spacing w:line="360" w:lineRule="auto"/>
        <w:ind w:firstLine="420" w:firstLineChars="200"/>
        <w:rPr>
          <w:rFonts w:hAnsi="宋体"/>
        </w:rPr>
      </w:pPr>
      <w:r>
        <w:rPr>
          <w:rFonts w:hAnsi="宋体"/>
        </w:rPr>
        <w:t>28.3</w:t>
      </w:r>
      <w:r>
        <w:rPr>
          <w:rFonts w:hint="eastAsia" w:hAnsi="宋体"/>
        </w:rPr>
        <w:t>评标的保密。采购人、采购代理机构应当采取必要措施，保证评标在严格保密（封闭式评标）的情况下进行。除采购人代表、评标现场组织人员外，采购人的其他工作人员以及与评标工作无关的人员不得进入评标现场。有关人员对评标情况以及在评标过程中获悉的国家秘密、商业秘密负有保密责任。</w:t>
      </w:r>
    </w:p>
    <w:p w14:paraId="1A785964">
      <w:pPr>
        <w:spacing w:line="360" w:lineRule="auto"/>
        <w:ind w:firstLine="420" w:firstLineChars="200"/>
        <w:rPr>
          <w:rFonts w:hAnsi="宋体"/>
        </w:rPr>
      </w:pPr>
      <w:r>
        <w:rPr>
          <w:rFonts w:hAnsi="宋体"/>
        </w:rPr>
        <w:t>28.4</w:t>
      </w:r>
      <w:r>
        <w:rPr>
          <w:rFonts w:hint="eastAsia" w:hAnsi="宋体"/>
        </w:rPr>
        <w:t>评标过程的监控。本项目电子评标过程实行网上留痕、全程录音、录像监控，投标人在评标过程中所进行的试图影响评标结果的不公正活动，可能导致其投标按无效处理。</w:t>
      </w:r>
    </w:p>
    <w:p w14:paraId="1DF83BD5">
      <w:pPr>
        <w:widowControl/>
        <w:spacing w:line="560" w:lineRule="exact"/>
        <w:ind w:firstLine="420" w:firstLineChars="200"/>
        <w:jc w:val="left"/>
        <w:textAlignment w:val="baseline"/>
        <w:rPr>
          <w:rFonts w:hAnsi="宋体"/>
        </w:rPr>
      </w:pPr>
      <w:r>
        <w:rPr>
          <w:rFonts w:hAnsi="宋体"/>
        </w:rPr>
        <w:t>28.5</w:t>
      </w:r>
      <w:r>
        <w:rPr>
          <w:rFonts w:hint="eastAsia" w:hAnsi="宋体"/>
        </w:rPr>
        <w:t>评标委员会发现招标文件存在歧义、重大缺陷导致评标工作无法进行，或者招标文件内容违反国家有关强制性规定的，应当停止评标工作，与采购人或者采购代理机构沟通并作书面记录。采购人或者采购代理机构确认后，应当修改招标文件，重新组织采购活动。</w:t>
      </w:r>
    </w:p>
    <w:p w14:paraId="6C24B435">
      <w:pPr>
        <w:spacing w:line="360" w:lineRule="auto"/>
        <w:ind w:firstLine="480" w:firstLineChars="200"/>
        <w:rPr>
          <w:rFonts w:ascii="黑体" w:hAnsi="黑体" w:eastAsia="黑体"/>
          <w:sz w:val="24"/>
        </w:rPr>
      </w:pPr>
      <w:r>
        <w:rPr>
          <w:rFonts w:hint="eastAsia" w:ascii="黑体" w:hAnsi="黑体" w:eastAsia="黑体"/>
          <w:sz w:val="24"/>
        </w:rPr>
        <w:t>29.评标方法及评标标准</w:t>
      </w:r>
    </w:p>
    <w:p w14:paraId="57AB77DD">
      <w:pPr>
        <w:spacing w:line="360" w:lineRule="auto"/>
        <w:ind w:firstLine="420" w:firstLineChars="200"/>
        <w:rPr>
          <w:rFonts w:hAnsi="宋体"/>
        </w:rPr>
      </w:pPr>
      <w:r>
        <w:rPr>
          <w:rFonts w:hAnsi="宋体"/>
        </w:rPr>
        <w:t>29.1</w:t>
      </w:r>
      <w:r>
        <w:rPr>
          <w:rFonts w:hint="eastAsia" w:hAnsi="宋体"/>
        </w:rPr>
        <w:t>本项目的评标方法详见“投标人须知前附表”。</w:t>
      </w:r>
    </w:p>
    <w:p w14:paraId="28C3A7A8">
      <w:pPr>
        <w:spacing w:line="360" w:lineRule="auto"/>
        <w:ind w:firstLine="420" w:firstLineChars="200"/>
        <w:rPr>
          <w:rFonts w:hAnsi="宋体"/>
        </w:rPr>
      </w:pPr>
      <w:r>
        <w:rPr>
          <w:rFonts w:hAnsi="宋体"/>
        </w:rPr>
        <w:t>29.2</w:t>
      </w:r>
      <w:r>
        <w:rPr>
          <w:rFonts w:hint="eastAsia" w:hAnsi="宋体"/>
        </w:rPr>
        <w:t>评标委员会按照</w:t>
      </w:r>
      <w:r>
        <w:rPr>
          <w:rFonts w:hint="eastAsia" w:hAnsi="宋体" w:cs="宋体"/>
          <w:b/>
        </w:rPr>
        <w:t>“第四章评标方法和评标标准”</w:t>
      </w:r>
      <w:r>
        <w:rPr>
          <w:rFonts w:hint="eastAsia" w:hAnsi="宋体"/>
        </w:rPr>
        <w:t>规定的方法、评审因素、标准和程序对投标文件进行评审。</w:t>
      </w:r>
    </w:p>
    <w:p w14:paraId="4C2A730A">
      <w:pPr>
        <w:spacing w:line="360" w:lineRule="auto"/>
        <w:ind w:firstLine="420" w:firstLineChars="200"/>
        <w:rPr>
          <w:rFonts w:hAnsi="宋体"/>
        </w:rPr>
      </w:pPr>
      <w:r>
        <w:rPr>
          <w:rFonts w:hAnsi="宋体"/>
        </w:rPr>
        <w:t xml:space="preserve">29.3 </w:t>
      </w:r>
      <w:r>
        <w:rPr>
          <w:rFonts w:hint="eastAsia" w:hAnsi="宋体"/>
        </w:rPr>
        <w:t>电子交易活动的中止。采购过程中出现以下情形，导致电子交易平台无法正常运行，或者无法保证电子交易的公平、公正和安全时，采购机构可中止电子交易活动：</w:t>
      </w:r>
    </w:p>
    <w:p w14:paraId="18EB01D6">
      <w:pPr>
        <w:spacing w:line="360" w:lineRule="auto"/>
        <w:ind w:firstLine="420" w:firstLineChars="200"/>
        <w:rPr>
          <w:rFonts w:hAnsi="宋体"/>
        </w:rPr>
      </w:pPr>
      <w:r>
        <w:rPr>
          <w:rFonts w:hint="eastAsia" w:hAnsi="宋体"/>
        </w:rPr>
        <w:t>（</w:t>
      </w:r>
      <w:r>
        <w:rPr>
          <w:rFonts w:hAnsi="宋体"/>
        </w:rPr>
        <w:t>1</w:t>
      </w:r>
      <w:r>
        <w:rPr>
          <w:rFonts w:hint="eastAsia" w:hAnsi="宋体"/>
        </w:rPr>
        <w:t>）电子交易平台发生故障而无法登录访问的；</w:t>
      </w:r>
    </w:p>
    <w:p w14:paraId="134FDD6C">
      <w:pPr>
        <w:spacing w:line="360" w:lineRule="auto"/>
        <w:ind w:firstLine="420" w:firstLineChars="200"/>
        <w:rPr>
          <w:rFonts w:hAnsi="宋体"/>
        </w:rPr>
      </w:pPr>
      <w:r>
        <w:rPr>
          <w:rFonts w:hint="eastAsia" w:hAnsi="宋体"/>
        </w:rPr>
        <w:t>（</w:t>
      </w:r>
      <w:r>
        <w:rPr>
          <w:rFonts w:hAnsi="宋体"/>
        </w:rPr>
        <w:t>2</w:t>
      </w:r>
      <w:r>
        <w:rPr>
          <w:rFonts w:hint="eastAsia" w:hAnsi="宋体"/>
        </w:rPr>
        <w:t>）电子交易平台应用或数据库出现错误，不能进行正常操作的；</w:t>
      </w:r>
    </w:p>
    <w:p w14:paraId="3BE4C568">
      <w:pPr>
        <w:spacing w:line="360" w:lineRule="auto"/>
        <w:ind w:firstLine="420" w:firstLineChars="200"/>
        <w:rPr>
          <w:rFonts w:hAnsi="宋体"/>
        </w:rPr>
      </w:pPr>
      <w:r>
        <w:rPr>
          <w:rFonts w:hint="eastAsia" w:hAnsi="宋体"/>
        </w:rPr>
        <w:t>（</w:t>
      </w:r>
      <w:r>
        <w:rPr>
          <w:rFonts w:hAnsi="宋体"/>
        </w:rPr>
        <w:t>3</w:t>
      </w:r>
      <w:r>
        <w:rPr>
          <w:rFonts w:hint="eastAsia" w:hAnsi="宋体"/>
        </w:rPr>
        <w:t>）电子交易平台发现严重安全漏洞，有潜在泄密危险的；</w:t>
      </w:r>
    </w:p>
    <w:p w14:paraId="4A58B377">
      <w:pPr>
        <w:spacing w:line="360" w:lineRule="auto"/>
        <w:ind w:firstLine="420" w:firstLineChars="200"/>
        <w:rPr>
          <w:rFonts w:hAnsi="宋体"/>
        </w:rPr>
      </w:pPr>
      <w:r>
        <w:rPr>
          <w:rFonts w:hint="eastAsia" w:hAnsi="宋体"/>
        </w:rPr>
        <w:t>（</w:t>
      </w:r>
      <w:r>
        <w:rPr>
          <w:rFonts w:hAnsi="宋体"/>
        </w:rPr>
        <w:t>4</w:t>
      </w:r>
      <w:r>
        <w:rPr>
          <w:rFonts w:hint="eastAsia" w:hAnsi="宋体"/>
        </w:rPr>
        <w:t>）病毒发作导致不能进行正常操作的；</w:t>
      </w:r>
    </w:p>
    <w:p w14:paraId="1F4B8781">
      <w:pPr>
        <w:spacing w:line="360" w:lineRule="auto"/>
        <w:ind w:firstLine="420" w:firstLineChars="200"/>
        <w:rPr>
          <w:rFonts w:hAnsi="宋体"/>
        </w:rPr>
      </w:pPr>
      <w:r>
        <w:rPr>
          <w:rFonts w:hint="eastAsia" w:hAnsi="宋体"/>
        </w:rPr>
        <w:t>（</w:t>
      </w:r>
      <w:r>
        <w:rPr>
          <w:rFonts w:hAnsi="宋体"/>
        </w:rPr>
        <w:t>4</w:t>
      </w:r>
      <w:r>
        <w:rPr>
          <w:rFonts w:hint="eastAsia" w:hAnsi="宋体"/>
        </w:rPr>
        <w:t>）其他无法保证电子交易的公平、公正和安全的情况。</w:t>
      </w:r>
    </w:p>
    <w:p w14:paraId="6E8E7E4C">
      <w:pPr>
        <w:spacing w:line="360" w:lineRule="auto"/>
        <w:ind w:firstLine="420" w:firstLineChars="200"/>
        <w:rPr>
          <w:rFonts w:hAnsi="宋体"/>
        </w:rPr>
      </w:pPr>
      <w:r>
        <w:rPr>
          <w:rFonts w:hAnsi="宋体"/>
        </w:rPr>
        <w:t>29.4</w:t>
      </w:r>
      <w:r>
        <w:rPr>
          <w:rFonts w:hint="eastAsia" w:hAnsi="宋体"/>
        </w:rPr>
        <w:t>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0DA51F71">
      <w:pPr>
        <w:snapToGrid w:val="0"/>
        <w:spacing w:line="400" w:lineRule="exact"/>
        <w:ind w:firstLine="420" w:firstLineChars="200"/>
        <w:rPr>
          <w:rFonts w:ascii="宋体" w:hAnsi="宋体"/>
          <w:szCs w:val="20"/>
        </w:rPr>
      </w:pPr>
    </w:p>
    <w:p w14:paraId="7CB12915">
      <w:pPr>
        <w:spacing w:line="400" w:lineRule="exact"/>
        <w:ind w:firstLine="643" w:firstLineChars="200"/>
        <w:jc w:val="center"/>
        <w:outlineLvl w:val="2"/>
        <w:rPr>
          <w:b/>
          <w:bCs/>
          <w:sz w:val="32"/>
          <w:szCs w:val="32"/>
        </w:rPr>
      </w:pPr>
      <w:bookmarkStart w:id="45" w:name="_Toc30524"/>
      <w:bookmarkStart w:id="46" w:name="_Toc89076000"/>
      <w:bookmarkStart w:id="47" w:name="_Toc110956115"/>
      <w:bookmarkStart w:id="48" w:name="_Toc1085"/>
      <w:r>
        <w:rPr>
          <w:rFonts w:hint="eastAsia"/>
          <w:b/>
          <w:bCs/>
          <w:sz w:val="32"/>
          <w:szCs w:val="32"/>
        </w:rPr>
        <w:t>七、中标和合同</w:t>
      </w:r>
      <w:bookmarkEnd w:id="45"/>
      <w:bookmarkEnd w:id="46"/>
      <w:bookmarkEnd w:id="47"/>
      <w:bookmarkEnd w:id="48"/>
    </w:p>
    <w:p w14:paraId="2D3AA560">
      <w:pPr>
        <w:spacing w:line="360" w:lineRule="auto"/>
        <w:ind w:firstLine="480" w:firstLineChars="200"/>
        <w:rPr>
          <w:rFonts w:ascii="黑体" w:hAnsi="黑体" w:eastAsia="黑体"/>
          <w:sz w:val="24"/>
        </w:rPr>
      </w:pPr>
      <w:r>
        <w:rPr>
          <w:rFonts w:hint="eastAsia" w:ascii="黑体" w:hAnsi="黑体" w:eastAsia="黑体"/>
          <w:sz w:val="24"/>
        </w:rPr>
        <w:t>30.确定中标人</w:t>
      </w:r>
    </w:p>
    <w:p w14:paraId="0CC0CC67">
      <w:pPr>
        <w:spacing w:line="360" w:lineRule="auto"/>
        <w:ind w:firstLine="422" w:firstLineChars="200"/>
        <w:rPr>
          <w:rFonts w:ascii="宋体" w:hAnsi="宋体" w:cs="Courier New"/>
          <w:b/>
          <w:bCs/>
          <w:szCs w:val="21"/>
        </w:rPr>
      </w:pPr>
      <w:r>
        <w:rPr>
          <w:rFonts w:hint="eastAsia" w:ascii="宋体" w:hAnsi="宋体" w:cs="Courier New"/>
          <w:b/>
          <w:bCs/>
          <w:szCs w:val="21"/>
        </w:rPr>
        <w:t>30.1本项目授权评标委员会直接按第四章“评标方法及标准”的规定排列中标候选人顺序，并依照次序确定中标人。</w:t>
      </w:r>
    </w:p>
    <w:p w14:paraId="213ACD69">
      <w:pPr>
        <w:spacing w:line="360" w:lineRule="auto"/>
        <w:ind w:firstLine="420" w:firstLineChars="200"/>
        <w:rPr>
          <w:rFonts w:ascii="宋体" w:hAnsi="宋体" w:cs="Courier New"/>
          <w:szCs w:val="21"/>
        </w:rPr>
      </w:pPr>
      <w:r>
        <w:rPr>
          <w:rFonts w:hint="eastAsia" w:ascii="宋体" w:hAnsi="宋体" w:cs="Courier New"/>
          <w:szCs w:val="21"/>
        </w:rPr>
        <w:t>30.2采购人、采购代理机构认为投标人对采购过程、中标结果提出的质疑成立且影响或者可能影响中标结果的，合格投标人符合法定数量时，可以从合格的中标候选人中另行确定中标人的，应当依法另行确定中标人；否则应当重新开展采购活动。</w:t>
      </w:r>
    </w:p>
    <w:p w14:paraId="78F01467">
      <w:pPr>
        <w:spacing w:line="360" w:lineRule="auto"/>
        <w:ind w:firstLine="420" w:firstLineChars="200"/>
        <w:rPr>
          <w:rFonts w:ascii="宋体" w:hAnsi="宋体" w:cs="Courier New"/>
          <w:szCs w:val="21"/>
        </w:rPr>
      </w:pPr>
      <w:r>
        <w:rPr>
          <w:rFonts w:hint="eastAsia" w:ascii="宋体" w:hAnsi="宋体" w:cs="Courier New"/>
          <w:szCs w:val="21"/>
        </w:rPr>
        <w:t>30.3中标人无正当理由拒签合同的，根据《中华人民共和国政府采购法》第七十七条第一款规定处理。</w:t>
      </w:r>
    </w:p>
    <w:p w14:paraId="5B56E468">
      <w:pPr>
        <w:spacing w:line="360" w:lineRule="auto"/>
        <w:ind w:firstLine="420" w:firstLineChars="200"/>
        <w:rPr>
          <w:rFonts w:ascii="宋体" w:hAnsi="宋体" w:cs="Courier New"/>
          <w:szCs w:val="21"/>
        </w:rPr>
      </w:pPr>
      <w:r>
        <w:rPr>
          <w:rFonts w:hint="eastAsia" w:ascii="宋体" w:hAnsi="宋体" w:cs="Courier New"/>
          <w:szCs w:val="21"/>
        </w:rPr>
        <w:t>30.4根据《中华人民共和国民法典》第五百六十三条，因不可抗力致使不能实现合同目的的，当事人可以解除合同。</w:t>
      </w:r>
    </w:p>
    <w:p w14:paraId="5CCE4882">
      <w:pPr>
        <w:spacing w:line="360" w:lineRule="auto"/>
        <w:ind w:firstLine="480" w:firstLineChars="200"/>
        <w:rPr>
          <w:rFonts w:ascii="黑体" w:hAnsi="黑体" w:eastAsia="黑体"/>
          <w:sz w:val="24"/>
        </w:rPr>
      </w:pPr>
      <w:r>
        <w:rPr>
          <w:rFonts w:hint="eastAsia" w:ascii="黑体" w:hAnsi="黑体" w:eastAsia="黑体"/>
          <w:sz w:val="24"/>
        </w:rPr>
        <w:t>31. 结果公告</w:t>
      </w:r>
    </w:p>
    <w:p w14:paraId="598A1C01">
      <w:pPr>
        <w:spacing w:line="360" w:lineRule="auto"/>
        <w:ind w:firstLine="420" w:firstLineChars="200"/>
        <w:rPr>
          <w:rFonts w:hAnsi="宋体" w:cs="宋体"/>
        </w:rPr>
      </w:pPr>
      <w:r>
        <w:rPr>
          <w:rFonts w:hAnsi="宋体"/>
          <w:szCs w:val="21"/>
        </w:rPr>
        <w:t>31.1</w:t>
      </w:r>
      <w:r>
        <w:rPr>
          <w:rFonts w:hint="eastAsia" w:hAnsi="宋体" w:cs="宋体"/>
        </w:rPr>
        <w:t>在中标人</w:t>
      </w:r>
      <w:r>
        <w:rPr>
          <w:rFonts w:hint="eastAsia" w:hAnsi="宋体" w:cs="Arial"/>
        </w:rPr>
        <w:t>确定之日起</w:t>
      </w:r>
      <w:r>
        <w:rPr>
          <w:rFonts w:hAnsi="宋体" w:cs="宋体"/>
        </w:rPr>
        <w:t>2</w:t>
      </w:r>
      <w:r>
        <w:rPr>
          <w:rFonts w:hint="eastAsia" w:hAnsi="宋体" w:cs="宋体"/>
        </w:rPr>
        <w:t>个工作日内，由采购代理机构</w:t>
      </w:r>
      <w:r>
        <w:rPr>
          <w:rFonts w:hint="eastAsia" w:hAnsi="宋体"/>
          <w:b/>
          <w:szCs w:val="21"/>
        </w:rPr>
        <w:t>在招标公告发布媒体上</w:t>
      </w:r>
      <w:r>
        <w:rPr>
          <w:rFonts w:hint="eastAsia" w:hAnsi="宋体" w:cs="宋体"/>
        </w:rPr>
        <w:t>发布中标结果公告，中标结果公告期限为</w:t>
      </w:r>
      <w:r>
        <w:rPr>
          <w:rFonts w:hAnsi="宋体" w:cs="宋体"/>
        </w:rPr>
        <w:t>1</w:t>
      </w:r>
      <w:r>
        <w:rPr>
          <w:rFonts w:hint="eastAsia" w:hAnsi="宋体" w:cs="宋体"/>
        </w:rPr>
        <w:t>个工作日，发布中标结果公告的同时向中标人发出中标通知书。</w:t>
      </w:r>
      <w:r>
        <w:rPr>
          <w:rFonts w:hint="eastAsia" w:hAnsi="宋体"/>
          <w:b/>
          <w:szCs w:val="21"/>
        </w:rPr>
        <w:t>采购代理机构发出中标通知书前，应当对中标人信用进行核实，对列入失信被执行人、重大税收违法失信主体、政府采购严重违法失信行为记录名单及其他不符合《中华人民共和国政府采购法》第二十二条规定条件的投标人，取消其中标资格，并确定排名第二的中标候选人为中标人。</w:t>
      </w:r>
      <w:r>
        <w:rPr>
          <w:rFonts w:hint="eastAsia" w:hAnsi="宋体"/>
          <w:szCs w:val="21"/>
        </w:rPr>
        <w:t>排名第二的中标候选人因前款规定的同样原因被取消中标资格的，</w:t>
      </w:r>
      <w:r>
        <w:rPr>
          <w:rFonts w:hint="eastAsia" w:hAnsi="宋体" w:cs="Courier New"/>
          <w:szCs w:val="21"/>
        </w:rPr>
        <w:t>授权的评标委员会</w:t>
      </w:r>
      <w:r>
        <w:rPr>
          <w:rFonts w:hint="eastAsia" w:hAnsi="宋体"/>
          <w:szCs w:val="21"/>
        </w:rPr>
        <w:t>可以确定排名第三的中标候选人为中标人，以此类推。</w:t>
      </w:r>
    </w:p>
    <w:p w14:paraId="5231D3E1">
      <w:pPr>
        <w:spacing w:line="360" w:lineRule="auto"/>
        <w:ind w:firstLine="420" w:firstLineChars="200"/>
        <w:rPr>
          <w:rFonts w:ascii="宋体" w:hAnsi="宋体"/>
          <w:szCs w:val="21"/>
        </w:rPr>
      </w:pPr>
      <w:r>
        <w:rPr>
          <w:rFonts w:hint="eastAsia" w:ascii="宋体" w:hAnsi="宋体"/>
          <w:szCs w:val="21"/>
        </w:rPr>
        <w:t>以上信息查询记录及相关证据与招标文件一并保存。</w:t>
      </w:r>
    </w:p>
    <w:p w14:paraId="1ECDB140">
      <w:pPr>
        <w:spacing w:line="360" w:lineRule="auto"/>
        <w:ind w:firstLine="420" w:firstLineChars="200"/>
        <w:rPr>
          <w:rFonts w:ascii="宋体" w:hAnsi="宋体" w:cs="Courier New"/>
          <w:szCs w:val="21"/>
        </w:rPr>
      </w:pPr>
      <w:r>
        <w:rPr>
          <w:rFonts w:hint="eastAsia" w:ascii="宋体" w:hAnsi="宋体" w:cs="Courier New"/>
          <w:szCs w:val="21"/>
        </w:rPr>
        <w:t>31.2中小企业在政府采购活动过程中，请根据企业的真实情况出具《中小企业声明函》。依法享受中小企业优惠政策的，采购人或者采购代理机构在公告中标结果时，同时公告其《中小企业声明函》，接受社会监督。</w:t>
      </w:r>
    </w:p>
    <w:p w14:paraId="30EB2088">
      <w:pPr>
        <w:spacing w:line="360" w:lineRule="auto"/>
        <w:ind w:firstLine="480" w:firstLineChars="200"/>
        <w:rPr>
          <w:rFonts w:ascii="黑体" w:hAnsi="黑体" w:eastAsia="黑体"/>
          <w:sz w:val="24"/>
        </w:rPr>
      </w:pPr>
      <w:r>
        <w:rPr>
          <w:rFonts w:hint="eastAsia" w:ascii="黑体" w:hAnsi="黑体" w:eastAsia="黑体"/>
          <w:sz w:val="24"/>
        </w:rPr>
        <w:t>32.发出中标通知书</w:t>
      </w:r>
    </w:p>
    <w:p w14:paraId="33BE1E8B">
      <w:pPr>
        <w:spacing w:line="360" w:lineRule="auto"/>
        <w:ind w:firstLine="422" w:firstLineChars="200"/>
        <w:rPr>
          <w:rFonts w:ascii="宋体" w:hAnsi="宋体"/>
          <w:b/>
          <w:szCs w:val="21"/>
        </w:rPr>
      </w:pPr>
      <w:r>
        <w:rPr>
          <w:rFonts w:hint="eastAsia" w:ascii="宋体" w:hAnsi="宋体"/>
          <w:b/>
          <w:szCs w:val="21"/>
        </w:rPr>
        <w:t>32.1在发布中标公告的同时，采购代理机构向中标人通过“广西政府采购云平台”发出电子中标通知书。</w:t>
      </w:r>
    </w:p>
    <w:p w14:paraId="352DFF5F">
      <w:pPr>
        <w:spacing w:line="360" w:lineRule="auto"/>
        <w:ind w:firstLine="422" w:firstLineChars="200"/>
        <w:rPr>
          <w:rFonts w:ascii="宋体" w:hAnsi="宋体"/>
          <w:b/>
          <w:szCs w:val="21"/>
        </w:rPr>
      </w:pPr>
      <w:r>
        <w:rPr>
          <w:rFonts w:hint="eastAsia" w:ascii="宋体" w:hAnsi="宋体"/>
          <w:b/>
          <w:szCs w:val="21"/>
        </w:rPr>
        <w:t>32.2对未通过资格审查的投标人，采购人或采购机构应当告知其未通过的原因；采用综合评分办法评审的，采购人或采购机构还应当告知未中标人本人的评审得分与排序。</w:t>
      </w:r>
    </w:p>
    <w:p w14:paraId="3B0E335D">
      <w:pPr>
        <w:spacing w:line="360" w:lineRule="auto"/>
        <w:ind w:firstLine="480" w:firstLineChars="200"/>
        <w:rPr>
          <w:rFonts w:ascii="黑体" w:hAnsi="黑体" w:eastAsia="黑体"/>
          <w:sz w:val="24"/>
        </w:rPr>
      </w:pPr>
      <w:r>
        <w:rPr>
          <w:rFonts w:hint="eastAsia" w:ascii="黑体" w:hAnsi="黑体" w:eastAsia="黑体"/>
          <w:sz w:val="24"/>
        </w:rPr>
        <w:t>33. 无义务解释未中标原因</w:t>
      </w:r>
    </w:p>
    <w:p w14:paraId="5DAC24AB">
      <w:pPr>
        <w:spacing w:line="360" w:lineRule="auto"/>
        <w:ind w:firstLine="422" w:firstLineChars="200"/>
        <w:rPr>
          <w:rFonts w:ascii="宋体" w:hAnsi="宋体"/>
          <w:b/>
          <w:szCs w:val="21"/>
        </w:rPr>
      </w:pPr>
      <w:r>
        <w:rPr>
          <w:rFonts w:hint="eastAsia" w:ascii="宋体" w:hAnsi="宋体"/>
          <w:b/>
          <w:szCs w:val="21"/>
        </w:rPr>
        <w:t>采购代理机构无义务向未中标的投标人解释未中标原因和退还投标文件。</w:t>
      </w:r>
    </w:p>
    <w:p w14:paraId="4C945CF9">
      <w:pPr>
        <w:spacing w:line="360" w:lineRule="auto"/>
        <w:ind w:firstLine="480" w:firstLineChars="200"/>
        <w:rPr>
          <w:rFonts w:ascii="黑体" w:hAnsi="黑体" w:eastAsia="黑体"/>
          <w:sz w:val="24"/>
        </w:rPr>
      </w:pPr>
      <w:r>
        <w:rPr>
          <w:rFonts w:hint="eastAsia" w:ascii="黑体" w:hAnsi="黑体" w:eastAsia="黑体"/>
          <w:sz w:val="24"/>
        </w:rPr>
        <w:t>34.合同授予标准</w:t>
      </w:r>
    </w:p>
    <w:p w14:paraId="3B192042">
      <w:pPr>
        <w:spacing w:line="360" w:lineRule="auto"/>
        <w:ind w:firstLine="420" w:firstLineChars="200"/>
        <w:rPr>
          <w:rFonts w:ascii="宋体" w:hAnsi="宋体"/>
          <w:szCs w:val="21"/>
        </w:rPr>
      </w:pPr>
      <w:r>
        <w:rPr>
          <w:rFonts w:hint="eastAsia" w:ascii="宋体" w:hAnsi="宋体" w:cs="Courier New"/>
          <w:szCs w:val="21"/>
        </w:rPr>
        <w:t>合同将授予被确定实质上响应招标文件要求，具备履行合同能力的中标人（招标文件另有约定多名中标人的除外）。</w:t>
      </w:r>
    </w:p>
    <w:p w14:paraId="0F3B90E8">
      <w:pPr>
        <w:spacing w:line="360" w:lineRule="auto"/>
        <w:ind w:firstLine="480" w:firstLineChars="200"/>
        <w:rPr>
          <w:rFonts w:ascii="黑体" w:hAnsi="黑体" w:eastAsia="黑体"/>
          <w:sz w:val="24"/>
        </w:rPr>
      </w:pPr>
      <w:r>
        <w:rPr>
          <w:rFonts w:hint="eastAsia" w:ascii="黑体" w:hAnsi="黑体" w:eastAsia="黑体"/>
          <w:sz w:val="24"/>
        </w:rPr>
        <w:t>35.履约保证金</w:t>
      </w:r>
    </w:p>
    <w:p w14:paraId="3114FFAA">
      <w:pPr>
        <w:adjustRightInd w:val="0"/>
        <w:snapToGrid w:val="0"/>
        <w:spacing w:line="360" w:lineRule="auto"/>
        <w:ind w:firstLine="420" w:firstLineChars="200"/>
        <w:rPr>
          <w:rFonts w:ascii="宋体" w:hAnsi="宋体"/>
          <w:kern w:val="0"/>
          <w:szCs w:val="21"/>
          <w:lang w:val="zh-CN"/>
        </w:rPr>
      </w:pPr>
      <w:r>
        <w:rPr>
          <w:rFonts w:hint="eastAsia" w:ascii="宋体" w:hAnsi="宋体"/>
          <w:kern w:val="0"/>
          <w:szCs w:val="21"/>
          <w:lang w:val="zh-CN"/>
        </w:rPr>
        <w:t>见“投标人须知前附表”。</w:t>
      </w:r>
    </w:p>
    <w:p w14:paraId="368F3BAC">
      <w:pPr>
        <w:spacing w:line="360" w:lineRule="auto"/>
        <w:ind w:firstLine="480" w:firstLineChars="200"/>
        <w:rPr>
          <w:rFonts w:ascii="黑体" w:hAnsi="黑体" w:eastAsia="黑体"/>
          <w:sz w:val="24"/>
        </w:rPr>
      </w:pPr>
      <w:r>
        <w:rPr>
          <w:rFonts w:hint="eastAsia" w:ascii="黑体" w:hAnsi="黑体" w:eastAsia="黑体"/>
          <w:sz w:val="24"/>
        </w:rPr>
        <w:t>36.签订合同</w:t>
      </w:r>
    </w:p>
    <w:p w14:paraId="50578457">
      <w:pPr>
        <w:adjustRightInd w:val="0"/>
        <w:snapToGrid w:val="0"/>
        <w:spacing w:line="360" w:lineRule="auto"/>
        <w:ind w:firstLine="422" w:firstLineChars="200"/>
        <w:rPr>
          <w:rFonts w:ascii="宋体" w:hAnsi="宋体"/>
          <w:kern w:val="0"/>
          <w:szCs w:val="21"/>
          <w:lang w:val="zh-CN"/>
        </w:rPr>
      </w:pPr>
      <w:r>
        <w:rPr>
          <w:rFonts w:hint="eastAsia" w:ascii="宋体" w:hAnsi="宋体"/>
          <w:b/>
          <w:szCs w:val="21"/>
        </w:rPr>
        <w:t xml:space="preserve"> 36.1中标人领取电子中标通知书后，</w:t>
      </w:r>
      <w:r>
        <w:rPr>
          <w:rFonts w:hint="eastAsia" w:ascii="宋体" w:hAnsi="宋体"/>
          <w:kern w:val="0"/>
          <w:szCs w:val="21"/>
          <w:lang w:val="zh-CN"/>
        </w:rPr>
        <w:t>按规定的日期、时间、地点，由法定代表人或其授权代表与采购人代表签订电子采购合同。如中标人为联合体的，由联合体成员各方法定代表人或其授权代表与采购人代表签订合同，签订携带资料详见“投标人须知前附表”。</w:t>
      </w:r>
    </w:p>
    <w:p w14:paraId="21AEAAAB">
      <w:pPr>
        <w:adjustRightInd w:val="0"/>
        <w:snapToGrid w:val="0"/>
        <w:spacing w:line="360" w:lineRule="auto"/>
        <w:ind w:firstLine="420" w:firstLineChars="200"/>
        <w:rPr>
          <w:rFonts w:ascii="宋体" w:hAnsi="宋体"/>
          <w:kern w:val="0"/>
          <w:szCs w:val="21"/>
          <w:lang w:val="zh-CN"/>
        </w:rPr>
      </w:pPr>
      <w:r>
        <w:rPr>
          <w:rFonts w:hint="eastAsia" w:ascii="宋体" w:hAnsi="宋体"/>
          <w:kern w:val="0"/>
          <w:szCs w:val="21"/>
          <w:lang w:val="zh-CN"/>
        </w:rPr>
        <w:t>36.2</w:t>
      </w:r>
      <w:r>
        <w:rPr>
          <w:rFonts w:hint="eastAsia" w:ascii="宋体" w:hAnsi="宋体" w:cs="仿宋_GB2312"/>
          <w:szCs w:val="21"/>
        </w:rPr>
        <w:t>采购合同由采购人与中标人根据招标文件、投标文件等内容通过政府采购电子交易平台在线签订，自动备案。</w:t>
      </w:r>
    </w:p>
    <w:p w14:paraId="4CEAB51D">
      <w:pPr>
        <w:adjustRightInd w:val="0"/>
        <w:snapToGrid w:val="0"/>
        <w:spacing w:line="360" w:lineRule="auto"/>
        <w:ind w:firstLine="420" w:firstLineChars="200"/>
        <w:rPr>
          <w:rFonts w:ascii="宋体" w:hAnsi="宋体" w:cs="仿宋_GB2312"/>
          <w:szCs w:val="21"/>
        </w:rPr>
      </w:pPr>
      <w:r>
        <w:rPr>
          <w:rFonts w:hint="eastAsia" w:ascii="宋体" w:hAnsi="宋体"/>
          <w:szCs w:val="21"/>
        </w:rPr>
        <w:t>36.3签订合同时间：按中标通知书规定的时间与采购人签订合同（最长不能超过25日）。</w:t>
      </w:r>
    </w:p>
    <w:p w14:paraId="06DA575E">
      <w:pPr>
        <w:spacing w:line="360" w:lineRule="auto"/>
        <w:ind w:firstLine="420" w:firstLineChars="200"/>
        <w:rPr>
          <w:rFonts w:ascii="宋体" w:hAnsi="宋体"/>
          <w:szCs w:val="21"/>
        </w:rPr>
      </w:pPr>
      <w:r>
        <w:rPr>
          <w:rFonts w:hint="eastAsia" w:ascii="宋体" w:hAnsi="宋体"/>
          <w:szCs w:val="21"/>
        </w:rPr>
        <w:t>36.4中标人拒绝与采购人签订合同的，采购人可以按照评审报告推荐的中标候选人名单排序，确定下一候选人为中标人，也可以重新开展政府采购活动。如采购人无正当理由拒签合同的，给中标人造成损失的，中标人可追究采购人承担相应的法律责任。</w:t>
      </w:r>
    </w:p>
    <w:p w14:paraId="7C1D97A8">
      <w:pPr>
        <w:spacing w:line="360" w:lineRule="auto"/>
        <w:ind w:firstLine="420" w:firstLineChars="200"/>
        <w:rPr>
          <w:rFonts w:ascii="宋体" w:hAnsi="宋体"/>
          <w:szCs w:val="21"/>
        </w:rPr>
      </w:pPr>
      <w:r>
        <w:rPr>
          <w:rFonts w:hint="eastAsia" w:ascii="宋体" w:hAnsi="宋体"/>
          <w:szCs w:val="21"/>
        </w:rPr>
        <w:t>36.5政府采购合同是政府采购项目验收的依据，中标人和采购人应当按照采购合同约定的各自的权利和义务全面履行合同。任何一方当事人在履行合同过程中均不得擅自变更、中止或终止合同。政府采购合同继续履行将损害国家利益和社会公共利益的，双方当事人应当变更、中止或终止合同。有过错的一方应当承担赔偿责任，双方都有过错的，各自承担相应的责任。</w:t>
      </w:r>
    </w:p>
    <w:p w14:paraId="2AB8C9C3">
      <w:pPr>
        <w:spacing w:line="360" w:lineRule="auto"/>
        <w:ind w:firstLine="420" w:firstLineChars="200"/>
        <w:rPr>
          <w:rFonts w:ascii="宋体" w:hAnsi="宋体"/>
          <w:szCs w:val="21"/>
        </w:rPr>
      </w:pPr>
      <w:r>
        <w:rPr>
          <w:rFonts w:hint="eastAsia" w:ascii="宋体" w:hAnsi="宋体"/>
          <w:szCs w:val="21"/>
        </w:rPr>
        <w:t>36.6采购人或中标人不得单方面向合同另一方提出任何招标文件没有约定的条件或不合理的要求，作为签订合同的条件；也不得协商另行订立背离招标文件和合同实质性内容的协议。</w:t>
      </w:r>
    </w:p>
    <w:p w14:paraId="6EF8E3C0">
      <w:pPr>
        <w:spacing w:line="360" w:lineRule="auto"/>
        <w:ind w:firstLine="420" w:firstLineChars="200"/>
        <w:rPr>
          <w:rFonts w:ascii="宋体" w:hAnsi="宋体"/>
          <w:szCs w:val="21"/>
        </w:rPr>
      </w:pPr>
      <w:r>
        <w:rPr>
          <w:rFonts w:hint="eastAsia" w:ascii="宋体" w:hAnsi="宋体"/>
          <w:szCs w:val="21"/>
        </w:rPr>
        <w:t>36.7</w:t>
      </w:r>
      <w:r>
        <w:rPr>
          <w:rFonts w:hint="eastAsia" w:ascii="宋体" w:hAnsi="宋体" w:cs="仿宋_GB2312"/>
          <w:szCs w:val="21"/>
        </w:rPr>
        <w:t>如签订合同并生效后，投标人无故拒绝或延期，除按照合同条款处理外，将承担相应的法律责任。</w:t>
      </w:r>
    </w:p>
    <w:p w14:paraId="2A9C21C0">
      <w:pPr>
        <w:spacing w:line="360" w:lineRule="auto"/>
        <w:ind w:firstLine="422" w:firstLineChars="200"/>
        <w:rPr>
          <w:rFonts w:ascii="宋体" w:hAnsi="宋体"/>
          <w:b/>
          <w:szCs w:val="21"/>
        </w:rPr>
      </w:pPr>
      <w:r>
        <w:rPr>
          <w:rFonts w:hint="eastAsia" w:ascii="宋体" w:hAnsi="宋体"/>
          <w:b/>
          <w:szCs w:val="21"/>
        </w:rPr>
        <w:t>36.8采购人需追加与合同标的相同的货物或者货物的，在不改变原合同条款且已报财政部门批准落实资金的前提下，可从原中标人处添购，所签订的补充添置合同的采购资金总额不超过原采购合同金额的10%。</w:t>
      </w:r>
    </w:p>
    <w:p w14:paraId="6037D577">
      <w:pPr>
        <w:spacing w:line="360" w:lineRule="auto"/>
        <w:ind w:firstLine="480" w:firstLineChars="200"/>
        <w:rPr>
          <w:rFonts w:ascii="黑体" w:hAnsi="黑体" w:eastAsia="黑体"/>
          <w:sz w:val="24"/>
        </w:rPr>
      </w:pPr>
      <w:r>
        <w:rPr>
          <w:rFonts w:hint="eastAsia" w:ascii="黑体" w:hAnsi="黑体" w:eastAsia="黑体"/>
          <w:sz w:val="24"/>
        </w:rPr>
        <w:t>37.政府采购合同公告</w:t>
      </w:r>
    </w:p>
    <w:p w14:paraId="2C1D405E">
      <w:pPr>
        <w:spacing w:line="360" w:lineRule="auto"/>
        <w:ind w:firstLine="420" w:firstLineChars="200"/>
        <w:rPr>
          <w:rFonts w:hAnsi="宋体"/>
        </w:rPr>
      </w:pPr>
      <w:r>
        <w:rPr>
          <w:rFonts w:hint="eastAsia" w:hAnsi="宋体"/>
        </w:rPr>
        <w:t>采购人或者受托采购代理机构应当自政府采购合同签订之日起</w:t>
      </w:r>
      <w:r>
        <w:rPr>
          <w:rFonts w:hAnsi="宋体"/>
        </w:rPr>
        <w:t>2</w:t>
      </w:r>
      <w:r>
        <w:rPr>
          <w:rFonts w:hint="eastAsia" w:hAnsi="宋体"/>
        </w:rPr>
        <w:t>个工作日内，将政府采购合同</w:t>
      </w:r>
      <w:r>
        <w:rPr>
          <w:rFonts w:hint="eastAsia" w:ascii="宋体" w:hAnsi="宋体"/>
          <w:bCs/>
        </w:rPr>
        <w:t>在以下媒体上发布</w:t>
      </w:r>
      <w:r>
        <w:rPr>
          <w:rFonts w:hint="eastAsia" w:ascii="宋体" w:hAnsi="宋体" w:cs="宋体"/>
          <w:kern w:val="0"/>
          <w:szCs w:val="21"/>
        </w:rPr>
        <w:t>“广西政府采购网”（http://zfcg.gxzf.gov.cn）</w:t>
      </w:r>
      <w:r>
        <w:rPr>
          <w:rFonts w:hint="eastAsia" w:hAnsi="宋体"/>
        </w:rPr>
        <w:t>上公告，但政府采购合同中涉及国家秘密、商业秘密的内容除外。</w:t>
      </w:r>
    </w:p>
    <w:p w14:paraId="559E5F63">
      <w:pPr>
        <w:spacing w:line="360" w:lineRule="auto"/>
        <w:ind w:firstLine="480" w:firstLineChars="200"/>
        <w:rPr>
          <w:rFonts w:ascii="黑体" w:hAnsi="黑体" w:eastAsia="黑体"/>
          <w:sz w:val="24"/>
        </w:rPr>
      </w:pPr>
      <w:r>
        <w:rPr>
          <w:rFonts w:hint="eastAsia" w:ascii="黑体" w:hAnsi="黑体" w:eastAsia="黑体"/>
          <w:sz w:val="24"/>
        </w:rPr>
        <w:t>38. 询问、质疑和投诉</w:t>
      </w:r>
    </w:p>
    <w:p w14:paraId="738B382E">
      <w:pPr>
        <w:spacing w:line="360" w:lineRule="auto"/>
        <w:ind w:firstLine="422" w:firstLineChars="200"/>
        <w:rPr>
          <w:rFonts w:hAnsi="宋体"/>
          <w:b/>
          <w:szCs w:val="21"/>
        </w:rPr>
      </w:pPr>
      <w:r>
        <w:rPr>
          <w:rFonts w:hAnsi="宋体"/>
          <w:b/>
          <w:szCs w:val="21"/>
        </w:rPr>
        <w:t>38.1</w:t>
      </w:r>
      <w:r>
        <w:rPr>
          <w:rFonts w:hint="eastAsia" w:hAnsi="宋体"/>
          <w:b/>
          <w:szCs w:val="21"/>
        </w:rPr>
        <w:t>询问</w:t>
      </w:r>
    </w:p>
    <w:p w14:paraId="70F18680">
      <w:pPr>
        <w:spacing w:line="360" w:lineRule="auto"/>
        <w:ind w:firstLine="420" w:firstLineChars="200"/>
        <w:rPr>
          <w:rFonts w:hAnsi="宋体"/>
          <w:bCs/>
          <w:szCs w:val="21"/>
        </w:rPr>
      </w:pPr>
      <w:r>
        <w:rPr>
          <w:rFonts w:hAnsi="宋体"/>
          <w:bCs/>
          <w:szCs w:val="21"/>
        </w:rPr>
        <w:t>38.1.1</w:t>
      </w:r>
      <w:r>
        <w:rPr>
          <w:rFonts w:hint="eastAsia" w:hAnsi="宋体"/>
          <w:bCs/>
          <w:szCs w:val="21"/>
        </w:rPr>
        <w:t>投标人在开标前对政府采购活动事项有疑问的，可以向采购人或采购代理机构项目负责人提出询问。</w:t>
      </w:r>
    </w:p>
    <w:p w14:paraId="45ECDB68">
      <w:pPr>
        <w:spacing w:line="360" w:lineRule="auto"/>
        <w:ind w:firstLine="420" w:firstLineChars="200"/>
        <w:rPr>
          <w:rFonts w:hAnsi="宋体"/>
          <w:bCs/>
          <w:szCs w:val="21"/>
        </w:rPr>
      </w:pPr>
      <w:r>
        <w:rPr>
          <w:rFonts w:hAnsi="宋体"/>
          <w:bCs/>
          <w:szCs w:val="21"/>
        </w:rPr>
        <w:t>38.1.2</w:t>
      </w:r>
      <w:r>
        <w:rPr>
          <w:rFonts w:hint="eastAsia" w:hAnsi="宋体"/>
          <w:bCs/>
          <w:szCs w:val="21"/>
        </w:rPr>
        <w:t>采购人或采购人委托的采购代理机构自受理询问之日起</w:t>
      </w:r>
      <w:r>
        <w:rPr>
          <w:rFonts w:hAnsi="宋体"/>
          <w:bCs/>
          <w:szCs w:val="21"/>
        </w:rPr>
        <w:t>3</w:t>
      </w:r>
      <w:r>
        <w:rPr>
          <w:rFonts w:hint="eastAsia" w:hAnsi="宋体"/>
          <w:bCs/>
          <w:szCs w:val="21"/>
        </w:rPr>
        <w:t>个工作日内对投标人依法提出的询问作出答复，</w:t>
      </w:r>
      <w:r>
        <w:rPr>
          <w:rFonts w:hint="eastAsia"/>
        </w:rPr>
        <w:t>但答复内容不得涉及商业秘密</w:t>
      </w:r>
      <w:r>
        <w:rPr>
          <w:rFonts w:hint="eastAsia" w:hAnsi="宋体"/>
          <w:bCs/>
          <w:szCs w:val="21"/>
        </w:rPr>
        <w:t>。</w:t>
      </w:r>
    </w:p>
    <w:p w14:paraId="5B0E4B70">
      <w:pPr>
        <w:spacing w:line="360" w:lineRule="auto"/>
        <w:ind w:firstLine="420" w:firstLineChars="200"/>
        <w:rPr>
          <w:rFonts w:hAnsi="宋体"/>
          <w:bCs/>
          <w:szCs w:val="21"/>
        </w:rPr>
      </w:pPr>
      <w:r>
        <w:rPr>
          <w:rFonts w:hAnsi="宋体"/>
          <w:bCs/>
          <w:szCs w:val="21"/>
        </w:rPr>
        <w:t xml:space="preserve">38.1.3 </w:t>
      </w:r>
      <w:r>
        <w:rPr>
          <w:rFonts w:hint="eastAsia" w:hAnsi="宋体"/>
          <w:bCs/>
          <w:szCs w:val="21"/>
        </w:rPr>
        <w:t>询问事项可能影响中标、成交结果的，采购人应当暂停签订合同，已经签订合同的，应当中止履行合同。</w:t>
      </w:r>
    </w:p>
    <w:p w14:paraId="2FD8842F">
      <w:pPr>
        <w:spacing w:line="360" w:lineRule="auto"/>
        <w:ind w:firstLine="420" w:firstLineChars="200"/>
        <w:rPr>
          <w:rFonts w:ascii="宋体" w:hAnsi="宋体"/>
          <w:szCs w:val="21"/>
        </w:rPr>
      </w:pPr>
      <w:r>
        <w:rPr>
          <w:rFonts w:hint="eastAsia" w:ascii="宋体" w:hAnsi="宋体"/>
          <w:szCs w:val="21"/>
        </w:rPr>
        <w:t>38.2质疑</w:t>
      </w:r>
    </w:p>
    <w:p w14:paraId="4C3AEF24">
      <w:pPr>
        <w:spacing w:line="360" w:lineRule="auto"/>
        <w:ind w:firstLine="420" w:firstLineChars="200"/>
        <w:rPr>
          <w:rFonts w:ascii="宋体" w:hAnsi="宋体"/>
          <w:b/>
          <w:szCs w:val="21"/>
        </w:rPr>
      </w:pPr>
      <w:r>
        <w:rPr>
          <w:rFonts w:hint="eastAsia" w:ascii="宋体" w:hAnsi="宋体"/>
          <w:szCs w:val="21"/>
        </w:rPr>
        <w:t>38.2.1</w:t>
      </w:r>
      <w:r>
        <w:rPr>
          <w:rFonts w:hint="eastAsia" w:ascii="宋体" w:hAnsi="宋体"/>
          <w:b/>
          <w:szCs w:val="21"/>
        </w:rPr>
        <w:t>投标人认为招标文件、采购过程或者中标结果使自己的合法权益受到损害的，必须在知道或者应知其权益受到损害之日起7个工作日内，以书面形式向采购人、采购代理机构提出质疑，质疑有效期结束后，采购人或采购代理机构不再受理该项目质疑。采购人、采购代理机构接收质疑函的方式、联系部门、联系电话和通讯地址等信息详见“投标人须知前附表”。具体质疑起算时间及处理方式如下：</w:t>
      </w:r>
    </w:p>
    <w:p w14:paraId="08656E53">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）潜在投标人依法获取公开招标文件后，认为招标文件使自己的权益受到损害的，应当在公开招标文件公告期限届满之日起</w:t>
      </w:r>
      <w:r>
        <w:rPr>
          <w:rFonts w:hAnsi="宋体"/>
          <w:bCs/>
        </w:rPr>
        <w:t>7</w:t>
      </w:r>
      <w:r>
        <w:rPr>
          <w:rFonts w:hint="eastAsia" w:hAnsi="宋体"/>
          <w:bCs/>
        </w:rPr>
        <w:t>个工作日内提出质疑。</w:t>
      </w:r>
      <w:r>
        <w:rPr>
          <w:rFonts w:hint="eastAsia"/>
        </w:rPr>
        <w:t>委托代理协议无特殊约定的，</w:t>
      </w:r>
      <w:r>
        <w:rPr>
          <w:rFonts w:hint="eastAsia" w:hAnsi="宋体"/>
          <w:bCs/>
        </w:rPr>
        <w:t>对公开招标文件中采购需求（含资格要求、采购预算和评分办法）的质疑由采购人受理并负责答复；对公开招标文件中的采购执行程序的质疑由采购代理机构受理并负责答复。</w:t>
      </w:r>
    </w:p>
    <w:p w14:paraId="0786639F">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）投标人认为采购过程使自己的权益受到损害的，应当在各采购程序环节结束之日起</w:t>
      </w:r>
      <w:r>
        <w:rPr>
          <w:rFonts w:hAnsi="宋体"/>
          <w:bCs/>
        </w:rPr>
        <w:t>7</w:t>
      </w:r>
      <w:r>
        <w:rPr>
          <w:rFonts w:hint="eastAsia" w:hAnsi="宋体"/>
          <w:bCs/>
        </w:rPr>
        <w:t>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8D6A596">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）投标人认为中标或者成交结果使自己的权益受到损害的，应当在中标或者成交结果公告期限届满之日起</w:t>
      </w:r>
      <w:r>
        <w:rPr>
          <w:rFonts w:hAnsi="宋体"/>
          <w:bCs/>
        </w:rPr>
        <w:t>7</w:t>
      </w:r>
      <w:r>
        <w:rPr>
          <w:rFonts w:hint="eastAsia" w:hAnsi="宋体"/>
          <w:bCs/>
        </w:rPr>
        <w:t>个工作日内提出质疑，由采购人受理并负责答复。</w:t>
      </w:r>
    </w:p>
    <w:p w14:paraId="3B9B6A66">
      <w:pPr>
        <w:spacing w:line="360" w:lineRule="auto"/>
        <w:ind w:firstLine="422" w:firstLineChars="200"/>
        <w:rPr>
          <w:rFonts w:hAnsi="宋体"/>
          <w:bCs/>
          <w:szCs w:val="21"/>
        </w:rPr>
      </w:pPr>
      <w:r>
        <w:rPr>
          <w:rFonts w:hAnsi="宋体"/>
          <w:b/>
          <w:bCs/>
          <w:szCs w:val="21"/>
        </w:rPr>
        <w:t>38.2.2</w:t>
      </w:r>
      <w:r>
        <w:rPr>
          <w:rFonts w:hint="eastAsia" w:hAnsi="宋体"/>
          <w:bCs/>
          <w:szCs w:val="21"/>
        </w:rPr>
        <w:t>投标人质疑实行实名制，其质疑应当有具体的质疑事项及事实根据，质疑应当坚持依法依规、诚实信用原则，不得进行虚假、恶意质疑。</w:t>
      </w:r>
    </w:p>
    <w:p w14:paraId="0B950D98">
      <w:pPr>
        <w:spacing w:line="360" w:lineRule="auto"/>
        <w:ind w:firstLine="422" w:firstLineChars="200"/>
        <w:rPr>
          <w:rFonts w:hAnsi="宋体"/>
          <w:bCs/>
        </w:rPr>
      </w:pPr>
      <w:r>
        <w:rPr>
          <w:rFonts w:hAnsi="宋体"/>
          <w:b/>
          <w:bCs/>
        </w:rPr>
        <w:t>38.2.3</w:t>
      </w:r>
      <w:r>
        <w:rPr>
          <w:rFonts w:hint="eastAsia" w:hAnsi="宋体"/>
          <w:bCs/>
        </w:rPr>
        <w:t>质疑投标人可以委托代理人办理质疑事务。委托代理人应熟悉相关业务情况。代理人办理质疑事务时，除提交质疑书外，还应当提交质疑投标人的授权委托书和委托代理人身份证明复印件</w:t>
      </w:r>
      <w:r>
        <w:rPr>
          <w:rFonts w:hint="eastAsia" w:hAnsi="宋体"/>
        </w:rPr>
        <w:t>。</w:t>
      </w:r>
    </w:p>
    <w:p w14:paraId="00F0AB58">
      <w:pPr>
        <w:spacing w:line="360" w:lineRule="auto"/>
        <w:ind w:firstLine="422" w:firstLineChars="200"/>
        <w:rPr>
          <w:rFonts w:hAnsi="宋体"/>
          <w:b/>
          <w:bCs/>
        </w:rPr>
      </w:pPr>
      <w:r>
        <w:rPr>
          <w:rFonts w:hAnsi="宋体"/>
          <w:b/>
          <w:bCs/>
        </w:rPr>
        <w:t xml:space="preserve">38.2.4 </w:t>
      </w:r>
      <w:r>
        <w:rPr>
          <w:rFonts w:hint="eastAsia" w:hAnsi="宋体"/>
          <w:b/>
          <w:bCs/>
        </w:rPr>
        <w:t>质疑投标人提起质疑应当符合下列条件：</w:t>
      </w:r>
    </w:p>
    <w:p w14:paraId="1F901732">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）质疑投标人是参与所质疑</w:t>
      </w:r>
      <w:r>
        <w:rPr>
          <w:rFonts w:hint="eastAsia" w:hAnsi="宋体"/>
          <w:bCs/>
          <w:szCs w:val="21"/>
        </w:rPr>
        <w:t>项目</w:t>
      </w:r>
      <w:r>
        <w:rPr>
          <w:rFonts w:hint="eastAsia" w:hAnsi="宋体"/>
          <w:bCs/>
        </w:rPr>
        <w:t>采购活动的投标人（潜在投标人已依法获取可之一的招标文件的，可以对该招标文件质疑）；</w:t>
      </w:r>
    </w:p>
    <w:p w14:paraId="6366B7F6">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）质疑函内容符合本章第</w:t>
      </w:r>
      <w:r>
        <w:rPr>
          <w:rFonts w:hAnsi="宋体"/>
          <w:bCs/>
        </w:rPr>
        <w:t>38.2.5</w:t>
      </w:r>
      <w:r>
        <w:rPr>
          <w:rFonts w:hint="eastAsia" w:hAnsi="宋体"/>
          <w:bCs/>
        </w:rPr>
        <w:t>项的规定；</w:t>
      </w:r>
    </w:p>
    <w:p w14:paraId="3D55D50A">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）在质疑有效期限内提起质疑；</w:t>
      </w:r>
    </w:p>
    <w:p w14:paraId="3271F61F">
      <w:pPr>
        <w:spacing w:line="360" w:lineRule="auto"/>
        <w:ind w:firstLine="420" w:firstLineChars="200"/>
        <w:rPr>
          <w:rFonts w:hAnsi="宋体"/>
          <w:bCs/>
        </w:rPr>
      </w:pPr>
      <w:r>
        <w:rPr>
          <w:rFonts w:hint="eastAsia" w:hAnsi="宋体"/>
          <w:bCs/>
        </w:rPr>
        <w:t>（</w:t>
      </w:r>
      <w:r>
        <w:rPr>
          <w:rFonts w:hAnsi="宋体"/>
          <w:bCs/>
        </w:rPr>
        <w:t>4</w:t>
      </w:r>
      <w:r>
        <w:rPr>
          <w:rFonts w:hint="eastAsia" w:hAnsi="宋体"/>
          <w:bCs/>
        </w:rPr>
        <w:t>）属于所质疑的采购人或采购人委托的采购代理机构组织的采购活动；</w:t>
      </w:r>
    </w:p>
    <w:p w14:paraId="759E7E35">
      <w:pPr>
        <w:spacing w:line="360" w:lineRule="auto"/>
        <w:ind w:firstLine="420" w:firstLineChars="200"/>
        <w:rPr>
          <w:rFonts w:hAnsi="宋体"/>
          <w:bCs/>
        </w:rPr>
      </w:pPr>
      <w:r>
        <w:rPr>
          <w:rFonts w:hint="eastAsia" w:hAnsi="宋体"/>
          <w:bCs/>
        </w:rPr>
        <w:t>（</w:t>
      </w:r>
      <w:r>
        <w:rPr>
          <w:rFonts w:hAnsi="宋体"/>
          <w:bCs/>
        </w:rPr>
        <w:t>5</w:t>
      </w:r>
      <w:r>
        <w:rPr>
          <w:rFonts w:hint="eastAsia" w:hAnsi="宋体"/>
          <w:bCs/>
        </w:rPr>
        <w:t>）同一质疑事项未经采购人或采购人委托的采购代理机构质疑处理；</w:t>
      </w:r>
    </w:p>
    <w:p w14:paraId="3390F1F6">
      <w:pPr>
        <w:spacing w:line="360" w:lineRule="auto"/>
        <w:ind w:firstLine="420" w:firstLineChars="200"/>
        <w:rPr>
          <w:rFonts w:hAnsi="宋体"/>
          <w:bCs/>
        </w:rPr>
      </w:pPr>
      <w:r>
        <w:rPr>
          <w:rFonts w:hint="eastAsia" w:hAnsi="宋体"/>
          <w:bCs/>
        </w:rPr>
        <w:t>（</w:t>
      </w:r>
      <w:r>
        <w:rPr>
          <w:rFonts w:hAnsi="宋体"/>
          <w:bCs/>
        </w:rPr>
        <w:t>6</w:t>
      </w:r>
      <w:r>
        <w:rPr>
          <w:rFonts w:hint="eastAsia" w:hAnsi="宋体"/>
          <w:bCs/>
        </w:rPr>
        <w:t>）投标人对同一采购程序环节的质疑应当在质疑有效期内一次性提出；</w:t>
      </w:r>
    </w:p>
    <w:p w14:paraId="0664E46C">
      <w:pPr>
        <w:spacing w:line="360" w:lineRule="auto"/>
        <w:ind w:firstLine="420" w:firstLineChars="200"/>
        <w:rPr>
          <w:rFonts w:hAnsi="宋体"/>
          <w:bCs/>
        </w:rPr>
      </w:pPr>
      <w:r>
        <w:rPr>
          <w:rFonts w:hint="eastAsia" w:hAnsi="宋体"/>
          <w:bCs/>
        </w:rPr>
        <w:t>（</w:t>
      </w:r>
      <w:r>
        <w:rPr>
          <w:rFonts w:hAnsi="宋体"/>
          <w:bCs/>
        </w:rPr>
        <w:t>7</w:t>
      </w:r>
      <w:r>
        <w:rPr>
          <w:rFonts w:hint="eastAsia" w:hAnsi="宋体"/>
          <w:bCs/>
        </w:rPr>
        <w:t>）投标人提交质疑应当提交必要的证明材料，证明材料应以合法手段取得；</w:t>
      </w:r>
    </w:p>
    <w:p w14:paraId="01101A1D">
      <w:pPr>
        <w:spacing w:line="360" w:lineRule="auto"/>
        <w:ind w:firstLine="420" w:firstLineChars="200"/>
      </w:pPr>
      <w:r>
        <w:rPr>
          <w:rFonts w:hint="eastAsia" w:hAnsi="宋体"/>
          <w:bCs/>
        </w:rPr>
        <w:t>（</w:t>
      </w:r>
      <w:r>
        <w:rPr>
          <w:rFonts w:hAnsi="宋体"/>
          <w:bCs/>
        </w:rPr>
        <w:t>8</w:t>
      </w:r>
      <w:r>
        <w:rPr>
          <w:rFonts w:hint="eastAsia" w:hAnsi="宋体"/>
          <w:bCs/>
        </w:rPr>
        <w:t>）财政部门规定的其他条件。</w:t>
      </w:r>
    </w:p>
    <w:p w14:paraId="43DBA03F">
      <w:pPr>
        <w:spacing w:line="360" w:lineRule="auto"/>
        <w:ind w:firstLine="420" w:firstLineChars="200"/>
        <w:rPr>
          <w:rFonts w:ascii="宋体" w:hAnsi="宋体"/>
          <w:b/>
          <w:szCs w:val="21"/>
        </w:rPr>
      </w:pPr>
      <w:r>
        <w:rPr>
          <w:rFonts w:hint="eastAsia" w:ascii="宋体" w:hAnsi="宋体"/>
          <w:szCs w:val="21"/>
        </w:rPr>
        <w:t xml:space="preserve"> 38.2.5 </w:t>
      </w:r>
      <w:r>
        <w:rPr>
          <w:rFonts w:hint="eastAsia" w:hAnsi="宋体"/>
          <w:bCs/>
        </w:rPr>
        <w:t>投标人提出质疑应当提交质疑函和必要的证明材料，针对同一采购程序环节的质疑必须在法定质疑期内一次性提出。质疑函应当包括下列内容（质疑函格式后附）：</w:t>
      </w:r>
    </w:p>
    <w:p w14:paraId="28C1E52D">
      <w:pPr>
        <w:spacing w:line="360" w:lineRule="auto"/>
        <w:ind w:firstLine="420" w:firstLineChars="200"/>
        <w:rPr>
          <w:rFonts w:hAnsi="宋体"/>
          <w:bCs/>
        </w:rPr>
      </w:pPr>
      <w:r>
        <w:rPr>
          <w:rFonts w:hint="eastAsia" w:hAnsi="宋体"/>
          <w:bCs/>
        </w:rPr>
        <w:t>（</w:t>
      </w:r>
      <w:r>
        <w:rPr>
          <w:rFonts w:hAnsi="宋体"/>
          <w:bCs/>
        </w:rPr>
        <w:t>1</w:t>
      </w:r>
      <w:r>
        <w:rPr>
          <w:rFonts w:hint="eastAsia" w:hAnsi="宋体"/>
          <w:bCs/>
        </w:rPr>
        <w:t>）投标人的姓名或者名称、地址、邮编、联系人及联系电话；</w:t>
      </w:r>
    </w:p>
    <w:p w14:paraId="4BD8A3C5">
      <w:pPr>
        <w:spacing w:line="360" w:lineRule="auto"/>
        <w:ind w:firstLine="420" w:firstLineChars="200"/>
        <w:rPr>
          <w:rFonts w:hAnsi="宋体"/>
          <w:bCs/>
        </w:rPr>
      </w:pPr>
      <w:r>
        <w:rPr>
          <w:rFonts w:hint="eastAsia" w:hAnsi="宋体"/>
          <w:bCs/>
        </w:rPr>
        <w:t>（</w:t>
      </w:r>
      <w:r>
        <w:rPr>
          <w:rFonts w:hAnsi="宋体"/>
          <w:bCs/>
        </w:rPr>
        <w:t>2</w:t>
      </w:r>
      <w:r>
        <w:rPr>
          <w:rFonts w:hint="eastAsia" w:hAnsi="宋体"/>
          <w:bCs/>
        </w:rPr>
        <w:t>）质疑项目的名称、编号；</w:t>
      </w:r>
    </w:p>
    <w:p w14:paraId="3FB06A8B">
      <w:pPr>
        <w:spacing w:line="360" w:lineRule="auto"/>
        <w:ind w:firstLine="420" w:firstLineChars="200"/>
        <w:rPr>
          <w:rFonts w:hAnsi="宋体"/>
          <w:bCs/>
        </w:rPr>
      </w:pPr>
      <w:r>
        <w:rPr>
          <w:rFonts w:hint="eastAsia" w:hAnsi="宋体"/>
          <w:bCs/>
        </w:rPr>
        <w:t>（</w:t>
      </w:r>
      <w:r>
        <w:rPr>
          <w:rFonts w:hAnsi="宋体"/>
          <w:bCs/>
        </w:rPr>
        <w:t>3</w:t>
      </w:r>
      <w:r>
        <w:rPr>
          <w:rFonts w:hint="eastAsia" w:hAnsi="宋体"/>
          <w:bCs/>
        </w:rPr>
        <w:t>）具体、明确的质疑事项和与质疑事项相关的请求；</w:t>
      </w:r>
    </w:p>
    <w:p w14:paraId="2315154D">
      <w:pPr>
        <w:spacing w:line="360" w:lineRule="auto"/>
        <w:ind w:firstLine="420" w:firstLineChars="200"/>
        <w:rPr>
          <w:rFonts w:hAnsi="宋体"/>
          <w:bCs/>
        </w:rPr>
      </w:pPr>
      <w:r>
        <w:rPr>
          <w:rFonts w:hint="eastAsia" w:hAnsi="宋体"/>
          <w:bCs/>
        </w:rPr>
        <w:t>（</w:t>
      </w:r>
      <w:r>
        <w:rPr>
          <w:rFonts w:hAnsi="宋体"/>
          <w:bCs/>
        </w:rPr>
        <w:t>4</w:t>
      </w:r>
      <w:r>
        <w:rPr>
          <w:rFonts w:hint="eastAsia" w:hAnsi="宋体"/>
          <w:bCs/>
        </w:rPr>
        <w:t>）事实依据（列明权益受到损害的事实和理由）；</w:t>
      </w:r>
    </w:p>
    <w:p w14:paraId="5BC023A9">
      <w:pPr>
        <w:spacing w:line="360" w:lineRule="auto"/>
        <w:ind w:firstLine="420" w:firstLineChars="200"/>
        <w:rPr>
          <w:rFonts w:hAnsi="宋体"/>
          <w:bCs/>
        </w:rPr>
      </w:pPr>
      <w:r>
        <w:rPr>
          <w:rFonts w:hint="eastAsia" w:hAnsi="宋体"/>
          <w:bCs/>
        </w:rPr>
        <w:t>（</w:t>
      </w:r>
      <w:r>
        <w:rPr>
          <w:rFonts w:hAnsi="宋体"/>
          <w:bCs/>
        </w:rPr>
        <w:t>5</w:t>
      </w:r>
      <w:r>
        <w:rPr>
          <w:rFonts w:hint="eastAsia" w:hAnsi="宋体"/>
          <w:bCs/>
        </w:rPr>
        <w:t>）必要的法律依据；</w:t>
      </w:r>
    </w:p>
    <w:p w14:paraId="1C1AAEF1">
      <w:pPr>
        <w:spacing w:line="360" w:lineRule="auto"/>
        <w:ind w:firstLine="420" w:firstLineChars="200"/>
        <w:rPr>
          <w:rFonts w:hAnsi="宋体"/>
          <w:bCs/>
        </w:rPr>
      </w:pPr>
      <w:r>
        <w:rPr>
          <w:rFonts w:hint="eastAsia" w:hAnsi="宋体"/>
          <w:bCs/>
        </w:rPr>
        <w:t>（</w:t>
      </w:r>
      <w:r>
        <w:rPr>
          <w:rFonts w:hAnsi="宋体"/>
          <w:bCs/>
        </w:rPr>
        <w:t>6</w:t>
      </w:r>
      <w:r>
        <w:rPr>
          <w:rFonts w:hint="eastAsia" w:hAnsi="宋体"/>
          <w:bCs/>
        </w:rPr>
        <w:t>）提出质疑的日期。</w:t>
      </w:r>
    </w:p>
    <w:p w14:paraId="57B55DF5">
      <w:pPr>
        <w:spacing w:line="360" w:lineRule="auto"/>
        <w:ind w:firstLine="420" w:firstLineChars="200"/>
        <w:rPr>
          <w:rFonts w:hAnsi="宋体"/>
          <w:bCs/>
        </w:rPr>
      </w:pPr>
      <w:r>
        <w:rPr>
          <w:rFonts w:hint="eastAsia" w:hAnsi="宋体"/>
          <w:bCs/>
        </w:rPr>
        <w:t>投标人为自然人的，应当由本人签字；投标人为法人或者其他组织的，应当由法定代表人、主要负责人，或者其委托代理人签字或者盖章，并加盖公章。</w:t>
      </w:r>
    </w:p>
    <w:p w14:paraId="1D3802E0">
      <w:pPr>
        <w:spacing w:line="360" w:lineRule="auto"/>
        <w:ind w:firstLine="422" w:firstLineChars="200"/>
        <w:rPr>
          <w:rFonts w:ascii="宋体" w:hAnsi="宋体"/>
          <w:b/>
          <w:szCs w:val="20"/>
        </w:rPr>
      </w:pPr>
      <w:r>
        <w:rPr>
          <w:rFonts w:hint="eastAsia" w:ascii="宋体" w:hAnsi="宋体"/>
          <w:b/>
          <w:szCs w:val="20"/>
        </w:rPr>
        <w:t>38.2.6采购人或采购人委托的采购代理机构在收到质疑函后7个工作日内作出答复，并以书面形式通知质疑投标人及其他有关投标人。对不符合质疑条件的质疑，答复不予受理，并说明理由；对符合质疑条件的质疑，对质疑事项作出答复</w:t>
      </w:r>
    </w:p>
    <w:p w14:paraId="532C06AC">
      <w:pPr>
        <w:spacing w:line="360" w:lineRule="auto"/>
        <w:ind w:firstLine="420" w:firstLineChars="200"/>
        <w:rPr>
          <w:rFonts w:ascii="宋体" w:hAnsi="宋体"/>
          <w:bCs/>
          <w:szCs w:val="21"/>
        </w:rPr>
      </w:pPr>
      <w:r>
        <w:rPr>
          <w:rFonts w:hint="eastAsia" w:ascii="宋体" w:hAnsi="宋体"/>
          <w:szCs w:val="21"/>
        </w:rPr>
        <w:t>3</w:t>
      </w:r>
      <w:r>
        <w:rPr>
          <w:rFonts w:hint="eastAsia" w:ascii="宋体" w:hAnsi="宋体"/>
          <w:bCs/>
          <w:szCs w:val="21"/>
        </w:rPr>
        <w:t>8.2.7采购人、采购代理机构认为投标人质疑不成立，或者成立但未对中标结果构成影响的，继续开展采购活动；认为投标人质疑成立且影响或者可能影响中标结果的，按照下列情况处理：</w:t>
      </w:r>
    </w:p>
    <w:p w14:paraId="45274EB2">
      <w:pPr>
        <w:spacing w:line="360" w:lineRule="auto"/>
        <w:ind w:firstLine="420" w:firstLineChars="200"/>
        <w:rPr>
          <w:rFonts w:hAnsi="宋体"/>
          <w:bCs/>
        </w:rPr>
      </w:pPr>
      <w:r>
        <w:rPr>
          <w:rFonts w:hint="eastAsia" w:hAnsi="宋体"/>
          <w:bCs/>
        </w:rPr>
        <w:t>　　（一）对招标文件提出的质疑，依法通过澄清或者修改可以继续开展采购活动的，澄清或者修改招标文件后继续开展采购活动；否则应当修改招标文件后重新开展采购活动。</w:t>
      </w:r>
    </w:p>
    <w:p w14:paraId="40105450">
      <w:pPr>
        <w:spacing w:line="360" w:lineRule="auto"/>
        <w:ind w:firstLine="420" w:firstLineChars="200"/>
        <w:rPr>
          <w:rFonts w:hAnsi="宋体"/>
          <w:bCs/>
        </w:rPr>
      </w:pPr>
      <w:r>
        <w:rPr>
          <w:rFonts w:hint="eastAsia" w:hAnsi="宋体"/>
          <w:bCs/>
        </w:rPr>
        <w:t>　　（二）对采购过程、中标结果提出的质疑，合格投标人符合法定数量时，可以从合格的中标候选人中另行确定中标人的，应当依法另行确定中标人；否则应当重新开展采购活动。</w:t>
      </w:r>
    </w:p>
    <w:p w14:paraId="01AA7BC2">
      <w:pPr>
        <w:spacing w:line="360" w:lineRule="auto"/>
        <w:ind w:firstLine="420" w:firstLineChars="200"/>
        <w:rPr>
          <w:rFonts w:hAnsi="宋体"/>
          <w:bCs/>
        </w:rPr>
      </w:pPr>
      <w:r>
        <w:rPr>
          <w:rFonts w:hint="eastAsia" w:hAnsi="宋体"/>
          <w:bCs/>
        </w:rPr>
        <w:t>质疑答复导致中标结果改变的，采购人或者采购代理机构应当将有关情况书面报告本级财政部门。</w:t>
      </w:r>
    </w:p>
    <w:p w14:paraId="29A349DC">
      <w:pPr>
        <w:spacing w:line="360" w:lineRule="auto"/>
        <w:ind w:firstLine="422" w:firstLineChars="200"/>
        <w:rPr>
          <w:rFonts w:hAnsi="宋体"/>
          <w:b/>
        </w:rPr>
      </w:pPr>
      <w:r>
        <w:rPr>
          <w:rFonts w:hAnsi="宋体"/>
          <w:b/>
        </w:rPr>
        <w:t>38.3</w:t>
      </w:r>
      <w:r>
        <w:rPr>
          <w:rFonts w:hint="eastAsia" w:hAnsi="宋体"/>
          <w:b/>
        </w:rPr>
        <w:t>投诉</w:t>
      </w:r>
    </w:p>
    <w:p w14:paraId="42F2C2EB">
      <w:pPr>
        <w:spacing w:line="360" w:lineRule="auto"/>
        <w:ind w:firstLine="422" w:firstLineChars="200"/>
        <w:rPr>
          <w:rFonts w:hAnsi="宋体"/>
          <w:bCs/>
        </w:rPr>
      </w:pPr>
      <w:r>
        <w:rPr>
          <w:rFonts w:hAnsi="宋体"/>
          <w:b/>
        </w:rPr>
        <w:t>38.3</w:t>
      </w:r>
      <w:r>
        <w:rPr>
          <w:rFonts w:hAnsi="宋体"/>
          <w:bCs/>
        </w:rPr>
        <w:t>.</w:t>
      </w:r>
      <w:r>
        <w:rPr>
          <w:rFonts w:hAnsi="宋体"/>
          <w:b/>
          <w:bCs/>
        </w:rPr>
        <w:t xml:space="preserve">1 </w:t>
      </w:r>
      <w:r>
        <w:rPr>
          <w:rFonts w:hint="eastAsia" w:hAnsi="宋体"/>
          <w:bCs/>
        </w:rPr>
        <w:t>投标人认为招标文件、采购过程、中标和成交结果使自己的合法权益受到损害的，应当首先依法向采购人或采购人委托的</w:t>
      </w:r>
      <w:r>
        <w:rPr>
          <w:rFonts w:hint="eastAsia" w:hAnsi="宋体"/>
        </w:rPr>
        <w:t>采购代理机构</w:t>
      </w:r>
      <w:r>
        <w:rPr>
          <w:rFonts w:hint="eastAsia" w:hAnsi="宋体"/>
          <w:bCs/>
        </w:rPr>
        <w:t>提出质疑。对采购人、</w:t>
      </w:r>
      <w:r>
        <w:rPr>
          <w:rFonts w:hint="eastAsia" w:hAnsi="宋体"/>
        </w:rPr>
        <w:t>采购代理机构</w:t>
      </w:r>
      <w:r>
        <w:rPr>
          <w:rFonts w:hint="eastAsia" w:hAnsi="宋体"/>
          <w:bCs/>
        </w:rPr>
        <w:t>的答复不满意，或者采购人、</w:t>
      </w:r>
      <w:r>
        <w:rPr>
          <w:rFonts w:hint="eastAsia" w:hAnsi="宋体"/>
        </w:rPr>
        <w:t>采购代理机构</w:t>
      </w:r>
      <w:r>
        <w:rPr>
          <w:rFonts w:hint="eastAsia" w:hAnsi="宋体"/>
          <w:bCs/>
        </w:rPr>
        <w:t>未在规定期限内做出答复的，投标人可以在答复期满后</w:t>
      </w:r>
      <w:r>
        <w:rPr>
          <w:rFonts w:hAnsi="宋体"/>
          <w:bCs/>
        </w:rPr>
        <w:t>15</w:t>
      </w:r>
      <w:r>
        <w:rPr>
          <w:rFonts w:hint="eastAsia" w:hAnsi="宋体"/>
          <w:bCs/>
        </w:rPr>
        <w:t>个工作日内向南宁市政府采购监督管理部门提起投诉，投诉联系方式见“投标人须知前附表”。</w:t>
      </w:r>
    </w:p>
    <w:p w14:paraId="67C1196E">
      <w:pPr>
        <w:spacing w:line="360" w:lineRule="auto"/>
        <w:ind w:firstLine="422" w:firstLineChars="200"/>
        <w:rPr>
          <w:rFonts w:hAnsi="宋体"/>
          <w:bCs/>
        </w:rPr>
      </w:pPr>
      <w:r>
        <w:rPr>
          <w:rFonts w:hAnsi="宋体"/>
          <w:b/>
        </w:rPr>
        <w:t>38.3</w:t>
      </w:r>
      <w:r>
        <w:rPr>
          <w:b/>
        </w:rPr>
        <w:t xml:space="preserve">.2 </w:t>
      </w:r>
      <w:r>
        <w:rPr>
          <w:rFonts w:hint="eastAsia"/>
        </w:rPr>
        <w:t>投诉人投诉时，应当提交投诉书，并按照被投诉采购人、</w:t>
      </w:r>
      <w:r>
        <w:rPr>
          <w:rFonts w:hint="eastAsia" w:hAnsi="宋体"/>
        </w:rPr>
        <w:t>采购代理机构</w:t>
      </w:r>
      <w:r>
        <w:rPr>
          <w:rFonts w:hint="eastAsia"/>
        </w:rPr>
        <w:t>和与投诉事项有关的投标人数量提供投诉书的副本。投诉书</w:t>
      </w:r>
      <w:r>
        <w:rPr>
          <w:rFonts w:hint="eastAsia"/>
          <w:szCs w:val="21"/>
        </w:rPr>
        <w:t>应当包括下列主要内容</w:t>
      </w:r>
      <w:r>
        <w:rPr>
          <w:rFonts w:hint="eastAsia"/>
        </w:rPr>
        <w:t>（如材料中有外文资料应同时附上对应的中文译本）</w:t>
      </w:r>
      <w:r>
        <w:rPr>
          <w:rFonts w:hint="eastAsia" w:hAnsi="宋体"/>
          <w:bCs/>
        </w:rPr>
        <w:t>（投诉书格式后附）</w:t>
      </w:r>
      <w:r>
        <w:rPr>
          <w:rFonts w:hint="eastAsia"/>
          <w:szCs w:val="21"/>
        </w:rPr>
        <w:t>：</w:t>
      </w:r>
    </w:p>
    <w:p w14:paraId="77F36A1E">
      <w:pPr>
        <w:spacing w:line="360" w:lineRule="auto"/>
        <w:ind w:firstLine="420" w:firstLineChars="200"/>
      </w:pPr>
      <w:r>
        <w:rPr>
          <w:rFonts w:hint="eastAsia" w:hAnsi="宋体"/>
        </w:rPr>
        <w:t>（</w:t>
      </w:r>
      <w:r>
        <w:rPr>
          <w:rFonts w:hAnsi="宋体"/>
        </w:rPr>
        <w:t>1</w:t>
      </w:r>
      <w:r>
        <w:rPr>
          <w:rFonts w:hint="eastAsia" w:hAnsi="宋体"/>
        </w:rPr>
        <w:t>）投诉人和被投诉人的名称、地址、邮编、联系人及联系电话等；</w:t>
      </w:r>
    </w:p>
    <w:p w14:paraId="4C0C6B93">
      <w:pPr>
        <w:spacing w:line="360" w:lineRule="auto"/>
        <w:ind w:firstLine="420" w:firstLineChars="200"/>
      </w:pPr>
      <w:r>
        <w:rPr>
          <w:rFonts w:hint="eastAsia" w:hAnsi="宋体"/>
        </w:rPr>
        <w:t>（</w:t>
      </w:r>
      <w:r>
        <w:rPr>
          <w:rFonts w:hAnsi="宋体"/>
        </w:rPr>
        <w:t>2</w:t>
      </w:r>
      <w:r>
        <w:rPr>
          <w:rFonts w:hint="eastAsia" w:hAnsi="宋体"/>
        </w:rPr>
        <w:t>）质疑和质疑答复情况及相关证明材料；</w:t>
      </w:r>
    </w:p>
    <w:p w14:paraId="04C929F6">
      <w:pPr>
        <w:spacing w:line="360" w:lineRule="auto"/>
        <w:ind w:firstLine="420" w:firstLineChars="200"/>
        <w:rPr>
          <w:rFonts w:hAnsi="宋体"/>
        </w:rPr>
      </w:pPr>
      <w:r>
        <w:rPr>
          <w:rFonts w:hint="eastAsia" w:hAnsi="宋体"/>
        </w:rPr>
        <w:t>（</w:t>
      </w:r>
      <w:r>
        <w:rPr>
          <w:rFonts w:hAnsi="宋体"/>
        </w:rPr>
        <w:t>3</w:t>
      </w:r>
      <w:r>
        <w:rPr>
          <w:rFonts w:hint="eastAsia" w:hAnsi="宋体"/>
        </w:rPr>
        <w:t>）具体、明确的投诉事项和与投诉事项相关的投诉请求；</w:t>
      </w:r>
    </w:p>
    <w:p w14:paraId="4445994F">
      <w:pPr>
        <w:spacing w:line="360" w:lineRule="auto"/>
        <w:ind w:firstLine="420" w:firstLineChars="200"/>
        <w:rPr>
          <w:rFonts w:hAnsi="宋体"/>
        </w:rPr>
      </w:pPr>
      <w:r>
        <w:rPr>
          <w:rFonts w:hint="eastAsia" w:hAnsi="宋体"/>
        </w:rPr>
        <w:t>（</w:t>
      </w:r>
      <w:r>
        <w:rPr>
          <w:rFonts w:hAnsi="宋体"/>
        </w:rPr>
        <w:t>4</w:t>
      </w:r>
      <w:r>
        <w:rPr>
          <w:rFonts w:hint="eastAsia" w:hAnsi="宋体"/>
        </w:rPr>
        <w:t>）事实依据；</w:t>
      </w:r>
    </w:p>
    <w:p w14:paraId="08F65993">
      <w:pPr>
        <w:spacing w:line="360" w:lineRule="auto"/>
        <w:ind w:firstLine="420" w:firstLineChars="200"/>
      </w:pPr>
      <w:r>
        <w:rPr>
          <w:rFonts w:hint="eastAsia" w:hAnsi="宋体"/>
        </w:rPr>
        <w:t>（</w:t>
      </w:r>
      <w:r>
        <w:rPr>
          <w:rFonts w:hAnsi="宋体"/>
        </w:rPr>
        <w:t>5</w:t>
      </w:r>
      <w:r>
        <w:rPr>
          <w:rFonts w:hint="eastAsia" w:hAnsi="宋体"/>
        </w:rPr>
        <w:t>）法律依据；</w:t>
      </w:r>
    </w:p>
    <w:p w14:paraId="4B02AE68">
      <w:pPr>
        <w:spacing w:line="360" w:lineRule="auto"/>
        <w:ind w:firstLine="420" w:firstLineChars="200"/>
        <w:rPr>
          <w:rFonts w:hAnsi="宋体"/>
        </w:rPr>
      </w:pPr>
      <w:r>
        <w:rPr>
          <w:rFonts w:hint="eastAsia" w:hAnsi="宋体"/>
        </w:rPr>
        <w:t>（</w:t>
      </w:r>
      <w:r>
        <w:rPr>
          <w:rFonts w:hAnsi="宋体"/>
        </w:rPr>
        <w:t>6</w:t>
      </w:r>
      <w:r>
        <w:rPr>
          <w:rFonts w:hint="eastAsia" w:hAnsi="宋体"/>
        </w:rPr>
        <w:t>）提起投诉的日期。</w:t>
      </w:r>
    </w:p>
    <w:p w14:paraId="004552C5">
      <w:pPr>
        <w:spacing w:line="360" w:lineRule="auto"/>
        <w:ind w:firstLine="420" w:firstLineChars="200"/>
        <w:rPr>
          <w:rFonts w:hAnsi="宋体"/>
        </w:rPr>
      </w:pPr>
      <w:r>
        <w:rPr>
          <w:rFonts w:hint="eastAsia" w:hAnsi="宋体"/>
        </w:rPr>
        <w:t>（</w:t>
      </w:r>
      <w:r>
        <w:rPr>
          <w:rFonts w:hAnsi="宋体"/>
        </w:rPr>
        <w:t>7</w:t>
      </w:r>
      <w:r>
        <w:rPr>
          <w:rFonts w:hint="eastAsia" w:hAnsi="宋体"/>
        </w:rPr>
        <w:t>）附件材料：营业执照副本内页复印件（要求证件有效并清晰反映企业法人经营范围；近期连续三个月依法缴纳税收和在职职工社会保障资金证明材料（复印件）。</w:t>
      </w:r>
      <w:r>
        <w:rPr>
          <w:rFonts w:hAnsi="宋体"/>
        </w:rPr>
        <w:tab/>
      </w:r>
    </w:p>
    <w:p w14:paraId="71C73CEC">
      <w:pPr>
        <w:spacing w:line="360" w:lineRule="auto"/>
        <w:ind w:firstLine="422" w:firstLineChars="200"/>
        <w:rPr>
          <w:rFonts w:hAnsi="宋体"/>
          <w:bCs/>
        </w:rPr>
      </w:pPr>
      <w:r>
        <w:rPr>
          <w:rFonts w:hAnsi="宋体"/>
          <w:b/>
        </w:rPr>
        <w:t>38.3</w:t>
      </w:r>
      <w:r>
        <w:rPr>
          <w:b/>
        </w:rPr>
        <w:t xml:space="preserve">.3  </w:t>
      </w:r>
      <w:r>
        <w:rPr>
          <w:rFonts w:hint="eastAsia"/>
        </w:rPr>
        <w:t>投诉人可以委托代理人办理投诉事务。</w:t>
      </w:r>
      <w:r>
        <w:rPr>
          <w:rFonts w:hint="eastAsia" w:hAnsi="宋体"/>
          <w:bCs/>
        </w:rPr>
        <w:t>委托代理人应熟悉相关业务情况。</w:t>
      </w:r>
      <w:r>
        <w:rPr>
          <w:rFonts w:hint="eastAsia"/>
        </w:rPr>
        <w:t>代理人办理投诉事务时，除提交投诉书外，还应当提交投诉人的授权委托书和</w:t>
      </w:r>
      <w:r>
        <w:rPr>
          <w:rFonts w:hint="eastAsia" w:hAnsi="宋体"/>
        </w:rPr>
        <w:t>委托代理人身份证明复印件。</w:t>
      </w:r>
    </w:p>
    <w:p w14:paraId="60B95DD0">
      <w:pPr>
        <w:spacing w:line="360" w:lineRule="auto"/>
        <w:ind w:firstLine="422" w:firstLineChars="200"/>
        <w:rPr>
          <w:rFonts w:hAnsi="宋体"/>
        </w:rPr>
      </w:pPr>
      <w:r>
        <w:rPr>
          <w:rFonts w:hAnsi="宋体"/>
          <w:b/>
        </w:rPr>
        <w:t>38.3</w:t>
      </w:r>
      <w:r>
        <w:rPr>
          <w:b/>
        </w:rPr>
        <w:t>.4</w:t>
      </w:r>
      <w:r>
        <w:rPr>
          <w:rFonts w:hint="eastAsia"/>
        </w:rPr>
        <w:t>投诉人提起投诉应当符合下列条件：</w:t>
      </w:r>
    </w:p>
    <w:p w14:paraId="57B16B87">
      <w:pPr>
        <w:spacing w:line="360" w:lineRule="auto"/>
        <w:ind w:firstLine="420" w:firstLineChars="200"/>
        <w:rPr>
          <w:rFonts w:ascii="宋体" w:hAnsi="宋体"/>
        </w:rPr>
      </w:pPr>
      <w:r>
        <w:rPr>
          <w:rFonts w:hint="eastAsia" w:ascii="宋体" w:hAnsi="宋体"/>
        </w:rPr>
        <w:t>（1）投诉人是参与所投诉政府采购活动的投标人；</w:t>
      </w:r>
    </w:p>
    <w:p w14:paraId="3302087A">
      <w:pPr>
        <w:spacing w:line="360" w:lineRule="auto"/>
        <w:ind w:firstLine="420" w:firstLineChars="200"/>
        <w:rPr>
          <w:rFonts w:ascii="宋体" w:hAnsi="宋体"/>
        </w:rPr>
      </w:pPr>
      <w:r>
        <w:rPr>
          <w:rFonts w:hint="eastAsia" w:ascii="宋体" w:hAnsi="宋体"/>
        </w:rPr>
        <w:t>（2）提起投诉前已依法进行质疑；</w:t>
      </w:r>
    </w:p>
    <w:p w14:paraId="1EC41D70">
      <w:pPr>
        <w:spacing w:line="360" w:lineRule="auto"/>
        <w:ind w:firstLine="420" w:firstLineChars="200"/>
        <w:rPr>
          <w:rFonts w:ascii="宋体" w:hAnsi="宋体"/>
        </w:rPr>
      </w:pPr>
      <w:r>
        <w:rPr>
          <w:rFonts w:hint="eastAsia" w:ascii="宋体" w:hAnsi="宋体"/>
        </w:rPr>
        <w:t>（3）投诉书内容符合本章第38.3.2项的规定；</w:t>
      </w:r>
    </w:p>
    <w:p w14:paraId="7C813E86">
      <w:pPr>
        <w:spacing w:line="360" w:lineRule="auto"/>
        <w:ind w:firstLine="420" w:firstLineChars="200"/>
        <w:rPr>
          <w:rFonts w:ascii="宋体" w:hAnsi="宋体"/>
        </w:rPr>
      </w:pPr>
      <w:r>
        <w:rPr>
          <w:rFonts w:hint="eastAsia" w:ascii="宋体" w:hAnsi="宋体"/>
        </w:rPr>
        <w:t>（4）在投诉有效期限内提起投诉；</w:t>
      </w:r>
    </w:p>
    <w:p w14:paraId="3075FE74">
      <w:pPr>
        <w:spacing w:line="360" w:lineRule="auto"/>
        <w:ind w:firstLine="420" w:firstLineChars="200"/>
        <w:rPr>
          <w:rFonts w:ascii="宋体" w:hAnsi="宋体"/>
        </w:rPr>
      </w:pPr>
      <w:r>
        <w:rPr>
          <w:rFonts w:hint="eastAsia" w:ascii="宋体" w:hAnsi="宋体"/>
        </w:rPr>
        <w:t>（5）属于南宁市政府采购监督管理部门管辖；</w:t>
      </w:r>
    </w:p>
    <w:p w14:paraId="20D5459D">
      <w:pPr>
        <w:spacing w:line="360" w:lineRule="auto"/>
        <w:ind w:firstLine="420" w:firstLineChars="200"/>
        <w:rPr>
          <w:rFonts w:ascii="宋体" w:hAnsi="宋体"/>
        </w:rPr>
      </w:pPr>
      <w:r>
        <w:rPr>
          <w:rFonts w:hint="eastAsia" w:ascii="宋体" w:hAnsi="宋体"/>
        </w:rPr>
        <w:t>（6）同一投诉事项未经</w:t>
      </w:r>
      <w:r>
        <w:rPr>
          <w:rFonts w:hint="eastAsia" w:ascii="宋体" w:hAnsi="宋体"/>
          <w:bCs/>
        </w:rPr>
        <w:t>南宁市政府采购监督管理部门</w:t>
      </w:r>
      <w:r>
        <w:rPr>
          <w:rFonts w:hint="eastAsia" w:ascii="宋体" w:hAnsi="宋体"/>
        </w:rPr>
        <w:t>投诉处理；</w:t>
      </w:r>
    </w:p>
    <w:p w14:paraId="1B46C1FA">
      <w:pPr>
        <w:spacing w:line="360" w:lineRule="auto"/>
        <w:ind w:firstLine="420" w:firstLineChars="200"/>
        <w:rPr>
          <w:rFonts w:ascii="宋体"/>
        </w:rPr>
      </w:pPr>
      <w:r>
        <w:rPr>
          <w:rFonts w:hint="eastAsia" w:ascii="宋体"/>
        </w:rPr>
        <w:t>（7）国务院财政部门规定的其他条件。</w:t>
      </w:r>
    </w:p>
    <w:p w14:paraId="708C0A94">
      <w:pPr>
        <w:spacing w:line="360" w:lineRule="auto"/>
        <w:ind w:firstLine="422" w:firstLineChars="200"/>
      </w:pPr>
      <w:r>
        <w:rPr>
          <w:rFonts w:hAnsi="宋体"/>
          <w:b/>
        </w:rPr>
        <w:t>38.3</w:t>
      </w:r>
      <w:r>
        <w:rPr>
          <w:rFonts w:hint="eastAsia" w:ascii="宋体"/>
          <w:b/>
        </w:rPr>
        <w:t>.5</w:t>
      </w:r>
      <w:r>
        <w:rPr>
          <w:rFonts w:hint="eastAsia" w:ascii="宋体"/>
        </w:rPr>
        <w:t>南宁市政府采购监督管理部门</w:t>
      </w:r>
      <w:r>
        <w:rPr>
          <w:rFonts w:hint="eastAsia"/>
        </w:rPr>
        <w:t>自受理投诉之日起</w:t>
      </w:r>
      <w:r>
        <w:t>30</w:t>
      </w:r>
      <w:r>
        <w:rPr>
          <w:rFonts w:hint="eastAsia"/>
        </w:rPr>
        <w:t>个工作日内，对投诉事项作出处理决定，并以书面形式通知投诉人、被投诉人及其他与投诉处理结果有利害关系的政府采购当</w:t>
      </w:r>
      <w:r>
        <w:rPr>
          <w:rFonts w:hint="eastAsia" w:ascii="宋体"/>
        </w:rPr>
        <w:t>事人</w:t>
      </w:r>
      <w:r>
        <w:rPr>
          <w:rFonts w:hint="eastAsia"/>
        </w:rPr>
        <w:t>。并将投诉结果在</w:t>
      </w:r>
      <w:r>
        <w:t>http://zfcg.gxzf.gov.cn (</w:t>
      </w:r>
      <w:r>
        <w:rPr>
          <w:rFonts w:hint="eastAsia"/>
        </w:rPr>
        <w:t>广西壮族自治区政府采购网</w:t>
      </w:r>
      <w:r>
        <w:t>)</w:t>
      </w:r>
      <w:r>
        <w:rPr>
          <w:rFonts w:hint="eastAsia"/>
        </w:rPr>
        <w:t>发布。</w:t>
      </w:r>
    </w:p>
    <w:p w14:paraId="3F56AE99">
      <w:pPr>
        <w:spacing w:line="360" w:lineRule="auto"/>
        <w:ind w:firstLine="422" w:firstLineChars="200"/>
        <w:rPr>
          <w:rFonts w:ascii="宋体"/>
        </w:rPr>
      </w:pPr>
      <w:r>
        <w:rPr>
          <w:rFonts w:hAnsi="宋体"/>
          <w:b/>
        </w:rPr>
        <w:t>38.3</w:t>
      </w:r>
      <w:r>
        <w:rPr>
          <w:rFonts w:hint="eastAsia" w:ascii="宋体"/>
          <w:b/>
        </w:rPr>
        <w:t>.6</w:t>
      </w:r>
      <w:r>
        <w:rPr>
          <w:rFonts w:hint="eastAsia" w:ascii="宋体"/>
        </w:rPr>
        <w:t>南宁市政府采购监督管理部门在处理投诉事项期间，可以视具体情况暂停采购活动。</w:t>
      </w:r>
    </w:p>
    <w:p w14:paraId="7AA6392B">
      <w:pPr>
        <w:snapToGrid w:val="0"/>
        <w:spacing w:line="360" w:lineRule="auto"/>
        <w:ind w:left="120" w:leftChars="57" w:firstLine="482" w:firstLineChars="150"/>
        <w:jc w:val="center"/>
        <w:rPr>
          <w:b/>
          <w:bCs/>
          <w:sz w:val="32"/>
          <w:szCs w:val="32"/>
        </w:rPr>
      </w:pPr>
      <w:r>
        <w:rPr>
          <w:rFonts w:hint="eastAsia"/>
          <w:b/>
          <w:bCs/>
          <w:sz w:val="32"/>
          <w:szCs w:val="32"/>
        </w:rPr>
        <w:t>八、验收</w:t>
      </w:r>
    </w:p>
    <w:p w14:paraId="4834F960">
      <w:pPr>
        <w:spacing w:line="360" w:lineRule="auto"/>
        <w:ind w:firstLine="422" w:firstLineChars="200"/>
        <w:rPr>
          <w:rFonts w:hAnsi="宋体"/>
          <w:b/>
        </w:rPr>
      </w:pPr>
      <w:r>
        <w:rPr>
          <w:rFonts w:hAnsi="宋体"/>
          <w:b/>
        </w:rPr>
        <w:t>39.</w:t>
      </w:r>
      <w:r>
        <w:rPr>
          <w:rFonts w:hint="eastAsia" w:hAnsi="宋体"/>
          <w:b/>
        </w:rPr>
        <w:t>验收</w:t>
      </w:r>
    </w:p>
    <w:p w14:paraId="3A6E00A6">
      <w:pPr>
        <w:tabs>
          <w:tab w:val="left" w:pos="0"/>
        </w:tabs>
        <w:spacing w:line="360" w:lineRule="auto"/>
        <w:ind w:firstLine="480"/>
        <w:rPr>
          <w:rFonts w:hAnsi="宋体"/>
        </w:rPr>
      </w:pPr>
      <w:r>
        <w:rPr>
          <w:rFonts w:hAnsi="宋体"/>
        </w:rPr>
        <w:t>39.1</w:t>
      </w:r>
      <w:r>
        <w:rPr>
          <w:rFonts w:hint="eastAsia" w:hAnsi="宋体"/>
        </w:rPr>
        <w:t>采购人组织对投标人履约的验收。大型或者复杂的政府采购项目，应当邀请国家认可的质量检测机构参加验收工作。验收方成员应当在验收书上签字，并承担相应的法律责任。如果发现与合同中要求不符，投标人须承担由此发生的一切损失和费用，并接受相应的处理。</w:t>
      </w:r>
    </w:p>
    <w:p w14:paraId="74A69DFF">
      <w:pPr>
        <w:tabs>
          <w:tab w:val="left" w:pos="0"/>
        </w:tabs>
        <w:spacing w:line="360" w:lineRule="auto"/>
        <w:ind w:firstLine="480"/>
        <w:rPr>
          <w:rFonts w:hAnsi="宋体"/>
        </w:rPr>
      </w:pPr>
      <w:r>
        <w:rPr>
          <w:rFonts w:hAnsi="宋体"/>
        </w:rPr>
        <w:t>39.2</w:t>
      </w:r>
      <w:r>
        <w:rPr>
          <w:rFonts w:hint="eastAsia" w:hAnsi="宋体"/>
        </w:rPr>
        <w:t>采购人可以邀请参加本项目的其他投标人或者第三方机构参与验收。参与验收的投标人或者第三方机构的意见作为验收书的参考资料一并存档。</w:t>
      </w:r>
    </w:p>
    <w:p w14:paraId="139A9A5B">
      <w:pPr>
        <w:tabs>
          <w:tab w:val="left" w:pos="0"/>
        </w:tabs>
        <w:spacing w:line="360" w:lineRule="auto"/>
        <w:ind w:firstLine="480"/>
        <w:rPr>
          <w:rFonts w:hAnsi="宋体"/>
        </w:rPr>
      </w:pPr>
      <w:r>
        <w:rPr>
          <w:rFonts w:hAnsi="宋体"/>
        </w:rPr>
        <w:t>39.3</w:t>
      </w:r>
      <w:r>
        <w:rPr>
          <w:rFonts w:hint="eastAsia" w:hAnsi="宋体"/>
        </w:rPr>
        <w:t>严格按照采购合同开展履约验收。采购人成立验收小组，按照采购合同的约定对投标人履约情况进行验收。验收时，按照采购合同的约定对每一项技术、货物、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2BFB7B7C">
      <w:pPr>
        <w:tabs>
          <w:tab w:val="left" w:pos="0"/>
        </w:tabs>
        <w:spacing w:line="360" w:lineRule="auto"/>
        <w:ind w:firstLine="480"/>
        <w:rPr>
          <w:rFonts w:hAnsi="宋体"/>
        </w:rPr>
      </w:pPr>
      <w:r>
        <w:rPr>
          <w:rFonts w:hAnsi="宋体"/>
        </w:rPr>
        <w:t>39.4</w:t>
      </w:r>
      <w:r>
        <w:rPr>
          <w:rFonts w:hint="eastAsia" w:hAnsi="宋体"/>
        </w:rPr>
        <w:t>验收合格的项目，采购人将根据采购合同的约定及时向投标人支付采购资金。验收不合格的项目，采购人将依法及时处理。采购合同的履行、违约责任和解决争议的方式等适用《中华人民共和国民法典》。投标人在履约过程中有政府采购法律法规规定的违法违规情形的，采购人应当及时报告本级财政部门。</w:t>
      </w:r>
    </w:p>
    <w:p w14:paraId="61B076AA">
      <w:pPr>
        <w:rPr>
          <w:rFonts w:ascii="宋体" w:hAnsi="宋体"/>
          <w:szCs w:val="20"/>
        </w:rPr>
      </w:pPr>
      <w:r>
        <w:rPr>
          <w:rFonts w:ascii="宋体" w:hAnsi="宋体"/>
          <w:szCs w:val="20"/>
        </w:rPr>
        <w:br w:type="page"/>
      </w:r>
    </w:p>
    <w:p w14:paraId="061C3D38">
      <w:pPr>
        <w:spacing w:line="360" w:lineRule="auto"/>
        <w:ind w:firstLine="643" w:firstLineChars="200"/>
        <w:jc w:val="center"/>
        <w:outlineLvl w:val="2"/>
        <w:rPr>
          <w:b/>
          <w:bCs/>
          <w:sz w:val="32"/>
          <w:szCs w:val="32"/>
        </w:rPr>
      </w:pPr>
      <w:bookmarkStart w:id="49" w:name="_Toc20881"/>
      <w:bookmarkStart w:id="50" w:name="_Toc110956116"/>
      <w:bookmarkStart w:id="51" w:name="_Toc7290"/>
      <w:bookmarkStart w:id="52" w:name="_Toc89076001"/>
      <w:r>
        <w:rPr>
          <w:rFonts w:hint="eastAsia"/>
          <w:b/>
          <w:bCs/>
          <w:sz w:val="32"/>
          <w:szCs w:val="32"/>
        </w:rPr>
        <w:t>九、其他事项</w:t>
      </w:r>
      <w:bookmarkEnd w:id="49"/>
      <w:bookmarkEnd w:id="50"/>
      <w:bookmarkEnd w:id="51"/>
      <w:bookmarkEnd w:id="52"/>
    </w:p>
    <w:p w14:paraId="23BF9A53">
      <w:pPr>
        <w:spacing w:line="360" w:lineRule="auto"/>
        <w:ind w:firstLine="480" w:firstLineChars="200"/>
        <w:rPr>
          <w:rFonts w:ascii="黑体" w:hAnsi="黑体" w:eastAsia="黑体"/>
          <w:sz w:val="24"/>
        </w:rPr>
      </w:pPr>
      <w:r>
        <w:rPr>
          <w:rFonts w:hint="eastAsia" w:ascii="黑体" w:hAnsi="黑体" w:eastAsia="黑体"/>
          <w:sz w:val="24"/>
        </w:rPr>
        <w:t>40.代理服务费</w:t>
      </w:r>
    </w:p>
    <w:p w14:paraId="5AA7E105">
      <w:pPr>
        <w:spacing w:line="360" w:lineRule="auto"/>
        <w:ind w:firstLine="422" w:firstLineChars="200"/>
        <w:rPr>
          <w:rFonts w:ascii="宋体" w:hAnsi="宋体"/>
          <w:b/>
          <w:szCs w:val="21"/>
        </w:rPr>
      </w:pPr>
      <w:r>
        <w:rPr>
          <w:rFonts w:hint="eastAsia" w:ascii="宋体" w:hAnsi="宋体"/>
          <w:b/>
          <w:szCs w:val="21"/>
        </w:rPr>
        <w:t>代理服务收费标准及缴费账户详见“投标人须知前附表”，投标人为联合体的，可以由联合体中的一方或者多方共同交纳代理服务费。</w:t>
      </w:r>
    </w:p>
    <w:p w14:paraId="4867EB2F">
      <w:pPr>
        <w:spacing w:line="360" w:lineRule="auto"/>
        <w:ind w:firstLine="480" w:firstLineChars="200"/>
        <w:rPr>
          <w:rFonts w:ascii="黑体" w:hAnsi="黑体" w:eastAsia="黑体"/>
          <w:sz w:val="24"/>
        </w:rPr>
      </w:pPr>
      <w:r>
        <w:rPr>
          <w:rFonts w:hint="eastAsia" w:ascii="黑体" w:hAnsi="黑体" w:eastAsia="黑体"/>
          <w:sz w:val="24"/>
        </w:rPr>
        <w:t>41. 需要补充的其他内容</w:t>
      </w:r>
    </w:p>
    <w:p w14:paraId="49DD07B7">
      <w:pPr>
        <w:spacing w:line="360" w:lineRule="auto"/>
        <w:ind w:firstLine="420" w:firstLineChars="200"/>
        <w:rPr>
          <w:rFonts w:hAnsi="宋体"/>
        </w:rPr>
      </w:pPr>
      <w:r>
        <w:rPr>
          <w:rFonts w:hAnsi="宋体"/>
        </w:rPr>
        <w:t>41.1</w:t>
      </w:r>
      <w:r>
        <w:rPr>
          <w:rFonts w:hint="eastAsia" w:hAnsi="宋体" w:cs="宋体"/>
        </w:rPr>
        <w:t>本招标文件解释规则详见</w:t>
      </w:r>
      <w:r>
        <w:rPr>
          <w:rFonts w:hint="eastAsia" w:hAnsi="宋体"/>
        </w:rPr>
        <w:t>“投标人须知前附表”。</w:t>
      </w:r>
    </w:p>
    <w:p w14:paraId="754FE841">
      <w:pPr>
        <w:spacing w:line="360" w:lineRule="auto"/>
        <w:ind w:firstLine="420" w:firstLineChars="200"/>
        <w:rPr>
          <w:rFonts w:hAnsi="宋体"/>
        </w:rPr>
      </w:pPr>
      <w:r>
        <w:rPr>
          <w:rFonts w:hAnsi="宋体" w:cs="宋体"/>
        </w:rPr>
        <w:t xml:space="preserve">41.2 </w:t>
      </w:r>
      <w:r>
        <w:rPr>
          <w:rFonts w:hint="eastAsia" w:hAnsi="宋体"/>
        </w:rPr>
        <w:t>其他事项详见“投标人须知前附表”。</w:t>
      </w:r>
    </w:p>
    <w:p w14:paraId="250E2481">
      <w:pPr>
        <w:spacing w:line="360" w:lineRule="auto"/>
        <w:ind w:firstLine="420" w:firstLineChars="200"/>
        <w:rPr>
          <w:rFonts w:ascii="宋体" w:hAnsi="宋体"/>
          <w:szCs w:val="20"/>
        </w:rPr>
      </w:pPr>
      <w:r>
        <w:rPr>
          <w:rFonts w:hint="eastAsia" w:ascii="宋体" w:hAnsi="宋体"/>
          <w:szCs w:val="20"/>
        </w:rPr>
        <w:t>41.3</w:t>
      </w:r>
      <w:bookmarkStart w:id="53" w:name="_Hlk65857140"/>
      <w:r>
        <w:rPr>
          <w:rFonts w:hint="eastAsia" w:ascii="宋体" w:hAnsi="宋体"/>
          <w:szCs w:val="20"/>
        </w:rPr>
        <w:t>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投标人提供的货物由中小企业制造，即货物由中小企业生产且使用该中小企业商号或者注册商标，</w:t>
      </w:r>
      <w:r>
        <w:rPr>
          <w:rFonts w:hint="eastAsia" w:ascii="宋体" w:hAnsi="Courier New"/>
          <w:szCs w:val="20"/>
        </w:rPr>
        <w:t>不对其中涉及的工程承建商和服务的承接商作出要求</w:t>
      </w:r>
      <w:r>
        <w:rPr>
          <w:rFonts w:hint="eastAsia" w:ascii="宋体" w:hAnsi="宋体"/>
          <w:szCs w:val="20"/>
        </w:rPr>
        <w:t>的，享受本文件规定的中小企业扶持政策。</w:t>
      </w:r>
    </w:p>
    <w:p w14:paraId="683AF401">
      <w:pPr>
        <w:spacing w:before="120" w:after="120" w:line="360" w:lineRule="auto"/>
        <w:ind w:firstLine="420" w:firstLineChars="200"/>
        <w:contextualSpacing/>
        <w:rPr>
          <w:rFonts w:ascii="宋体" w:hAnsi="宋体"/>
          <w:szCs w:val="20"/>
        </w:rPr>
      </w:pPr>
      <w:r>
        <w:rPr>
          <w:rFonts w:hint="eastAsia" w:ascii="宋体" w:hAnsi="宋体"/>
          <w:szCs w:val="20"/>
        </w:rPr>
        <w:t>在货物采购项目中，投标人提供的货物既有中小企业制造货物，也有大型企业制造货物的，不享受本文件规定的中小企业扶持政策。以联合体形式参加政府采购活动，联合体各方均为中小企业的，联合体视同中小企业。其中，联合体各方均为小微企业的，联合体视同小微企业。</w:t>
      </w:r>
    </w:p>
    <w:p w14:paraId="0692156B">
      <w:pPr>
        <w:spacing w:before="120" w:after="120" w:line="360" w:lineRule="auto"/>
        <w:ind w:firstLine="420" w:firstLineChars="200"/>
        <w:contextualSpacing/>
        <w:rPr>
          <w:rFonts w:ascii="宋体" w:hAnsi="宋体"/>
          <w:szCs w:val="20"/>
        </w:rPr>
      </w:pPr>
      <w:r>
        <w:rPr>
          <w:rFonts w:hint="eastAsia" w:ascii="宋体" w:hAnsi="宋体"/>
          <w:szCs w:val="20"/>
        </w:rPr>
        <w:t>依据本文件规定享受扶持政策获得政府采购合同的，小微企业不得将合同分包给大中型企业，中型企业不得将合同分包给大型企业。</w:t>
      </w:r>
      <w:bookmarkEnd w:id="53"/>
    </w:p>
    <w:p w14:paraId="2950F725">
      <w:pPr>
        <w:spacing w:line="360" w:lineRule="auto"/>
        <w:ind w:firstLine="480" w:firstLineChars="200"/>
        <w:rPr>
          <w:rFonts w:ascii="黑体" w:hAnsi="黑体" w:eastAsia="黑体"/>
          <w:sz w:val="24"/>
        </w:rPr>
      </w:pPr>
      <w:r>
        <w:rPr>
          <w:rFonts w:hint="eastAsia" w:ascii="黑体" w:hAnsi="黑体" w:eastAsia="黑体"/>
          <w:sz w:val="24"/>
        </w:rPr>
        <w:t>42. 政采贷相关说明</w:t>
      </w:r>
    </w:p>
    <w:p w14:paraId="3B7E06A6">
      <w:pPr>
        <w:spacing w:line="360" w:lineRule="auto"/>
        <w:ind w:firstLine="420" w:firstLineChars="200"/>
        <w:jc w:val="left"/>
        <w:rPr>
          <w:rFonts w:hAnsi="宋体"/>
        </w:rPr>
      </w:pPr>
      <w:r>
        <w:rPr>
          <w:rFonts w:hint="eastAsia" w:hAnsi="宋体"/>
        </w:rPr>
        <w:t>为优化政府采购营商环境，缓解投标人资金难题，南宁市政府采购试行政府采购信用融资制度，中标人如有融资需求，可凭政府采购合同通过以下方式申请政府采购信用融资贷款：</w:t>
      </w:r>
    </w:p>
    <w:p w14:paraId="3C13CEE3">
      <w:pPr>
        <w:numPr>
          <w:ilvl w:val="0"/>
          <w:numId w:val="1"/>
        </w:numPr>
        <w:spacing w:line="360" w:lineRule="auto"/>
        <w:ind w:firstLine="420" w:firstLineChars="200"/>
        <w:jc w:val="left"/>
        <w:rPr>
          <w:rFonts w:hAnsi="宋体"/>
        </w:rPr>
      </w:pPr>
      <w:r>
        <w:rPr>
          <w:rFonts w:hint="eastAsia" w:hAnsi="宋体"/>
        </w:rPr>
        <w:t>线下渠道：在“南宁市公共资源交易中心”官网（网址：</w:t>
      </w:r>
      <w:r>
        <w:fldChar w:fldCharType="begin"/>
      </w:r>
      <w:r>
        <w:instrText xml:space="preserve"> HYPERLINK "http://www.nnggzy.org.cn）" </w:instrText>
      </w:r>
      <w:r>
        <w:fldChar w:fldCharType="separate"/>
      </w:r>
      <w:r>
        <w:rPr>
          <w:rFonts w:hAnsi="宋体"/>
          <w:u w:val="single"/>
        </w:rPr>
        <w:t>http://www.nnggzy.org.cn</w:t>
      </w:r>
      <w:r>
        <w:rPr>
          <w:rFonts w:hint="eastAsia" w:hAnsi="宋体"/>
          <w:u w:val="single"/>
        </w:rPr>
        <w:t>）“交易信息</w:t>
      </w:r>
      <w:r>
        <w:rPr>
          <w:rFonts w:hAnsi="宋体"/>
          <w:u w:val="single"/>
        </w:rPr>
        <w:t>-</w:t>
      </w:r>
      <w:r>
        <w:rPr>
          <w:rFonts w:hint="eastAsia" w:hAnsi="宋体"/>
          <w:u w:val="single"/>
        </w:rPr>
        <w:t>政府采购</w:t>
      </w:r>
      <w:r>
        <w:rPr>
          <w:rFonts w:hAnsi="宋体"/>
          <w:u w:val="single"/>
        </w:rPr>
        <w:t>-</w:t>
      </w:r>
      <w:r>
        <w:rPr>
          <w:rFonts w:hint="eastAsia" w:hAnsi="宋体"/>
          <w:u w:val="single"/>
        </w:rPr>
        <w:t>政府采购信用融资”中融资银行和南宁市企业融资货物中心专栏信息申请政府采购信用融资。</w:t>
      </w:r>
      <w:r>
        <w:rPr>
          <w:rFonts w:hint="eastAsia" w:hAnsi="宋体"/>
          <w:u w:val="single"/>
        </w:rPr>
        <w:fldChar w:fldCharType="end"/>
      </w:r>
    </w:p>
    <w:p w14:paraId="267407D6">
      <w:pPr>
        <w:spacing w:line="360" w:lineRule="auto"/>
        <w:ind w:firstLine="420" w:firstLineChars="200"/>
        <w:jc w:val="left"/>
        <w:rPr>
          <w:rFonts w:hAnsi="宋体"/>
        </w:rPr>
      </w:pPr>
      <w:r>
        <w:rPr>
          <w:rFonts w:hint="eastAsia" w:hAnsi="宋体"/>
        </w:rPr>
        <w:t>线上渠道：登录中征营应收账款融资服务平台（网址：https://www.crcrfsp.com，客服电话：400-009-0001），选择相关金融产品和银行业金融机构金融融资贷款。具体操作方式见《中国人民银行南宁中心支行广西壮族自治区财政厅关于推广线上“政采贷”融资模式的通知》（南宁银发〔2021〕258号）文（文件公开网址详情见：“广西政府采购网”——http://www.ccgp-guangxi.gov.cn/AdministrativeRegulations/AutonomousRegion/9830442.html）</w:t>
      </w:r>
      <w:r>
        <w:rPr>
          <w:rFonts w:hAnsi="宋体"/>
        </w:rPr>
        <w:br w:type="page"/>
      </w:r>
    </w:p>
    <w:p w14:paraId="0BD166C8">
      <w:pPr>
        <w:jc w:val="center"/>
        <w:outlineLvl w:val="0"/>
        <w:rPr>
          <w:b/>
          <w:sz w:val="36"/>
        </w:rPr>
      </w:pPr>
      <w:bookmarkStart w:id="54" w:name="_Toc32584"/>
      <w:bookmarkStart w:id="55" w:name="_Toc18648"/>
      <w:r>
        <w:rPr>
          <w:rFonts w:hint="eastAsia"/>
          <w:b/>
          <w:sz w:val="36"/>
        </w:rPr>
        <w:t>第四章</w:t>
      </w:r>
      <w:r>
        <w:rPr>
          <w:b/>
          <w:sz w:val="36"/>
        </w:rPr>
        <w:t xml:space="preserve">  </w:t>
      </w:r>
      <w:r>
        <w:rPr>
          <w:rFonts w:hint="eastAsia"/>
          <w:b/>
          <w:sz w:val="36"/>
        </w:rPr>
        <w:t>评标方法及评分标准</w:t>
      </w:r>
      <w:bookmarkEnd w:id="54"/>
      <w:bookmarkEnd w:id="55"/>
    </w:p>
    <w:p w14:paraId="22D4D77D">
      <w:pPr>
        <w:jc w:val="center"/>
        <w:outlineLvl w:val="1"/>
        <w:rPr>
          <w:b/>
          <w:bCs/>
          <w:sz w:val="32"/>
          <w:szCs w:val="32"/>
        </w:rPr>
      </w:pPr>
      <w:bookmarkStart w:id="56" w:name="_Toc23293"/>
      <w:bookmarkStart w:id="57" w:name="_Toc16175"/>
      <w:r>
        <w:rPr>
          <w:rFonts w:hint="eastAsia"/>
          <w:b/>
          <w:bCs/>
          <w:sz w:val="32"/>
          <w:szCs w:val="32"/>
        </w:rPr>
        <w:t>第一节 评标方法</w:t>
      </w:r>
      <w:bookmarkEnd w:id="56"/>
      <w:bookmarkEnd w:id="57"/>
    </w:p>
    <w:p w14:paraId="3BD5221D">
      <w:pPr>
        <w:tabs>
          <w:tab w:val="left" w:pos="2472"/>
        </w:tabs>
        <w:spacing w:line="460" w:lineRule="exact"/>
        <w:ind w:firstLine="420" w:firstLineChars="200"/>
        <w:rPr>
          <w:szCs w:val="21"/>
        </w:rPr>
      </w:pPr>
      <w:r>
        <w:rPr>
          <w:rFonts w:hint="eastAsia" w:hAnsi="宋体" w:cs="宋体"/>
          <w:szCs w:val="21"/>
        </w:rPr>
        <w:t>本项目采用</w:t>
      </w:r>
      <w:r>
        <w:rPr>
          <w:rFonts w:hint="eastAsia" w:hAnsi="宋体" w:cs="宋体"/>
          <w:szCs w:val="21"/>
          <w:u w:val="single"/>
        </w:rPr>
        <w:t xml:space="preserve"> 以下勾选的方式</w:t>
      </w:r>
      <w:r>
        <w:rPr>
          <w:rFonts w:hint="eastAsia" w:hAnsi="宋体" w:cs="宋体"/>
          <w:szCs w:val="21"/>
        </w:rPr>
        <w:t>进行评审。</w:t>
      </w:r>
    </w:p>
    <w:p w14:paraId="3A0BFE96">
      <w:pPr>
        <w:spacing w:line="360" w:lineRule="auto"/>
        <w:ind w:firstLine="420"/>
        <w:rPr>
          <w:rFonts w:hAnsi="宋体"/>
        </w:rPr>
      </w:pPr>
      <w:r>
        <w:rPr>
          <w:rFonts w:hint="eastAsia" w:hAnsi="宋体"/>
          <w:szCs w:val="21"/>
        </w:rPr>
        <w:t>□最低评标价法，是指投标文件满足招标文件</w:t>
      </w:r>
      <w:r>
        <w:rPr>
          <w:rFonts w:hint="eastAsia" w:hAnsi="宋体"/>
        </w:rPr>
        <w:t>全部实质性要求，且投标报价最低的投标人为中标候选人的评标方法。</w:t>
      </w:r>
    </w:p>
    <w:p w14:paraId="1061A502">
      <w:pPr>
        <w:autoSpaceDE w:val="0"/>
        <w:autoSpaceDN w:val="0"/>
        <w:adjustRightInd w:val="0"/>
        <w:spacing w:line="440" w:lineRule="exact"/>
        <w:ind w:firstLine="420" w:firstLineChars="200"/>
        <w:rPr>
          <w:rFonts w:ascii="宋体" w:hAnsi="宋体"/>
          <w:sz w:val="24"/>
        </w:rPr>
      </w:pPr>
      <w:r>
        <w:rPr>
          <w:rFonts w:hint="eastAsia" w:ascii="MS Gothic" w:hAnsi="MS Gothic" w:eastAsia="MS Gothic" w:cs="MS Gothic"/>
        </w:rPr>
        <w:t>☑</w:t>
      </w:r>
      <w:r>
        <w:rPr>
          <w:rFonts w:hint="eastAsia" w:hAnsi="宋体"/>
        </w:rPr>
        <w:t>综合评分法，</w:t>
      </w:r>
      <w:r>
        <w:rPr>
          <w:rFonts w:hint="eastAsia" w:ascii="宋体" w:hAnsi="宋体"/>
          <w:szCs w:val="20"/>
        </w:rPr>
        <w:t xml:space="preserve">是指投标文件满足招标文件全部实质性要求，且按照评审因素的量化指标评审得分最高的投标人为中标候选人的评标方法。评标委员会将对各投标人的投标报价、技术和服务方案、投标人的企业实力及资质等方面进行综合评审，对实质上响应招标文件的投标人，由各评委独立记名打分。经统计，得出各投标人的综合得分,按综合得分由高到低顺序排列。若综合得分相同的，按投标报价由低到高顺序排列。若综合得分且投标报价相同的，货物类采购项目以技术性能得分较高者为先，服务类采购项目以实力信誉及业绩得分较高者为先。 </w:t>
      </w:r>
    </w:p>
    <w:p w14:paraId="3921CDF4">
      <w:pPr>
        <w:spacing w:line="360" w:lineRule="auto"/>
        <w:ind w:firstLine="420"/>
        <w:rPr>
          <w:rFonts w:hAnsi="宋体"/>
        </w:rPr>
      </w:pPr>
    </w:p>
    <w:p w14:paraId="76E86435">
      <w:pPr>
        <w:tabs>
          <w:tab w:val="left" w:pos="2472"/>
        </w:tabs>
        <w:spacing w:line="460" w:lineRule="exact"/>
        <w:jc w:val="center"/>
        <w:outlineLvl w:val="1"/>
        <w:rPr>
          <w:b/>
          <w:bCs/>
          <w:sz w:val="32"/>
          <w:szCs w:val="32"/>
        </w:rPr>
      </w:pPr>
      <w:bookmarkStart w:id="58" w:name="_Toc26306"/>
      <w:bookmarkStart w:id="59" w:name="_Toc10861"/>
      <w:r>
        <w:rPr>
          <w:rFonts w:hint="eastAsia"/>
          <w:b/>
          <w:bCs/>
          <w:sz w:val="32"/>
          <w:szCs w:val="32"/>
        </w:rPr>
        <w:t>第二节 评标程序</w:t>
      </w:r>
      <w:bookmarkEnd w:id="58"/>
      <w:bookmarkEnd w:id="59"/>
    </w:p>
    <w:p w14:paraId="2024301B">
      <w:pPr>
        <w:spacing w:line="360" w:lineRule="auto"/>
        <w:ind w:firstLine="422" w:firstLineChars="200"/>
        <w:rPr>
          <w:rFonts w:ascii="宋体" w:hAnsi="宋体"/>
          <w:b/>
          <w:szCs w:val="21"/>
        </w:rPr>
      </w:pPr>
      <w:r>
        <w:rPr>
          <w:rFonts w:hint="eastAsia" w:ascii="宋体" w:hAnsi="宋体"/>
          <w:b/>
          <w:szCs w:val="21"/>
        </w:rPr>
        <w:t>1.符合性审查</w:t>
      </w:r>
    </w:p>
    <w:p w14:paraId="42F1FC52">
      <w:pPr>
        <w:spacing w:line="360" w:lineRule="auto"/>
        <w:ind w:firstLine="420" w:firstLineChars="200"/>
        <w:rPr>
          <w:rFonts w:hAnsi="宋体"/>
        </w:rPr>
      </w:pPr>
      <w:r>
        <w:rPr>
          <w:rFonts w:hint="eastAsia" w:hAnsi="宋体"/>
        </w:rPr>
        <w:t>评标委员会应当对符合资格的投标人的投标文件进行投标报价、商务、技术等实质性内容符合性审查，以确定其是否满足招标文件的实质性要求。</w:t>
      </w:r>
    </w:p>
    <w:p w14:paraId="1948D3EE">
      <w:pPr>
        <w:spacing w:line="360" w:lineRule="auto"/>
        <w:ind w:firstLine="422" w:firstLineChars="200"/>
        <w:rPr>
          <w:rFonts w:ascii="宋体" w:hAnsi="宋体"/>
          <w:b/>
          <w:szCs w:val="21"/>
        </w:rPr>
      </w:pPr>
      <w:r>
        <w:rPr>
          <w:rFonts w:hint="eastAsia" w:ascii="宋体" w:hAnsi="宋体"/>
          <w:b/>
          <w:szCs w:val="21"/>
        </w:rPr>
        <w:t>2.符合性审查不通过而导致投标无效的情形</w:t>
      </w:r>
    </w:p>
    <w:p w14:paraId="5A1F0B20">
      <w:pPr>
        <w:spacing w:line="360" w:lineRule="auto"/>
        <w:ind w:firstLine="420" w:firstLineChars="200"/>
        <w:rPr>
          <w:rFonts w:ascii="宋体" w:hAnsi="宋体"/>
          <w:szCs w:val="21"/>
        </w:rPr>
      </w:pPr>
      <w:r>
        <w:rPr>
          <w:rFonts w:hint="eastAsia" w:ascii="宋体" w:hAnsi="宋体"/>
          <w:szCs w:val="21"/>
        </w:rPr>
        <w:t>投标人的投标文件中存在对招标文件的任何实质性要求和条件的负偏离，将被视为投标无效。</w:t>
      </w:r>
    </w:p>
    <w:p w14:paraId="6A9B6F8D">
      <w:pPr>
        <w:spacing w:line="360" w:lineRule="auto"/>
        <w:ind w:firstLine="420" w:firstLineChars="200"/>
        <w:rPr>
          <w:rFonts w:ascii="宋体" w:hAnsi="宋体"/>
          <w:szCs w:val="21"/>
        </w:rPr>
      </w:pPr>
      <w:r>
        <w:rPr>
          <w:rFonts w:hint="eastAsia" w:ascii="宋体" w:hAnsi="宋体"/>
          <w:szCs w:val="21"/>
        </w:rPr>
        <w:t>2.1在报价评审时，如发现下列情形之一的，将被视为投标无效：</w:t>
      </w:r>
    </w:p>
    <w:p w14:paraId="7D787975">
      <w:pPr>
        <w:spacing w:line="360" w:lineRule="auto"/>
        <w:ind w:firstLine="420" w:firstLineChars="200"/>
        <w:rPr>
          <w:rFonts w:ascii="宋体" w:hAnsi="宋体"/>
          <w:szCs w:val="21"/>
        </w:rPr>
      </w:pPr>
      <w:r>
        <w:rPr>
          <w:rFonts w:hint="eastAsia" w:ascii="宋体" w:hAnsi="宋体"/>
          <w:szCs w:val="21"/>
        </w:rPr>
        <w:t>（1）投标文件未提供“投标人须知前附表”第13.1条规定中“必须提供”的文件资料的;</w:t>
      </w:r>
    </w:p>
    <w:p w14:paraId="5A5C2960">
      <w:pPr>
        <w:spacing w:line="360" w:lineRule="auto"/>
        <w:ind w:firstLine="420" w:firstLineChars="200"/>
        <w:rPr>
          <w:rFonts w:ascii="宋体" w:hAnsi="宋体"/>
          <w:szCs w:val="21"/>
        </w:rPr>
      </w:pPr>
      <w:r>
        <w:rPr>
          <w:rFonts w:hint="eastAsia" w:ascii="宋体" w:hAnsi="宋体"/>
          <w:szCs w:val="21"/>
        </w:rPr>
        <w:t>（2）未采用人民币报价或者未按照招标文件标明的币种报价的；</w:t>
      </w:r>
    </w:p>
    <w:p w14:paraId="0C8BFB3E">
      <w:pPr>
        <w:spacing w:line="360" w:lineRule="auto"/>
        <w:ind w:firstLine="420" w:firstLineChars="200"/>
        <w:rPr>
          <w:rFonts w:ascii="宋体" w:hAnsi="宋体"/>
          <w:szCs w:val="21"/>
        </w:rPr>
      </w:pPr>
      <w:r>
        <w:rPr>
          <w:rFonts w:hint="eastAsia" w:ascii="宋体" w:hAnsi="宋体"/>
          <w:szCs w:val="21"/>
        </w:rPr>
        <w:t>（3）报价超出招标文件规定最高限价，或者超出采购预算金额（包括分项预算）的；</w:t>
      </w:r>
    </w:p>
    <w:p w14:paraId="4B9EED77">
      <w:pPr>
        <w:spacing w:line="360" w:lineRule="auto"/>
        <w:ind w:firstLine="420" w:firstLineChars="200"/>
        <w:rPr>
          <w:rFonts w:ascii="宋体" w:hAnsi="宋体"/>
          <w:szCs w:val="21"/>
        </w:rPr>
      </w:pPr>
      <w:r>
        <w:rPr>
          <w:rFonts w:hint="eastAsia" w:ascii="宋体" w:hAnsi="宋体"/>
          <w:szCs w:val="21"/>
        </w:rPr>
        <w:t>（4）投标人未就所投分标进行报价或者存在漏项报价；投标人未就所投分标的单项内容作唯一报价；投标人未就所投分标的全部内容做唯一总价报价；存在有选择、有条件报价的（招标文件允许有备选方案或者其他约定的除外）；</w:t>
      </w:r>
    </w:p>
    <w:p w14:paraId="2CF914BA">
      <w:pPr>
        <w:spacing w:line="360" w:lineRule="auto"/>
        <w:ind w:firstLine="420" w:firstLineChars="200"/>
        <w:rPr>
          <w:rFonts w:ascii="宋体" w:hAnsi="宋体"/>
          <w:szCs w:val="21"/>
        </w:rPr>
      </w:pPr>
      <w:r>
        <w:rPr>
          <w:rFonts w:hint="eastAsia" w:ascii="宋体" w:hAnsi="宋体"/>
          <w:szCs w:val="21"/>
        </w:rPr>
        <w:t>（5）修正后的报价，投标人不确认的；</w:t>
      </w:r>
    </w:p>
    <w:p w14:paraId="4F06E22E">
      <w:pPr>
        <w:spacing w:line="360" w:lineRule="auto"/>
        <w:ind w:firstLine="420" w:firstLineChars="200"/>
        <w:rPr>
          <w:rFonts w:ascii="宋体" w:hAnsi="宋体"/>
          <w:szCs w:val="21"/>
        </w:rPr>
      </w:pPr>
      <w:r>
        <w:rPr>
          <w:rFonts w:hint="eastAsia" w:ascii="宋体" w:hAnsi="宋体"/>
          <w:szCs w:val="21"/>
        </w:rPr>
        <w:t>（6）投标人属于本章第5条第（2）项情形的。</w:t>
      </w:r>
    </w:p>
    <w:p w14:paraId="5CB8D985">
      <w:pPr>
        <w:spacing w:line="360" w:lineRule="auto"/>
        <w:ind w:firstLine="420" w:firstLineChars="200"/>
        <w:rPr>
          <w:rFonts w:ascii="宋体" w:hAnsi="宋体"/>
          <w:szCs w:val="21"/>
        </w:rPr>
      </w:pPr>
      <w:r>
        <w:rPr>
          <w:rFonts w:hint="eastAsia" w:ascii="宋体" w:hAnsi="宋体"/>
          <w:szCs w:val="21"/>
        </w:rPr>
        <w:t>2.2在商务评审时，如发现下列情形之一的，将被视为投标无效：</w:t>
      </w:r>
    </w:p>
    <w:p w14:paraId="0BE3FF48">
      <w:pPr>
        <w:spacing w:line="360" w:lineRule="auto"/>
        <w:ind w:firstLine="420" w:firstLineChars="200"/>
        <w:rPr>
          <w:rFonts w:ascii="宋体" w:hAnsi="宋体"/>
          <w:szCs w:val="21"/>
        </w:rPr>
      </w:pPr>
      <w:r>
        <w:rPr>
          <w:rFonts w:hint="eastAsia" w:ascii="宋体" w:hAnsi="宋体"/>
          <w:szCs w:val="21"/>
        </w:rPr>
        <w:t>（1）投标文件未按招标文件要求签署、盖章的；</w:t>
      </w:r>
    </w:p>
    <w:p w14:paraId="53F58E2D">
      <w:pPr>
        <w:spacing w:line="360" w:lineRule="auto"/>
        <w:ind w:firstLine="420" w:firstLineChars="200"/>
        <w:rPr>
          <w:rFonts w:ascii="宋体" w:hAnsi="宋体"/>
          <w:szCs w:val="21"/>
        </w:rPr>
      </w:pPr>
      <w:r>
        <w:rPr>
          <w:rFonts w:hint="eastAsia" w:ascii="宋体" w:hAnsi="宋体"/>
          <w:szCs w:val="21"/>
        </w:rPr>
        <w:t>（2）委托代理人未能出具有效身份证明或者出具的身份证明与授权委托书中的信息不符的；</w:t>
      </w:r>
    </w:p>
    <w:p w14:paraId="1EAA80EB">
      <w:pPr>
        <w:spacing w:line="360" w:lineRule="auto"/>
        <w:ind w:firstLine="420" w:firstLineChars="200"/>
        <w:rPr>
          <w:rFonts w:ascii="宋体" w:hAnsi="宋体"/>
          <w:szCs w:val="21"/>
        </w:rPr>
      </w:pPr>
      <w:r>
        <w:rPr>
          <w:rFonts w:hint="eastAsia" w:ascii="宋体" w:hAnsi="宋体"/>
          <w:szCs w:val="21"/>
        </w:rPr>
        <w:t>（3）投标文件未提供“投标人须知前附表”第13.1条规定中“必须提供”或者“委托时必须提供”的文件资料的;</w:t>
      </w:r>
    </w:p>
    <w:p w14:paraId="02274DDF">
      <w:pPr>
        <w:spacing w:line="360" w:lineRule="auto"/>
        <w:ind w:firstLine="420" w:firstLineChars="200"/>
        <w:rPr>
          <w:rFonts w:ascii="宋体" w:hAnsi="宋体"/>
          <w:szCs w:val="21"/>
        </w:rPr>
      </w:pPr>
      <w:r>
        <w:rPr>
          <w:rFonts w:hint="eastAsia" w:ascii="宋体" w:hAnsi="宋体"/>
          <w:szCs w:val="21"/>
        </w:rPr>
        <w:t>（4）投标有效期、项目完成时间（交货时间、货物完成时间或者货物期等）、质保期、售后服务等招标文件中标“▲”的商务条款发生负偏离的；</w:t>
      </w:r>
    </w:p>
    <w:p w14:paraId="4AF59218">
      <w:pPr>
        <w:spacing w:line="360" w:lineRule="auto"/>
        <w:ind w:firstLine="420" w:firstLineChars="200"/>
        <w:rPr>
          <w:rFonts w:ascii="宋体" w:hAnsi="宋体"/>
          <w:szCs w:val="21"/>
        </w:rPr>
      </w:pPr>
      <w:r>
        <w:rPr>
          <w:rFonts w:hint="eastAsia" w:ascii="宋体" w:hAnsi="宋体"/>
          <w:szCs w:val="21"/>
        </w:rPr>
        <w:t>（5）商务条款评审允许负偏离的条款数超过“投标人须知前附表”规定项数的。</w:t>
      </w:r>
    </w:p>
    <w:p w14:paraId="5258FE01">
      <w:pPr>
        <w:spacing w:line="360" w:lineRule="auto"/>
        <w:ind w:firstLine="420" w:firstLineChars="200"/>
        <w:rPr>
          <w:rFonts w:ascii="宋体" w:hAnsi="宋体"/>
          <w:szCs w:val="21"/>
        </w:rPr>
      </w:pPr>
      <w:r>
        <w:rPr>
          <w:rFonts w:hint="eastAsia" w:ascii="宋体" w:hAnsi="宋体"/>
          <w:szCs w:val="21"/>
        </w:rPr>
        <w:t>（6）投标文件的实质性内容未使用中文表述、使用计量单位不符合招标文件要求的；</w:t>
      </w:r>
    </w:p>
    <w:p w14:paraId="7F7F91EC">
      <w:pPr>
        <w:spacing w:line="360" w:lineRule="auto"/>
        <w:ind w:firstLine="420" w:firstLineChars="200"/>
        <w:rPr>
          <w:rFonts w:ascii="宋体" w:hAnsi="宋体"/>
          <w:szCs w:val="21"/>
        </w:rPr>
      </w:pPr>
      <w:r>
        <w:rPr>
          <w:rFonts w:hint="eastAsia" w:ascii="宋体" w:hAnsi="宋体"/>
          <w:szCs w:val="21"/>
        </w:rPr>
        <w:t>（7）投标文件中的文件资料因填写不齐全或者内容虚假或者出现其他情形而导致被评标委员会认定无效的；</w:t>
      </w:r>
    </w:p>
    <w:p w14:paraId="09A6E51F">
      <w:pPr>
        <w:spacing w:line="360" w:lineRule="auto"/>
        <w:ind w:firstLine="420" w:firstLineChars="200"/>
        <w:rPr>
          <w:rFonts w:ascii="宋体" w:hAnsi="宋体"/>
          <w:szCs w:val="21"/>
        </w:rPr>
      </w:pPr>
      <w:r>
        <w:rPr>
          <w:rFonts w:hint="eastAsia" w:ascii="宋体" w:hAnsi="宋体"/>
          <w:szCs w:val="21"/>
        </w:rPr>
        <w:t>（8）投标文件含有采购人不能接受的附加条件的；</w:t>
      </w:r>
    </w:p>
    <w:p w14:paraId="62957850">
      <w:pPr>
        <w:spacing w:line="360" w:lineRule="auto"/>
        <w:ind w:firstLine="420" w:firstLineChars="200"/>
        <w:rPr>
          <w:rFonts w:ascii="宋体" w:hAnsi="宋体"/>
          <w:szCs w:val="21"/>
        </w:rPr>
      </w:pPr>
      <w:r>
        <w:rPr>
          <w:rFonts w:hint="eastAsia" w:ascii="宋体" w:hAnsi="宋体"/>
          <w:szCs w:val="21"/>
        </w:rPr>
        <w:t>（9）未响应招标文件实质性要求的；</w:t>
      </w:r>
    </w:p>
    <w:p w14:paraId="17D5952C">
      <w:pPr>
        <w:spacing w:line="360" w:lineRule="auto"/>
        <w:ind w:firstLine="420" w:firstLineChars="200"/>
        <w:rPr>
          <w:rFonts w:ascii="宋体" w:hAnsi="宋体"/>
          <w:szCs w:val="21"/>
        </w:rPr>
      </w:pPr>
      <w:r>
        <w:rPr>
          <w:rFonts w:hint="eastAsia" w:ascii="宋体" w:hAnsi="宋体"/>
          <w:szCs w:val="21"/>
        </w:rPr>
        <w:t>（10）属于投标人须知正文第9.2条情形的；</w:t>
      </w:r>
    </w:p>
    <w:p w14:paraId="0A3CFFE9">
      <w:pPr>
        <w:spacing w:line="360" w:lineRule="auto"/>
        <w:ind w:firstLine="420" w:firstLineChars="200"/>
        <w:rPr>
          <w:rFonts w:ascii="宋体" w:hAnsi="宋体"/>
          <w:szCs w:val="21"/>
        </w:rPr>
      </w:pPr>
      <w:r>
        <w:rPr>
          <w:rFonts w:hint="eastAsia" w:ascii="宋体" w:hAnsi="宋体"/>
          <w:szCs w:val="21"/>
        </w:rPr>
        <w:t>（11）法律、法规和招标文件规定的其他无效情形。</w:t>
      </w:r>
    </w:p>
    <w:p w14:paraId="76D5D31F">
      <w:pPr>
        <w:spacing w:line="360" w:lineRule="auto"/>
        <w:ind w:firstLine="420" w:firstLineChars="200"/>
        <w:rPr>
          <w:rFonts w:ascii="宋体" w:hAnsi="宋体"/>
          <w:szCs w:val="21"/>
        </w:rPr>
      </w:pPr>
      <w:r>
        <w:rPr>
          <w:rFonts w:hint="eastAsia" w:ascii="宋体" w:hAnsi="宋体"/>
          <w:szCs w:val="21"/>
        </w:rPr>
        <w:t>2.3在技术评审时，如发现下列情形之一的，将被视为投标无效：</w:t>
      </w:r>
    </w:p>
    <w:p w14:paraId="38A0C641">
      <w:pPr>
        <w:spacing w:line="360" w:lineRule="auto"/>
        <w:ind w:firstLine="420" w:firstLineChars="200"/>
        <w:rPr>
          <w:rFonts w:hAnsi="宋体"/>
          <w:szCs w:val="21"/>
        </w:rPr>
      </w:pPr>
      <w:r>
        <w:rPr>
          <w:rFonts w:hint="eastAsia" w:hAnsi="宋体"/>
          <w:szCs w:val="21"/>
        </w:rPr>
        <w:t>（</w:t>
      </w:r>
      <w:r>
        <w:rPr>
          <w:rFonts w:hAnsi="宋体"/>
          <w:szCs w:val="21"/>
        </w:rPr>
        <w:t>1</w:t>
      </w:r>
      <w:r>
        <w:rPr>
          <w:rFonts w:hint="eastAsia" w:hAnsi="宋体"/>
          <w:szCs w:val="21"/>
        </w:rPr>
        <w:t>）不满足招标文件要求的货物内容、技术要求、安全、质量标准，或者与招标文件中标“▲”的技术需求发生负偏离的；</w:t>
      </w:r>
    </w:p>
    <w:p w14:paraId="32844D58">
      <w:pPr>
        <w:spacing w:line="360" w:lineRule="auto"/>
        <w:ind w:firstLine="420" w:firstLineChars="200"/>
        <w:rPr>
          <w:rFonts w:hAnsi="宋体"/>
          <w:szCs w:val="21"/>
        </w:rPr>
      </w:pPr>
      <w:r>
        <w:rPr>
          <w:rFonts w:hint="eastAsia" w:hAnsi="宋体"/>
          <w:szCs w:val="21"/>
        </w:rPr>
        <w:t>（</w:t>
      </w:r>
      <w:r>
        <w:rPr>
          <w:rFonts w:hAnsi="宋体"/>
          <w:szCs w:val="21"/>
        </w:rPr>
        <w:t>2</w:t>
      </w:r>
      <w:r>
        <w:rPr>
          <w:rFonts w:hint="eastAsia" w:hAnsi="宋体"/>
          <w:szCs w:val="21"/>
        </w:rPr>
        <w:t>）技术需求评审允许负偏离的条款数超过“投标人须知前附表”规定项数的；</w:t>
      </w:r>
    </w:p>
    <w:p w14:paraId="040C177B">
      <w:pPr>
        <w:spacing w:line="360" w:lineRule="auto"/>
        <w:ind w:firstLine="420" w:firstLineChars="200"/>
        <w:rPr>
          <w:rFonts w:hAnsi="宋体"/>
          <w:szCs w:val="21"/>
        </w:rPr>
      </w:pPr>
      <w:r>
        <w:rPr>
          <w:rFonts w:hint="eastAsia" w:hAnsi="宋体"/>
          <w:szCs w:val="21"/>
        </w:rPr>
        <w:t>（</w:t>
      </w:r>
      <w:r>
        <w:rPr>
          <w:rFonts w:hAnsi="宋体"/>
          <w:szCs w:val="21"/>
        </w:rPr>
        <w:t>3</w:t>
      </w:r>
      <w:r>
        <w:rPr>
          <w:rFonts w:hint="eastAsia" w:hAnsi="宋体"/>
          <w:szCs w:val="21"/>
        </w:rPr>
        <w:t>）投标文件未提供“投标人须知前附表”第</w:t>
      </w:r>
      <w:r>
        <w:rPr>
          <w:rFonts w:hAnsi="宋体"/>
          <w:szCs w:val="21"/>
        </w:rPr>
        <w:t>13.1</w:t>
      </w:r>
      <w:r>
        <w:rPr>
          <w:rFonts w:hint="eastAsia" w:hAnsi="宋体"/>
          <w:szCs w:val="21"/>
        </w:rPr>
        <w:t>条规定中“必须提供”的文件资料的</w:t>
      </w:r>
      <w:r>
        <w:rPr>
          <w:rFonts w:hAnsi="宋体"/>
          <w:szCs w:val="21"/>
        </w:rPr>
        <w:t>;</w:t>
      </w:r>
    </w:p>
    <w:p w14:paraId="1430DB15">
      <w:pPr>
        <w:spacing w:line="360" w:lineRule="auto"/>
        <w:ind w:firstLine="420" w:firstLineChars="200"/>
        <w:rPr>
          <w:rFonts w:hAnsi="宋体"/>
          <w:szCs w:val="21"/>
        </w:rPr>
      </w:pPr>
      <w:r>
        <w:rPr>
          <w:rFonts w:hint="eastAsia" w:hAnsi="宋体"/>
          <w:szCs w:val="21"/>
        </w:rPr>
        <w:t>（</w:t>
      </w:r>
      <w:r>
        <w:rPr>
          <w:rFonts w:hAnsi="宋体"/>
          <w:szCs w:val="21"/>
        </w:rPr>
        <w:t>4</w:t>
      </w:r>
      <w:r>
        <w:rPr>
          <w:rFonts w:hint="eastAsia" w:hAnsi="宋体"/>
          <w:szCs w:val="21"/>
        </w:rPr>
        <w:t>）虚假投标，或者出现其他情形而导致被评标委员会认定无效的；</w:t>
      </w:r>
    </w:p>
    <w:p w14:paraId="2DACE8F3">
      <w:pPr>
        <w:spacing w:line="360" w:lineRule="auto"/>
        <w:ind w:firstLine="420" w:firstLineChars="200"/>
        <w:rPr>
          <w:rFonts w:hAnsi="宋体"/>
          <w:szCs w:val="21"/>
        </w:rPr>
      </w:pPr>
      <w:r>
        <w:rPr>
          <w:rFonts w:hint="eastAsia" w:hAnsi="宋体"/>
          <w:szCs w:val="21"/>
        </w:rPr>
        <w:t>（</w:t>
      </w:r>
      <w:r>
        <w:rPr>
          <w:rFonts w:hAnsi="宋体"/>
          <w:szCs w:val="21"/>
        </w:rPr>
        <w:t>5</w:t>
      </w:r>
      <w:r>
        <w:rPr>
          <w:rFonts w:hint="eastAsia" w:hAnsi="宋体"/>
          <w:szCs w:val="21"/>
        </w:rPr>
        <w:t>）招标文件要求提供技术方案的，投标技术方案不明确，招标文件未允许但存在一个或者一个以上备选（替代）投标方案的。</w:t>
      </w:r>
    </w:p>
    <w:p w14:paraId="31030189">
      <w:pPr>
        <w:spacing w:line="360" w:lineRule="auto"/>
        <w:ind w:firstLine="422" w:firstLineChars="200"/>
        <w:rPr>
          <w:rFonts w:ascii="宋体" w:hAnsi="宋体"/>
          <w:b/>
          <w:szCs w:val="21"/>
        </w:rPr>
      </w:pPr>
      <w:r>
        <w:rPr>
          <w:rFonts w:hint="eastAsia" w:ascii="宋体" w:hAnsi="宋体"/>
          <w:b/>
          <w:szCs w:val="21"/>
        </w:rPr>
        <w:t>3.澄清补正、说明或者补正</w:t>
      </w:r>
    </w:p>
    <w:p w14:paraId="789DB3A6">
      <w:pPr>
        <w:spacing w:line="360" w:lineRule="auto"/>
        <w:ind w:firstLine="420" w:firstLineChars="200"/>
        <w:rPr>
          <w:rFonts w:ascii="宋体" w:hAnsi="宋体" w:cs="Courier New"/>
          <w:szCs w:val="21"/>
        </w:rPr>
      </w:pPr>
      <w:r>
        <w:rPr>
          <w:rFonts w:hint="eastAsia" w:ascii="宋体" w:hAnsi="宋体" w:cs="Courier New"/>
          <w:szCs w:val="21"/>
        </w:rPr>
        <w:t>对投标文件中含义不明确、同类问题表述不一致或者有明显文字和计算错误的内容，评标委员会应在“广西政府采购云平台”发布电子澄清函，要求投标人在规定时间内做出必要的澄清、说明或者补正。投标人在“广西政府采购云平台”接收到电子澄清函后根据澄清函内容上传PDF格式回函，电子澄清答复函使用CA证书加盖单位公章后在线上传至评标委员会。投标人的澄清、说明或者补正不得超出投标文件的范围或者改变投标文件的实质性内容。投标人未在规定时间内进行澄清、说明或者补正的，按无效投标处理。</w:t>
      </w:r>
    </w:p>
    <w:p w14:paraId="56B81180">
      <w:pPr>
        <w:spacing w:line="360" w:lineRule="auto"/>
        <w:ind w:firstLine="420" w:firstLineChars="200"/>
        <w:rPr>
          <w:rFonts w:ascii="宋体" w:hAnsi="宋体" w:cs="Courier New"/>
          <w:szCs w:val="21"/>
        </w:rPr>
      </w:pPr>
      <w:r>
        <w:rPr>
          <w:rFonts w:hint="eastAsia" w:ascii="宋体" w:hAnsi="宋体" w:cs="Courier New"/>
          <w:szCs w:val="21"/>
        </w:rPr>
        <w:t>异常情况处理：如遇无法正常使用线上发送澄清函的情况，将启动书面形式办理。启动书面形式办理的情况下，评标委员会以书面形式要求投标人在规定时间内做出必要的澄清、说明或者补正。投标人的澄清、说明或者补正必须采用书面形式，并加盖公章，或者由法定代表人或者其授权的代表签字。</w:t>
      </w:r>
    </w:p>
    <w:p w14:paraId="75BCF1A3">
      <w:pPr>
        <w:spacing w:line="360" w:lineRule="auto"/>
        <w:ind w:firstLine="422" w:firstLineChars="200"/>
        <w:rPr>
          <w:rFonts w:ascii="宋体" w:hAnsi="宋体"/>
          <w:b/>
          <w:szCs w:val="21"/>
        </w:rPr>
      </w:pPr>
      <w:r>
        <w:rPr>
          <w:rFonts w:hint="eastAsia" w:ascii="宋体" w:hAnsi="宋体"/>
          <w:b/>
          <w:szCs w:val="21"/>
        </w:rPr>
        <w:t>4.投标文件修正</w:t>
      </w:r>
    </w:p>
    <w:p w14:paraId="260360EB">
      <w:pPr>
        <w:spacing w:line="360" w:lineRule="auto"/>
        <w:ind w:firstLine="420" w:firstLineChars="200"/>
        <w:rPr>
          <w:rFonts w:ascii="宋体" w:hAnsi="宋体"/>
          <w:szCs w:val="21"/>
        </w:rPr>
      </w:pPr>
      <w:r>
        <w:rPr>
          <w:rFonts w:hint="eastAsia" w:ascii="宋体" w:hAnsi="宋体"/>
          <w:szCs w:val="21"/>
        </w:rPr>
        <w:t>4.1投标文件报价出现前后不一致的，按照下列规定修正：</w:t>
      </w:r>
    </w:p>
    <w:p w14:paraId="56A29B65">
      <w:pPr>
        <w:spacing w:line="360" w:lineRule="auto"/>
        <w:ind w:firstLine="420" w:firstLineChars="200"/>
        <w:rPr>
          <w:rFonts w:hAnsi="宋体"/>
        </w:rPr>
      </w:pPr>
      <w:r>
        <w:rPr>
          <w:rFonts w:hint="eastAsia" w:hAnsi="宋体"/>
        </w:rPr>
        <w:t>（</w:t>
      </w:r>
      <w:r>
        <w:rPr>
          <w:rFonts w:hAnsi="宋体"/>
        </w:rPr>
        <w:t>1</w:t>
      </w:r>
      <w:r>
        <w:rPr>
          <w:rFonts w:hint="eastAsia" w:hAnsi="宋体"/>
        </w:rPr>
        <w:t>）报价文件中“开标一览表”内容与投标文件中相应内容不一致的，以“开标一览表”为准；</w:t>
      </w:r>
    </w:p>
    <w:p w14:paraId="34CE45E5">
      <w:pPr>
        <w:spacing w:line="360" w:lineRule="auto"/>
        <w:ind w:firstLine="420" w:firstLineChars="200"/>
        <w:rPr>
          <w:rFonts w:hAnsi="宋体"/>
        </w:rPr>
      </w:pPr>
      <w:r>
        <w:rPr>
          <w:rFonts w:hint="eastAsia" w:hAnsi="宋体"/>
        </w:rPr>
        <w:t>（</w:t>
      </w:r>
      <w:r>
        <w:rPr>
          <w:rFonts w:hAnsi="宋体"/>
        </w:rPr>
        <w:t>2</w:t>
      </w:r>
      <w:r>
        <w:rPr>
          <w:rFonts w:hint="eastAsia" w:hAnsi="宋体"/>
        </w:rPr>
        <w:t>）大写金额和小写金额不一致的，以大写金额为准；</w:t>
      </w:r>
    </w:p>
    <w:p w14:paraId="4DD6CEFE">
      <w:pPr>
        <w:spacing w:line="360" w:lineRule="auto"/>
        <w:ind w:firstLine="420" w:firstLineChars="200"/>
        <w:rPr>
          <w:rFonts w:hAnsi="宋体"/>
        </w:rPr>
      </w:pPr>
      <w:r>
        <w:rPr>
          <w:rFonts w:hint="eastAsia" w:hAnsi="宋体"/>
        </w:rPr>
        <w:t>（</w:t>
      </w:r>
      <w:r>
        <w:rPr>
          <w:rFonts w:hAnsi="宋体"/>
        </w:rPr>
        <w:t>3</w:t>
      </w:r>
      <w:r>
        <w:rPr>
          <w:rFonts w:hint="eastAsia" w:hAnsi="宋体"/>
        </w:rPr>
        <w:t>）单价金额小数点或者百分比有明显错位的，以开标一览表的总价为准，并修改单价；</w:t>
      </w:r>
    </w:p>
    <w:p w14:paraId="1615B916">
      <w:pPr>
        <w:spacing w:line="360" w:lineRule="auto"/>
        <w:ind w:firstLine="420" w:firstLineChars="200"/>
        <w:rPr>
          <w:rFonts w:hAnsi="宋体"/>
        </w:rPr>
      </w:pPr>
      <w:r>
        <w:rPr>
          <w:rFonts w:hint="eastAsia" w:hAnsi="宋体"/>
        </w:rPr>
        <w:t>（</w:t>
      </w:r>
      <w:r>
        <w:rPr>
          <w:rFonts w:hAnsi="宋体"/>
        </w:rPr>
        <w:t>4</w:t>
      </w:r>
      <w:r>
        <w:rPr>
          <w:rFonts w:hint="eastAsia" w:hAnsi="宋体"/>
        </w:rPr>
        <w:t>）总价金额与按单价汇总金额不一致的，以单价金额计算结果为准。</w:t>
      </w:r>
    </w:p>
    <w:p w14:paraId="768496F3">
      <w:pPr>
        <w:spacing w:line="360" w:lineRule="auto"/>
        <w:ind w:firstLine="420" w:firstLineChars="200"/>
        <w:rPr>
          <w:rFonts w:hAnsi="宋体"/>
        </w:rPr>
      </w:pPr>
      <w:r>
        <w:rPr>
          <w:rFonts w:hint="eastAsia" w:hAnsi="宋体"/>
        </w:rPr>
        <w:t>同时出现两种以上不一致的，按照以上（</w:t>
      </w:r>
      <w:r>
        <w:rPr>
          <w:rFonts w:hAnsi="宋体"/>
        </w:rPr>
        <w:t>1</w:t>
      </w:r>
      <w:r>
        <w:rPr>
          <w:rFonts w:hint="eastAsia" w:hAnsi="宋体"/>
        </w:rPr>
        <w:t>）</w:t>
      </w:r>
      <w:r>
        <w:rPr>
          <w:rFonts w:hAnsi="宋体"/>
        </w:rPr>
        <w:t>-</w:t>
      </w:r>
      <w:r>
        <w:rPr>
          <w:rFonts w:hint="eastAsia" w:hAnsi="宋体"/>
        </w:rPr>
        <w:t>（</w:t>
      </w:r>
      <w:r>
        <w:rPr>
          <w:rFonts w:hAnsi="宋体"/>
        </w:rPr>
        <w:t>4</w:t>
      </w:r>
      <w:r>
        <w:rPr>
          <w:rFonts w:hint="eastAsia" w:hAnsi="宋体"/>
        </w:rPr>
        <w:t>）规定的顺序修正。修正后的报价经投标人确认后产生约束力，投标人不确认的，其投标无效。</w:t>
      </w:r>
    </w:p>
    <w:p w14:paraId="38FCE2EB">
      <w:pPr>
        <w:spacing w:line="360" w:lineRule="auto"/>
        <w:ind w:firstLine="420" w:firstLineChars="200"/>
        <w:rPr>
          <w:rFonts w:ascii="宋体" w:hAnsi="宋体"/>
          <w:szCs w:val="21"/>
        </w:rPr>
      </w:pPr>
      <w:r>
        <w:rPr>
          <w:rFonts w:hint="eastAsia" w:ascii="宋体" w:hAnsi="宋体"/>
          <w:szCs w:val="21"/>
        </w:rPr>
        <w:t>4.2经投标人确认修正后的报价若超过采购预算金额或者最高限价，投标人的投标文件作无效投标处理。</w:t>
      </w:r>
    </w:p>
    <w:p w14:paraId="1B5673DB">
      <w:pPr>
        <w:spacing w:line="360" w:lineRule="auto"/>
        <w:ind w:firstLine="420" w:firstLineChars="200"/>
        <w:rPr>
          <w:rFonts w:ascii="宋体" w:hAnsi="宋体"/>
          <w:szCs w:val="21"/>
        </w:rPr>
      </w:pPr>
      <w:r>
        <w:rPr>
          <w:rFonts w:hint="eastAsia" w:ascii="宋体" w:hAnsi="宋体"/>
          <w:szCs w:val="21"/>
        </w:rPr>
        <w:t>4.3经投标人确认修正后的报价作为签订合同的依据，并以此报价计算价格分。</w:t>
      </w:r>
    </w:p>
    <w:p w14:paraId="0E0AA785">
      <w:pPr>
        <w:spacing w:line="360" w:lineRule="auto"/>
        <w:ind w:firstLine="420" w:firstLineChars="200"/>
        <w:rPr>
          <w:rFonts w:ascii="宋体" w:hAnsi="宋体"/>
          <w:szCs w:val="21"/>
        </w:rPr>
      </w:pPr>
      <w:r>
        <w:rPr>
          <w:rFonts w:hint="eastAsia" w:ascii="宋体" w:hAnsi="宋体"/>
          <w:szCs w:val="21"/>
        </w:rPr>
        <w:t>5.比较与评价</w:t>
      </w:r>
    </w:p>
    <w:p w14:paraId="4A426E13">
      <w:pPr>
        <w:spacing w:line="360" w:lineRule="auto"/>
        <w:ind w:firstLine="420" w:firstLineChars="200"/>
        <w:rPr>
          <w:rFonts w:hAnsi="宋体"/>
        </w:rPr>
      </w:pPr>
      <w:r>
        <w:rPr>
          <w:rFonts w:hAnsi="宋体"/>
        </w:rPr>
        <w:t>5.1</w:t>
      </w:r>
      <w:r>
        <w:rPr>
          <w:rFonts w:hint="eastAsia" w:hAnsi="宋体"/>
        </w:rPr>
        <w:t>评标委员会按照招标文件中规定的评标方法和评标标准，对符合性审查合格的投标文件进行商务和技术评估，综合比较与评价。</w:t>
      </w:r>
    </w:p>
    <w:p w14:paraId="25194C76">
      <w:pPr>
        <w:spacing w:line="360" w:lineRule="auto"/>
        <w:ind w:firstLine="420" w:firstLineChars="200"/>
        <w:rPr>
          <w:rFonts w:hAnsi="宋体"/>
        </w:rPr>
      </w:pPr>
      <w:r>
        <w:rPr>
          <w:rFonts w:hAnsi="宋体"/>
        </w:rPr>
        <w:t>5.2</w:t>
      </w:r>
      <w:r>
        <w:rPr>
          <w:rFonts w:hint="eastAsia" w:hAnsi="宋体"/>
        </w:rPr>
        <w:t>评标委员会独立对每个投标人的投标文件进行评价，并汇总每个投标人的得分。</w:t>
      </w:r>
    </w:p>
    <w:p w14:paraId="7354362F">
      <w:pPr>
        <w:widowControl/>
        <w:spacing w:after="150" w:line="480" w:lineRule="auto"/>
        <w:ind w:firstLine="420" w:firstLineChars="200"/>
        <w:jc w:val="left"/>
        <w:rPr>
          <w:rFonts w:hAnsi="宋体"/>
        </w:rPr>
      </w:pPr>
      <w:r>
        <w:rPr>
          <w:rFonts w:hAnsi="宋体"/>
        </w:rPr>
        <w:t>（1）</w:t>
      </w:r>
      <w:r>
        <w:rPr>
          <w:rFonts w:hint="eastAsia" w:hAnsi="宋体"/>
        </w:rPr>
        <w:t>评审委员会成员要根据政府采购法律法规和招标文件所载明的评审方法、标准进行评审。对投标人的价格分等客观评分项的评分应当一致，对其他需要借助专业知识评判的主观评分项，应当严格按照评分细则公正评分。</w:t>
      </w:r>
    </w:p>
    <w:p w14:paraId="56E749F0">
      <w:pPr>
        <w:widowControl/>
        <w:spacing w:after="150" w:line="480" w:lineRule="auto"/>
        <w:ind w:firstLine="420" w:firstLineChars="200"/>
        <w:jc w:val="left"/>
        <w:rPr>
          <w:rFonts w:hAnsi="宋体"/>
        </w:rPr>
      </w:pPr>
      <w:r>
        <w:rPr>
          <w:rFonts w:hAnsi="宋体"/>
        </w:rPr>
        <w:t>（2）</w:t>
      </w:r>
      <w:r>
        <w:rPr>
          <w:rFonts w:hint="eastAsia" w:hAnsi="宋体"/>
        </w:rPr>
        <w:t>评标委员会认为投标人的报价明显低于其他通过符合性审查投标人的报价，有可能影响产品质量或者不能诚信履约的，应当要求其在评标现场合理的时间内提供书面说明，必要时提交相关证明材料；投标人不能证明其报价合理性的，评标委员会将其作为无效投标处理。</w:t>
      </w:r>
    </w:p>
    <w:p w14:paraId="46454087">
      <w:pPr>
        <w:spacing w:line="360" w:lineRule="auto"/>
        <w:ind w:firstLine="420" w:firstLineChars="200"/>
        <w:rPr>
          <w:rFonts w:hAnsi="宋体"/>
        </w:rPr>
      </w:pPr>
      <w:r>
        <w:rPr>
          <w:rFonts w:hAnsi="宋体"/>
        </w:rPr>
        <w:t>5.3</w:t>
      </w:r>
      <w:r>
        <w:rPr>
          <w:rFonts w:hint="eastAsia" w:hAnsi="宋体"/>
        </w:rPr>
        <w:t>评标委员会按照招标文件中规定的评标方法和标准计算各投标人的报价得分。在计算过程中，不得去掉最高报价或者最低报价。</w:t>
      </w:r>
    </w:p>
    <w:p w14:paraId="526C2B36">
      <w:pPr>
        <w:spacing w:line="360" w:lineRule="auto"/>
        <w:ind w:firstLine="420" w:firstLineChars="200"/>
        <w:rPr>
          <w:rFonts w:hAnsi="宋体"/>
        </w:rPr>
      </w:pPr>
      <w:r>
        <w:rPr>
          <w:rFonts w:hAnsi="宋体"/>
        </w:rPr>
        <w:t>5.4</w:t>
      </w:r>
      <w:r>
        <w:rPr>
          <w:rFonts w:hint="eastAsia" w:hAnsi="宋体"/>
        </w:rPr>
        <w:t>各投标人的得分为所有评委的有效评分的算术平均数。</w:t>
      </w:r>
    </w:p>
    <w:p w14:paraId="20D63A49">
      <w:pPr>
        <w:spacing w:line="360" w:lineRule="auto"/>
        <w:ind w:firstLine="420" w:firstLineChars="200"/>
        <w:rPr>
          <w:rFonts w:hAnsi="宋体"/>
        </w:rPr>
      </w:pPr>
      <w:r>
        <w:rPr>
          <w:rFonts w:hAnsi="宋体"/>
        </w:rPr>
        <w:t>5.5</w:t>
      </w:r>
      <w:r>
        <w:rPr>
          <w:rFonts w:hint="eastAsia" w:hAnsi="宋体"/>
        </w:rPr>
        <w:t>评标委员会按照招标文件中的规定推荐中标候选人。</w:t>
      </w:r>
    </w:p>
    <w:p w14:paraId="68D9C1CF">
      <w:pPr>
        <w:spacing w:line="360" w:lineRule="auto"/>
        <w:ind w:firstLine="420" w:firstLineChars="200"/>
        <w:rPr>
          <w:rFonts w:hAnsi="宋体"/>
        </w:rPr>
      </w:pPr>
      <w:r>
        <w:rPr>
          <w:rFonts w:hAnsi="宋体"/>
        </w:rPr>
        <w:t>5.6</w:t>
      </w:r>
      <w:r>
        <w:rPr>
          <w:rFonts w:hint="eastAsia" w:hAnsi="宋体"/>
        </w:rPr>
        <w:t>起草并签署评标报告。评标委员会根据评标委员会成员签字的原始评标记录和评标结果编写评标报告。评标委员会成员均应当在评标报告上签字，对自己的评标意见承担法律责任。对评标过程中需要共同认定的事项存在争议的，应当按照少数服从多数的原则做出结论。持不同意见的评标委员会应当在评标报告上签署不同意见及理由，否则视为同意评标报告。</w:t>
      </w:r>
    </w:p>
    <w:p w14:paraId="5810519B">
      <w:pPr>
        <w:spacing w:line="360" w:lineRule="auto"/>
        <w:ind w:firstLine="422" w:firstLineChars="200"/>
        <w:rPr>
          <w:rFonts w:ascii="宋体" w:hAnsi="宋体"/>
          <w:b/>
          <w:szCs w:val="21"/>
        </w:rPr>
      </w:pPr>
      <w:r>
        <w:rPr>
          <w:rFonts w:hint="eastAsia" w:ascii="宋体" w:hAnsi="宋体"/>
          <w:b/>
          <w:szCs w:val="21"/>
        </w:rPr>
        <w:t>6.评审复核</w:t>
      </w:r>
    </w:p>
    <w:p w14:paraId="359C2007">
      <w:pPr>
        <w:spacing w:line="360" w:lineRule="auto"/>
        <w:ind w:firstLine="420" w:firstLineChars="200"/>
        <w:rPr>
          <w:rFonts w:ascii="宋体" w:hAnsi="宋体"/>
          <w:szCs w:val="21"/>
        </w:rPr>
      </w:pPr>
      <w:r>
        <w:rPr>
          <w:rFonts w:hint="eastAsia" w:ascii="宋体" w:hAnsi="宋体"/>
          <w:szCs w:val="21"/>
        </w:rPr>
        <w:t>6.1评标报告签署前，评标委员会要对评审结果进行复核，复核意见要体现在评标报告中。</w:t>
      </w:r>
    </w:p>
    <w:p w14:paraId="00946DCC">
      <w:pPr>
        <w:widowControl/>
        <w:spacing w:line="560" w:lineRule="exact"/>
        <w:ind w:firstLine="420" w:firstLineChars="200"/>
        <w:jc w:val="left"/>
        <w:textAlignment w:val="baseline"/>
        <w:rPr>
          <w:rFonts w:hAnsi="宋体"/>
        </w:rPr>
      </w:pPr>
      <w:r>
        <w:rPr>
          <w:rFonts w:hAnsi="宋体"/>
        </w:rPr>
        <w:t>6.2</w:t>
      </w:r>
      <w:r>
        <w:rPr>
          <w:rFonts w:hint="eastAsia" w:hAnsi="宋体"/>
        </w:rPr>
        <w:t>评标结果汇总完成后，除下列情形外，任何人不得修改评标结果：</w:t>
      </w:r>
    </w:p>
    <w:p w14:paraId="4FD07F5D">
      <w:pPr>
        <w:widowControl/>
        <w:spacing w:line="560" w:lineRule="exact"/>
        <w:jc w:val="left"/>
        <w:textAlignment w:val="baseline"/>
        <w:rPr>
          <w:rFonts w:hAnsi="宋体"/>
        </w:rPr>
      </w:pPr>
      <w:r>
        <w:rPr>
          <w:rFonts w:hint="eastAsia" w:hAnsi="宋体"/>
        </w:rPr>
        <w:t>　　（一）分值汇总计算错误的；</w:t>
      </w:r>
    </w:p>
    <w:p w14:paraId="4DA8BF48">
      <w:pPr>
        <w:widowControl/>
        <w:spacing w:line="560" w:lineRule="exact"/>
        <w:jc w:val="left"/>
        <w:textAlignment w:val="baseline"/>
        <w:rPr>
          <w:rFonts w:hAnsi="宋体"/>
        </w:rPr>
      </w:pPr>
      <w:r>
        <w:rPr>
          <w:rFonts w:hint="eastAsia" w:hAnsi="宋体"/>
        </w:rPr>
        <w:t>　　（二）分项评分超出评分标准范围的；</w:t>
      </w:r>
    </w:p>
    <w:p w14:paraId="1518EB66">
      <w:pPr>
        <w:widowControl/>
        <w:spacing w:line="560" w:lineRule="exact"/>
        <w:jc w:val="left"/>
        <w:textAlignment w:val="baseline"/>
        <w:rPr>
          <w:rFonts w:hAnsi="宋体"/>
        </w:rPr>
      </w:pPr>
      <w:r>
        <w:rPr>
          <w:rFonts w:hint="eastAsia" w:hAnsi="宋体"/>
        </w:rPr>
        <w:t>　　（三）评标委员会成员对客观评审因素评分不一致的；</w:t>
      </w:r>
    </w:p>
    <w:p w14:paraId="692A44D7">
      <w:pPr>
        <w:widowControl/>
        <w:spacing w:line="560" w:lineRule="exact"/>
        <w:jc w:val="left"/>
        <w:textAlignment w:val="baseline"/>
        <w:rPr>
          <w:rFonts w:hAnsi="宋体"/>
        </w:rPr>
      </w:pPr>
      <w:r>
        <w:rPr>
          <w:rFonts w:hint="eastAsia" w:hAnsi="宋体"/>
        </w:rPr>
        <w:t>　　（四）经评标委员会认定评分畸高、畸低的。</w:t>
      </w:r>
    </w:p>
    <w:p w14:paraId="3E7F5066">
      <w:pPr>
        <w:spacing w:line="360" w:lineRule="auto"/>
        <w:ind w:firstLine="420" w:firstLineChars="200"/>
        <w:rPr>
          <w:rFonts w:hAnsi="宋体"/>
        </w:rPr>
      </w:pPr>
      <w:r>
        <w:rPr>
          <w:rFonts w:hint="eastAsia" w:hAnsi="宋体"/>
        </w:rPr>
        <w:t>评标报告签署前，经复核发现存在以上情形之一的，评标委员会应当当场修改评标结果，并在评标报告中记载；评标报告签署后，采购人或者采购代理机构发现存在以上情形之一的，应当组织原评标委员会进行重新评审，重新评审改变评标结果的，书面报告本级财政部门。</w:t>
      </w:r>
    </w:p>
    <w:p w14:paraId="5FA266DD">
      <w:pPr>
        <w:pStyle w:val="4"/>
        <w:jc w:val="center"/>
        <w:rPr>
          <w:b w:val="0"/>
          <w:sz w:val="30"/>
          <w:szCs w:val="30"/>
        </w:rPr>
      </w:pPr>
      <w:r>
        <w:rPr>
          <w:rFonts w:hint="eastAsia"/>
          <w:b w:val="0"/>
          <w:sz w:val="30"/>
          <w:szCs w:val="30"/>
        </w:rPr>
        <w:br w:type="page"/>
      </w:r>
      <w:bookmarkStart w:id="60" w:name="_Toc1958"/>
      <w:bookmarkStart w:id="61" w:name="_Toc13029"/>
      <w:r>
        <w:rPr>
          <w:rFonts w:hint="eastAsia"/>
          <w:b w:val="0"/>
          <w:sz w:val="30"/>
          <w:szCs w:val="30"/>
        </w:rPr>
        <w:t>第三节 评分标准</w:t>
      </w:r>
    </w:p>
    <w:p w14:paraId="4C616DB2">
      <w:pPr>
        <w:pStyle w:val="4"/>
        <w:spacing w:before="100" w:after="100" w:line="360" w:lineRule="auto"/>
        <w:jc w:val="center"/>
        <w:rPr>
          <w:b w:val="0"/>
          <w:color w:val="000000"/>
        </w:rPr>
      </w:pPr>
      <w:r>
        <w:rPr>
          <w:rFonts w:hint="eastAsia"/>
          <w:b w:val="0"/>
          <w:color w:val="000000"/>
        </w:rPr>
        <w:t>综合评分法</w:t>
      </w:r>
    </w:p>
    <w:bookmarkEnd w:id="60"/>
    <w:bookmarkEnd w:id="61"/>
    <w:p w14:paraId="36785A0B">
      <w:pPr>
        <w:spacing w:line="420" w:lineRule="exact"/>
        <w:ind w:firstLine="420"/>
        <w:rPr>
          <w:rFonts w:ascii="宋体" w:hAnsi="宋体"/>
          <w:color w:val="000000"/>
          <w:szCs w:val="21"/>
        </w:rPr>
      </w:pPr>
      <w:bookmarkStart w:id="62" w:name="_Hlk129872629"/>
      <w:r>
        <w:rPr>
          <w:rFonts w:hint="eastAsia" w:ascii="宋体" w:hAnsi="宋体"/>
          <w:color w:val="000000"/>
          <w:szCs w:val="21"/>
        </w:rPr>
        <w:t>（一）评标委员会以招标文件为依据，对投标文件进行评审，对投标人的报价文件、技术文件及商务文件等三部分内容按百分制打分，其中</w:t>
      </w:r>
      <w:r>
        <w:rPr>
          <w:rFonts w:hint="eastAsia" w:ascii="宋体" w:hAnsi="宋体"/>
          <w:b/>
          <w:color w:val="000000"/>
          <w:szCs w:val="21"/>
        </w:rPr>
        <w:t>价格分</w:t>
      </w:r>
      <w:r>
        <w:rPr>
          <w:rFonts w:ascii="宋体" w:hAnsi="宋体"/>
          <w:b/>
          <w:color w:val="000000"/>
          <w:szCs w:val="21"/>
        </w:rPr>
        <w:t>1</w:t>
      </w:r>
      <w:r>
        <w:rPr>
          <w:rFonts w:hint="eastAsia" w:ascii="宋体" w:hAnsi="宋体"/>
          <w:b/>
          <w:color w:val="000000"/>
          <w:szCs w:val="21"/>
        </w:rPr>
        <w:t>0分；技术分50分；商务分40分</w:t>
      </w:r>
      <w:r>
        <w:rPr>
          <w:rFonts w:hint="eastAsia" w:ascii="宋体" w:hAnsi="宋体"/>
          <w:color w:val="000000"/>
          <w:szCs w:val="21"/>
        </w:rPr>
        <w:t>。（评标时，由各评委独立进行评价、打分，不允许讨论。）</w:t>
      </w:r>
    </w:p>
    <w:p w14:paraId="60B0C231">
      <w:pPr>
        <w:spacing w:line="420" w:lineRule="exact"/>
        <w:ind w:firstLine="420"/>
        <w:rPr>
          <w:rFonts w:ascii="宋体" w:hAnsi="宋体"/>
          <w:color w:val="000000"/>
          <w:szCs w:val="21"/>
        </w:rPr>
      </w:pPr>
      <w:r>
        <w:rPr>
          <w:rFonts w:hint="eastAsia" w:ascii="宋体" w:hAnsi="宋体"/>
          <w:bCs/>
          <w:color w:val="000000"/>
          <w:szCs w:val="21"/>
        </w:rPr>
        <w:t>（二）评分细则：</w:t>
      </w:r>
      <w:r>
        <w:rPr>
          <w:rFonts w:hint="eastAsia" w:ascii="宋体" w:hAnsi="宋体"/>
          <w:color w:val="000000"/>
          <w:szCs w:val="21"/>
        </w:rPr>
        <w:t>（按四舍五入取至小数点后四位）</w:t>
      </w:r>
    </w:p>
    <w:tbl>
      <w:tblPr>
        <w:tblStyle w:val="35"/>
        <w:tblW w:w="4764"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55"/>
        <w:gridCol w:w="1388"/>
        <w:gridCol w:w="6283"/>
        <w:gridCol w:w="963"/>
      </w:tblGrid>
      <w:tr w14:paraId="329C50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tcPr>
          <w:p w14:paraId="02A54915">
            <w:pPr>
              <w:pStyle w:val="17"/>
              <w:spacing w:line="360" w:lineRule="auto"/>
              <w:rPr>
                <w:rFonts w:hAnsi="宋体"/>
                <w:bCs/>
              </w:rPr>
            </w:pPr>
            <w:r>
              <w:rPr>
                <w:rFonts w:hint="eastAsia" w:hAnsi="宋体"/>
                <w:bCs/>
              </w:rPr>
              <w:t>序号</w:t>
            </w:r>
          </w:p>
        </w:tc>
        <w:tc>
          <w:tcPr>
            <w:tcW w:w="739" w:type="pct"/>
          </w:tcPr>
          <w:p w14:paraId="54DAB8AC">
            <w:pPr>
              <w:pStyle w:val="17"/>
              <w:spacing w:line="360" w:lineRule="auto"/>
              <w:rPr>
                <w:rFonts w:hAnsi="宋体"/>
                <w:bCs/>
              </w:rPr>
            </w:pPr>
            <w:r>
              <w:rPr>
                <w:rFonts w:hint="eastAsia" w:hAnsi="宋体"/>
                <w:bCs/>
              </w:rPr>
              <w:t>评分类型</w:t>
            </w:r>
          </w:p>
        </w:tc>
        <w:tc>
          <w:tcPr>
            <w:tcW w:w="3346" w:type="pct"/>
            <w:vAlign w:val="center"/>
          </w:tcPr>
          <w:p w14:paraId="14725E8F">
            <w:pPr>
              <w:pStyle w:val="17"/>
              <w:spacing w:line="360" w:lineRule="auto"/>
              <w:jc w:val="center"/>
              <w:rPr>
                <w:rFonts w:hAnsi="宋体"/>
                <w:bCs/>
              </w:rPr>
            </w:pPr>
            <w:r>
              <w:rPr>
                <w:rFonts w:hint="eastAsia" w:hAnsi="宋体"/>
                <w:bCs/>
              </w:rPr>
              <w:t>评分标准</w:t>
            </w:r>
          </w:p>
        </w:tc>
        <w:tc>
          <w:tcPr>
            <w:tcW w:w="511" w:type="pct"/>
          </w:tcPr>
          <w:p w14:paraId="5C395208">
            <w:pPr>
              <w:pStyle w:val="17"/>
              <w:spacing w:line="360" w:lineRule="auto"/>
              <w:rPr>
                <w:rFonts w:hAnsi="宋体"/>
                <w:bCs/>
              </w:rPr>
            </w:pPr>
            <w:r>
              <w:rPr>
                <w:rFonts w:hint="eastAsia" w:hAnsi="宋体"/>
                <w:bCs/>
              </w:rPr>
              <w:t>分值</w:t>
            </w:r>
          </w:p>
        </w:tc>
      </w:tr>
      <w:tr w14:paraId="5FB28AB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407B4393">
            <w:pPr>
              <w:pStyle w:val="17"/>
              <w:spacing w:line="360" w:lineRule="auto"/>
              <w:jc w:val="center"/>
              <w:rPr>
                <w:rFonts w:hAnsi="宋体"/>
                <w:bCs/>
              </w:rPr>
            </w:pPr>
            <w:r>
              <w:rPr>
                <w:rFonts w:hint="eastAsia" w:hAnsi="宋体"/>
                <w:bCs/>
              </w:rPr>
              <w:t>1</w:t>
            </w:r>
          </w:p>
        </w:tc>
        <w:tc>
          <w:tcPr>
            <w:tcW w:w="739" w:type="pct"/>
            <w:vAlign w:val="center"/>
          </w:tcPr>
          <w:p w14:paraId="0BCBEF8E">
            <w:pPr>
              <w:pStyle w:val="17"/>
              <w:spacing w:line="360" w:lineRule="auto"/>
              <w:jc w:val="center"/>
              <w:rPr>
                <w:rFonts w:hAnsi="宋体"/>
                <w:bCs/>
              </w:rPr>
            </w:pPr>
            <w:r>
              <w:rPr>
                <w:rFonts w:hint="eastAsia" w:hAnsi="宋体"/>
                <w:bCs/>
              </w:rPr>
              <w:t>报价（满分10分）</w:t>
            </w:r>
          </w:p>
        </w:tc>
        <w:tc>
          <w:tcPr>
            <w:tcW w:w="3346" w:type="pct"/>
          </w:tcPr>
          <w:p w14:paraId="46D2E71D">
            <w:pPr>
              <w:spacing w:line="420" w:lineRule="exact"/>
              <w:ind w:firstLine="420" w:firstLineChars="200"/>
              <w:rPr>
                <w:rFonts w:ascii="宋体" w:hAnsi="宋体"/>
                <w:bCs/>
                <w:szCs w:val="20"/>
              </w:rPr>
            </w:pPr>
            <w:r>
              <w:rPr>
                <w:rFonts w:hint="eastAsia" w:ascii="宋体" w:hAnsi="宋体"/>
                <w:bCs/>
                <w:szCs w:val="20"/>
              </w:rPr>
              <w:t>（1）评标报价为投标人的投标报价进行政策性扣除后的价格，评标报价只是作为评标时使用。最终中标人的中标金额等于投标报价。</w:t>
            </w:r>
          </w:p>
          <w:p w14:paraId="26193CB0">
            <w:pPr>
              <w:spacing w:line="420" w:lineRule="exact"/>
              <w:ind w:firstLine="420" w:firstLineChars="200"/>
              <w:rPr>
                <w:rFonts w:ascii="宋体" w:hAnsi="宋体"/>
                <w:bCs/>
                <w:szCs w:val="20"/>
              </w:rPr>
            </w:pPr>
            <w:r>
              <w:rPr>
                <w:rFonts w:hint="eastAsia" w:ascii="宋体" w:hAnsi="宋体"/>
                <w:bCs/>
                <w:szCs w:val="20"/>
              </w:rPr>
              <w:t>（2）按照《政府采购促进中小企业发展管理办法》《桂财采〔2024〕55号》的规定，投标人在其投标文件中提供《中小企业声明函》，且其服务为小型和微型企业承接的，对其最后报价给予1</w:t>
            </w:r>
            <w:r>
              <w:rPr>
                <w:rFonts w:ascii="宋体" w:hAnsi="宋体"/>
                <w:bCs/>
                <w:szCs w:val="20"/>
              </w:rPr>
              <w:t>0</w:t>
            </w:r>
            <w:r>
              <w:rPr>
                <w:rFonts w:hint="eastAsia" w:ascii="宋体" w:hAnsi="宋体"/>
                <w:bCs/>
                <w:szCs w:val="20"/>
              </w:rPr>
              <w:t>%的扣除。</w:t>
            </w:r>
          </w:p>
          <w:p w14:paraId="2092C219">
            <w:pPr>
              <w:spacing w:line="420" w:lineRule="exact"/>
              <w:ind w:firstLine="420" w:firstLineChars="200"/>
              <w:rPr>
                <w:rFonts w:ascii="宋体" w:hAnsi="宋体"/>
                <w:bCs/>
                <w:szCs w:val="20"/>
              </w:rPr>
            </w:pPr>
            <w:r>
              <w:rPr>
                <w:rFonts w:hint="eastAsia" w:ascii="宋体" w:hAnsi="宋体"/>
                <w:bCs/>
                <w:szCs w:val="20"/>
              </w:rPr>
              <w:t>（3）按照《财政部、司法部关于政府采购支持监狱企业发展有关问题的通知》（财库〔2014〕68号）的规定，监狱企业视同小型、微型企业，享受预留份额、评审中价格扣除等促进中小企业发展的政府采购政策。监狱企业参加政府采购活动时，应当提供由省级以上监狱管理局、戒毒管理局(含新疆生产建设兵团)出具的属于监狱企业的证明文件。不重复享受政策。</w:t>
            </w:r>
          </w:p>
          <w:p w14:paraId="3318809A">
            <w:pPr>
              <w:spacing w:line="420" w:lineRule="exact"/>
              <w:ind w:firstLine="420" w:firstLineChars="200"/>
              <w:rPr>
                <w:rFonts w:ascii="宋体" w:hAnsi="宋体"/>
                <w:bCs/>
                <w:szCs w:val="20"/>
              </w:rPr>
            </w:pPr>
            <w:r>
              <w:rPr>
                <w:rFonts w:hint="eastAsia" w:ascii="宋体" w:hAnsi="宋体"/>
                <w:bCs/>
                <w:szCs w:val="20"/>
              </w:rPr>
              <w:t>（4）按照《关于促进残疾人就业政府采购政策的通知》（财库〔2017〕141号）的规定，残疾人福利性单位视同小型、微型企业，享受预留份额、评审中价格扣除等促进中小企业发展的政府采购政策。残疾人福利性单位参加政府采购活动时，应当提供该通知规定的《残疾人福利性单位声明函》，并对声明的真实性负责。残疾人福利性单位属于小型、微型企业的，不重复享受政策。</w:t>
            </w:r>
          </w:p>
          <w:p w14:paraId="59B4EBDC">
            <w:pPr>
              <w:spacing w:line="420" w:lineRule="exact"/>
              <w:ind w:firstLine="420" w:firstLineChars="200"/>
              <w:rPr>
                <w:rFonts w:ascii="宋体" w:hAnsi="宋体"/>
                <w:bCs/>
                <w:szCs w:val="20"/>
              </w:rPr>
            </w:pPr>
            <w:r>
              <w:rPr>
                <w:rFonts w:hint="eastAsia" w:ascii="宋体" w:hAnsi="宋体"/>
                <w:bCs/>
                <w:szCs w:val="20"/>
              </w:rPr>
              <w:t>（5）政策性扣除计算方法。</w:t>
            </w:r>
          </w:p>
          <w:p w14:paraId="50EC6C7E">
            <w:pPr>
              <w:spacing w:line="420" w:lineRule="exact"/>
              <w:ind w:firstLine="420" w:firstLineChars="200"/>
              <w:rPr>
                <w:rFonts w:ascii="宋体" w:hAnsi="宋体"/>
                <w:bCs/>
                <w:szCs w:val="20"/>
              </w:rPr>
            </w:pPr>
            <w:r>
              <w:rPr>
                <w:rFonts w:hint="eastAsia" w:ascii="宋体" w:hAnsi="宋体"/>
                <w:bCs/>
                <w:szCs w:val="20"/>
              </w:rPr>
              <w:t>在服务采购项目中，服务由小微企业承接；对符合上述要求的投标人的投标报价给予</w:t>
            </w:r>
            <w:r>
              <w:rPr>
                <w:rFonts w:ascii="宋体" w:hAnsi="宋体"/>
                <w:bCs/>
                <w:szCs w:val="20"/>
              </w:rPr>
              <w:t>1</w:t>
            </w:r>
            <w:r>
              <w:rPr>
                <w:rFonts w:hint="eastAsia" w:ascii="宋体" w:hAnsi="宋体"/>
                <w:bCs/>
                <w:szCs w:val="20"/>
              </w:rPr>
              <w:t>0%的扣除，扣除后的价格为评标报价，即评标报价=投标报价×（1-</w:t>
            </w:r>
            <w:r>
              <w:rPr>
                <w:rFonts w:ascii="宋体" w:hAnsi="宋体"/>
                <w:bCs/>
                <w:szCs w:val="20"/>
              </w:rPr>
              <w:t>1</w:t>
            </w:r>
            <w:r>
              <w:rPr>
                <w:rFonts w:hint="eastAsia" w:ascii="宋体" w:hAnsi="宋体"/>
                <w:bCs/>
                <w:szCs w:val="20"/>
              </w:rPr>
              <w:t>0%）。接受大中型企业与小微企业组成联合体或者允许大中型企业向一家或者多家小微企业分包的采购项目，联合协议或者分包意向协议约定小微企业的合同份额占到合同总金额30%以上的，采购人、采购代理机构应当对联合体或者大中型企业的报价给予4 %的扣除，用扣除后的价格参加评审，扣除后的价格为评标报价，即评标报价=投标报价×（1- 4%）。除上述情况外，评标报价=投标报价。</w:t>
            </w:r>
          </w:p>
          <w:p w14:paraId="1A503EC1">
            <w:pPr>
              <w:spacing w:line="420" w:lineRule="exact"/>
              <w:ind w:firstLine="420" w:firstLineChars="200"/>
              <w:rPr>
                <w:rFonts w:ascii="宋体" w:hAnsi="宋体"/>
                <w:bCs/>
                <w:szCs w:val="20"/>
              </w:rPr>
            </w:pPr>
            <w:r>
              <w:rPr>
                <w:rFonts w:hint="eastAsia" w:ascii="宋体" w:hAnsi="宋体"/>
                <w:bCs/>
                <w:szCs w:val="20"/>
              </w:rPr>
              <w:t>（6）满足招标文件要求且评标报价最低的评标报价为评标基准价，其价格分为满分。</w:t>
            </w:r>
          </w:p>
          <w:p w14:paraId="4BF315EF">
            <w:pPr>
              <w:spacing w:line="420" w:lineRule="exact"/>
              <w:ind w:firstLine="420" w:firstLineChars="200"/>
              <w:rPr>
                <w:rFonts w:ascii="宋体" w:hAnsi="宋体"/>
                <w:bCs/>
                <w:szCs w:val="20"/>
              </w:rPr>
            </w:pPr>
            <w:r>
              <w:rPr>
                <w:rFonts w:hint="eastAsia" w:ascii="宋体" w:hAnsi="宋体"/>
                <w:bCs/>
                <w:szCs w:val="20"/>
              </w:rPr>
              <w:t xml:space="preserve">（7）价格分计算公式：        </w:t>
            </w:r>
          </w:p>
          <w:p w14:paraId="2776F18B">
            <w:pPr>
              <w:spacing w:line="420" w:lineRule="exact"/>
              <w:ind w:firstLine="420" w:firstLineChars="200"/>
              <w:rPr>
                <w:rFonts w:hAnsi="宋体"/>
                <w:bCs/>
              </w:rPr>
            </w:pPr>
            <w:r>
              <w:rPr>
                <w:rFonts w:hAnsi="宋体"/>
                <w:bCs/>
                <w:szCs w:val="20"/>
              </w:rPr>
              <w:t>价格分=[评标基准价／评标报价]×10分</w:t>
            </w:r>
          </w:p>
        </w:tc>
        <w:tc>
          <w:tcPr>
            <w:tcW w:w="511" w:type="pct"/>
            <w:vAlign w:val="center"/>
          </w:tcPr>
          <w:p w14:paraId="18B60C06">
            <w:pPr>
              <w:pStyle w:val="17"/>
              <w:spacing w:line="360" w:lineRule="auto"/>
              <w:jc w:val="center"/>
              <w:rPr>
                <w:rFonts w:hAnsi="宋体"/>
                <w:bCs/>
              </w:rPr>
            </w:pPr>
            <w:r>
              <w:rPr>
                <w:rFonts w:hint="eastAsia" w:hAnsi="宋体"/>
                <w:bCs/>
              </w:rPr>
              <w:t>0~10</w:t>
            </w:r>
          </w:p>
        </w:tc>
      </w:tr>
      <w:tr w14:paraId="7FFCC3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6CF76A29">
            <w:pPr>
              <w:pStyle w:val="17"/>
              <w:spacing w:line="360" w:lineRule="auto"/>
              <w:jc w:val="center"/>
              <w:rPr>
                <w:rFonts w:hAnsi="宋体"/>
                <w:b/>
              </w:rPr>
            </w:pPr>
            <w:r>
              <w:rPr>
                <w:rFonts w:hint="eastAsia" w:hAnsi="宋体"/>
                <w:b/>
              </w:rPr>
              <w:t>2</w:t>
            </w:r>
          </w:p>
        </w:tc>
        <w:tc>
          <w:tcPr>
            <w:tcW w:w="739" w:type="pct"/>
            <w:vAlign w:val="center"/>
          </w:tcPr>
          <w:p w14:paraId="3B385DC6">
            <w:pPr>
              <w:pStyle w:val="17"/>
              <w:spacing w:line="360" w:lineRule="auto"/>
              <w:jc w:val="center"/>
              <w:rPr>
                <w:rFonts w:hAnsi="宋体"/>
                <w:b/>
              </w:rPr>
            </w:pPr>
            <w:r>
              <w:rPr>
                <w:rFonts w:hint="eastAsia" w:hAnsi="宋体"/>
                <w:b/>
              </w:rPr>
              <w:t>技术分</w:t>
            </w:r>
          </w:p>
        </w:tc>
        <w:tc>
          <w:tcPr>
            <w:tcW w:w="3346" w:type="pct"/>
            <w:vAlign w:val="center"/>
          </w:tcPr>
          <w:p w14:paraId="54E09EC9">
            <w:pPr>
              <w:pStyle w:val="17"/>
              <w:spacing w:line="360" w:lineRule="auto"/>
              <w:jc w:val="center"/>
              <w:rPr>
                <w:rFonts w:hAnsi="宋体"/>
                <w:b/>
              </w:rPr>
            </w:pPr>
            <w:r>
              <w:rPr>
                <w:rFonts w:hint="eastAsia" w:hAnsi="宋体"/>
                <w:b/>
                <w:szCs w:val="21"/>
              </w:rPr>
              <w:t>评审因素（主观分）</w:t>
            </w:r>
          </w:p>
        </w:tc>
        <w:tc>
          <w:tcPr>
            <w:tcW w:w="511" w:type="pct"/>
            <w:vAlign w:val="center"/>
          </w:tcPr>
          <w:p w14:paraId="58201059">
            <w:pPr>
              <w:pStyle w:val="17"/>
              <w:spacing w:line="360" w:lineRule="auto"/>
              <w:jc w:val="center"/>
              <w:rPr>
                <w:rFonts w:hAnsi="宋体"/>
                <w:b/>
              </w:rPr>
            </w:pPr>
            <w:r>
              <w:rPr>
                <w:rFonts w:hint="eastAsia" w:hAnsi="宋体"/>
                <w:b/>
              </w:rPr>
              <w:t>0~50分</w:t>
            </w:r>
          </w:p>
        </w:tc>
      </w:tr>
      <w:tr w14:paraId="10DD7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1123A9C">
            <w:pPr>
              <w:pStyle w:val="17"/>
              <w:spacing w:line="360" w:lineRule="auto"/>
              <w:jc w:val="center"/>
              <w:rPr>
                <w:rFonts w:hAnsi="宋体"/>
                <w:bCs/>
              </w:rPr>
            </w:pPr>
            <w:r>
              <w:rPr>
                <w:rFonts w:hint="eastAsia" w:hAnsi="宋体"/>
                <w:bCs/>
              </w:rPr>
              <w:t>2.1</w:t>
            </w:r>
          </w:p>
        </w:tc>
        <w:tc>
          <w:tcPr>
            <w:tcW w:w="739" w:type="pct"/>
            <w:vAlign w:val="center"/>
          </w:tcPr>
          <w:p w14:paraId="5AC2D03F">
            <w:pPr>
              <w:pStyle w:val="17"/>
              <w:spacing w:line="360" w:lineRule="auto"/>
              <w:jc w:val="center"/>
              <w:rPr>
                <w:rFonts w:hAnsi="宋体"/>
                <w:bCs/>
              </w:rPr>
            </w:pPr>
            <w:r>
              <w:rPr>
                <w:rFonts w:hint="eastAsia" w:hAnsi="宋体"/>
                <w:b/>
                <w:color w:val="000000"/>
                <w:szCs w:val="21"/>
              </w:rPr>
              <w:t>对项目内容的分析理解</w:t>
            </w:r>
          </w:p>
        </w:tc>
        <w:tc>
          <w:tcPr>
            <w:tcW w:w="3346" w:type="pct"/>
          </w:tcPr>
          <w:p w14:paraId="52655C00">
            <w:pPr>
              <w:spacing w:line="400" w:lineRule="exact"/>
              <w:ind w:firstLine="422"/>
              <w:rPr>
                <w:rFonts w:ascii="宋体" w:hAnsi="宋体"/>
                <w:color w:val="000000"/>
                <w:szCs w:val="21"/>
              </w:rPr>
            </w:pPr>
            <w:r>
              <w:rPr>
                <w:rFonts w:hint="eastAsia" w:ascii="宋体" w:hAnsi="宋体"/>
                <w:color w:val="000000"/>
                <w:szCs w:val="21"/>
              </w:rPr>
              <w:t>一档（</w:t>
            </w:r>
            <w:r>
              <w:rPr>
                <w:rFonts w:ascii="宋体" w:hAnsi="宋体"/>
                <w:color w:val="000000"/>
                <w:szCs w:val="21"/>
              </w:rPr>
              <w:t>0分）：投标人没有提供项目情况分析内容，或提供的项目分析情况内容不符合相关技术标准及规范的要求；</w:t>
            </w:r>
          </w:p>
          <w:p w14:paraId="0ECF5953">
            <w:pPr>
              <w:spacing w:line="400" w:lineRule="exact"/>
              <w:ind w:firstLine="422"/>
              <w:rPr>
                <w:rFonts w:ascii="宋体" w:hAnsi="宋体"/>
                <w:color w:val="000000"/>
                <w:szCs w:val="21"/>
              </w:rPr>
            </w:pPr>
            <w:r>
              <w:rPr>
                <w:rFonts w:hint="eastAsia" w:ascii="宋体" w:hAnsi="宋体"/>
                <w:color w:val="000000"/>
                <w:szCs w:val="21"/>
              </w:rPr>
              <w:t>二档（</w:t>
            </w:r>
            <w:r>
              <w:rPr>
                <w:rFonts w:ascii="宋体" w:hAnsi="宋体"/>
                <w:color w:val="000000"/>
                <w:szCs w:val="21"/>
              </w:rPr>
              <w:t>3分）：投标人</w:t>
            </w:r>
            <w:r>
              <w:rPr>
                <w:rFonts w:hint="eastAsia" w:ascii="宋体" w:hAnsi="宋体"/>
                <w:color w:val="000000"/>
                <w:szCs w:val="21"/>
              </w:rPr>
              <w:t>提供</w:t>
            </w:r>
            <w:r>
              <w:rPr>
                <w:rFonts w:ascii="宋体" w:hAnsi="宋体"/>
                <w:color w:val="000000"/>
                <w:szCs w:val="21"/>
              </w:rPr>
              <w:t>有项目情况分析内容，能简单描述项目的</w:t>
            </w:r>
            <w:r>
              <w:rPr>
                <w:rFonts w:hint="eastAsia" w:ascii="宋体" w:hAnsi="宋体"/>
                <w:color w:val="000000"/>
                <w:szCs w:val="21"/>
              </w:rPr>
              <w:t>服务</w:t>
            </w:r>
            <w:r>
              <w:rPr>
                <w:rFonts w:ascii="宋体" w:hAnsi="宋体"/>
                <w:color w:val="000000"/>
                <w:szCs w:val="21"/>
              </w:rPr>
              <w:t>内容、</w:t>
            </w:r>
            <w:r>
              <w:rPr>
                <w:rFonts w:hint="eastAsia" w:ascii="宋体" w:hAnsi="宋体"/>
                <w:color w:val="000000"/>
                <w:szCs w:val="21"/>
              </w:rPr>
              <w:t>服务</w:t>
            </w:r>
            <w:r>
              <w:rPr>
                <w:rFonts w:ascii="宋体" w:hAnsi="宋体"/>
                <w:color w:val="000000"/>
                <w:szCs w:val="21"/>
              </w:rPr>
              <w:t>目标；</w:t>
            </w:r>
          </w:p>
          <w:p w14:paraId="2A6A61CB">
            <w:pPr>
              <w:spacing w:line="400" w:lineRule="exact"/>
              <w:ind w:firstLine="422"/>
            </w:pPr>
            <w:r>
              <w:rPr>
                <w:rFonts w:hint="eastAsia" w:ascii="宋体" w:hAnsi="宋体"/>
                <w:color w:val="000000"/>
                <w:szCs w:val="21"/>
              </w:rPr>
              <w:t>三档（</w:t>
            </w:r>
            <w:r>
              <w:rPr>
                <w:rFonts w:ascii="宋体" w:hAnsi="宋体"/>
                <w:color w:val="000000"/>
                <w:szCs w:val="21"/>
              </w:rPr>
              <w:t>6分）：投标人</w:t>
            </w:r>
            <w:r>
              <w:rPr>
                <w:rFonts w:hint="eastAsia" w:ascii="宋体" w:hAnsi="宋体"/>
                <w:color w:val="000000"/>
                <w:szCs w:val="21"/>
              </w:rPr>
              <w:t>提供</w:t>
            </w:r>
            <w:r>
              <w:rPr>
                <w:rFonts w:ascii="宋体" w:hAnsi="宋体"/>
                <w:color w:val="000000"/>
                <w:szCs w:val="21"/>
              </w:rPr>
              <w:t>有详细的项目情况分析内容，能详细描述项目的</w:t>
            </w:r>
            <w:r>
              <w:rPr>
                <w:rFonts w:hint="eastAsia" w:ascii="宋体" w:hAnsi="宋体"/>
                <w:color w:val="000000"/>
                <w:szCs w:val="21"/>
              </w:rPr>
              <w:t>服务</w:t>
            </w:r>
            <w:r>
              <w:rPr>
                <w:rFonts w:ascii="宋体" w:hAnsi="宋体"/>
                <w:color w:val="000000"/>
                <w:szCs w:val="21"/>
              </w:rPr>
              <w:t>内容、</w:t>
            </w:r>
            <w:r>
              <w:rPr>
                <w:rFonts w:hint="eastAsia" w:ascii="宋体" w:hAnsi="宋体"/>
                <w:color w:val="000000"/>
                <w:szCs w:val="21"/>
              </w:rPr>
              <w:t>服务</w:t>
            </w:r>
            <w:r>
              <w:rPr>
                <w:rFonts w:ascii="宋体" w:hAnsi="宋体"/>
                <w:color w:val="000000"/>
                <w:szCs w:val="21"/>
              </w:rPr>
              <w:t>目标，</w:t>
            </w:r>
            <w:r>
              <w:rPr>
                <w:rFonts w:hint="eastAsia" w:ascii="宋体" w:hAnsi="宋体"/>
                <w:color w:val="000000"/>
                <w:szCs w:val="21"/>
              </w:rPr>
              <w:t>服务</w:t>
            </w:r>
            <w:r>
              <w:rPr>
                <w:rFonts w:ascii="宋体" w:hAnsi="宋体"/>
                <w:color w:val="000000"/>
                <w:szCs w:val="21"/>
              </w:rPr>
              <w:t>内容完善可行，项目</w:t>
            </w:r>
            <w:r>
              <w:rPr>
                <w:rFonts w:hint="eastAsia" w:ascii="宋体" w:hAnsi="宋体"/>
                <w:color w:val="000000"/>
                <w:szCs w:val="21"/>
              </w:rPr>
              <w:t>服务</w:t>
            </w:r>
            <w:r>
              <w:rPr>
                <w:rFonts w:ascii="宋体" w:hAnsi="宋体"/>
                <w:color w:val="000000"/>
                <w:szCs w:val="21"/>
              </w:rPr>
              <w:t>目标明确，对项目工作背景有详细阐述，符合相关技术标准及规范的要求。</w:t>
            </w:r>
          </w:p>
        </w:tc>
        <w:tc>
          <w:tcPr>
            <w:tcW w:w="511" w:type="pct"/>
            <w:vAlign w:val="center"/>
          </w:tcPr>
          <w:p w14:paraId="175661F7">
            <w:pPr>
              <w:pStyle w:val="17"/>
              <w:spacing w:line="360" w:lineRule="auto"/>
              <w:jc w:val="center"/>
              <w:rPr>
                <w:rFonts w:hAnsi="宋体"/>
                <w:bCs/>
              </w:rPr>
            </w:pPr>
            <w:r>
              <w:rPr>
                <w:rFonts w:hint="eastAsia" w:hAnsi="宋体"/>
                <w:bCs/>
              </w:rPr>
              <w:t>0~6</w:t>
            </w:r>
          </w:p>
        </w:tc>
      </w:tr>
      <w:tr w14:paraId="050F1B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7808E5D8">
            <w:pPr>
              <w:pStyle w:val="17"/>
              <w:spacing w:line="360" w:lineRule="auto"/>
              <w:jc w:val="center"/>
              <w:rPr>
                <w:rFonts w:hAnsi="宋体"/>
                <w:bCs/>
              </w:rPr>
            </w:pPr>
            <w:r>
              <w:rPr>
                <w:rFonts w:hint="eastAsia" w:hAnsi="宋体"/>
                <w:bCs/>
              </w:rPr>
              <w:t>2.2</w:t>
            </w:r>
          </w:p>
        </w:tc>
        <w:tc>
          <w:tcPr>
            <w:tcW w:w="739" w:type="pct"/>
            <w:vAlign w:val="center"/>
          </w:tcPr>
          <w:p w14:paraId="14EDF241">
            <w:pPr>
              <w:pStyle w:val="17"/>
              <w:spacing w:line="360" w:lineRule="auto"/>
              <w:jc w:val="center"/>
              <w:rPr>
                <w:rFonts w:hAnsi="宋体"/>
                <w:bCs/>
              </w:rPr>
            </w:pPr>
            <w:r>
              <w:rPr>
                <w:rFonts w:hint="eastAsia" w:hAnsi="宋体"/>
                <w:b/>
                <w:color w:val="000000"/>
                <w:szCs w:val="21"/>
              </w:rPr>
              <w:t>技术路线及作业流程的分析</w:t>
            </w:r>
          </w:p>
        </w:tc>
        <w:tc>
          <w:tcPr>
            <w:tcW w:w="3346" w:type="pct"/>
          </w:tcPr>
          <w:p w14:paraId="635BAA8A">
            <w:pPr>
              <w:spacing w:line="400" w:lineRule="exact"/>
              <w:ind w:firstLine="422"/>
              <w:rPr>
                <w:rFonts w:ascii="宋体" w:hAnsi="宋体"/>
                <w:color w:val="000000"/>
                <w:szCs w:val="21"/>
              </w:rPr>
            </w:pPr>
            <w:r>
              <w:rPr>
                <w:rFonts w:hint="eastAsia" w:ascii="宋体" w:hAnsi="宋体"/>
                <w:color w:val="000000"/>
                <w:szCs w:val="21"/>
              </w:rPr>
              <w:t>一档（</w:t>
            </w:r>
            <w:r>
              <w:rPr>
                <w:rFonts w:ascii="宋体" w:hAnsi="宋体"/>
                <w:color w:val="000000"/>
                <w:szCs w:val="21"/>
              </w:rPr>
              <w:t>0分）：投标人没有提供本项目技术路线及作业流程；</w:t>
            </w:r>
          </w:p>
          <w:p w14:paraId="5BCD9BE8">
            <w:pPr>
              <w:spacing w:line="400" w:lineRule="exact"/>
              <w:ind w:firstLine="422"/>
              <w:rPr>
                <w:rFonts w:ascii="宋体" w:hAnsi="宋体"/>
                <w:color w:val="000000"/>
                <w:szCs w:val="21"/>
              </w:rPr>
            </w:pPr>
            <w:r>
              <w:rPr>
                <w:rFonts w:hint="eastAsia" w:ascii="宋体" w:hAnsi="宋体"/>
                <w:color w:val="000000"/>
                <w:szCs w:val="21"/>
              </w:rPr>
              <w:t>二档（</w:t>
            </w:r>
            <w:r>
              <w:rPr>
                <w:rFonts w:ascii="宋体" w:hAnsi="宋体"/>
                <w:color w:val="000000"/>
                <w:szCs w:val="21"/>
              </w:rPr>
              <w:t>3分）：投标人对南宁市乡镇规划数据规整入库的现状情况提供技术路线及作业流程，有简单分析，基本能说明本项目的技术路线及作业流程；</w:t>
            </w:r>
          </w:p>
          <w:p w14:paraId="39FC9AD1">
            <w:pPr>
              <w:spacing w:line="400" w:lineRule="exact"/>
              <w:ind w:firstLine="422"/>
              <w:rPr>
                <w:rFonts w:hAnsi="宋体" w:cs="宋体"/>
                <w:bCs/>
              </w:rPr>
            </w:pPr>
            <w:r>
              <w:rPr>
                <w:rFonts w:hint="eastAsia" w:ascii="宋体" w:hAnsi="宋体"/>
                <w:color w:val="000000"/>
                <w:szCs w:val="21"/>
              </w:rPr>
              <w:t>三档（</w:t>
            </w:r>
            <w:r>
              <w:rPr>
                <w:rFonts w:ascii="宋体" w:hAnsi="宋体"/>
                <w:color w:val="000000"/>
                <w:szCs w:val="21"/>
              </w:rPr>
              <w:t>7分）：投标人对南宁市乡镇规划数据规整入库现状情况提供详细的技术路线及作业流程，投标人能结合南宁市自然资源“一张图”实施监督信息系统建设要求和南宁市自然资源电子政务综合云平台说明本项目的技术路线及作业流程，具有可操作性强,符合相关技术标准及规范的要求，符合项目要求</w:t>
            </w:r>
            <w:r>
              <w:rPr>
                <w:rFonts w:hint="eastAsia" w:ascii="宋体" w:hAnsi="宋体"/>
                <w:color w:val="000000"/>
                <w:szCs w:val="21"/>
              </w:rPr>
              <w:t>；对南宁市村庄规划审查</w:t>
            </w:r>
            <w:r>
              <w:rPr>
                <w:rFonts w:ascii="宋体" w:hAnsi="宋体"/>
                <w:color w:val="000000"/>
                <w:szCs w:val="21"/>
              </w:rPr>
              <w:t>有详细的技术路线</w:t>
            </w:r>
            <w:r>
              <w:rPr>
                <w:rFonts w:hint="eastAsia" w:ascii="宋体" w:hAnsi="宋体"/>
                <w:color w:val="000000"/>
                <w:szCs w:val="21"/>
              </w:rPr>
              <w:t>、</w:t>
            </w:r>
            <w:r>
              <w:rPr>
                <w:rFonts w:ascii="宋体" w:hAnsi="宋体"/>
                <w:color w:val="000000"/>
                <w:szCs w:val="21"/>
              </w:rPr>
              <w:t>审查方案和成果组织形式</w:t>
            </w:r>
            <w:r>
              <w:rPr>
                <w:rFonts w:hint="eastAsia" w:ascii="宋体" w:hAnsi="宋体"/>
                <w:color w:val="000000"/>
                <w:szCs w:val="21"/>
              </w:rPr>
              <w:t>。</w:t>
            </w:r>
            <w:r>
              <w:rPr>
                <w:rFonts w:ascii="宋体" w:hAnsi="宋体"/>
                <w:color w:val="000000"/>
                <w:szCs w:val="21"/>
              </w:rPr>
              <w:t>技术方案可行，方案表述清晰、完整、严谨、合理，可操作性强。</w:t>
            </w:r>
          </w:p>
        </w:tc>
        <w:tc>
          <w:tcPr>
            <w:tcW w:w="511" w:type="pct"/>
            <w:vAlign w:val="center"/>
          </w:tcPr>
          <w:p w14:paraId="342FBC1B">
            <w:pPr>
              <w:pStyle w:val="17"/>
              <w:spacing w:line="360" w:lineRule="auto"/>
              <w:jc w:val="center"/>
              <w:rPr>
                <w:rFonts w:hAnsi="宋体"/>
                <w:bCs/>
              </w:rPr>
            </w:pPr>
            <w:r>
              <w:rPr>
                <w:rFonts w:hint="eastAsia" w:hAnsi="宋体"/>
                <w:bCs/>
              </w:rPr>
              <w:t>0~7</w:t>
            </w:r>
          </w:p>
        </w:tc>
      </w:tr>
      <w:tr w14:paraId="73CD677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609AD898">
            <w:pPr>
              <w:pStyle w:val="17"/>
              <w:spacing w:line="360" w:lineRule="auto"/>
              <w:jc w:val="center"/>
              <w:rPr>
                <w:rFonts w:hAnsi="宋体"/>
                <w:bCs/>
              </w:rPr>
            </w:pPr>
            <w:r>
              <w:rPr>
                <w:rFonts w:hint="eastAsia" w:hAnsi="宋体"/>
                <w:bCs/>
              </w:rPr>
              <w:t>2.3</w:t>
            </w:r>
          </w:p>
        </w:tc>
        <w:tc>
          <w:tcPr>
            <w:tcW w:w="739" w:type="pct"/>
            <w:vAlign w:val="center"/>
          </w:tcPr>
          <w:p w14:paraId="342CAA4D">
            <w:pPr>
              <w:spacing w:line="400" w:lineRule="exact"/>
              <w:rPr>
                <w:rFonts w:ascii="宋体" w:hAnsi="宋体"/>
                <w:b/>
                <w:color w:val="000000"/>
                <w:szCs w:val="21"/>
              </w:rPr>
            </w:pPr>
            <w:r>
              <w:rPr>
                <w:rFonts w:hint="eastAsia" w:ascii="宋体" w:hAnsi="宋体"/>
                <w:b/>
                <w:color w:val="000000"/>
                <w:szCs w:val="21"/>
              </w:rPr>
              <w:t>乡镇规划数据衔接方案</w:t>
            </w:r>
          </w:p>
          <w:p w14:paraId="493CA733">
            <w:pPr>
              <w:pStyle w:val="17"/>
              <w:spacing w:line="360" w:lineRule="auto"/>
              <w:jc w:val="center"/>
              <w:rPr>
                <w:rFonts w:hAnsi="宋体"/>
                <w:bCs/>
              </w:rPr>
            </w:pPr>
          </w:p>
        </w:tc>
        <w:tc>
          <w:tcPr>
            <w:tcW w:w="3346" w:type="pct"/>
          </w:tcPr>
          <w:p w14:paraId="663DDBE8">
            <w:pPr>
              <w:spacing w:line="400" w:lineRule="exact"/>
              <w:ind w:firstLine="422"/>
              <w:rPr>
                <w:rFonts w:ascii="宋体" w:hAnsi="宋体"/>
                <w:color w:val="000000"/>
                <w:szCs w:val="21"/>
              </w:rPr>
            </w:pPr>
            <w:r>
              <w:rPr>
                <w:rFonts w:hint="eastAsia" w:ascii="宋体" w:hAnsi="宋体"/>
                <w:color w:val="000000"/>
                <w:szCs w:val="21"/>
              </w:rPr>
              <w:t>一档（</w:t>
            </w:r>
            <w:r>
              <w:rPr>
                <w:rFonts w:ascii="宋体" w:hAnsi="宋体"/>
                <w:color w:val="000000"/>
                <w:szCs w:val="21"/>
              </w:rPr>
              <w:t>0分）：投标人没有提供乡镇规划数据衔接方案，不满足采购文件要求；</w:t>
            </w:r>
          </w:p>
          <w:p w14:paraId="593FA96B">
            <w:pPr>
              <w:spacing w:line="400" w:lineRule="exact"/>
              <w:ind w:firstLine="422"/>
              <w:rPr>
                <w:rFonts w:ascii="宋体" w:hAnsi="宋体"/>
                <w:color w:val="000000"/>
                <w:szCs w:val="21"/>
              </w:rPr>
            </w:pPr>
            <w:r>
              <w:rPr>
                <w:rFonts w:hint="eastAsia" w:ascii="宋体" w:hAnsi="宋体"/>
                <w:color w:val="000000"/>
                <w:szCs w:val="21"/>
              </w:rPr>
              <w:t>二档（</w:t>
            </w:r>
            <w:r>
              <w:rPr>
                <w:rFonts w:ascii="宋体" w:hAnsi="宋体"/>
                <w:color w:val="000000"/>
                <w:szCs w:val="21"/>
              </w:rPr>
              <w:t>3分）：投标人提供的乡镇规划数据衔接方案基本可行，能阐述清楚数据处理方式、成果质量保障内容，无明显错误；</w:t>
            </w:r>
          </w:p>
          <w:p w14:paraId="70CBDD4E">
            <w:pPr>
              <w:spacing w:line="400" w:lineRule="exact"/>
              <w:ind w:firstLine="422"/>
              <w:rPr>
                <w:rFonts w:hAnsi="宋体" w:cs="宋体"/>
                <w:bCs/>
              </w:rPr>
            </w:pPr>
            <w:r>
              <w:rPr>
                <w:rFonts w:hint="eastAsia" w:ascii="宋体" w:hAnsi="宋体"/>
                <w:color w:val="000000"/>
                <w:szCs w:val="21"/>
              </w:rPr>
              <w:t>三档（</w:t>
            </w:r>
            <w:r>
              <w:rPr>
                <w:rFonts w:ascii="宋体" w:hAnsi="宋体"/>
                <w:color w:val="000000"/>
                <w:szCs w:val="21"/>
              </w:rPr>
              <w:t>7分）：投标人提供详细的乡镇规划数据衔接方案，能结合南宁市国土空间规划“一张图”实施监督信息系统、南宁市自然资源电子政务综合云平台对本项目数据成果详细阐述数据处理方式、成果质量保障内容，可操作性强</w:t>
            </w:r>
            <w:r>
              <w:rPr>
                <w:rFonts w:hint="eastAsia" w:ascii="宋体" w:hAnsi="宋体"/>
                <w:color w:val="000000"/>
                <w:szCs w:val="21"/>
              </w:rPr>
              <w:t>。</w:t>
            </w:r>
          </w:p>
        </w:tc>
        <w:tc>
          <w:tcPr>
            <w:tcW w:w="511" w:type="pct"/>
            <w:vAlign w:val="center"/>
          </w:tcPr>
          <w:p w14:paraId="7B8A74D9">
            <w:pPr>
              <w:pStyle w:val="17"/>
              <w:spacing w:line="360" w:lineRule="auto"/>
              <w:jc w:val="center"/>
              <w:rPr>
                <w:rFonts w:hAnsi="宋体"/>
                <w:bCs/>
              </w:rPr>
            </w:pPr>
            <w:r>
              <w:rPr>
                <w:rFonts w:hint="eastAsia" w:hAnsi="宋体"/>
                <w:bCs/>
              </w:rPr>
              <w:t>0~7</w:t>
            </w:r>
          </w:p>
        </w:tc>
      </w:tr>
      <w:tr w14:paraId="30D6786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1A1BBE72">
            <w:pPr>
              <w:pStyle w:val="17"/>
              <w:spacing w:line="360" w:lineRule="auto"/>
              <w:jc w:val="center"/>
              <w:rPr>
                <w:rFonts w:hAnsi="宋体"/>
                <w:bCs/>
              </w:rPr>
            </w:pPr>
            <w:r>
              <w:rPr>
                <w:rFonts w:hint="eastAsia" w:hAnsi="宋体"/>
                <w:bCs/>
              </w:rPr>
              <w:t>2.4</w:t>
            </w:r>
          </w:p>
        </w:tc>
        <w:tc>
          <w:tcPr>
            <w:tcW w:w="739" w:type="pct"/>
            <w:vAlign w:val="center"/>
          </w:tcPr>
          <w:p w14:paraId="6FDC4ABD">
            <w:pPr>
              <w:pStyle w:val="17"/>
              <w:spacing w:line="360" w:lineRule="auto"/>
              <w:jc w:val="center"/>
              <w:rPr>
                <w:rFonts w:hAnsi="宋体"/>
              </w:rPr>
            </w:pPr>
            <w:r>
              <w:rPr>
                <w:rFonts w:hint="eastAsia" w:hAnsi="宋体"/>
                <w:b/>
                <w:color w:val="000000"/>
                <w:szCs w:val="21"/>
              </w:rPr>
              <w:t>项目工作重点及难点内容的分析</w:t>
            </w:r>
          </w:p>
        </w:tc>
        <w:tc>
          <w:tcPr>
            <w:tcW w:w="3346" w:type="pct"/>
          </w:tcPr>
          <w:p w14:paraId="5AF5D744">
            <w:pPr>
              <w:spacing w:line="400" w:lineRule="exact"/>
              <w:ind w:firstLine="422"/>
              <w:rPr>
                <w:rFonts w:ascii="宋体" w:hAnsi="宋体"/>
                <w:color w:val="000000"/>
                <w:szCs w:val="21"/>
              </w:rPr>
            </w:pPr>
            <w:r>
              <w:rPr>
                <w:rFonts w:hint="eastAsia" w:ascii="宋体" w:hAnsi="宋体"/>
                <w:color w:val="000000"/>
                <w:szCs w:val="21"/>
              </w:rPr>
              <w:t>一档（</w:t>
            </w:r>
            <w:r>
              <w:rPr>
                <w:rFonts w:ascii="宋体" w:hAnsi="宋体"/>
                <w:color w:val="000000"/>
                <w:szCs w:val="21"/>
              </w:rPr>
              <w:t>0分）：投标人没有指明本项目工作重点及难点；</w:t>
            </w:r>
          </w:p>
          <w:p w14:paraId="2014A3E0">
            <w:pPr>
              <w:spacing w:line="400" w:lineRule="exact"/>
              <w:ind w:firstLine="422"/>
              <w:rPr>
                <w:rFonts w:ascii="宋体" w:hAnsi="宋体"/>
                <w:color w:val="000000"/>
                <w:szCs w:val="21"/>
              </w:rPr>
            </w:pPr>
            <w:r>
              <w:rPr>
                <w:rFonts w:hint="eastAsia" w:ascii="宋体" w:hAnsi="宋体"/>
                <w:color w:val="000000"/>
                <w:szCs w:val="21"/>
              </w:rPr>
              <w:t>二档（</w:t>
            </w:r>
            <w:r>
              <w:rPr>
                <w:rFonts w:ascii="宋体" w:hAnsi="宋体"/>
                <w:color w:val="000000"/>
                <w:szCs w:val="21"/>
              </w:rPr>
              <w:t>3分）：投标人对本项目工作重点及难点分析基本符合实际，有简单分析；</w:t>
            </w:r>
          </w:p>
          <w:p w14:paraId="089CBEAB">
            <w:pPr>
              <w:spacing w:line="400" w:lineRule="exact"/>
              <w:ind w:firstLine="422"/>
              <w:rPr>
                <w:rFonts w:ascii="宋体" w:hAnsi="宋体"/>
              </w:rPr>
            </w:pPr>
            <w:r>
              <w:rPr>
                <w:rFonts w:hint="eastAsia" w:ascii="宋体" w:hAnsi="宋体"/>
                <w:color w:val="000000"/>
                <w:szCs w:val="21"/>
              </w:rPr>
              <w:t>三档（</w:t>
            </w:r>
            <w:r>
              <w:rPr>
                <w:rFonts w:ascii="宋体" w:hAnsi="宋体"/>
                <w:color w:val="000000"/>
                <w:szCs w:val="21"/>
              </w:rPr>
              <w:t>6分）：投标人对本项目工作重点及难点分析符合实际，内容详细合理，针对项目的重点难点能提出合理化建议或解决办法，可操作性强，无明显错误。</w:t>
            </w:r>
          </w:p>
        </w:tc>
        <w:tc>
          <w:tcPr>
            <w:tcW w:w="511" w:type="pct"/>
            <w:vAlign w:val="center"/>
          </w:tcPr>
          <w:p w14:paraId="4F5EEE74">
            <w:pPr>
              <w:pStyle w:val="17"/>
              <w:spacing w:line="360" w:lineRule="auto"/>
              <w:jc w:val="center"/>
              <w:rPr>
                <w:rFonts w:hAnsi="宋体"/>
                <w:bCs/>
              </w:rPr>
            </w:pPr>
            <w:r>
              <w:rPr>
                <w:rFonts w:hint="eastAsia" w:hAnsi="宋体"/>
                <w:bCs/>
              </w:rPr>
              <w:t>0~6</w:t>
            </w:r>
          </w:p>
        </w:tc>
      </w:tr>
      <w:tr w14:paraId="614D6B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1D4E502C">
            <w:pPr>
              <w:pStyle w:val="17"/>
              <w:spacing w:line="360" w:lineRule="auto"/>
              <w:jc w:val="center"/>
              <w:rPr>
                <w:rFonts w:hAnsi="宋体"/>
                <w:bCs/>
              </w:rPr>
            </w:pPr>
            <w:r>
              <w:rPr>
                <w:rFonts w:hint="eastAsia" w:hAnsi="宋体"/>
                <w:bCs/>
              </w:rPr>
              <w:t>2.5</w:t>
            </w:r>
          </w:p>
        </w:tc>
        <w:tc>
          <w:tcPr>
            <w:tcW w:w="739" w:type="pct"/>
            <w:vAlign w:val="center"/>
          </w:tcPr>
          <w:p w14:paraId="37EE9F97">
            <w:pPr>
              <w:spacing w:line="400" w:lineRule="exact"/>
              <w:rPr>
                <w:rFonts w:ascii="宋体" w:hAnsi="宋体"/>
                <w:b/>
                <w:color w:val="000000"/>
                <w:szCs w:val="21"/>
              </w:rPr>
            </w:pPr>
            <w:r>
              <w:rPr>
                <w:rFonts w:hint="eastAsia" w:ascii="宋体" w:hAnsi="宋体"/>
                <w:b/>
                <w:color w:val="000000"/>
                <w:szCs w:val="21"/>
              </w:rPr>
              <w:t>项目实施方案</w:t>
            </w:r>
          </w:p>
          <w:p w14:paraId="7B5BF393">
            <w:pPr>
              <w:pStyle w:val="17"/>
              <w:spacing w:line="360" w:lineRule="auto"/>
              <w:jc w:val="center"/>
              <w:rPr>
                <w:rFonts w:hAnsi="宋体"/>
                <w:bCs/>
              </w:rPr>
            </w:pPr>
          </w:p>
        </w:tc>
        <w:tc>
          <w:tcPr>
            <w:tcW w:w="3346" w:type="pct"/>
          </w:tcPr>
          <w:p w14:paraId="327AB766">
            <w:pPr>
              <w:spacing w:line="360" w:lineRule="auto"/>
              <w:ind w:firstLine="420" w:firstLineChars="200"/>
              <w:rPr>
                <w:rFonts w:ascii="宋体" w:hAnsi="宋体"/>
              </w:rPr>
            </w:pPr>
            <w:r>
              <w:rPr>
                <w:rFonts w:hint="eastAsia" w:ascii="宋体" w:hAnsi="宋体"/>
              </w:rPr>
              <w:t>一档（0分）：投标人没有提供实施方案；</w:t>
            </w:r>
          </w:p>
          <w:p w14:paraId="687B6AF2">
            <w:pPr>
              <w:spacing w:line="360" w:lineRule="auto"/>
              <w:ind w:firstLine="420" w:firstLineChars="200"/>
              <w:rPr>
                <w:rFonts w:ascii="宋体" w:hAnsi="宋体"/>
              </w:rPr>
            </w:pPr>
            <w:r>
              <w:rPr>
                <w:rFonts w:hint="eastAsia" w:ascii="宋体" w:hAnsi="宋体"/>
              </w:rPr>
              <w:t>二档（3分）：投标人提供简单项目实施方案，提供简单的项目组织管理机构图，能说明各个阶段工作安排，有项目实施进度计划安排；</w:t>
            </w:r>
          </w:p>
          <w:p w14:paraId="25519C8D">
            <w:pPr>
              <w:spacing w:line="360" w:lineRule="auto"/>
              <w:ind w:firstLine="420" w:firstLineChars="200"/>
            </w:pPr>
            <w:r>
              <w:rPr>
                <w:rFonts w:hint="eastAsia" w:ascii="宋体" w:hAnsi="宋体"/>
              </w:rPr>
              <w:t>三档（7分）：投标人能提供详细的项目实施方案，有具体的项目组织管理机构图，能详细说明各个阶段工作安排，阐述清楚实施组织办法及保障措施，有详细的进度计划，具有较完备的管理组织、项目实施规范和管理制度。</w:t>
            </w:r>
          </w:p>
        </w:tc>
        <w:tc>
          <w:tcPr>
            <w:tcW w:w="511" w:type="pct"/>
            <w:vAlign w:val="center"/>
          </w:tcPr>
          <w:p w14:paraId="33162C12">
            <w:pPr>
              <w:pStyle w:val="17"/>
              <w:spacing w:line="360" w:lineRule="auto"/>
              <w:jc w:val="center"/>
              <w:rPr>
                <w:rFonts w:hAnsi="宋体"/>
                <w:bCs/>
              </w:rPr>
            </w:pPr>
            <w:r>
              <w:rPr>
                <w:rFonts w:hint="eastAsia" w:hAnsi="宋体"/>
                <w:bCs/>
              </w:rPr>
              <w:t>0~7</w:t>
            </w:r>
          </w:p>
        </w:tc>
      </w:tr>
      <w:tr w14:paraId="67E191E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2F502B20">
            <w:pPr>
              <w:pStyle w:val="17"/>
              <w:spacing w:line="360" w:lineRule="auto"/>
              <w:jc w:val="center"/>
              <w:rPr>
                <w:rFonts w:hAnsi="宋体"/>
                <w:bCs/>
              </w:rPr>
            </w:pPr>
            <w:r>
              <w:rPr>
                <w:rFonts w:hint="eastAsia" w:hAnsi="宋体"/>
                <w:bCs/>
              </w:rPr>
              <w:t>2.6</w:t>
            </w:r>
          </w:p>
        </w:tc>
        <w:tc>
          <w:tcPr>
            <w:tcW w:w="739" w:type="pct"/>
            <w:vAlign w:val="center"/>
          </w:tcPr>
          <w:p w14:paraId="60AFC0F7">
            <w:pPr>
              <w:spacing w:line="400" w:lineRule="exact"/>
              <w:rPr>
                <w:rFonts w:hAnsi="宋体"/>
                <w:bCs/>
              </w:rPr>
            </w:pPr>
            <w:r>
              <w:rPr>
                <w:rFonts w:hint="eastAsia" w:ascii="宋体" w:hAnsi="宋体"/>
                <w:b/>
                <w:color w:val="000000"/>
                <w:szCs w:val="21"/>
              </w:rPr>
              <w:t>项目质检方案</w:t>
            </w:r>
          </w:p>
        </w:tc>
        <w:tc>
          <w:tcPr>
            <w:tcW w:w="3346" w:type="pct"/>
          </w:tcPr>
          <w:p w14:paraId="158B1589">
            <w:pPr>
              <w:spacing w:line="360" w:lineRule="auto"/>
              <w:ind w:firstLine="420" w:firstLineChars="200"/>
              <w:rPr>
                <w:rFonts w:ascii="宋体" w:hAnsi="宋体"/>
              </w:rPr>
            </w:pPr>
            <w:r>
              <w:rPr>
                <w:rFonts w:hint="eastAsia" w:ascii="宋体" w:hAnsi="宋体"/>
              </w:rPr>
              <w:t>一档（0分）：投标人没有提供质检方案；</w:t>
            </w:r>
          </w:p>
          <w:p w14:paraId="2255626C">
            <w:pPr>
              <w:spacing w:line="360" w:lineRule="auto"/>
              <w:ind w:firstLine="420" w:firstLineChars="200"/>
              <w:rPr>
                <w:rFonts w:ascii="宋体" w:hAnsi="宋体"/>
              </w:rPr>
            </w:pPr>
            <w:r>
              <w:rPr>
                <w:rFonts w:hint="eastAsia" w:ascii="宋体" w:hAnsi="宋体"/>
              </w:rPr>
              <w:t>二档（4分）：投标人提供简单的项目质检方案，有简单的质量管理制度和措施，满足本项目服务要求；</w:t>
            </w:r>
          </w:p>
          <w:p w14:paraId="18C78FE1">
            <w:pPr>
              <w:spacing w:line="360" w:lineRule="auto"/>
              <w:ind w:firstLine="420" w:firstLineChars="200"/>
              <w:rPr>
                <w:rFonts w:ascii="宋体" w:hAnsi="宋体"/>
                <w:b/>
                <w:bCs/>
              </w:rPr>
            </w:pPr>
            <w:r>
              <w:rPr>
                <w:rFonts w:hint="eastAsia" w:ascii="宋体" w:hAnsi="宋体"/>
              </w:rPr>
              <w:t>三档（7分）：投标人提供详细的质检方案，有较完备的质量管理体系并设置专职质量检查部门，且配备的人员具有相关产品质量检验员、产品质量监督抽样员证书；投标人有具体的质量管理制度和措施，包括：建立过程检查制度和三级检查制度，制度完善，措施有效到位。</w:t>
            </w:r>
          </w:p>
        </w:tc>
        <w:tc>
          <w:tcPr>
            <w:tcW w:w="511" w:type="pct"/>
            <w:vAlign w:val="center"/>
          </w:tcPr>
          <w:p w14:paraId="62C91A7F">
            <w:pPr>
              <w:pStyle w:val="17"/>
              <w:spacing w:line="360" w:lineRule="auto"/>
              <w:jc w:val="center"/>
              <w:rPr>
                <w:rFonts w:hAnsi="宋体"/>
                <w:bCs/>
              </w:rPr>
            </w:pPr>
            <w:r>
              <w:rPr>
                <w:rFonts w:hint="eastAsia" w:hAnsi="宋体"/>
                <w:bCs/>
              </w:rPr>
              <w:t>0~7</w:t>
            </w:r>
          </w:p>
        </w:tc>
      </w:tr>
      <w:tr w14:paraId="5B7166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25473858">
            <w:pPr>
              <w:pStyle w:val="17"/>
              <w:spacing w:line="360" w:lineRule="auto"/>
              <w:jc w:val="center"/>
              <w:rPr>
                <w:rFonts w:hAnsi="宋体"/>
                <w:bCs/>
              </w:rPr>
            </w:pPr>
            <w:r>
              <w:rPr>
                <w:rFonts w:hint="eastAsia" w:hAnsi="宋体"/>
                <w:bCs/>
              </w:rPr>
              <w:t>2.7</w:t>
            </w:r>
          </w:p>
        </w:tc>
        <w:tc>
          <w:tcPr>
            <w:tcW w:w="739" w:type="pct"/>
            <w:vAlign w:val="center"/>
          </w:tcPr>
          <w:p w14:paraId="59698B36">
            <w:pPr>
              <w:pStyle w:val="17"/>
              <w:spacing w:line="360" w:lineRule="auto"/>
              <w:jc w:val="center"/>
              <w:rPr>
                <w:rFonts w:hAnsi="宋体"/>
                <w:bCs/>
              </w:rPr>
            </w:pPr>
            <w:r>
              <w:rPr>
                <w:rFonts w:hAnsi="宋体"/>
                <w:b/>
                <w:color w:val="000000"/>
                <w:szCs w:val="21"/>
              </w:rPr>
              <w:t>应急方案</w:t>
            </w:r>
          </w:p>
        </w:tc>
        <w:tc>
          <w:tcPr>
            <w:tcW w:w="3346" w:type="pct"/>
          </w:tcPr>
          <w:p w14:paraId="3C2DC760">
            <w:pPr>
              <w:spacing w:line="360" w:lineRule="auto"/>
              <w:ind w:firstLine="420" w:firstLineChars="200"/>
            </w:pPr>
            <w:r>
              <w:rPr>
                <w:rFonts w:hint="eastAsia"/>
              </w:rPr>
              <w:t>一档（0分）：投标人没有提供应急预案；</w:t>
            </w:r>
          </w:p>
          <w:p w14:paraId="39F6A18C">
            <w:pPr>
              <w:spacing w:line="360" w:lineRule="auto"/>
              <w:ind w:firstLine="420" w:firstLineChars="200"/>
            </w:pPr>
            <w:r>
              <w:rPr>
                <w:rFonts w:hint="eastAsia"/>
              </w:rPr>
              <w:t>二档（2分）：投标人能提供简单的应急预案，基本符合实际，满足本项目服务需求；</w:t>
            </w:r>
          </w:p>
          <w:p w14:paraId="4549188C">
            <w:pPr>
              <w:spacing w:line="360" w:lineRule="auto"/>
              <w:ind w:firstLine="420" w:firstLineChars="200"/>
              <w:rPr>
                <w:b/>
                <w:bCs/>
              </w:rPr>
            </w:pPr>
            <w:r>
              <w:rPr>
                <w:rFonts w:hint="eastAsia"/>
              </w:rPr>
              <w:t>三档（4分）：投标人能提供详细合理的各类应急预案，能详细描述突发问题及应对措施，可操作性强。</w:t>
            </w:r>
          </w:p>
        </w:tc>
        <w:tc>
          <w:tcPr>
            <w:tcW w:w="511" w:type="pct"/>
            <w:vAlign w:val="center"/>
          </w:tcPr>
          <w:p w14:paraId="4C0B7F7E">
            <w:pPr>
              <w:pStyle w:val="17"/>
              <w:spacing w:line="360" w:lineRule="auto"/>
              <w:jc w:val="center"/>
              <w:rPr>
                <w:rFonts w:hAnsi="宋体"/>
                <w:bCs/>
              </w:rPr>
            </w:pPr>
            <w:r>
              <w:rPr>
                <w:rFonts w:hint="eastAsia" w:hAnsi="宋体"/>
                <w:bCs/>
              </w:rPr>
              <w:t>0~4</w:t>
            </w:r>
          </w:p>
        </w:tc>
      </w:tr>
      <w:tr w14:paraId="276A56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52AF8AA">
            <w:pPr>
              <w:pStyle w:val="17"/>
              <w:spacing w:line="360" w:lineRule="auto"/>
              <w:jc w:val="center"/>
              <w:rPr>
                <w:rFonts w:hAnsi="宋体"/>
                <w:bCs/>
              </w:rPr>
            </w:pPr>
            <w:r>
              <w:rPr>
                <w:rFonts w:hint="eastAsia" w:hAnsi="宋体"/>
                <w:bCs/>
              </w:rPr>
              <w:t>2.8</w:t>
            </w:r>
          </w:p>
        </w:tc>
        <w:tc>
          <w:tcPr>
            <w:tcW w:w="739" w:type="pct"/>
            <w:vAlign w:val="center"/>
          </w:tcPr>
          <w:p w14:paraId="30367080">
            <w:pPr>
              <w:pStyle w:val="17"/>
              <w:spacing w:line="360" w:lineRule="auto"/>
              <w:jc w:val="center"/>
              <w:rPr>
                <w:rFonts w:hAnsi="宋体"/>
                <w:b/>
                <w:color w:val="000000"/>
                <w:szCs w:val="21"/>
              </w:rPr>
            </w:pPr>
            <w:r>
              <w:rPr>
                <w:rFonts w:hint="eastAsia" w:hAnsi="宋体"/>
                <w:b/>
                <w:color w:val="000000"/>
                <w:szCs w:val="21"/>
              </w:rPr>
              <w:t>人员配置方案</w:t>
            </w:r>
          </w:p>
        </w:tc>
        <w:tc>
          <w:tcPr>
            <w:tcW w:w="3346" w:type="pct"/>
          </w:tcPr>
          <w:p w14:paraId="5FC426E7">
            <w:pPr>
              <w:spacing w:line="360" w:lineRule="auto"/>
              <w:ind w:firstLine="420" w:firstLineChars="200"/>
            </w:pPr>
            <w:bookmarkStart w:id="63" w:name="_Hlk129876826"/>
            <w:r>
              <w:rPr>
                <w:rFonts w:hint="eastAsia"/>
              </w:rPr>
              <w:t>一档（0分）：投标人没有提供人员配置方案；</w:t>
            </w:r>
          </w:p>
          <w:p w14:paraId="15EB475B">
            <w:pPr>
              <w:spacing w:line="360" w:lineRule="auto"/>
              <w:ind w:firstLine="420" w:firstLineChars="200"/>
            </w:pPr>
            <w:r>
              <w:rPr>
                <w:rFonts w:hint="eastAsia"/>
              </w:rPr>
              <w:t>二档（3分）：投标人有明确的相关岗位人员，有明确的生产、质量管理和技术管理机构及人员，基本满足本项目总体要求；</w:t>
            </w:r>
          </w:p>
          <w:p w14:paraId="365BC367">
            <w:pPr>
              <w:spacing w:line="360" w:lineRule="auto"/>
              <w:ind w:firstLine="420" w:firstLineChars="200"/>
            </w:pPr>
            <w:r>
              <w:rPr>
                <w:rFonts w:hint="eastAsia"/>
              </w:rPr>
              <w:t>三档（6分）：投标人有明确的相关岗位人员，有明确的生产、质量管理和技术管理机构及人员，人员配备和设备投入合理，满足本项目总体要求。</w:t>
            </w:r>
            <w:bookmarkEnd w:id="63"/>
          </w:p>
        </w:tc>
        <w:tc>
          <w:tcPr>
            <w:tcW w:w="511" w:type="pct"/>
            <w:vAlign w:val="center"/>
          </w:tcPr>
          <w:p w14:paraId="40338517">
            <w:pPr>
              <w:pStyle w:val="17"/>
              <w:spacing w:line="360" w:lineRule="auto"/>
              <w:jc w:val="center"/>
              <w:rPr>
                <w:rFonts w:hAnsi="宋体"/>
                <w:bCs/>
              </w:rPr>
            </w:pPr>
            <w:r>
              <w:rPr>
                <w:rFonts w:hint="eastAsia" w:hAnsi="宋体"/>
                <w:bCs/>
              </w:rPr>
              <w:t>0~6</w:t>
            </w:r>
          </w:p>
        </w:tc>
      </w:tr>
      <w:tr w14:paraId="4B2C44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3770A4C0">
            <w:pPr>
              <w:pStyle w:val="17"/>
              <w:spacing w:line="360" w:lineRule="auto"/>
              <w:jc w:val="center"/>
              <w:rPr>
                <w:rFonts w:hAnsi="宋体"/>
                <w:b/>
              </w:rPr>
            </w:pPr>
            <w:r>
              <w:rPr>
                <w:rFonts w:hint="eastAsia" w:hAnsi="宋体"/>
                <w:b/>
              </w:rPr>
              <w:t>3</w:t>
            </w:r>
          </w:p>
        </w:tc>
        <w:tc>
          <w:tcPr>
            <w:tcW w:w="739" w:type="pct"/>
            <w:vAlign w:val="center"/>
          </w:tcPr>
          <w:p w14:paraId="660EF26A">
            <w:pPr>
              <w:pStyle w:val="17"/>
              <w:spacing w:line="360" w:lineRule="auto"/>
              <w:jc w:val="center"/>
              <w:rPr>
                <w:rFonts w:hAnsi="宋体"/>
                <w:b/>
              </w:rPr>
            </w:pPr>
            <w:r>
              <w:rPr>
                <w:rFonts w:hint="eastAsia" w:hAnsi="宋体"/>
                <w:b/>
              </w:rPr>
              <w:t>商务分</w:t>
            </w:r>
          </w:p>
        </w:tc>
        <w:tc>
          <w:tcPr>
            <w:tcW w:w="3346" w:type="pct"/>
            <w:vAlign w:val="center"/>
          </w:tcPr>
          <w:p w14:paraId="6B6B31A9">
            <w:pPr>
              <w:pStyle w:val="17"/>
              <w:spacing w:line="360" w:lineRule="auto"/>
              <w:jc w:val="center"/>
              <w:rPr>
                <w:rFonts w:hAnsi="宋体"/>
                <w:b/>
              </w:rPr>
            </w:pPr>
            <w:r>
              <w:rPr>
                <w:rFonts w:hint="eastAsia" w:hAnsi="宋体"/>
                <w:b/>
                <w:szCs w:val="21"/>
              </w:rPr>
              <w:t>评审因素（客观分）</w:t>
            </w:r>
          </w:p>
        </w:tc>
        <w:tc>
          <w:tcPr>
            <w:tcW w:w="511" w:type="pct"/>
            <w:vAlign w:val="center"/>
          </w:tcPr>
          <w:p w14:paraId="42D58EDB">
            <w:pPr>
              <w:pStyle w:val="17"/>
              <w:spacing w:line="360" w:lineRule="auto"/>
              <w:jc w:val="center"/>
              <w:rPr>
                <w:rFonts w:hAnsi="宋体"/>
                <w:b/>
              </w:rPr>
            </w:pPr>
            <w:r>
              <w:rPr>
                <w:rFonts w:hint="eastAsia" w:hAnsi="宋体"/>
                <w:b/>
              </w:rPr>
              <w:t>0~40</w:t>
            </w:r>
          </w:p>
        </w:tc>
      </w:tr>
      <w:tr w14:paraId="173AFEC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716F7784">
            <w:pPr>
              <w:pStyle w:val="17"/>
              <w:spacing w:line="360" w:lineRule="auto"/>
              <w:jc w:val="center"/>
              <w:rPr>
                <w:rFonts w:hAnsi="宋体"/>
                <w:bCs/>
              </w:rPr>
            </w:pPr>
            <w:r>
              <w:rPr>
                <w:rFonts w:hint="eastAsia" w:hAnsi="宋体"/>
                <w:bCs/>
              </w:rPr>
              <w:t>3.1</w:t>
            </w:r>
          </w:p>
        </w:tc>
        <w:tc>
          <w:tcPr>
            <w:tcW w:w="1388" w:type="dxa"/>
            <w:vAlign w:val="center"/>
          </w:tcPr>
          <w:p w14:paraId="4EBD4846">
            <w:pPr>
              <w:spacing w:line="300" w:lineRule="auto"/>
              <w:jc w:val="center"/>
              <w:rPr>
                <w:rFonts w:hAnsi="宋体" w:cs="宋体"/>
                <w:bCs/>
              </w:rPr>
            </w:pPr>
            <w:r>
              <w:rPr>
                <w:rFonts w:hint="eastAsia" w:ascii="宋体" w:hAnsi="宋体"/>
                <w:szCs w:val="21"/>
              </w:rPr>
              <w:t>信誉分</w:t>
            </w:r>
          </w:p>
        </w:tc>
        <w:tc>
          <w:tcPr>
            <w:tcW w:w="3346" w:type="pct"/>
            <w:vAlign w:val="center"/>
          </w:tcPr>
          <w:p w14:paraId="0DF9E057">
            <w:pPr>
              <w:spacing w:line="360" w:lineRule="auto"/>
              <w:ind w:firstLine="420" w:firstLineChars="200"/>
              <w:rPr>
                <w:rFonts w:hAnsi="宋体" w:cs="宋体"/>
                <w:bCs/>
              </w:rPr>
            </w:pPr>
            <w:r>
              <w:rPr>
                <w:rFonts w:hint="eastAsia" w:hAnsi="宋体" w:cs="宋体"/>
                <w:bCs/>
              </w:rPr>
              <w:t>投标人具有有效的</w:t>
            </w:r>
            <w:r>
              <w:rPr>
                <w:rFonts w:hAnsi="宋体" w:cs="宋体"/>
                <w:bCs/>
              </w:rPr>
              <w:t>ISO质量管理体系认证证书、职业健康安全管理体系认证证书、环境管理体系认证证书，每个证书得1分，满分3分。（</w:t>
            </w:r>
            <w:r>
              <w:rPr>
                <w:rFonts w:hint="eastAsia" w:hAnsi="宋体" w:cs="宋体"/>
                <w:bCs/>
              </w:rPr>
              <w:t>投标时</w:t>
            </w:r>
            <w:r>
              <w:rPr>
                <w:rFonts w:hAnsi="宋体" w:cs="宋体"/>
                <w:bCs/>
              </w:rPr>
              <w:t>提供</w:t>
            </w:r>
            <w:r>
              <w:rPr>
                <w:rFonts w:hint="eastAsia" w:hAnsi="宋体" w:cs="宋体"/>
                <w:bCs/>
              </w:rPr>
              <w:t>有效</w:t>
            </w:r>
            <w:r>
              <w:rPr>
                <w:rFonts w:hAnsi="宋体" w:cs="宋体"/>
                <w:bCs/>
              </w:rPr>
              <w:t>证书扫描件）</w:t>
            </w:r>
          </w:p>
        </w:tc>
        <w:tc>
          <w:tcPr>
            <w:tcW w:w="511" w:type="pct"/>
            <w:vAlign w:val="center"/>
          </w:tcPr>
          <w:p w14:paraId="6A1476D1">
            <w:pPr>
              <w:pStyle w:val="17"/>
              <w:spacing w:line="360" w:lineRule="auto"/>
              <w:jc w:val="center"/>
              <w:rPr>
                <w:rFonts w:hAnsi="宋体"/>
                <w:bCs/>
              </w:rPr>
            </w:pPr>
            <w:r>
              <w:rPr>
                <w:rFonts w:hint="eastAsia" w:hAnsi="宋体"/>
                <w:bCs/>
              </w:rPr>
              <w:t>0~3</w:t>
            </w:r>
          </w:p>
        </w:tc>
      </w:tr>
      <w:tr w14:paraId="2237AB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62F31767">
            <w:pPr>
              <w:pStyle w:val="17"/>
              <w:spacing w:line="360" w:lineRule="auto"/>
              <w:jc w:val="center"/>
              <w:rPr>
                <w:rFonts w:hAnsi="宋体"/>
                <w:bCs/>
              </w:rPr>
            </w:pPr>
            <w:r>
              <w:rPr>
                <w:rFonts w:hint="eastAsia" w:hAnsi="宋体"/>
                <w:bCs/>
              </w:rPr>
              <w:t>3.2</w:t>
            </w:r>
          </w:p>
        </w:tc>
        <w:tc>
          <w:tcPr>
            <w:tcW w:w="1388" w:type="dxa"/>
            <w:vAlign w:val="center"/>
          </w:tcPr>
          <w:p w14:paraId="3F928836">
            <w:pPr>
              <w:spacing w:line="300" w:lineRule="auto"/>
              <w:jc w:val="center"/>
              <w:rPr>
                <w:rFonts w:hAnsi="宋体" w:cs="宋体"/>
                <w:bCs/>
              </w:rPr>
            </w:pPr>
            <w:r>
              <w:rPr>
                <w:rFonts w:hint="eastAsia" w:ascii="宋体" w:hAnsi="宋体"/>
                <w:szCs w:val="21"/>
              </w:rPr>
              <w:t>拟投入人员</w:t>
            </w:r>
          </w:p>
        </w:tc>
        <w:tc>
          <w:tcPr>
            <w:tcW w:w="3346" w:type="pct"/>
          </w:tcPr>
          <w:p w14:paraId="38307B72">
            <w:pPr>
              <w:spacing w:line="360" w:lineRule="auto"/>
              <w:ind w:firstLine="420" w:firstLineChars="200"/>
              <w:rPr>
                <w:rFonts w:hAnsi="宋体" w:cs="宋体"/>
                <w:bCs/>
              </w:rPr>
            </w:pPr>
            <w:r>
              <w:rPr>
                <w:rFonts w:hint="eastAsia" w:hAnsi="宋体" w:cs="宋体"/>
                <w:bCs/>
              </w:rPr>
              <w:t>项目实施人员投标人每投入1名具备高级（或以上）职称的技术人员得3分，每投入1名具备中级职称的技术人员得2分，每投入1名具备初级职称的技术人员得1分，满分22分。</w:t>
            </w:r>
          </w:p>
          <w:p w14:paraId="4D44EFA6">
            <w:pPr>
              <w:spacing w:line="360" w:lineRule="auto"/>
              <w:ind w:firstLine="420" w:firstLineChars="200"/>
              <w:rPr>
                <w:rFonts w:hAnsi="宋体" w:cs="宋体"/>
                <w:bCs/>
              </w:rPr>
            </w:pPr>
            <w:r>
              <w:rPr>
                <w:rFonts w:hint="eastAsia" w:hAnsi="宋体" w:cs="宋体"/>
                <w:bCs/>
              </w:rPr>
              <w:t>（投入人员须为投标人在岗在职的人员，须具备规划类或测绘类或土地管理类（含土地工程与技术专业），以其职称证书上载明专业为准。在投标文件中提供实施人员职称证书扫描件、实施人员在职在岗证明材料扫描件（如：与投标人签订的劳动合同或投标人为其缴纳的投标截止之日前半年内投标人任意1个月社保证明），投入人员按得分最高的证件计算得分，不重复计分）</w:t>
            </w:r>
          </w:p>
        </w:tc>
        <w:tc>
          <w:tcPr>
            <w:tcW w:w="511" w:type="pct"/>
            <w:vAlign w:val="center"/>
          </w:tcPr>
          <w:p w14:paraId="7A5F85C1">
            <w:pPr>
              <w:pStyle w:val="17"/>
              <w:spacing w:line="360" w:lineRule="auto"/>
              <w:jc w:val="center"/>
              <w:rPr>
                <w:rFonts w:hAnsi="宋体"/>
                <w:bCs/>
              </w:rPr>
            </w:pPr>
            <w:r>
              <w:rPr>
                <w:rFonts w:hint="eastAsia" w:hAnsi="宋体"/>
                <w:bCs/>
              </w:rPr>
              <w:t>0~22</w:t>
            </w:r>
          </w:p>
        </w:tc>
      </w:tr>
      <w:tr w14:paraId="1CE646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402" w:type="pct"/>
            <w:vAlign w:val="center"/>
          </w:tcPr>
          <w:p w14:paraId="04CAC1C8">
            <w:pPr>
              <w:pStyle w:val="17"/>
              <w:spacing w:line="360" w:lineRule="auto"/>
              <w:jc w:val="center"/>
              <w:rPr>
                <w:rFonts w:hAnsi="宋体"/>
                <w:bCs/>
              </w:rPr>
            </w:pPr>
            <w:r>
              <w:rPr>
                <w:rFonts w:hint="eastAsia" w:hAnsi="宋体"/>
                <w:bCs/>
              </w:rPr>
              <w:t>3.3</w:t>
            </w:r>
          </w:p>
        </w:tc>
        <w:tc>
          <w:tcPr>
            <w:tcW w:w="1388" w:type="dxa"/>
            <w:vAlign w:val="center"/>
          </w:tcPr>
          <w:p w14:paraId="0330FA61">
            <w:pPr>
              <w:spacing w:line="300" w:lineRule="auto"/>
              <w:jc w:val="center"/>
              <w:rPr>
                <w:rFonts w:hAnsi="宋体" w:cs="宋体"/>
                <w:bCs/>
              </w:rPr>
            </w:pPr>
            <w:r>
              <w:rPr>
                <w:rFonts w:hint="eastAsia" w:ascii="宋体" w:hAnsi="宋体"/>
                <w:szCs w:val="21"/>
              </w:rPr>
              <w:t>业绩</w:t>
            </w:r>
          </w:p>
        </w:tc>
        <w:tc>
          <w:tcPr>
            <w:tcW w:w="3346" w:type="pct"/>
          </w:tcPr>
          <w:p w14:paraId="0C4C80FF">
            <w:pPr>
              <w:spacing w:line="360" w:lineRule="auto"/>
              <w:ind w:firstLine="420" w:firstLineChars="200"/>
              <w:rPr>
                <w:rFonts w:hAnsi="宋体" w:cs="宋体"/>
                <w:bCs/>
              </w:rPr>
            </w:pPr>
            <w:r>
              <w:rPr>
                <w:rFonts w:hint="eastAsia" w:hAnsi="宋体" w:cs="宋体"/>
                <w:bCs/>
              </w:rPr>
              <w:t>投标人自2023年1月1日以来承担过类似项目业绩，每个业绩得3分，满15分。（投标时提供合同扫描件）</w:t>
            </w:r>
          </w:p>
        </w:tc>
        <w:tc>
          <w:tcPr>
            <w:tcW w:w="511" w:type="pct"/>
            <w:vAlign w:val="center"/>
          </w:tcPr>
          <w:p w14:paraId="4CC41F0B">
            <w:pPr>
              <w:pStyle w:val="17"/>
              <w:spacing w:line="360" w:lineRule="auto"/>
              <w:jc w:val="center"/>
              <w:rPr>
                <w:rFonts w:hAnsi="宋体"/>
                <w:bCs/>
              </w:rPr>
            </w:pPr>
            <w:r>
              <w:rPr>
                <w:rFonts w:hint="eastAsia" w:hAnsi="宋体"/>
                <w:bCs/>
              </w:rPr>
              <w:t>0~</w:t>
            </w:r>
            <w:r>
              <w:rPr>
                <w:rFonts w:hAnsi="宋体"/>
                <w:bCs/>
              </w:rPr>
              <w:t>1</w:t>
            </w:r>
            <w:r>
              <w:rPr>
                <w:rFonts w:hint="eastAsia" w:hAnsi="宋体"/>
                <w:bCs/>
              </w:rPr>
              <w:t>5</w:t>
            </w:r>
          </w:p>
        </w:tc>
      </w:tr>
      <w:tr w14:paraId="3AE858B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5000" w:type="pct"/>
            <w:gridSpan w:val="4"/>
          </w:tcPr>
          <w:p w14:paraId="055D34AA">
            <w:pPr>
              <w:pStyle w:val="17"/>
              <w:tabs>
                <w:tab w:val="left" w:pos="838"/>
              </w:tabs>
              <w:spacing w:line="360" w:lineRule="auto"/>
              <w:rPr>
                <w:rFonts w:hAnsi="宋体"/>
                <w:bCs/>
              </w:rPr>
            </w:pPr>
            <w:r>
              <w:rPr>
                <w:rFonts w:hint="eastAsia" w:hAnsi="宋体" w:cs="宋体"/>
                <w:bCs/>
                <w:szCs w:val="21"/>
              </w:rPr>
              <w:t>总得分＝</w:t>
            </w:r>
            <w:r>
              <w:rPr>
                <w:rFonts w:hAnsi="宋体" w:cs="宋体"/>
                <w:bCs/>
                <w:szCs w:val="21"/>
              </w:rPr>
              <w:t>1</w:t>
            </w:r>
            <w:r>
              <w:rPr>
                <w:rFonts w:hint="eastAsia" w:hAnsi="宋体" w:cs="宋体"/>
                <w:bCs/>
                <w:szCs w:val="21"/>
              </w:rPr>
              <w:t>＋</w:t>
            </w:r>
            <w:r>
              <w:rPr>
                <w:rFonts w:hAnsi="宋体" w:cs="宋体"/>
                <w:bCs/>
                <w:szCs w:val="21"/>
              </w:rPr>
              <w:t>2</w:t>
            </w:r>
            <w:r>
              <w:rPr>
                <w:rFonts w:hint="eastAsia" w:hAnsi="宋体" w:cs="宋体"/>
                <w:bCs/>
                <w:szCs w:val="21"/>
              </w:rPr>
              <w:t>＋</w:t>
            </w:r>
            <w:r>
              <w:rPr>
                <w:rFonts w:hAnsi="宋体" w:cs="宋体"/>
                <w:bCs/>
                <w:szCs w:val="21"/>
              </w:rPr>
              <w:t>3</w:t>
            </w:r>
          </w:p>
        </w:tc>
      </w:tr>
      <w:bookmarkEnd w:id="62"/>
    </w:tbl>
    <w:p w14:paraId="683FF4BB">
      <w:pPr>
        <w:pStyle w:val="4"/>
        <w:jc w:val="center"/>
        <w:rPr>
          <w:b w:val="0"/>
          <w:sz w:val="30"/>
          <w:szCs w:val="30"/>
        </w:rPr>
      </w:pPr>
      <w:bookmarkStart w:id="64" w:name="_Toc23510"/>
      <w:bookmarkStart w:id="65" w:name="_Toc20306"/>
      <w:r>
        <w:rPr>
          <w:rFonts w:hint="eastAsia"/>
          <w:b w:val="0"/>
          <w:sz w:val="30"/>
          <w:szCs w:val="30"/>
        </w:rPr>
        <w:t>第四节 中标候选人推荐原则</w:t>
      </w:r>
      <w:bookmarkEnd w:id="64"/>
      <w:bookmarkEnd w:id="65"/>
    </w:p>
    <w:p w14:paraId="182766D0">
      <w:pPr>
        <w:tabs>
          <w:tab w:val="left" w:pos="2472"/>
        </w:tabs>
        <w:spacing w:line="360" w:lineRule="auto"/>
        <w:ind w:firstLine="422" w:firstLineChars="200"/>
        <w:rPr>
          <w:rFonts w:hAnsi="宋体"/>
        </w:rPr>
      </w:pPr>
      <w:r>
        <w:rPr>
          <w:rFonts w:hint="eastAsia" w:ascii="宋体" w:hAnsi="宋体"/>
          <w:b/>
          <w:bCs/>
        </w:rPr>
        <w:t>（一）综合评分法</w:t>
      </w:r>
      <w:bookmarkStart w:id="66" w:name="_Toc21619"/>
      <w:bookmarkStart w:id="67" w:name="_Toc30503"/>
    </w:p>
    <w:p w14:paraId="5BBAF537">
      <w:pPr>
        <w:tabs>
          <w:tab w:val="left" w:pos="2472"/>
        </w:tabs>
        <w:spacing w:line="360" w:lineRule="auto"/>
        <w:ind w:firstLine="420" w:firstLineChars="200"/>
        <w:rPr>
          <w:rFonts w:hAnsi="宋体"/>
        </w:rPr>
      </w:pPr>
      <w:r>
        <w:rPr>
          <w:rFonts w:hint="eastAsia" w:hAnsi="宋体"/>
        </w:rPr>
        <w:t>评标委员会将按总得分由高到低排列中标候选人顺序（总得分相同时，依次按投标报价低优先、技术分高优先、质量保证期长优先、提交服务成果时间短优先、处理问题到达时间短优先的顺序排列），并依照次序确定中标人。</w:t>
      </w:r>
    </w:p>
    <w:p w14:paraId="0BF0143D">
      <w:pPr>
        <w:pStyle w:val="4"/>
        <w:spacing w:before="0" w:after="0" w:line="360" w:lineRule="auto"/>
        <w:ind w:firstLine="600" w:firstLineChars="200"/>
        <w:jc w:val="center"/>
        <w:rPr>
          <w:b w:val="0"/>
          <w:sz w:val="30"/>
          <w:szCs w:val="30"/>
        </w:rPr>
      </w:pPr>
      <w:r>
        <w:rPr>
          <w:rFonts w:hint="eastAsia"/>
          <w:b w:val="0"/>
          <w:sz w:val="30"/>
          <w:szCs w:val="30"/>
        </w:rPr>
        <w:t>第五节 评标报告</w:t>
      </w:r>
      <w:bookmarkEnd w:id="66"/>
      <w:bookmarkEnd w:id="67"/>
    </w:p>
    <w:p w14:paraId="359D918D">
      <w:pPr>
        <w:ind w:firstLine="480"/>
        <w:rPr>
          <w:rFonts w:ascii="宋体" w:hAnsi="宋体"/>
          <w:b/>
          <w:bCs/>
        </w:rPr>
      </w:pPr>
      <w:r>
        <w:rPr>
          <w:rFonts w:hint="eastAsia" w:ascii="宋体" w:hAnsi="宋体"/>
          <w:b/>
          <w:bCs/>
        </w:rPr>
        <w:t>（一）评标报告与推荐中标候选人</w:t>
      </w:r>
    </w:p>
    <w:p w14:paraId="414FAE39">
      <w:pPr>
        <w:tabs>
          <w:tab w:val="left" w:pos="2472"/>
        </w:tabs>
        <w:spacing w:line="360" w:lineRule="auto"/>
        <w:ind w:firstLine="420" w:firstLineChars="200"/>
        <w:rPr>
          <w:rFonts w:hAnsi="宋体"/>
        </w:rPr>
      </w:pPr>
      <w:r>
        <w:rPr>
          <w:rFonts w:hint="eastAsia" w:hAnsi="宋体"/>
        </w:rPr>
        <w:t>评标委员会根据原始评标记录和评标结果编写评标报告，并通过电子交易平台向采购人、采购代理机构提交。</w:t>
      </w:r>
    </w:p>
    <w:p w14:paraId="48926815">
      <w:pPr>
        <w:widowControl/>
        <w:spacing w:line="360" w:lineRule="auto"/>
        <w:ind w:firstLine="482" w:firstLineChars="200"/>
        <w:jc w:val="left"/>
        <w:rPr>
          <w:rFonts w:ascii="宋体" w:hAnsi="宋体"/>
          <w:b/>
          <w:bCs/>
          <w:sz w:val="24"/>
        </w:rPr>
      </w:pPr>
      <w:r>
        <w:rPr>
          <w:rFonts w:hint="eastAsia" w:ascii="宋体" w:hAnsi="宋体"/>
          <w:b/>
          <w:bCs/>
          <w:sz w:val="24"/>
        </w:rPr>
        <w:t>（二）评标争议事项处理</w:t>
      </w:r>
    </w:p>
    <w:p w14:paraId="128E41A1">
      <w:pPr>
        <w:tabs>
          <w:tab w:val="left" w:pos="2472"/>
        </w:tabs>
        <w:spacing w:line="360" w:lineRule="auto"/>
        <w:ind w:firstLine="420" w:firstLineChars="200"/>
        <w:rPr>
          <w:b/>
          <w:sz w:val="36"/>
        </w:rPr>
      </w:pPr>
      <w:r>
        <w:rPr>
          <w:rFonts w:hint="eastAsia" w:hAnsi="宋体"/>
        </w:rPr>
        <w:t>评标委员会成员对需要共同认定的事项存在争议的，应当按照少数服从多数的原则做出结论。持不同意见的评标委员会成员应当在评标报告上签署不同意见及理由，否则视为同意评标报告。</w:t>
      </w:r>
    </w:p>
    <w:p w14:paraId="2A639365">
      <w:pPr>
        <w:tabs>
          <w:tab w:val="left" w:pos="2472"/>
        </w:tabs>
        <w:spacing w:line="460" w:lineRule="exact"/>
        <w:jc w:val="center"/>
        <w:rPr>
          <w:b/>
          <w:sz w:val="36"/>
        </w:rPr>
      </w:pPr>
      <w:r>
        <w:rPr>
          <w:b/>
          <w:sz w:val="36"/>
        </w:rPr>
        <w:br w:type="page"/>
      </w:r>
    </w:p>
    <w:p w14:paraId="6DEB4BFD">
      <w:pPr>
        <w:tabs>
          <w:tab w:val="left" w:pos="2472"/>
        </w:tabs>
        <w:spacing w:line="460" w:lineRule="exact"/>
        <w:jc w:val="center"/>
        <w:outlineLvl w:val="0"/>
        <w:rPr>
          <w:b/>
          <w:sz w:val="36"/>
        </w:rPr>
      </w:pPr>
      <w:bookmarkStart w:id="68" w:name="_Toc21439"/>
      <w:bookmarkStart w:id="69" w:name="_Toc26684"/>
      <w:r>
        <w:rPr>
          <w:rFonts w:hint="eastAsia"/>
          <w:b/>
          <w:sz w:val="36"/>
        </w:rPr>
        <w:t xml:space="preserve">第五章 </w:t>
      </w:r>
      <w:bookmarkStart w:id="70" w:name="_Hlk197517477"/>
      <w:r>
        <w:rPr>
          <w:rFonts w:hint="eastAsia"/>
          <w:b/>
          <w:sz w:val="36"/>
        </w:rPr>
        <w:t>拟签订的合同文本</w:t>
      </w:r>
      <w:bookmarkEnd w:id="68"/>
      <w:bookmarkEnd w:id="69"/>
      <w:bookmarkEnd w:id="70"/>
    </w:p>
    <w:p w14:paraId="5EA93FA9">
      <w:pPr>
        <w:tabs>
          <w:tab w:val="left" w:pos="720"/>
        </w:tabs>
        <w:spacing w:line="460" w:lineRule="exact"/>
        <w:rPr>
          <w:bCs/>
        </w:rPr>
        <w:sectPr>
          <w:pgSz w:w="11906" w:h="16838"/>
          <w:pgMar w:top="1134" w:right="1134" w:bottom="1134" w:left="1134" w:header="720" w:footer="720" w:gutter="0"/>
          <w:cols w:space="720" w:num="1"/>
          <w:docGrid w:type="lines" w:linePitch="331" w:charSpace="0"/>
        </w:sectPr>
      </w:pPr>
    </w:p>
    <w:p w14:paraId="5BA52C45">
      <w:pPr>
        <w:spacing w:line="360" w:lineRule="auto"/>
        <w:rPr>
          <w:rFonts w:ascii="仿宋_GB2312" w:hAnsi="楷体" w:eastAsia="仿宋_GB2312"/>
          <w:sz w:val="24"/>
          <w:u w:val="single"/>
        </w:rPr>
      </w:pPr>
      <w:r>
        <w:rPr>
          <w:rFonts w:hint="eastAsia" w:ascii="仿宋_GB2312" w:hAnsi="楷体" w:eastAsia="仿宋_GB2312"/>
          <w:sz w:val="24"/>
        </w:rPr>
        <w:t>“广西政府采购云平台”合同编号：</w:t>
      </w:r>
      <w:r>
        <w:rPr>
          <w:rFonts w:hint="eastAsia" w:ascii="仿宋_GB2312" w:hAnsi="楷体" w:eastAsia="仿宋_GB2312"/>
          <w:sz w:val="24"/>
          <w:u w:val="single"/>
        </w:rPr>
        <w:t xml:space="preserve">           </w:t>
      </w:r>
    </w:p>
    <w:p w14:paraId="3E4AF9B0">
      <w:pPr>
        <w:spacing w:line="360" w:lineRule="auto"/>
        <w:jc w:val="center"/>
        <w:rPr>
          <w:rFonts w:ascii="宋体"/>
          <w:b/>
          <w:bCs/>
          <w:sz w:val="52"/>
        </w:rPr>
      </w:pPr>
      <w:r>
        <w:rPr>
          <w:rFonts w:hint="eastAsia" w:ascii="宋体"/>
          <w:b/>
          <w:bCs/>
          <w:sz w:val="52"/>
        </w:rPr>
        <w:t>南 宁 市 政 府 采 购</w:t>
      </w:r>
    </w:p>
    <w:p w14:paraId="02E4598D">
      <w:pPr>
        <w:spacing w:line="360" w:lineRule="auto"/>
        <w:ind w:firstLine="420" w:firstLineChars="200"/>
        <w:rPr>
          <w:rFonts w:ascii="宋体"/>
        </w:rPr>
      </w:pPr>
    </w:p>
    <w:p w14:paraId="7ECB5EEB">
      <w:pPr>
        <w:spacing w:line="360" w:lineRule="auto"/>
        <w:ind w:firstLine="420" w:firstLineChars="200"/>
        <w:rPr>
          <w:rFonts w:ascii="宋体"/>
        </w:rPr>
      </w:pPr>
      <w:r>
        <w:rPr>
          <w:rFonts w:hint="eastAsia" w:ascii="宋体"/>
        </w:rPr>
        <w:t xml:space="preserve">                                                 </w:t>
      </w:r>
    </w:p>
    <w:p w14:paraId="372BB959">
      <w:pPr>
        <w:spacing w:line="360" w:lineRule="auto"/>
        <w:jc w:val="center"/>
        <w:rPr>
          <w:rFonts w:ascii="宋体"/>
          <w:b/>
          <w:bCs/>
          <w:sz w:val="44"/>
          <w:u w:val="single"/>
        </w:rPr>
      </w:pPr>
      <w:r>
        <w:rPr>
          <w:rFonts w:hint="eastAsia" w:ascii="宋体"/>
          <w:b/>
          <w:bCs/>
          <w:sz w:val="44"/>
          <w:u w:val="single"/>
        </w:rPr>
        <w:t>南宁市村庄规划审查及乡镇规划数据规整入库</w:t>
      </w:r>
    </w:p>
    <w:p w14:paraId="5858F535">
      <w:pPr>
        <w:spacing w:line="360" w:lineRule="auto"/>
        <w:jc w:val="center"/>
        <w:rPr>
          <w:rFonts w:ascii="宋体"/>
          <w:b/>
          <w:bCs/>
          <w:sz w:val="44"/>
        </w:rPr>
      </w:pPr>
      <w:r>
        <w:rPr>
          <w:rFonts w:hint="eastAsia" w:ascii="宋体"/>
          <w:b/>
          <w:bCs/>
          <w:sz w:val="44"/>
          <w:u w:val="single"/>
        </w:rPr>
        <w:t>项目</w:t>
      </w:r>
      <w:r>
        <w:rPr>
          <w:rFonts w:hint="eastAsia" w:ascii="宋体"/>
          <w:b/>
          <w:bCs/>
          <w:sz w:val="44"/>
        </w:rPr>
        <w:t>合同</w:t>
      </w:r>
    </w:p>
    <w:p w14:paraId="2D6ACD18">
      <w:pPr>
        <w:spacing w:line="360" w:lineRule="auto"/>
        <w:jc w:val="center"/>
        <w:rPr>
          <w:rFonts w:ascii="宋体"/>
          <w:b/>
          <w:bCs/>
          <w:sz w:val="44"/>
        </w:rPr>
      </w:pPr>
    </w:p>
    <w:p w14:paraId="3DB45ACA">
      <w:pPr>
        <w:spacing w:line="360" w:lineRule="auto"/>
        <w:jc w:val="center"/>
        <w:rPr>
          <w:rFonts w:ascii="宋体"/>
          <w:b/>
          <w:bCs/>
          <w:sz w:val="44"/>
        </w:rPr>
      </w:pPr>
    </w:p>
    <w:p w14:paraId="0D8A0521">
      <w:pPr>
        <w:spacing w:line="360" w:lineRule="auto"/>
        <w:ind w:firstLine="3507" w:firstLineChars="794"/>
        <w:rPr>
          <w:rFonts w:ascii="宋体"/>
          <w:b/>
          <w:bCs/>
          <w:sz w:val="44"/>
        </w:rPr>
      </w:pPr>
    </w:p>
    <w:p w14:paraId="68888412">
      <w:pPr>
        <w:spacing w:line="360" w:lineRule="auto"/>
        <w:ind w:firstLine="3507" w:firstLineChars="794"/>
        <w:rPr>
          <w:rFonts w:ascii="宋体"/>
          <w:b/>
          <w:bCs/>
          <w:sz w:val="44"/>
        </w:rPr>
      </w:pPr>
    </w:p>
    <w:p w14:paraId="1D920A8A">
      <w:pPr>
        <w:ind w:firstLine="1995" w:firstLineChars="552"/>
        <w:jc w:val="left"/>
        <w:rPr>
          <w:rFonts w:ascii="宋体" w:hAnsi="宋体"/>
          <w:b/>
          <w:sz w:val="36"/>
          <w:szCs w:val="36"/>
        </w:rPr>
      </w:pPr>
      <w:r>
        <w:rPr>
          <w:rFonts w:hint="eastAsia" w:ascii="宋体" w:hAnsi="宋体"/>
          <w:b/>
          <w:sz w:val="36"/>
          <w:szCs w:val="36"/>
        </w:rPr>
        <w:t>项目编号：</w:t>
      </w:r>
      <w:r>
        <w:rPr>
          <w:rFonts w:hint="eastAsia" w:ascii="宋体" w:hAnsi="宋体"/>
          <w:b/>
          <w:sz w:val="36"/>
          <w:szCs w:val="36"/>
          <w:u w:val="single"/>
        </w:rPr>
        <w:t xml:space="preserve">                     </w:t>
      </w:r>
    </w:p>
    <w:p w14:paraId="42370825">
      <w:pPr>
        <w:ind w:firstLine="1995" w:firstLineChars="552"/>
        <w:jc w:val="left"/>
        <w:rPr>
          <w:rFonts w:ascii="宋体" w:hAnsi="宋体"/>
          <w:b/>
          <w:sz w:val="36"/>
          <w:szCs w:val="36"/>
        </w:rPr>
      </w:pPr>
      <w:r>
        <w:rPr>
          <w:rFonts w:hint="eastAsia" w:ascii="宋体" w:hAnsi="宋体"/>
          <w:b/>
          <w:sz w:val="36"/>
          <w:szCs w:val="36"/>
        </w:rPr>
        <w:t>计划编号：</w:t>
      </w:r>
      <w:r>
        <w:rPr>
          <w:rFonts w:hint="eastAsia" w:ascii="宋体" w:hAnsi="宋体"/>
          <w:b/>
          <w:sz w:val="36"/>
          <w:szCs w:val="36"/>
          <w:u w:val="single"/>
        </w:rPr>
        <w:t xml:space="preserve">                     </w:t>
      </w:r>
    </w:p>
    <w:p w14:paraId="474A77AD">
      <w:pPr>
        <w:ind w:firstLine="1970" w:firstLineChars="545"/>
        <w:rPr>
          <w:rFonts w:ascii="宋体" w:hAnsi="宋体"/>
          <w:b/>
          <w:sz w:val="36"/>
          <w:szCs w:val="36"/>
          <w:u w:val="single"/>
        </w:rPr>
      </w:pPr>
    </w:p>
    <w:p w14:paraId="1CE7B972">
      <w:pPr>
        <w:ind w:firstLine="1995" w:firstLineChars="552"/>
        <w:rPr>
          <w:rFonts w:ascii="宋体" w:hAnsi="宋体"/>
          <w:b/>
          <w:sz w:val="36"/>
          <w:szCs w:val="36"/>
          <w:u w:val="single"/>
        </w:rPr>
      </w:pPr>
    </w:p>
    <w:p w14:paraId="3D56C07B">
      <w:pPr>
        <w:ind w:firstLine="1995" w:firstLineChars="552"/>
        <w:rPr>
          <w:rFonts w:ascii="宋体" w:hAnsi="宋体"/>
          <w:b/>
          <w:sz w:val="36"/>
          <w:szCs w:val="36"/>
          <w:u w:val="single"/>
        </w:rPr>
      </w:pPr>
    </w:p>
    <w:p w14:paraId="60497CE1">
      <w:pPr>
        <w:tabs>
          <w:tab w:val="left" w:pos="7200"/>
        </w:tabs>
        <w:spacing w:line="360" w:lineRule="auto"/>
        <w:ind w:firstLine="1995" w:firstLineChars="552"/>
        <w:rPr>
          <w:rFonts w:ascii="宋体" w:hAnsi="宋体"/>
          <w:b/>
          <w:sz w:val="36"/>
          <w:szCs w:val="36"/>
          <w:u w:val="single"/>
        </w:rPr>
      </w:pPr>
      <w:r>
        <w:rPr>
          <w:rFonts w:hint="eastAsia" w:ascii="宋体" w:hAnsi="宋体"/>
          <w:b/>
          <w:sz w:val="36"/>
          <w:szCs w:val="36"/>
        </w:rPr>
        <w:t>采  购  人：</w:t>
      </w:r>
      <w:r>
        <w:rPr>
          <w:rFonts w:hint="eastAsia" w:ascii="宋体" w:hAnsi="宋体"/>
          <w:b/>
          <w:sz w:val="36"/>
          <w:szCs w:val="36"/>
          <w:u w:val="single"/>
        </w:rPr>
        <w:t>南宁市自然资源局</w:t>
      </w:r>
    </w:p>
    <w:p w14:paraId="45AE2817">
      <w:pPr>
        <w:tabs>
          <w:tab w:val="left" w:pos="7380"/>
        </w:tabs>
        <w:spacing w:line="360" w:lineRule="auto"/>
        <w:ind w:firstLine="1995" w:firstLineChars="552"/>
        <w:rPr>
          <w:rFonts w:ascii="宋体"/>
          <w:b/>
          <w:bCs/>
          <w:sz w:val="44"/>
        </w:rPr>
      </w:pPr>
      <w:r>
        <w:rPr>
          <w:rFonts w:hint="eastAsia" w:ascii="宋体" w:hAnsi="宋体"/>
          <w:b/>
          <w:sz w:val="36"/>
          <w:szCs w:val="36"/>
        </w:rPr>
        <w:t>中  标  人：</w:t>
      </w:r>
      <w:r>
        <w:rPr>
          <w:rFonts w:hint="eastAsia" w:ascii="宋体" w:hAnsi="宋体"/>
          <w:b/>
          <w:sz w:val="36"/>
          <w:szCs w:val="36"/>
          <w:u w:val="single"/>
        </w:rPr>
        <w:t xml:space="preserve">                   </w:t>
      </w:r>
    </w:p>
    <w:p w14:paraId="02F69BDB">
      <w:pPr>
        <w:tabs>
          <w:tab w:val="left" w:pos="7380"/>
        </w:tabs>
        <w:spacing w:line="360" w:lineRule="auto"/>
        <w:rPr>
          <w:rFonts w:ascii="宋体"/>
          <w:b/>
          <w:bCs/>
          <w:sz w:val="44"/>
        </w:rPr>
      </w:pPr>
    </w:p>
    <w:p w14:paraId="3A326DE6">
      <w:pPr>
        <w:spacing w:before="120" w:line="360" w:lineRule="auto"/>
        <w:ind w:firstLine="960" w:firstLineChars="400"/>
        <w:rPr>
          <w:rFonts w:ascii="仿宋_GB2312" w:hAnsi="楷体" w:eastAsia="仿宋_GB2312"/>
          <w:sz w:val="24"/>
        </w:rPr>
      </w:pPr>
    </w:p>
    <w:p w14:paraId="2D034A8A">
      <w:pPr>
        <w:spacing w:before="120" w:line="360" w:lineRule="auto"/>
        <w:ind w:firstLine="960" w:firstLineChars="400"/>
        <w:rPr>
          <w:rFonts w:ascii="仿宋_GB2312" w:hAnsi="楷体" w:eastAsia="仿宋_GB2312"/>
          <w:sz w:val="24"/>
        </w:rPr>
      </w:pPr>
    </w:p>
    <w:p w14:paraId="7B6CEC07">
      <w:pPr>
        <w:spacing w:before="120" w:line="360" w:lineRule="auto"/>
        <w:ind w:firstLine="2280" w:firstLineChars="950"/>
        <w:rPr>
          <w:rFonts w:ascii="仿宋_GB2312" w:hAnsi="楷体" w:eastAsia="仿宋_GB2312"/>
          <w:sz w:val="24"/>
          <w:u w:val="single"/>
        </w:rPr>
      </w:pPr>
      <w:r>
        <w:rPr>
          <w:rFonts w:hint="eastAsia" w:ascii="仿宋_GB2312" w:hAnsi="楷体" w:eastAsia="仿宋_GB2312"/>
          <w:sz w:val="24"/>
        </w:rPr>
        <w:t>签订日期：</w:t>
      </w:r>
      <w:r>
        <w:rPr>
          <w:rFonts w:hint="eastAsia" w:ascii="仿宋_GB2312" w:hAnsi="楷体" w:eastAsia="仿宋_GB2312"/>
          <w:sz w:val="24"/>
          <w:u w:val="single"/>
        </w:rPr>
        <w:t xml:space="preserve">               </w:t>
      </w:r>
      <w:r>
        <w:rPr>
          <w:rFonts w:hint="eastAsia" w:ascii="仿宋_GB2312" w:hAnsi="楷体" w:eastAsia="仿宋_GB2312"/>
          <w:sz w:val="24"/>
        </w:rPr>
        <w:t>年</w:t>
      </w:r>
      <w:r>
        <w:rPr>
          <w:rFonts w:hint="eastAsia" w:ascii="仿宋_GB2312" w:hAnsi="楷体" w:eastAsia="仿宋_GB2312"/>
          <w:sz w:val="24"/>
          <w:u w:val="single"/>
        </w:rPr>
        <w:t xml:space="preserve">       </w:t>
      </w:r>
      <w:r>
        <w:rPr>
          <w:rFonts w:hint="eastAsia" w:ascii="仿宋_GB2312" w:hAnsi="楷体" w:eastAsia="仿宋_GB2312"/>
          <w:sz w:val="24"/>
        </w:rPr>
        <w:t>月</w:t>
      </w:r>
      <w:r>
        <w:rPr>
          <w:rFonts w:hint="eastAsia" w:ascii="仿宋_GB2312" w:hAnsi="楷体" w:eastAsia="仿宋_GB2312"/>
          <w:sz w:val="24"/>
          <w:u w:val="single"/>
        </w:rPr>
        <w:t xml:space="preserve">       </w:t>
      </w:r>
      <w:r>
        <w:rPr>
          <w:rFonts w:hint="eastAsia" w:ascii="仿宋_GB2312" w:hAnsi="楷体" w:eastAsia="仿宋_GB2312"/>
          <w:sz w:val="24"/>
        </w:rPr>
        <w:t>日</w:t>
      </w:r>
    </w:p>
    <w:p w14:paraId="6EF969D7">
      <w:pPr>
        <w:pStyle w:val="109"/>
        <w:ind w:firstLine="883"/>
        <w:jc w:val="center"/>
        <w:rPr>
          <w:rFonts w:ascii="宋体"/>
          <w:b/>
          <w:bCs/>
          <w:sz w:val="44"/>
        </w:rPr>
      </w:pPr>
    </w:p>
    <w:p w14:paraId="74AA04F0">
      <w:pPr>
        <w:spacing w:line="360" w:lineRule="auto"/>
        <w:ind w:firstLine="883" w:firstLineChars="200"/>
        <w:rPr>
          <w:rFonts w:ascii="仿宋_GB2312" w:hAnsi="楷体" w:eastAsia="仿宋_GB2312"/>
          <w:sz w:val="24"/>
          <w:u w:val="single"/>
        </w:rPr>
      </w:pPr>
      <w:r>
        <w:rPr>
          <w:rFonts w:hint="eastAsia" w:ascii="宋体"/>
          <w:b/>
          <w:bCs/>
          <w:sz w:val="44"/>
        </w:rPr>
        <w:br w:type="page"/>
      </w:r>
    </w:p>
    <w:p w14:paraId="1BB0BC06">
      <w:pPr>
        <w:snapToGrid w:val="0"/>
        <w:spacing w:line="360" w:lineRule="auto"/>
        <w:jc w:val="center"/>
        <w:rPr>
          <w:rFonts w:ascii="仿宋_GB2312" w:hAnsi="楷体" w:eastAsia="仿宋_GB2312"/>
          <w:b/>
          <w:sz w:val="24"/>
        </w:rPr>
      </w:pPr>
      <w:r>
        <w:rPr>
          <w:rFonts w:hint="eastAsia" w:ascii="仿宋_GB2312" w:hAnsi="楷体" w:eastAsia="仿宋_GB2312"/>
          <w:b/>
          <w:sz w:val="24"/>
        </w:rPr>
        <w:t>合同目录</w:t>
      </w:r>
    </w:p>
    <w:p w14:paraId="5B5777DD">
      <w:pPr>
        <w:snapToGrid w:val="0"/>
        <w:spacing w:line="360" w:lineRule="auto"/>
        <w:jc w:val="center"/>
        <w:rPr>
          <w:rFonts w:ascii="宋体"/>
          <w:b/>
          <w:bCs/>
          <w:sz w:val="44"/>
        </w:rPr>
      </w:pPr>
    </w:p>
    <w:p w14:paraId="5185F953">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第一部分 合同书</w:t>
      </w:r>
      <w:r>
        <w:rPr>
          <w:rFonts w:hint="eastAsia" w:ascii="仿宋_GB2312" w:hAnsi="仿宋" w:eastAsia="仿宋_GB2312" w:cs="仿宋_GB2312"/>
          <w:kern w:val="0"/>
          <w:sz w:val="24"/>
        </w:rPr>
        <w:t>…………………………………………………………（页码）</w:t>
      </w:r>
    </w:p>
    <w:p w14:paraId="256DF267">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二、第二部分 合同一般条款…………………………………………………（页码）</w:t>
      </w:r>
    </w:p>
    <w:p w14:paraId="04673AD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三、第三部分 合同专用条款…………………………………………………（页码）</w:t>
      </w:r>
    </w:p>
    <w:p w14:paraId="434EA746">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四、</w:t>
      </w:r>
      <w:r>
        <w:rPr>
          <w:rFonts w:hint="eastAsia" w:ascii="仿宋_GB2312" w:hAnsi="仿宋" w:eastAsia="仿宋_GB2312"/>
          <w:sz w:val="24"/>
        </w:rPr>
        <w:t>第四部分 合同附件</w:t>
      </w:r>
      <w:r>
        <w:rPr>
          <w:rFonts w:hint="eastAsia" w:ascii="仿宋_GB2312" w:hAnsi="仿宋" w:eastAsia="仿宋_GB2312" w:cs="仿宋_GB2312"/>
          <w:kern w:val="0"/>
          <w:sz w:val="24"/>
        </w:rPr>
        <w:t>………………………………………………………（页码）</w:t>
      </w:r>
    </w:p>
    <w:p w14:paraId="25E76470">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4.1中标通知书 ………………………………………………………………（页码）</w:t>
      </w:r>
    </w:p>
    <w:p w14:paraId="691C88B4">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4.2招标文件服务需求一览表 ………………………………………………（页码）</w:t>
      </w:r>
    </w:p>
    <w:p w14:paraId="37640E0D">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4.3招标文件的更改通知（如有） …………………………………………（页码）</w:t>
      </w:r>
    </w:p>
    <w:p w14:paraId="785B8C7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4.4投标函 ……………………………………………………………………（页码）</w:t>
      </w:r>
    </w:p>
    <w:p w14:paraId="2EEA9EC9">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4.5报价表 ……………………………………………………………………（页码）</w:t>
      </w:r>
    </w:p>
    <w:p w14:paraId="77A19D98">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4.6投标服务技术资料表 ……………………………………………………（页码）</w:t>
      </w:r>
    </w:p>
    <w:p w14:paraId="0E52EFF4">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4.7商务条款偏离表 …………………………………………………………（页码）</w:t>
      </w:r>
    </w:p>
    <w:p w14:paraId="00F70D9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4.8中标人澄清函（如有请提供） …………………………………………（页码）</w:t>
      </w:r>
    </w:p>
    <w:p w14:paraId="0A7EFBAD">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4.9其他与本合同相关的资料（如有请提供） ……………………………（页码）</w:t>
      </w:r>
    </w:p>
    <w:p w14:paraId="13930EF6">
      <w:pPr>
        <w:snapToGrid w:val="0"/>
        <w:spacing w:line="360" w:lineRule="auto"/>
        <w:rPr>
          <w:rFonts w:ascii="仿宋_GB2312" w:hAnsi="仿宋" w:eastAsia="仿宋_GB2312" w:cs="仿宋_GB2312"/>
          <w:kern w:val="0"/>
          <w:sz w:val="24"/>
        </w:rPr>
      </w:pPr>
    </w:p>
    <w:p w14:paraId="37DEACCB">
      <w:pPr>
        <w:widowControl/>
        <w:jc w:val="left"/>
        <w:rPr>
          <w:rFonts w:ascii="宋体" w:hAnsi="Courier New"/>
          <w:spacing w:val="-4"/>
          <w:sz w:val="18"/>
          <w:szCs w:val="20"/>
        </w:rPr>
        <w:sectPr>
          <w:footerReference r:id="rId7" w:type="default"/>
          <w:pgSz w:w="11906" w:h="16838"/>
          <w:pgMar w:top="1134" w:right="1134" w:bottom="1134" w:left="1134" w:header="720" w:footer="720" w:gutter="0"/>
          <w:cols w:space="720" w:num="1"/>
          <w:docGrid w:type="lines" w:linePitch="331" w:charSpace="0"/>
        </w:sectPr>
      </w:pPr>
    </w:p>
    <w:p w14:paraId="5E65DC19">
      <w:pPr>
        <w:autoSpaceDE w:val="0"/>
        <w:autoSpaceDN w:val="0"/>
        <w:adjustRightInd w:val="0"/>
        <w:snapToGrid w:val="0"/>
        <w:spacing w:after="120" w:line="360" w:lineRule="auto"/>
        <w:ind w:left="420" w:leftChars="200" w:firstLine="562" w:firstLineChars="200"/>
        <w:jc w:val="center"/>
        <w:rPr>
          <w:rFonts w:ascii="仿宋_GB2312" w:hAnsi="楷体" w:eastAsia="仿宋_GB2312"/>
          <w:b/>
          <w:sz w:val="28"/>
          <w:szCs w:val="28"/>
        </w:rPr>
      </w:pPr>
      <w:bookmarkStart w:id="71" w:name="_Hlk197517497"/>
      <w:r>
        <w:rPr>
          <w:rFonts w:hint="eastAsia" w:ascii="仿宋_GB2312" w:hAnsi="楷体" w:eastAsia="仿宋_GB2312"/>
          <w:b/>
          <w:sz w:val="28"/>
          <w:szCs w:val="28"/>
        </w:rPr>
        <w:t>第一部分 合同书</w:t>
      </w:r>
    </w:p>
    <w:bookmarkEnd w:id="71"/>
    <w:p w14:paraId="31633388">
      <w:pPr>
        <w:spacing w:line="360" w:lineRule="auto"/>
        <w:ind w:firstLine="480" w:firstLineChars="200"/>
        <w:rPr>
          <w:rFonts w:ascii="仿宋_GB2312" w:hAnsi="楷体" w:eastAsia="仿宋_GB2312"/>
          <w:sz w:val="24"/>
        </w:rPr>
      </w:pPr>
      <w:r>
        <w:rPr>
          <w:rFonts w:hint="eastAsia" w:ascii="仿宋_GB2312" w:hAnsi="楷体" w:eastAsia="仿宋_GB2312"/>
          <w:sz w:val="24"/>
          <w:u w:val="single"/>
          <w:lang w:val="zh-CN"/>
        </w:rPr>
        <w:t xml:space="preserve">     </w:t>
      </w:r>
      <w:r>
        <w:rPr>
          <w:rFonts w:hint="eastAsia" w:ascii="仿宋_GB2312" w:hAnsi="楷体" w:eastAsia="仿宋_GB2312"/>
          <w:sz w:val="24"/>
          <w:lang w:val="zh-CN"/>
        </w:rPr>
        <w:t>年</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月</w:t>
      </w:r>
      <w:r>
        <w:rPr>
          <w:rFonts w:hint="eastAsia" w:ascii="仿宋_GB2312" w:hAnsi="楷体" w:eastAsia="仿宋_GB2312"/>
          <w:sz w:val="24"/>
          <w:u w:val="single"/>
          <w:lang w:val="zh-CN"/>
        </w:rPr>
        <w:t xml:space="preserve">    </w:t>
      </w:r>
      <w:r>
        <w:rPr>
          <w:rFonts w:hint="eastAsia" w:ascii="仿宋_GB2312" w:hAnsi="楷体" w:eastAsia="仿宋_GB2312"/>
          <w:sz w:val="24"/>
          <w:lang w:val="zh-CN"/>
        </w:rPr>
        <w:t>日</w:t>
      </w:r>
      <w:r>
        <w:rPr>
          <w:rFonts w:hint="eastAsia" w:ascii="仿宋_GB2312" w:hAnsi="楷体" w:eastAsia="仿宋_GB2312"/>
          <w:sz w:val="24"/>
        </w:rPr>
        <w:t>，</w:t>
      </w:r>
      <w:bookmarkStart w:id="72" w:name="PO_3000001866_PM026_6"/>
      <w:r>
        <w:rPr>
          <w:rFonts w:hint="eastAsia" w:ascii="仿宋_GB2312" w:hAnsi="仿宋" w:eastAsia="仿宋_GB2312"/>
          <w:color w:val="0D0D0D"/>
          <w:sz w:val="24"/>
          <w:u w:val="single"/>
        </w:rPr>
        <w:t>南宁市自然资源局</w:t>
      </w:r>
      <w:bookmarkEnd w:id="72"/>
      <w:r>
        <w:rPr>
          <w:rFonts w:hint="eastAsia" w:ascii="仿宋_GB2312" w:hAnsi="仿宋" w:eastAsia="仿宋_GB2312"/>
          <w:sz w:val="24"/>
        </w:rPr>
        <w:t>以</w:t>
      </w:r>
      <w:r>
        <w:rPr>
          <w:rFonts w:hint="eastAsia" w:ascii="仿宋_GB2312" w:hAnsi="仿宋" w:eastAsia="仿宋_GB2312"/>
          <w:sz w:val="24"/>
          <w:u w:val="single"/>
        </w:rPr>
        <w:t xml:space="preserve"> 公开招标方式 </w:t>
      </w:r>
      <w:r>
        <w:rPr>
          <w:rFonts w:hint="eastAsia" w:ascii="仿宋_GB2312" w:hAnsi="仿宋" w:eastAsia="仿宋_GB2312"/>
          <w:sz w:val="24"/>
        </w:rPr>
        <w:t>对</w:t>
      </w:r>
      <w:r>
        <w:rPr>
          <w:rFonts w:hint="eastAsia" w:ascii="仿宋_GB2312" w:hAnsi="仿宋" w:eastAsia="仿宋_GB2312"/>
          <w:sz w:val="24"/>
          <w:u w:val="single"/>
        </w:rPr>
        <w:t>南宁市村庄规划审查及乡镇规划数据规整入库项目</w:t>
      </w:r>
      <w:r>
        <w:rPr>
          <w:rFonts w:hint="eastAsia" w:ascii="仿宋_GB2312" w:hAnsi="楷体" w:eastAsia="仿宋_GB2312"/>
          <w:sz w:val="24"/>
        </w:rPr>
        <w:t>进行了采购。经</w:t>
      </w:r>
      <w:r>
        <w:rPr>
          <w:rFonts w:hint="eastAsia" w:ascii="仿宋_GB2312" w:hAnsi="楷体" w:eastAsia="仿宋_GB2312"/>
          <w:sz w:val="24"/>
          <w:u w:val="single"/>
        </w:rPr>
        <w:t xml:space="preserve"> 评标委员会 </w:t>
      </w:r>
      <w:r>
        <w:rPr>
          <w:rFonts w:hint="eastAsia" w:ascii="仿宋_GB2312" w:hAnsi="楷体" w:eastAsia="仿宋_GB2312"/>
          <w:sz w:val="24"/>
        </w:rPr>
        <w:t>评定，</w:t>
      </w:r>
      <w:r>
        <w:rPr>
          <w:rFonts w:hint="eastAsia" w:ascii="仿宋_GB2312" w:hAnsi="楷体" w:eastAsia="仿宋_GB2312"/>
          <w:sz w:val="24"/>
          <w:u w:val="single"/>
        </w:rPr>
        <w:t xml:space="preserve">   （中标人名称）</w:t>
      </w:r>
      <w:r>
        <w:rPr>
          <w:rFonts w:hint="eastAsia" w:ascii="仿宋_GB2312" w:hAnsi="楷体" w:eastAsia="仿宋_GB2312"/>
          <w:sz w:val="24"/>
        </w:rPr>
        <w:t>为该项目中标人。现于中标通知书发出之日起</w:t>
      </w:r>
      <w:r>
        <w:rPr>
          <w:rFonts w:hint="eastAsia" w:ascii="仿宋_GB2312" w:hAnsi="楷体" w:eastAsia="仿宋_GB2312"/>
          <w:sz w:val="24"/>
          <w:u w:val="single"/>
        </w:rPr>
        <w:t>25</w:t>
      </w:r>
      <w:r>
        <w:rPr>
          <w:rFonts w:hint="eastAsia" w:ascii="仿宋_GB2312" w:hAnsi="楷体" w:eastAsia="仿宋_GB2312"/>
          <w:sz w:val="24"/>
        </w:rPr>
        <w:t>日内，按照招标文件确定的事项签订本合同。</w:t>
      </w:r>
    </w:p>
    <w:p w14:paraId="46381BAA">
      <w:pPr>
        <w:spacing w:line="360" w:lineRule="auto"/>
        <w:ind w:firstLine="480" w:firstLineChars="200"/>
        <w:rPr>
          <w:rFonts w:ascii="仿宋_GB2312" w:hAnsi="楷体" w:eastAsia="仿宋_GB2312"/>
          <w:sz w:val="24"/>
        </w:rPr>
      </w:pPr>
      <w:r>
        <w:rPr>
          <w:rFonts w:hint="eastAsia" w:ascii="仿宋_GB2312" w:hAnsi="楷体" w:eastAsia="仿宋_GB2312"/>
          <w:sz w:val="24"/>
          <w:lang w:val="zh-CN"/>
        </w:rPr>
        <w:t>根据《中华人民共和国民法典》、《中华人民共和国政府采购法》等相关法律法规之规定，按照平等、自愿、公平和诚实信用的原则，经</w:t>
      </w:r>
      <w:r>
        <w:rPr>
          <w:rFonts w:hint="eastAsia" w:ascii="仿宋_GB2312" w:hAnsi="楷体" w:eastAsia="仿宋_GB2312"/>
          <w:sz w:val="24"/>
          <w:u w:val="single"/>
        </w:rPr>
        <w:t xml:space="preserve"> 南宁市自然资源局   </w:t>
      </w:r>
      <w:r>
        <w:rPr>
          <w:rFonts w:hint="eastAsia" w:ascii="仿宋_GB2312" w:hAnsi="楷体" w:eastAsia="仿宋_GB2312"/>
          <w:sz w:val="24"/>
          <w:lang w:val="zh-CN"/>
        </w:rPr>
        <w:t>(以下简称：甲方)和</w:t>
      </w:r>
      <w:r>
        <w:rPr>
          <w:rFonts w:hint="eastAsia" w:ascii="仿宋_GB2312" w:hAnsi="楷体" w:eastAsia="仿宋_GB2312"/>
          <w:sz w:val="24"/>
          <w:u w:val="single"/>
        </w:rPr>
        <w:t xml:space="preserve">   （中标人名称）   </w:t>
      </w:r>
      <w:r>
        <w:rPr>
          <w:rFonts w:hint="eastAsia" w:ascii="仿宋_GB2312" w:hAnsi="楷体" w:eastAsia="仿宋_GB2312"/>
          <w:sz w:val="24"/>
          <w:lang w:val="zh-CN"/>
        </w:rPr>
        <w:t>(以下简称：乙方)协商一致，约定以下合同</w:t>
      </w:r>
      <w:r>
        <w:rPr>
          <w:rFonts w:hint="eastAsia" w:ascii="仿宋_GB2312" w:hAnsi="楷体" w:eastAsia="仿宋_GB2312"/>
          <w:sz w:val="24"/>
        </w:rPr>
        <w:t>条款，以兹共同遵守、全面履行。</w:t>
      </w:r>
    </w:p>
    <w:p w14:paraId="32722A76">
      <w:pPr>
        <w:spacing w:line="360" w:lineRule="auto"/>
        <w:ind w:firstLine="482" w:firstLineChars="200"/>
        <w:rPr>
          <w:rFonts w:ascii="仿宋_GB2312" w:hAnsi="楷体" w:eastAsia="仿宋_GB2312"/>
          <w:b/>
          <w:sz w:val="24"/>
        </w:rPr>
      </w:pPr>
      <w:r>
        <w:rPr>
          <w:rFonts w:hint="eastAsia" w:ascii="仿宋_GB2312" w:hAnsi="楷体" w:eastAsia="仿宋_GB2312"/>
          <w:b/>
          <w:sz w:val="24"/>
        </w:rPr>
        <w:t>1.1 合同组成部分</w:t>
      </w:r>
    </w:p>
    <w:p w14:paraId="2F387E9F">
      <w:pPr>
        <w:spacing w:line="360" w:lineRule="auto"/>
        <w:ind w:firstLine="480" w:firstLineChars="200"/>
        <w:rPr>
          <w:rFonts w:ascii="仿宋_GB2312" w:hAnsi="楷体" w:eastAsia="仿宋_GB2312"/>
          <w:sz w:val="24"/>
        </w:rPr>
      </w:pPr>
      <w:r>
        <w:rPr>
          <w:rFonts w:hint="eastAsia" w:ascii="仿宋_GB2312" w:hAnsi="楷体" w:eastAsia="仿宋_GB2312"/>
          <w:sz w:val="24"/>
        </w:rPr>
        <w:t>下列文件为本合同的组成部分，并构成一个整体，需综合解释、相互补充。如果下列文件内容出现不一致的情形，在保证按照招标文件确定的事项的前提下，组成本合同的多个文件的优先适用顺序如下：</w:t>
      </w:r>
    </w:p>
    <w:p w14:paraId="1B3D3F11">
      <w:pPr>
        <w:spacing w:line="360" w:lineRule="auto"/>
        <w:ind w:firstLine="480" w:firstLineChars="200"/>
        <w:rPr>
          <w:rFonts w:ascii="仿宋_GB2312" w:hAnsi="楷体" w:eastAsia="仿宋_GB2312"/>
          <w:sz w:val="24"/>
        </w:rPr>
      </w:pPr>
      <w:r>
        <w:rPr>
          <w:rFonts w:hint="eastAsia" w:ascii="仿宋_GB2312" w:hAnsi="楷体" w:eastAsia="仿宋_GB2312"/>
          <w:sz w:val="24"/>
        </w:rPr>
        <w:t>1.1.1 本合同及其补充合同、变更协议；</w:t>
      </w:r>
    </w:p>
    <w:p w14:paraId="2953A229">
      <w:pPr>
        <w:spacing w:line="360" w:lineRule="auto"/>
        <w:ind w:firstLine="480" w:firstLineChars="200"/>
        <w:rPr>
          <w:rFonts w:ascii="仿宋_GB2312" w:hAnsi="楷体" w:eastAsia="仿宋_GB2312"/>
          <w:sz w:val="24"/>
        </w:rPr>
      </w:pPr>
      <w:r>
        <w:rPr>
          <w:rFonts w:hint="eastAsia" w:ascii="仿宋_GB2312" w:hAnsi="楷体" w:eastAsia="仿宋_GB2312"/>
          <w:sz w:val="24"/>
        </w:rPr>
        <w:t>1.1.2 中标通知书；</w:t>
      </w:r>
    </w:p>
    <w:p w14:paraId="5E7637E3">
      <w:pPr>
        <w:spacing w:line="360" w:lineRule="auto"/>
        <w:ind w:firstLine="480" w:firstLineChars="200"/>
        <w:rPr>
          <w:rFonts w:ascii="仿宋_GB2312" w:hAnsi="楷体" w:eastAsia="仿宋_GB2312"/>
          <w:sz w:val="24"/>
        </w:rPr>
      </w:pPr>
      <w:r>
        <w:rPr>
          <w:rFonts w:hint="eastAsia" w:ascii="仿宋_GB2312" w:hAnsi="楷体" w:eastAsia="仿宋_GB2312"/>
          <w:sz w:val="24"/>
        </w:rPr>
        <w:t>1.1.3 投标文件及“投标报价”（含澄清或者说明文件）；</w:t>
      </w:r>
    </w:p>
    <w:p w14:paraId="0C6F084F">
      <w:pPr>
        <w:spacing w:line="360" w:lineRule="auto"/>
        <w:ind w:firstLine="480" w:firstLineChars="200"/>
        <w:rPr>
          <w:rFonts w:ascii="仿宋_GB2312" w:hAnsi="楷体" w:eastAsia="仿宋_GB2312"/>
          <w:sz w:val="24"/>
        </w:rPr>
      </w:pPr>
      <w:r>
        <w:rPr>
          <w:rFonts w:hint="eastAsia" w:ascii="仿宋_GB2312" w:hAnsi="楷体" w:eastAsia="仿宋_GB2312"/>
          <w:sz w:val="24"/>
        </w:rPr>
        <w:t>1.1.4 招标文件（含澄清或者修改文件）；</w:t>
      </w:r>
    </w:p>
    <w:p w14:paraId="78616A3D">
      <w:pPr>
        <w:spacing w:line="360" w:lineRule="auto"/>
        <w:ind w:firstLine="480" w:firstLineChars="200"/>
        <w:rPr>
          <w:rFonts w:ascii="仿宋_GB2312" w:hAnsi="楷体" w:eastAsia="仿宋_GB2312"/>
          <w:sz w:val="24"/>
        </w:rPr>
      </w:pPr>
      <w:r>
        <w:rPr>
          <w:rFonts w:hint="eastAsia" w:ascii="仿宋_GB2312" w:hAnsi="楷体" w:eastAsia="仿宋_GB2312"/>
          <w:sz w:val="24"/>
        </w:rPr>
        <w:t>1.1.5 其他相关招标文件。</w:t>
      </w:r>
    </w:p>
    <w:p w14:paraId="04DE0A81">
      <w:pPr>
        <w:spacing w:line="360" w:lineRule="auto"/>
        <w:ind w:firstLine="482" w:firstLineChars="200"/>
        <w:rPr>
          <w:rFonts w:ascii="仿宋_GB2312" w:hAnsi="楷体" w:eastAsia="仿宋_GB2312"/>
          <w:b/>
          <w:sz w:val="24"/>
        </w:rPr>
      </w:pPr>
      <w:r>
        <w:rPr>
          <w:rFonts w:hint="eastAsia" w:ascii="仿宋_GB2312" w:hAnsi="楷体" w:eastAsia="仿宋_GB2312"/>
          <w:b/>
          <w:sz w:val="24"/>
        </w:rPr>
        <w:t>1.2 标的物</w:t>
      </w:r>
    </w:p>
    <w:p w14:paraId="12FA0D1E">
      <w:pPr>
        <w:spacing w:line="360" w:lineRule="auto"/>
        <w:ind w:firstLine="480" w:firstLineChars="200"/>
        <w:rPr>
          <w:rFonts w:ascii="仿宋_GB2312" w:hAnsi="楷体" w:eastAsia="仿宋_GB2312"/>
          <w:sz w:val="24"/>
        </w:rPr>
      </w:pPr>
      <w:r>
        <w:rPr>
          <w:rFonts w:hint="eastAsia" w:ascii="仿宋_GB2312" w:hAnsi="楷体" w:eastAsia="仿宋_GB2312"/>
          <w:sz w:val="24"/>
        </w:rPr>
        <w:t>1.2.1 标的物1信息</w:t>
      </w:r>
    </w:p>
    <w:p w14:paraId="0F144AA3">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1.2.1.1名称：</w:t>
      </w:r>
      <w:r>
        <w:rPr>
          <w:rFonts w:hint="eastAsia" w:ascii="仿宋_GB2312" w:hAnsi="楷体" w:eastAsia="仿宋_GB2312"/>
          <w:sz w:val="24"/>
          <w:u w:val="single"/>
        </w:rPr>
        <w:t xml:space="preserve">          </w:t>
      </w:r>
      <w:r>
        <w:rPr>
          <w:rFonts w:hint="eastAsia" w:ascii="仿宋_GB2312" w:hAnsi="楷体" w:eastAsia="仿宋_GB2312"/>
          <w:sz w:val="24"/>
        </w:rPr>
        <w:t>；</w:t>
      </w:r>
    </w:p>
    <w:p w14:paraId="7A88FA40">
      <w:pPr>
        <w:spacing w:line="360" w:lineRule="auto"/>
        <w:ind w:firstLine="480" w:firstLineChars="200"/>
        <w:rPr>
          <w:rFonts w:ascii="仿宋_GB2312" w:hAnsi="楷体" w:eastAsia="仿宋_GB2312"/>
          <w:sz w:val="24"/>
        </w:rPr>
      </w:pPr>
      <w:r>
        <w:rPr>
          <w:rFonts w:hint="eastAsia" w:ascii="仿宋_GB2312" w:hAnsi="楷体" w:eastAsia="仿宋_GB2312"/>
          <w:sz w:val="24"/>
        </w:rPr>
        <w:t>1.2.1.2数量：</w:t>
      </w:r>
      <w:r>
        <w:rPr>
          <w:rFonts w:hint="eastAsia" w:ascii="仿宋_GB2312" w:hAnsi="楷体" w:eastAsia="仿宋_GB2312"/>
          <w:sz w:val="24"/>
          <w:u w:val="single"/>
        </w:rPr>
        <w:t xml:space="preserve">          </w:t>
      </w:r>
      <w:r>
        <w:rPr>
          <w:rFonts w:hint="eastAsia" w:ascii="仿宋_GB2312" w:hAnsi="楷体" w:eastAsia="仿宋_GB2312"/>
          <w:sz w:val="24"/>
        </w:rPr>
        <w:t>；</w:t>
      </w:r>
    </w:p>
    <w:p w14:paraId="383EF5F9">
      <w:pPr>
        <w:spacing w:line="360" w:lineRule="auto"/>
        <w:ind w:firstLine="480" w:firstLineChars="200"/>
        <w:rPr>
          <w:rFonts w:ascii="仿宋_GB2312" w:hAnsi="楷体" w:eastAsia="仿宋_GB2312"/>
          <w:color w:val="0D0D0D"/>
          <w:sz w:val="24"/>
        </w:rPr>
      </w:pPr>
      <w:r>
        <w:rPr>
          <w:rFonts w:hint="eastAsia" w:ascii="仿宋_GB2312" w:hAnsi="楷体" w:eastAsia="仿宋_GB2312"/>
          <w:color w:val="0D0D0D"/>
          <w:sz w:val="24"/>
        </w:rPr>
        <w:t>1.2.1.3质量：</w:t>
      </w:r>
      <w:r>
        <w:rPr>
          <w:rFonts w:hint="eastAsia" w:ascii="仿宋_GB2312" w:hAnsi="楷体" w:eastAsia="仿宋_GB2312"/>
          <w:color w:val="0D0D0D"/>
          <w:sz w:val="24"/>
          <w:u w:val="single"/>
        </w:rPr>
        <w:t xml:space="preserve">　        </w:t>
      </w:r>
      <w:r>
        <w:rPr>
          <w:rFonts w:hint="eastAsia" w:ascii="仿宋_GB2312" w:hAnsi="楷体" w:eastAsia="仿宋_GB2312"/>
          <w:color w:val="0D0D0D"/>
          <w:sz w:val="24"/>
        </w:rPr>
        <w:t>。</w:t>
      </w:r>
    </w:p>
    <w:p w14:paraId="4E1E9804">
      <w:pPr>
        <w:spacing w:line="360" w:lineRule="auto"/>
        <w:ind w:firstLine="480" w:firstLineChars="200"/>
        <w:rPr>
          <w:rFonts w:ascii="仿宋_GB2312" w:hAnsi="楷体" w:eastAsia="仿宋_GB2312"/>
          <w:sz w:val="24"/>
        </w:rPr>
      </w:pPr>
      <w:r>
        <w:rPr>
          <w:rFonts w:hint="eastAsia" w:ascii="仿宋_GB2312" w:hAnsi="楷体" w:eastAsia="仿宋_GB2312"/>
          <w:color w:val="0D0D0D"/>
          <w:sz w:val="24"/>
        </w:rPr>
        <w:t>……</w:t>
      </w:r>
    </w:p>
    <w:p w14:paraId="310E6EF2">
      <w:pPr>
        <w:spacing w:line="360" w:lineRule="auto"/>
        <w:ind w:firstLine="482" w:firstLineChars="200"/>
        <w:rPr>
          <w:rFonts w:ascii="仿宋_GB2312" w:hAnsi="楷体" w:eastAsia="仿宋_GB2312"/>
          <w:b/>
          <w:sz w:val="24"/>
        </w:rPr>
      </w:pPr>
      <w:r>
        <w:rPr>
          <w:rFonts w:hint="eastAsia" w:ascii="仿宋_GB2312" w:hAnsi="楷体" w:eastAsia="仿宋_GB2312"/>
          <w:b/>
          <w:sz w:val="24"/>
        </w:rPr>
        <w:t>1.3 价款</w:t>
      </w:r>
    </w:p>
    <w:p w14:paraId="34B97E62">
      <w:pPr>
        <w:spacing w:line="360" w:lineRule="auto"/>
        <w:ind w:firstLine="480" w:firstLineChars="200"/>
        <w:rPr>
          <w:rFonts w:ascii="仿宋_GB2312" w:hAnsi="楷体" w:eastAsia="仿宋_GB2312"/>
          <w:sz w:val="24"/>
        </w:rPr>
      </w:pPr>
      <w:r>
        <w:rPr>
          <w:rFonts w:hint="eastAsia" w:ascii="仿宋_GB2312" w:hAnsi="楷体" w:eastAsia="仿宋_GB2312"/>
          <w:sz w:val="24"/>
        </w:rPr>
        <w:t>本合同总价为：人民币</w:t>
      </w:r>
      <w:r>
        <w:rPr>
          <w:rFonts w:hint="eastAsia" w:ascii="仿宋_GB2312" w:hAnsi="楷体" w:eastAsia="仿宋_GB2312"/>
          <w:sz w:val="24"/>
          <w:u w:val="single"/>
        </w:rPr>
        <w:t xml:space="preserve">           </w:t>
      </w:r>
      <w:r>
        <w:rPr>
          <w:rFonts w:hint="eastAsia" w:ascii="仿宋_GB2312" w:hAnsi="楷体" w:eastAsia="仿宋_GB2312"/>
          <w:sz w:val="24"/>
        </w:rPr>
        <w:t>元（大写：</w:t>
      </w:r>
      <w:r>
        <w:rPr>
          <w:rFonts w:hint="eastAsia" w:ascii="仿宋_GB2312" w:hAnsi="楷体" w:eastAsia="仿宋_GB2312"/>
          <w:sz w:val="24"/>
          <w:u w:val="single"/>
        </w:rPr>
        <w:t xml:space="preserve">                 </w:t>
      </w:r>
      <w:r>
        <w:rPr>
          <w:rFonts w:hint="eastAsia" w:ascii="仿宋_GB2312" w:hAnsi="楷体" w:eastAsia="仿宋_GB2312"/>
          <w:sz w:val="24"/>
        </w:rPr>
        <w:t>元人民币，含税）。</w:t>
      </w:r>
    </w:p>
    <w:p w14:paraId="4ED23C5B">
      <w:pPr>
        <w:spacing w:line="360" w:lineRule="auto"/>
        <w:ind w:firstLine="480" w:firstLineChars="200"/>
        <w:rPr>
          <w:rFonts w:ascii="仿宋" w:hAnsi="仿宋" w:eastAsia="仿宋" w:cs="仿宋"/>
          <w:sz w:val="24"/>
        </w:rPr>
      </w:pPr>
      <w:r>
        <w:rPr>
          <w:rFonts w:hint="eastAsia" w:ascii="仿宋" w:hAnsi="仿宋" w:eastAsia="仿宋" w:cs="仿宋"/>
          <w:sz w:val="24"/>
          <w:lang w:bidi="ar"/>
        </w:rPr>
        <w:t>其中增值税税款为</w:t>
      </w:r>
      <w:r>
        <w:rPr>
          <w:rFonts w:hint="eastAsia" w:ascii="仿宋" w:hAnsi="仿宋" w:eastAsia="仿宋" w:cs="仿宋"/>
          <w:sz w:val="24"/>
          <w:u w:val="single"/>
          <w:lang w:bidi="ar"/>
        </w:rPr>
        <w:t xml:space="preserve">                        </w:t>
      </w:r>
      <w:r>
        <w:rPr>
          <w:rFonts w:hint="eastAsia" w:ascii="仿宋" w:hAnsi="仿宋" w:eastAsia="仿宋" w:cs="仿宋"/>
          <w:sz w:val="24"/>
          <w:lang w:bidi="ar"/>
        </w:rPr>
        <w:t>元。如国家税收政策变化，导致增值税税率调整的，则按照调整后的税率开具增值税发票。</w:t>
      </w:r>
    </w:p>
    <w:p w14:paraId="11170FB8">
      <w:pPr>
        <w:spacing w:line="360" w:lineRule="auto"/>
        <w:ind w:firstLine="480" w:firstLineChars="200"/>
        <w:rPr>
          <w:rFonts w:ascii="仿宋" w:hAnsi="仿宋" w:eastAsia="仿宋" w:cs="仿宋"/>
          <w:color w:val="FF0000"/>
          <w:sz w:val="24"/>
          <w:lang w:bidi="ar"/>
        </w:rPr>
      </w:pPr>
      <w:r>
        <w:rPr>
          <w:rFonts w:hint="eastAsia" w:ascii="仿宋" w:hAnsi="仿宋" w:eastAsia="仿宋" w:cs="仿宋"/>
          <w:sz w:val="24"/>
          <w:lang w:bidi="ar"/>
        </w:rPr>
        <w:t>（增值税税款金额由中标人根据本公司实际情况填写）</w:t>
      </w:r>
    </w:p>
    <w:p w14:paraId="06C9FBEC">
      <w:pPr>
        <w:spacing w:line="360" w:lineRule="auto"/>
        <w:ind w:firstLine="480" w:firstLineChars="200"/>
        <w:rPr>
          <w:rFonts w:ascii="仿宋_GB2312" w:hAnsi="楷体" w:eastAsia="仿宋_GB2312"/>
          <w:sz w:val="24"/>
          <w:u w:val="single"/>
        </w:rPr>
      </w:pPr>
      <w:r>
        <w:rPr>
          <w:rFonts w:hint="eastAsia" w:ascii="仿宋_GB2312" w:hAnsi="楷体" w:eastAsia="仿宋_GB2312"/>
          <w:sz w:val="24"/>
        </w:rPr>
        <w:t>分项价格：</w:t>
      </w:r>
    </w:p>
    <w:tbl>
      <w:tblPr>
        <w:tblStyle w:val="35"/>
        <w:tblW w:w="814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67"/>
        <w:gridCol w:w="4440"/>
        <w:gridCol w:w="2341"/>
      </w:tblGrid>
      <w:tr w14:paraId="269EA5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5C0049A5">
            <w:pPr>
              <w:spacing w:line="360" w:lineRule="auto"/>
              <w:ind w:firstLine="480" w:firstLineChars="200"/>
              <w:rPr>
                <w:rFonts w:ascii="仿宋_GB2312" w:hAnsi="楷体" w:eastAsia="仿宋_GB2312"/>
                <w:sz w:val="24"/>
              </w:rPr>
            </w:pPr>
            <w:r>
              <w:rPr>
                <w:rFonts w:hint="eastAsia" w:ascii="仿宋_GB2312" w:hAnsi="楷体" w:eastAsia="仿宋_GB2312"/>
                <w:sz w:val="24"/>
              </w:rPr>
              <w:t>序号</w:t>
            </w:r>
          </w:p>
        </w:tc>
        <w:tc>
          <w:tcPr>
            <w:tcW w:w="4440" w:type="dxa"/>
            <w:tcBorders>
              <w:top w:val="single" w:color="auto" w:sz="4" w:space="0"/>
              <w:left w:val="single" w:color="auto" w:sz="4" w:space="0"/>
              <w:bottom w:val="single" w:color="auto" w:sz="4" w:space="0"/>
              <w:right w:val="single" w:color="auto" w:sz="4" w:space="0"/>
            </w:tcBorders>
            <w:vAlign w:val="center"/>
          </w:tcPr>
          <w:p w14:paraId="712B90E8">
            <w:pPr>
              <w:spacing w:line="360" w:lineRule="auto"/>
              <w:ind w:firstLine="480" w:firstLineChars="200"/>
              <w:rPr>
                <w:rFonts w:ascii="仿宋_GB2312" w:hAnsi="楷体" w:eastAsia="仿宋_GB2312"/>
                <w:sz w:val="24"/>
              </w:rPr>
            </w:pPr>
            <w:r>
              <w:rPr>
                <w:rFonts w:hint="eastAsia" w:ascii="仿宋_GB2312" w:hAnsi="楷体" w:eastAsia="仿宋_GB2312"/>
                <w:sz w:val="24"/>
              </w:rPr>
              <w:t>分项名称</w:t>
            </w:r>
          </w:p>
        </w:tc>
        <w:tc>
          <w:tcPr>
            <w:tcW w:w="2341" w:type="dxa"/>
            <w:tcBorders>
              <w:top w:val="single" w:color="auto" w:sz="4" w:space="0"/>
              <w:left w:val="single" w:color="auto" w:sz="4" w:space="0"/>
              <w:bottom w:val="single" w:color="auto" w:sz="4" w:space="0"/>
              <w:right w:val="single" w:color="auto" w:sz="4" w:space="0"/>
            </w:tcBorders>
            <w:vAlign w:val="center"/>
          </w:tcPr>
          <w:p w14:paraId="2B73B436">
            <w:pPr>
              <w:spacing w:line="360" w:lineRule="auto"/>
              <w:ind w:firstLine="480" w:firstLineChars="200"/>
              <w:rPr>
                <w:rFonts w:ascii="仿宋_GB2312" w:hAnsi="楷体" w:eastAsia="仿宋_GB2312"/>
                <w:sz w:val="24"/>
              </w:rPr>
            </w:pPr>
            <w:r>
              <w:rPr>
                <w:rFonts w:hint="eastAsia" w:ascii="仿宋_GB2312" w:hAnsi="楷体" w:eastAsia="仿宋_GB2312"/>
                <w:sz w:val="24"/>
              </w:rPr>
              <w:t>分项价格</w:t>
            </w:r>
          </w:p>
        </w:tc>
      </w:tr>
      <w:tr w14:paraId="25DFA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4739F510">
            <w:pPr>
              <w:spacing w:line="360" w:lineRule="auto"/>
              <w:ind w:firstLine="480" w:firstLineChars="200"/>
              <w:rPr>
                <w:rFonts w:ascii="仿宋_GB2312" w:hAnsi="楷体" w:eastAsia="仿宋_GB2312"/>
                <w:sz w:val="24"/>
              </w:rPr>
            </w:pPr>
            <w:r>
              <w:rPr>
                <w:rFonts w:hint="eastAsia" w:ascii="仿宋_GB2312" w:hAnsi="楷体" w:eastAsia="仿宋_GB2312"/>
                <w:sz w:val="24"/>
              </w:rPr>
              <w:t>1</w:t>
            </w:r>
          </w:p>
        </w:tc>
        <w:tc>
          <w:tcPr>
            <w:tcW w:w="4440" w:type="dxa"/>
            <w:tcBorders>
              <w:top w:val="single" w:color="auto" w:sz="4" w:space="0"/>
              <w:left w:val="single" w:color="auto" w:sz="4" w:space="0"/>
              <w:bottom w:val="single" w:color="auto" w:sz="4" w:space="0"/>
              <w:right w:val="single" w:color="auto" w:sz="4" w:space="0"/>
            </w:tcBorders>
            <w:vAlign w:val="center"/>
          </w:tcPr>
          <w:p w14:paraId="66482A2A">
            <w:pPr>
              <w:spacing w:line="360" w:lineRule="auto"/>
              <w:rPr>
                <w:rFonts w:ascii="仿宋_GB2312" w:hAnsi="楷体" w:eastAsia="仿宋_GB2312"/>
                <w:sz w:val="24"/>
              </w:rPr>
            </w:pPr>
          </w:p>
        </w:tc>
        <w:tc>
          <w:tcPr>
            <w:tcW w:w="2341" w:type="dxa"/>
            <w:tcBorders>
              <w:top w:val="single" w:color="auto" w:sz="4" w:space="0"/>
              <w:left w:val="single" w:color="auto" w:sz="4" w:space="0"/>
              <w:bottom w:val="single" w:color="auto" w:sz="4" w:space="0"/>
              <w:right w:val="single" w:color="auto" w:sz="4" w:space="0"/>
            </w:tcBorders>
            <w:vAlign w:val="center"/>
          </w:tcPr>
          <w:p w14:paraId="7448AA4E">
            <w:pPr>
              <w:spacing w:line="360" w:lineRule="auto"/>
              <w:ind w:firstLine="480" w:firstLineChars="200"/>
              <w:rPr>
                <w:rFonts w:ascii="仿宋_GB2312" w:hAnsi="楷体" w:eastAsia="仿宋_GB2312"/>
                <w:sz w:val="24"/>
              </w:rPr>
            </w:pPr>
          </w:p>
        </w:tc>
      </w:tr>
      <w:tr w14:paraId="5731552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367" w:type="dxa"/>
            <w:tcBorders>
              <w:top w:val="single" w:color="auto" w:sz="4" w:space="0"/>
              <w:left w:val="single" w:color="auto" w:sz="4" w:space="0"/>
              <w:bottom w:val="single" w:color="auto" w:sz="4" w:space="0"/>
              <w:right w:val="single" w:color="auto" w:sz="4" w:space="0"/>
            </w:tcBorders>
            <w:vAlign w:val="center"/>
          </w:tcPr>
          <w:p w14:paraId="09705814">
            <w:pPr>
              <w:spacing w:line="360" w:lineRule="auto"/>
              <w:ind w:firstLine="480" w:firstLineChars="200"/>
              <w:rPr>
                <w:rFonts w:ascii="仿宋_GB2312" w:hAnsi="楷体" w:eastAsia="仿宋_GB2312"/>
                <w:sz w:val="24"/>
              </w:rPr>
            </w:pPr>
            <w:r>
              <w:rPr>
                <w:rFonts w:hint="eastAsia" w:ascii="仿宋_GB2312" w:hAnsi="楷体" w:eastAsia="仿宋_GB2312"/>
                <w:sz w:val="24"/>
              </w:rPr>
              <w:t>2</w:t>
            </w:r>
          </w:p>
        </w:tc>
        <w:tc>
          <w:tcPr>
            <w:tcW w:w="4440" w:type="dxa"/>
            <w:tcBorders>
              <w:top w:val="single" w:color="auto" w:sz="4" w:space="0"/>
              <w:left w:val="single" w:color="auto" w:sz="4" w:space="0"/>
              <w:bottom w:val="single" w:color="auto" w:sz="4" w:space="0"/>
              <w:right w:val="single" w:color="auto" w:sz="4" w:space="0"/>
            </w:tcBorders>
            <w:vAlign w:val="center"/>
          </w:tcPr>
          <w:p w14:paraId="6B373BDF">
            <w:pPr>
              <w:spacing w:line="360" w:lineRule="auto"/>
              <w:rPr>
                <w:rFonts w:ascii="仿宋_GB2312" w:hAnsi="楷体" w:eastAsia="仿宋_GB2312"/>
                <w:sz w:val="24"/>
              </w:rPr>
            </w:pPr>
          </w:p>
        </w:tc>
        <w:tc>
          <w:tcPr>
            <w:tcW w:w="2341" w:type="dxa"/>
            <w:tcBorders>
              <w:top w:val="single" w:color="auto" w:sz="4" w:space="0"/>
              <w:left w:val="single" w:color="auto" w:sz="4" w:space="0"/>
              <w:bottom w:val="single" w:color="auto" w:sz="4" w:space="0"/>
              <w:right w:val="single" w:color="auto" w:sz="4" w:space="0"/>
            </w:tcBorders>
            <w:vAlign w:val="center"/>
          </w:tcPr>
          <w:p w14:paraId="52692463">
            <w:pPr>
              <w:spacing w:line="360" w:lineRule="auto"/>
              <w:ind w:firstLine="480" w:firstLineChars="200"/>
              <w:rPr>
                <w:rFonts w:ascii="仿宋_GB2312" w:hAnsi="楷体" w:eastAsia="仿宋_GB2312"/>
                <w:sz w:val="24"/>
              </w:rPr>
            </w:pPr>
          </w:p>
        </w:tc>
      </w:tr>
      <w:tr w14:paraId="25587F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5807" w:type="dxa"/>
            <w:gridSpan w:val="2"/>
            <w:tcBorders>
              <w:top w:val="single" w:color="auto" w:sz="4" w:space="0"/>
              <w:left w:val="single" w:color="auto" w:sz="4" w:space="0"/>
              <w:bottom w:val="single" w:color="auto" w:sz="4" w:space="0"/>
              <w:right w:val="single" w:color="auto" w:sz="4" w:space="0"/>
            </w:tcBorders>
            <w:vAlign w:val="center"/>
          </w:tcPr>
          <w:p w14:paraId="12F6EFBF">
            <w:pPr>
              <w:spacing w:line="360" w:lineRule="auto"/>
              <w:ind w:firstLine="480" w:firstLineChars="200"/>
              <w:rPr>
                <w:rFonts w:ascii="仿宋_GB2312" w:hAnsi="楷体" w:eastAsia="仿宋_GB2312"/>
                <w:sz w:val="24"/>
              </w:rPr>
            </w:pPr>
            <w:r>
              <w:rPr>
                <w:rFonts w:hint="eastAsia" w:ascii="仿宋_GB2312" w:hAnsi="楷体" w:eastAsia="仿宋_GB2312"/>
                <w:sz w:val="24"/>
              </w:rPr>
              <w:t>总价</w:t>
            </w:r>
          </w:p>
        </w:tc>
        <w:tc>
          <w:tcPr>
            <w:tcW w:w="2341" w:type="dxa"/>
            <w:tcBorders>
              <w:top w:val="single" w:color="auto" w:sz="4" w:space="0"/>
              <w:left w:val="single" w:color="auto" w:sz="4" w:space="0"/>
              <w:bottom w:val="single" w:color="auto" w:sz="4" w:space="0"/>
              <w:right w:val="single" w:color="auto" w:sz="4" w:space="0"/>
            </w:tcBorders>
            <w:vAlign w:val="center"/>
          </w:tcPr>
          <w:p w14:paraId="53CBF384">
            <w:pPr>
              <w:spacing w:line="360" w:lineRule="auto"/>
              <w:ind w:firstLine="480" w:firstLineChars="200"/>
              <w:rPr>
                <w:rFonts w:ascii="仿宋_GB2312" w:hAnsi="楷体" w:eastAsia="仿宋_GB2312"/>
                <w:sz w:val="24"/>
              </w:rPr>
            </w:pPr>
          </w:p>
        </w:tc>
      </w:tr>
    </w:tbl>
    <w:p w14:paraId="22848AEB">
      <w:pPr>
        <w:spacing w:line="360" w:lineRule="auto"/>
        <w:ind w:firstLine="482" w:firstLineChars="200"/>
        <w:rPr>
          <w:rFonts w:ascii="仿宋_GB2312" w:hAnsi="楷体" w:eastAsia="仿宋_GB2312"/>
          <w:b/>
          <w:sz w:val="24"/>
        </w:rPr>
      </w:pPr>
      <w:r>
        <w:rPr>
          <w:rFonts w:hint="eastAsia" w:ascii="仿宋_GB2312" w:hAnsi="楷体" w:eastAsia="仿宋_GB2312"/>
          <w:b/>
          <w:sz w:val="24"/>
        </w:rPr>
        <w:t>1.4 付款方式和发票开具方式</w:t>
      </w:r>
    </w:p>
    <w:p w14:paraId="25694CEF">
      <w:pPr>
        <w:spacing w:line="360" w:lineRule="auto"/>
        <w:ind w:firstLine="480" w:firstLineChars="200"/>
        <w:rPr>
          <w:rFonts w:ascii="仿宋_GB2312" w:hAnsi="楷体" w:eastAsia="仿宋_GB2312"/>
          <w:color w:val="0D0D0D"/>
          <w:sz w:val="24"/>
        </w:rPr>
      </w:pPr>
      <w:r>
        <w:rPr>
          <w:rFonts w:hint="eastAsia" w:ascii="仿宋_GB2312" w:hAnsi="楷体" w:eastAsia="仿宋_GB2312"/>
          <w:color w:val="0D0D0D"/>
          <w:sz w:val="24"/>
        </w:rPr>
        <w:t>1.4.1付款方式：合同签订生效后，甲方支付合同总金额的30%作为预付款，乙方提交本项目所有成果资料并通过甲方验收后，甲方一次性支付剩余合同款。</w:t>
      </w:r>
    </w:p>
    <w:p w14:paraId="09C46321">
      <w:pPr>
        <w:spacing w:line="360" w:lineRule="auto"/>
        <w:ind w:firstLine="480" w:firstLineChars="200"/>
        <w:rPr>
          <w:rFonts w:ascii="仿宋_GB2312" w:hAnsi="楷体" w:eastAsia="仿宋_GB2312"/>
          <w:sz w:val="24"/>
        </w:rPr>
      </w:pPr>
      <w:r>
        <w:rPr>
          <w:rFonts w:hint="eastAsia" w:ascii="仿宋_GB2312" w:hAnsi="楷体" w:eastAsia="仿宋_GB2312"/>
          <w:color w:val="0D0D0D"/>
          <w:sz w:val="24"/>
        </w:rPr>
        <w:t>1.4.2 发票开具方式：</w:t>
      </w:r>
      <w:r>
        <w:rPr>
          <w:rFonts w:hint="eastAsia" w:ascii="仿宋_GB2312" w:hAnsi="楷体" w:eastAsia="仿宋_GB2312"/>
          <w:color w:val="0D0D0D"/>
          <w:sz w:val="24"/>
          <w:u w:val="single"/>
        </w:rPr>
        <w:t xml:space="preserve">                                            </w:t>
      </w:r>
      <w:r>
        <w:rPr>
          <w:rFonts w:hint="eastAsia" w:ascii="仿宋_GB2312" w:hAnsi="楷体" w:eastAsia="仿宋_GB2312"/>
          <w:color w:val="0D0D0D"/>
          <w:sz w:val="24"/>
        </w:rPr>
        <w:t>。</w:t>
      </w:r>
    </w:p>
    <w:p w14:paraId="071737B7">
      <w:pPr>
        <w:spacing w:line="360" w:lineRule="auto"/>
        <w:ind w:firstLine="482" w:firstLineChars="200"/>
        <w:rPr>
          <w:rFonts w:ascii="仿宋_GB2312" w:hAnsi="楷体" w:eastAsia="仿宋_GB2312"/>
          <w:b/>
          <w:sz w:val="24"/>
        </w:rPr>
      </w:pPr>
      <w:r>
        <w:rPr>
          <w:rFonts w:hint="eastAsia" w:ascii="仿宋_GB2312" w:hAnsi="楷体" w:eastAsia="仿宋_GB2312"/>
          <w:b/>
          <w:sz w:val="24"/>
        </w:rPr>
        <w:t>1.5 服务期限、地点</w:t>
      </w:r>
    </w:p>
    <w:p w14:paraId="6AB483C3">
      <w:pPr>
        <w:spacing w:line="360" w:lineRule="auto"/>
        <w:ind w:firstLine="480" w:firstLineChars="200"/>
        <w:rPr>
          <w:rFonts w:ascii="仿宋_GB2312" w:hAnsi="楷体" w:eastAsia="仿宋_GB2312"/>
          <w:color w:val="0D0D0D"/>
          <w:sz w:val="24"/>
          <w:u w:val="single"/>
        </w:rPr>
      </w:pPr>
      <w:r>
        <w:rPr>
          <w:rFonts w:hint="eastAsia" w:ascii="仿宋_GB2312" w:hAnsi="楷体" w:eastAsia="仿宋_GB2312"/>
          <w:color w:val="0D0D0D"/>
          <w:sz w:val="24"/>
        </w:rPr>
        <w:t>1.5.1 交付期限：</w:t>
      </w:r>
      <w:r>
        <w:rPr>
          <w:rFonts w:hint="eastAsia" w:ascii="仿宋_GB2312" w:hAnsi="楷体" w:eastAsia="仿宋_GB2312"/>
          <w:color w:val="0D0D0D"/>
          <w:sz w:val="24"/>
          <w:u w:val="single"/>
        </w:rPr>
        <w:t xml:space="preserve">                                                 ；</w:t>
      </w:r>
    </w:p>
    <w:p w14:paraId="4C9D91B5">
      <w:pPr>
        <w:spacing w:line="360" w:lineRule="auto"/>
        <w:ind w:firstLine="480" w:firstLineChars="200"/>
        <w:rPr>
          <w:rFonts w:ascii="仿宋_GB2312" w:hAnsi="楷体" w:eastAsia="仿宋_GB2312"/>
          <w:color w:val="0D0D0D"/>
          <w:sz w:val="24"/>
        </w:rPr>
      </w:pPr>
      <w:r>
        <w:rPr>
          <w:rFonts w:hint="eastAsia" w:ascii="仿宋_GB2312" w:hAnsi="楷体" w:eastAsia="仿宋_GB2312"/>
          <w:color w:val="0D0D0D"/>
          <w:sz w:val="24"/>
        </w:rPr>
        <w:t>1.5.2 交付地点：</w:t>
      </w:r>
      <w:r>
        <w:rPr>
          <w:rFonts w:hint="eastAsia" w:ascii="仿宋_GB2312" w:hAnsi="楷体" w:eastAsia="仿宋_GB2312"/>
          <w:color w:val="0D0D0D"/>
          <w:sz w:val="24"/>
          <w:u w:val="single"/>
        </w:rPr>
        <w:t xml:space="preserve">                                                </w:t>
      </w:r>
      <w:r>
        <w:rPr>
          <w:rFonts w:hint="eastAsia" w:ascii="仿宋_GB2312" w:hAnsi="楷体" w:eastAsia="仿宋_GB2312"/>
          <w:color w:val="0D0D0D"/>
          <w:sz w:val="24"/>
        </w:rPr>
        <w:t>；</w:t>
      </w:r>
    </w:p>
    <w:p w14:paraId="53D0FA76">
      <w:pPr>
        <w:spacing w:line="360" w:lineRule="auto"/>
        <w:ind w:firstLine="480" w:firstLineChars="200"/>
        <w:rPr>
          <w:rFonts w:ascii="仿宋_GB2312" w:hAnsi="楷体" w:eastAsia="仿宋_GB2312"/>
          <w:color w:val="0D0D0D"/>
          <w:sz w:val="24"/>
        </w:rPr>
      </w:pPr>
      <w:r>
        <w:rPr>
          <w:rFonts w:hint="eastAsia" w:ascii="仿宋_GB2312" w:hAnsi="楷体" w:eastAsia="仿宋_GB2312"/>
          <w:color w:val="0D0D0D"/>
          <w:sz w:val="24"/>
        </w:rPr>
        <w:t>1.5.3 交付方式：</w:t>
      </w:r>
      <w:r>
        <w:rPr>
          <w:rFonts w:hint="eastAsia" w:ascii="仿宋_GB2312" w:hAnsi="楷体" w:eastAsia="仿宋_GB2312"/>
          <w:color w:val="0D0D0D"/>
          <w:sz w:val="24"/>
          <w:u w:val="single"/>
        </w:rPr>
        <w:t xml:space="preserve">                                        　      </w:t>
      </w:r>
      <w:r>
        <w:rPr>
          <w:rFonts w:hint="eastAsia" w:ascii="仿宋_GB2312" w:hAnsi="楷体" w:eastAsia="仿宋_GB2312"/>
          <w:color w:val="0D0D0D"/>
          <w:sz w:val="24"/>
        </w:rPr>
        <w:t>；</w:t>
      </w:r>
    </w:p>
    <w:p w14:paraId="0B297169">
      <w:pPr>
        <w:spacing w:line="360" w:lineRule="auto"/>
        <w:ind w:firstLine="480" w:firstLineChars="200"/>
        <w:rPr>
          <w:rFonts w:ascii="仿宋_GB2312" w:hAnsi="楷体" w:eastAsia="仿宋_GB2312"/>
          <w:color w:val="0D0D0D"/>
          <w:sz w:val="24"/>
        </w:rPr>
      </w:pPr>
      <w:r>
        <w:rPr>
          <w:rFonts w:hint="eastAsia" w:ascii="仿宋_GB2312" w:hAnsi="楷体" w:eastAsia="仿宋_GB2312"/>
          <w:color w:val="0D0D0D"/>
          <w:sz w:val="24"/>
        </w:rPr>
        <w:t>1.5.4 服务及质保期限：</w:t>
      </w:r>
      <w:r>
        <w:rPr>
          <w:rFonts w:hint="eastAsia" w:ascii="仿宋_GB2312" w:hAnsi="楷体" w:eastAsia="仿宋_GB2312"/>
          <w:color w:val="0D0D0D"/>
          <w:sz w:val="24"/>
          <w:u w:val="single"/>
        </w:rPr>
        <w:t xml:space="preserve">                                           </w:t>
      </w:r>
      <w:r>
        <w:rPr>
          <w:rFonts w:hint="eastAsia" w:ascii="仿宋_GB2312" w:hAnsi="楷体" w:eastAsia="仿宋_GB2312"/>
          <w:color w:val="0D0D0D"/>
          <w:sz w:val="24"/>
        </w:rPr>
        <w:t>。</w:t>
      </w:r>
    </w:p>
    <w:p w14:paraId="5CB663BD">
      <w:pPr>
        <w:spacing w:line="360" w:lineRule="auto"/>
        <w:ind w:firstLine="482" w:firstLineChars="200"/>
        <w:rPr>
          <w:rFonts w:ascii="仿宋_GB2312" w:hAnsi="楷体" w:eastAsia="仿宋_GB2312"/>
          <w:b/>
          <w:sz w:val="24"/>
        </w:rPr>
      </w:pPr>
      <w:r>
        <w:rPr>
          <w:rFonts w:hint="eastAsia" w:ascii="仿宋_GB2312" w:hAnsi="楷体" w:eastAsia="仿宋_GB2312"/>
          <w:b/>
          <w:sz w:val="24"/>
        </w:rPr>
        <w:t>1.6 违约责任</w:t>
      </w:r>
    </w:p>
    <w:p w14:paraId="0ECD6C5B">
      <w:pPr>
        <w:spacing w:line="360" w:lineRule="auto"/>
        <w:ind w:firstLine="480" w:firstLineChars="200"/>
        <w:rPr>
          <w:rFonts w:ascii="仿宋_GB2312" w:hAnsi="楷体" w:eastAsia="仿宋_GB2312"/>
          <w:sz w:val="24"/>
        </w:rPr>
      </w:pPr>
      <w:r>
        <w:rPr>
          <w:rFonts w:hint="eastAsia" w:ascii="仿宋_GB2312" w:hAnsi="楷体" w:eastAsia="仿宋_GB2312"/>
          <w:sz w:val="24"/>
        </w:rPr>
        <w:t>1.6.1 除不可抗力外，如果乙方没有按照本合同约定的服务期限、地点提供服务，甲方可要求乙方支付违约金，每迟延提供服务一日的违约金按合同总价的</w:t>
      </w:r>
      <w:r>
        <w:rPr>
          <w:rFonts w:hint="eastAsia" w:ascii="仿宋_GB2312" w:hAnsi="楷体" w:eastAsia="仿宋_GB2312"/>
          <w:sz w:val="24"/>
          <w:u w:val="single"/>
        </w:rPr>
        <w:t>万分之五</w:t>
      </w:r>
      <w:r>
        <w:rPr>
          <w:rFonts w:hint="eastAsia" w:ascii="仿宋_GB2312" w:hAnsi="楷体" w:eastAsia="仿宋_GB2312"/>
          <w:sz w:val="24"/>
        </w:rPr>
        <w:t>计算，最高限额为本合同总价的</w:t>
      </w:r>
      <w:r>
        <w:rPr>
          <w:rFonts w:hint="eastAsia" w:ascii="仿宋_GB2312" w:hAnsi="楷体" w:eastAsia="仿宋_GB2312"/>
          <w:sz w:val="24"/>
          <w:u w:val="single"/>
        </w:rPr>
        <w:t>20</w:t>
      </w:r>
      <w:r>
        <w:rPr>
          <w:rFonts w:hint="eastAsia" w:ascii="仿宋_GB2312" w:hAnsi="楷体" w:eastAsia="仿宋_GB2312"/>
          <w:sz w:val="24"/>
        </w:rPr>
        <w:t>%；迟延超过【20】日的，甲方有权在要求乙方支付违约金的同时，书面通知乙方解除本合同，乙方应退回全部已收取的合同价款并按合同总金额的</w:t>
      </w:r>
      <w:r>
        <w:rPr>
          <w:rFonts w:hint="eastAsia" w:ascii="仿宋_GB2312" w:hAnsi="楷体" w:eastAsia="仿宋_GB2312"/>
          <w:sz w:val="24"/>
          <w:u w:val="single"/>
        </w:rPr>
        <w:t>20%</w:t>
      </w:r>
      <w:r>
        <w:rPr>
          <w:rFonts w:hint="eastAsia" w:ascii="仿宋_GB2312" w:hAnsi="楷体" w:eastAsia="仿宋_GB2312"/>
          <w:sz w:val="24"/>
        </w:rPr>
        <w:t>向甲方支付违约金；</w:t>
      </w:r>
    </w:p>
    <w:p w14:paraId="5D86DCE8">
      <w:pPr>
        <w:spacing w:line="360" w:lineRule="auto"/>
        <w:ind w:firstLine="480" w:firstLineChars="200"/>
        <w:rPr>
          <w:rFonts w:ascii="仿宋_GB2312" w:hAnsi="楷体" w:eastAsia="仿宋_GB2312"/>
          <w:sz w:val="24"/>
        </w:rPr>
      </w:pPr>
      <w:r>
        <w:rPr>
          <w:rFonts w:hint="eastAsia" w:ascii="仿宋_GB2312" w:hAnsi="楷体" w:eastAsia="仿宋_GB2312"/>
          <w:sz w:val="24"/>
        </w:rPr>
        <w:t>1.6.2 除不可抗力外，如果甲方没有按照本合同约定的付款方式付款，乙方可要求甲方支付违约金，违约金按每迟延付款一日的应付而未付款的</w:t>
      </w:r>
      <w:r>
        <w:rPr>
          <w:rFonts w:hint="eastAsia" w:ascii="仿宋_GB2312" w:hAnsi="楷体" w:eastAsia="仿宋_GB2312"/>
          <w:sz w:val="24"/>
          <w:u w:val="single"/>
        </w:rPr>
        <w:t>万分之五</w:t>
      </w:r>
      <w:r>
        <w:rPr>
          <w:rFonts w:hint="eastAsia" w:ascii="仿宋_GB2312" w:hAnsi="楷体" w:eastAsia="仿宋_GB2312"/>
          <w:sz w:val="24"/>
        </w:rPr>
        <w:t>计算，最高限额为欠付金额的</w:t>
      </w:r>
      <w:r>
        <w:rPr>
          <w:rFonts w:hint="eastAsia" w:ascii="仿宋_GB2312" w:hAnsi="楷体" w:eastAsia="仿宋_GB2312"/>
          <w:sz w:val="24"/>
          <w:u w:val="single"/>
        </w:rPr>
        <w:t>20</w:t>
      </w:r>
      <w:r>
        <w:rPr>
          <w:rFonts w:hint="eastAsia" w:ascii="仿宋_GB2312" w:hAnsi="楷体" w:eastAsia="仿宋_GB2312"/>
          <w:sz w:val="24"/>
        </w:rPr>
        <w:t>%；迟延付款的违约金计算数额达到前述最高限额之日起，乙方有权在要求甲方支付违约金的同时，书面通知甲方解除本合同；</w:t>
      </w:r>
    </w:p>
    <w:p w14:paraId="27A5315C">
      <w:pPr>
        <w:spacing w:line="360" w:lineRule="auto"/>
        <w:ind w:firstLine="480" w:firstLineChars="200"/>
        <w:rPr>
          <w:rFonts w:ascii="仿宋_GB2312" w:hAnsi="楷体" w:eastAsia="仿宋_GB2312"/>
          <w:sz w:val="24"/>
        </w:rPr>
      </w:pPr>
      <w:r>
        <w:rPr>
          <w:rFonts w:hint="eastAsia" w:ascii="仿宋_GB2312" w:hAnsi="楷体" w:eastAsia="仿宋_GB2312"/>
          <w:sz w:val="24"/>
        </w:rPr>
        <w:t>1.6.3 除不可抗力外，任何一方未能履行本合同约定的其他主要义务，经催告后在合理期限内仍未履行的，或者任何一方有其他违约行为致使不能实现合同目的的，或者任何一方有腐败行为（即：提供或给予或接受或索取任何财物或其他好处或者采取其他不正当手段影响对方当事人在合同签订、履行过程中的行为）或者欺诈行为（即：以谎报事实或者隐瞒真相的方法来影响对方当事人在合同签订、履行过程中的行为）的，对方当事人可以书面通知违约方解除本合同；</w:t>
      </w:r>
    </w:p>
    <w:p w14:paraId="194321C7">
      <w:pPr>
        <w:spacing w:line="360" w:lineRule="auto"/>
        <w:ind w:firstLine="480" w:firstLineChars="200"/>
        <w:rPr>
          <w:rFonts w:ascii="仿宋_GB2312" w:hAnsi="楷体" w:eastAsia="仿宋_GB2312"/>
          <w:sz w:val="24"/>
        </w:rPr>
      </w:pPr>
      <w:r>
        <w:rPr>
          <w:rFonts w:hint="eastAsia" w:ascii="仿宋_GB2312" w:hAnsi="楷体" w:eastAsia="仿宋_GB2312"/>
          <w:sz w:val="24"/>
        </w:rPr>
        <w:t>1.6.4任何一方按照前述约定要求违约方支付违约金的同时，仍有权要求违约方继续履行合同、采取补救措施，并有权按照己方实际损失情况要求违约方赔偿损失；任何一方按照前述约定要求解除本合同的同时，仍有权要求违约方支付违约金和按照己方实际损失情况要求违约方赔偿损失；且守约方行使的任何权利救济方式均不视为其放弃了其他法定或者约定的权利救济方式；</w:t>
      </w:r>
    </w:p>
    <w:p w14:paraId="7D627A08">
      <w:pPr>
        <w:spacing w:line="360" w:lineRule="auto"/>
        <w:ind w:firstLine="480" w:firstLineChars="200"/>
        <w:rPr>
          <w:rFonts w:ascii="仿宋_GB2312" w:hAnsi="楷体" w:eastAsia="仿宋_GB2312"/>
          <w:sz w:val="24"/>
        </w:rPr>
      </w:pPr>
      <w:r>
        <w:rPr>
          <w:rFonts w:hint="eastAsia" w:ascii="仿宋_GB2312" w:hAnsi="楷体" w:eastAsia="仿宋_GB2312"/>
          <w:sz w:val="24"/>
        </w:rPr>
        <w:t>1.6.5 除前述约定外，除不可抗力外，任何一方未能履行本合同约定的义务，对方当事人均有权要求继续履行、采取补救措施或者赔偿损失等，且对方当事人行使的任何权利救济方式均不视为其放弃了其他法定或者约定的权利救济方式；</w:t>
      </w:r>
    </w:p>
    <w:p w14:paraId="6BBEFFE1">
      <w:pPr>
        <w:spacing w:line="360" w:lineRule="auto"/>
        <w:ind w:firstLine="480" w:firstLineChars="200"/>
        <w:rPr>
          <w:rFonts w:ascii="仿宋_GB2312" w:hAnsi="楷体" w:eastAsia="仿宋_GB2312"/>
          <w:sz w:val="24"/>
        </w:rPr>
      </w:pPr>
      <w:r>
        <w:rPr>
          <w:rFonts w:hint="eastAsia" w:ascii="仿宋_GB2312" w:hAnsi="楷体" w:eastAsia="仿宋_GB2312"/>
          <w:sz w:val="24"/>
        </w:rPr>
        <w:t>1.6.6 如果出现政府采购监督管理部门在处理投诉事项期间，书面通知甲方暂停采购活动的情形，或者询问或质疑事项可能影响中标结果的，导致甲方中止履行合同的情形，均不视为甲方违约。</w:t>
      </w:r>
    </w:p>
    <w:p w14:paraId="11B8F2B2">
      <w:pPr>
        <w:ind w:firstLine="480" w:firstLineChars="200"/>
        <w:rPr>
          <w:rFonts w:ascii="仿宋_GB2312" w:hAnsi="楷体" w:eastAsia="仿宋_GB2312"/>
          <w:sz w:val="24"/>
        </w:rPr>
      </w:pPr>
      <w:r>
        <w:rPr>
          <w:rFonts w:hint="eastAsia" w:ascii="仿宋_GB2312" w:hAnsi="楷体" w:eastAsia="仿宋_GB2312"/>
          <w:sz w:val="24"/>
        </w:rPr>
        <w:t>1.6.7 如果乙方在服务期间不按照合同内容的约定履行服务和经甲方考核不合格的，甲方有权终止合同。</w:t>
      </w:r>
    </w:p>
    <w:p w14:paraId="1E810DD6">
      <w:pPr>
        <w:spacing w:line="360" w:lineRule="auto"/>
        <w:ind w:firstLine="482" w:firstLineChars="200"/>
        <w:rPr>
          <w:rFonts w:ascii="仿宋_GB2312" w:hAnsi="楷体" w:eastAsia="仿宋_GB2312"/>
          <w:b/>
          <w:sz w:val="24"/>
        </w:rPr>
      </w:pPr>
      <w:r>
        <w:rPr>
          <w:rFonts w:hint="eastAsia" w:ascii="仿宋_GB2312" w:hAnsi="楷体" w:eastAsia="仿宋_GB2312"/>
          <w:b/>
          <w:sz w:val="24"/>
        </w:rPr>
        <w:t>1.7 合同争议的解决</w:t>
      </w:r>
    </w:p>
    <w:p w14:paraId="195F2F4A">
      <w:pPr>
        <w:spacing w:line="360" w:lineRule="auto"/>
        <w:ind w:firstLine="480" w:firstLineChars="200"/>
        <w:rPr>
          <w:rFonts w:ascii="仿宋_GB2312" w:hAnsi="楷体" w:eastAsia="仿宋_GB2312"/>
          <w:sz w:val="24"/>
        </w:rPr>
      </w:pPr>
      <w:r>
        <w:rPr>
          <w:rFonts w:hint="eastAsia" w:ascii="仿宋_GB2312" w:hAnsi="楷体" w:eastAsia="仿宋_GB2312"/>
          <w:sz w:val="24"/>
        </w:rPr>
        <w:t>本合同履行过程中发生的任何争议，双方当事人均应通过友好协商的方式和解或者调解解决；不愿和解、调解或者和解、调解不成的，可以选择下列第</w:t>
      </w:r>
      <w:r>
        <w:rPr>
          <w:rFonts w:hint="eastAsia" w:ascii="仿宋_GB2312" w:hAnsi="楷体" w:eastAsia="仿宋_GB2312"/>
          <w:sz w:val="24"/>
          <w:u w:val="single"/>
        </w:rPr>
        <w:t>1.7.2</w:t>
      </w:r>
      <w:r>
        <w:rPr>
          <w:rFonts w:hint="eastAsia" w:ascii="仿宋_GB2312" w:hAnsi="楷体" w:eastAsia="仿宋_GB2312"/>
          <w:sz w:val="24"/>
        </w:rPr>
        <w:t>种方式解决：</w:t>
      </w:r>
    </w:p>
    <w:p w14:paraId="559E5A38">
      <w:pPr>
        <w:spacing w:line="360" w:lineRule="auto"/>
        <w:ind w:firstLine="480" w:firstLineChars="200"/>
        <w:rPr>
          <w:rFonts w:ascii="仿宋_GB2312" w:hAnsi="楷体" w:eastAsia="仿宋_GB2312"/>
          <w:sz w:val="24"/>
        </w:rPr>
      </w:pPr>
      <w:r>
        <w:rPr>
          <w:rFonts w:hint="eastAsia" w:ascii="仿宋_GB2312" w:hAnsi="楷体" w:eastAsia="仿宋_GB2312"/>
          <w:sz w:val="24"/>
        </w:rPr>
        <w:t>1.7.1 将争议提交</w:t>
      </w:r>
      <w:r>
        <w:rPr>
          <w:rFonts w:hint="eastAsia" w:ascii="仿宋_GB2312" w:hAnsi="楷体" w:eastAsia="仿宋_GB2312"/>
          <w:sz w:val="24"/>
          <w:u w:val="single"/>
        </w:rPr>
        <w:t>南宁市</w:t>
      </w:r>
      <w:r>
        <w:rPr>
          <w:rFonts w:hint="eastAsia" w:ascii="仿宋_GB2312" w:hAnsi="楷体" w:eastAsia="仿宋_GB2312"/>
          <w:sz w:val="24"/>
        </w:rPr>
        <w:t>仲裁委员会依申请仲裁时其现行有效的仲裁规则裁决；</w:t>
      </w:r>
    </w:p>
    <w:p w14:paraId="1EF94A7E">
      <w:pPr>
        <w:spacing w:line="360" w:lineRule="auto"/>
        <w:ind w:firstLine="480" w:firstLineChars="200"/>
        <w:rPr>
          <w:rFonts w:ascii="仿宋_GB2312" w:hAnsi="楷体" w:eastAsia="仿宋_GB2312"/>
          <w:sz w:val="24"/>
        </w:rPr>
      </w:pPr>
      <w:r>
        <w:rPr>
          <w:rFonts w:hint="eastAsia" w:ascii="仿宋_GB2312" w:hAnsi="楷体" w:eastAsia="仿宋_GB2312"/>
          <w:sz w:val="24"/>
        </w:rPr>
        <w:t>1.7.2 向</w:t>
      </w:r>
      <w:r>
        <w:rPr>
          <w:rFonts w:hint="eastAsia" w:ascii="仿宋_GB2312" w:hAnsi="楷体" w:eastAsia="仿宋_GB2312"/>
          <w:sz w:val="24"/>
          <w:u w:val="single"/>
        </w:rPr>
        <w:t xml:space="preserve">   甲方所在地有管辖权 的</w:t>
      </w:r>
      <w:r>
        <w:rPr>
          <w:rFonts w:hint="eastAsia" w:ascii="仿宋_GB2312" w:hAnsi="楷体" w:eastAsia="仿宋_GB2312"/>
          <w:sz w:val="24"/>
        </w:rPr>
        <w:t>人民法院起诉。</w:t>
      </w:r>
    </w:p>
    <w:p w14:paraId="50810215">
      <w:pPr>
        <w:spacing w:line="360" w:lineRule="auto"/>
        <w:ind w:firstLine="482" w:firstLineChars="200"/>
        <w:rPr>
          <w:rFonts w:ascii="仿宋_GB2312" w:hAnsi="楷体" w:eastAsia="仿宋_GB2312"/>
          <w:b/>
          <w:sz w:val="24"/>
        </w:rPr>
      </w:pPr>
      <w:r>
        <w:rPr>
          <w:rFonts w:hint="eastAsia" w:ascii="仿宋_GB2312" w:hAnsi="楷体" w:eastAsia="仿宋_GB2312"/>
          <w:b/>
          <w:sz w:val="24"/>
        </w:rPr>
        <w:t>1.8 合同生效</w:t>
      </w:r>
    </w:p>
    <w:p w14:paraId="53298EBA">
      <w:pPr>
        <w:spacing w:line="360" w:lineRule="auto"/>
        <w:ind w:firstLine="480" w:firstLineChars="200"/>
        <w:rPr>
          <w:rFonts w:ascii="仿宋_GB2312" w:hAnsi="楷体" w:eastAsia="仿宋_GB2312"/>
          <w:sz w:val="24"/>
        </w:rPr>
      </w:pPr>
      <w:r>
        <w:rPr>
          <w:rFonts w:hint="eastAsia" w:ascii="仿宋_GB2312" w:hAnsi="楷体" w:eastAsia="仿宋_GB2312"/>
          <w:sz w:val="24"/>
        </w:rPr>
        <w:t>本合同自双方当事人加盖有效公章时生效。</w:t>
      </w:r>
    </w:p>
    <w:p w14:paraId="6509824C">
      <w:pPr>
        <w:widowControl/>
        <w:adjustRightInd w:val="0"/>
        <w:snapToGrid w:val="0"/>
        <w:spacing w:line="360" w:lineRule="auto"/>
        <w:ind w:firstLine="482" w:firstLineChars="200"/>
        <w:jc w:val="left"/>
        <w:rPr>
          <w:rFonts w:ascii="宋体" w:hAnsi="宋体" w:cs="宋体"/>
          <w:b/>
          <w:bCs/>
          <w:kern w:val="0"/>
          <w:sz w:val="24"/>
        </w:rPr>
      </w:pPr>
      <w:bookmarkStart w:id="73" w:name="_Hlk197517520"/>
      <w:r>
        <w:rPr>
          <w:rFonts w:hint="eastAsia" w:ascii="仿宋_GB2312" w:hAnsi="楷体" w:eastAsia="仿宋_GB2312"/>
          <w:b/>
          <w:sz w:val="24"/>
        </w:rPr>
        <w:t>1</w:t>
      </w:r>
      <w:r>
        <w:rPr>
          <w:rFonts w:ascii="仿宋_GB2312" w:hAnsi="楷体" w:eastAsia="仿宋_GB2312"/>
          <w:b/>
          <w:sz w:val="24"/>
        </w:rPr>
        <w:t>.9</w:t>
      </w:r>
      <w:r>
        <w:rPr>
          <w:rFonts w:hint="eastAsia" w:ascii="仿宋_GB2312" w:hAnsi="楷体" w:eastAsia="仿宋_GB2312"/>
          <w:b/>
          <w:sz w:val="24"/>
        </w:rPr>
        <w:t>合同延续年限、条件和方式</w:t>
      </w:r>
    </w:p>
    <w:p w14:paraId="22CD4FEC">
      <w:pPr>
        <w:widowControl/>
        <w:adjustRightInd w:val="0"/>
        <w:snapToGrid w:val="0"/>
        <w:spacing w:line="360" w:lineRule="auto"/>
        <w:ind w:firstLine="480" w:firstLineChars="200"/>
        <w:jc w:val="left"/>
        <w:rPr>
          <w:rFonts w:ascii="宋体" w:hAnsi="宋体" w:cs="宋体"/>
          <w:kern w:val="0"/>
          <w:sz w:val="24"/>
        </w:rPr>
      </w:pPr>
      <w:r>
        <w:rPr>
          <w:rFonts w:hint="eastAsia" w:ascii="仿宋_GB2312" w:hAnsi="楷体" w:eastAsia="仿宋_GB2312"/>
          <w:sz w:val="24"/>
        </w:rPr>
        <w:t>本项目合同履约期到期后，甲方依据本项目的服务履约评价情况及实际需求，并根据《财政部关于推进和完善服务项目政府有关问题的通知》（财库[2014]37号）及《政府购买服务管理办法》（财政部令102号）等规定，在年度预算保障的前提下，对于购买内容（采购需求）相对固定、连续（延续）性强、经费来源稳定、价格变化幅度小的政府采购服务项目，可以通过一年一续签方式签订合同，期限总长不得超过三年。</w:t>
      </w:r>
    </w:p>
    <w:bookmarkEnd w:id="73"/>
    <w:p w14:paraId="709AB608">
      <w:pPr>
        <w:spacing w:line="360" w:lineRule="auto"/>
        <w:ind w:firstLine="482" w:firstLineChars="200"/>
        <w:rPr>
          <w:rFonts w:ascii="仿宋_GB2312" w:hAnsi="楷体" w:eastAsia="仿宋_GB2312"/>
          <w:b/>
          <w:sz w:val="24"/>
        </w:rPr>
      </w:pPr>
    </w:p>
    <w:p w14:paraId="3E5F2619">
      <w:pPr>
        <w:spacing w:line="360" w:lineRule="auto"/>
        <w:ind w:firstLine="482" w:firstLineChars="200"/>
        <w:rPr>
          <w:rFonts w:ascii="仿宋_GB2312" w:hAnsi="楷体" w:eastAsia="仿宋_GB2312"/>
          <w:b/>
          <w:sz w:val="24"/>
        </w:rPr>
      </w:pPr>
    </w:p>
    <w:p w14:paraId="1F371B51">
      <w:pPr>
        <w:spacing w:line="360" w:lineRule="auto"/>
        <w:ind w:firstLine="482" w:firstLineChars="200"/>
        <w:rPr>
          <w:rFonts w:ascii="仿宋_GB2312" w:hAnsi="楷体" w:eastAsia="仿宋_GB2312"/>
          <w:b/>
          <w:sz w:val="24"/>
        </w:rPr>
      </w:pPr>
    </w:p>
    <w:p w14:paraId="1289DC70">
      <w:pPr>
        <w:spacing w:line="360" w:lineRule="auto"/>
        <w:ind w:firstLine="482" w:firstLineChars="200"/>
        <w:rPr>
          <w:rFonts w:ascii="仿宋_GB2312" w:hAnsi="楷体" w:eastAsia="仿宋_GB2312"/>
          <w:b/>
          <w:sz w:val="24"/>
        </w:rPr>
      </w:pPr>
    </w:p>
    <w:p w14:paraId="5376CDF7">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甲方：                                  乙方：</w:t>
      </w:r>
    </w:p>
    <w:p w14:paraId="5DB96D36">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统一社会信用代码：                      统一社会信用代码或身份证号码：</w:t>
      </w:r>
    </w:p>
    <w:p w14:paraId="01C094A0">
      <w:pPr>
        <w:spacing w:line="360" w:lineRule="auto"/>
        <w:ind w:firstLine="200"/>
        <w:rPr>
          <w:rFonts w:ascii="仿宋_GB2312" w:hAnsi="楷体" w:eastAsia="仿宋_GB2312"/>
          <w:sz w:val="24"/>
          <w:lang w:val="zh-CN"/>
        </w:rPr>
      </w:pPr>
    </w:p>
    <w:p w14:paraId="4DCE4812">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住所：                                   住所：</w:t>
      </w:r>
    </w:p>
    <w:p w14:paraId="55161756">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法定代表人或                             法定代表人</w:t>
      </w:r>
    </w:p>
    <w:p w14:paraId="12B89ABA">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授权代表（签字）：                       或授权代表（签字）: </w:t>
      </w:r>
    </w:p>
    <w:p w14:paraId="1E618745">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联系人：                                 联系人：</w:t>
      </w:r>
    </w:p>
    <w:p w14:paraId="29D34C27">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约定送达地址：                           约定送达地址：</w:t>
      </w:r>
    </w:p>
    <w:p w14:paraId="2000EFA6">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邮政编码：                               邮政编码：</w:t>
      </w:r>
    </w:p>
    <w:p w14:paraId="52A19985">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 xml:space="preserve">电话:                                    电话: </w:t>
      </w:r>
    </w:p>
    <w:p w14:paraId="6EEBB545">
      <w:pPr>
        <w:spacing w:line="360" w:lineRule="auto"/>
        <w:ind w:firstLine="200"/>
        <w:rPr>
          <w:rFonts w:ascii="仿宋_GB2312" w:hAnsi="楷体" w:eastAsia="仿宋_GB2312"/>
          <w:sz w:val="24"/>
          <w:lang w:val="zh-CN"/>
        </w:rPr>
      </w:pPr>
      <w:r>
        <w:rPr>
          <w:rFonts w:hint="eastAsia" w:ascii="仿宋_GB2312" w:hAnsi="楷体" w:eastAsia="仿宋_GB2312"/>
          <w:sz w:val="24"/>
          <w:lang w:val="zh-CN"/>
        </w:rPr>
        <w:t>传真:                                    传真:</w:t>
      </w:r>
    </w:p>
    <w:p w14:paraId="26997FC5">
      <w:pPr>
        <w:spacing w:line="360" w:lineRule="auto"/>
        <w:ind w:firstLine="200"/>
        <w:rPr>
          <w:rFonts w:ascii="仿宋_GB2312" w:hAnsi="楷体" w:eastAsia="仿宋_GB2312"/>
          <w:sz w:val="24"/>
        </w:rPr>
      </w:pPr>
      <w:r>
        <w:rPr>
          <w:rFonts w:hint="eastAsia" w:ascii="仿宋_GB2312" w:hAnsi="楷体" w:eastAsia="仿宋_GB2312"/>
          <w:sz w:val="24"/>
          <w:lang w:val="zh-CN"/>
        </w:rPr>
        <w:t>电子邮箱：                               电子邮箱：</w:t>
      </w:r>
    </w:p>
    <w:p w14:paraId="29F3DA80">
      <w:pPr>
        <w:spacing w:line="360" w:lineRule="auto"/>
        <w:ind w:firstLine="200"/>
        <w:rPr>
          <w:rFonts w:ascii="仿宋_GB2312" w:hAnsi="楷体" w:eastAsia="仿宋_GB2312"/>
          <w:sz w:val="24"/>
        </w:rPr>
      </w:pPr>
      <w:r>
        <w:rPr>
          <w:rFonts w:hint="eastAsia" w:ascii="仿宋_GB2312" w:hAnsi="楷体" w:eastAsia="仿宋_GB2312"/>
          <w:sz w:val="24"/>
        </w:rPr>
        <w:t xml:space="preserve">开户银行：                               开户银行： </w:t>
      </w:r>
    </w:p>
    <w:p w14:paraId="0B24199B">
      <w:pPr>
        <w:spacing w:line="360" w:lineRule="auto"/>
        <w:ind w:firstLine="200"/>
        <w:rPr>
          <w:rFonts w:ascii="仿宋_GB2312" w:hAnsi="楷体" w:eastAsia="仿宋_GB2312"/>
          <w:sz w:val="24"/>
        </w:rPr>
      </w:pPr>
      <w:r>
        <w:rPr>
          <w:rFonts w:hint="eastAsia" w:ascii="仿宋_GB2312" w:hAnsi="楷体" w:eastAsia="仿宋_GB2312"/>
          <w:sz w:val="24"/>
        </w:rPr>
        <w:t xml:space="preserve">开户名称：                               开户名称： </w:t>
      </w:r>
    </w:p>
    <w:p w14:paraId="5CE85FC7">
      <w:pPr>
        <w:spacing w:line="360" w:lineRule="auto"/>
        <w:ind w:firstLine="200"/>
        <w:rPr>
          <w:rFonts w:ascii="仿宋_GB2312" w:hAnsi="楷体" w:eastAsia="仿宋_GB2312"/>
          <w:sz w:val="24"/>
        </w:rPr>
      </w:pPr>
      <w:r>
        <w:rPr>
          <w:rFonts w:hint="eastAsia" w:ascii="仿宋_GB2312" w:hAnsi="楷体" w:eastAsia="仿宋_GB2312"/>
          <w:sz w:val="24"/>
        </w:rPr>
        <w:t>开户账号：</w:t>
      </w:r>
      <w:r>
        <w:rPr>
          <w:rFonts w:hint="eastAsia" w:ascii="仿宋_GB2312" w:hAnsi="楷体" w:eastAsia="仿宋_GB2312"/>
          <w:sz w:val="24"/>
          <w:lang w:val="zh-CN"/>
        </w:rPr>
        <w:t xml:space="preserve">                               </w:t>
      </w:r>
      <w:r>
        <w:rPr>
          <w:rFonts w:hint="eastAsia" w:ascii="仿宋_GB2312" w:hAnsi="楷体" w:eastAsia="仿宋_GB2312"/>
          <w:sz w:val="24"/>
        </w:rPr>
        <w:t>开户账号：</w:t>
      </w:r>
    </w:p>
    <w:p w14:paraId="4DE4A315">
      <w:pPr>
        <w:spacing w:line="360" w:lineRule="auto"/>
        <w:ind w:firstLine="200"/>
        <w:jc w:val="center"/>
        <w:rPr>
          <w:rFonts w:ascii="仿宋_GB2312" w:hAnsi="楷体" w:eastAsia="仿宋_GB2312"/>
          <w:b/>
          <w:sz w:val="28"/>
          <w:szCs w:val="28"/>
        </w:rPr>
      </w:pPr>
      <w:r>
        <w:rPr>
          <w:rFonts w:hint="eastAsia" w:ascii="仿宋_GB2312" w:hAnsi="楷体" w:eastAsia="仿宋_GB2312"/>
          <w:b/>
        </w:rPr>
        <w:br w:type="page"/>
      </w:r>
      <w:r>
        <w:rPr>
          <w:rFonts w:hint="eastAsia" w:ascii="仿宋_GB2312" w:hAnsi="楷体" w:eastAsia="仿宋_GB2312"/>
          <w:b/>
          <w:sz w:val="28"/>
          <w:szCs w:val="28"/>
        </w:rPr>
        <w:t>第二部分 合同一般条款</w:t>
      </w:r>
    </w:p>
    <w:p w14:paraId="5C8F909A">
      <w:pPr>
        <w:spacing w:line="360" w:lineRule="auto"/>
        <w:ind w:firstLine="482" w:firstLineChars="200"/>
        <w:rPr>
          <w:rFonts w:ascii="仿宋_GB2312" w:hAnsi="楷体" w:eastAsia="仿宋_GB2312"/>
          <w:b/>
          <w:sz w:val="24"/>
        </w:rPr>
      </w:pPr>
      <w:r>
        <w:rPr>
          <w:rFonts w:hint="eastAsia" w:ascii="仿宋_GB2312" w:hAnsi="楷体" w:eastAsia="仿宋_GB2312"/>
          <w:b/>
          <w:sz w:val="24"/>
        </w:rPr>
        <w:t>2.1 定义</w:t>
      </w:r>
    </w:p>
    <w:p w14:paraId="73C5CCE5">
      <w:pPr>
        <w:spacing w:line="360" w:lineRule="auto"/>
        <w:ind w:firstLine="480" w:firstLineChars="200"/>
        <w:rPr>
          <w:rFonts w:ascii="仿宋_GB2312" w:hAnsi="楷体" w:eastAsia="仿宋_GB2312"/>
          <w:sz w:val="24"/>
        </w:rPr>
      </w:pPr>
      <w:r>
        <w:rPr>
          <w:rFonts w:hint="eastAsia" w:ascii="仿宋_GB2312" w:hAnsi="楷体" w:eastAsia="仿宋_GB2312"/>
          <w:sz w:val="24"/>
        </w:rPr>
        <w:t>本合同中的下列词语应按以下内容进行解释：</w:t>
      </w:r>
    </w:p>
    <w:p w14:paraId="48D8C490">
      <w:pPr>
        <w:spacing w:line="360" w:lineRule="auto"/>
        <w:ind w:firstLine="480" w:firstLineChars="200"/>
        <w:rPr>
          <w:rFonts w:ascii="仿宋_GB2312" w:hAnsi="楷体" w:eastAsia="仿宋_GB2312"/>
          <w:sz w:val="24"/>
        </w:rPr>
      </w:pPr>
      <w:r>
        <w:rPr>
          <w:rFonts w:hint="eastAsia" w:ascii="仿宋_GB2312" w:hAnsi="楷体" w:eastAsia="仿宋_GB2312"/>
          <w:sz w:val="24"/>
        </w:rPr>
        <w:t>2.1.1 “合同”系指采购人和中标人签订的载明双方当事人所达成的协议，并包括所有的附件、附录和构成合同的其他文件。</w:t>
      </w:r>
    </w:p>
    <w:p w14:paraId="21ECD533">
      <w:pPr>
        <w:spacing w:line="360" w:lineRule="auto"/>
        <w:ind w:firstLine="480" w:firstLineChars="200"/>
        <w:rPr>
          <w:rFonts w:ascii="仿宋_GB2312" w:hAnsi="楷体" w:eastAsia="仿宋_GB2312"/>
          <w:sz w:val="24"/>
        </w:rPr>
      </w:pPr>
      <w:r>
        <w:rPr>
          <w:rFonts w:hint="eastAsia" w:ascii="仿宋_GB2312" w:hAnsi="楷体" w:eastAsia="仿宋_GB2312"/>
          <w:sz w:val="24"/>
        </w:rPr>
        <w:t>2.1.2 “合同价”系指根据合同约定，中标人在完全履行合同义务后，采购人应支付给中标人的价格。</w:t>
      </w:r>
    </w:p>
    <w:p w14:paraId="5FB10581">
      <w:pPr>
        <w:spacing w:line="360" w:lineRule="auto"/>
        <w:ind w:firstLine="480" w:firstLineChars="200"/>
        <w:rPr>
          <w:rFonts w:ascii="仿宋_GB2312" w:hAnsi="楷体" w:eastAsia="仿宋_GB2312"/>
          <w:sz w:val="24"/>
        </w:rPr>
      </w:pPr>
      <w:r>
        <w:rPr>
          <w:rFonts w:hint="eastAsia" w:ascii="仿宋_GB2312" w:hAnsi="楷体" w:eastAsia="仿宋_GB2312"/>
          <w:sz w:val="24"/>
        </w:rPr>
        <w:t>2.1.3 “标的物”系指中标人根据合同约定应向采购人交付的一切各种形态和种类的货物、服务和工程，包括但不限于原材料、燃料、设备、机械、仪表、备件、计算机软件、信息化系统、信息化维保、物业服务、产品等，并包括工具、手册等其他相关资料。</w:t>
      </w:r>
    </w:p>
    <w:p w14:paraId="6B280E66">
      <w:pPr>
        <w:spacing w:line="360" w:lineRule="auto"/>
        <w:ind w:firstLine="480" w:firstLineChars="200"/>
        <w:rPr>
          <w:rFonts w:ascii="仿宋_GB2312" w:hAnsi="楷体" w:eastAsia="仿宋_GB2312"/>
          <w:sz w:val="24"/>
        </w:rPr>
      </w:pPr>
      <w:r>
        <w:rPr>
          <w:rFonts w:hint="eastAsia" w:ascii="仿宋_GB2312" w:hAnsi="楷体" w:eastAsia="仿宋_GB2312"/>
          <w:sz w:val="24"/>
        </w:rPr>
        <w:t>2.1.4 “甲方”系指与中标人签署合同的采购人；采购人委托采购机构代表其与乙方签订合同的，采购人的授权委托书作为合同附件。</w:t>
      </w:r>
    </w:p>
    <w:p w14:paraId="6FCE91FB">
      <w:pPr>
        <w:spacing w:line="360" w:lineRule="auto"/>
        <w:ind w:firstLine="480" w:firstLineChars="200"/>
        <w:rPr>
          <w:rFonts w:ascii="仿宋_GB2312" w:hAnsi="楷体" w:eastAsia="仿宋_GB2312"/>
          <w:sz w:val="24"/>
        </w:rPr>
      </w:pPr>
      <w:r>
        <w:rPr>
          <w:rFonts w:hint="eastAsia" w:ascii="仿宋_GB2312" w:hAnsi="楷体" w:eastAsia="仿宋_GB2312"/>
          <w:sz w:val="24"/>
        </w:rPr>
        <w:t>2.1.5 “乙方”系指根据合同约定交付标的物的中标人；两个以上的自然人、法人或者其他组织组成一个联合体，以一个投标人的身份共同参加政府采购的，联合体各方均应为乙方或者与乙方相同地位的合同当事人，并就合同约定的事项对甲方承担连带责任。</w:t>
      </w:r>
    </w:p>
    <w:p w14:paraId="4DA0E10A">
      <w:pPr>
        <w:spacing w:line="360" w:lineRule="auto"/>
        <w:ind w:firstLine="480" w:firstLineChars="200"/>
        <w:rPr>
          <w:rFonts w:ascii="仿宋_GB2312" w:hAnsi="楷体" w:eastAsia="仿宋_GB2312"/>
          <w:sz w:val="24"/>
        </w:rPr>
      </w:pPr>
      <w:r>
        <w:rPr>
          <w:rFonts w:hint="eastAsia" w:ascii="仿宋_GB2312" w:hAnsi="楷体" w:eastAsia="仿宋_GB2312"/>
          <w:sz w:val="24"/>
        </w:rPr>
        <w:t>2.1.6 “现场”系指合同约定标的物将要运至或者实施或者安装的地点。</w:t>
      </w:r>
    </w:p>
    <w:p w14:paraId="30CC4687">
      <w:pPr>
        <w:spacing w:line="360" w:lineRule="auto"/>
        <w:ind w:firstLine="482" w:firstLineChars="200"/>
        <w:rPr>
          <w:rFonts w:ascii="仿宋_GB2312" w:hAnsi="楷体" w:eastAsia="仿宋_GB2312"/>
          <w:b/>
          <w:sz w:val="24"/>
        </w:rPr>
      </w:pPr>
      <w:r>
        <w:rPr>
          <w:rFonts w:hint="eastAsia" w:ascii="仿宋_GB2312" w:hAnsi="楷体" w:eastAsia="仿宋_GB2312"/>
          <w:b/>
          <w:sz w:val="24"/>
        </w:rPr>
        <w:t>2.2 技术规范</w:t>
      </w:r>
    </w:p>
    <w:p w14:paraId="73569D27">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所应遵守的技术规范应与招标文件规定的技术规范和技术规范附件(如果有的话)及其技术规范偏差表(如果被甲方接受的话)相一致；如果招标文件中没有技术规范的相应说明，应以国家有关部门最新颁布的相应标准和规范为准。</w:t>
      </w:r>
    </w:p>
    <w:p w14:paraId="2838CE7C">
      <w:pPr>
        <w:spacing w:line="360" w:lineRule="auto"/>
        <w:ind w:firstLine="482" w:firstLineChars="200"/>
        <w:rPr>
          <w:rFonts w:ascii="仿宋_GB2312" w:hAnsi="楷体" w:eastAsia="仿宋_GB2312"/>
          <w:b/>
          <w:sz w:val="24"/>
        </w:rPr>
      </w:pPr>
      <w:r>
        <w:rPr>
          <w:rFonts w:hint="eastAsia" w:ascii="仿宋_GB2312" w:hAnsi="楷体" w:eastAsia="仿宋_GB2312"/>
          <w:b/>
          <w:sz w:val="24"/>
        </w:rPr>
        <w:t>2.3 知识产权</w:t>
      </w:r>
    </w:p>
    <w:p w14:paraId="4960C080">
      <w:pPr>
        <w:spacing w:line="360" w:lineRule="auto"/>
        <w:ind w:firstLine="480" w:firstLineChars="200"/>
        <w:rPr>
          <w:rFonts w:ascii="仿宋_GB2312" w:hAnsi="楷体" w:eastAsia="仿宋_GB2312"/>
          <w:sz w:val="24"/>
        </w:rPr>
      </w:pPr>
      <w:r>
        <w:rPr>
          <w:rFonts w:hint="eastAsia" w:ascii="仿宋_GB2312" w:hAnsi="楷体" w:eastAsia="仿宋_GB2312"/>
          <w:sz w:val="24"/>
        </w:rPr>
        <w:t>2.3.1 乙方应保证甲方在使用该标的物或其任何一部分时不受任何第三方提出的侵犯其著作权、商标权、专利权等知识产权方面的起诉；如果任何第三方提出侵权指控，乙方须与该第三方交涉并承担由此发生的一切责任、费用和赔偿；</w:t>
      </w:r>
    </w:p>
    <w:p w14:paraId="3D4E3CC7">
      <w:pPr>
        <w:spacing w:line="360" w:lineRule="auto"/>
        <w:ind w:firstLine="480" w:firstLineChars="200"/>
        <w:rPr>
          <w:rFonts w:ascii="仿宋_GB2312" w:hAnsi="楷体" w:eastAsia="仿宋_GB2312"/>
          <w:sz w:val="24"/>
        </w:rPr>
      </w:pPr>
      <w:r>
        <w:rPr>
          <w:rFonts w:hint="eastAsia" w:ascii="仿宋_GB2312" w:hAnsi="楷体" w:eastAsia="仿宋_GB2312"/>
          <w:sz w:val="24"/>
        </w:rPr>
        <w:t>2.3.2具有知识产权的计算机软件等标的物的知识产权归属，详见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DF7CCE3">
      <w:pPr>
        <w:spacing w:line="360" w:lineRule="auto"/>
        <w:ind w:firstLine="482" w:firstLineChars="200"/>
        <w:rPr>
          <w:rFonts w:ascii="仿宋_GB2312" w:hAnsi="楷体" w:eastAsia="仿宋_GB2312"/>
          <w:b/>
          <w:sz w:val="24"/>
        </w:rPr>
      </w:pPr>
      <w:r>
        <w:rPr>
          <w:rFonts w:hint="eastAsia" w:ascii="仿宋_GB2312" w:hAnsi="楷体" w:eastAsia="仿宋_GB2312"/>
          <w:b/>
          <w:sz w:val="24"/>
        </w:rPr>
        <w:t>2.4 包装和装运</w:t>
      </w:r>
    </w:p>
    <w:p w14:paraId="00318C81">
      <w:pPr>
        <w:spacing w:line="360" w:lineRule="auto"/>
        <w:ind w:firstLine="480" w:firstLineChars="200"/>
        <w:rPr>
          <w:rFonts w:ascii="仿宋_GB2312" w:hAnsi="楷体" w:eastAsia="仿宋_GB2312"/>
          <w:sz w:val="24"/>
        </w:rPr>
      </w:pPr>
      <w:r>
        <w:rPr>
          <w:rFonts w:hint="eastAsia" w:ascii="仿宋_GB2312" w:hAnsi="楷体" w:eastAsia="仿宋_GB2312"/>
          <w:sz w:val="24"/>
        </w:rPr>
        <w:t>2.4.1除</w:t>
      </w:r>
      <w:r>
        <w:rPr>
          <w:rFonts w:hint="eastAsia" w:ascii="仿宋_GB2312" w:hAnsi="楷体" w:eastAsia="仿宋_GB2312"/>
          <w:b/>
          <w:i/>
          <w:sz w:val="24"/>
          <w:u w:val="single"/>
        </w:rPr>
        <w:t>合同专用条款</w:t>
      </w:r>
      <w:r>
        <w:rPr>
          <w:rFonts w:hint="eastAsia" w:ascii="仿宋_GB2312" w:hAnsi="楷体" w:eastAsia="仿宋_GB2312"/>
          <w:sz w:val="24"/>
        </w:rPr>
        <w:t>另有约定外,乙方交付的全部标的物,均应采用本行业通用的方式进行包装，没有通用方式的，应当采取足以保护标的物的包装方式，且该包装应符合国家有关包装的法律、法规的规定。如有必要，包装应适用于远距离运输、防潮、防震、防锈和防粗暴装卸，确保标的物安全无损地运抵现场。由于包装不善所引起的标的物锈蚀、损坏和损失等一切风险均由乙方承担。</w:t>
      </w:r>
    </w:p>
    <w:p w14:paraId="36668A95">
      <w:pPr>
        <w:spacing w:line="360" w:lineRule="auto"/>
        <w:ind w:firstLine="480" w:firstLineChars="200"/>
        <w:rPr>
          <w:rFonts w:ascii="仿宋_GB2312" w:hAnsi="楷体" w:eastAsia="仿宋_GB2312"/>
          <w:sz w:val="24"/>
        </w:rPr>
      </w:pPr>
      <w:r>
        <w:rPr>
          <w:rFonts w:hint="eastAsia" w:ascii="仿宋_GB2312" w:hAnsi="楷体" w:eastAsia="仿宋_GB2312"/>
          <w:sz w:val="24"/>
        </w:rPr>
        <w:t>2.4.2 装运标的物的要求和通知，详见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317DBF26">
      <w:pPr>
        <w:spacing w:line="360" w:lineRule="auto"/>
        <w:ind w:firstLine="482" w:firstLineChars="200"/>
        <w:rPr>
          <w:rFonts w:ascii="仿宋_GB2312" w:hAnsi="楷体" w:eastAsia="仿宋_GB2312"/>
          <w:b/>
          <w:sz w:val="24"/>
        </w:rPr>
      </w:pPr>
      <w:r>
        <w:rPr>
          <w:rFonts w:hint="eastAsia" w:ascii="仿宋_GB2312" w:hAnsi="楷体" w:eastAsia="仿宋_GB2312"/>
          <w:b/>
          <w:sz w:val="24"/>
        </w:rPr>
        <w:t>2.5 履约检查和问题反馈</w:t>
      </w:r>
    </w:p>
    <w:p w14:paraId="4A63BE91">
      <w:pPr>
        <w:spacing w:line="360" w:lineRule="auto"/>
        <w:ind w:firstLine="480" w:firstLineChars="200"/>
        <w:rPr>
          <w:rFonts w:ascii="仿宋_GB2312" w:hAnsi="楷体" w:eastAsia="仿宋_GB2312"/>
          <w:sz w:val="24"/>
        </w:rPr>
      </w:pPr>
      <w:r>
        <w:rPr>
          <w:rFonts w:hint="eastAsia" w:ascii="仿宋_GB2312" w:hAnsi="楷体" w:eastAsia="仿宋_GB2312"/>
          <w:sz w:val="24"/>
        </w:rPr>
        <w:t>2.5.1甲方有权在其认为必要时，对乙方是否能够按照合同约定交付标的物进行履约检查，以确保乙方所交付的标的物能够依约满足甲方之项目需求，但不得因履约检查妨碍乙方的正常工作，乙方应予积极配合；</w:t>
      </w:r>
    </w:p>
    <w:p w14:paraId="527DE590">
      <w:pPr>
        <w:spacing w:line="360" w:lineRule="auto"/>
        <w:ind w:firstLine="480" w:firstLineChars="200"/>
        <w:rPr>
          <w:rFonts w:ascii="仿宋_GB2312" w:hAnsi="楷体" w:eastAsia="仿宋_GB2312"/>
          <w:sz w:val="24"/>
        </w:rPr>
      </w:pPr>
      <w:r>
        <w:rPr>
          <w:rFonts w:hint="eastAsia" w:ascii="仿宋_GB2312" w:hAnsi="楷体" w:eastAsia="仿宋_GB2312"/>
          <w:sz w:val="24"/>
        </w:rPr>
        <w:t>2.5.2 合同履行期间，甲方有权将履行过程中出现的问题反馈给乙方，双方当事人应以书面形式约定需要完善和改进的内容。</w:t>
      </w:r>
    </w:p>
    <w:p w14:paraId="753AB1FB">
      <w:pPr>
        <w:spacing w:line="360" w:lineRule="auto"/>
        <w:ind w:firstLine="482" w:firstLineChars="200"/>
        <w:rPr>
          <w:rFonts w:ascii="仿宋_GB2312" w:hAnsi="楷体" w:eastAsia="仿宋_GB2312"/>
          <w:b/>
          <w:sz w:val="24"/>
        </w:rPr>
      </w:pPr>
      <w:r>
        <w:rPr>
          <w:rFonts w:hint="eastAsia" w:ascii="仿宋_GB2312" w:hAnsi="楷体" w:eastAsia="仿宋_GB2312"/>
          <w:b/>
          <w:sz w:val="24"/>
        </w:rPr>
        <w:t>2.6 结算方式和付款条件</w:t>
      </w:r>
    </w:p>
    <w:p w14:paraId="7D924082">
      <w:pPr>
        <w:spacing w:line="360" w:lineRule="auto"/>
        <w:ind w:firstLine="480" w:firstLineChars="200"/>
        <w:rPr>
          <w:rFonts w:ascii="仿宋_GB2312" w:hAnsi="楷体" w:eastAsia="仿宋_GB2312"/>
          <w:sz w:val="24"/>
        </w:rPr>
      </w:pPr>
      <w:r>
        <w:rPr>
          <w:rFonts w:hint="eastAsia" w:ascii="仿宋_GB2312" w:hAnsi="楷体" w:eastAsia="仿宋_GB2312"/>
          <w:sz w:val="24"/>
        </w:rPr>
        <w:t>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0B0FD3C6">
      <w:pPr>
        <w:spacing w:line="360" w:lineRule="auto"/>
        <w:ind w:firstLine="482" w:firstLineChars="200"/>
        <w:rPr>
          <w:rFonts w:ascii="仿宋_GB2312" w:hAnsi="楷体" w:eastAsia="仿宋_GB2312"/>
          <w:b/>
          <w:sz w:val="24"/>
        </w:rPr>
      </w:pPr>
      <w:r>
        <w:rPr>
          <w:rFonts w:hint="eastAsia" w:ascii="仿宋_GB2312" w:hAnsi="楷体" w:eastAsia="仿宋_GB2312"/>
          <w:b/>
          <w:sz w:val="24"/>
        </w:rPr>
        <w:t>2.7 技术资料和保密义务</w:t>
      </w:r>
    </w:p>
    <w:p w14:paraId="3CD75722">
      <w:pPr>
        <w:spacing w:line="360" w:lineRule="auto"/>
        <w:ind w:firstLine="480" w:firstLineChars="200"/>
        <w:rPr>
          <w:rFonts w:ascii="仿宋_GB2312" w:hAnsi="楷体" w:eastAsia="仿宋_GB2312"/>
          <w:sz w:val="24"/>
        </w:rPr>
      </w:pPr>
      <w:r>
        <w:rPr>
          <w:rFonts w:hint="eastAsia" w:ascii="仿宋_GB2312" w:hAnsi="楷体" w:eastAsia="仿宋_GB2312"/>
          <w:sz w:val="24"/>
        </w:rPr>
        <w:t>2.7.1 乙方有权依据合同约定和项目需要，向甲方了解有关情况，调阅有关资料等，甲方应予积极配合；</w:t>
      </w:r>
    </w:p>
    <w:p w14:paraId="58D45833">
      <w:pPr>
        <w:spacing w:line="360" w:lineRule="auto"/>
        <w:ind w:firstLine="480" w:firstLineChars="200"/>
        <w:rPr>
          <w:rFonts w:ascii="仿宋_GB2312" w:hAnsi="楷体" w:eastAsia="仿宋_GB2312"/>
          <w:sz w:val="24"/>
        </w:rPr>
      </w:pPr>
      <w:r>
        <w:rPr>
          <w:rFonts w:hint="eastAsia" w:ascii="仿宋_GB2312" w:hAnsi="楷体" w:eastAsia="仿宋_GB2312"/>
          <w:sz w:val="24"/>
        </w:rPr>
        <w:t>2.7.2 乙方有义务妥善保管和保护由甲方提供的前款信息和资料等；</w:t>
      </w:r>
    </w:p>
    <w:p w14:paraId="66197C9F">
      <w:pPr>
        <w:spacing w:line="360" w:lineRule="auto"/>
        <w:ind w:firstLine="480" w:firstLineChars="200"/>
        <w:rPr>
          <w:rFonts w:ascii="仿宋_GB2312" w:hAnsi="楷体" w:eastAsia="仿宋_GB2312"/>
          <w:sz w:val="24"/>
        </w:rPr>
      </w:pPr>
      <w:r>
        <w:rPr>
          <w:rFonts w:hint="eastAsia" w:ascii="仿宋_GB2312" w:hAnsi="楷体" w:eastAsia="仿宋_GB2312"/>
          <w:sz w:val="24"/>
        </w:rPr>
        <w:t>2.7.3 除非依照法律规定或者对方当事人的书面同意，任何一方均应保证不向任何第三方提供或披露有关合同的或者履行合同过程中知悉的对方当事人任何未公开的信息和资料，包括但不限于技术情报、技术资料、商业秘密和商业信息等，并采取一切合理和必要措施及方式防止任何第三方接触到对方当事人的上述保密信息和资料。</w:t>
      </w:r>
    </w:p>
    <w:p w14:paraId="12D44B22">
      <w:pPr>
        <w:spacing w:line="360" w:lineRule="auto"/>
        <w:ind w:firstLine="482" w:firstLineChars="200"/>
        <w:rPr>
          <w:rFonts w:ascii="仿宋_GB2312" w:hAnsi="楷体" w:eastAsia="仿宋_GB2312"/>
          <w:b/>
          <w:sz w:val="24"/>
        </w:rPr>
      </w:pPr>
      <w:r>
        <w:rPr>
          <w:rFonts w:hint="eastAsia" w:ascii="仿宋_GB2312" w:hAnsi="楷体" w:eastAsia="仿宋_GB2312"/>
          <w:b/>
          <w:sz w:val="24"/>
        </w:rPr>
        <w:t>2.8 质量保证</w:t>
      </w:r>
    </w:p>
    <w:p w14:paraId="0C88CF6C">
      <w:pPr>
        <w:spacing w:line="360" w:lineRule="auto"/>
        <w:ind w:firstLine="480" w:firstLineChars="200"/>
        <w:rPr>
          <w:rFonts w:ascii="仿宋_GB2312" w:hAnsi="楷体" w:eastAsia="仿宋_GB2312"/>
          <w:sz w:val="24"/>
        </w:rPr>
      </w:pPr>
      <w:r>
        <w:rPr>
          <w:rFonts w:hint="eastAsia" w:ascii="仿宋_GB2312" w:hAnsi="楷体" w:eastAsia="仿宋_GB2312"/>
          <w:sz w:val="24"/>
        </w:rPr>
        <w:t>2.8.1 乙方应建立和完善履行合同的内部质量保证体系，并提供相关内部规章制度给甲方，以便甲方进行监督检查；</w:t>
      </w:r>
    </w:p>
    <w:p w14:paraId="1288E221">
      <w:pPr>
        <w:spacing w:line="360" w:lineRule="auto"/>
        <w:ind w:firstLine="480" w:firstLineChars="200"/>
        <w:rPr>
          <w:rFonts w:ascii="仿宋_GB2312" w:hAnsi="楷体" w:eastAsia="仿宋_GB2312"/>
          <w:sz w:val="24"/>
        </w:rPr>
      </w:pPr>
      <w:r>
        <w:rPr>
          <w:rFonts w:hint="eastAsia" w:ascii="仿宋_GB2312" w:hAnsi="楷体" w:eastAsia="仿宋_GB2312"/>
          <w:sz w:val="24"/>
        </w:rPr>
        <w:t>2.8.2 乙方应保证履行合同的人员数量和素质、软件和硬件设备的配置、场地、环境和设施等满足全面履行合同的要求，并应接受甲方的监督检查。</w:t>
      </w:r>
    </w:p>
    <w:p w14:paraId="27DCB99B">
      <w:pPr>
        <w:spacing w:line="360" w:lineRule="auto"/>
        <w:ind w:firstLine="480" w:firstLineChars="200"/>
        <w:rPr>
          <w:rFonts w:ascii="仿宋_GB2312" w:hAnsi="仿宋" w:eastAsia="仿宋_GB2312" w:cs="仿宋_GB2312"/>
          <w:kern w:val="0"/>
          <w:sz w:val="24"/>
        </w:rPr>
      </w:pPr>
      <w:r>
        <w:rPr>
          <w:rFonts w:hint="eastAsia" w:ascii="仿宋_GB2312" w:hAnsi="仿宋" w:eastAsia="仿宋_GB2312"/>
          <w:sz w:val="24"/>
        </w:rPr>
        <w:t>2.8.3乙方应确保项目技术人员的数量和水平与投标文件一致。未经甲方书面同意，乙方不得擅自更换投标文件中注明的项目经理和技术负责人。否则</w:t>
      </w:r>
      <w:r>
        <w:rPr>
          <w:rFonts w:hint="eastAsia" w:ascii="仿宋_GB2312" w:hAnsi="仿宋" w:eastAsia="仿宋_GB2312" w:cs="仿宋_GB2312"/>
          <w:kern w:val="0"/>
          <w:sz w:val="24"/>
        </w:rPr>
        <w:t>甲方有权放弃或终止合同，并没收履约保证金。</w:t>
      </w:r>
    </w:p>
    <w:p w14:paraId="12E687D5">
      <w:pPr>
        <w:spacing w:line="360" w:lineRule="auto"/>
        <w:ind w:firstLine="480" w:firstLineChars="200"/>
        <w:rPr>
          <w:rFonts w:ascii="仿宋_GB2312" w:hAnsi="楷体" w:eastAsia="仿宋_GB2312"/>
          <w:sz w:val="24"/>
        </w:rPr>
      </w:pPr>
      <w:r>
        <w:rPr>
          <w:rFonts w:hint="eastAsia" w:ascii="仿宋_GB2312" w:hAnsi="仿宋" w:eastAsia="仿宋_GB2312"/>
          <w:sz w:val="24"/>
        </w:rPr>
        <w:t>2.8.4因乙方原因造成甲方其他系统不能正常运行，酿成重大事故（工作日系统中断一天以上）的，乙方应承担全部法律责任，并赔偿经济损失，赔偿金额为项目总价的</w:t>
      </w:r>
      <w:r>
        <w:rPr>
          <w:rFonts w:hint="eastAsia" w:ascii="仿宋_GB2312" w:hAnsi="仿宋" w:eastAsia="仿宋_GB2312"/>
          <w:sz w:val="24"/>
          <w:u w:val="single"/>
        </w:rPr>
        <w:t xml:space="preserve"> 30% ，</w:t>
      </w:r>
      <w:r>
        <w:rPr>
          <w:rFonts w:hint="eastAsia" w:ascii="仿宋_GB2312" w:hAnsi="楷体" w:eastAsia="仿宋_GB2312"/>
          <w:sz w:val="24"/>
        </w:rPr>
        <w:t>甲方可从未支付的合同款中扣减赔偿金额</w:t>
      </w:r>
      <w:r>
        <w:rPr>
          <w:rFonts w:hint="eastAsia" w:ascii="仿宋_GB2312" w:hAnsi="仿宋" w:eastAsia="仿宋_GB2312"/>
          <w:sz w:val="24"/>
        </w:rPr>
        <w:t>。</w:t>
      </w:r>
    </w:p>
    <w:p w14:paraId="3287AFA6">
      <w:pPr>
        <w:spacing w:line="360" w:lineRule="auto"/>
        <w:ind w:firstLine="482" w:firstLineChars="200"/>
        <w:rPr>
          <w:rFonts w:ascii="仿宋_GB2312" w:hAnsi="楷体" w:eastAsia="仿宋_GB2312"/>
          <w:b/>
          <w:sz w:val="24"/>
        </w:rPr>
      </w:pPr>
      <w:r>
        <w:rPr>
          <w:rFonts w:hint="eastAsia" w:ascii="仿宋_GB2312" w:hAnsi="楷体" w:eastAsia="仿宋_GB2312"/>
          <w:b/>
          <w:sz w:val="24"/>
        </w:rPr>
        <w:t>2.9 标的物的风险负担</w:t>
      </w:r>
    </w:p>
    <w:p w14:paraId="1A665E25">
      <w:pPr>
        <w:spacing w:line="360" w:lineRule="auto"/>
        <w:ind w:firstLine="480" w:firstLineChars="200"/>
        <w:rPr>
          <w:rFonts w:ascii="仿宋_GB2312" w:hAnsi="楷体" w:eastAsia="仿宋_GB2312"/>
          <w:b/>
          <w:sz w:val="24"/>
        </w:rPr>
      </w:pPr>
      <w:r>
        <w:rPr>
          <w:rFonts w:hint="eastAsia" w:ascii="仿宋_GB2312" w:hAnsi="楷体" w:eastAsia="仿宋_GB2312"/>
          <w:sz w:val="24"/>
        </w:rPr>
        <w:t>标的物或者在途标的物或者交付给第一承运人后的标的物毁损、灭失的风险负担详见</w:t>
      </w:r>
      <w:r>
        <w:rPr>
          <w:rFonts w:hint="eastAsia" w:ascii="仿宋_GB2312" w:hAnsi="楷体" w:eastAsia="仿宋_GB2312"/>
          <w:b/>
          <w:i/>
          <w:sz w:val="24"/>
          <w:u w:val="single"/>
        </w:rPr>
        <w:t>合同专用条款</w:t>
      </w:r>
      <w:r>
        <w:rPr>
          <w:rFonts w:hint="eastAsia" w:ascii="仿宋_GB2312" w:hAnsi="楷体" w:eastAsia="仿宋_GB2312"/>
          <w:sz w:val="24"/>
        </w:rPr>
        <w:t>。</w:t>
      </w:r>
    </w:p>
    <w:p w14:paraId="17932676">
      <w:pPr>
        <w:spacing w:line="360" w:lineRule="auto"/>
        <w:ind w:firstLine="482" w:firstLineChars="200"/>
        <w:rPr>
          <w:rFonts w:ascii="仿宋_GB2312" w:hAnsi="楷体" w:eastAsia="仿宋_GB2312"/>
          <w:b/>
          <w:sz w:val="24"/>
        </w:rPr>
      </w:pPr>
      <w:r>
        <w:rPr>
          <w:rFonts w:hint="eastAsia" w:ascii="仿宋_GB2312" w:hAnsi="楷体" w:eastAsia="仿宋_GB2312"/>
          <w:b/>
          <w:sz w:val="24"/>
        </w:rPr>
        <w:t>2.10 延迟交货/交付</w:t>
      </w:r>
    </w:p>
    <w:p w14:paraId="121ABBA2">
      <w:pPr>
        <w:spacing w:line="360" w:lineRule="auto"/>
        <w:ind w:firstLine="480" w:firstLineChars="200"/>
        <w:rPr>
          <w:rFonts w:ascii="仿宋_GB2312" w:hAnsi="楷体" w:eastAsia="仿宋_GB2312"/>
          <w:sz w:val="24"/>
        </w:rPr>
      </w:pPr>
      <w:r>
        <w:rPr>
          <w:rFonts w:hint="eastAsia" w:ascii="仿宋_GB2312" w:hAnsi="楷体" w:eastAsia="仿宋_GB2312"/>
          <w:sz w:val="24"/>
        </w:rPr>
        <w:t>在合同履行过程中，如果乙方遇到不能按时交付标的物的情况，应及时以书面形式将不能按时交付标的物的理由、预期延误时间通知甲方；甲方收到乙方通知后，认为其理由正当的，可以书面形式酌情同意乙方可以延长交货的具体时间。</w:t>
      </w:r>
    </w:p>
    <w:p w14:paraId="29E9C4F1">
      <w:pPr>
        <w:spacing w:line="360" w:lineRule="auto"/>
        <w:ind w:firstLine="482" w:firstLineChars="200"/>
        <w:rPr>
          <w:rFonts w:ascii="仿宋_GB2312" w:hAnsi="楷体" w:eastAsia="仿宋_GB2312"/>
          <w:b/>
          <w:sz w:val="24"/>
        </w:rPr>
      </w:pPr>
      <w:r>
        <w:rPr>
          <w:rFonts w:hint="eastAsia" w:ascii="仿宋_GB2312" w:hAnsi="楷体" w:eastAsia="仿宋_GB2312"/>
          <w:b/>
          <w:sz w:val="24"/>
        </w:rPr>
        <w:t>2.11 合同变更</w:t>
      </w:r>
    </w:p>
    <w:p w14:paraId="4B02CFE0">
      <w:pPr>
        <w:spacing w:line="360" w:lineRule="auto"/>
        <w:ind w:firstLine="480" w:firstLineChars="200"/>
        <w:rPr>
          <w:rFonts w:ascii="仿宋_GB2312" w:hAnsi="楷体" w:eastAsia="仿宋_GB2312"/>
          <w:sz w:val="24"/>
        </w:rPr>
      </w:pPr>
      <w:r>
        <w:rPr>
          <w:rFonts w:hint="eastAsia" w:ascii="仿宋_GB2312" w:hAnsi="楷体" w:eastAsia="仿宋_GB2312"/>
          <w:sz w:val="24"/>
        </w:rPr>
        <w:t>2.11.1双方当事人协商一致，可以签订书面补充合同的形式变更合同，但不得违背招标文件确定的事项。如果系追加与合同标的相同的标的物的，那么需经采购监督管理部门同意，且所有补充合同的采购金额不得超过原合同价的10%；</w:t>
      </w:r>
    </w:p>
    <w:p w14:paraId="31093DA3">
      <w:pPr>
        <w:spacing w:line="360" w:lineRule="auto"/>
        <w:ind w:firstLine="480" w:firstLineChars="200"/>
        <w:rPr>
          <w:rFonts w:ascii="仿宋_GB2312" w:hAnsi="楷体" w:eastAsia="仿宋_GB2312"/>
          <w:sz w:val="24"/>
        </w:rPr>
      </w:pPr>
      <w:r>
        <w:rPr>
          <w:rFonts w:hint="eastAsia" w:ascii="仿宋_GB2312" w:hAnsi="楷体" w:eastAsia="仿宋_GB2312"/>
          <w:sz w:val="24"/>
        </w:rPr>
        <w:t>2.11.2 合同继续履行将损害国家利益和社会公共利益的，双方当事人应当以书面形式变更合同。有过错的一方应当承担赔偿责任，双方当事人都有过错的，各自承担相应的责任。</w:t>
      </w:r>
    </w:p>
    <w:p w14:paraId="0DF38C25">
      <w:pPr>
        <w:spacing w:line="360" w:lineRule="auto"/>
        <w:ind w:firstLine="482" w:firstLineChars="200"/>
        <w:rPr>
          <w:rFonts w:ascii="仿宋_GB2312" w:hAnsi="楷体" w:eastAsia="仿宋_GB2312"/>
          <w:b/>
          <w:sz w:val="24"/>
        </w:rPr>
      </w:pPr>
      <w:r>
        <w:rPr>
          <w:rFonts w:hint="eastAsia" w:ascii="仿宋_GB2312" w:hAnsi="楷体" w:eastAsia="仿宋_GB2312"/>
          <w:b/>
          <w:sz w:val="24"/>
        </w:rPr>
        <w:t>2.12 合同转让和分包</w:t>
      </w:r>
    </w:p>
    <w:p w14:paraId="137055CB">
      <w:pPr>
        <w:spacing w:line="360" w:lineRule="auto"/>
        <w:ind w:firstLine="480" w:firstLineChars="200"/>
        <w:rPr>
          <w:rFonts w:ascii="仿宋_GB2312" w:hAnsi="楷体" w:eastAsia="仿宋_GB2312"/>
          <w:sz w:val="24"/>
        </w:rPr>
      </w:pPr>
      <w:r>
        <w:rPr>
          <w:rFonts w:hint="eastAsia" w:ascii="仿宋_GB2312" w:hAnsi="楷体" w:eastAsia="仿宋_GB2312"/>
          <w:sz w:val="24"/>
        </w:rPr>
        <w:t>合同的权利义务依法不得转让，但经甲方书面同意，乙方可以依法采取分包方式履行合同，即：依法可以将合同项下的部分非主体、非关键性工作分包给他人完成，接受分包的投标人应当具备相应的资格条件，并不得再次分包，且乙方应就分包项目向甲方负责，并与分包投标人就分包项目向甲方承担连带责任。</w:t>
      </w:r>
    </w:p>
    <w:p w14:paraId="3006BB7B">
      <w:pPr>
        <w:spacing w:line="360" w:lineRule="auto"/>
        <w:ind w:firstLine="482" w:firstLineChars="200"/>
        <w:rPr>
          <w:rFonts w:ascii="仿宋_GB2312" w:hAnsi="楷体" w:eastAsia="仿宋_GB2312"/>
          <w:b/>
          <w:sz w:val="24"/>
        </w:rPr>
      </w:pPr>
      <w:r>
        <w:rPr>
          <w:rFonts w:hint="eastAsia" w:ascii="仿宋_GB2312" w:hAnsi="楷体" w:eastAsia="仿宋_GB2312"/>
          <w:b/>
          <w:sz w:val="24"/>
        </w:rPr>
        <w:t>2.13 不可抗力</w:t>
      </w:r>
    </w:p>
    <w:p w14:paraId="1A02E5DB">
      <w:pPr>
        <w:spacing w:line="360" w:lineRule="auto"/>
        <w:ind w:firstLine="480" w:firstLineChars="200"/>
        <w:rPr>
          <w:rFonts w:ascii="仿宋_GB2312" w:hAnsi="楷体" w:eastAsia="仿宋_GB2312"/>
          <w:sz w:val="24"/>
        </w:rPr>
      </w:pPr>
      <w:r>
        <w:rPr>
          <w:rFonts w:hint="eastAsia" w:ascii="仿宋_GB2312" w:hAnsi="楷体" w:eastAsia="仿宋_GB2312"/>
          <w:sz w:val="24"/>
        </w:rPr>
        <w:t>2.13.1如果任何一方遭遇法律规定的不可抗力，致使合同履行受阻时，履行合同的期限应予延长，延长的期限应相当于不可抗力所影响的时间；</w:t>
      </w:r>
    </w:p>
    <w:p w14:paraId="1CB54F60">
      <w:pPr>
        <w:spacing w:line="360" w:lineRule="auto"/>
        <w:ind w:firstLine="480" w:firstLineChars="200"/>
        <w:rPr>
          <w:rFonts w:ascii="仿宋_GB2312" w:hAnsi="楷体" w:eastAsia="仿宋_GB2312"/>
          <w:sz w:val="24"/>
        </w:rPr>
      </w:pPr>
      <w:r>
        <w:rPr>
          <w:rFonts w:hint="eastAsia" w:ascii="仿宋_GB2312" w:hAnsi="楷体" w:eastAsia="仿宋_GB2312"/>
          <w:sz w:val="24"/>
        </w:rPr>
        <w:t>2.13.2受不可抗力影响的一方在不可抗力发生后，应在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约定时间内以书面形式通知对方当事人，并在</w:t>
      </w:r>
      <w:r>
        <w:rPr>
          <w:rFonts w:hint="eastAsia" w:ascii="仿宋_GB2312" w:hAnsi="楷体" w:eastAsia="仿宋_GB2312"/>
          <w:b/>
          <w:i/>
          <w:sz w:val="24"/>
          <w:u w:val="single"/>
        </w:rPr>
        <w:t>合同专用条款</w:t>
      </w:r>
      <w:r>
        <w:rPr>
          <w:rFonts w:hint="eastAsia" w:ascii="仿宋_GB2312" w:hAnsi="楷体" w:eastAsia="仿宋_GB2312"/>
          <w:sz w:val="24"/>
        </w:rPr>
        <w:t>约定时间内，将有关部门出具的证明文件送达对方当事人。</w:t>
      </w:r>
    </w:p>
    <w:p w14:paraId="4BA7DA9C">
      <w:pPr>
        <w:spacing w:line="360" w:lineRule="auto"/>
        <w:ind w:firstLine="480" w:firstLineChars="200"/>
        <w:rPr>
          <w:rFonts w:ascii="仿宋_GB2312" w:hAnsi="楷体" w:eastAsia="仿宋_GB2312"/>
          <w:sz w:val="24"/>
        </w:rPr>
      </w:pPr>
      <w:r>
        <w:rPr>
          <w:rFonts w:hint="eastAsia" w:ascii="仿宋_GB2312" w:hAnsi="楷体" w:eastAsia="仿宋_GB2312"/>
          <w:sz w:val="24"/>
        </w:rPr>
        <w:t>2.13.3 因不可抗力致使不能实现合同目的的，当事人可以解除合同；</w:t>
      </w:r>
    </w:p>
    <w:p w14:paraId="73CCD98D">
      <w:pPr>
        <w:spacing w:line="360" w:lineRule="auto"/>
        <w:ind w:firstLine="480" w:firstLineChars="200"/>
        <w:rPr>
          <w:rFonts w:ascii="仿宋_GB2312" w:hAnsi="楷体" w:eastAsia="仿宋_GB2312"/>
          <w:sz w:val="24"/>
        </w:rPr>
      </w:pPr>
      <w:r>
        <w:rPr>
          <w:rFonts w:hint="eastAsia" w:ascii="仿宋_GB2312" w:hAnsi="楷体" w:eastAsia="仿宋_GB2312"/>
          <w:sz w:val="24"/>
        </w:rPr>
        <w:t>2.13.4 因不可抗力致使合同有变更必要的，双方当事人应在</w:t>
      </w:r>
      <w:r>
        <w:rPr>
          <w:rFonts w:hint="eastAsia" w:ascii="仿宋_GB2312" w:hAnsi="楷体" w:eastAsia="仿宋_GB2312"/>
          <w:b/>
          <w:i/>
          <w:sz w:val="24"/>
          <w:u w:val="single"/>
        </w:rPr>
        <w:t>合同专用条款</w:t>
      </w:r>
      <w:r>
        <w:rPr>
          <w:rFonts w:hint="eastAsia" w:ascii="仿宋_GB2312" w:hAnsi="楷体" w:eastAsia="仿宋_GB2312"/>
          <w:sz w:val="24"/>
        </w:rPr>
        <w:t>约定时间内以书面形式变更合同；</w:t>
      </w:r>
    </w:p>
    <w:p w14:paraId="4D12A20A">
      <w:pPr>
        <w:spacing w:line="360" w:lineRule="auto"/>
        <w:ind w:firstLine="482" w:firstLineChars="200"/>
        <w:rPr>
          <w:rFonts w:ascii="仿宋_GB2312" w:hAnsi="楷体" w:eastAsia="仿宋_GB2312"/>
          <w:b/>
          <w:sz w:val="24"/>
        </w:rPr>
      </w:pPr>
      <w:r>
        <w:rPr>
          <w:rFonts w:hint="eastAsia" w:ascii="仿宋_GB2312" w:hAnsi="楷体" w:eastAsia="仿宋_GB2312"/>
          <w:b/>
          <w:sz w:val="24"/>
        </w:rPr>
        <w:t>2.14 税费</w:t>
      </w:r>
    </w:p>
    <w:p w14:paraId="60AEC2AD">
      <w:pPr>
        <w:spacing w:line="360" w:lineRule="auto"/>
        <w:ind w:firstLine="480" w:firstLineChars="200"/>
        <w:rPr>
          <w:rFonts w:ascii="仿宋_GB2312" w:hAnsi="楷体" w:eastAsia="仿宋_GB2312"/>
          <w:sz w:val="24"/>
        </w:rPr>
      </w:pPr>
      <w:r>
        <w:rPr>
          <w:rFonts w:hint="eastAsia" w:ascii="仿宋_GB2312" w:hAnsi="楷体" w:eastAsia="仿宋_GB2312"/>
          <w:sz w:val="24"/>
        </w:rPr>
        <w:t>与合同有关的一切税费，均按照中华人民共和国法律的相关规定执行。</w:t>
      </w:r>
    </w:p>
    <w:p w14:paraId="75A9D548">
      <w:pPr>
        <w:spacing w:line="360" w:lineRule="auto"/>
        <w:ind w:firstLine="482" w:firstLineChars="200"/>
        <w:rPr>
          <w:rFonts w:ascii="仿宋_GB2312" w:hAnsi="楷体" w:eastAsia="仿宋_GB2312"/>
          <w:b/>
          <w:sz w:val="24"/>
        </w:rPr>
      </w:pPr>
      <w:r>
        <w:rPr>
          <w:rFonts w:hint="eastAsia" w:ascii="仿宋_GB2312" w:hAnsi="楷体" w:eastAsia="仿宋_GB2312"/>
          <w:b/>
          <w:sz w:val="24"/>
        </w:rPr>
        <w:t>2.15 乙方破产</w:t>
      </w:r>
    </w:p>
    <w:p w14:paraId="38E19CE0">
      <w:pPr>
        <w:spacing w:line="360" w:lineRule="auto"/>
        <w:ind w:firstLine="480" w:firstLineChars="200"/>
        <w:rPr>
          <w:rFonts w:ascii="仿宋_GB2312" w:hAnsi="楷体" w:eastAsia="仿宋_GB2312"/>
          <w:sz w:val="24"/>
        </w:rPr>
      </w:pPr>
      <w:r>
        <w:rPr>
          <w:rFonts w:hint="eastAsia" w:ascii="仿宋_GB2312" w:hAnsi="楷体" w:eastAsia="仿宋_GB2312"/>
          <w:sz w:val="24"/>
        </w:rPr>
        <w:t>如果乙方破产导致合同无法履行时，甲方可以书面形式通知乙方终止合同且不给予乙方任何补偿和赔偿，但合同的终止不损害或不影响甲方已经采取或将要采取的任何要求乙方支付违约金、赔偿损失等的行动或补救措施的权利。</w:t>
      </w:r>
    </w:p>
    <w:p w14:paraId="4BE97B3C">
      <w:pPr>
        <w:spacing w:line="360" w:lineRule="auto"/>
        <w:ind w:firstLine="482" w:firstLineChars="200"/>
        <w:rPr>
          <w:rFonts w:ascii="仿宋_GB2312" w:hAnsi="楷体" w:eastAsia="仿宋_GB2312"/>
          <w:b/>
          <w:sz w:val="24"/>
        </w:rPr>
      </w:pPr>
      <w:r>
        <w:rPr>
          <w:rFonts w:hint="eastAsia" w:ascii="仿宋_GB2312" w:hAnsi="楷体" w:eastAsia="仿宋_GB2312"/>
          <w:b/>
          <w:sz w:val="24"/>
        </w:rPr>
        <w:t>2.16 合同中止、终止</w:t>
      </w:r>
    </w:p>
    <w:p w14:paraId="4262E6C9">
      <w:pPr>
        <w:spacing w:line="360" w:lineRule="auto"/>
        <w:ind w:firstLine="480" w:firstLineChars="200"/>
        <w:rPr>
          <w:rFonts w:ascii="仿宋_GB2312" w:hAnsi="楷体" w:eastAsia="仿宋_GB2312"/>
          <w:sz w:val="24"/>
        </w:rPr>
      </w:pPr>
      <w:r>
        <w:rPr>
          <w:rFonts w:hint="eastAsia" w:ascii="仿宋_GB2312" w:hAnsi="楷体" w:eastAsia="仿宋_GB2312"/>
          <w:sz w:val="24"/>
        </w:rPr>
        <w:t>2.16.1 双方当事人不得擅自中止或者终止合同；</w:t>
      </w:r>
    </w:p>
    <w:p w14:paraId="52EAD0B9">
      <w:pPr>
        <w:spacing w:line="360" w:lineRule="auto"/>
        <w:ind w:firstLine="480" w:firstLineChars="200"/>
        <w:rPr>
          <w:rFonts w:ascii="仿宋_GB2312" w:hAnsi="楷体" w:eastAsia="仿宋_GB2312"/>
          <w:sz w:val="24"/>
        </w:rPr>
      </w:pPr>
      <w:r>
        <w:rPr>
          <w:rFonts w:hint="eastAsia" w:ascii="仿宋_GB2312" w:hAnsi="楷体" w:eastAsia="仿宋_GB2312"/>
          <w:sz w:val="24"/>
        </w:rPr>
        <w:t>2.16.2合同继续履行将损害国家利益和社会公共利益的，双方当事人应当中止或者终止合同。有过错的一方应当承担赔偿责任，双方当事人都有过错的，各自承担相应的责任。</w:t>
      </w:r>
    </w:p>
    <w:p w14:paraId="1462A0A3">
      <w:pPr>
        <w:spacing w:line="360" w:lineRule="auto"/>
        <w:ind w:firstLine="482" w:firstLineChars="200"/>
        <w:rPr>
          <w:rFonts w:ascii="仿宋_GB2312" w:hAnsi="楷体" w:eastAsia="仿宋_GB2312"/>
          <w:b/>
          <w:sz w:val="24"/>
        </w:rPr>
      </w:pPr>
      <w:r>
        <w:rPr>
          <w:rFonts w:hint="eastAsia" w:ascii="仿宋_GB2312" w:hAnsi="楷体" w:eastAsia="仿宋_GB2312"/>
          <w:b/>
          <w:sz w:val="24"/>
        </w:rPr>
        <w:t>2.17 检验和验收</w:t>
      </w:r>
    </w:p>
    <w:p w14:paraId="5AC2168E">
      <w:pPr>
        <w:spacing w:line="360" w:lineRule="auto"/>
        <w:ind w:firstLine="480" w:firstLineChars="200"/>
        <w:rPr>
          <w:rFonts w:ascii="仿宋_GB2312" w:hAnsi="楷体" w:eastAsia="仿宋_GB2312"/>
          <w:sz w:val="24"/>
        </w:rPr>
      </w:pPr>
      <w:r>
        <w:rPr>
          <w:rFonts w:hint="eastAsia" w:ascii="仿宋_GB2312" w:hAnsi="楷体" w:eastAsia="仿宋_GB2312"/>
          <w:sz w:val="24"/>
        </w:rPr>
        <w:t>2.17.1标的物交付前，乙方应对标的物的质量、数量等方面进行详细、全面的检验，并向甲方出具证明标的物符合合同约定的文件；标的物交付时，乙方在</w:t>
      </w:r>
      <w:r>
        <w:rPr>
          <w:rFonts w:hint="eastAsia" w:ascii="仿宋_GB2312" w:hAnsi="楷体" w:eastAsia="仿宋_GB2312"/>
          <w:b/>
          <w:i/>
          <w:sz w:val="24"/>
          <w:u w:val="single"/>
        </w:rPr>
        <w:t>合同专用条款</w:t>
      </w:r>
      <w:r>
        <w:rPr>
          <w:rFonts w:hint="eastAsia" w:ascii="仿宋_GB2312" w:hAnsi="楷体" w:eastAsia="仿宋_GB2312"/>
          <w:sz w:val="24"/>
        </w:rPr>
        <w:t>约定时间内组织验收，并可依法邀请相关方参加，验收应出具验收书。</w:t>
      </w:r>
    </w:p>
    <w:p w14:paraId="3B9767AF">
      <w:pPr>
        <w:spacing w:line="360" w:lineRule="auto"/>
        <w:ind w:firstLine="480" w:firstLineChars="200"/>
        <w:rPr>
          <w:rFonts w:ascii="仿宋_GB2312" w:hAnsi="楷体" w:eastAsia="仿宋_GB2312"/>
          <w:sz w:val="24"/>
        </w:rPr>
      </w:pPr>
      <w:r>
        <w:rPr>
          <w:rFonts w:hint="eastAsia" w:ascii="仿宋_GB2312" w:hAnsi="楷体" w:eastAsia="仿宋_GB2312"/>
          <w:sz w:val="24"/>
        </w:rPr>
        <w:t>2.17.2合同期满或者履行完毕后，甲方有权组织（包括依法邀请国家认可的质量检测机构参加）对乙方履约的验收，即：按照合同约定的技术、服务、安全标准，组织对每一项技术、服务、安全标准的履约情况的验收，并出具验收书。</w:t>
      </w:r>
    </w:p>
    <w:p w14:paraId="0A4DE34E">
      <w:pPr>
        <w:spacing w:line="360" w:lineRule="auto"/>
        <w:ind w:firstLine="480" w:firstLineChars="200"/>
        <w:rPr>
          <w:rFonts w:ascii="仿宋_GB2312" w:hAnsi="楷体" w:eastAsia="仿宋_GB2312"/>
          <w:sz w:val="24"/>
        </w:rPr>
      </w:pPr>
      <w:r>
        <w:rPr>
          <w:rFonts w:hint="eastAsia" w:ascii="仿宋_GB2312" w:hAnsi="楷体" w:eastAsia="仿宋_GB2312"/>
          <w:sz w:val="24"/>
        </w:rPr>
        <w:t>2.17.3 检验和验收标准、程序等具体内容以及前述验收书的效力详见</w:t>
      </w:r>
      <w:r>
        <w:rPr>
          <w:rFonts w:hint="eastAsia" w:ascii="仿宋_GB2312" w:hAnsi="楷体" w:eastAsia="仿宋_GB2312"/>
          <w:b/>
          <w:i/>
          <w:sz w:val="24"/>
          <w:u w:val="single"/>
        </w:rPr>
        <w:t>合同专用条款</w:t>
      </w:r>
      <w:r>
        <w:rPr>
          <w:rFonts w:hint="eastAsia" w:ascii="仿宋_GB2312" w:hAnsi="楷体" w:eastAsia="仿宋_GB2312"/>
          <w:i/>
          <w:sz w:val="24"/>
        </w:rPr>
        <w:t>。</w:t>
      </w:r>
    </w:p>
    <w:p w14:paraId="25FE7843">
      <w:pPr>
        <w:spacing w:line="360" w:lineRule="auto"/>
        <w:ind w:firstLine="482" w:firstLineChars="200"/>
        <w:rPr>
          <w:rFonts w:ascii="仿宋_GB2312" w:hAnsi="楷体" w:eastAsia="仿宋_GB2312"/>
          <w:b/>
          <w:sz w:val="24"/>
        </w:rPr>
      </w:pPr>
      <w:r>
        <w:rPr>
          <w:rFonts w:hint="eastAsia" w:ascii="仿宋_GB2312" w:hAnsi="楷体" w:eastAsia="仿宋_GB2312"/>
          <w:b/>
          <w:sz w:val="24"/>
        </w:rPr>
        <w:t>2.18 通知和送达</w:t>
      </w:r>
    </w:p>
    <w:p w14:paraId="1BF7360D">
      <w:pPr>
        <w:spacing w:line="360" w:lineRule="auto"/>
        <w:ind w:firstLine="480" w:firstLineChars="200"/>
        <w:rPr>
          <w:rFonts w:ascii="仿宋_GB2312" w:hAnsi="楷体" w:eastAsia="仿宋_GB2312"/>
          <w:sz w:val="24"/>
        </w:rPr>
      </w:pPr>
      <w:r>
        <w:rPr>
          <w:rFonts w:hint="eastAsia" w:ascii="仿宋_GB2312" w:hAnsi="楷体" w:eastAsia="仿宋_GB2312"/>
          <w:sz w:val="24"/>
        </w:rPr>
        <w:t>2.18.1 任何一方因履行合同而以合同第一部分尾部所列明的</w:t>
      </w:r>
      <w:r>
        <w:rPr>
          <w:rFonts w:hint="eastAsia" w:ascii="仿宋_GB2312" w:hAnsi="楷体" w:eastAsia="仿宋_GB2312"/>
          <w:sz w:val="24"/>
          <w:u w:val="single"/>
        </w:rPr>
        <w:t>“约定送达地址”</w:t>
      </w:r>
      <w:r>
        <w:rPr>
          <w:rFonts w:hint="eastAsia" w:ascii="仿宋_GB2312" w:hAnsi="楷体" w:eastAsia="仿宋_GB2312"/>
          <w:sz w:val="24"/>
        </w:rPr>
        <w:t>为收件地址的所有通知、文件、材料，均视为已向对方当事人送达；任何一方变更上述送达方式或者地址的，应于</w:t>
      </w:r>
      <w:r>
        <w:rPr>
          <w:rFonts w:hint="eastAsia" w:ascii="仿宋_GB2312" w:hAnsi="楷体" w:eastAsia="仿宋_GB2312"/>
          <w:sz w:val="24"/>
          <w:u w:val="single"/>
        </w:rPr>
        <w:t xml:space="preserve"> 5 </w:t>
      </w:r>
      <w:r>
        <w:rPr>
          <w:rFonts w:hint="eastAsia" w:ascii="仿宋_GB2312" w:hAnsi="楷体" w:eastAsia="仿宋_GB2312"/>
          <w:sz w:val="24"/>
        </w:rPr>
        <w:t>个工作日内书面通知对方当事人，在对方当事人收到有关变更通知之前，变更前的约定送达方式或者地址仍视为有效。</w:t>
      </w:r>
    </w:p>
    <w:p w14:paraId="43C946D9">
      <w:pPr>
        <w:spacing w:line="360" w:lineRule="auto"/>
        <w:ind w:firstLine="480" w:firstLineChars="200"/>
        <w:rPr>
          <w:rFonts w:ascii="仿宋_GB2312" w:hAnsi="楷体" w:eastAsia="仿宋_GB2312"/>
          <w:sz w:val="24"/>
        </w:rPr>
      </w:pPr>
      <w:r>
        <w:rPr>
          <w:rFonts w:hint="eastAsia" w:ascii="仿宋_GB2312" w:hAnsi="楷体" w:eastAsia="仿宋_GB2312"/>
          <w:sz w:val="24"/>
        </w:rPr>
        <w:t>2.18.2以当面交付方式送达的，交付之时视为送达；以电子邮件方式送达的，发出电子邮件之时视为送达；以传真方式送达的，发出传真之时视为送达；以邮寄方式送达的，邮件挂号寄出或者交邮之日之次日视为送达。</w:t>
      </w:r>
    </w:p>
    <w:p w14:paraId="298D642C">
      <w:pPr>
        <w:spacing w:line="360" w:lineRule="auto"/>
        <w:ind w:firstLine="482" w:firstLineChars="200"/>
        <w:rPr>
          <w:rFonts w:ascii="仿宋_GB2312" w:hAnsi="楷体" w:eastAsia="仿宋_GB2312"/>
          <w:b/>
          <w:sz w:val="24"/>
        </w:rPr>
      </w:pPr>
      <w:r>
        <w:rPr>
          <w:rFonts w:hint="eastAsia" w:ascii="仿宋_GB2312" w:hAnsi="楷体" w:eastAsia="仿宋_GB2312"/>
          <w:b/>
          <w:sz w:val="24"/>
        </w:rPr>
        <w:t>2.19 计量单位</w:t>
      </w:r>
    </w:p>
    <w:p w14:paraId="7222A9C2">
      <w:pPr>
        <w:spacing w:line="360" w:lineRule="auto"/>
        <w:ind w:firstLine="480" w:firstLineChars="200"/>
        <w:rPr>
          <w:rFonts w:ascii="仿宋_GB2312" w:hAnsi="楷体" w:eastAsia="仿宋_GB2312"/>
          <w:sz w:val="24"/>
        </w:rPr>
      </w:pPr>
      <w:r>
        <w:rPr>
          <w:rFonts w:hint="eastAsia" w:ascii="仿宋_GB2312" w:hAnsi="楷体" w:eastAsia="仿宋_GB2312"/>
          <w:sz w:val="24"/>
        </w:rPr>
        <w:t>除技术规范中另有规定外,合同的计量单位均使用国家法定计量单位。</w:t>
      </w:r>
    </w:p>
    <w:p w14:paraId="5B9285E7">
      <w:pPr>
        <w:spacing w:line="360" w:lineRule="auto"/>
        <w:ind w:firstLine="482" w:firstLineChars="200"/>
        <w:rPr>
          <w:rFonts w:ascii="仿宋_GB2312" w:hAnsi="楷体" w:eastAsia="仿宋_GB2312"/>
          <w:b/>
          <w:sz w:val="24"/>
        </w:rPr>
      </w:pPr>
      <w:r>
        <w:rPr>
          <w:rFonts w:hint="eastAsia" w:ascii="仿宋_GB2312" w:hAnsi="楷体" w:eastAsia="仿宋_GB2312"/>
          <w:b/>
          <w:sz w:val="24"/>
        </w:rPr>
        <w:t>2.20 合同使用的文字和适用的法律</w:t>
      </w:r>
    </w:p>
    <w:p w14:paraId="4518AB5F">
      <w:pPr>
        <w:spacing w:line="360" w:lineRule="auto"/>
        <w:ind w:firstLine="480" w:firstLineChars="200"/>
        <w:rPr>
          <w:rFonts w:ascii="仿宋_GB2312" w:hAnsi="楷体" w:eastAsia="仿宋_GB2312"/>
          <w:sz w:val="24"/>
        </w:rPr>
      </w:pPr>
      <w:r>
        <w:rPr>
          <w:rFonts w:hint="eastAsia" w:ascii="仿宋_GB2312" w:hAnsi="楷体" w:eastAsia="仿宋_GB2312"/>
          <w:sz w:val="24"/>
        </w:rPr>
        <w:t>2.20.1 合同使用汉语书写、变更和解释；</w:t>
      </w:r>
    </w:p>
    <w:p w14:paraId="0DDC6449">
      <w:pPr>
        <w:spacing w:line="360" w:lineRule="auto"/>
        <w:ind w:firstLine="480" w:firstLineChars="200"/>
        <w:rPr>
          <w:rFonts w:ascii="仿宋_GB2312" w:hAnsi="楷体" w:eastAsia="仿宋_GB2312"/>
          <w:sz w:val="24"/>
        </w:rPr>
      </w:pPr>
      <w:r>
        <w:rPr>
          <w:rFonts w:hint="eastAsia" w:ascii="仿宋_GB2312" w:hAnsi="楷体" w:eastAsia="仿宋_GB2312"/>
          <w:sz w:val="24"/>
        </w:rPr>
        <w:t>2.20.2 合同适用中华人民共和国法律。</w:t>
      </w:r>
    </w:p>
    <w:p w14:paraId="1C1687BA">
      <w:pPr>
        <w:spacing w:line="360" w:lineRule="auto"/>
        <w:ind w:firstLine="482" w:firstLineChars="200"/>
        <w:rPr>
          <w:rFonts w:ascii="仿宋_GB2312" w:hAnsi="楷体" w:eastAsia="仿宋_GB2312"/>
          <w:b/>
          <w:sz w:val="24"/>
        </w:rPr>
      </w:pPr>
      <w:r>
        <w:rPr>
          <w:rFonts w:hint="eastAsia" w:ascii="仿宋_GB2312" w:hAnsi="楷体" w:eastAsia="仿宋_GB2312"/>
          <w:b/>
          <w:sz w:val="24"/>
        </w:rPr>
        <w:t>2.21 履约保证金</w:t>
      </w:r>
    </w:p>
    <w:p w14:paraId="72817935">
      <w:pPr>
        <w:spacing w:line="360" w:lineRule="auto"/>
        <w:ind w:firstLine="480" w:firstLineChars="200"/>
        <w:rPr>
          <w:rFonts w:ascii="仿宋_GB2312" w:hAnsi="仿宋" w:eastAsia="仿宋_GB2312" w:cs="Arial"/>
          <w:snapToGrid w:val="0"/>
          <w:kern w:val="0"/>
          <w:sz w:val="24"/>
        </w:rPr>
      </w:pPr>
      <w:r>
        <w:rPr>
          <w:rFonts w:hint="eastAsia" w:ascii="仿宋_GB2312" w:hAnsi="楷体" w:eastAsia="仿宋_GB2312"/>
          <w:sz w:val="24"/>
        </w:rPr>
        <w:t>本项目不收取履约保证金</w:t>
      </w:r>
    </w:p>
    <w:p w14:paraId="0B145CDC">
      <w:pPr>
        <w:spacing w:line="360" w:lineRule="auto"/>
        <w:ind w:firstLine="482" w:firstLineChars="200"/>
        <w:rPr>
          <w:rFonts w:ascii="仿宋_GB2312" w:hAnsi="仿宋" w:eastAsia="仿宋_GB2312"/>
          <w:kern w:val="0"/>
          <w:sz w:val="24"/>
          <w:lang w:val="zh-CN"/>
        </w:rPr>
      </w:pPr>
      <w:r>
        <w:rPr>
          <w:rFonts w:hint="eastAsia" w:ascii="仿宋_GB2312" w:hAnsi="楷体" w:eastAsia="仿宋_GB2312"/>
          <w:b/>
          <w:sz w:val="24"/>
        </w:rPr>
        <w:t>2.22 中小企业政策</w:t>
      </w:r>
    </w:p>
    <w:p w14:paraId="72BE081E">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 xml:space="preserve">2.22.1本合同（□是  </w:t>
      </w:r>
      <w:r>
        <w:rPr>
          <w:rFonts w:hint="eastAsia" w:ascii="仿宋_GB2312" w:hAnsi="宋体" w:eastAsia="仿宋_GB2312"/>
          <w:sz w:val="24"/>
        </w:rPr>
        <w:sym w:font="Wingdings 2" w:char="00A3"/>
      </w:r>
      <w:r>
        <w:rPr>
          <w:rFonts w:hint="eastAsia" w:ascii="仿宋_GB2312" w:hAnsi="仿宋" w:eastAsia="仿宋_GB2312"/>
          <w:kern w:val="0"/>
          <w:sz w:val="24"/>
          <w:lang w:val="zh-CN"/>
        </w:rPr>
        <w:t>否）为中小企业“政采贷”可融资合同，关于中小企业信用融资事项见招标文件“投标人须知正文”。</w:t>
      </w:r>
    </w:p>
    <w:p w14:paraId="4066B2F7">
      <w:pPr>
        <w:spacing w:line="360" w:lineRule="auto"/>
        <w:ind w:firstLine="480" w:firstLineChars="200"/>
        <w:rPr>
          <w:rFonts w:ascii="仿宋_GB2312" w:hAnsi="仿宋" w:eastAsia="仿宋_GB2312"/>
          <w:kern w:val="0"/>
          <w:sz w:val="24"/>
          <w:lang w:val="zh-CN"/>
        </w:rPr>
      </w:pPr>
      <w:r>
        <w:rPr>
          <w:rFonts w:hint="eastAsia" w:ascii="仿宋_GB2312" w:hAnsi="仿宋" w:eastAsia="仿宋_GB2312"/>
          <w:kern w:val="0"/>
          <w:sz w:val="24"/>
          <w:lang w:val="zh-CN"/>
        </w:rPr>
        <w:t xml:space="preserve">2.22.2本合同（□是  </w:t>
      </w:r>
      <w:r>
        <w:rPr>
          <w:rFonts w:hint="eastAsia" w:ascii="仿宋_GB2312" w:hAnsi="宋体" w:eastAsia="仿宋_GB2312"/>
          <w:sz w:val="24"/>
        </w:rPr>
        <w:sym w:font="Wingdings 2" w:char="0052"/>
      </w:r>
      <w:r>
        <w:rPr>
          <w:rFonts w:hint="eastAsia" w:ascii="仿宋_GB2312" w:hAnsi="仿宋" w:eastAsia="仿宋_GB2312"/>
          <w:kern w:val="0"/>
          <w:sz w:val="24"/>
          <w:lang w:val="zh-CN"/>
        </w:rPr>
        <w:t>否）为中小企业预留合同。</w:t>
      </w:r>
    </w:p>
    <w:p w14:paraId="4B80F95E">
      <w:pPr>
        <w:spacing w:line="360" w:lineRule="auto"/>
        <w:ind w:firstLine="482" w:firstLineChars="200"/>
        <w:rPr>
          <w:rFonts w:ascii="仿宋_GB2312" w:hAnsi="楷体" w:eastAsia="仿宋_GB2312"/>
          <w:b/>
          <w:sz w:val="24"/>
        </w:rPr>
      </w:pPr>
      <w:r>
        <w:rPr>
          <w:rFonts w:hint="eastAsia" w:ascii="仿宋_GB2312" w:hAnsi="楷体" w:eastAsia="仿宋_GB2312"/>
          <w:b/>
          <w:sz w:val="24"/>
        </w:rPr>
        <w:t>2.23 合同份数</w:t>
      </w:r>
    </w:p>
    <w:p w14:paraId="719AD65E">
      <w:pPr>
        <w:spacing w:line="360" w:lineRule="auto"/>
        <w:ind w:firstLine="480" w:firstLineChars="200"/>
        <w:rPr>
          <w:rFonts w:ascii="仿宋_GB2312" w:hAnsi="楷体" w:eastAsia="仿宋_GB2312"/>
          <w:sz w:val="24"/>
        </w:rPr>
      </w:pPr>
      <w:r>
        <w:rPr>
          <w:rFonts w:hint="eastAsia" w:ascii="仿宋_GB2312" w:hAnsi="宋体" w:eastAsia="仿宋_GB2312"/>
          <w:sz w:val="24"/>
        </w:rPr>
        <w:t>本合同壹式</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份，甲方执</w:t>
      </w:r>
      <w:r>
        <w:rPr>
          <w:rFonts w:hint="eastAsia" w:ascii="仿宋_GB2312" w:hAnsi="宋体" w:eastAsia="仿宋_GB2312"/>
          <w:sz w:val="24"/>
          <w:u w:val="single"/>
        </w:rPr>
        <w:t xml:space="preserve"> </w:t>
      </w:r>
      <w:r>
        <w:rPr>
          <w:rFonts w:hint="eastAsia" w:ascii="仿宋_GB2312" w:hAnsi="仿宋" w:eastAsia="仿宋_GB2312"/>
          <w:sz w:val="24"/>
          <w:u w:val="single"/>
        </w:rPr>
        <w:t xml:space="preserve"> </w:t>
      </w:r>
      <w:r>
        <w:rPr>
          <w:rFonts w:hint="eastAsia" w:ascii="仿宋_GB2312" w:hAnsi="宋体" w:eastAsia="仿宋_GB2312"/>
          <w:sz w:val="24"/>
        </w:rPr>
        <w:t>份，乙方执</w:t>
      </w:r>
      <w:r>
        <w:rPr>
          <w:rFonts w:hint="eastAsia" w:ascii="仿宋_GB2312" w:hAnsi="仿宋" w:eastAsia="仿宋_GB2312"/>
          <w:sz w:val="24"/>
          <w:u w:val="single"/>
        </w:rPr>
        <w:t xml:space="preserve"> </w:t>
      </w:r>
      <w:r>
        <w:rPr>
          <w:rFonts w:hint="eastAsia" w:ascii="仿宋_GB2312" w:hAnsi="宋体" w:eastAsia="仿宋_GB2312"/>
          <w:sz w:val="24"/>
          <w:u w:val="single"/>
        </w:rPr>
        <w:t xml:space="preserve"> </w:t>
      </w:r>
      <w:r>
        <w:rPr>
          <w:rFonts w:hint="eastAsia" w:ascii="仿宋_GB2312" w:hAnsi="宋体" w:eastAsia="仿宋_GB2312"/>
          <w:sz w:val="24"/>
        </w:rPr>
        <w:t>份，代理机构执</w:t>
      </w:r>
      <w:r>
        <w:rPr>
          <w:rFonts w:hint="eastAsia" w:ascii="仿宋_GB2312" w:hAnsi="宋体" w:eastAsia="仿宋_GB2312"/>
          <w:sz w:val="24"/>
          <w:u w:val="single"/>
        </w:rPr>
        <w:t xml:space="preserve"> </w:t>
      </w:r>
      <w:r>
        <w:rPr>
          <w:rFonts w:ascii="仿宋_GB2312" w:hAnsi="宋体" w:eastAsia="仿宋_GB2312"/>
          <w:sz w:val="24"/>
          <w:u w:val="single"/>
        </w:rPr>
        <w:t xml:space="preserve"> </w:t>
      </w:r>
      <w:r>
        <w:rPr>
          <w:rFonts w:hint="eastAsia" w:ascii="仿宋_GB2312" w:hAnsi="宋体" w:eastAsia="仿宋_GB2312"/>
          <w:sz w:val="24"/>
        </w:rPr>
        <w:t>份。</w:t>
      </w:r>
      <w:r>
        <w:rPr>
          <w:rFonts w:hint="eastAsia" w:ascii="仿宋_GB2312" w:hAnsi="楷体" w:eastAsia="仿宋_GB2312"/>
          <w:sz w:val="24"/>
        </w:rPr>
        <w:t>每份均具有同等法律效力。</w:t>
      </w:r>
    </w:p>
    <w:p w14:paraId="386ABBE9">
      <w:pPr>
        <w:spacing w:line="360" w:lineRule="auto"/>
        <w:jc w:val="center"/>
        <w:rPr>
          <w:rFonts w:ascii="仿宋_GB2312" w:hAnsi="楷体" w:eastAsia="仿宋_GB2312"/>
          <w:b/>
          <w:sz w:val="28"/>
          <w:szCs w:val="28"/>
        </w:rPr>
      </w:pPr>
      <w:r>
        <w:rPr>
          <w:rFonts w:hint="eastAsia" w:ascii="仿宋_GB2312" w:hAnsi="楷体" w:eastAsia="仿宋_GB2312"/>
        </w:rPr>
        <w:br w:type="page"/>
      </w:r>
      <w:r>
        <w:rPr>
          <w:rFonts w:hint="eastAsia" w:ascii="仿宋_GB2312" w:hAnsi="楷体" w:eastAsia="仿宋_GB2312"/>
          <w:b/>
          <w:sz w:val="28"/>
          <w:szCs w:val="28"/>
        </w:rPr>
        <w:t>第三部分  合同专用条款</w:t>
      </w:r>
    </w:p>
    <w:p w14:paraId="6D69AD13">
      <w:pPr>
        <w:spacing w:line="360" w:lineRule="auto"/>
        <w:ind w:firstLine="480" w:firstLineChars="200"/>
        <w:rPr>
          <w:rFonts w:ascii="仿宋_GB2312" w:hAnsi="楷体" w:eastAsia="仿宋_GB2312"/>
          <w:sz w:val="24"/>
        </w:rPr>
      </w:pPr>
      <w:r>
        <w:rPr>
          <w:rFonts w:hint="eastAsia" w:ascii="仿宋_GB2312" w:hAnsi="楷体" w:eastAsia="仿宋_GB2312"/>
          <w:sz w:val="24"/>
        </w:rPr>
        <w:t>本部分是对前两部分的补充和修改，如果前两部分和本部分的约定不一致，应以本部分的约定为准。本部分的条款号应与前两部分的条款号保持对应；与前两部分无对应关系的内容可另行编制条款号。</w:t>
      </w:r>
    </w:p>
    <w:p w14:paraId="0205C7E0">
      <w:pPr>
        <w:spacing w:line="360" w:lineRule="auto"/>
        <w:ind w:firstLine="480" w:firstLineChars="200"/>
        <w:rPr>
          <w:rFonts w:ascii="仿宋_GB2312" w:hAnsi="楷体" w:eastAsia="仿宋_GB2312"/>
          <w:sz w:val="24"/>
        </w:rPr>
      </w:pPr>
      <w:r>
        <w:rPr>
          <w:rFonts w:ascii="仿宋_GB2312" w:hAnsi="楷体" w:eastAsia="仿宋_GB2312"/>
          <w:sz w:val="24"/>
        </w:rPr>
        <w:t>3</w:t>
      </w:r>
      <w:r>
        <w:rPr>
          <w:rFonts w:hint="eastAsia" w:ascii="仿宋_GB2312" w:hAnsi="楷体" w:eastAsia="仿宋_GB2312"/>
          <w:sz w:val="24"/>
        </w:rPr>
        <w:t>.</w:t>
      </w:r>
      <w:r>
        <w:rPr>
          <w:rFonts w:ascii="仿宋_GB2312" w:hAnsi="楷体" w:eastAsia="仿宋_GB2312"/>
          <w:sz w:val="24"/>
        </w:rPr>
        <w:t>1</w:t>
      </w:r>
      <w:r>
        <w:rPr>
          <w:rFonts w:hint="eastAsia" w:ascii="仿宋_GB2312" w:hAnsi="楷体" w:eastAsia="仿宋_GB2312"/>
          <w:sz w:val="24"/>
        </w:rPr>
        <w:t>具有知识产权的标的物知识产权归属：</w:t>
      </w:r>
    </w:p>
    <w:p w14:paraId="4A1291A3">
      <w:pPr>
        <w:spacing w:line="360" w:lineRule="auto"/>
        <w:ind w:firstLine="480" w:firstLineChars="200"/>
        <w:rPr>
          <w:rFonts w:ascii="仿宋_GB2312" w:hAnsi="楷体" w:eastAsia="仿宋_GB2312"/>
          <w:sz w:val="24"/>
        </w:rPr>
      </w:pPr>
      <w:r>
        <w:rPr>
          <w:rFonts w:hint="eastAsia" w:ascii="仿宋_GB2312" w:hAnsi="楷体" w:eastAsia="仿宋_GB2312"/>
          <w:sz w:val="24"/>
          <w:u w:val="single"/>
        </w:rPr>
        <w:t xml:space="preserve">     南宁市自然资源局                             </w:t>
      </w:r>
      <w:r>
        <w:rPr>
          <w:rFonts w:hint="eastAsia" w:ascii="仿宋_GB2312" w:hAnsi="楷体" w:eastAsia="仿宋_GB2312"/>
          <w:sz w:val="24"/>
        </w:rPr>
        <w:t xml:space="preserve">           </w:t>
      </w:r>
    </w:p>
    <w:p w14:paraId="2A80CC16">
      <w:pPr>
        <w:spacing w:line="360" w:lineRule="auto"/>
        <w:ind w:firstLine="480" w:firstLineChars="200"/>
        <w:rPr>
          <w:rFonts w:ascii="仿宋_GB2312" w:hAnsi="楷体" w:eastAsia="仿宋_GB2312"/>
          <w:sz w:val="24"/>
        </w:rPr>
      </w:pPr>
      <w:r>
        <w:rPr>
          <w:rFonts w:ascii="仿宋_GB2312" w:hAnsi="楷体" w:eastAsia="仿宋_GB2312"/>
          <w:sz w:val="24"/>
        </w:rPr>
        <w:t>3</w:t>
      </w:r>
      <w:r>
        <w:rPr>
          <w:rFonts w:hint="eastAsia" w:ascii="仿宋_GB2312" w:hAnsi="楷体" w:eastAsia="仿宋_GB2312"/>
          <w:sz w:val="24"/>
        </w:rPr>
        <w:t>.</w:t>
      </w:r>
      <w:r>
        <w:rPr>
          <w:rFonts w:ascii="仿宋_GB2312" w:hAnsi="楷体" w:eastAsia="仿宋_GB2312"/>
          <w:sz w:val="24"/>
        </w:rPr>
        <w:t>2</w:t>
      </w:r>
      <w:r>
        <w:rPr>
          <w:rFonts w:hint="eastAsia" w:ascii="仿宋_GB2312" w:hAnsi="楷体" w:eastAsia="仿宋_GB2312"/>
          <w:sz w:val="24"/>
        </w:rPr>
        <w:t>包装和装运专用条款（如果有）：</w:t>
      </w:r>
    </w:p>
    <w:p w14:paraId="435AB5B7">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     无                                             </w:t>
      </w:r>
    </w:p>
    <w:p w14:paraId="4DAB1C38">
      <w:pPr>
        <w:spacing w:line="360" w:lineRule="auto"/>
        <w:ind w:firstLine="480" w:firstLineChars="200"/>
        <w:rPr>
          <w:rFonts w:ascii="仿宋_GB2312" w:hAnsi="楷体" w:eastAsia="仿宋_GB2312"/>
          <w:sz w:val="24"/>
        </w:rPr>
      </w:pPr>
      <w:r>
        <w:rPr>
          <w:rFonts w:ascii="仿宋_GB2312" w:hAnsi="楷体" w:eastAsia="仿宋_GB2312"/>
          <w:sz w:val="24"/>
        </w:rPr>
        <w:t>3.3</w:t>
      </w:r>
      <w:r>
        <w:rPr>
          <w:rFonts w:hint="eastAsia" w:ascii="仿宋_GB2312" w:hAnsi="楷体" w:eastAsia="仿宋_GB2312"/>
          <w:sz w:val="24"/>
        </w:rPr>
        <w:t>装运标的物的要求和通知：</w:t>
      </w:r>
    </w:p>
    <w:p w14:paraId="02D12EB3">
      <w:pPr>
        <w:spacing w:line="360" w:lineRule="auto"/>
        <w:ind w:firstLine="480" w:firstLineChars="200"/>
        <w:rPr>
          <w:rFonts w:ascii="仿宋_GB2312" w:hAnsi="楷体" w:eastAsia="仿宋_GB2312"/>
          <w:sz w:val="24"/>
        </w:rPr>
      </w:pPr>
      <w:r>
        <w:rPr>
          <w:rFonts w:hint="eastAsia" w:ascii="仿宋_GB2312" w:hAnsi="楷体" w:eastAsia="仿宋_GB2312"/>
          <w:sz w:val="24"/>
          <w:u w:val="single"/>
        </w:rPr>
        <w:t xml:space="preserve">     无                                             </w:t>
      </w:r>
    </w:p>
    <w:p w14:paraId="3AB4615F">
      <w:pPr>
        <w:spacing w:line="360" w:lineRule="auto"/>
        <w:ind w:firstLine="480" w:firstLineChars="200"/>
        <w:rPr>
          <w:rFonts w:ascii="仿宋_GB2312" w:hAnsi="楷体" w:eastAsia="仿宋_GB2312"/>
          <w:b/>
          <w:sz w:val="24"/>
        </w:rPr>
      </w:pPr>
      <w:r>
        <w:rPr>
          <w:rFonts w:hint="eastAsia" w:ascii="仿宋_GB2312" w:hAnsi="楷体" w:eastAsia="仿宋_GB2312"/>
          <w:sz w:val="24"/>
        </w:rPr>
        <w:t>3.4</w:t>
      </w:r>
      <w:r>
        <w:rPr>
          <w:rFonts w:hint="eastAsia" w:ascii="仿宋_GB2312" w:hAnsi="楷体" w:eastAsia="仿宋_GB2312"/>
          <w:b/>
          <w:sz w:val="24"/>
        </w:rPr>
        <w:t>结算方式和付款条件</w:t>
      </w:r>
    </w:p>
    <w:p w14:paraId="0F823179">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本次项目合同总价为大写人民币</w:t>
      </w:r>
      <w:r>
        <w:rPr>
          <w:rFonts w:hint="eastAsia" w:ascii="仿宋_GB2312" w:eastAsia="仿宋_GB2312" w:cs="仿宋_GB2312"/>
          <w:kern w:val="0"/>
          <w:sz w:val="24"/>
          <w:u w:val="single"/>
          <w:lang w:val="zh-CN"/>
        </w:rPr>
        <w:t xml:space="preserve">            （</w:t>
      </w:r>
      <w:r>
        <w:rPr>
          <w:rFonts w:hint="eastAsia" w:ascii="仿宋_GB2312" w:eastAsia="仿宋_GB2312" w:cs="仿宋_GB2312"/>
          <w:kern w:val="0"/>
          <w:sz w:val="24"/>
          <w:lang w:val="zh-CN"/>
        </w:rPr>
        <w:t>￥    元）。</w:t>
      </w:r>
    </w:p>
    <w:p w14:paraId="528A9BA4">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本项目采用以下勾选结算方式进行支付：</w:t>
      </w:r>
    </w:p>
    <w:p w14:paraId="258A47DE">
      <w:pPr>
        <w:spacing w:line="360" w:lineRule="auto"/>
        <w:ind w:firstLine="480" w:firstLineChars="200"/>
        <w:rPr>
          <w:rFonts w:ascii="仿宋_GB2312" w:eastAsia="仿宋_GB2312" w:cs="仿宋_GB2312"/>
          <w:kern w:val="0"/>
          <w:sz w:val="24"/>
          <w:lang w:val="zh-CN"/>
        </w:rPr>
      </w:pPr>
      <w:r>
        <w:rPr>
          <w:rFonts w:hint="eastAsia" w:ascii="仿宋_GB2312" w:eastAsia="仿宋_GB2312" w:cs="仿宋_GB2312"/>
          <w:kern w:val="0"/>
          <w:sz w:val="24"/>
          <w:lang w:val="zh-CN"/>
        </w:rPr>
        <w:t>□采用一次性支付方式，付款条件为：</w:t>
      </w:r>
      <w:r>
        <w:rPr>
          <w:rFonts w:hint="eastAsia" w:ascii="仿宋_GB2312" w:eastAsia="仿宋_GB2312" w:cs="仿宋_GB2312"/>
          <w:kern w:val="0"/>
          <w:sz w:val="24"/>
          <w:u w:val="single"/>
        </w:rPr>
        <w:t xml:space="preserve">           </w:t>
      </w:r>
    </w:p>
    <w:p w14:paraId="1C5AA662">
      <w:pPr>
        <w:spacing w:line="360" w:lineRule="auto"/>
        <w:ind w:firstLine="420" w:firstLineChars="200"/>
        <w:rPr>
          <w:rFonts w:ascii="仿宋_GB2312" w:eastAsia="仿宋_GB2312" w:cs="仿宋_GB2312"/>
          <w:kern w:val="0"/>
          <w:sz w:val="24"/>
          <w:highlight w:val="yellow"/>
        </w:rPr>
      </w:pPr>
      <w:r>
        <w:rPr>
          <w:rFonts w:ascii="MS Gothic" w:hAnsi="MS Gothic" w:eastAsia="MS Gothic" w:cs="MS Gothic"/>
          <w:color w:val="000000"/>
          <w:szCs w:val="21"/>
        </w:rPr>
        <w:t>☑</w:t>
      </w:r>
      <w:r>
        <w:rPr>
          <w:rFonts w:hint="eastAsia" w:ascii="仿宋_GB2312" w:eastAsia="仿宋_GB2312" w:cs="仿宋_GB2312"/>
          <w:kern w:val="0"/>
          <w:sz w:val="24"/>
          <w:lang w:val="zh-CN"/>
        </w:rPr>
        <w:t>采用分期付款方式，付款条件为</w:t>
      </w:r>
      <w:r>
        <w:rPr>
          <w:rFonts w:hint="eastAsia" w:ascii="仿宋_GB2312" w:eastAsia="仿宋_GB2312" w:cs="仿宋_GB2312"/>
          <w:kern w:val="0"/>
          <w:sz w:val="24"/>
        </w:rPr>
        <w:t>：合同签订生效后，甲方支付合同总金额的30%作为预付款，乙方提交本项目所有成果资料并通过甲方验收后，甲方一次性支付剩余合同款。</w:t>
      </w:r>
    </w:p>
    <w:p w14:paraId="49A19F78">
      <w:pPr>
        <w:spacing w:line="360" w:lineRule="auto"/>
        <w:ind w:firstLine="480" w:firstLineChars="200"/>
        <w:rPr>
          <w:rFonts w:ascii="仿宋_GB2312" w:hAnsi="楷体" w:eastAsia="仿宋_GB2312"/>
          <w:b/>
          <w:sz w:val="24"/>
        </w:rPr>
      </w:pPr>
      <w:r>
        <w:rPr>
          <w:rFonts w:ascii="仿宋_GB2312" w:hAnsi="楷体" w:eastAsia="仿宋_GB2312"/>
          <w:sz w:val="24"/>
        </w:rPr>
        <w:t>3</w:t>
      </w:r>
      <w:r>
        <w:rPr>
          <w:rFonts w:hint="eastAsia" w:ascii="仿宋_GB2312" w:hAnsi="楷体" w:eastAsia="仿宋_GB2312"/>
          <w:sz w:val="24"/>
        </w:rPr>
        <w:t>.</w:t>
      </w:r>
      <w:r>
        <w:rPr>
          <w:rFonts w:ascii="仿宋_GB2312" w:hAnsi="楷体" w:eastAsia="仿宋_GB2312"/>
          <w:sz w:val="24"/>
        </w:rPr>
        <w:t>5</w:t>
      </w:r>
      <w:r>
        <w:rPr>
          <w:rFonts w:hint="eastAsia" w:ascii="仿宋_GB2312" w:hAnsi="楷体" w:eastAsia="仿宋_GB2312"/>
          <w:b/>
          <w:sz w:val="24"/>
        </w:rPr>
        <w:t>标的物的风险负担</w:t>
      </w:r>
    </w:p>
    <w:p w14:paraId="7F8C570D">
      <w:pPr>
        <w:spacing w:line="360" w:lineRule="auto"/>
        <w:ind w:firstLine="480" w:firstLineChars="200"/>
        <w:rPr>
          <w:rFonts w:ascii="仿宋_GB2312" w:hAnsi="楷体" w:eastAsia="仿宋_GB2312"/>
          <w:sz w:val="24"/>
        </w:rPr>
      </w:pPr>
      <w:r>
        <w:rPr>
          <w:rFonts w:hint="eastAsia" w:ascii="仿宋_GB2312" w:hAnsi="楷体" w:eastAsia="仿宋_GB2312"/>
          <w:sz w:val="24"/>
        </w:rPr>
        <w:t>标的物或者在途标的物或者交付给第一承运人后的标的物毁损、灭失的风险负担：</w:t>
      </w:r>
    </w:p>
    <w:p w14:paraId="6296938F">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乙方                                                  </w:t>
      </w:r>
    </w:p>
    <w:p w14:paraId="5A607ACC">
      <w:pPr>
        <w:spacing w:line="360" w:lineRule="auto"/>
        <w:ind w:firstLine="480" w:firstLineChars="200"/>
        <w:rPr>
          <w:rFonts w:ascii="仿宋_GB2312" w:hAnsi="楷体" w:eastAsia="仿宋_GB2312"/>
          <w:sz w:val="24"/>
        </w:rPr>
      </w:pPr>
      <w:r>
        <w:rPr>
          <w:rFonts w:ascii="仿宋_GB2312" w:hAnsi="楷体" w:eastAsia="仿宋_GB2312"/>
          <w:sz w:val="24"/>
        </w:rPr>
        <w:t>3</w:t>
      </w:r>
      <w:r>
        <w:rPr>
          <w:rFonts w:hint="eastAsia" w:ascii="仿宋_GB2312" w:hAnsi="楷体" w:eastAsia="仿宋_GB2312"/>
          <w:sz w:val="24"/>
        </w:rPr>
        <w:t>.</w:t>
      </w:r>
      <w:r>
        <w:rPr>
          <w:rFonts w:ascii="仿宋_GB2312" w:hAnsi="楷体" w:eastAsia="仿宋_GB2312"/>
          <w:sz w:val="24"/>
        </w:rPr>
        <w:t>5</w:t>
      </w:r>
      <w:r>
        <w:rPr>
          <w:rFonts w:hint="eastAsia" w:ascii="仿宋_GB2312" w:hAnsi="楷体" w:eastAsia="仿宋_GB2312"/>
          <w:sz w:val="24"/>
        </w:rPr>
        <w:t>.</w:t>
      </w:r>
      <w:r>
        <w:rPr>
          <w:rFonts w:ascii="仿宋_GB2312" w:hAnsi="楷体" w:eastAsia="仿宋_GB2312"/>
          <w:sz w:val="24"/>
        </w:rPr>
        <w:t>1</w:t>
      </w:r>
      <w:r>
        <w:rPr>
          <w:rFonts w:hint="eastAsia" w:ascii="仿宋_GB2312" w:hAnsi="楷体" w:eastAsia="仿宋_GB2312"/>
          <w:sz w:val="24"/>
        </w:rPr>
        <w:t>受不可抗力影响的一方在不可抗力发生后，应在</w:t>
      </w:r>
      <w:r>
        <w:rPr>
          <w:rFonts w:hint="eastAsia" w:ascii="仿宋_GB2312" w:hAnsi="楷体" w:eastAsia="仿宋_GB2312"/>
          <w:sz w:val="24"/>
          <w:u w:val="single"/>
        </w:rPr>
        <w:t xml:space="preserve"> </w:t>
      </w:r>
      <w:r>
        <w:rPr>
          <w:rFonts w:ascii="仿宋_GB2312" w:hAnsi="楷体" w:eastAsia="仿宋_GB2312"/>
          <w:sz w:val="24"/>
          <w:u w:val="single"/>
        </w:rPr>
        <w:t>5</w:t>
      </w:r>
      <w:r>
        <w:rPr>
          <w:rFonts w:hint="eastAsia" w:ascii="仿宋_GB2312" w:hAnsi="楷体" w:eastAsia="仿宋_GB2312"/>
          <w:sz w:val="24"/>
          <w:u w:val="single"/>
        </w:rPr>
        <w:t xml:space="preserve"> </w:t>
      </w:r>
      <w:r>
        <w:rPr>
          <w:rFonts w:hint="eastAsia" w:ascii="仿宋_GB2312" w:hAnsi="楷体" w:eastAsia="仿宋_GB2312"/>
          <w:sz w:val="24"/>
        </w:rPr>
        <w:t>日内</w:t>
      </w:r>
      <w:r>
        <w:rPr>
          <w:rFonts w:hint="eastAsia" w:ascii="仿宋_GB2312" w:hAnsi="仿宋" w:eastAsia="仿宋_GB2312"/>
          <w:sz w:val="24"/>
        </w:rPr>
        <w:t>（</w:t>
      </w:r>
      <w:r>
        <w:rPr>
          <w:rFonts w:hint="eastAsia" w:ascii="仿宋_GB2312" w:hAnsi="楷体" w:eastAsia="仿宋_GB2312"/>
          <w:sz w:val="24"/>
        </w:rPr>
        <w:t>根据项目实际填写）以书面形式通知对方当事人，并在</w:t>
      </w:r>
      <w:r>
        <w:rPr>
          <w:rFonts w:hint="eastAsia" w:ascii="仿宋_GB2312" w:hAnsi="楷体" w:eastAsia="仿宋_GB2312"/>
          <w:sz w:val="24"/>
          <w:u w:val="single"/>
        </w:rPr>
        <w:t xml:space="preserve"> </w:t>
      </w:r>
      <w:r>
        <w:rPr>
          <w:rFonts w:ascii="仿宋_GB2312" w:hAnsi="楷体" w:eastAsia="仿宋_GB2312"/>
          <w:sz w:val="24"/>
          <w:u w:val="single"/>
        </w:rPr>
        <w:t>5</w:t>
      </w:r>
      <w:r>
        <w:rPr>
          <w:rFonts w:hint="eastAsia" w:ascii="仿宋_GB2312" w:hAnsi="楷体" w:eastAsia="仿宋_GB2312"/>
          <w:sz w:val="24"/>
          <w:u w:val="single"/>
        </w:rPr>
        <w:t xml:space="preserve"> </w:t>
      </w:r>
      <w:r>
        <w:rPr>
          <w:rFonts w:hint="eastAsia" w:ascii="仿宋_GB2312" w:hAnsi="楷体" w:eastAsia="仿宋_GB2312"/>
          <w:sz w:val="24"/>
        </w:rPr>
        <w:t>日内，将有关部门出具的证明文件送达对方当事人。</w:t>
      </w:r>
    </w:p>
    <w:p w14:paraId="09CC6FAE">
      <w:pPr>
        <w:spacing w:line="360" w:lineRule="auto"/>
        <w:ind w:firstLine="480" w:firstLineChars="200"/>
        <w:rPr>
          <w:rFonts w:ascii="仿宋_GB2312" w:hAnsi="楷体" w:eastAsia="仿宋_GB2312"/>
          <w:sz w:val="24"/>
        </w:rPr>
      </w:pPr>
      <w:r>
        <w:rPr>
          <w:rFonts w:ascii="仿宋_GB2312" w:hAnsi="楷体" w:eastAsia="仿宋_GB2312"/>
          <w:sz w:val="24"/>
        </w:rPr>
        <w:t>3</w:t>
      </w:r>
      <w:r>
        <w:rPr>
          <w:rFonts w:hint="eastAsia" w:ascii="仿宋_GB2312" w:hAnsi="楷体" w:eastAsia="仿宋_GB2312"/>
          <w:sz w:val="24"/>
        </w:rPr>
        <w:t>.</w:t>
      </w:r>
      <w:r>
        <w:rPr>
          <w:rFonts w:ascii="仿宋_GB2312" w:hAnsi="楷体" w:eastAsia="仿宋_GB2312"/>
          <w:sz w:val="24"/>
        </w:rPr>
        <w:t>5</w:t>
      </w:r>
      <w:r>
        <w:rPr>
          <w:rFonts w:hint="eastAsia" w:ascii="仿宋_GB2312" w:hAnsi="楷体" w:eastAsia="仿宋_GB2312"/>
          <w:sz w:val="24"/>
        </w:rPr>
        <w:t>.</w:t>
      </w:r>
      <w:r>
        <w:rPr>
          <w:rFonts w:ascii="仿宋_GB2312" w:hAnsi="楷体" w:eastAsia="仿宋_GB2312"/>
          <w:sz w:val="24"/>
        </w:rPr>
        <w:t>2</w:t>
      </w:r>
      <w:r>
        <w:rPr>
          <w:rFonts w:hint="eastAsia" w:ascii="仿宋_GB2312" w:hAnsi="楷体" w:eastAsia="仿宋_GB2312"/>
          <w:sz w:val="24"/>
        </w:rPr>
        <w:t>因不可抗力致使合同有变更必要的，双方当事人应在</w:t>
      </w:r>
      <w:r>
        <w:rPr>
          <w:rFonts w:hint="eastAsia" w:ascii="仿宋_GB2312" w:hAnsi="楷体" w:eastAsia="仿宋_GB2312"/>
          <w:sz w:val="24"/>
          <w:u w:val="single"/>
        </w:rPr>
        <w:t xml:space="preserve"> </w:t>
      </w:r>
      <w:r>
        <w:rPr>
          <w:rFonts w:ascii="仿宋_GB2312" w:hAnsi="楷体" w:eastAsia="仿宋_GB2312"/>
          <w:sz w:val="24"/>
          <w:u w:val="single"/>
        </w:rPr>
        <w:t>5</w:t>
      </w:r>
      <w:r>
        <w:rPr>
          <w:rFonts w:hint="eastAsia" w:ascii="仿宋_GB2312" w:hAnsi="楷体" w:eastAsia="仿宋_GB2312"/>
          <w:sz w:val="24"/>
          <w:u w:val="single"/>
        </w:rPr>
        <w:t xml:space="preserve"> </w:t>
      </w:r>
      <w:r>
        <w:rPr>
          <w:rFonts w:hint="eastAsia" w:ascii="仿宋_GB2312" w:hAnsi="楷体" w:eastAsia="仿宋_GB2312"/>
          <w:sz w:val="24"/>
        </w:rPr>
        <w:t>日内</w:t>
      </w:r>
      <w:r>
        <w:rPr>
          <w:rFonts w:hint="eastAsia" w:ascii="仿宋_GB2312" w:hAnsi="仿宋" w:eastAsia="仿宋_GB2312"/>
          <w:sz w:val="24"/>
        </w:rPr>
        <w:t>（</w:t>
      </w:r>
      <w:r>
        <w:rPr>
          <w:rFonts w:hint="eastAsia" w:ascii="仿宋_GB2312" w:hAnsi="楷体" w:eastAsia="仿宋_GB2312"/>
          <w:sz w:val="24"/>
        </w:rPr>
        <w:t>根据项目实际填写）以书面形式变更合同；</w:t>
      </w:r>
    </w:p>
    <w:p w14:paraId="6900D072">
      <w:pPr>
        <w:spacing w:line="360" w:lineRule="auto"/>
        <w:ind w:firstLine="480" w:firstLineChars="200"/>
        <w:rPr>
          <w:rFonts w:ascii="仿宋_GB2312" w:hAnsi="楷体" w:eastAsia="仿宋_GB2312"/>
          <w:sz w:val="24"/>
        </w:rPr>
      </w:pPr>
      <w:r>
        <w:rPr>
          <w:rFonts w:ascii="仿宋_GB2312" w:hAnsi="楷体" w:eastAsia="仿宋_GB2312"/>
          <w:sz w:val="24"/>
        </w:rPr>
        <w:t>3.5.3</w:t>
      </w:r>
      <w:r>
        <w:rPr>
          <w:rFonts w:hint="eastAsia" w:ascii="仿宋_GB2312" w:hAnsi="楷体" w:eastAsia="仿宋_GB2312"/>
          <w:sz w:val="24"/>
        </w:rPr>
        <w:t xml:space="preserve"> 因不可抗力致使不能实现合同目的的，当事人协商解除合同，甲方应根据乙方实际已完成的工作量进行结算。若双方无法对已完成工作量的结算金额协商达成一致，双方协商由第三方审定，由乙方承担第三方审定费用。</w:t>
      </w:r>
    </w:p>
    <w:p w14:paraId="20066318">
      <w:pPr>
        <w:spacing w:line="360" w:lineRule="auto"/>
        <w:ind w:firstLine="480" w:firstLineChars="200"/>
        <w:rPr>
          <w:rFonts w:ascii="仿宋_GB2312" w:hAnsi="楷体" w:eastAsia="仿宋_GB2312"/>
          <w:sz w:val="24"/>
        </w:rPr>
      </w:pPr>
      <w:r>
        <w:rPr>
          <w:rFonts w:ascii="仿宋_GB2312" w:hAnsi="楷体" w:eastAsia="仿宋_GB2312"/>
          <w:sz w:val="24"/>
        </w:rPr>
        <w:t>3.5.4</w:t>
      </w:r>
      <w:r>
        <w:rPr>
          <w:rFonts w:hint="eastAsia" w:ascii="仿宋_GB2312" w:hAnsi="楷体" w:eastAsia="仿宋_GB2312"/>
          <w:sz w:val="24"/>
        </w:rPr>
        <w:t>标的物交付前，乙方应对标的物的质量、数量等方面进行详细、全面的检验，并向甲方出具证明标的物符合合同约定的文件；标的物交付时，乙方在</w:t>
      </w:r>
      <w:r>
        <w:rPr>
          <w:rFonts w:hint="eastAsia" w:ascii="仿宋_GB2312" w:hAnsi="楷体" w:eastAsia="仿宋_GB2312"/>
          <w:sz w:val="24"/>
          <w:u w:val="single"/>
        </w:rPr>
        <w:t xml:space="preserve"> </w:t>
      </w:r>
      <w:r>
        <w:rPr>
          <w:rFonts w:ascii="仿宋_GB2312" w:hAnsi="楷体" w:eastAsia="仿宋_GB2312"/>
          <w:sz w:val="24"/>
          <w:u w:val="single"/>
        </w:rPr>
        <w:t>5</w:t>
      </w:r>
      <w:r>
        <w:rPr>
          <w:rFonts w:hint="eastAsia" w:ascii="仿宋_GB2312" w:hAnsi="楷体" w:eastAsia="仿宋_GB2312"/>
          <w:sz w:val="24"/>
          <w:u w:val="single"/>
        </w:rPr>
        <w:t xml:space="preserve"> </w:t>
      </w:r>
      <w:r>
        <w:rPr>
          <w:rFonts w:hint="eastAsia" w:ascii="仿宋_GB2312" w:hAnsi="楷体" w:eastAsia="仿宋_GB2312"/>
          <w:sz w:val="24"/>
        </w:rPr>
        <w:t>日内</w:t>
      </w:r>
      <w:r>
        <w:rPr>
          <w:rFonts w:hint="eastAsia" w:ascii="仿宋_GB2312" w:hAnsi="仿宋" w:eastAsia="仿宋_GB2312"/>
          <w:sz w:val="24"/>
        </w:rPr>
        <w:t>（</w:t>
      </w:r>
      <w:r>
        <w:rPr>
          <w:rFonts w:hint="eastAsia" w:ascii="仿宋_GB2312" w:hAnsi="楷体" w:eastAsia="仿宋_GB2312"/>
          <w:sz w:val="24"/>
        </w:rPr>
        <w:t>根据项目实际填写）发起验收，并可依法邀请相关方参加，验收应出具验收书。</w:t>
      </w:r>
    </w:p>
    <w:p w14:paraId="0272C336">
      <w:pPr>
        <w:spacing w:line="360" w:lineRule="auto"/>
        <w:ind w:firstLine="480" w:firstLineChars="200"/>
        <w:rPr>
          <w:rFonts w:ascii="仿宋_GB2312" w:hAnsi="楷体" w:eastAsia="仿宋_GB2312"/>
          <w:sz w:val="24"/>
        </w:rPr>
      </w:pPr>
      <w:r>
        <w:rPr>
          <w:rFonts w:ascii="仿宋_GB2312" w:hAnsi="楷体" w:eastAsia="仿宋_GB2312"/>
          <w:sz w:val="24"/>
        </w:rPr>
        <w:t>3.5.5</w:t>
      </w:r>
      <w:r>
        <w:rPr>
          <w:rFonts w:hint="eastAsia" w:ascii="仿宋_GB2312" w:hAnsi="楷体" w:eastAsia="仿宋_GB2312"/>
          <w:sz w:val="24"/>
        </w:rPr>
        <w:t xml:space="preserve"> 检验和验收标准、程序等具体内容以及前述验收书的效力：</w:t>
      </w:r>
    </w:p>
    <w:p w14:paraId="449BE9FC">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  /                                      </w:t>
      </w:r>
    </w:p>
    <w:p w14:paraId="727BCAC3">
      <w:pPr>
        <w:spacing w:line="360" w:lineRule="auto"/>
        <w:ind w:firstLine="480" w:firstLineChars="200"/>
        <w:rPr>
          <w:rFonts w:ascii="仿宋_GB2312" w:hAnsi="楷体" w:eastAsia="仿宋_GB2312"/>
          <w:sz w:val="24"/>
        </w:rPr>
      </w:pPr>
      <w:r>
        <w:rPr>
          <w:rFonts w:hint="eastAsia" w:ascii="仿宋_GB2312" w:hAnsi="楷体" w:eastAsia="仿宋_GB2312"/>
          <w:sz w:val="24"/>
        </w:rPr>
        <w:t>3.</w:t>
      </w:r>
      <w:r>
        <w:rPr>
          <w:rFonts w:ascii="仿宋_GB2312" w:hAnsi="楷体" w:eastAsia="仿宋_GB2312"/>
          <w:sz w:val="24"/>
        </w:rPr>
        <w:t>6</w:t>
      </w:r>
      <w:r>
        <w:rPr>
          <w:rFonts w:hint="eastAsia" w:ascii="仿宋_GB2312" w:hAnsi="楷体" w:eastAsia="仿宋_GB2312"/>
          <w:sz w:val="24"/>
        </w:rPr>
        <w:t xml:space="preserve"> 其他：</w:t>
      </w:r>
    </w:p>
    <w:p w14:paraId="35437213">
      <w:pPr>
        <w:spacing w:line="360" w:lineRule="auto"/>
        <w:ind w:firstLine="482" w:firstLineChars="200"/>
        <w:rPr>
          <w:rFonts w:ascii="仿宋" w:hAnsi="仿宋" w:eastAsia="仿宋" w:cs="仿宋"/>
          <w:b/>
          <w:sz w:val="24"/>
        </w:rPr>
      </w:pPr>
      <w:r>
        <w:rPr>
          <w:rFonts w:hint="eastAsia" w:ascii="仿宋" w:hAnsi="仿宋" w:eastAsia="仿宋" w:cs="仿宋"/>
          <w:b/>
          <w:sz w:val="24"/>
        </w:rPr>
        <w:t>项目验收：</w:t>
      </w:r>
    </w:p>
    <w:p w14:paraId="4ED7EEBD">
      <w:pPr>
        <w:spacing w:line="360" w:lineRule="auto"/>
        <w:ind w:firstLine="480" w:firstLineChars="200"/>
        <w:rPr>
          <w:rFonts w:ascii="仿宋" w:hAnsi="仿宋" w:eastAsia="仿宋" w:cs="仿宋"/>
          <w:kern w:val="0"/>
          <w:sz w:val="24"/>
        </w:rPr>
      </w:pPr>
      <w:r>
        <w:rPr>
          <w:rFonts w:ascii="仿宋" w:hAnsi="仿宋" w:eastAsia="仿宋" w:cs="仿宋"/>
          <w:kern w:val="0"/>
          <w:sz w:val="24"/>
        </w:rPr>
        <w:t>3.6.1</w:t>
      </w:r>
      <w:r>
        <w:rPr>
          <w:rFonts w:hint="eastAsia" w:ascii="仿宋" w:hAnsi="仿宋" w:eastAsia="仿宋" w:cs="仿宋"/>
          <w:kern w:val="0"/>
          <w:sz w:val="24"/>
        </w:rPr>
        <w:t xml:space="preserve"> 甲方参照《南宁市政府采购投标人履约验收评价管理办法》（南财采[2019]217号）规定组织对乙方履约的验收。验收方成员应当在验收书上签字，并承担相应的法律责任。如果发现与合同中要求不符，乙方须承担由此发生的一切损失和费用，并接受相应的处理。</w:t>
      </w:r>
    </w:p>
    <w:p w14:paraId="54FE0287">
      <w:pPr>
        <w:spacing w:line="360" w:lineRule="auto"/>
        <w:ind w:firstLine="480" w:firstLineChars="200"/>
        <w:rPr>
          <w:rFonts w:ascii="仿宋" w:hAnsi="仿宋" w:eastAsia="仿宋" w:cs="仿宋"/>
          <w:kern w:val="0"/>
          <w:sz w:val="24"/>
        </w:rPr>
      </w:pPr>
      <w:r>
        <w:rPr>
          <w:rFonts w:ascii="仿宋" w:hAnsi="仿宋" w:eastAsia="仿宋" w:cs="仿宋"/>
          <w:kern w:val="0"/>
          <w:sz w:val="24"/>
        </w:rPr>
        <w:t xml:space="preserve">3.6.2 </w:t>
      </w:r>
      <w:r>
        <w:rPr>
          <w:rFonts w:hint="eastAsia" w:ascii="仿宋" w:hAnsi="仿宋" w:eastAsia="仿宋" w:cs="仿宋"/>
          <w:kern w:val="0"/>
          <w:sz w:val="24"/>
        </w:rPr>
        <w:t>严格按照采购合同开展履约验收。甲方成立验收小组，按照采购合同的约定对投标人履约情况进行验收，验收时，按照采购合同的约定对每一项技术、服务、安全标准的履约情况进行确认，出具验收报告并经验收小组全体成员签字。甲方根据验收报告形成验收意见并经甲方与乙方签字盖章生效。验收结果与采购合同约定的资金支付条件挂钩。履约验收的各项资料应当存档备查。</w:t>
      </w:r>
    </w:p>
    <w:p w14:paraId="117FA499">
      <w:pPr>
        <w:spacing w:line="360" w:lineRule="auto"/>
        <w:ind w:firstLine="480" w:firstLineChars="200"/>
        <w:rPr>
          <w:rFonts w:ascii="仿宋" w:hAnsi="仿宋" w:eastAsia="仿宋" w:cs="仿宋"/>
          <w:kern w:val="0"/>
          <w:sz w:val="24"/>
        </w:rPr>
      </w:pPr>
      <w:r>
        <w:rPr>
          <w:rFonts w:ascii="仿宋" w:hAnsi="仿宋" w:eastAsia="仿宋" w:cs="仿宋"/>
          <w:kern w:val="0"/>
          <w:sz w:val="24"/>
        </w:rPr>
        <w:t>3.6.3</w:t>
      </w:r>
      <w:r>
        <w:rPr>
          <w:rFonts w:hint="eastAsia" w:ascii="仿宋" w:hAnsi="仿宋" w:eastAsia="仿宋" w:cs="仿宋"/>
          <w:kern w:val="0"/>
          <w:sz w:val="24"/>
        </w:rPr>
        <w:t>验收合格的项目，甲方将根据采购合同的约定及时向投标人支付采购资金。验收不合格的项目，甲方将依法及时处理。采购合同的履行、违约责任和解决争议的方式等适用《中华人民共和国民法典》，并按照《合同书》约定执行。</w:t>
      </w:r>
    </w:p>
    <w:p w14:paraId="614B97FC">
      <w:pPr>
        <w:spacing w:line="360" w:lineRule="auto"/>
        <w:ind w:firstLine="480" w:firstLineChars="200"/>
        <w:rPr>
          <w:rFonts w:ascii="仿宋" w:hAnsi="仿宋" w:eastAsia="仿宋" w:cs="仿宋"/>
          <w:kern w:val="0"/>
          <w:sz w:val="24"/>
        </w:rPr>
      </w:pPr>
      <w:r>
        <w:rPr>
          <w:rFonts w:ascii="仿宋" w:hAnsi="仿宋" w:eastAsia="仿宋" w:cs="仿宋"/>
          <w:kern w:val="0"/>
          <w:sz w:val="24"/>
        </w:rPr>
        <w:t>3.6.4</w:t>
      </w:r>
      <w:r>
        <w:rPr>
          <w:rFonts w:hint="eastAsia" w:ascii="仿宋" w:hAnsi="仿宋" w:eastAsia="仿宋" w:cs="仿宋"/>
          <w:kern w:val="0"/>
          <w:sz w:val="24"/>
        </w:rPr>
        <w:t>验收产生的费用由乙方承担。</w:t>
      </w:r>
    </w:p>
    <w:p w14:paraId="3C0CAA47">
      <w:pPr>
        <w:spacing w:line="360" w:lineRule="auto"/>
        <w:ind w:firstLine="480" w:firstLineChars="200"/>
        <w:rPr>
          <w:rFonts w:ascii="仿宋" w:hAnsi="仿宋" w:eastAsia="仿宋" w:cs="仿宋"/>
          <w:sz w:val="24"/>
        </w:rPr>
      </w:pPr>
      <w:r>
        <w:rPr>
          <w:rFonts w:ascii="仿宋" w:hAnsi="仿宋" w:eastAsia="仿宋" w:cs="仿宋"/>
          <w:sz w:val="24"/>
        </w:rPr>
        <w:t>3.6.5</w:t>
      </w:r>
      <w:r>
        <w:rPr>
          <w:rFonts w:hint="eastAsia" w:ascii="仿宋" w:hAnsi="仿宋" w:eastAsia="仿宋" w:cs="仿宋"/>
          <w:sz w:val="24"/>
        </w:rPr>
        <w:t>验收内容及资料要求：</w:t>
      </w:r>
    </w:p>
    <w:p w14:paraId="140D3934">
      <w:pPr>
        <w:spacing w:line="360" w:lineRule="auto"/>
        <w:ind w:firstLine="480" w:firstLineChars="200"/>
        <w:rPr>
          <w:rFonts w:ascii="仿宋" w:hAnsi="仿宋" w:eastAsia="仿宋" w:cs="仿宋"/>
          <w:sz w:val="24"/>
        </w:rPr>
      </w:pPr>
      <w:r>
        <w:rPr>
          <w:rFonts w:hint="eastAsia" w:ascii="仿宋" w:hAnsi="仿宋" w:eastAsia="仿宋" w:cs="仿宋"/>
          <w:sz w:val="24"/>
        </w:rPr>
        <w:t>根据招标文件确定的技术指标或者服务要求确定验收指标和标准。未进行相应约定的，应当符合国家强制性规定、政策要求、安全标准、行业或企业有关标准等。</w:t>
      </w:r>
    </w:p>
    <w:p w14:paraId="48AFE4DF">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1</w:t>
      </w:r>
      <w:r>
        <w:rPr>
          <w:rFonts w:hint="eastAsia" w:ascii="仿宋" w:hAnsi="仿宋" w:eastAsia="仿宋" w:cs="仿宋"/>
          <w:sz w:val="24"/>
        </w:rPr>
        <w:t>）验收内容</w:t>
      </w:r>
    </w:p>
    <w:tbl>
      <w:tblPr>
        <w:tblStyle w:val="35"/>
        <w:tblW w:w="91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14"/>
        <w:gridCol w:w="2775"/>
        <w:gridCol w:w="5069"/>
      </w:tblGrid>
      <w:tr w14:paraId="11B5EC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404C2680">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序号</w:t>
            </w:r>
          </w:p>
        </w:tc>
        <w:tc>
          <w:tcPr>
            <w:tcW w:w="2775" w:type="dxa"/>
            <w:tcBorders>
              <w:top w:val="single" w:color="auto" w:sz="4" w:space="0"/>
              <w:left w:val="single" w:color="auto" w:sz="4" w:space="0"/>
              <w:bottom w:val="single" w:color="auto" w:sz="4" w:space="0"/>
              <w:right w:val="single" w:color="auto" w:sz="4" w:space="0"/>
            </w:tcBorders>
            <w:vAlign w:val="center"/>
          </w:tcPr>
          <w:p w14:paraId="60FE3569">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验收内容</w:t>
            </w:r>
          </w:p>
        </w:tc>
        <w:tc>
          <w:tcPr>
            <w:tcW w:w="5069" w:type="dxa"/>
            <w:tcBorders>
              <w:top w:val="single" w:color="auto" w:sz="4" w:space="0"/>
              <w:left w:val="single" w:color="auto" w:sz="4" w:space="0"/>
              <w:bottom w:val="single" w:color="auto" w:sz="4" w:space="0"/>
              <w:right w:val="single" w:color="auto" w:sz="4" w:space="0"/>
            </w:tcBorders>
            <w:vAlign w:val="center"/>
          </w:tcPr>
          <w:p w14:paraId="2570B7E7">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 xml:space="preserve"> 验收标准</w:t>
            </w:r>
          </w:p>
        </w:tc>
      </w:tr>
      <w:tr w14:paraId="135623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789FDA9B">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1</w:t>
            </w:r>
          </w:p>
        </w:tc>
        <w:tc>
          <w:tcPr>
            <w:tcW w:w="2775" w:type="dxa"/>
            <w:tcBorders>
              <w:top w:val="single" w:color="auto" w:sz="4" w:space="0"/>
              <w:left w:val="single" w:color="auto" w:sz="4" w:space="0"/>
              <w:bottom w:val="single" w:color="auto" w:sz="4" w:space="0"/>
              <w:right w:val="single" w:color="auto" w:sz="4" w:space="0"/>
            </w:tcBorders>
            <w:vAlign w:val="center"/>
          </w:tcPr>
          <w:p w14:paraId="6EF479F5">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交货产品数量</w:t>
            </w:r>
          </w:p>
        </w:tc>
        <w:tc>
          <w:tcPr>
            <w:tcW w:w="5069" w:type="dxa"/>
            <w:tcBorders>
              <w:top w:val="single" w:color="auto" w:sz="4" w:space="0"/>
              <w:left w:val="single" w:color="auto" w:sz="4" w:space="0"/>
              <w:bottom w:val="single" w:color="auto" w:sz="4" w:space="0"/>
              <w:right w:val="single" w:color="auto" w:sz="4" w:space="0"/>
            </w:tcBorders>
            <w:vAlign w:val="center"/>
          </w:tcPr>
          <w:p w14:paraId="012C1F6A">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按项目招标文件要求和投标（响应）文件执行</w:t>
            </w:r>
          </w:p>
        </w:tc>
      </w:tr>
      <w:tr w14:paraId="64F05D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2CBC69D8">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2</w:t>
            </w:r>
          </w:p>
        </w:tc>
        <w:tc>
          <w:tcPr>
            <w:tcW w:w="2775" w:type="dxa"/>
            <w:tcBorders>
              <w:top w:val="single" w:color="auto" w:sz="4" w:space="0"/>
              <w:left w:val="single" w:color="auto" w:sz="4" w:space="0"/>
              <w:bottom w:val="single" w:color="auto" w:sz="4" w:space="0"/>
              <w:right w:val="single" w:color="auto" w:sz="4" w:space="0"/>
            </w:tcBorders>
            <w:vAlign w:val="center"/>
          </w:tcPr>
          <w:p w14:paraId="3484A269">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交货产品的质量文件</w:t>
            </w:r>
          </w:p>
        </w:tc>
        <w:tc>
          <w:tcPr>
            <w:tcW w:w="5069" w:type="dxa"/>
            <w:tcBorders>
              <w:top w:val="single" w:color="auto" w:sz="4" w:space="0"/>
              <w:left w:val="single" w:color="auto" w:sz="4" w:space="0"/>
              <w:bottom w:val="single" w:color="auto" w:sz="4" w:space="0"/>
              <w:right w:val="single" w:color="auto" w:sz="4" w:space="0"/>
            </w:tcBorders>
            <w:vAlign w:val="center"/>
          </w:tcPr>
          <w:p w14:paraId="33FD569E">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按项目招标文件要求和投标（响应）文件执行</w:t>
            </w:r>
          </w:p>
        </w:tc>
      </w:tr>
      <w:tr w14:paraId="6A778E4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5262CB65">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3</w:t>
            </w:r>
          </w:p>
        </w:tc>
        <w:tc>
          <w:tcPr>
            <w:tcW w:w="2775" w:type="dxa"/>
            <w:tcBorders>
              <w:top w:val="single" w:color="auto" w:sz="4" w:space="0"/>
              <w:left w:val="single" w:color="auto" w:sz="4" w:space="0"/>
              <w:bottom w:val="single" w:color="auto" w:sz="4" w:space="0"/>
              <w:right w:val="single" w:color="auto" w:sz="4" w:space="0"/>
            </w:tcBorders>
            <w:vAlign w:val="center"/>
          </w:tcPr>
          <w:p w14:paraId="3E6DBE19">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 xml:space="preserve">交货产品技术、性能指标 </w:t>
            </w:r>
          </w:p>
        </w:tc>
        <w:tc>
          <w:tcPr>
            <w:tcW w:w="5069" w:type="dxa"/>
            <w:tcBorders>
              <w:top w:val="single" w:color="auto" w:sz="4" w:space="0"/>
              <w:left w:val="single" w:color="auto" w:sz="4" w:space="0"/>
              <w:bottom w:val="single" w:color="auto" w:sz="4" w:space="0"/>
              <w:right w:val="single" w:color="auto" w:sz="4" w:space="0"/>
            </w:tcBorders>
            <w:vAlign w:val="center"/>
          </w:tcPr>
          <w:p w14:paraId="4F7E27E7">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按项目招标文件要求和投标（响应）文件执行</w:t>
            </w:r>
          </w:p>
        </w:tc>
      </w:tr>
      <w:tr w14:paraId="48EB90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7BD22032">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4</w:t>
            </w:r>
          </w:p>
        </w:tc>
        <w:tc>
          <w:tcPr>
            <w:tcW w:w="2775" w:type="dxa"/>
            <w:tcBorders>
              <w:top w:val="single" w:color="auto" w:sz="4" w:space="0"/>
              <w:left w:val="single" w:color="auto" w:sz="4" w:space="0"/>
              <w:bottom w:val="single" w:color="auto" w:sz="4" w:space="0"/>
              <w:right w:val="single" w:color="auto" w:sz="4" w:space="0"/>
            </w:tcBorders>
            <w:vAlign w:val="center"/>
          </w:tcPr>
          <w:p w14:paraId="68EF468D">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售后服务承诺</w:t>
            </w:r>
          </w:p>
        </w:tc>
        <w:tc>
          <w:tcPr>
            <w:tcW w:w="5069" w:type="dxa"/>
            <w:tcBorders>
              <w:top w:val="single" w:color="auto" w:sz="4" w:space="0"/>
              <w:left w:val="single" w:color="auto" w:sz="4" w:space="0"/>
              <w:bottom w:val="single" w:color="auto" w:sz="4" w:space="0"/>
              <w:right w:val="single" w:color="auto" w:sz="4" w:space="0"/>
            </w:tcBorders>
            <w:vAlign w:val="center"/>
          </w:tcPr>
          <w:p w14:paraId="125B8DF5">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按项目招标文件要求和投标（响应）文件执行</w:t>
            </w:r>
          </w:p>
        </w:tc>
      </w:tr>
      <w:tr w14:paraId="2CCF06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 w:hRule="atLeast"/>
          <w:jc w:val="center"/>
        </w:trPr>
        <w:tc>
          <w:tcPr>
            <w:tcW w:w="1314" w:type="dxa"/>
            <w:tcBorders>
              <w:top w:val="single" w:color="auto" w:sz="4" w:space="0"/>
              <w:left w:val="single" w:color="auto" w:sz="4" w:space="0"/>
              <w:bottom w:val="single" w:color="auto" w:sz="4" w:space="0"/>
              <w:right w:val="single" w:color="auto" w:sz="4" w:space="0"/>
            </w:tcBorders>
            <w:vAlign w:val="center"/>
          </w:tcPr>
          <w:p w14:paraId="3DE154F1">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5</w:t>
            </w:r>
          </w:p>
        </w:tc>
        <w:tc>
          <w:tcPr>
            <w:tcW w:w="2775" w:type="dxa"/>
            <w:tcBorders>
              <w:top w:val="single" w:color="auto" w:sz="4" w:space="0"/>
              <w:left w:val="single" w:color="auto" w:sz="4" w:space="0"/>
              <w:bottom w:val="single" w:color="auto" w:sz="4" w:space="0"/>
              <w:right w:val="single" w:color="auto" w:sz="4" w:space="0"/>
            </w:tcBorders>
            <w:vAlign w:val="center"/>
          </w:tcPr>
          <w:p w14:paraId="7812B891">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其他工作</w:t>
            </w:r>
          </w:p>
        </w:tc>
        <w:tc>
          <w:tcPr>
            <w:tcW w:w="5069" w:type="dxa"/>
            <w:tcBorders>
              <w:top w:val="single" w:color="auto" w:sz="4" w:space="0"/>
              <w:left w:val="single" w:color="auto" w:sz="4" w:space="0"/>
              <w:bottom w:val="single" w:color="auto" w:sz="4" w:space="0"/>
              <w:right w:val="single" w:color="auto" w:sz="4" w:space="0"/>
            </w:tcBorders>
            <w:vAlign w:val="center"/>
          </w:tcPr>
          <w:p w14:paraId="38855B21">
            <w:pPr>
              <w:widowControl/>
              <w:spacing w:line="360" w:lineRule="auto"/>
              <w:jc w:val="center"/>
              <w:rPr>
                <w:rFonts w:ascii="仿宋" w:hAnsi="仿宋" w:eastAsia="仿宋" w:cs="仿宋"/>
                <w:bCs/>
                <w:kern w:val="0"/>
                <w:sz w:val="24"/>
              </w:rPr>
            </w:pPr>
            <w:r>
              <w:rPr>
                <w:rFonts w:hint="eastAsia" w:ascii="仿宋" w:hAnsi="仿宋" w:eastAsia="仿宋" w:cs="仿宋"/>
                <w:bCs/>
                <w:kern w:val="0"/>
                <w:sz w:val="24"/>
              </w:rPr>
              <w:t>按项目招标文件要求和投标（响应）文件执行</w:t>
            </w:r>
          </w:p>
        </w:tc>
      </w:tr>
    </w:tbl>
    <w:p w14:paraId="5220B5FB">
      <w:pPr>
        <w:tabs>
          <w:tab w:val="left" w:pos="904"/>
        </w:tabs>
        <w:snapToGrid w:val="0"/>
        <w:spacing w:line="360" w:lineRule="auto"/>
        <w:ind w:firstLine="480" w:firstLineChars="200"/>
        <w:jc w:val="left"/>
        <w:rPr>
          <w:rFonts w:ascii="仿宋" w:hAnsi="仿宋" w:eastAsia="仿宋" w:cs="仿宋"/>
          <w:sz w:val="24"/>
        </w:rPr>
      </w:pPr>
    </w:p>
    <w:p w14:paraId="79438100">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w:t>
      </w:r>
      <w:r>
        <w:rPr>
          <w:rFonts w:ascii="仿宋" w:hAnsi="仿宋" w:eastAsia="仿宋" w:cs="仿宋"/>
          <w:sz w:val="24"/>
        </w:rPr>
        <w:t>2</w:t>
      </w:r>
      <w:r>
        <w:rPr>
          <w:rFonts w:hint="eastAsia" w:ascii="仿宋" w:hAnsi="仿宋" w:eastAsia="仿宋" w:cs="仿宋"/>
          <w:sz w:val="24"/>
        </w:rPr>
        <w:t>）验收资料要求</w:t>
      </w:r>
    </w:p>
    <w:p w14:paraId="064083AB">
      <w:pPr>
        <w:tabs>
          <w:tab w:val="left" w:pos="904"/>
        </w:tabs>
        <w:snapToGrid w:val="0"/>
        <w:spacing w:line="360" w:lineRule="auto"/>
        <w:ind w:firstLine="480" w:firstLineChars="200"/>
        <w:jc w:val="left"/>
        <w:rPr>
          <w:rFonts w:ascii="仿宋" w:hAnsi="仿宋" w:eastAsia="仿宋" w:cs="仿宋"/>
          <w:sz w:val="24"/>
        </w:rPr>
      </w:pPr>
      <w:r>
        <w:rPr>
          <w:rFonts w:hint="eastAsia" w:ascii="仿宋" w:hAnsi="仿宋" w:eastAsia="仿宋" w:cs="仿宋"/>
          <w:sz w:val="24"/>
        </w:rPr>
        <w:t>验收资料要求包括（不限于）以下内容：</w:t>
      </w:r>
    </w:p>
    <w:p w14:paraId="08B9B5EE">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1）招标文件；</w:t>
      </w:r>
    </w:p>
    <w:p w14:paraId="5AF485E8">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2）投标文件；</w:t>
      </w:r>
    </w:p>
    <w:p w14:paraId="20A43D08">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3）采购合同；</w:t>
      </w:r>
    </w:p>
    <w:p w14:paraId="01CC3381">
      <w:pPr>
        <w:tabs>
          <w:tab w:val="left" w:pos="904"/>
        </w:tabs>
        <w:adjustRightInd w:val="0"/>
        <w:snapToGrid w:val="0"/>
        <w:spacing w:line="360" w:lineRule="auto"/>
        <w:ind w:firstLine="240" w:firstLineChars="100"/>
        <w:jc w:val="left"/>
        <w:rPr>
          <w:rFonts w:ascii="仿宋" w:hAnsi="仿宋" w:eastAsia="仿宋" w:cs="仿宋"/>
          <w:sz w:val="24"/>
        </w:rPr>
      </w:pPr>
      <w:r>
        <w:rPr>
          <w:rFonts w:hint="eastAsia" w:ascii="仿宋" w:hAnsi="仿宋" w:eastAsia="仿宋" w:cs="仿宋"/>
          <w:sz w:val="24"/>
        </w:rPr>
        <w:t>4）其他需提供的相关材料。</w:t>
      </w:r>
    </w:p>
    <w:p w14:paraId="7F6F01D0">
      <w:pPr>
        <w:widowControl/>
        <w:ind w:firstLine="720" w:firstLineChars="300"/>
        <w:jc w:val="left"/>
        <w:rPr>
          <w:rFonts w:ascii="仿宋" w:hAnsi="仿宋" w:eastAsia="仿宋"/>
          <w:bCs/>
          <w:sz w:val="24"/>
        </w:rPr>
      </w:pPr>
    </w:p>
    <w:p w14:paraId="1BEBED9B">
      <w:pPr>
        <w:spacing w:line="360" w:lineRule="auto"/>
        <w:ind w:firstLine="480" w:firstLineChars="200"/>
        <w:rPr>
          <w:rFonts w:ascii="仿宋_GB2312" w:hAnsi="楷体" w:eastAsia="仿宋_GB2312"/>
          <w:sz w:val="24"/>
          <w:u w:val="single"/>
        </w:rPr>
      </w:pPr>
      <w:r>
        <w:rPr>
          <w:rFonts w:hint="eastAsia" w:ascii="仿宋_GB2312" w:hAnsi="楷体" w:eastAsia="仿宋_GB2312"/>
          <w:sz w:val="24"/>
          <w:u w:val="single"/>
        </w:rPr>
        <w:t xml:space="preserve">                                                                       </w:t>
      </w:r>
    </w:p>
    <w:p w14:paraId="0A64799A">
      <w:pPr>
        <w:rPr>
          <w:lang w:val="zh-CN"/>
        </w:rPr>
      </w:pPr>
    </w:p>
    <w:p w14:paraId="6E0D363B"/>
    <w:p w14:paraId="22CB8AD0"/>
    <w:p w14:paraId="31EF5014"/>
    <w:p w14:paraId="4CE5F72D"/>
    <w:p w14:paraId="711741EE">
      <w:pPr>
        <w:sectPr>
          <w:pgSz w:w="11906" w:h="16838"/>
          <w:pgMar w:top="1134" w:right="1134" w:bottom="1134" w:left="1134" w:header="720" w:footer="720" w:gutter="0"/>
          <w:cols w:space="720" w:num="1"/>
          <w:docGrid w:type="lines" w:linePitch="331" w:charSpace="0"/>
        </w:sectPr>
      </w:pPr>
    </w:p>
    <w:p w14:paraId="39169DC3">
      <w:pPr>
        <w:spacing w:line="360" w:lineRule="auto"/>
        <w:ind w:left="178" w:leftChars="85"/>
        <w:rPr>
          <w:rFonts w:hAnsi="宋体"/>
        </w:rPr>
      </w:pPr>
    </w:p>
    <w:p w14:paraId="4B1D75DA">
      <w:pPr>
        <w:tabs>
          <w:tab w:val="left" w:pos="2472"/>
        </w:tabs>
        <w:spacing w:line="460" w:lineRule="exact"/>
        <w:jc w:val="center"/>
        <w:rPr>
          <w:b/>
          <w:sz w:val="36"/>
        </w:rPr>
      </w:pPr>
    </w:p>
    <w:p w14:paraId="50DF8318">
      <w:pPr>
        <w:tabs>
          <w:tab w:val="left" w:pos="2472"/>
        </w:tabs>
        <w:spacing w:line="460" w:lineRule="exact"/>
        <w:jc w:val="center"/>
        <w:rPr>
          <w:b/>
          <w:sz w:val="36"/>
        </w:rPr>
      </w:pPr>
    </w:p>
    <w:p w14:paraId="70985C56">
      <w:pPr>
        <w:tabs>
          <w:tab w:val="left" w:pos="2472"/>
        </w:tabs>
        <w:spacing w:line="460" w:lineRule="exact"/>
        <w:jc w:val="center"/>
        <w:rPr>
          <w:b/>
          <w:sz w:val="36"/>
        </w:rPr>
      </w:pPr>
    </w:p>
    <w:p w14:paraId="2703750D">
      <w:pPr>
        <w:tabs>
          <w:tab w:val="left" w:pos="2472"/>
        </w:tabs>
        <w:spacing w:line="460" w:lineRule="exact"/>
        <w:jc w:val="center"/>
        <w:rPr>
          <w:b/>
          <w:sz w:val="36"/>
        </w:rPr>
      </w:pPr>
    </w:p>
    <w:p w14:paraId="7A1CC7A9">
      <w:pPr>
        <w:tabs>
          <w:tab w:val="left" w:pos="2472"/>
        </w:tabs>
        <w:spacing w:line="460" w:lineRule="exact"/>
        <w:jc w:val="center"/>
        <w:rPr>
          <w:b/>
          <w:sz w:val="36"/>
        </w:rPr>
      </w:pPr>
    </w:p>
    <w:p w14:paraId="28BA7034">
      <w:pPr>
        <w:tabs>
          <w:tab w:val="left" w:pos="2472"/>
        </w:tabs>
        <w:spacing w:line="460" w:lineRule="exact"/>
        <w:jc w:val="center"/>
        <w:rPr>
          <w:b/>
          <w:sz w:val="36"/>
        </w:rPr>
      </w:pPr>
    </w:p>
    <w:p w14:paraId="7104A58D">
      <w:pPr>
        <w:tabs>
          <w:tab w:val="left" w:pos="2472"/>
        </w:tabs>
        <w:spacing w:line="460" w:lineRule="exact"/>
        <w:jc w:val="center"/>
        <w:rPr>
          <w:b/>
          <w:sz w:val="36"/>
        </w:rPr>
      </w:pPr>
    </w:p>
    <w:p w14:paraId="6A1F4521">
      <w:pPr>
        <w:tabs>
          <w:tab w:val="left" w:pos="2472"/>
        </w:tabs>
        <w:spacing w:line="460" w:lineRule="exact"/>
        <w:jc w:val="center"/>
        <w:rPr>
          <w:b/>
          <w:sz w:val="36"/>
        </w:rPr>
      </w:pPr>
    </w:p>
    <w:p w14:paraId="4C82CD72">
      <w:pPr>
        <w:tabs>
          <w:tab w:val="left" w:pos="2472"/>
        </w:tabs>
        <w:spacing w:line="460" w:lineRule="exact"/>
        <w:jc w:val="center"/>
        <w:rPr>
          <w:b/>
          <w:sz w:val="36"/>
        </w:rPr>
      </w:pPr>
    </w:p>
    <w:p w14:paraId="37687263">
      <w:pPr>
        <w:tabs>
          <w:tab w:val="left" w:pos="2472"/>
        </w:tabs>
        <w:spacing w:line="460" w:lineRule="exact"/>
        <w:jc w:val="center"/>
        <w:outlineLvl w:val="0"/>
        <w:rPr>
          <w:b/>
          <w:sz w:val="36"/>
        </w:rPr>
      </w:pPr>
      <w:bookmarkStart w:id="74" w:name="_Toc31635"/>
      <w:bookmarkStart w:id="75" w:name="_Toc8426"/>
      <w:r>
        <w:rPr>
          <w:rFonts w:hint="eastAsia"/>
          <w:b/>
          <w:sz w:val="36"/>
        </w:rPr>
        <w:t>第六章 投标文件格式</w:t>
      </w:r>
      <w:bookmarkEnd w:id="74"/>
      <w:bookmarkEnd w:id="75"/>
    </w:p>
    <w:p w14:paraId="56DB2B73">
      <w:pPr>
        <w:spacing w:line="360" w:lineRule="auto"/>
        <w:rPr>
          <w:rFonts w:hAnsi="宋体"/>
        </w:rPr>
        <w:sectPr>
          <w:pgSz w:w="11906" w:h="16838"/>
          <w:pgMar w:top="1134" w:right="1134" w:bottom="1134" w:left="1134" w:header="720" w:footer="720" w:gutter="0"/>
          <w:cols w:space="720" w:num="1"/>
          <w:docGrid w:type="lines" w:linePitch="331" w:charSpace="0"/>
        </w:sectPr>
      </w:pPr>
    </w:p>
    <w:p w14:paraId="6CE2C912">
      <w:pPr>
        <w:jc w:val="center"/>
        <w:outlineLvl w:val="1"/>
        <w:rPr>
          <w:rFonts w:hAnsi="宋体"/>
          <w:b/>
          <w:bCs/>
          <w:sz w:val="28"/>
          <w:szCs w:val="28"/>
        </w:rPr>
      </w:pPr>
      <w:bookmarkStart w:id="76" w:name="_Toc11007"/>
      <w:bookmarkStart w:id="77" w:name="_Toc25622"/>
      <w:bookmarkStart w:id="78" w:name="_Toc16345"/>
      <w:r>
        <w:rPr>
          <w:rFonts w:hint="eastAsia" w:hAnsi="宋体"/>
          <w:b/>
          <w:bCs/>
          <w:sz w:val="28"/>
          <w:szCs w:val="28"/>
        </w:rPr>
        <w:t>第一节 资格证明文件格式</w:t>
      </w:r>
      <w:bookmarkEnd w:id="76"/>
      <w:bookmarkEnd w:id="77"/>
      <w:bookmarkEnd w:id="78"/>
    </w:p>
    <w:p w14:paraId="17283515">
      <w:pPr>
        <w:spacing w:line="360" w:lineRule="auto"/>
        <w:ind w:firstLine="420"/>
        <w:rPr>
          <w:rFonts w:hAnsi="宋体"/>
          <w:sz w:val="30"/>
        </w:rPr>
      </w:pPr>
    </w:p>
    <w:p w14:paraId="67C8ADDF">
      <w:pPr>
        <w:snapToGrid w:val="0"/>
        <w:spacing w:before="165" w:beforeLines="50" w:after="50"/>
        <w:rPr>
          <w:rFonts w:ascii="宋体" w:hAnsi="宋体"/>
          <w:bCs/>
          <w:sz w:val="32"/>
          <w:szCs w:val="20"/>
        </w:rPr>
      </w:pPr>
      <w:r>
        <w:rPr>
          <w:rFonts w:hint="eastAsia" w:ascii="宋体" w:hAnsi="宋体"/>
          <w:sz w:val="24"/>
        </w:rPr>
        <w:t xml:space="preserve">                                                         </w:t>
      </w:r>
      <w:r>
        <w:rPr>
          <w:rFonts w:hint="eastAsia" w:ascii="宋体" w:hAnsi="宋体"/>
          <w:bCs/>
        </w:rPr>
        <w:t>电子投标文件</w:t>
      </w:r>
    </w:p>
    <w:p w14:paraId="19593B3D">
      <w:pPr>
        <w:snapToGrid w:val="0"/>
        <w:spacing w:before="165" w:beforeLines="50" w:after="50"/>
        <w:rPr>
          <w:rFonts w:ascii="宋体" w:hAnsi="宋体"/>
          <w:sz w:val="24"/>
          <w:szCs w:val="20"/>
        </w:rPr>
      </w:pPr>
    </w:p>
    <w:p w14:paraId="4A15DC68">
      <w:pPr>
        <w:snapToGrid w:val="0"/>
        <w:spacing w:before="165" w:beforeLines="50" w:after="50"/>
        <w:jc w:val="center"/>
        <w:rPr>
          <w:rFonts w:ascii="宋体" w:hAnsi="宋体"/>
          <w:b/>
          <w:sz w:val="24"/>
          <w:szCs w:val="20"/>
        </w:rPr>
      </w:pPr>
      <w:r>
        <w:rPr>
          <w:rFonts w:hint="eastAsia" w:ascii="宋体" w:hAnsi="宋体"/>
          <w:b/>
          <w:sz w:val="32"/>
          <w:szCs w:val="32"/>
        </w:rPr>
        <w:t>资格证明文件（封面）</w:t>
      </w:r>
    </w:p>
    <w:p w14:paraId="3EE94AE4">
      <w:pPr>
        <w:snapToGrid w:val="0"/>
        <w:spacing w:before="165" w:beforeLines="50" w:after="50"/>
        <w:rPr>
          <w:rFonts w:ascii="宋体" w:hAnsi="宋体"/>
          <w:bCs/>
          <w:sz w:val="24"/>
          <w:szCs w:val="20"/>
        </w:rPr>
      </w:pPr>
    </w:p>
    <w:p w14:paraId="5F1D75EB">
      <w:pPr>
        <w:snapToGrid w:val="0"/>
        <w:spacing w:before="165" w:beforeLines="50" w:after="50"/>
        <w:rPr>
          <w:rFonts w:ascii="宋体" w:hAnsi="宋体"/>
          <w:bCs/>
          <w:sz w:val="24"/>
          <w:szCs w:val="20"/>
        </w:rPr>
      </w:pPr>
    </w:p>
    <w:p w14:paraId="20B98065">
      <w:pPr>
        <w:snapToGrid w:val="0"/>
        <w:spacing w:before="165" w:beforeLines="50" w:after="50"/>
        <w:rPr>
          <w:rFonts w:ascii="宋体" w:hAnsi="宋体"/>
          <w:bCs/>
          <w:sz w:val="24"/>
          <w:szCs w:val="20"/>
        </w:rPr>
      </w:pPr>
    </w:p>
    <w:p w14:paraId="4823CB09">
      <w:pPr>
        <w:snapToGrid w:val="0"/>
        <w:spacing w:before="165" w:beforeLines="50" w:after="50"/>
        <w:rPr>
          <w:rFonts w:ascii="宋体" w:hAnsi="宋体"/>
          <w:bCs/>
          <w:sz w:val="24"/>
          <w:szCs w:val="20"/>
        </w:rPr>
      </w:pPr>
    </w:p>
    <w:p w14:paraId="3AE05E0B">
      <w:pPr>
        <w:snapToGrid w:val="0"/>
        <w:spacing w:before="165" w:beforeLines="50" w:after="50"/>
        <w:rPr>
          <w:rFonts w:ascii="宋体" w:hAnsi="宋体"/>
          <w:bCs/>
          <w:sz w:val="24"/>
          <w:szCs w:val="20"/>
        </w:rPr>
      </w:pPr>
    </w:p>
    <w:p w14:paraId="592E17B4">
      <w:pPr>
        <w:snapToGrid w:val="0"/>
        <w:spacing w:before="165" w:beforeLines="50" w:after="50"/>
        <w:rPr>
          <w:rFonts w:ascii="宋体" w:hAnsi="宋体"/>
          <w:bCs/>
          <w:sz w:val="24"/>
          <w:szCs w:val="20"/>
        </w:rPr>
      </w:pPr>
    </w:p>
    <w:p w14:paraId="68DEB39D">
      <w:pPr>
        <w:snapToGrid w:val="0"/>
        <w:spacing w:before="165" w:beforeLines="50" w:after="50"/>
        <w:rPr>
          <w:rFonts w:ascii="宋体" w:hAnsi="宋体"/>
          <w:bCs/>
          <w:sz w:val="24"/>
          <w:szCs w:val="20"/>
        </w:rPr>
      </w:pPr>
    </w:p>
    <w:p w14:paraId="499C4304">
      <w:pPr>
        <w:snapToGrid w:val="0"/>
        <w:spacing w:before="165" w:beforeLines="50" w:after="50"/>
        <w:ind w:firstLine="540" w:firstLineChars="225"/>
        <w:rPr>
          <w:rFonts w:ascii="宋体" w:hAnsi="宋体"/>
          <w:bCs/>
          <w:sz w:val="24"/>
        </w:rPr>
      </w:pPr>
      <w:r>
        <w:rPr>
          <w:rFonts w:hint="eastAsia" w:ascii="宋体" w:hAnsi="宋体"/>
          <w:bCs/>
          <w:sz w:val="24"/>
        </w:rPr>
        <w:t>项目名称：南宁市村庄规划审查及乡镇规划数据规整入库项目</w:t>
      </w:r>
    </w:p>
    <w:p w14:paraId="45CC507A">
      <w:pPr>
        <w:snapToGrid w:val="0"/>
        <w:spacing w:before="165" w:beforeLines="50" w:after="50"/>
        <w:ind w:firstLine="540" w:firstLineChars="225"/>
        <w:rPr>
          <w:rFonts w:ascii="宋体" w:hAnsi="宋体"/>
          <w:bCs/>
          <w:sz w:val="24"/>
          <w:szCs w:val="20"/>
        </w:rPr>
      </w:pPr>
    </w:p>
    <w:p w14:paraId="55E49D72">
      <w:pPr>
        <w:snapToGrid w:val="0"/>
        <w:spacing w:before="165" w:beforeLines="50" w:after="50"/>
        <w:ind w:firstLine="540" w:firstLineChars="225"/>
        <w:rPr>
          <w:rFonts w:ascii="宋体" w:hAnsi="宋体"/>
          <w:bCs/>
          <w:sz w:val="24"/>
        </w:rPr>
      </w:pPr>
      <w:r>
        <w:rPr>
          <w:rFonts w:hint="eastAsia" w:ascii="宋体" w:hAnsi="宋体"/>
          <w:bCs/>
          <w:sz w:val="24"/>
        </w:rPr>
        <w:t>项目编号：</w:t>
      </w:r>
    </w:p>
    <w:p w14:paraId="6D4A2883">
      <w:pPr>
        <w:snapToGrid w:val="0"/>
        <w:spacing w:before="165" w:beforeLines="50" w:after="50"/>
        <w:ind w:firstLine="540" w:firstLineChars="225"/>
        <w:rPr>
          <w:rFonts w:ascii="宋体" w:hAnsi="宋体"/>
          <w:bCs/>
          <w:sz w:val="24"/>
          <w:szCs w:val="20"/>
        </w:rPr>
      </w:pPr>
      <w:r>
        <w:rPr>
          <w:rFonts w:hint="eastAsia" w:ascii="宋体" w:hAnsi="宋体"/>
          <w:bCs/>
          <w:sz w:val="24"/>
        </w:rPr>
        <w:t xml:space="preserve"> </w:t>
      </w:r>
    </w:p>
    <w:p w14:paraId="29A4063E">
      <w:pPr>
        <w:snapToGrid w:val="0"/>
        <w:spacing w:before="165" w:beforeLines="50" w:after="50"/>
        <w:ind w:firstLine="540" w:firstLineChars="225"/>
        <w:rPr>
          <w:rFonts w:ascii="宋体" w:hAnsi="宋体"/>
          <w:bCs/>
          <w:sz w:val="24"/>
        </w:rPr>
      </w:pPr>
      <w:r>
        <w:rPr>
          <w:rFonts w:hint="eastAsia" w:ascii="宋体" w:hAnsi="宋体"/>
          <w:bCs/>
          <w:sz w:val="24"/>
        </w:rPr>
        <w:t>所投分标：</w:t>
      </w:r>
    </w:p>
    <w:p w14:paraId="1FA1F2F1">
      <w:pPr>
        <w:snapToGrid w:val="0"/>
        <w:spacing w:before="50" w:after="50"/>
        <w:ind w:firstLine="540" w:firstLineChars="225"/>
        <w:rPr>
          <w:rFonts w:ascii="宋体" w:hAnsi="宋体"/>
          <w:bCs/>
          <w:sz w:val="24"/>
        </w:rPr>
      </w:pPr>
    </w:p>
    <w:p w14:paraId="35C3D217">
      <w:pPr>
        <w:snapToGrid w:val="0"/>
        <w:spacing w:before="50" w:after="50"/>
        <w:ind w:firstLine="540" w:firstLineChars="225"/>
        <w:rPr>
          <w:rFonts w:ascii="宋体" w:hAnsi="宋体"/>
          <w:bCs/>
          <w:sz w:val="24"/>
        </w:rPr>
      </w:pPr>
      <w:r>
        <w:rPr>
          <w:rFonts w:hint="eastAsia" w:ascii="宋体" w:hAnsi="宋体"/>
          <w:bCs/>
          <w:sz w:val="24"/>
        </w:rPr>
        <w:t>投标人名称：</w:t>
      </w:r>
    </w:p>
    <w:p w14:paraId="6A9A7768">
      <w:pPr>
        <w:snapToGrid w:val="0"/>
        <w:spacing w:before="50" w:after="50"/>
        <w:ind w:firstLine="540" w:firstLineChars="225"/>
        <w:rPr>
          <w:rFonts w:ascii="宋体" w:hAnsi="宋体"/>
          <w:bCs/>
          <w:sz w:val="24"/>
        </w:rPr>
      </w:pPr>
    </w:p>
    <w:p w14:paraId="705C22DB">
      <w:pPr>
        <w:snapToGrid w:val="0"/>
        <w:spacing w:before="50" w:after="50"/>
        <w:ind w:firstLine="960" w:firstLineChars="400"/>
        <w:rPr>
          <w:rFonts w:ascii="宋体" w:hAnsi="宋体"/>
          <w:bCs/>
          <w:sz w:val="24"/>
        </w:rPr>
      </w:pPr>
    </w:p>
    <w:p w14:paraId="29D95593">
      <w:pPr>
        <w:snapToGrid w:val="0"/>
        <w:spacing w:before="165" w:beforeLines="50" w:after="50"/>
        <w:ind w:firstLine="645"/>
        <w:jc w:val="center"/>
        <w:rPr>
          <w:rFonts w:ascii="宋体" w:hAnsi="宋体"/>
          <w:sz w:val="24"/>
        </w:rPr>
      </w:pPr>
      <w:r>
        <w:rPr>
          <w:rFonts w:hint="eastAsia" w:ascii="宋体" w:hAnsi="宋体"/>
          <w:sz w:val="24"/>
        </w:rPr>
        <w:t>年  月  日</w:t>
      </w:r>
    </w:p>
    <w:p w14:paraId="15F1903D">
      <w:pPr>
        <w:spacing w:line="360" w:lineRule="auto"/>
        <w:ind w:firstLine="420"/>
        <w:rPr>
          <w:rFonts w:hAnsi="宋体"/>
          <w:sz w:val="30"/>
        </w:rPr>
        <w:sectPr>
          <w:headerReference r:id="rId8" w:type="default"/>
          <w:footerReference r:id="rId9" w:type="default"/>
          <w:pgSz w:w="11906" w:h="16838"/>
          <w:pgMar w:top="1134" w:right="1134" w:bottom="1134" w:left="1134" w:header="720" w:footer="720" w:gutter="0"/>
          <w:cols w:space="720" w:num="1"/>
          <w:docGrid w:type="lines" w:linePitch="331" w:charSpace="0"/>
        </w:sectPr>
      </w:pPr>
    </w:p>
    <w:p w14:paraId="125F23C8">
      <w:pPr>
        <w:jc w:val="center"/>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资格证明文件目录</w:t>
      </w:r>
    </w:p>
    <w:p w14:paraId="3474E8CD">
      <w:pPr>
        <w:snapToGrid w:val="0"/>
        <w:spacing w:line="360" w:lineRule="auto"/>
        <w:rPr>
          <w:rFonts w:ascii="仿宋_GB2312" w:hAnsi="仿宋" w:eastAsia="仿宋_GB2312" w:cs="仿宋_GB2312"/>
          <w:kern w:val="0"/>
          <w:sz w:val="24"/>
        </w:rPr>
      </w:pPr>
    </w:p>
    <w:p w14:paraId="14BD57E1">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一、</w:t>
      </w:r>
      <w:r>
        <w:rPr>
          <w:rFonts w:hint="eastAsia" w:ascii="仿宋_GB2312" w:hAnsi="仿宋" w:eastAsia="仿宋_GB2312"/>
          <w:sz w:val="24"/>
        </w:rPr>
        <w:t>营业执照(或事业法人登记证或其他工商等登记证明材料)复印件（投标人为自然人的，须提供</w:t>
      </w:r>
      <w:r>
        <w:rPr>
          <w:rFonts w:hint="eastAsia" w:ascii="仿宋_GB2312" w:hAnsi="仿宋" w:eastAsia="仿宋_GB2312" w:cs="Helvetica"/>
          <w:kern w:val="0"/>
          <w:sz w:val="24"/>
        </w:rPr>
        <w:t>自然人的身份证明</w:t>
      </w:r>
      <w:r>
        <w:rPr>
          <w:rFonts w:hint="eastAsia" w:ascii="仿宋_GB2312" w:hAnsi="仿宋" w:eastAsia="仿宋_GB2312"/>
          <w:sz w:val="24"/>
        </w:rPr>
        <w:t>）</w:t>
      </w:r>
      <w:r>
        <w:rPr>
          <w:rFonts w:hint="eastAsia" w:ascii="仿宋_GB2312" w:hAnsi="仿宋" w:eastAsia="仿宋_GB2312" w:cs="仿宋_GB2312"/>
          <w:kern w:val="0"/>
          <w:sz w:val="24"/>
        </w:rPr>
        <w:t>………………………………………………………………（页码）</w:t>
      </w:r>
    </w:p>
    <w:p w14:paraId="625CE836">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二、符合参与政府采购活动的资格条件依法缴纳税收、社会保障资金等方面的材料………………………………………………………………………………………………（页码）</w:t>
      </w:r>
    </w:p>
    <w:p w14:paraId="0D90A895">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三、财务状况报告方面的材料…………………………………………………………（页码）</w:t>
      </w:r>
    </w:p>
    <w:p w14:paraId="5449A883">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四、投标人直接控股股东信息</w:t>
      </w:r>
      <w:r>
        <w:rPr>
          <w:rFonts w:hint="eastAsia" w:ascii="仿宋_GB2312" w:hAnsi="仿宋" w:eastAsia="仿宋_GB2312" w:cs="仿宋_GB2312"/>
          <w:kern w:val="0"/>
          <w:sz w:val="24"/>
        </w:rPr>
        <w:t>…………………………………………………………（页码）</w:t>
      </w:r>
    </w:p>
    <w:p w14:paraId="3E033AD7">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五、投标人直接关联关系信息表</w:t>
      </w:r>
      <w:r>
        <w:rPr>
          <w:rFonts w:hint="eastAsia" w:ascii="仿宋_GB2312" w:hAnsi="仿宋" w:eastAsia="仿宋_GB2312" w:cs="仿宋_GB2312"/>
          <w:kern w:val="0"/>
          <w:sz w:val="24"/>
        </w:rPr>
        <w:t>………………………………………………………（页码）</w:t>
      </w:r>
    </w:p>
    <w:p w14:paraId="717E386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六、投标资格声明函………………………………………………………………………（页码）</w:t>
      </w:r>
    </w:p>
    <w:p w14:paraId="1F9DA3F3">
      <w:pPr>
        <w:snapToGrid w:val="0"/>
        <w:spacing w:line="360" w:lineRule="auto"/>
        <w:rPr>
          <w:rFonts w:ascii="仿宋_GB2312" w:hAnsi="仿宋" w:eastAsia="仿宋_GB2312" w:cs="仿宋_GB2312"/>
          <w:sz w:val="24"/>
        </w:rPr>
      </w:pPr>
      <w:r>
        <w:rPr>
          <w:rFonts w:hint="eastAsia" w:ascii="仿宋_GB2312" w:hAnsi="仿宋" w:eastAsia="仿宋_GB2312" w:cs="仿宋_GB2312"/>
          <w:sz w:val="24"/>
        </w:rPr>
        <w:t>七、本项目特定资格要求及特定条件的资格证明材料</w:t>
      </w:r>
      <w:r>
        <w:rPr>
          <w:rFonts w:hint="eastAsia" w:ascii="仿宋_GB2312" w:hAnsi="仿宋" w:eastAsia="仿宋_GB2312" w:cs="仿宋_GB2312"/>
          <w:kern w:val="0"/>
          <w:sz w:val="24"/>
        </w:rPr>
        <w:t>…………………………………（页码）</w:t>
      </w:r>
    </w:p>
    <w:p w14:paraId="064E0FE2">
      <w:pPr>
        <w:snapToGrid w:val="0"/>
        <w:spacing w:line="360" w:lineRule="auto"/>
        <w:rPr>
          <w:rFonts w:ascii="仿宋_GB2312" w:hAnsi="仿宋" w:eastAsia="仿宋_GB2312" w:cs="仿宋_GB2312"/>
          <w:kern w:val="0"/>
          <w:sz w:val="24"/>
        </w:rPr>
      </w:pPr>
      <w:r>
        <w:rPr>
          <w:rFonts w:hint="eastAsia" w:ascii="仿宋_GB2312" w:hAnsi="仿宋" w:eastAsia="仿宋_GB2312" w:cs="仿宋_GB2312"/>
          <w:sz w:val="24"/>
        </w:rPr>
        <w:t>八、除招标文件规定必须提供以外，投标人认为需要提供的其他证明材料</w:t>
      </w:r>
      <w:r>
        <w:rPr>
          <w:rFonts w:hint="eastAsia" w:ascii="仿宋_GB2312" w:hAnsi="仿宋" w:eastAsia="仿宋_GB2312" w:cs="仿宋_GB2312"/>
          <w:kern w:val="0"/>
          <w:sz w:val="24"/>
        </w:rPr>
        <w:t>…………（页码）</w:t>
      </w:r>
    </w:p>
    <w:p w14:paraId="64681E4F">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60903331">
      <w:pPr>
        <w:spacing w:line="360" w:lineRule="auto"/>
        <w:ind w:firstLine="420"/>
        <w:rPr>
          <w:rFonts w:hAnsi="宋体"/>
          <w:sz w:val="30"/>
        </w:rPr>
        <w:sectPr>
          <w:pgSz w:w="11906" w:h="16838"/>
          <w:pgMar w:top="1134" w:right="1134" w:bottom="1134" w:left="1134" w:header="720" w:footer="720" w:gutter="0"/>
          <w:cols w:space="720" w:num="1"/>
          <w:docGrid w:type="lines" w:linePitch="331" w:charSpace="0"/>
        </w:sectPr>
      </w:pPr>
    </w:p>
    <w:p w14:paraId="499D39A8">
      <w:pPr>
        <w:snapToGrid w:val="0"/>
        <w:spacing w:line="360" w:lineRule="auto"/>
        <w:rPr>
          <w:rFonts w:ascii="仿宋_GB2312" w:hAnsi="仿宋" w:eastAsia="仿宋_GB2312" w:cs="仿宋_GB2312"/>
          <w:b/>
          <w:kern w:val="0"/>
          <w:sz w:val="32"/>
          <w:szCs w:val="32"/>
          <w:lang w:val="zh-CN"/>
        </w:rPr>
      </w:pPr>
    </w:p>
    <w:p w14:paraId="2726C6DC">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b/>
          <w:kern w:val="0"/>
          <w:sz w:val="32"/>
          <w:szCs w:val="32"/>
          <w:lang w:val="zh-CN"/>
        </w:rPr>
        <w:t>一、</w:t>
      </w:r>
      <w:r>
        <w:rPr>
          <w:rFonts w:hint="eastAsia" w:ascii="仿宋_GB2312" w:hAnsi="仿宋" w:eastAsia="仿宋_GB2312" w:cs="仿宋_GB2312"/>
          <w:b/>
          <w:sz w:val="30"/>
          <w:szCs w:val="30"/>
        </w:rPr>
        <w:t>营业执照(或事业法人登记证或其他工商等登记证明材料)复印件（投标人为自然人的，提供自然人的身份证明）</w:t>
      </w:r>
    </w:p>
    <w:p w14:paraId="2E0CFD92">
      <w:pPr>
        <w:spacing w:line="360" w:lineRule="auto"/>
        <w:rPr>
          <w:rFonts w:ascii="仿宋_GB2312" w:hAnsi="仿宋" w:eastAsia="仿宋_GB2312" w:cs="仿宋_GB2312"/>
          <w:b/>
          <w:sz w:val="30"/>
          <w:szCs w:val="30"/>
        </w:rPr>
      </w:pPr>
    </w:p>
    <w:p w14:paraId="4AE43C10">
      <w:pPr>
        <w:snapToGrid w:val="0"/>
        <w:spacing w:line="360" w:lineRule="auto"/>
        <w:ind w:firstLine="576"/>
        <w:jc w:val="center"/>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投标人名称(电子签章)：                              </w:t>
      </w:r>
    </w:p>
    <w:p w14:paraId="402BC658">
      <w:pPr>
        <w:spacing w:line="360" w:lineRule="auto"/>
        <w:jc w:val="center"/>
        <w:rPr>
          <w:rFonts w:ascii="仿宋_GB2312" w:hAnsi="仿宋" w:eastAsia="仿宋_GB2312" w:cs="仿宋_GB2312"/>
          <w:b/>
          <w:sz w:val="30"/>
          <w:szCs w:val="30"/>
        </w:rPr>
      </w:pPr>
      <w:r>
        <w:rPr>
          <w:rFonts w:hint="eastAsia" w:ascii="仿宋_GB2312" w:hAnsi="仿宋" w:eastAsia="仿宋_GB2312" w:cs="仿宋_GB2312"/>
          <w:kern w:val="0"/>
          <w:sz w:val="24"/>
          <w:lang w:val="zh-CN"/>
        </w:rPr>
        <w:t xml:space="preserve">                   日期：  年  月</w:t>
      </w:r>
    </w:p>
    <w:p w14:paraId="70AD02A0">
      <w:pPr>
        <w:spacing w:line="360" w:lineRule="auto"/>
        <w:jc w:val="center"/>
        <w:rPr>
          <w:rFonts w:ascii="仿宋_GB2312" w:hAnsi="仿宋" w:eastAsia="仿宋_GB2312" w:cs="仿宋_GB2312"/>
          <w:b/>
          <w:sz w:val="30"/>
          <w:szCs w:val="30"/>
        </w:rPr>
      </w:pPr>
    </w:p>
    <w:p w14:paraId="5D0F2AAD">
      <w:pPr>
        <w:snapToGrid w:val="0"/>
        <w:spacing w:line="360" w:lineRule="auto"/>
        <w:ind w:right="480"/>
        <w:jc w:val="center"/>
        <w:rPr>
          <w:rFonts w:ascii="仿宋_GB2312" w:hAnsi="仿宋" w:eastAsia="仿宋_GB2312" w:cs="仿宋_GB2312"/>
          <w:b/>
          <w:kern w:val="0"/>
          <w:sz w:val="32"/>
          <w:szCs w:val="32"/>
        </w:rPr>
      </w:pPr>
      <w:r>
        <w:rPr>
          <w:rFonts w:hint="eastAsia" w:ascii="仿宋_GB2312" w:hAnsi="仿宋" w:eastAsia="仿宋_GB2312" w:cs="仿宋_GB2312"/>
          <w:b/>
          <w:sz w:val="30"/>
          <w:szCs w:val="30"/>
        </w:rPr>
        <w:t>二、</w:t>
      </w:r>
      <w:r>
        <w:rPr>
          <w:rFonts w:hint="eastAsia" w:ascii="仿宋_GB2312" w:hAnsi="仿宋" w:eastAsia="仿宋_GB2312" w:cs="仿宋_GB2312"/>
          <w:b/>
          <w:kern w:val="0"/>
          <w:sz w:val="32"/>
          <w:szCs w:val="32"/>
        </w:rPr>
        <w:t>符合参与政府采购活动的资格条件依法缴纳税收、社会保障资金等方面的材料</w:t>
      </w:r>
    </w:p>
    <w:p w14:paraId="264107D0">
      <w:pPr>
        <w:snapToGrid w:val="0"/>
        <w:spacing w:line="360" w:lineRule="auto"/>
        <w:ind w:firstLine="480" w:firstLineChars="200"/>
        <w:rPr>
          <w:rFonts w:ascii="仿宋_GB2312" w:hAnsi="仿宋" w:eastAsia="仿宋_GB2312" w:cs="仿宋_GB2312"/>
          <w:sz w:val="24"/>
        </w:rPr>
      </w:pPr>
    </w:p>
    <w:p w14:paraId="2A713D99">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70F059F9">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3789CF0D">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C1414D8">
      <w:pPr>
        <w:snapToGrid w:val="0"/>
        <w:spacing w:line="360" w:lineRule="auto"/>
        <w:ind w:right="480"/>
        <w:jc w:val="left"/>
        <w:rPr>
          <w:rFonts w:ascii="仿宋_GB2312" w:hAnsi="仿宋" w:eastAsia="仿宋_GB2312" w:cs="仿宋_GB2312"/>
          <w:b/>
          <w:kern w:val="0"/>
          <w:sz w:val="32"/>
          <w:szCs w:val="32"/>
        </w:rPr>
      </w:pPr>
      <w:r>
        <w:rPr>
          <w:rFonts w:hint="eastAsia" w:ascii="仿宋_GB2312" w:hAnsi="仿宋" w:eastAsia="仿宋_GB2312" w:cs="仿宋_GB2312"/>
          <w:b/>
          <w:sz w:val="30"/>
          <w:szCs w:val="30"/>
        </w:rPr>
        <w:t>三、</w:t>
      </w:r>
      <w:r>
        <w:rPr>
          <w:rFonts w:hint="eastAsia" w:ascii="仿宋_GB2312" w:hAnsi="仿宋" w:eastAsia="仿宋_GB2312" w:cs="仿宋_GB2312"/>
          <w:b/>
          <w:kern w:val="0"/>
          <w:sz w:val="32"/>
          <w:szCs w:val="32"/>
        </w:rPr>
        <w:t>财务状况报告方面的材料</w:t>
      </w:r>
    </w:p>
    <w:p w14:paraId="227269F3">
      <w:pPr>
        <w:snapToGrid w:val="0"/>
        <w:spacing w:line="360" w:lineRule="auto"/>
        <w:ind w:firstLine="480" w:firstLineChars="200"/>
        <w:rPr>
          <w:rFonts w:ascii="仿宋_GB2312" w:hAnsi="仿宋" w:eastAsia="仿宋_GB2312" w:cs="仿宋_GB2312"/>
          <w:sz w:val="24"/>
        </w:rPr>
      </w:pPr>
    </w:p>
    <w:p w14:paraId="240958FF">
      <w:pPr>
        <w:snapToGrid w:val="0"/>
        <w:spacing w:line="360" w:lineRule="auto"/>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                                          </w:t>
      </w:r>
    </w:p>
    <w:p w14:paraId="0EF17B2E">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 xml:space="preserve"> 投标人名称(电子签章)：</w:t>
      </w:r>
    </w:p>
    <w:p w14:paraId="0DAF85D5">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3EB31245">
      <w:pPr>
        <w:snapToGrid w:val="0"/>
        <w:spacing w:line="360" w:lineRule="auto"/>
        <w:ind w:firstLine="5160" w:firstLineChars="2150"/>
        <w:rPr>
          <w:rFonts w:ascii="仿宋_GB2312" w:hAnsi="仿宋" w:eastAsia="仿宋_GB2312" w:cs="仿宋_GB2312"/>
          <w:kern w:val="0"/>
          <w:sz w:val="24"/>
          <w:lang w:val="zh-CN"/>
        </w:rPr>
      </w:pPr>
    </w:p>
    <w:p w14:paraId="7FCACBE2">
      <w:pPr>
        <w:snapToGrid w:val="0"/>
        <w:spacing w:line="360" w:lineRule="auto"/>
        <w:ind w:right="480"/>
        <w:jc w:val="center"/>
        <w:rPr>
          <w:rFonts w:ascii="仿宋_GB2312" w:hAnsi="仿宋" w:eastAsia="仿宋_GB2312" w:cs="仿宋_GB2312"/>
          <w:b/>
          <w:kern w:val="0"/>
          <w:sz w:val="32"/>
          <w:szCs w:val="32"/>
          <w:lang w:val="zh-CN"/>
        </w:rPr>
      </w:pPr>
    </w:p>
    <w:p w14:paraId="3C70639D">
      <w:pPr>
        <w:snapToGrid w:val="0"/>
        <w:spacing w:line="360" w:lineRule="auto"/>
        <w:ind w:right="480"/>
        <w:jc w:val="center"/>
        <w:rPr>
          <w:rFonts w:ascii="宋体" w:hAnsi="宋体"/>
          <w:b/>
          <w:sz w:val="28"/>
          <w:szCs w:val="28"/>
        </w:rPr>
      </w:pPr>
      <w:r>
        <w:rPr>
          <w:rFonts w:ascii="仿宋_GB2312" w:hAnsi="仿宋" w:eastAsia="仿宋_GB2312" w:cs="仿宋_GB2312"/>
          <w:b/>
          <w:kern w:val="0"/>
          <w:sz w:val="32"/>
          <w:szCs w:val="32"/>
        </w:rPr>
        <w:br w:type="page"/>
      </w:r>
    </w:p>
    <w:p w14:paraId="704F56DD">
      <w:pPr>
        <w:snapToGrid w:val="0"/>
        <w:spacing w:before="50" w:after="165" w:afterLines="50"/>
        <w:jc w:val="center"/>
        <w:rPr>
          <w:rFonts w:ascii="宋体" w:hAnsi="宋体"/>
          <w:b/>
          <w:sz w:val="32"/>
          <w:szCs w:val="32"/>
        </w:rPr>
      </w:pPr>
      <w:r>
        <w:rPr>
          <w:rFonts w:hint="eastAsia" w:ascii="宋体" w:hAnsi="宋体"/>
          <w:b/>
          <w:sz w:val="32"/>
          <w:szCs w:val="32"/>
        </w:rPr>
        <w:t>四、投标资格声明函</w:t>
      </w:r>
    </w:p>
    <w:p w14:paraId="70327475">
      <w:pPr>
        <w:tabs>
          <w:tab w:val="left" w:pos="7200"/>
        </w:tabs>
        <w:spacing w:line="360" w:lineRule="auto"/>
        <w:rPr>
          <w:rFonts w:ascii="宋体" w:hAnsi="宋体"/>
          <w:szCs w:val="21"/>
        </w:rPr>
      </w:pPr>
      <w:r>
        <w:rPr>
          <w:rFonts w:hint="eastAsia" w:ascii="宋体" w:hAnsi="宋体"/>
          <w:szCs w:val="21"/>
        </w:rPr>
        <w:t>致：</w:t>
      </w:r>
      <w:r>
        <w:rPr>
          <w:rFonts w:ascii="宋体" w:hAnsi="宋体"/>
          <w:szCs w:val="21"/>
          <w:u w:val="single"/>
        </w:rPr>
        <w:t xml:space="preserve">                      </w:t>
      </w:r>
      <w:r>
        <w:rPr>
          <w:rFonts w:hint="eastAsia" w:ascii="宋体" w:hAnsi="宋体"/>
          <w:szCs w:val="21"/>
        </w:rPr>
        <w:t>（采购代理机构名称）</w:t>
      </w:r>
    </w:p>
    <w:p w14:paraId="04B59A15">
      <w:pPr>
        <w:snapToGrid w:val="0"/>
        <w:spacing w:line="360" w:lineRule="auto"/>
        <w:ind w:firstLine="420" w:firstLineChars="200"/>
        <w:jc w:val="left"/>
        <w:rPr>
          <w:rFonts w:ascii="宋体" w:hAnsi="宋体"/>
          <w:szCs w:val="21"/>
        </w:rPr>
      </w:pPr>
      <w:r>
        <w:rPr>
          <w:rFonts w:hint="eastAsia" w:ascii="宋体" w:hAnsi="宋体"/>
          <w:szCs w:val="21"/>
        </w:rPr>
        <w:t xml:space="preserve">我方愿意参加贵方组织的 </w:t>
      </w:r>
      <w:r>
        <w:rPr>
          <w:rFonts w:ascii="宋体" w:hAnsi="宋体"/>
          <w:szCs w:val="21"/>
          <w:u w:val="single"/>
        </w:rPr>
        <w:t>(</w:t>
      </w:r>
      <w:r>
        <w:rPr>
          <w:rFonts w:hint="eastAsia" w:ascii="宋体" w:hAnsi="宋体"/>
          <w:szCs w:val="21"/>
          <w:u w:val="single"/>
        </w:rPr>
        <w:t>项目名称</w:t>
      </w:r>
      <w:r>
        <w:rPr>
          <w:rFonts w:ascii="宋体" w:hAnsi="宋体"/>
          <w:szCs w:val="21"/>
          <w:u w:val="single"/>
        </w:rPr>
        <w:t xml:space="preserve">)              </w:t>
      </w:r>
      <w:r>
        <w:rPr>
          <w:rFonts w:hint="eastAsia" w:ascii="宋体" w:hAnsi="宋体"/>
          <w:szCs w:val="21"/>
        </w:rPr>
        <w:t>（项目编号：</w:t>
      </w:r>
      <w:r>
        <w:rPr>
          <w:rFonts w:ascii="宋体" w:hAnsi="宋体"/>
          <w:szCs w:val="21"/>
        </w:rPr>
        <w:t xml:space="preserve">       </w:t>
      </w:r>
      <w:r>
        <w:rPr>
          <w:rFonts w:hint="eastAsia" w:ascii="宋体" w:hAnsi="宋体"/>
          <w:szCs w:val="21"/>
        </w:rPr>
        <w:t>）项目的投标，为便于贵方公正、择优地确定中标人，我方就本次投标有关事项郑重声明如下：</w:t>
      </w:r>
    </w:p>
    <w:p w14:paraId="682B7309">
      <w:pPr>
        <w:snapToGrid w:val="0"/>
        <w:spacing w:line="360" w:lineRule="auto"/>
        <w:ind w:firstLine="420" w:firstLineChars="200"/>
        <w:jc w:val="left"/>
        <w:rPr>
          <w:rFonts w:ascii="宋体" w:hAnsi="宋体"/>
          <w:szCs w:val="21"/>
        </w:rPr>
      </w:pPr>
      <w:r>
        <w:rPr>
          <w:rFonts w:hint="eastAsia" w:ascii="宋体" w:hAnsi="宋体"/>
          <w:szCs w:val="21"/>
        </w:rPr>
        <w:t>1.我方承诺已经具备《中华人民共和国政府采购法》第二十二条中规定的参加政府采购活动的投标人应当具备的条件：</w:t>
      </w:r>
    </w:p>
    <w:p w14:paraId="4732B0A9">
      <w:pPr>
        <w:snapToGrid w:val="0"/>
        <w:spacing w:line="360" w:lineRule="auto"/>
        <w:ind w:firstLine="420" w:firstLineChars="200"/>
        <w:jc w:val="left"/>
        <w:rPr>
          <w:rFonts w:ascii="宋体" w:hAnsi="宋体"/>
          <w:szCs w:val="21"/>
        </w:rPr>
      </w:pPr>
      <w:r>
        <w:rPr>
          <w:rFonts w:hint="eastAsia" w:ascii="宋体" w:hAnsi="宋体"/>
          <w:szCs w:val="21"/>
        </w:rPr>
        <w:t>（1）具有独立承担民事责任的能力；</w:t>
      </w:r>
    </w:p>
    <w:p w14:paraId="2742525E">
      <w:pPr>
        <w:snapToGrid w:val="0"/>
        <w:spacing w:line="360" w:lineRule="auto"/>
        <w:ind w:firstLine="420" w:firstLineChars="200"/>
        <w:jc w:val="left"/>
        <w:rPr>
          <w:rFonts w:ascii="宋体" w:hAnsi="宋体"/>
          <w:szCs w:val="21"/>
        </w:rPr>
      </w:pPr>
      <w:r>
        <w:rPr>
          <w:rFonts w:hint="eastAsia" w:ascii="宋体" w:hAnsi="宋体"/>
          <w:szCs w:val="21"/>
        </w:rPr>
        <w:t>（2）具有良好的商业信誉和健全的财务会计制度；</w:t>
      </w:r>
    </w:p>
    <w:p w14:paraId="4DAE9252">
      <w:pPr>
        <w:snapToGrid w:val="0"/>
        <w:spacing w:line="360" w:lineRule="auto"/>
        <w:ind w:firstLine="420" w:firstLineChars="200"/>
        <w:jc w:val="left"/>
        <w:rPr>
          <w:rFonts w:ascii="宋体" w:hAnsi="宋体"/>
          <w:szCs w:val="21"/>
        </w:rPr>
      </w:pPr>
      <w:r>
        <w:rPr>
          <w:rFonts w:hint="eastAsia" w:ascii="宋体" w:hAnsi="宋体"/>
          <w:szCs w:val="21"/>
        </w:rPr>
        <w:t>（3）具有履行合同所必需的设备和专业技术能力；</w:t>
      </w:r>
    </w:p>
    <w:p w14:paraId="5E22BF4E">
      <w:pPr>
        <w:snapToGrid w:val="0"/>
        <w:spacing w:line="360" w:lineRule="auto"/>
        <w:ind w:firstLine="420" w:firstLineChars="200"/>
        <w:jc w:val="left"/>
        <w:rPr>
          <w:rFonts w:ascii="宋体" w:hAnsi="宋体"/>
          <w:szCs w:val="21"/>
        </w:rPr>
      </w:pPr>
      <w:r>
        <w:rPr>
          <w:rFonts w:hint="eastAsia" w:ascii="宋体" w:hAnsi="宋体"/>
          <w:szCs w:val="21"/>
        </w:rPr>
        <w:t>（4）有依法缴纳税收和社会保障资金的良好记录；</w:t>
      </w:r>
    </w:p>
    <w:p w14:paraId="02CE1C38">
      <w:pPr>
        <w:snapToGrid w:val="0"/>
        <w:spacing w:line="360" w:lineRule="auto"/>
        <w:ind w:firstLine="420" w:firstLineChars="200"/>
        <w:jc w:val="left"/>
        <w:rPr>
          <w:rFonts w:ascii="宋体" w:hAnsi="宋体"/>
          <w:szCs w:val="21"/>
        </w:rPr>
      </w:pPr>
      <w:r>
        <w:rPr>
          <w:rFonts w:hint="eastAsia" w:ascii="宋体" w:hAnsi="宋体"/>
          <w:szCs w:val="21"/>
        </w:rPr>
        <w:t>（5）参加政府采购活动前三年内，在经营活动中没有重大违法记录；</w:t>
      </w:r>
    </w:p>
    <w:p w14:paraId="43002F7B">
      <w:pPr>
        <w:snapToGrid w:val="0"/>
        <w:spacing w:line="360" w:lineRule="auto"/>
        <w:ind w:firstLine="420" w:firstLineChars="200"/>
        <w:jc w:val="left"/>
        <w:rPr>
          <w:rFonts w:ascii="宋体" w:hAnsi="宋体"/>
          <w:szCs w:val="21"/>
        </w:rPr>
      </w:pPr>
      <w:r>
        <w:rPr>
          <w:rFonts w:hint="eastAsia" w:ascii="宋体" w:hAnsi="宋体"/>
          <w:szCs w:val="21"/>
        </w:rPr>
        <w:t>（6）法律、行政法规规定的其他条件。</w:t>
      </w:r>
    </w:p>
    <w:p w14:paraId="7E9E9FF1">
      <w:pPr>
        <w:snapToGrid w:val="0"/>
        <w:spacing w:line="360" w:lineRule="auto"/>
        <w:ind w:firstLine="420" w:firstLineChars="200"/>
        <w:jc w:val="left"/>
        <w:rPr>
          <w:rFonts w:ascii="宋体" w:hAnsi="宋体"/>
          <w:szCs w:val="21"/>
        </w:rPr>
      </w:pPr>
      <w:r>
        <w:rPr>
          <w:rFonts w:ascii="宋体" w:hAnsi="宋体"/>
          <w:szCs w:val="21"/>
        </w:rPr>
        <w:t xml:space="preserve">2. </w:t>
      </w:r>
      <w:r>
        <w:rPr>
          <w:rFonts w:hint="eastAsia" w:ascii="宋体" w:hAnsi="宋体"/>
          <w:szCs w:val="21"/>
        </w:rPr>
        <w:t>我方不是采购人的附属机构；不是为本次采购项目提供整体设计、规范编制或者项目管理、监理、检测等服务的投标人；在获知本项目采购信息后，与采购人聘请的为此项目提供咨询服务的公司及其附属机构没有任何联系。</w:t>
      </w:r>
    </w:p>
    <w:p w14:paraId="13EF179C">
      <w:pPr>
        <w:snapToGrid w:val="0"/>
        <w:spacing w:line="360" w:lineRule="auto"/>
        <w:ind w:firstLine="420" w:firstLineChars="200"/>
        <w:jc w:val="left"/>
        <w:rPr>
          <w:rFonts w:ascii="宋体" w:hAnsi="宋体"/>
          <w:szCs w:val="21"/>
        </w:rPr>
      </w:pPr>
      <w:r>
        <w:rPr>
          <w:rFonts w:hint="eastAsia" w:ascii="宋体" w:hAnsi="宋体"/>
          <w:szCs w:val="21"/>
        </w:rPr>
        <w:t>3.经查询，在“信用中国”和“中国政府采购网”网站我方未被列入失信被执行人、重大税收违法案件当事人名单、政府采购严重违法失信行为记录名单。</w:t>
      </w:r>
    </w:p>
    <w:p w14:paraId="2A88D774">
      <w:pPr>
        <w:snapToGrid w:val="0"/>
        <w:spacing w:line="360" w:lineRule="auto"/>
        <w:ind w:firstLine="420" w:firstLineChars="200"/>
        <w:jc w:val="left"/>
        <w:rPr>
          <w:rFonts w:ascii="宋体" w:hAnsi="宋体"/>
          <w:szCs w:val="21"/>
        </w:rPr>
      </w:pPr>
      <w:r>
        <w:rPr>
          <w:rFonts w:hint="eastAsia" w:ascii="宋体" w:hAnsi="宋体"/>
          <w:szCs w:val="21"/>
        </w:rPr>
        <w:t xml:space="preserve">4.以上事项如有虚假或隐瞒，我方愿意承担一切后果，并不再寻求任何旨在减轻或免除法律责任的辩解。 </w:t>
      </w:r>
    </w:p>
    <w:p w14:paraId="1DE3FBB8">
      <w:pPr>
        <w:tabs>
          <w:tab w:val="left" w:pos="7200"/>
        </w:tabs>
        <w:ind w:firstLine="270" w:firstLineChars="150"/>
        <w:rPr>
          <w:rFonts w:ascii="宋体" w:hAnsi="宋体"/>
          <w:sz w:val="18"/>
          <w:szCs w:val="18"/>
        </w:rPr>
      </w:pPr>
      <w:r>
        <w:rPr>
          <w:rFonts w:hint="eastAsia" w:ascii="宋体" w:hAnsi="宋体"/>
          <w:sz w:val="18"/>
          <w:szCs w:val="18"/>
        </w:rPr>
        <w:t>说明：</w:t>
      </w:r>
    </w:p>
    <w:p w14:paraId="0CA4A2EA">
      <w:pPr>
        <w:ind w:firstLine="360" w:firstLineChars="200"/>
        <w:jc w:val="left"/>
        <w:rPr>
          <w:rFonts w:ascii="宋体" w:hAnsi="宋体"/>
          <w:sz w:val="18"/>
          <w:szCs w:val="18"/>
        </w:rPr>
      </w:pPr>
      <w:r>
        <w:rPr>
          <w:rFonts w:hint="eastAsia" w:ascii="宋体" w:hAnsi="宋体"/>
          <w:sz w:val="18"/>
          <w:szCs w:val="18"/>
        </w:rPr>
        <w:t>1.投标人应当通过 “信用中国”（www.creditchina.gov.cn）和“中国政府采购网”网站（www.ccgp.gov.cn）查询投标人相关主体的信用记录。查询时间为本项目投标截止时间前10日至投标截止时间中任意一天。对列入失信被执行人、重大税收违法案件当事人名单、政府采购严重违法失信行为记录名单的投标人，将被拒绝参与本项目政府采购活动。</w:t>
      </w:r>
    </w:p>
    <w:p w14:paraId="2DD630D4">
      <w:pPr>
        <w:ind w:firstLine="360" w:firstLineChars="200"/>
        <w:jc w:val="left"/>
        <w:rPr>
          <w:rFonts w:ascii="宋体" w:hAnsi="宋体"/>
          <w:sz w:val="18"/>
          <w:szCs w:val="18"/>
        </w:rPr>
      </w:pPr>
      <w:r>
        <w:rPr>
          <w:rFonts w:hint="eastAsia" w:ascii="宋体" w:hAnsi="宋体"/>
          <w:sz w:val="18"/>
          <w:szCs w:val="18"/>
        </w:rPr>
        <w:t>2.两个以上的自然人、法人或者其他组织组成一个联合体，以一个投标人的身份共同参加政府采购活动的，应当对所有联合体成员进行信用记录查询，联合体成员存在不良信用记录的，视同联合体存在不良信用记录。</w:t>
      </w:r>
    </w:p>
    <w:p w14:paraId="0FFF1B01">
      <w:pPr>
        <w:snapToGrid w:val="0"/>
        <w:spacing w:before="50" w:after="165" w:afterLines="50"/>
        <w:jc w:val="left"/>
        <w:rPr>
          <w:rFonts w:ascii="宋体" w:hAnsi="宋体"/>
          <w:sz w:val="18"/>
          <w:szCs w:val="18"/>
        </w:rPr>
      </w:pPr>
      <w:r>
        <w:rPr>
          <w:rFonts w:hint="eastAsia" w:ascii="宋体" w:hAnsi="宋体"/>
          <w:sz w:val="18"/>
          <w:szCs w:val="18"/>
        </w:rPr>
        <w:t xml:space="preserve"> </w:t>
      </w:r>
      <w:r>
        <w:rPr>
          <w:rFonts w:hint="eastAsia" w:ascii="宋体" w:hAnsi="宋体"/>
          <w:b/>
          <w:sz w:val="18"/>
          <w:szCs w:val="18"/>
        </w:rPr>
        <w:t xml:space="preserve">  3.如为联合体投标，盖章处须加盖联合体各方公章并由联合体各方法定代表人分别签署，否则投标无效。</w:t>
      </w:r>
    </w:p>
    <w:p w14:paraId="04CC928D">
      <w:pPr>
        <w:snapToGrid w:val="0"/>
        <w:spacing w:before="50" w:after="331" w:afterLines="100" w:line="360" w:lineRule="auto"/>
        <w:jc w:val="left"/>
        <w:rPr>
          <w:rFonts w:ascii="宋体" w:hAnsi="宋体"/>
          <w:sz w:val="24"/>
        </w:rPr>
      </w:pPr>
      <w:r>
        <w:rPr>
          <w:rFonts w:hint="eastAsia" w:ascii="宋体" w:hAnsi="宋体"/>
          <w:sz w:val="24"/>
        </w:rPr>
        <w:t xml:space="preserve">                                     </w:t>
      </w:r>
    </w:p>
    <w:p w14:paraId="6830A155">
      <w:pPr>
        <w:snapToGrid w:val="0"/>
        <w:spacing w:before="50" w:after="331" w:afterLines="100" w:line="360" w:lineRule="auto"/>
        <w:ind w:left="7428" w:leftChars="2223" w:hanging="2760" w:hangingChars="1150"/>
        <w:jc w:val="left"/>
        <w:rPr>
          <w:rFonts w:ascii="宋体" w:hAnsi="宋体"/>
          <w:szCs w:val="21"/>
        </w:rPr>
      </w:pPr>
      <w:r>
        <w:rPr>
          <w:rFonts w:hint="eastAsia" w:ascii="宋体" w:hAnsi="宋体"/>
          <w:sz w:val="24"/>
        </w:rPr>
        <w:t xml:space="preserve">  </w:t>
      </w:r>
      <w:r>
        <w:rPr>
          <w:rFonts w:hint="eastAsia" w:ascii="仿宋_GB2312" w:hAnsi="仿宋" w:eastAsia="仿宋_GB2312" w:cs="仿宋_GB2312"/>
          <w:kern w:val="0"/>
          <w:sz w:val="24"/>
          <w:lang w:val="zh-CN"/>
        </w:rPr>
        <w:t>投标人名称(电子签章)：</w:t>
      </w:r>
      <w:r>
        <w:rPr>
          <w:rFonts w:hint="eastAsia" w:ascii="宋体" w:hAnsi="宋体"/>
          <w:szCs w:val="21"/>
        </w:rPr>
        <w:t xml:space="preserve">                                     年    月    日</w:t>
      </w:r>
    </w:p>
    <w:p w14:paraId="2DFF333A">
      <w:pPr>
        <w:jc w:val="left"/>
        <w:rPr>
          <w:rFonts w:ascii="宋体" w:hAnsi="宋体"/>
          <w:szCs w:val="21"/>
        </w:rPr>
      </w:pPr>
      <w:r>
        <w:rPr>
          <w:rFonts w:hint="eastAsia" w:ascii="宋体" w:hAnsi="宋体"/>
          <w:szCs w:val="21"/>
        </w:rPr>
        <w:br w:type="page"/>
      </w:r>
    </w:p>
    <w:p w14:paraId="5FB0972E">
      <w:pPr>
        <w:snapToGrid w:val="0"/>
        <w:spacing w:before="50" w:after="165" w:afterLines="50" w:line="360" w:lineRule="auto"/>
        <w:jc w:val="center"/>
        <w:rPr>
          <w:rFonts w:ascii="仿宋_GB2312" w:hAnsi="仿宋" w:eastAsia="仿宋_GB2312" w:cs="仿宋_GB2312"/>
          <w:b/>
          <w:kern w:val="0"/>
          <w:sz w:val="32"/>
          <w:szCs w:val="32"/>
        </w:rPr>
      </w:pPr>
      <w:r>
        <w:rPr>
          <w:rFonts w:hint="eastAsia" w:ascii="仿宋_GB2312" w:hAnsi="仿宋" w:eastAsia="仿宋_GB2312" w:cs="仿宋_GB2312"/>
          <w:b/>
          <w:kern w:val="0"/>
          <w:sz w:val="32"/>
          <w:szCs w:val="32"/>
        </w:rPr>
        <w:t>五、投标人直接控股股东信息表</w:t>
      </w:r>
    </w:p>
    <w:tbl>
      <w:tblPr>
        <w:tblStyle w:val="35"/>
        <w:tblW w:w="9476" w:type="dxa"/>
        <w:tblInd w:w="0" w:type="dxa"/>
        <w:shd w:val="clear" w:color="auto" w:fill="FBFBFB"/>
        <w:tblLayout w:type="fixed"/>
        <w:tblCellMar>
          <w:top w:w="0" w:type="dxa"/>
          <w:left w:w="0" w:type="dxa"/>
          <w:bottom w:w="0" w:type="dxa"/>
          <w:right w:w="0" w:type="dxa"/>
        </w:tblCellMar>
      </w:tblPr>
      <w:tblGrid>
        <w:gridCol w:w="828"/>
        <w:gridCol w:w="2269"/>
        <w:gridCol w:w="1239"/>
        <w:gridCol w:w="3722"/>
        <w:gridCol w:w="1418"/>
      </w:tblGrid>
      <w:tr w14:paraId="731703D0">
        <w:tblPrEx>
          <w:shd w:val="clear" w:color="auto" w:fill="FBFBFB"/>
          <w:tblCellMar>
            <w:top w:w="0" w:type="dxa"/>
            <w:left w:w="0" w:type="dxa"/>
            <w:bottom w:w="0" w:type="dxa"/>
            <w:right w:w="0" w:type="dxa"/>
          </w:tblCellMar>
        </w:tblPrEx>
        <w:trPr>
          <w:tblHeader/>
        </w:trPr>
        <w:tc>
          <w:tcPr>
            <w:tcW w:w="82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12A50F8">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26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331AB0A">
            <w:pPr>
              <w:spacing w:line="360" w:lineRule="auto"/>
              <w:jc w:val="center"/>
              <w:rPr>
                <w:rFonts w:ascii="宋体" w:hAnsi="宋体" w:cs="宋体"/>
                <w:b/>
                <w:bCs/>
                <w:kern w:val="0"/>
                <w:sz w:val="24"/>
              </w:rPr>
            </w:pPr>
            <w:r>
              <w:rPr>
                <w:rFonts w:hint="eastAsia" w:ascii="宋体" w:hAnsi="宋体" w:cs="宋体"/>
                <w:b/>
                <w:bCs/>
                <w:kern w:val="0"/>
                <w:sz w:val="24"/>
              </w:rPr>
              <w:t>直接控股股东名称</w:t>
            </w:r>
          </w:p>
        </w:tc>
        <w:tc>
          <w:tcPr>
            <w:tcW w:w="123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5413F205">
            <w:pPr>
              <w:spacing w:line="360" w:lineRule="auto"/>
              <w:jc w:val="center"/>
              <w:rPr>
                <w:rFonts w:ascii="宋体" w:hAnsi="宋体" w:cs="宋体"/>
                <w:b/>
                <w:bCs/>
                <w:kern w:val="0"/>
                <w:sz w:val="24"/>
              </w:rPr>
            </w:pPr>
            <w:r>
              <w:rPr>
                <w:rFonts w:hint="eastAsia" w:ascii="宋体" w:hAnsi="宋体" w:cs="宋体"/>
                <w:b/>
                <w:bCs/>
                <w:kern w:val="0"/>
                <w:sz w:val="24"/>
              </w:rPr>
              <w:t>出资比例</w:t>
            </w:r>
          </w:p>
        </w:tc>
        <w:tc>
          <w:tcPr>
            <w:tcW w:w="3722"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1E256DDB">
            <w:pPr>
              <w:spacing w:line="360" w:lineRule="auto"/>
              <w:jc w:val="center"/>
              <w:rPr>
                <w:rFonts w:ascii="宋体" w:hAnsi="宋体" w:cs="宋体"/>
                <w:b/>
                <w:bCs/>
                <w:kern w:val="0"/>
                <w:sz w:val="24"/>
              </w:rPr>
            </w:pPr>
            <w:r>
              <w:rPr>
                <w:rFonts w:hint="eastAsia" w:ascii="宋体" w:hAnsi="宋体" w:cs="宋体"/>
                <w:b/>
                <w:bCs/>
                <w:kern w:val="0"/>
                <w:sz w:val="24"/>
              </w:rPr>
              <w:t>身份证号码或者统一社会信用代码</w:t>
            </w:r>
          </w:p>
        </w:tc>
        <w:tc>
          <w:tcPr>
            <w:tcW w:w="1418"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6699E848">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4E1CA9FE">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EBE47C6">
            <w:pPr>
              <w:spacing w:line="360" w:lineRule="auto"/>
              <w:jc w:val="center"/>
              <w:rPr>
                <w:rFonts w:ascii="宋体" w:hAnsi="宋体" w:cs="宋体"/>
                <w:kern w:val="0"/>
                <w:sz w:val="24"/>
              </w:rPr>
            </w:pPr>
            <w:r>
              <w:rPr>
                <w:rFonts w:hint="eastAsia" w:ascii="宋体" w:hAnsi="宋体" w:cs="宋体"/>
                <w:kern w:val="0"/>
                <w:sz w:val="24"/>
              </w:rPr>
              <w:t>1</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940D863">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5E60B53">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2DE4E3A">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A4B887D">
            <w:pPr>
              <w:spacing w:line="360" w:lineRule="auto"/>
              <w:jc w:val="center"/>
              <w:rPr>
                <w:rFonts w:ascii="宋体" w:hAnsi="宋体" w:cs="宋体"/>
                <w:kern w:val="0"/>
                <w:sz w:val="24"/>
              </w:rPr>
            </w:pPr>
          </w:p>
        </w:tc>
      </w:tr>
      <w:tr w14:paraId="2E148534">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A68E61">
            <w:pPr>
              <w:spacing w:line="360" w:lineRule="auto"/>
              <w:jc w:val="center"/>
              <w:rPr>
                <w:rFonts w:ascii="宋体" w:hAnsi="宋体" w:cs="宋体"/>
                <w:kern w:val="0"/>
                <w:sz w:val="24"/>
              </w:rPr>
            </w:pPr>
            <w:r>
              <w:rPr>
                <w:rFonts w:hint="eastAsia" w:ascii="宋体" w:hAnsi="宋体" w:cs="宋体"/>
                <w:kern w:val="0"/>
                <w:sz w:val="24"/>
              </w:rPr>
              <w:t>2</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D566407">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66ED36">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851883B">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3A3A0A1">
            <w:pPr>
              <w:spacing w:line="360" w:lineRule="auto"/>
              <w:jc w:val="center"/>
              <w:rPr>
                <w:rFonts w:ascii="宋体" w:hAnsi="宋体" w:cs="宋体"/>
                <w:kern w:val="0"/>
                <w:sz w:val="24"/>
              </w:rPr>
            </w:pPr>
          </w:p>
        </w:tc>
      </w:tr>
      <w:tr w14:paraId="148EB3C6">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F5C3BED">
            <w:pPr>
              <w:spacing w:line="360" w:lineRule="auto"/>
              <w:jc w:val="center"/>
              <w:rPr>
                <w:rFonts w:ascii="宋体" w:hAnsi="宋体" w:cs="宋体"/>
                <w:kern w:val="0"/>
                <w:sz w:val="24"/>
              </w:rPr>
            </w:pPr>
            <w:r>
              <w:rPr>
                <w:rFonts w:hint="eastAsia" w:ascii="宋体" w:hAnsi="宋体" w:cs="宋体"/>
                <w:kern w:val="0"/>
                <w:sz w:val="24"/>
              </w:rPr>
              <w:t>3</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BD4C1E1">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2446A6">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4C84333">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12EFFC7">
            <w:pPr>
              <w:spacing w:line="360" w:lineRule="auto"/>
              <w:jc w:val="center"/>
              <w:rPr>
                <w:rFonts w:ascii="宋体" w:hAnsi="宋体" w:cs="宋体"/>
                <w:kern w:val="0"/>
                <w:sz w:val="24"/>
              </w:rPr>
            </w:pPr>
          </w:p>
        </w:tc>
      </w:tr>
      <w:tr w14:paraId="1F3119CC">
        <w:tblPrEx>
          <w:shd w:val="clear" w:color="auto" w:fill="FBFBFB"/>
          <w:tblCellMar>
            <w:top w:w="0" w:type="dxa"/>
            <w:left w:w="0" w:type="dxa"/>
            <w:bottom w:w="0" w:type="dxa"/>
            <w:right w:w="0" w:type="dxa"/>
          </w:tblCellMar>
        </w:tblPrEx>
        <w:tc>
          <w:tcPr>
            <w:tcW w:w="82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16C2D6D">
            <w:pPr>
              <w:spacing w:line="360" w:lineRule="auto"/>
              <w:jc w:val="center"/>
              <w:rPr>
                <w:rFonts w:ascii="宋体" w:hAnsi="宋体" w:cs="宋体"/>
                <w:kern w:val="0"/>
                <w:sz w:val="24"/>
              </w:rPr>
            </w:pPr>
            <w:r>
              <w:rPr>
                <w:rFonts w:hint="eastAsia" w:ascii="宋体" w:hAnsi="宋体" w:cs="宋体"/>
                <w:kern w:val="0"/>
                <w:sz w:val="24"/>
              </w:rPr>
              <w:t>……</w:t>
            </w:r>
          </w:p>
        </w:tc>
        <w:tc>
          <w:tcPr>
            <w:tcW w:w="226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C4AAE94">
            <w:pPr>
              <w:spacing w:line="360" w:lineRule="auto"/>
              <w:jc w:val="center"/>
              <w:rPr>
                <w:rFonts w:ascii="宋体" w:hAnsi="宋体" w:cs="宋体"/>
                <w:kern w:val="0"/>
                <w:sz w:val="24"/>
              </w:rPr>
            </w:pPr>
          </w:p>
        </w:tc>
        <w:tc>
          <w:tcPr>
            <w:tcW w:w="123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0CB17E6">
            <w:pPr>
              <w:spacing w:line="360" w:lineRule="auto"/>
              <w:jc w:val="center"/>
              <w:rPr>
                <w:rFonts w:ascii="宋体" w:hAnsi="宋体" w:cs="宋体"/>
                <w:kern w:val="0"/>
                <w:sz w:val="24"/>
              </w:rPr>
            </w:pPr>
          </w:p>
        </w:tc>
        <w:tc>
          <w:tcPr>
            <w:tcW w:w="3722"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6C0E206D">
            <w:pPr>
              <w:spacing w:line="360" w:lineRule="auto"/>
              <w:jc w:val="center"/>
              <w:rPr>
                <w:rFonts w:ascii="宋体" w:hAnsi="宋体" w:cs="宋体"/>
                <w:kern w:val="0"/>
                <w:sz w:val="24"/>
              </w:rPr>
            </w:pPr>
          </w:p>
        </w:tc>
        <w:tc>
          <w:tcPr>
            <w:tcW w:w="1418"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D64B78">
            <w:pPr>
              <w:spacing w:line="360" w:lineRule="auto"/>
              <w:jc w:val="center"/>
              <w:rPr>
                <w:rFonts w:ascii="宋体" w:hAnsi="宋体" w:cs="宋体"/>
                <w:kern w:val="0"/>
                <w:sz w:val="24"/>
              </w:rPr>
            </w:pPr>
          </w:p>
        </w:tc>
      </w:tr>
    </w:tbl>
    <w:p w14:paraId="0DB75B05">
      <w:pPr>
        <w:snapToGrid w:val="0"/>
        <w:spacing w:line="360" w:lineRule="auto"/>
        <w:jc w:val="left"/>
        <w:rPr>
          <w:rFonts w:ascii="宋体" w:hAnsi="宋体"/>
          <w:sz w:val="24"/>
        </w:rPr>
      </w:pPr>
      <w:r>
        <w:rPr>
          <w:rFonts w:hint="eastAsia" w:ascii="宋体" w:hAnsi="宋体"/>
          <w:sz w:val="24"/>
        </w:rPr>
        <w:t>注：</w:t>
      </w:r>
    </w:p>
    <w:p w14:paraId="69591C3F">
      <w:pPr>
        <w:snapToGrid w:val="0"/>
        <w:spacing w:line="360" w:lineRule="auto"/>
        <w:jc w:val="left"/>
        <w:rPr>
          <w:rFonts w:ascii="宋体" w:hAnsi="宋体"/>
          <w:sz w:val="24"/>
        </w:rPr>
      </w:pPr>
      <w:r>
        <w:rPr>
          <w:rFonts w:hint="eastAsia" w:ascii="宋体" w:hAnsi="宋体"/>
          <w:sz w:val="24"/>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股东会、股东大会的决议产生重大影响的股东。</w:t>
      </w:r>
    </w:p>
    <w:p w14:paraId="6B103608">
      <w:pPr>
        <w:snapToGrid w:val="0"/>
        <w:spacing w:line="360" w:lineRule="auto"/>
        <w:jc w:val="left"/>
        <w:rPr>
          <w:rFonts w:ascii="宋体" w:hAnsi="宋体"/>
          <w:sz w:val="24"/>
        </w:rPr>
      </w:pPr>
      <w:r>
        <w:rPr>
          <w:rFonts w:hint="eastAsia" w:ascii="宋体" w:hAnsi="宋体"/>
          <w:sz w:val="24"/>
        </w:rPr>
        <w:t>2.本表所指的控股关系仅限于直接控股关系，不包括间接的控股关系。公司实际控制人与公司之间的关系不属于本表所指的直接控股关系。</w:t>
      </w:r>
    </w:p>
    <w:p w14:paraId="26F561F9">
      <w:pPr>
        <w:snapToGrid w:val="0"/>
        <w:spacing w:line="360" w:lineRule="auto"/>
        <w:jc w:val="left"/>
        <w:rPr>
          <w:rFonts w:ascii="宋体" w:hAnsi="宋体"/>
          <w:sz w:val="24"/>
        </w:rPr>
      </w:pPr>
      <w:r>
        <w:rPr>
          <w:rFonts w:hint="eastAsia" w:ascii="宋体" w:hAnsi="宋体"/>
          <w:sz w:val="24"/>
        </w:rPr>
        <w:t>3.投标人不存在直接控股股东的，则填“无”。</w:t>
      </w:r>
    </w:p>
    <w:p w14:paraId="237B8DD1">
      <w:pPr>
        <w:snapToGrid w:val="0"/>
        <w:spacing w:line="360" w:lineRule="auto"/>
        <w:jc w:val="left"/>
        <w:rPr>
          <w:rFonts w:ascii="宋体" w:hAnsi="宋体"/>
          <w:sz w:val="24"/>
        </w:rPr>
      </w:pPr>
    </w:p>
    <w:p w14:paraId="4186CE5A">
      <w:pPr>
        <w:snapToGrid w:val="0"/>
        <w:spacing w:line="360" w:lineRule="auto"/>
        <w:jc w:val="left"/>
        <w:rPr>
          <w:rFonts w:ascii="宋体" w:hAnsi="宋体"/>
          <w:sz w:val="24"/>
        </w:rPr>
      </w:pPr>
    </w:p>
    <w:p w14:paraId="71A7FA19">
      <w:pPr>
        <w:snapToGrid w:val="0"/>
        <w:spacing w:line="360" w:lineRule="auto"/>
        <w:jc w:val="left"/>
        <w:rPr>
          <w:rFonts w:ascii="宋体" w:hAnsi="宋体"/>
          <w:sz w:val="24"/>
        </w:rPr>
      </w:pPr>
    </w:p>
    <w:p w14:paraId="13969E46">
      <w:pPr>
        <w:snapToGrid w:val="0"/>
        <w:spacing w:line="360" w:lineRule="auto"/>
        <w:jc w:val="left"/>
        <w:rPr>
          <w:rFonts w:ascii="宋体" w:hAnsi="宋体"/>
          <w:sz w:val="24"/>
        </w:rPr>
      </w:pPr>
    </w:p>
    <w:p w14:paraId="340BA259">
      <w:pPr>
        <w:snapToGrid w:val="0"/>
        <w:spacing w:line="360" w:lineRule="auto"/>
        <w:jc w:val="left"/>
        <w:rPr>
          <w:rFonts w:ascii="宋体" w:hAnsi="宋体"/>
          <w:sz w:val="24"/>
        </w:rPr>
      </w:pPr>
    </w:p>
    <w:p w14:paraId="7393EF18">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5F4AB1FC">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67DFEE6">
      <w:pPr>
        <w:snapToGrid w:val="0"/>
        <w:jc w:val="center"/>
        <w:rPr>
          <w:rFonts w:ascii="宋体" w:hAnsi="宋体"/>
          <w:b/>
          <w:sz w:val="28"/>
          <w:szCs w:val="28"/>
        </w:rPr>
      </w:pPr>
      <w:r>
        <w:rPr>
          <w:rFonts w:ascii="宋体" w:hAnsi="宋体"/>
          <w:b/>
          <w:sz w:val="28"/>
          <w:szCs w:val="28"/>
        </w:rPr>
        <w:br w:type="page"/>
      </w:r>
    </w:p>
    <w:p w14:paraId="497C7336">
      <w:pPr>
        <w:snapToGrid w:val="0"/>
        <w:spacing w:line="360" w:lineRule="auto"/>
        <w:jc w:val="center"/>
        <w:rPr>
          <w:rFonts w:ascii="宋体" w:hAnsi="宋体"/>
          <w:sz w:val="32"/>
          <w:szCs w:val="32"/>
        </w:rPr>
      </w:pPr>
      <w:r>
        <w:rPr>
          <w:rFonts w:hint="eastAsia" w:ascii="宋体" w:hAnsi="宋体"/>
          <w:b/>
          <w:sz w:val="32"/>
          <w:szCs w:val="32"/>
        </w:rPr>
        <w:t>六、投标人直接管理关系信息表</w:t>
      </w:r>
    </w:p>
    <w:tbl>
      <w:tblPr>
        <w:tblStyle w:val="35"/>
        <w:tblW w:w="9652" w:type="dxa"/>
        <w:tblInd w:w="0" w:type="dxa"/>
        <w:shd w:val="clear" w:color="auto" w:fill="FBFBFB"/>
        <w:tblLayout w:type="fixed"/>
        <w:tblCellMar>
          <w:top w:w="0" w:type="dxa"/>
          <w:left w:w="0" w:type="dxa"/>
          <w:bottom w:w="0" w:type="dxa"/>
          <w:right w:w="0" w:type="dxa"/>
        </w:tblCellMar>
      </w:tblPr>
      <w:tblGrid>
        <w:gridCol w:w="1005"/>
        <w:gridCol w:w="2659"/>
        <w:gridCol w:w="3924"/>
        <w:gridCol w:w="2064"/>
      </w:tblGrid>
      <w:tr w14:paraId="3E86FBA4">
        <w:tblPrEx>
          <w:shd w:val="clear" w:color="auto" w:fill="FBFBFB"/>
          <w:tblCellMar>
            <w:top w:w="0" w:type="dxa"/>
            <w:left w:w="0" w:type="dxa"/>
            <w:bottom w:w="0" w:type="dxa"/>
            <w:right w:w="0" w:type="dxa"/>
          </w:tblCellMar>
        </w:tblPrEx>
        <w:trPr>
          <w:tblHeader/>
        </w:trPr>
        <w:tc>
          <w:tcPr>
            <w:tcW w:w="1005"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C5E5C32">
            <w:pPr>
              <w:spacing w:line="360" w:lineRule="auto"/>
              <w:jc w:val="center"/>
              <w:rPr>
                <w:rFonts w:ascii="宋体" w:hAnsi="宋体" w:cs="宋体"/>
                <w:b/>
                <w:bCs/>
                <w:kern w:val="0"/>
                <w:sz w:val="24"/>
              </w:rPr>
            </w:pPr>
            <w:r>
              <w:rPr>
                <w:rFonts w:hint="eastAsia" w:ascii="宋体" w:hAnsi="宋体" w:cs="宋体"/>
                <w:b/>
                <w:bCs/>
                <w:kern w:val="0"/>
                <w:sz w:val="24"/>
              </w:rPr>
              <w:t>序号</w:t>
            </w:r>
          </w:p>
        </w:tc>
        <w:tc>
          <w:tcPr>
            <w:tcW w:w="2659"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00572BFE">
            <w:pPr>
              <w:spacing w:line="360" w:lineRule="auto"/>
              <w:jc w:val="center"/>
              <w:rPr>
                <w:rFonts w:ascii="宋体" w:hAnsi="宋体" w:cs="宋体"/>
                <w:b/>
                <w:bCs/>
                <w:kern w:val="0"/>
                <w:sz w:val="24"/>
              </w:rPr>
            </w:pPr>
            <w:r>
              <w:rPr>
                <w:rFonts w:hint="eastAsia" w:ascii="宋体" w:hAnsi="宋体" w:cs="宋体"/>
                <w:b/>
                <w:bCs/>
                <w:kern w:val="0"/>
                <w:sz w:val="24"/>
              </w:rPr>
              <w:t>直接管理关系单位名称</w:t>
            </w:r>
          </w:p>
        </w:tc>
        <w:tc>
          <w:tcPr>
            <w:tcW w:w="392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2D52E210">
            <w:pPr>
              <w:spacing w:line="360" w:lineRule="auto"/>
              <w:jc w:val="center"/>
              <w:rPr>
                <w:rFonts w:ascii="宋体" w:hAnsi="宋体" w:cs="宋体"/>
                <w:b/>
                <w:bCs/>
                <w:kern w:val="0"/>
                <w:sz w:val="24"/>
              </w:rPr>
            </w:pPr>
            <w:r>
              <w:rPr>
                <w:rFonts w:hint="eastAsia" w:ascii="宋体" w:hAnsi="宋体" w:cs="宋体"/>
                <w:b/>
                <w:bCs/>
                <w:kern w:val="0"/>
                <w:sz w:val="24"/>
              </w:rPr>
              <w:t>统一社会信用代码</w:t>
            </w:r>
          </w:p>
        </w:tc>
        <w:tc>
          <w:tcPr>
            <w:tcW w:w="2064" w:type="dxa"/>
            <w:tcBorders>
              <w:top w:val="single" w:color="auto" w:sz="4" w:space="0"/>
              <w:left w:val="single" w:color="auto" w:sz="4" w:space="0"/>
              <w:bottom w:val="single" w:color="auto" w:sz="4" w:space="0"/>
              <w:right w:val="single" w:color="auto" w:sz="4" w:space="0"/>
            </w:tcBorders>
            <w:shd w:val="clear" w:color="auto" w:fill="EAE3D8"/>
            <w:tcMar>
              <w:top w:w="120" w:type="dxa"/>
              <w:left w:w="120" w:type="dxa"/>
              <w:bottom w:w="120" w:type="dxa"/>
              <w:right w:w="120" w:type="dxa"/>
            </w:tcMar>
            <w:vAlign w:val="center"/>
          </w:tcPr>
          <w:p w14:paraId="47C2BB56">
            <w:pPr>
              <w:spacing w:line="360" w:lineRule="auto"/>
              <w:jc w:val="center"/>
              <w:rPr>
                <w:rFonts w:ascii="宋体" w:hAnsi="宋体" w:cs="宋体"/>
                <w:b/>
                <w:bCs/>
                <w:kern w:val="0"/>
                <w:sz w:val="24"/>
              </w:rPr>
            </w:pPr>
            <w:r>
              <w:rPr>
                <w:rFonts w:hint="eastAsia" w:ascii="宋体" w:hAnsi="宋体" w:cs="宋体"/>
                <w:b/>
                <w:bCs/>
                <w:kern w:val="0"/>
                <w:sz w:val="24"/>
              </w:rPr>
              <w:t>备注</w:t>
            </w:r>
          </w:p>
        </w:tc>
      </w:tr>
      <w:tr w14:paraId="19BAC5A8">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68367D3">
            <w:pPr>
              <w:spacing w:line="360" w:lineRule="auto"/>
              <w:jc w:val="center"/>
              <w:rPr>
                <w:rFonts w:ascii="宋体" w:hAnsi="宋体" w:cs="宋体"/>
                <w:kern w:val="0"/>
                <w:sz w:val="24"/>
              </w:rPr>
            </w:pPr>
            <w:r>
              <w:rPr>
                <w:rFonts w:hint="eastAsia" w:ascii="宋体" w:hAnsi="宋体" w:cs="宋体"/>
                <w:kern w:val="0"/>
                <w:sz w:val="24"/>
              </w:rPr>
              <w:t>1</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49FE8F08">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856DC46">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5626FBA5">
            <w:pPr>
              <w:spacing w:line="360" w:lineRule="auto"/>
              <w:jc w:val="center"/>
              <w:rPr>
                <w:rFonts w:ascii="宋体" w:hAnsi="宋体" w:cs="宋体"/>
                <w:kern w:val="0"/>
                <w:sz w:val="24"/>
              </w:rPr>
            </w:pPr>
          </w:p>
        </w:tc>
      </w:tr>
      <w:tr w14:paraId="44D012DE">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4719A2D">
            <w:pPr>
              <w:spacing w:line="360" w:lineRule="auto"/>
              <w:jc w:val="center"/>
              <w:rPr>
                <w:rFonts w:ascii="宋体" w:hAnsi="宋体" w:cs="宋体"/>
                <w:kern w:val="0"/>
                <w:sz w:val="24"/>
              </w:rPr>
            </w:pPr>
            <w:r>
              <w:rPr>
                <w:rFonts w:hint="eastAsia" w:ascii="宋体" w:hAnsi="宋体" w:cs="宋体"/>
                <w:kern w:val="0"/>
                <w:sz w:val="24"/>
              </w:rPr>
              <w:t>2</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5944D1F">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1C17B64">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F14DC21">
            <w:pPr>
              <w:spacing w:line="360" w:lineRule="auto"/>
              <w:jc w:val="center"/>
              <w:rPr>
                <w:rFonts w:ascii="宋体" w:hAnsi="宋体" w:cs="宋体"/>
                <w:kern w:val="0"/>
                <w:sz w:val="24"/>
              </w:rPr>
            </w:pPr>
          </w:p>
        </w:tc>
      </w:tr>
      <w:tr w14:paraId="1788F71D">
        <w:tblPrEx>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BFD1F00">
            <w:pPr>
              <w:spacing w:line="360" w:lineRule="auto"/>
              <w:jc w:val="center"/>
              <w:rPr>
                <w:rFonts w:ascii="宋体" w:hAnsi="宋体" w:cs="宋体"/>
                <w:kern w:val="0"/>
                <w:sz w:val="24"/>
              </w:rPr>
            </w:pPr>
            <w:r>
              <w:rPr>
                <w:rFonts w:hint="eastAsia" w:ascii="宋体" w:hAnsi="宋体" w:cs="宋体"/>
                <w:kern w:val="0"/>
                <w:sz w:val="24"/>
              </w:rPr>
              <w:t>3</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B773B40">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0FCFD86B">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E915690">
            <w:pPr>
              <w:spacing w:line="360" w:lineRule="auto"/>
              <w:jc w:val="center"/>
              <w:rPr>
                <w:rFonts w:ascii="宋体" w:hAnsi="宋体" w:cs="宋体"/>
                <w:kern w:val="0"/>
                <w:sz w:val="24"/>
              </w:rPr>
            </w:pPr>
          </w:p>
        </w:tc>
      </w:tr>
      <w:tr w14:paraId="2883DD77">
        <w:tblPrEx>
          <w:shd w:val="clear" w:color="auto" w:fill="FBFBFB"/>
          <w:tblCellMar>
            <w:top w:w="0" w:type="dxa"/>
            <w:left w:w="0" w:type="dxa"/>
            <w:bottom w:w="0" w:type="dxa"/>
            <w:right w:w="0" w:type="dxa"/>
          </w:tblCellMar>
        </w:tblPrEx>
        <w:tc>
          <w:tcPr>
            <w:tcW w:w="1005"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2740C4A5">
            <w:pPr>
              <w:spacing w:line="360" w:lineRule="auto"/>
              <w:jc w:val="center"/>
              <w:rPr>
                <w:rFonts w:ascii="宋体" w:hAnsi="宋体" w:cs="宋体"/>
                <w:kern w:val="0"/>
                <w:sz w:val="24"/>
              </w:rPr>
            </w:pPr>
            <w:r>
              <w:rPr>
                <w:rFonts w:hint="eastAsia" w:ascii="宋体" w:hAnsi="宋体" w:cs="宋体"/>
                <w:kern w:val="0"/>
                <w:sz w:val="24"/>
              </w:rPr>
              <w:t>……</w:t>
            </w:r>
          </w:p>
        </w:tc>
        <w:tc>
          <w:tcPr>
            <w:tcW w:w="2659"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3266F99B">
            <w:pPr>
              <w:spacing w:line="360" w:lineRule="auto"/>
              <w:jc w:val="center"/>
              <w:rPr>
                <w:rFonts w:ascii="宋体" w:hAnsi="宋体" w:cs="宋体"/>
                <w:kern w:val="0"/>
                <w:sz w:val="24"/>
              </w:rPr>
            </w:pPr>
          </w:p>
        </w:tc>
        <w:tc>
          <w:tcPr>
            <w:tcW w:w="392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1966DE9F">
            <w:pPr>
              <w:spacing w:line="360" w:lineRule="auto"/>
              <w:jc w:val="center"/>
              <w:rPr>
                <w:rFonts w:ascii="宋体" w:hAnsi="宋体" w:cs="宋体"/>
                <w:kern w:val="0"/>
                <w:sz w:val="24"/>
              </w:rPr>
            </w:pPr>
          </w:p>
        </w:tc>
        <w:tc>
          <w:tcPr>
            <w:tcW w:w="2064" w:type="dxa"/>
            <w:tcBorders>
              <w:top w:val="single" w:color="auto" w:sz="4" w:space="0"/>
              <w:left w:val="single" w:color="auto" w:sz="4" w:space="0"/>
              <w:bottom w:val="single" w:color="auto" w:sz="4" w:space="0"/>
              <w:right w:val="single" w:color="auto" w:sz="4" w:space="0"/>
            </w:tcBorders>
            <w:shd w:val="clear" w:color="auto" w:fill="F9F9F9"/>
            <w:tcMar>
              <w:top w:w="120" w:type="dxa"/>
              <w:left w:w="120" w:type="dxa"/>
              <w:bottom w:w="120" w:type="dxa"/>
              <w:right w:w="120" w:type="dxa"/>
            </w:tcMar>
            <w:vAlign w:val="center"/>
          </w:tcPr>
          <w:p w14:paraId="776D201B">
            <w:pPr>
              <w:spacing w:line="360" w:lineRule="auto"/>
              <w:jc w:val="center"/>
              <w:rPr>
                <w:rFonts w:ascii="宋体" w:hAnsi="宋体" w:cs="宋体"/>
                <w:kern w:val="0"/>
                <w:sz w:val="24"/>
              </w:rPr>
            </w:pPr>
          </w:p>
        </w:tc>
      </w:tr>
    </w:tbl>
    <w:p w14:paraId="2404EB1E">
      <w:pPr>
        <w:snapToGrid w:val="0"/>
        <w:spacing w:line="360" w:lineRule="auto"/>
        <w:jc w:val="left"/>
        <w:rPr>
          <w:rFonts w:ascii="宋体" w:hAnsi="宋体"/>
          <w:sz w:val="24"/>
        </w:rPr>
      </w:pPr>
      <w:r>
        <w:rPr>
          <w:rFonts w:hint="eastAsia" w:ascii="宋体" w:hAnsi="宋体"/>
          <w:sz w:val="24"/>
        </w:rPr>
        <w:t>注：</w:t>
      </w:r>
    </w:p>
    <w:p w14:paraId="44A8C537">
      <w:pPr>
        <w:snapToGrid w:val="0"/>
        <w:spacing w:line="360" w:lineRule="auto"/>
        <w:ind w:firstLine="480" w:firstLineChars="200"/>
        <w:jc w:val="left"/>
        <w:rPr>
          <w:rFonts w:ascii="宋体" w:hAnsi="宋体"/>
          <w:sz w:val="24"/>
        </w:rPr>
      </w:pPr>
      <w:r>
        <w:rPr>
          <w:rFonts w:hint="eastAsia" w:ascii="宋体" w:hAnsi="宋体"/>
          <w:sz w:val="24"/>
        </w:rPr>
        <w:t>1.管理关系：是指不具有出资持股关系的其他单位之间存在的管理与被管理关系，如一些上下级关系的事业单位和团体组织。</w:t>
      </w:r>
    </w:p>
    <w:p w14:paraId="229CEE02">
      <w:pPr>
        <w:snapToGrid w:val="0"/>
        <w:spacing w:line="360" w:lineRule="auto"/>
        <w:ind w:firstLine="480" w:firstLineChars="200"/>
        <w:jc w:val="left"/>
        <w:rPr>
          <w:rFonts w:ascii="宋体" w:hAnsi="宋体"/>
          <w:sz w:val="24"/>
        </w:rPr>
      </w:pPr>
      <w:r>
        <w:rPr>
          <w:rFonts w:hint="eastAsia" w:ascii="宋体" w:hAnsi="宋体"/>
          <w:sz w:val="24"/>
        </w:rPr>
        <w:t>2.</w:t>
      </w:r>
      <w:r>
        <w:rPr>
          <w:rFonts w:hint="eastAsia" w:ascii="宋体" w:hAnsi="宋体"/>
          <w:spacing w:val="-6"/>
          <w:sz w:val="24"/>
        </w:rPr>
        <w:t>本表所指的管理关系仅限于直接管理关系，不包括间接的管理关系。</w:t>
      </w:r>
    </w:p>
    <w:p w14:paraId="2BBB1F09">
      <w:pPr>
        <w:snapToGrid w:val="0"/>
        <w:spacing w:line="360" w:lineRule="auto"/>
        <w:ind w:firstLine="480" w:firstLineChars="200"/>
        <w:jc w:val="left"/>
        <w:rPr>
          <w:rFonts w:ascii="宋体" w:hAnsi="宋体"/>
          <w:sz w:val="24"/>
        </w:rPr>
      </w:pPr>
      <w:r>
        <w:rPr>
          <w:rFonts w:hint="eastAsia" w:ascii="宋体" w:hAnsi="宋体"/>
          <w:sz w:val="24"/>
        </w:rPr>
        <w:t>3.投标人不存在直接管理关系的，则填“无”。</w:t>
      </w:r>
    </w:p>
    <w:p w14:paraId="48C5A0D4">
      <w:pPr>
        <w:snapToGrid w:val="0"/>
        <w:spacing w:line="360" w:lineRule="auto"/>
        <w:jc w:val="left"/>
        <w:rPr>
          <w:rFonts w:ascii="宋体" w:hAnsi="宋体"/>
          <w:sz w:val="24"/>
        </w:rPr>
      </w:pPr>
    </w:p>
    <w:p w14:paraId="2DBAC9FF">
      <w:pPr>
        <w:snapToGrid w:val="0"/>
        <w:spacing w:line="360" w:lineRule="auto"/>
        <w:jc w:val="left"/>
        <w:rPr>
          <w:rFonts w:ascii="宋体" w:hAnsi="宋体"/>
          <w:sz w:val="24"/>
        </w:rPr>
      </w:pPr>
    </w:p>
    <w:p w14:paraId="287FE64C">
      <w:pPr>
        <w:snapToGrid w:val="0"/>
        <w:spacing w:line="360" w:lineRule="auto"/>
        <w:jc w:val="left"/>
        <w:rPr>
          <w:rFonts w:ascii="宋体" w:hAnsi="宋体"/>
          <w:sz w:val="24"/>
        </w:rPr>
      </w:pPr>
    </w:p>
    <w:p w14:paraId="43EDA1FB">
      <w:pPr>
        <w:snapToGrid w:val="0"/>
        <w:spacing w:line="360" w:lineRule="auto"/>
        <w:jc w:val="left"/>
        <w:rPr>
          <w:sz w:val="24"/>
        </w:rPr>
      </w:pPr>
    </w:p>
    <w:p w14:paraId="0DAF614A">
      <w:pPr>
        <w:snapToGrid w:val="0"/>
        <w:spacing w:line="360" w:lineRule="auto"/>
        <w:jc w:val="left"/>
        <w:rPr>
          <w:sz w:val="24"/>
        </w:rPr>
      </w:pPr>
    </w:p>
    <w:p w14:paraId="40573AC8">
      <w:pPr>
        <w:snapToGrid w:val="0"/>
        <w:spacing w:line="360" w:lineRule="auto"/>
        <w:jc w:val="left"/>
        <w:rPr>
          <w:sz w:val="24"/>
        </w:rPr>
      </w:pPr>
    </w:p>
    <w:p w14:paraId="6D7EC209">
      <w:pPr>
        <w:snapToGrid w:val="0"/>
        <w:spacing w:line="360" w:lineRule="auto"/>
        <w:jc w:val="left"/>
        <w:rPr>
          <w:rFonts w:ascii="宋体" w:hAnsi="宋体"/>
          <w:sz w:val="24"/>
        </w:rPr>
      </w:pPr>
    </w:p>
    <w:p w14:paraId="2473E00A">
      <w:pPr>
        <w:snapToGrid w:val="0"/>
        <w:spacing w:line="360" w:lineRule="auto"/>
        <w:jc w:val="left"/>
        <w:rPr>
          <w:rFonts w:ascii="宋体" w:hAnsi="宋体"/>
          <w:sz w:val="24"/>
        </w:rPr>
      </w:pPr>
    </w:p>
    <w:p w14:paraId="7A3E6D9D">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07E0F228">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F5AE8F6">
      <w:pPr>
        <w:snapToGrid w:val="0"/>
        <w:spacing w:before="50" w:after="165" w:afterLines="50"/>
        <w:jc w:val="left"/>
        <w:rPr>
          <w:rFonts w:ascii="宋体" w:hAnsi="宋体"/>
          <w:szCs w:val="21"/>
        </w:rPr>
      </w:pPr>
    </w:p>
    <w:p w14:paraId="3844E731">
      <w:pPr>
        <w:snapToGrid w:val="0"/>
        <w:spacing w:before="165" w:beforeLines="50" w:after="50"/>
        <w:jc w:val="left"/>
        <w:rPr>
          <w:rFonts w:ascii="宋体" w:hAnsi="宋体"/>
          <w:b/>
          <w:sz w:val="24"/>
          <w:szCs w:val="20"/>
        </w:rPr>
      </w:pPr>
    </w:p>
    <w:p w14:paraId="3E8AEDC6">
      <w:pPr>
        <w:snapToGrid w:val="0"/>
        <w:spacing w:before="165" w:beforeLines="50" w:after="50"/>
        <w:jc w:val="left"/>
        <w:rPr>
          <w:rFonts w:ascii="宋体" w:hAnsi="宋体"/>
          <w:b/>
          <w:sz w:val="24"/>
        </w:rPr>
      </w:pPr>
    </w:p>
    <w:p w14:paraId="07C98614">
      <w:pPr>
        <w:snapToGrid w:val="0"/>
        <w:spacing w:before="165" w:beforeLines="50" w:after="50"/>
        <w:jc w:val="left"/>
        <w:rPr>
          <w:rFonts w:ascii="宋体" w:hAnsi="宋体"/>
          <w:b/>
          <w:sz w:val="24"/>
          <w:szCs w:val="20"/>
        </w:rPr>
      </w:pPr>
      <w:r>
        <w:rPr>
          <w:rFonts w:hint="eastAsia" w:ascii="宋体" w:hAnsi="宋体"/>
          <w:b/>
          <w:sz w:val="24"/>
          <w:szCs w:val="20"/>
        </w:rPr>
        <w:t xml:space="preserve"> </w:t>
      </w:r>
    </w:p>
    <w:p w14:paraId="6720BF01">
      <w:pPr>
        <w:snapToGrid w:val="0"/>
        <w:spacing w:before="165" w:beforeLines="50" w:after="50"/>
        <w:jc w:val="left"/>
        <w:rPr>
          <w:rFonts w:ascii="宋体" w:hAnsi="宋体"/>
          <w:b/>
          <w:sz w:val="24"/>
          <w:szCs w:val="20"/>
        </w:rPr>
      </w:pPr>
    </w:p>
    <w:p w14:paraId="6C0526BD">
      <w:pPr>
        <w:pStyle w:val="2"/>
      </w:pPr>
    </w:p>
    <w:p w14:paraId="03F3F850">
      <w:pPr>
        <w:snapToGrid w:val="0"/>
        <w:spacing w:before="50" w:after="165" w:afterLines="50"/>
        <w:jc w:val="left"/>
        <w:rPr>
          <w:rFonts w:ascii="宋体" w:hAnsi="宋体"/>
        </w:rPr>
      </w:pPr>
    </w:p>
    <w:p w14:paraId="3F3777A6">
      <w:pPr>
        <w:snapToGrid w:val="0"/>
        <w:spacing w:before="50" w:after="165" w:afterLines="50"/>
        <w:jc w:val="center"/>
        <w:rPr>
          <w:rFonts w:cs="宋体"/>
          <w:kern w:val="0"/>
          <w:szCs w:val="21"/>
        </w:rPr>
      </w:pPr>
      <w:r>
        <w:rPr>
          <w:rFonts w:hint="eastAsia" w:ascii="宋体" w:hAnsi="宋体"/>
          <w:b/>
          <w:sz w:val="32"/>
          <w:szCs w:val="32"/>
        </w:rPr>
        <w:t>七、本项目特定资格要求及特定条件的资格证明材料</w:t>
      </w:r>
      <w:r>
        <w:rPr>
          <w:rFonts w:cs="宋体"/>
          <w:kern w:val="0"/>
          <w:szCs w:val="21"/>
        </w:rPr>
        <w:br w:type="page"/>
      </w:r>
    </w:p>
    <w:p w14:paraId="75F1B362">
      <w:pPr>
        <w:snapToGrid w:val="0"/>
        <w:spacing w:before="50" w:after="165" w:afterLines="50"/>
        <w:jc w:val="center"/>
        <w:rPr>
          <w:rFonts w:ascii="宋体" w:hAnsi="宋体"/>
          <w:b/>
          <w:sz w:val="32"/>
          <w:szCs w:val="32"/>
        </w:rPr>
        <w:sectPr>
          <w:pgSz w:w="11906" w:h="16838"/>
          <w:pgMar w:top="1134" w:right="1134" w:bottom="1134" w:left="1134" w:header="720" w:footer="720" w:gutter="0"/>
          <w:cols w:space="720" w:num="1"/>
          <w:docGrid w:type="lines" w:linePitch="331" w:charSpace="0"/>
        </w:sectPr>
      </w:pPr>
      <w:r>
        <w:rPr>
          <w:rFonts w:hint="eastAsia" w:ascii="宋体" w:hAnsi="宋体"/>
          <w:b/>
          <w:sz w:val="32"/>
          <w:szCs w:val="32"/>
        </w:rPr>
        <w:t>八、除招标文件规定必须提供以外，投标人认为需要提供的其他证明材料。</w:t>
      </w:r>
    </w:p>
    <w:p w14:paraId="6F31FCF7"/>
    <w:p w14:paraId="7AD83D6C">
      <w:pPr>
        <w:jc w:val="center"/>
        <w:outlineLvl w:val="1"/>
        <w:rPr>
          <w:rFonts w:hAnsi="宋体"/>
          <w:b/>
          <w:bCs/>
          <w:sz w:val="28"/>
          <w:szCs w:val="28"/>
        </w:rPr>
      </w:pPr>
      <w:bookmarkStart w:id="79" w:name="_Toc32125"/>
      <w:bookmarkStart w:id="80" w:name="_Toc12758"/>
      <w:bookmarkStart w:id="81" w:name="_Toc17712"/>
      <w:r>
        <w:rPr>
          <w:rFonts w:hint="eastAsia" w:hAnsi="宋体"/>
          <w:b/>
          <w:bCs/>
          <w:sz w:val="28"/>
          <w:szCs w:val="28"/>
        </w:rPr>
        <w:t>第二节 商务文件格式</w:t>
      </w:r>
      <w:bookmarkEnd w:id="79"/>
      <w:bookmarkEnd w:id="80"/>
      <w:bookmarkEnd w:id="81"/>
    </w:p>
    <w:p w14:paraId="70DA4C2C">
      <w:pPr>
        <w:snapToGrid w:val="0"/>
        <w:spacing w:before="165" w:beforeLines="50" w:after="50"/>
        <w:rPr>
          <w:rFonts w:ascii="宋体" w:hAnsi="宋体"/>
          <w:sz w:val="30"/>
          <w:szCs w:val="20"/>
        </w:rPr>
      </w:pPr>
    </w:p>
    <w:p w14:paraId="4ABDE71A">
      <w:pPr>
        <w:snapToGrid w:val="0"/>
        <w:spacing w:before="165" w:beforeLines="50" w:after="50"/>
        <w:rPr>
          <w:rFonts w:ascii="宋体" w:hAnsi="宋体"/>
          <w:bCs/>
          <w:sz w:val="32"/>
          <w:szCs w:val="20"/>
        </w:rPr>
      </w:pPr>
      <w:r>
        <w:rPr>
          <w:rFonts w:hint="eastAsia" w:ascii="宋体" w:hAnsi="宋体"/>
          <w:sz w:val="24"/>
        </w:rPr>
        <w:t xml:space="preserve">                                                  </w:t>
      </w:r>
      <w:r>
        <w:rPr>
          <w:rFonts w:hint="eastAsia" w:ascii="宋体" w:hAnsi="宋体"/>
          <w:bCs/>
        </w:rPr>
        <w:t xml:space="preserve">             电子投标文件</w:t>
      </w:r>
    </w:p>
    <w:p w14:paraId="397C43B0">
      <w:pPr>
        <w:snapToGrid w:val="0"/>
        <w:spacing w:before="165" w:beforeLines="50" w:after="50"/>
        <w:rPr>
          <w:rFonts w:ascii="宋体" w:hAnsi="宋体"/>
          <w:sz w:val="24"/>
          <w:szCs w:val="20"/>
        </w:rPr>
      </w:pPr>
    </w:p>
    <w:p w14:paraId="2CEAF4E7">
      <w:pPr>
        <w:snapToGrid w:val="0"/>
        <w:spacing w:before="165" w:beforeLines="50" w:after="50"/>
        <w:jc w:val="center"/>
        <w:rPr>
          <w:rFonts w:ascii="宋体" w:hAnsi="宋体"/>
          <w:b/>
          <w:sz w:val="24"/>
          <w:szCs w:val="20"/>
        </w:rPr>
      </w:pPr>
      <w:r>
        <w:rPr>
          <w:rFonts w:hint="eastAsia" w:ascii="宋体" w:hAnsi="宋体"/>
          <w:b/>
          <w:sz w:val="32"/>
          <w:szCs w:val="32"/>
        </w:rPr>
        <w:t>商务文件（封面）</w:t>
      </w:r>
    </w:p>
    <w:p w14:paraId="23DC20B9">
      <w:pPr>
        <w:snapToGrid w:val="0"/>
        <w:spacing w:before="165" w:beforeLines="50" w:after="50"/>
        <w:rPr>
          <w:rFonts w:ascii="宋体" w:hAnsi="宋体"/>
          <w:bCs/>
          <w:sz w:val="24"/>
          <w:szCs w:val="20"/>
        </w:rPr>
      </w:pPr>
    </w:p>
    <w:p w14:paraId="307D5FD9">
      <w:pPr>
        <w:snapToGrid w:val="0"/>
        <w:spacing w:before="165" w:beforeLines="50" w:after="50"/>
        <w:ind w:firstLine="540" w:firstLineChars="225"/>
        <w:rPr>
          <w:rFonts w:ascii="宋体" w:hAnsi="宋体"/>
          <w:bCs/>
          <w:sz w:val="24"/>
        </w:rPr>
      </w:pPr>
      <w:r>
        <w:rPr>
          <w:rFonts w:hint="eastAsia" w:ascii="宋体" w:hAnsi="宋体"/>
          <w:bCs/>
          <w:sz w:val="24"/>
        </w:rPr>
        <w:t>项目名称：</w:t>
      </w:r>
    </w:p>
    <w:p w14:paraId="60E75D8A">
      <w:pPr>
        <w:snapToGrid w:val="0"/>
        <w:spacing w:before="165" w:beforeLines="50" w:after="50"/>
        <w:ind w:firstLine="540" w:firstLineChars="225"/>
        <w:rPr>
          <w:rFonts w:ascii="宋体" w:hAnsi="宋体"/>
          <w:bCs/>
          <w:sz w:val="24"/>
          <w:szCs w:val="20"/>
        </w:rPr>
      </w:pPr>
    </w:p>
    <w:p w14:paraId="3AD237C6">
      <w:pPr>
        <w:snapToGrid w:val="0"/>
        <w:spacing w:before="165" w:beforeLines="50" w:after="50"/>
        <w:ind w:firstLine="540" w:firstLineChars="225"/>
        <w:rPr>
          <w:rFonts w:ascii="宋体" w:hAnsi="宋体"/>
          <w:bCs/>
          <w:sz w:val="24"/>
        </w:rPr>
      </w:pPr>
      <w:r>
        <w:rPr>
          <w:rFonts w:hint="eastAsia" w:ascii="宋体" w:hAnsi="宋体"/>
          <w:bCs/>
          <w:sz w:val="24"/>
        </w:rPr>
        <w:t>项目编号：</w:t>
      </w:r>
    </w:p>
    <w:p w14:paraId="19DC49E4">
      <w:pPr>
        <w:snapToGrid w:val="0"/>
        <w:spacing w:before="165" w:beforeLines="50" w:after="50"/>
        <w:ind w:firstLine="540" w:firstLineChars="225"/>
        <w:rPr>
          <w:rFonts w:ascii="宋体" w:hAnsi="宋体"/>
          <w:bCs/>
          <w:sz w:val="24"/>
          <w:szCs w:val="20"/>
        </w:rPr>
      </w:pPr>
      <w:r>
        <w:rPr>
          <w:rFonts w:hint="eastAsia" w:ascii="宋体" w:hAnsi="宋体"/>
          <w:bCs/>
          <w:sz w:val="24"/>
        </w:rPr>
        <w:t xml:space="preserve"> </w:t>
      </w:r>
    </w:p>
    <w:p w14:paraId="420C9C1B">
      <w:pPr>
        <w:snapToGrid w:val="0"/>
        <w:spacing w:before="165" w:beforeLines="50" w:after="50"/>
        <w:ind w:firstLine="540" w:firstLineChars="225"/>
        <w:rPr>
          <w:rFonts w:ascii="宋体" w:hAnsi="宋体"/>
          <w:bCs/>
          <w:sz w:val="24"/>
        </w:rPr>
      </w:pPr>
      <w:r>
        <w:rPr>
          <w:rFonts w:hint="eastAsia" w:ascii="宋体" w:hAnsi="宋体"/>
          <w:bCs/>
          <w:sz w:val="24"/>
        </w:rPr>
        <w:t>所投分标：</w:t>
      </w:r>
    </w:p>
    <w:p w14:paraId="704E70F8">
      <w:pPr>
        <w:snapToGrid w:val="0"/>
        <w:spacing w:before="165" w:beforeLines="50" w:after="50"/>
        <w:ind w:firstLine="540" w:firstLineChars="225"/>
        <w:rPr>
          <w:rFonts w:ascii="宋体" w:hAnsi="宋体"/>
          <w:bCs/>
          <w:sz w:val="24"/>
          <w:szCs w:val="20"/>
        </w:rPr>
      </w:pPr>
    </w:p>
    <w:p w14:paraId="6FFD5E94">
      <w:pPr>
        <w:snapToGrid w:val="0"/>
        <w:spacing w:before="50" w:after="50"/>
        <w:ind w:firstLine="540" w:firstLineChars="225"/>
        <w:rPr>
          <w:rFonts w:ascii="宋体" w:hAnsi="宋体"/>
          <w:bCs/>
          <w:sz w:val="24"/>
        </w:rPr>
      </w:pPr>
      <w:r>
        <w:rPr>
          <w:rFonts w:hint="eastAsia" w:ascii="宋体" w:hAnsi="宋体"/>
          <w:bCs/>
          <w:sz w:val="24"/>
        </w:rPr>
        <w:t>投标人名称：</w:t>
      </w:r>
    </w:p>
    <w:p w14:paraId="604B10F9">
      <w:pPr>
        <w:snapToGrid w:val="0"/>
        <w:spacing w:before="50" w:after="50"/>
        <w:ind w:firstLine="540" w:firstLineChars="225"/>
        <w:rPr>
          <w:rFonts w:ascii="宋体" w:hAnsi="宋体"/>
          <w:bCs/>
          <w:sz w:val="24"/>
        </w:rPr>
      </w:pPr>
    </w:p>
    <w:p w14:paraId="501B59D3">
      <w:pPr>
        <w:snapToGrid w:val="0"/>
        <w:spacing w:before="50" w:after="50"/>
        <w:ind w:firstLine="540" w:firstLineChars="225"/>
        <w:rPr>
          <w:rFonts w:ascii="宋体" w:hAnsi="宋体"/>
          <w:bCs/>
          <w:sz w:val="24"/>
        </w:rPr>
      </w:pPr>
      <w:r>
        <w:rPr>
          <w:rFonts w:hint="eastAsia" w:ascii="宋体" w:hAnsi="宋体"/>
          <w:bCs/>
          <w:sz w:val="24"/>
        </w:rPr>
        <w:t>投标人地址：</w:t>
      </w:r>
    </w:p>
    <w:p w14:paraId="6E1426D2">
      <w:pPr>
        <w:snapToGrid w:val="0"/>
        <w:spacing w:before="50" w:after="50"/>
        <w:ind w:firstLine="960" w:firstLineChars="400"/>
        <w:rPr>
          <w:rFonts w:ascii="宋体" w:hAnsi="宋体"/>
          <w:bCs/>
          <w:sz w:val="24"/>
        </w:rPr>
      </w:pPr>
    </w:p>
    <w:p w14:paraId="1E439813">
      <w:pPr>
        <w:snapToGrid w:val="0"/>
        <w:spacing w:before="165" w:beforeLines="50" w:after="50"/>
        <w:ind w:firstLine="645"/>
        <w:rPr>
          <w:rFonts w:ascii="宋体" w:hAnsi="宋体"/>
          <w:sz w:val="24"/>
        </w:rPr>
      </w:pPr>
      <w:r>
        <w:rPr>
          <w:rFonts w:hint="eastAsia" w:ascii="宋体" w:hAnsi="宋体"/>
          <w:sz w:val="24"/>
        </w:rPr>
        <w:t xml:space="preserve">                        年  月  日</w:t>
      </w:r>
    </w:p>
    <w:p w14:paraId="3921322C">
      <w:pPr>
        <w:snapToGrid w:val="0"/>
        <w:spacing w:before="165" w:beforeLines="50" w:after="50"/>
        <w:rPr>
          <w:rFonts w:ascii="宋体" w:hAnsi="宋体"/>
          <w:sz w:val="24"/>
          <w:szCs w:val="20"/>
        </w:rPr>
      </w:pPr>
      <w:r>
        <w:rPr>
          <w:rFonts w:ascii="宋体" w:hAnsi="宋体"/>
          <w:sz w:val="24"/>
          <w:szCs w:val="20"/>
        </w:rPr>
        <w:t xml:space="preserve"> </w:t>
      </w:r>
    </w:p>
    <w:p w14:paraId="421C1FC0">
      <w:pPr>
        <w:spacing w:line="360" w:lineRule="auto"/>
        <w:ind w:right="420"/>
        <w:rPr>
          <w:rFonts w:ascii="宋体" w:hAnsi="宋体"/>
          <w:sz w:val="24"/>
          <w:szCs w:val="20"/>
        </w:rPr>
      </w:pPr>
    </w:p>
    <w:p w14:paraId="14381374">
      <w:pPr>
        <w:spacing w:line="360" w:lineRule="auto"/>
        <w:ind w:right="420"/>
        <w:rPr>
          <w:rFonts w:ascii="宋体" w:hAnsi="宋体"/>
          <w:sz w:val="24"/>
          <w:szCs w:val="20"/>
        </w:rPr>
      </w:pPr>
    </w:p>
    <w:p w14:paraId="19FBA27A">
      <w:pPr>
        <w:spacing w:line="360" w:lineRule="auto"/>
        <w:ind w:right="420"/>
        <w:rPr>
          <w:rFonts w:ascii="宋体" w:hAnsi="宋体"/>
          <w:sz w:val="24"/>
          <w:szCs w:val="20"/>
        </w:rPr>
      </w:pPr>
    </w:p>
    <w:p w14:paraId="6F612ECB">
      <w:pPr>
        <w:spacing w:line="360" w:lineRule="auto"/>
        <w:ind w:right="420"/>
        <w:rPr>
          <w:rFonts w:ascii="宋体" w:hAnsi="宋体"/>
          <w:sz w:val="24"/>
          <w:szCs w:val="20"/>
        </w:rPr>
      </w:pPr>
    </w:p>
    <w:p w14:paraId="56DE8A1F">
      <w:pPr>
        <w:spacing w:line="360" w:lineRule="auto"/>
        <w:ind w:right="420"/>
        <w:rPr>
          <w:rFonts w:ascii="宋体" w:hAnsi="宋体"/>
          <w:sz w:val="24"/>
          <w:szCs w:val="20"/>
        </w:rPr>
      </w:pPr>
    </w:p>
    <w:p w14:paraId="617DCD15">
      <w:pPr>
        <w:spacing w:line="360" w:lineRule="auto"/>
        <w:ind w:right="420"/>
        <w:rPr>
          <w:rFonts w:ascii="宋体" w:hAnsi="宋体"/>
          <w:sz w:val="24"/>
          <w:szCs w:val="20"/>
        </w:rPr>
      </w:pPr>
    </w:p>
    <w:p w14:paraId="514E780B">
      <w:pPr>
        <w:spacing w:line="360" w:lineRule="auto"/>
        <w:ind w:right="420"/>
        <w:rPr>
          <w:rFonts w:ascii="宋体" w:hAnsi="宋体"/>
          <w:sz w:val="24"/>
          <w:szCs w:val="20"/>
        </w:rPr>
      </w:pPr>
    </w:p>
    <w:p w14:paraId="123E3490">
      <w:pPr>
        <w:spacing w:line="360" w:lineRule="auto"/>
        <w:ind w:right="420"/>
        <w:rPr>
          <w:rFonts w:ascii="宋体" w:hAnsi="宋体"/>
          <w:sz w:val="24"/>
          <w:szCs w:val="20"/>
        </w:rPr>
      </w:pPr>
    </w:p>
    <w:p w14:paraId="6052B48B">
      <w:pPr>
        <w:spacing w:line="360" w:lineRule="auto"/>
        <w:ind w:right="420"/>
        <w:rPr>
          <w:rFonts w:ascii="宋体" w:hAnsi="宋体"/>
          <w:sz w:val="24"/>
          <w:szCs w:val="20"/>
        </w:rPr>
      </w:pPr>
    </w:p>
    <w:p w14:paraId="506A4102">
      <w:pPr>
        <w:spacing w:line="360" w:lineRule="auto"/>
        <w:ind w:right="420"/>
        <w:rPr>
          <w:rFonts w:ascii="仿宋_GB2312" w:hAnsi="仿宋" w:eastAsia="仿宋_GB2312" w:cs="仿宋_GB2312"/>
          <w:b/>
          <w:kern w:val="0"/>
          <w:sz w:val="36"/>
          <w:szCs w:val="36"/>
        </w:rPr>
      </w:pPr>
      <w:r>
        <w:rPr>
          <w:rFonts w:hint="eastAsia" w:ascii="仿宋_GB2312" w:hAnsi="仿宋" w:eastAsia="仿宋_GB2312" w:cs="仿宋_GB2312"/>
          <w:b/>
          <w:kern w:val="0"/>
          <w:sz w:val="36"/>
          <w:szCs w:val="36"/>
        </w:rPr>
        <w:t xml:space="preserve"> </w:t>
      </w:r>
    </w:p>
    <w:p w14:paraId="755626E3">
      <w:pPr>
        <w:rPr>
          <w:rFonts w:ascii="仿宋_GB2312" w:hAnsi="仿宋" w:eastAsia="仿宋_GB2312" w:cs="仿宋_GB2312"/>
          <w:b/>
          <w:kern w:val="0"/>
          <w:sz w:val="24"/>
        </w:rPr>
      </w:pPr>
    </w:p>
    <w:p w14:paraId="7C1519A7">
      <w:pPr>
        <w:jc w:val="center"/>
        <w:rPr>
          <w:rFonts w:ascii="仿宋_GB2312" w:hAnsi="仿宋" w:eastAsia="仿宋_GB2312" w:cs="仿宋_GB2312"/>
          <w:b/>
          <w:kern w:val="0"/>
          <w:sz w:val="28"/>
          <w:szCs w:val="28"/>
        </w:rPr>
      </w:pPr>
      <w:r>
        <w:rPr>
          <w:rFonts w:hint="eastAsia" w:ascii="仿宋_GB2312" w:hAnsi="仿宋" w:eastAsia="仿宋_GB2312" w:cs="仿宋_GB2312"/>
          <w:b/>
          <w:kern w:val="0"/>
          <w:sz w:val="28"/>
          <w:szCs w:val="28"/>
        </w:rPr>
        <w:t>商务文件目录</w:t>
      </w:r>
    </w:p>
    <w:p w14:paraId="5C67AB72">
      <w:pPr>
        <w:pStyle w:val="103"/>
        <w:spacing w:line="360" w:lineRule="auto"/>
        <w:rPr>
          <w:rFonts w:cs="仿宋_GB2312"/>
        </w:rPr>
      </w:pPr>
      <w:r>
        <w:rPr>
          <w:rFonts w:hint="eastAsia" w:cs="仿宋_GB2312"/>
        </w:rPr>
        <w:t>一、无串标行为承诺函…………………………………………………………………（页码）</w:t>
      </w:r>
    </w:p>
    <w:p w14:paraId="7426FDF5">
      <w:pPr>
        <w:pStyle w:val="103"/>
        <w:spacing w:line="360" w:lineRule="auto"/>
        <w:rPr>
          <w:rFonts w:cs="仿宋_GB2312"/>
        </w:rPr>
      </w:pPr>
      <w:r>
        <w:rPr>
          <w:rFonts w:hint="eastAsia" w:cs="仿宋_GB2312"/>
        </w:rPr>
        <w:t>二、法定代表人身份证明及法定代表人有效身份证正反面复印件…………………（页码）</w:t>
      </w:r>
    </w:p>
    <w:p w14:paraId="4C64772B">
      <w:pPr>
        <w:pStyle w:val="103"/>
        <w:spacing w:line="360" w:lineRule="auto"/>
        <w:rPr>
          <w:rFonts w:cs="仿宋_GB2312"/>
        </w:rPr>
      </w:pPr>
      <w:r>
        <w:rPr>
          <w:rFonts w:hint="eastAsia" w:cs="仿宋_GB2312"/>
        </w:rPr>
        <w:t>三、法定代表人授权委托书（如有委托时）…………………………………………（页码）</w:t>
      </w:r>
    </w:p>
    <w:p w14:paraId="660C0311">
      <w:pPr>
        <w:pStyle w:val="103"/>
        <w:spacing w:line="360" w:lineRule="auto"/>
        <w:rPr>
          <w:rFonts w:cs="仿宋_GB2312"/>
        </w:rPr>
      </w:pPr>
      <w:r>
        <w:rPr>
          <w:rFonts w:hint="eastAsia" w:cs="仿宋_GB2312"/>
        </w:rPr>
        <w:t>四、</w:t>
      </w:r>
      <w:r>
        <w:rPr>
          <w:rFonts w:hint="eastAsia" w:cs="仿宋_GB2312"/>
          <w:lang w:val="zh-CN"/>
        </w:rPr>
        <w:t>商务条款偏离表………………………………</w:t>
      </w:r>
      <w:r>
        <w:rPr>
          <w:rFonts w:hint="eastAsia" w:cs="仿宋_GB2312"/>
        </w:rPr>
        <w:t>……………………………………（页码）</w:t>
      </w:r>
    </w:p>
    <w:p w14:paraId="7AE2D0F9">
      <w:pPr>
        <w:pStyle w:val="103"/>
        <w:spacing w:line="360" w:lineRule="auto"/>
        <w:rPr>
          <w:rFonts w:cs="仿宋_GB2312"/>
        </w:rPr>
      </w:pPr>
      <w:r>
        <w:rPr>
          <w:rFonts w:hint="eastAsia" w:cs="仿宋_GB2312"/>
        </w:rPr>
        <w:t>五、投标人情况介绍</w:t>
      </w:r>
      <w:r>
        <w:rPr>
          <w:rFonts w:hint="eastAsia" w:cs="仿宋_GB2312"/>
          <w:lang w:val="zh-CN"/>
        </w:rPr>
        <w:t>………………………………</w:t>
      </w:r>
      <w:r>
        <w:rPr>
          <w:rFonts w:hint="eastAsia" w:cs="仿宋_GB2312"/>
        </w:rPr>
        <w:t>……………………………………（页码）</w:t>
      </w:r>
    </w:p>
    <w:p w14:paraId="69F0400C">
      <w:pPr>
        <w:pStyle w:val="103"/>
        <w:spacing w:line="360" w:lineRule="auto"/>
        <w:rPr>
          <w:rFonts w:cs="仿宋_GB2312"/>
        </w:rPr>
      </w:pPr>
      <w:r>
        <w:rPr>
          <w:rFonts w:hint="eastAsia" w:cs="仿宋_GB2312"/>
        </w:rPr>
        <w:t>六、除招标文件规定必须提供以外，投标人认为需要提供的其他证明材料………（页码）</w:t>
      </w:r>
    </w:p>
    <w:p w14:paraId="6F229B0F">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00EF78C4">
      <w:pPr>
        <w:snapToGrid w:val="0"/>
        <w:spacing w:line="360" w:lineRule="auto"/>
        <w:ind w:firstLine="420" w:firstLineChars="200"/>
        <w:jc w:val="left"/>
        <w:rPr>
          <w:rFonts w:ascii="宋体" w:hAnsi="宋体"/>
        </w:rPr>
        <w:sectPr>
          <w:pgSz w:w="11906" w:h="16838"/>
          <w:pgMar w:top="1134" w:right="1134" w:bottom="1134" w:left="1134" w:header="720" w:footer="720" w:gutter="0"/>
          <w:cols w:space="720" w:num="1"/>
          <w:docGrid w:type="lines" w:linePitch="331" w:charSpace="0"/>
        </w:sectPr>
      </w:pPr>
    </w:p>
    <w:p w14:paraId="6F3C362B">
      <w:pPr>
        <w:snapToGrid w:val="0"/>
        <w:spacing w:before="120" w:beforeLines="50" w:after="50"/>
        <w:jc w:val="center"/>
        <w:rPr>
          <w:b/>
          <w:bCs/>
          <w:sz w:val="30"/>
          <w:szCs w:val="30"/>
        </w:rPr>
      </w:pPr>
      <w:r>
        <w:rPr>
          <w:rFonts w:hint="eastAsia"/>
          <w:b/>
          <w:bCs/>
          <w:sz w:val="30"/>
          <w:szCs w:val="30"/>
        </w:rPr>
        <w:t>一、无串标行为承诺函</w:t>
      </w:r>
    </w:p>
    <w:p w14:paraId="1758601F">
      <w:pPr>
        <w:snapToGrid w:val="0"/>
        <w:spacing w:before="120" w:beforeLines="50" w:after="50"/>
        <w:ind w:left="420"/>
        <w:jc w:val="center"/>
        <w:rPr>
          <w:rFonts w:ascii="宋体" w:hAnsi="宋体"/>
          <w:b/>
          <w:sz w:val="32"/>
          <w:szCs w:val="32"/>
        </w:rPr>
      </w:pPr>
      <w:r>
        <w:rPr>
          <w:rFonts w:hint="eastAsia" w:ascii="宋体" w:hAnsi="宋体"/>
          <w:b/>
          <w:sz w:val="32"/>
          <w:szCs w:val="32"/>
        </w:rPr>
        <w:t>投标人参加本项目无围标串标行为的承诺函</w:t>
      </w:r>
    </w:p>
    <w:p w14:paraId="78AA8975">
      <w:pPr>
        <w:snapToGrid w:val="0"/>
        <w:spacing w:before="120" w:beforeLines="50" w:after="50"/>
        <w:rPr>
          <w:rFonts w:ascii="宋体" w:hAnsi="宋体"/>
          <w:b/>
          <w:szCs w:val="21"/>
        </w:rPr>
      </w:pPr>
    </w:p>
    <w:p w14:paraId="0EA62F62">
      <w:pPr>
        <w:snapToGrid w:val="0"/>
        <w:spacing w:before="120" w:beforeLines="50" w:after="50" w:line="360" w:lineRule="auto"/>
        <w:jc w:val="left"/>
        <w:rPr>
          <w:rFonts w:ascii="宋体" w:hAnsi="宋体"/>
          <w:b/>
          <w:szCs w:val="21"/>
        </w:rPr>
      </w:pPr>
      <w:r>
        <w:rPr>
          <w:rFonts w:hint="eastAsia" w:ascii="宋体" w:hAnsi="宋体"/>
          <w:b/>
          <w:szCs w:val="21"/>
        </w:rPr>
        <w:t>一、我方承诺无下列相互串通投标的情形：</w:t>
      </w:r>
    </w:p>
    <w:p w14:paraId="1A217333">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1.不同投标人的投标文件由同一单位或者个人编制；或者不同投标人报名的IP地址一致的；</w:t>
      </w:r>
    </w:p>
    <w:p w14:paraId="6800F261">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2.不同投标人委托同一单位或者个人办理投标事宜；</w:t>
      </w:r>
    </w:p>
    <w:p w14:paraId="30B2431E">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3.不同的投标人的投标文件载明的项目管理员为同一个人；</w:t>
      </w:r>
    </w:p>
    <w:p w14:paraId="7BC02107">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4.不同投标人的投标文件异常一致或者投标报价呈规律性差异；</w:t>
      </w:r>
    </w:p>
    <w:p w14:paraId="646BBABF">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5.不同投标人的投标文件相互混装；</w:t>
      </w:r>
    </w:p>
    <w:p w14:paraId="5FE2F839">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6.不同投标人的投标保证金从同一单位或者个人账户转出。</w:t>
      </w:r>
    </w:p>
    <w:p w14:paraId="7AF7A9FF">
      <w:pPr>
        <w:snapToGrid w:val="0"/>
        <w:spacing w:before="120" w:beforeLines="50" w:after="50" w:line="360" w:lineRule="auto"/>
        <w:jc w:val="left"/>
        <w:rPr>
          <w:rFonts w:ascii="宋体" w:hAnsi="宋体"/>
          <w:szCs w:val="21"/>
        </w:rPr>
      </w:pPr>
      <w:r>
        <w:rPr>
          <w:rFonts w:hint="eastAsia" w:ascii="宋体" w:hAnsi="宋体"/>
          <w:b/>
          <w:szCs w:val="21"/>
        </w:rPr>
        <w:t>二、我方承诺无下列恶意串通的情形：</w:t>
      </w:r>
    </w:p>
    <w:p w14:paraId="18693C49">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1.投标人直接或者间接从采购人或者采购代理机构处获得其他投标人的相关信息并修改其投标文件或者投标文件；</w:t>
      </w:r>
    </w:p>
    <w:p w14:paraId="62DC4253">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2.投标人按照采购人或者采购代理机构的授意撤换、修改投标文件或者投标文件；</w:t>
      </w:r>
    </w:p>
    <w:p w14:paraId="0CB228C8">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3.投标人之间协商报价、技术方案等投标文件或者投标文件的实质性内容；</w:t>
      </w:r>
    </w:p>
    <w:p w14:paraId="5EFAE0F8">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4.属于同一集团、协会、商会等组织成员的投标人按照该组织要求协同参加政府采购活动；</w:t>
      </w:r>
    </w:p>
    <w:p w14:paraId="0A9021FE">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5.投标人之间事先约定一致抬高或者压低投标报价，或者在招标项目中事先约定轮流以高价位或者低价位中标，或者事先约定由某一特定投标人中标，然后再参加投标；</w:t>
      </w:r>
    </w:p>
    <w:p w14:paraId="4F0D8B30">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6.投标人之间商定部分投标人放弃参加政府采购活动或者放弃中标；</w:t>
      </w:r>
    </w:p>
    <w:p w14:paraId="5640E681">
      <w:pPr>
        <w:snapToGrid w:val="0"/>
        <w:spacing w:before="120" w:beforeLines="50" w:after="50" w:line="360" w:lineRule="auto"/>
        <w:ind w:firstLine="411" w:firstLineChars="196"/>
        <w:jc w:val="left"/>
        <w:rPr>
          <w:rFonts w:ascii="宋体" w:hAnsi="宋体"/>
          <w:szCs w:val="21"/>
        </w:rPr>
      </w:pPr>
      <w:r>
        <w:rPr>
          <w:rFonts w:hint="eastAsia" w:ascii="宋体" w:hAnsi="宋体"/>
          <w:szCs w:val="21"/>
        </w:rPr>
        <w:t>7.投标人与采购人或者采购代理机构之间、投标人相互之间，为谋求特定投标人中标或者排斥其他投标人的其他串通行为。</w:t>
      </w:r>
    </w:p>
    <w:p w14:paraId="54555056">
      <w:pPr>
        <w:snapToGrid w:val="0"/>
        <w:spacing w:before="120" w:beforeLines="50" w:after="50" w:line="360" w:lineRule="auto"/>
        <w:ind w:firstLine="413" w:firstLineChars="196"/>
        <w:jc w:val="left"/>
        <w:rPr>
          <w:rFonts w:ascii="宋体" w:hAnsi="宋体"/>
          <w:b/>
          <w:szCs w:val="21"/>
        </w:rPr>
      </w:pPr>
      <w:r>
        <w:rPr>
          <w:rFonts w:hint="eastAsia" w:ascii="宋体" w:hAnsi="宋体"/>
          <w:b/>
          <w:szCs w:val="21"/>
        </w:rPr>
        <w:t>以上情形一经核查属实，我方愿意承担一切后果，并不再寻求任何旨在减轻或者免除法律责任的辩解。</w:t>
      </w:r>
    </w:p>
    <w:p w14:paraId="41FB435F">
      <w:pPr>
        <w:snapToGrid w:val="0"/>
        <w:spacing w:line="360" w:lineRule="auto"/>
        <w:ind w:firstLine="4935" w:firstLineChars="2350"/>
        <w:rPr>
          <w:rFonts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6263D72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9C58B17">
      <w:pPr>
        <w:snapToGrid w:val="0"/>
        <w:spacing w:before="295" w:after="295" w:line="360" w:lineRule="auto"/>
        <w:jc w:val="center"/>
        <w:rPr>
          <w:rFonts w:hAnsi="宋体"/>
          <w:b/>
          <w:sz w:val="24"/>
        </w:rPr>
      </w:pPr>
      <w:r>
        <w:rPr>
          <w:rFonts w:hAnsi="宋体"/>
          <w:b/>
          <w:sz w:val="24"/>
        </w:rPr>
        <w:br w:type="page"/>
      </w:r>
      <w:r>
        <w:rPr>
          <w:rFonts w:hint="eastAsia"/>
          <w:b/>
          <w:bCs/>
          <w:sz w:val="30"/>
          <w:szCs w:val="30"/>
        </w:rPr>
        <w:t>二、法定代表人身份证明</w:t>
      </w:r>
    </w:p>
    <w:p w14:paraId="748F6AAC">
      <w:pPr>
        <w:spacing w:before="240" w:beforeLines="100" w:after="120" w:afterLines="50"/>
        <w:ind w:left="540"/>
        <w:jc w:val="center"/>
        <w:rPr>
          <w:rFonts w:ascii="宋体" w:hAnsi="Courier New"/>
          <w:b/>
          <w:sz w:val="32"/>
          <w:szCs w:val="32"/>
        </w:rPr>
      </w:pPr>
    </w:p>
    <w:p w14:paraId="7130524A">
      <w:pPr>
        <w:spacing w:before="240" w:beforeLines="100" w:after="120" w:afterLines="50"/>
        <w:ind w:left="540"/>
        <w:jc w:val="center"/>
        <w:rPr>
          <w:rFonts w:ascii="黑体" w:hAnsi="宋体" w:eastAsia="黑体"/>
          <w:sz w:val="32"/>
          <w:szCs w:val="32"/>
        </w:rPr>
      </w:pPr>
      <w:r>
        <w:rPr>
          <w:rFonts w:hint="eastAsia" w:ascii="宋体" w:hAnsi="Courier New"/>
          <w:b/>
          <w:sz w:val="32"/>
          <w:szCs w:val="32"/>
        </w:rPr>
        <w:t>法定代表人身份证明</w:t>
      </w:r>
    </w:p>
    <w:p w14:paraId="13A56EEF">
      <w:pPr>
        <w:spacing w:line="500" w:lineRule="exact"/>
        <w:ind w:left="540"/>
        <w:rPr>
          <w:rFonts w:ascii="宋体" w:hAnsi="宋体"/>
          <w:sz w:val="24"/>
        </w:rPr>
      </w:pPr>
      <w:r>
        <w:rPr>
          <w:rFonts w:hint="eastAsia" w:ascii="宋体" w:hAnsi="宋体"/>
          <w:sz w:val="24"/>
        </w:rPr>
        <w:t>投 标 人：</w:t>
      </w:r>
      <w:r>
        <w:rPr>
          <w:rFonts w:hint="eastAsia" w:ascii="宋体" w:hAnsi="宋体"/>
          <w:sz w:val="24"/>
          <w:u w:val="single"/>
        </w:rPr>
        <w:t xml:space="preserve">                                                        </w:t>
      </w:r>
    </w:p>
    <w:p w14:paraId="26B05CED">
      <w:pPr>
        <w:spacing w:line="500" w:lineRule="exact"/>
        <w:ind w:left="540"/>
        <w:rPr>
          <w:rFonts w:ascii="宋体" w:hAnsi="宋体"/>
          <w:sz w:val="24"/>
        </w:rPr>
      </w:pPr>
      <w:r>
        <w:rPr>
          <w:rFonts w:hint="eastAsia" w:ascii="宋体" w:hAnsi="宋体"/>
          <w:sz w:val="24"/>
        </w:rPr>
        <w:t>地    址：</w:t>
      </w:r>
      <w:r>
        <w:rPr>
          <w:rFonts w:hint="eastAsia" w:ascii="宋体" w:hAnsi="宋体"/>
          <w:sz w:val="24"/>
          <w:u w:val="single"/>
        </w:rPr>
        <w:t xml:space="preserve">                                                        </w:t>
      </w:r>
    </w:p>
    <w:p w14:paraId="43C092CD">
      <w:pPr>
        <w:spacing w:line="500" w:lineRule="exact"/>
        <w:ind w:left="540"/>
        <w:rPr>
          <w:rFonts w:ascii="宋体" w:hAnsi="宋体"/>
          <w:sz w:val="24"/>
        </w:rPr>
      </w:pPr>
      <w:r>
        <w:rPr>
          <w:rFonts w:hint="eastAsia" w:ascii="宋体" w:hAnsi="宋体"/>
          <w:sz w:val="24"/>
        </w:rPr>
        <w:t>姓    名：</w:t>
      </w:r>
      <w:r>
        <w:rPr>
          <w:rFonts w:hint="eastAsia" w:ascii="宋体" w:hAnsi="宋体"/>
          <w:sz w:val="24"/>
          <w:u w:val="single"/>
        </w:rPr>
        <w:t xml:space="preserve">                          </w:t>
      </w:r>
      <w:r>
        <w:rPr>
          <w:rFonts w:hint="eastAsia" w:ascii="宋体" w:hAnsi="宋体"/>
          <w:sz w:val="24"/>
        </w:rPr>
        <w:t>性      别：</w:t>
      </w:r>
      <w:r>
        <w:rPr>
          <w:rFonts w:hint="eastAsia" w:ascii="宋体" w:hAnsi="宋体"/>
          <w:sz w:val="24"/>
          <w:u w:val="single"/>
        </w:rPr>
        <w:t xml:space="preserve">                </w:t>
      </w:r>
    </w:p>
    <w:p w14:paraId="16FD569A">
      <w:pPr>
        <w:spacing w:line="500" w:lineRule="exact"/>
        <w:ind w:left="540"/>
        <w:rPr>
          <w:rFonts w:ascii="宋体" w:hAnsi="宋体"/>
          <w:sz w:val="24"/>
          <w:u w:val="single"/>
        </w:rPr>
      </w:pPr>
      <w:r>
        <w:rPr>
          <w:rFonts w:hint="eastAsia" w:ascii="宋体" w:hAnsi="宋体"/>
          <w:sz w:val="24"/>
        </w:rPr>
        <w:t>年    龄：</w:t>
      </w:r>
      <w:r>
        <w:rPr>
          <w:rFonts w:hint="eastAsia" w:ascii="宋体" w:hAnsi="宋体"/>
          <w:sz w:val="24"/>
          <w:u w:val="single"/>
        </w:rPr>
        <w:t xml:space="preserve">                          </w:t>
      </w:r>
      <w:r>
        <w:rPr>
          <w:rFonts w:hint="eastAsia" w:ascii="宋体" w:hAnsi="宋体"/>
          <w:sz w:val="24"/>
        </w:rPr>
        <w:t>职      务：</w:t>
      </w:r>
      <w:r>
        <w:rPr>
          <w:rFonts w:hint="eastAsia" w:ascii="宋体" w:hAnsi="宋体"/>
          <w:sz w:val="24"/>
          <w:u w:val="single"/>
        </w:rPr>
        <w:t xml:space="preserve">                </w:t>
      </w:r>
    </w:p>
    <w:p w14:paraId="2363E586">
      <w:pPr>
        <w:spacing w:line="500" w:lineRule="exact"/>
        <w:ind w:left="540"/>
        <w:rPr>
          <w:rFonts w:ascii="宋体" w:hAnsi="宋体"/>
          <w:sz w:val="24"/>
        </w:rPr>
      </w:pPr>
      <w:r>
        <w:rPr>
          <w:rFonts w:hint="eastAsia" w:ascii="宋体" w:hAnsi="宋体"/>
          <w:sz w:val="24"/>
        </w:rPr>
        <w:t>身份证</w:t>
      </w:r>
      <w:r>
        <w:rPr>
          <w:rFonts w:hint="eastAsia"/>
          <w:sz w:val="24"/>
        </w:rPr>
        <w:t>号码：</w:t>
      </w:r>
      <w:r>
        <w:rPr>
          <w:rFonts w:hint="eastAsia"/>
          <w:sz w:val="24"/>
          <w:u w:val="single"/>
        </w:rPr>
        <w:t xml:space="preserve">                                 </w:t>
      </w:r>
    </w:p>
    <w:p w14:paraId="214B2C28">
      <w:pPr>
        <w:spacing w:line="500" w:lineRule="exact"/>
        <w:ind w:left="540"/>
        <w:rPr>
          <w:rFonts w:ascii="宋体" w:hAnsi="宋体"/>
          <w:sz w:val="24"/>
        </w:rPr>
      </w:pPr>
      <w:r>
        <w:rPr>
          <w:rFonts w:hint="eastAsia" w:ascii="宋体" w:hAnsi="宋体"/>
          <w:sz w:val="24"/>
        </w:rPr>
        <w:t>系</w:t>
      </w:r>
      <w:r>
        <w:rPr>
          <w:rFonts w:hint="eastAsia" w:ascii="宋体" w:hAnsi="宋体"/>
          <w:sz w:val="24"/>
          <w:u w:val="single"/>
        </w:rPr>
        <w:t xml:space="preserve">            （投标人名称）              </w:t>
      </w:r>
      <w:r>
        <w:rPr>
          <w:rFonts w:hint="eastAsia" w:ascii="宋体" w:hAnsi="宋体"/>
          <w:sz w:val="24"/>
        </w:rPr>
        <w:t>的法定代表人。</w:t>
      </w:r>
    </w:p>
    <w:p w14:paraId="2D50C520">
      <w:pPr>
        <w:spacing w:line="500" w:lineRule="exact"/>
        <w:ind w:left="540"/>
        <w:rPr>
          <w:rFonts w:ascii="宋体" w:hAnsi="宋体"/>
          <w:sz w:val="24"/>
        </w:rPr>
      </w:pPr>
      <w:r>
        <w:rPr>
          <w:rFonts w:hint="eastAsia" w:ascii="宋体" w:hAnsi="宋体"/>
          <w:sz w:val="24"/>
        </w:rPr>
        <w:t>特此证明。</w:t>
      </w:r>
    </w:p>
    <w:p w14:paraId="72D8DE60">
      <w:pPr>
        <w:spacing w:line="500" w:lineRule="exact"/>
        <w:ind w:left="540"/>
        <w:rPr>
          <w:rFonts w:ascii="宋体" w:hAnsi="宋体"/>
          <w:sz w:val="24"/>
        </w:rPr>
      </w:pPr>
    </w:p>
    <w:p w14:paraId="6B96F184">
      <w:pPr>
        <w:spacing w:line="500" w:lineRule="exact"/>
        <w:ind w:left="540"/>
        <w:rPr>
          <w:rFonts w:ascii="宋体" w:hAnsi="宋体"/>
          <w:sz w:val="24"/>
        </w:rPr>
      </w:pPr>
    </w:p>
    <w:p w14:paraId="659845D4">
      <w:pPr>
        <w:spacing w:line="500" w:lineRule="exact"/>
        <w:ind w:left="540"/>
        <w:rPr>
          <w:rFonts w:ascii="宋体" w:hAnsi="宋体"/>
          <w:sz w:val="24"/>
        </w:rPr>
      </w:pPr>
      <w:r>
        <w:rPr>
          <w:rFonts w:hint="eastAsia" w:ascii="宋体" w:hAnsi="宋体"/>
          <w:sz w:val="24"/>
        </w:rPr>
        <w:t>附件：法定代表人有效身份证正反面复印件</w:t>
      </w:r>
    </w:p>
    <w:p w14:paraId="7604306E">
      <w:pPr>
        <w:spacing w:line="500" w:lineRule="exact"/>
        <w:ind w:left="540"/>
        <w:rPr>
          <w:rFonts w:ascii="宋体" w:hAnsi="宋体"/>
          <w:sz w:val="24"/>
        </w:rPr>
      </w:pPr>
    </w:p>
    <w:p w14:paraId="549C17EF">
      <w:pPr>
        <w:snapToGrid w:val="0"/>
        <w:spacing w:line="360" w:lineRule="auto"/>
        <w:ind w:firstLine="4935" w:firstLineChars="2350"/>
        <w:rPr>
          <w:rFonts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48DA4823">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38C9F0D">
      <w:pPr>
        <w:snapToGrid w:val="0"/>
        <w:spacing w:before="120" w:beforeLines="50" w:after="50"/>
        <w:jc w:val="center"/>
        <w:rPr>
          <w:rFonts w:ascii="宋体" w:hAnsi="宋体"/>
          <w:b/>
          <w:sz w:val="24"/>
        </w:rPr>
      </w:pPr>
    </w:p>
    <w:p w14:paraId="14010769">
      <w:pPr>
        <w:snapToGrid w:val="0"/>
        <w:spacing w:before="120" w:beforeLines="50" w:after="50"/>
        <w:ind w:firstLine="600" w:firstLineChars="250"/>
        <w:jc w:val="left"/>
        <w:rPr>
          <w:rFonts w:ascii="宋体" w:hAnsi="宋体"/>
          <w:sz w:val="24"/>
        </w:rPr>
      </w:pPr>
      <w:r>
        <w:rPr>
          <w:rFonts w:hint="eastAsia" w:ascii="宋体" w:hAnsi="宋体"/>
          <w:sz w:val="24"/>
        </w:rPr>
        <w:t>注：自然人投标的无需提供</w:t>
      </w:r>
    </w:p>
    <w:p w14:paraId="47D8269B">
      <w:pPr>
        <w:snapToGrid w:val="0"/>
        <w:spacing w:before="120" w:beforeLines="50" w:after="50"/>
        <w:ind w:firstLine="600" w:firstLineChars="250"/>
        <w:jc w:val="left"/>
        <w:rPr>
          <w:rFonts w:ascii="宋体" w:hAnsi="宋体"/>
          <w:sz w:val="24"/>
        </w:rPr>
      </w:pPr>
    </w:p>
    <w:p w14:paraId="2DDA4E07">
      <w:pPr>
        <w:snapToGrid w:val="0"/>
        <w:spacing w:before="120" w:beforeLines="50" w:after="50"/>
        <w:ind w:firstLine="602" w:firstLineChars="250"/>
        <w:jc w:val="left"/>
        <w:rPr>
          <w:rFonts w:ascii="宋体" w:hAnsi="宋体"/>
          <w:b/>
          <w:sz w:val="24"/>
          <w:szCs w:val="20"/>
        </w:rPr>
      </w:pPr>
    </w:p>
    <w:tbl>
      <w:tblPr>
        <w:tblStyle w:val="35"/>
        <w:tblpPr w:leftFromText="180" w:rightFromText="180" w:vertAnchor="text" w:horzAnchor="margin" w:tblpY="1169"/>
        <w:tblW w:w="846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61"/>
      </w:tblGrid>
      <w:tr w14:paraId="48353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705" w:hRule="atLeast"/>
        </w:trPr>
        <w:tc>
          <w:tcPr>
            <w:tcW w:w="8461" w:type="dxa"/>
          </w:tcPr>
          <w:p w14:paraId="6DF0F12E">
            <w:pPr>
              <w:spacing w:line="360" w:lineRule="auto"/>
              <w:rPr>
                <w:rFonts w:ascii="宋体"/>
                <w:b/>
                <w:sz w:val="24"/>
              </w:rPr>
            </w:pPr>
          </w:p>
          <w:p w14:paraId="6E15AE79">
            <w:pPr>
              <w:spacing w:line="360" w:lineRule="auto"/>
              <w:rPr>
                <w:rFonts w:ascii="宋体"/>
                <w:b/>
                <w:sz w:val="24"/>
              </w:rPr>
            </w:pPr>
            <w:r>
              <w:rPr>
                <w:rFonts w:hint="eastAsia" w:ascii="宋体"/>
                <w:b/>
                <w:sz w:val="24"/>
              </w:rPr>
              <w:t>法定代表身份证复印件粘帖处（正、反面）</w:t>
            </w:r>
          </w:p>
        </w:tc>
      </w:tr>
    </w:tbl>
    <w:p w14:paraId="2FE57CFC">
      <w:pPr>
        <w:snapToGrid w:val="0"/>
        <w:spacing w:before="295" w:after="295" w:line="360" w:lineRule="auto"/>
        <w:rPr>
          <w:rFonts w:hAnsi="宋体"/>
          <w:b/>
          <w:sz w:val="24"/>
        </w:rPr>
      </w:pPr>
      <w:r>
        <w:rPr>
          <w:rFonts w:hint="eastAsia" w:hAnsi="宋体"/>
          <w:b/>
          <w:sz w:val="24"/>
        </w:rPr>
        <w:t>附件：</w:t>
      </w:r>
      <w:r>
        <w:rPr>
          <w:rFonts w:hAnsi="宋体"/>
          <w:b/>
          <w:sz w:val="24"/>
        </w:rPr>
        <w:br w:type="page"/>
      </w:r>
      <w:r>
        <w:rPr>
          <w:rFonts w:hint="eastAsia"/>
          <w:b/>
          <w:bCs/>
          <w:sz w:val="30"/>
          <w:szCs w:val="30"/>
        </w:rPr>
        <w:t>三、法定代表人授权委托书（如有委托时）</w:t>
      </w:r>
    </w:p>
    <w:p w14:paraId="4F5E8039">
      <w:pPr>
        <w:snapToGrid w:val="0"/>
        <w:spacing w:before="120" w:beforeLines="50" w:after="50"/>
        <w:jc w:val="center"/>
        <w:rPr>
          <w:rFonts w:ascii="宋体" w:hAnsi="宋体"/>
          <w:b/>
          <w:sz w:val="32"/>
          <w:szCs w:val="32"/>
        </w:rPr>
      </w:pPr>
      <w:r>
        <w:rPr>
          <w:rFonts w:hint="eastAsia" w:ascii="宋体" w:hAnsi="宋体"/>
          <w:b/>
          <w:sz w:val="32"/>
          <w:szCs w:val="32"/>
        </w:rPr>
        <w:t>法定代表人授权委托书</w:t>
      </w:r>
    </w:p>
    <w:p w14:paraId="15230032">
      <w:pPr>
        <w:snapToGrid w:val="0"/>
        <w:spacing w:before="120" w:beforeLines="50" w:after="50"/>
        <w:jc w:val="center"/>
        <w:rPr>
          <w:rFonts w:ascii="宋体" w:hAnsi="宋体"/>
          <w:b/>
          <w:sz w:val="24"/>
        </w:rPr>
      </w:pPr>
    </w:p>
    <w:p w14:paraId="5E524EB8">
      <w:pPr>
        <w:spacing w:line="440" w:lineRule="exact"/>
        <w:ind w:firstLine="420" w:firstLineChars="200"/>
      </w:pPr>
      <w:r>
        <w:rPr>
          <w:rFonts w:hint="eastAsia"/>
        </w:rPr>
        <w:t>致：</w:t>
      </w:r>
      <w:r>
        <w:rPr>
          <w:u w:val="single"/>
        </w:rPr>
        <w:t xml:space="preserve">                      </w:t>
      </w:r>
      <w:r>
        <w:rPr>
          <w:rFonts w:hint="eastAsia"/>
        </w:rPr>
        <w:t>（采购代理机构名称）</w:t>
      </w:r>
    </w:p>
    <w:p w14:paraId="6109FECC">
      <w:pPr>
        <w:spacing w:line="440" w:lineRule="exact"/>
        <w:ind w:firstLine="420" w:firstLineChars="200"/>
      </w:pPr>
      <w:r>
        <w:rPr>
          <w:rFonts w:hint="eastAsia"/>
        </w:rPr>
        <w:t>本人</w:t>
      </w:r>
      <w:r>
        <w:rPr>
          <w:u w:val="single"/>
        </w:rPr>
        <w:t xml:space="preserve">        </w:t>
      </w:r>
      <w:r>
        <w:rPr>
          <w:rFonts w:hint="eastAsia"/>
        </w:rPr>
        <w:t>（姓名）系</w:t>
      </w:r>
      <w:r>
        <w:rPr>
          <w:u w:val="single"/>
        </w:rPr>
        <w:t xml:space="preserve">                 </w:t>
      </w:r>
      <w:r>
        <w:rPr>
          <w:rFonts w:hint="eastAsia"/>
        </w:rPr>
        <w:t>（投标人名称）的法定代表人，现授权我单位在职正式员工</w:t>
      </w:r>
      <w:r>
        <w:rPr>
          <w:u w:val="single"/>
        </w:rPr>
        <w:t xml:space="preserve">        </w:t>
      </w:r>
      <w:r>
        <w:rPr>
          <w:rFonts w:hint="eastAsia"/>
        </w:rPr>
        <w:t>（姓名和职务）为我方代理人。代理人根据授权，以我方名义签署、澄清、说明、补正、递交、撤回、修改贵方组织的</w:t>
      </w:r>
      <w:r>
        <w:rPr>
          <w:rFonts w:hint="eastAsia"/>
          <w:u w:val="single"/>
        </w:rPr>
        <w:t xml:space="preserve">                </w:t>
      </w:r>
      <w:r>
        <w:rPr>
          <w:rFonts w:hint="eastAsia"/>
        </w:rPr>
        <w:t>项目（项目编号：</w:t>
      </w:r>
      <w:r>
        <w:rPr>
          <w:rFonts w:hint="eastAsia" w:hAnsi="宋体"/>
          <w:u w:val="single"/>
        </w:rPr>
        <w:t xml:space="preserve">             </w:t>
      </w:r>
      <w:r>
        <w:rPr>
          <w:rFonts w:hint="eastAsia"/>
        </w:rPr>
        <w:t>）的投标文件、签订合同和处理一切有关事宜，其法律后果由我方承担。</w:t>
      </w:r>
    </w:p>
    <w:p w14:paraId="204A7F29">
      <w:pPr>
        <w:spacing w:line="440" w:lineRule="exact"/>
        <w:ind w:firstLine="420" w:firstLineChars="200"/>
      </w:pPr>
      <w:r>
        <w:rPr>
          <w:rFonts w:hint="eastAsia"/>
        </w:rPr>
        <w:t>本授权书于</w:t>
      </w:r>
      <w:r>
        <w:rPr>
          <w:rFonts w:hint="eastAsia"/>
          <w:spacing w:val="10"/>
          <w:sz w:val="24"/>
          <w:u w:val="single"/>
        </w:rPr>
        <w:t xml:space="preserve">    </w:t>
      </w:r>
      <w:r>
        <w:rPr>
          <w:rFonts w:hint="eastAsia"/>
        </w:rPr>
        <w:t>年</w:t>
      </w:r>
      <w:r>
        <w:rPr>
          <w:rFonts w:hint="eastAsia"/>
          <w:spacing w:val="10"/>
          <w:sz w:val="24"/>
          <w:u w:val="single"/>
        </w:rPr>
        <w:t xml:space="preserve">    </w:t>
      </w:r>
      <w:r>
        <w:rPr>
          <w:rFonts w:hint="eastAsia"/>
        </w:rPr>
        <w:t>月</w:t>
      </w:r>
      <w:r>
        <w:rPr>
          <w:rFonts w:hint="eastAsia"/>
          <w:spacing w:val="10"/>
          <w:sz w:val="24"/>
          <w:u w:val="single"/>
        </w:rPr>
        <w:t xml:space="preserve">    </w:t>
      </w:r>
      <w:r>
        <w:rPr>
          <w:rFonts w:hint="eastAsia"/>
        </w:rPr>
        <w:t>日签字生效，委托期限：</w:t>
      </w:r>
      <w:r>
        <w:rPr>
          <w:rFonts w:hint="eastAsia"/>
          <w:spacing w:val="10"/>
          <w:sz w:val="24"/>
          <w:u w:val="single"/>
        </w:rPr>
        <w:t xml:space="preserve">    </w:t>
      </w:r>
      <w:r>
        <w:rPr>
          <w:rFonts w:hint="eastAsia"/>
        </w:rPr>
        <w:t>。</w:t>
      </w:r>
    </w:p>
    <w:p w14:paraId="675A0EED">
      <w:pPr>
        <w:spacing w:line="360" w:lineRule="auto"/>
        <w:ind w:firstLine="420"/>
      </w:pPr>
      <w:r>
        <w:rPr>
          <w:rFonts w:hint="eastAsia"/>
        </w:rPr>
        <w:t>代理人无转委托权。</w:t>
      </w:r>
    </w:p>
    <w:p w14:paraId="69C2A989">
      <w:pPr>
        <w:spacing w:line="360" w:lineRule="auto"/>
        <w:ind w:firstLine="420"/>
      </w:pPr>
    </w:p>
    <w:p w14:paraId="7D43696E">
      <w:pPr>
        <w:spacing w:line="360" w:lineRule="auto"/>
        <w:ind w:firstLine="420"/>
        <w:rPr>
          <w:u w:val="single"/>
        </w:rPr>
      </w:pPr>
      <w:r>
        <w:rPr>
          <w:rFonts w:hint="eastAsia"/>
        </w:rPr>
        <w:t>投标人（或联合体投标</w:t>
      </w:r>
      <w:r>
        <w:rPr>
          <w:rFonts w:hint="eastAsia" w:cs="宋体"/>
          <w:kern w:val="0"/>
          <w:szCs w:val="21"/>
        </w:rPr>
        <w:t>牵头人名称</w:t>
      </w:r>
      <w:r>
        <w:rPr>
          <w:rFonts w:hint="eastAsia"/>
        </w:rPr>
        <w:t>）（盖单位公章）：</w:t>
      </w:r>
      <w:r>
        <w:rPr>
          <w:u w:val="single"/>
        </w:rPr>
        <w:t xml:space="preserve">                                    </w:t>
      </w:r>
    </w:p>
    <w:p w14:paraId="7FFDC596">
      <w:pPr>
        <w:spacing w:line="360" w:lineRule="auto"/>
        <w:ind w:firstLine="420"/>
        <w:rPr>
          <w:u w:val="single"/>
        </w:rPr>
      </w:pPr>
      <w:r>
        <w:rPr>
          <w:rFonts w:hint="eastAsia"/>
        </w:rPr>
        <w:t>法定代表人（签字）：</w:t>
      </w:r>
      <w:r>
        <w:rPr>
          <w:u w:val="single"/>
        </w:rPr>
        <w:t xml:space="preserve">                                </w:t>
      </w:r>
    </w:p>
    <w:p w14:paraId="70FFFD8D">
      <w:pPr>
        <w:spacing w:line="360" w:lineRule="auto"/>
        <w:ind w:firstLine="420"/>
        <w:rPr>
          <w:u w:val="single"/>
        </w:rPr>
      </w:pPr>
      <w:r>
        <w:rPr>
          <w:rFonts w:hint="eastAsia"/>
        </w:rPr>
        <w:t>法定代表人身份证号码：</w:t>
      </w:r>
      <w:r>
        <w:rPr>
          <w:u w:val="single"/>
        </w:rPr>
        <w:t xml:space="preserve">                                   </w:t>
      </w:r>
    </w:p>
    <w:p w14:paraId="24A45C96">
      <w:pPr>
        <w:spacing w:line="360" w:lineRule="auto"/>
        <w:ind w:firstLine="420" w:firstLineChars="200"/>
      </w:pPr>
      <w:r>
        <w:rPr>
          <w:rFonts w:hint="eastAsia"/>
        </w:rPr>
        <w:t>委托代理人（签字）：</w:t>
      </w:r>
      <w:r>
        <w:rPr>
          <w:u w:val="single"/>
        </w:rPr>
        <w:t xml:space="preserve">                                </w:t>
      </w:r>
    </w:p>
    <w:p w14:paraId="0E5074D6">
      <w:pPr>
        <w:spacing w:line="360" w:lineRule="auto"/>
        <w:ind w:firstLine="420"/>
        <w:rPr>
          <w:u w:val="single"/>
        </w:rPr>
      </w:pPr>
      <w:r>
        <w:rPr>
          <w:rFonts w:hint="eastAsia"/>
        </w:rPr>
        <w:t>委托代理人身份证号码：</w:t>
      </w:r>
      <w:r>
        <w:rPr>
          <w:u w:val="single"/>
        </w:rPr>
        <w:t xml:space="preserve">                                   </w:t>
      </w:r>
    </w:p>
    <w:p w14:paraId="0C0B6EBD">
      <w:pPr>
        <w:spacing w:line="360" w:lineRule="auto"/>
        <w:ind w:firstLine="420"/>
        <w:rPr>
          <w:u w:val="single"/>
        </w:rPr>
      </w:pPr>
    </w:p>
    <w:p w14:paraId="0BFC1870">
      <w:pPr>
        <w:spacing w:line="360" w:lineRule="auto"/>
        <w:ind w:firstLine="420"/>
        <w:rPr>
          <w:u w:val="single"/>
        </w:rPr>
      </w:pPr>
      <w:r>
        <w:rPr>
          <w:rFonts w:hint="eastAsia" w:cs="宋体"/>
          <w:kern w:val="0"/>
          <w:szCs w:val="21"/>
        </w:rPr>
        <w:t>成员一名称：</w:t>
      </w:r>
      <w:r>
        <w:rPr>
          <w:rFonts w:hint="eastAsia"/>
        </w:rPr>
        <w:t>（盖单位公章）：</w:t>
      </w:r>
      <w:r>
        <w:rPr>
          <w:u w:val="single"/>
        </w:rPr>
        <w:t xml:space="preserve">                                    </w:t>
      </w:r>
    </w:p>
    <w:p w14:paraId="47E7AA5C">
      <w:pPr>
        <w:spacing w:line="360" w:lineRule="auto"/>
        <w:ind w:firstLine="420"/>
        <w:rPr>
          <w:u w:val="single"/>
        </w:rPr>
      </w:pPr>
      <w:r>
        <w:rPr>
          <w:rFonts w:hint="eastAsia"/>
        </w:rPr>
        <w:t>法定代表人（签字）：</w:t>
      </w:r>
      <w:r>
        <w:rPr>
          <w:u w:val="single"/>
        </w:rPr>
        <w:t xml:space="preserve">                                </w:t>
      </w:r>
    </w:p>
    <w:p w14:paraId="5D1F84F3">
      <w:pPr>
        <w:spacing w:line="360" w:lineRule="auto"/>
        <w:ind w:firstLine="420"/>
        <w:rPr>
          <w:u w:val="single"/>
        </w:rPr>
      </w:pPr>
    </w:p>
    <w:p w14:paraId="31E9E442">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成员二名称：</w:t>
      </w:r>
      <w:r>
        <w:rPr>
          <w:rFonts w:hint="eastAsia" w:ascii="宋体" w:cs="宋体"/>
          <w:kern w:val="0"/>
          <w:szCs w:val="21"/>
          <w:u w:val="single"/>
        </w:rPr>
        <w:t xml:space="preserve">                                       </w:t>
      </w:r>
      <w:r>
        <w:rPr>
          <w:rFonts w:hint="eastAsia" w:ascii="宋体" w:cs="宋体"/>
          <w:kern w:val="0"/>
          <w:szCs w:val="21"/>
        </w:rPr>
        <w:t>（盖单位公章）</w:t>
      </w:r>
    </w:p>
    <w:p w14:paraId="2BC4480E">
      <w:pPr>
        <w:autoSpaceDE w:val="0"/>
        <w:autoSpaceDN w:val="0"/>
        <w:adjustRightInd w:val="0"/>
        <w:spacing w:line="360" w:lineRule="auto"/>
        <w:ind w:firstLine="420" w:firstLineChars="200"/>
        <w:jc w:val="left"/>
        <w:rPr>
          <w:rFonts w:ascii="宋体" w:cs="宋体"/>
          <w:kern w:val="0"/>
          <w:szCs w:val="21"/>
        </w:rPr>
      </w:pPr>
      <w:r>
        <w:rPr>
          <w:rFonts w:hint="eastAsia" w:ascii="宋体" w:cs="宋体"/>
          <w:kern w:val="0"/>
          <w:szCs w:val="21"/>
        </w:rPr>
        <w:t>法定代表人或其委托代理人：</w:t>
      </w:r>
      <w:r>
        <w:rPr>
          <w:rFonts w:hint="eastAsia" w:ascii="宋体" w:cs="宋体"/>
          <w:kern w:val="0"/>
          <w:szCs w:val="21"/>
          <w:u w:val="single"/>
        </w:rPr>
        <w:t xml:space="preserve">                         </w:t>
      </w:r>
      <w:r>
        <w:rPr>
          <w:rFonts w:hint="eastAsia" w:ascii="宋体" w:cs="宋体"/>
          <w:kern w:val="0"/>
          <w:szCs w:val="21"/>
        </w:rPr>
        <w:t>（签字）</w:t>
      </w:r>
    </w:p>
    <w:p w14:paraId="34E02D3D">
      <w:pPr>
        <w:ind w:firstLine="420" w:firstLineChars="200"/>
      </w:pPr>
      <w:r>
        <w:rPr>
          <w:rFonts w:hint="eastAsia"/>
        </w:rPr>
        <w:t>......</w:t>
      </w:r>
    </w:p>
    <w:p w14:paraId="0E8F9340">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注：</w:t>
      </w:r>
    </w:p>
    <w:p w14:paraId="0A7EF960">
      <w:pPr>
        <w:spacing w:line="360" w:lineRule="auto"/>
        <w:rPr>
          <w:rFonts w:ascii="仿宋_GB2312" w:hAnsi="仿宋_GB2312" w:eastAsia="仿宋_GB2312" w:cs="仿宋_GB2312"/>
          <w:szCs w:val="21"/>
        </w:rPr>
      </w:pPr>
      <w:r>
        <w:rPr>
          <w:rFonts w:hint="eastAsia" w:ascii="仿宋_GB2312" w:hAnsi="仿宋_GB2312" w:eastAsia="仿宋_GB2312" w:cs="仿宋_GB2312"/>
          <w:szCs w:val="21"/>
        </w:rPr>
        <w:t>1.法定代表人和委托代理人在授权委托书上签名；</w:t>
      </w:r>
    </w:p>
    <w:p w14:paraId="67B9602D">
      <w:pPr>
        <w:spacing w:line="360" w:lineRule="auto"/>
        <w:jc w:val="left"/>
        <w:rPr>
          <w:rFonts w:ascii="仿宋_GB2312" w:hAnsi="仿宋_GB2312" w:eastAsia="仿宋_GB2312" w:cs="仿宋_GB2312"/>
          <w:szCs w:val="21"/>
        </w:rPr>
      </w:pPr>
      <w:r>
        <w:rPr>
          <w:rFonts w:hint="eastAsia" w:ascii="仿宋_GB2312" w:hAnsi="仿宋_GB2312" w:eastAsia="仿宋_GB2312" w:cs="仿宋_GB2312"/>
          <w:szCs w:val="21"/>
        </w:rPr>
        <w:t>2.以联合体形式投标的，本授权委托书应由联合体牵头人的法定代表人按上述规定签署。</w:t>
      </w:r>
    </w:p>
    <w:p w14:paraId="4FB5FC89">
      <w:pPr>
        <w:snapToGrid w:val="0"/>
        <w:spacing w:before="50" w:after="120" w:afterLines="50" w:line="360" w:lineRule="auto"/>
        <w:jc w:val="left"/>
        <w:rPr>
          <w:rFonts w:ascii="仿宋_GB2312" w:hAnsi="仿宋_GB2312" w:eastAsia="仿宋_GB2312" w:cs="仿宋_GB2312"/>
          <w:szCs w:val="21"/>
        </w:rPr>
      </w:pPr>
      <w:r>
        <w:rPr>
          <w:rFonts w:hint="eastAsia" w:ascii="仿宋_GB2312" w:hAnsi="仿宋_GB2312" w:eastAsia="仿宋_GB2312" w:cs="仿宋_GB2312"/>
          <w:szCs w:val="21"/>
        </w:rPr>
        <w:t>3</w:t>
      </w:r>
      <w:r>
        <w:rPr>
          <w:rFonts w:ascii="仿宋_GB2312" w:hAnsi="仿宋_GB2312" w:eastAsia="仿宋_GB2312" w:cs="仿宋_GB2312"/>
          <w:szCs w:val="21"/>
        </w:rPr>
        <w:t>.</w:t>
      </w:r>
      <w:r>
        <w:rPr>
          <w:rFonts w:hint="eastAsia" w:ascii="仿宋_GB2312" w:hAnsi="仿宋_GB2312" w:eastAsia="仿宋_GB2312" w:cs="仿宋_GB2312"/>
          <w:szCs w:val="21"/>
        </w:rPr>
        <w:t xml:space="preserve"> 投标人为其他组织或者自然人时，本招标文件规定的法定代表人指负责人或者自然人。本招标文件所称负责人是指参加投标的其他组织营业执照上的负责人，本招标文件所称自然人指参与投标的自然人本人。</w:t>
      </w:r>
    </w:p>
    <w:p w14:paraId="545EFD1B">
      <w:pPr>
        <w:snapToGrid w:val="0"/>
        <w:spacing w:before="50" w:after="120" w:afterLines="50" w:line="360" w:lineRule="auto"/>
        <w:jc w:val="left"/>
        <w:rPr>
          <w:rFonts w:ascii="仿宋_GB2312" w:hAnsi="仿宋_GB2312" w:eastAsia="仿宋_GB2312" w:cs="仿宋_GB2312"/>
          <w:szCs w:val="21"/>
        </w:rPr>
      </w:pPr>
      <w:r>
        <w:rPr>
          <w:rFonts w:hint="eastAsia" w:ascii="仿宋_GB2312" w:hAnsi="仿宋_GB2312" w:eastAsia="仿宋_GB2312" w:cs="仿宋_GB2312"/>
          <w:szCs w:val="21"/>
        </w:rPr>
        <w:t>4. 若为联合体投标须各方签字或盖章。</w:t>
      </w:r>
    </w:p>
    <w:p w14:paraId="6C975640">
      <w:pPr>
        <w:spacing w:line="360" w:lineRule="auto"/>
        <w:rPr>
          <w:rFonts w:ascii="宋体"/>
          <w:b/>
          <w:sz w:val="24"/>
        </w:rPr>
      </w:pPr>
    </w:p>
    <w:p w14:paraId="686FBC9B">
      <w:pPr>
        <w:spacing w:line="360" w:lineRule="auto"/>
        <w:rPr>
          <w:b/>
          <w:sz w:val="24"/>
        </w:rPr>
      </w:pPr>
      <w:r>
        <w:rPr>
          <w:rFonts w:hint="eastAsia" w:ascii="宋体"/>
          <w:b/>
          <w:sz w:val="24"/>
        </w:rPr>
        <w:t>附件：</w:t>
      </w:r>
    </w:p>
    <w:tbl>
      <w:tblPr>
        <w:tblStyle w:val="35"/>
        <w:tblpPr w:leftFromText="180" w:rightFromText="180" w:vertAnchor="text" w:horzAnchor="margin" w:tblpY="263"/>
        <w:tblW w:w="798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985"/>
      </w:tblGrid>
      <w:tr w14:paraId="4430D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540" w:hRule="atLeast"/>
        </w:trPr>
        <w:tc>
          <w:tcPr>
            <w:tcW w:w="7985" w:type="dxa"/>
          </w:tcPr>
          <w:p w14:paraId="66B1BBB5">
            <w:pPr>
              <w:spacing w:line="360" w:lineRule="auto"/>
              <w:rPr>
                <w:rFonts w:ascii="宋体"/>
                <w:b/>
                <w:sz w:val="24"/>
              </w:rPr>
            </w:pPr>
          </w:p>
          <w:p w14:paraId="7F1261C6">
            <w:pPr>
              <w:spacing w:line="360" w:lineRule="auto"/>
              <w:rPr>
                <w:rFonts w:ascii="宋体"/>
                <w:b/>
                <w:sz w:val="24"/>
              </w:rPr>
            </w:pPr>
            <w:r>
              <w:rPr>
                <w:rFonts w:hint="eastAsia" w:ascii="宋体"/>
                <w:b/>
                <w:sz w:val="24"/>
              </w:rPr>
              <w:t>全权代表身份证复印件粘帖处（正、反面）</w:t>
            </w:r>
          </w:p>
        </w:tc>
      </w:tr>
    </w:tbl>
    <w:p w14:paraId="3FD5CB6E">
      <w:pPr>
        <w:snapToGrid w:val="0"/>
        <w:spacing w:before="50" w:after="120" w:afterLines="50" w:line="360" w:lineRule="auto"/>
        <w:jc w:val="left"/>
        <w:rPr>
          <w:rFonts w:ascii="仿宋_GB2312" w:hAnsi="仿宋_GB2312" w:eastAsia="仿宋_GB2312" w:cs="仿宋_GB2312"/>
          <w:szCs w:val="21"/>
        </w:rPr>
      </w:pPr>
    </w:p>
    <w:p w14:paraId="17EEDBF4">
      <w:pPr>
        <w:snapToGrid w:val="0"/>
        <w:spacing w:before="120" w:beforeLines="50" w:after="50"/>
        <w:ind w:firstLine="566" w:firstLineChars="236"/>
        <w:jc w:val="center"/>
        <w:rPr>
          <w:rFonts w:ascii="宋体" w:hAnsi="宋体"/>
        </w:rPr>
      </w:pPr>
      <w:r>
        <w:rPr>
          <w:rFonts w:ascii="宋体" w:hAnsi="宋体"/>
          <w:sz w:val="24"/>
        </w:rPr>
        <w:t xml:space="preserve"> </w:t>
      </w:r>
      <w:r>
        <w:rPr>
          <w:rFonts w:ascii="宋体" w:hAnsi="宋体"/>
          <w:sz w:val="24"/>
        </w:rPr>
        <w:br w:type="page"/>
      </w:r>
    </w:p>
    <w:p w14:paraId="6BBE0F67">
      <w:pPr>
        <w:jc w:val="center"/>
        <w:rPr>
          <w:b/>
          <w:bCs/>
          <w:sz w:val="30"/>
          <w:szCs w:val="30"/>
        </w:rPr>
      </w:pPr>
      <w:r>
        <w:rPr>
          <w:rFonts w:hint="eastAsia"/>
          <w:b/>
          <w:bCs/>
          <w:sz w:val="30"/>
          <w:szCs w:val="30"/>
        </w:rPr>
        <w:t>四、商务条款偏离表</w:t>
      </w:r>
    </w:p>
    <w:p w14:paraId="7D5E34B1">
      <w:pPr>
        <w:jc w:val="center"/>
        <w:rPr>
          <w:rFonts w:ascii="宋体" w:hAnsi="宋体"/>
          <w:b/>
          <w:sz w:val="24"/>
          <w:szCs w:val="20"/>
        </w:rPr>
      </w:pPr>
      <w:r>
        <w:rPr>
          <w:rFonts w:hint="eastAsia" w:ascii="宋体" w:hAnsi="宋体"/>
          <w:sz w:val="30"/>
          <w:szCs w:val="20"/>
        </w:rPr>
        <w:t>(注：按项目需求表具体项目修改)</w:t>
      </w:r>
    </w:p>
    <w:p w14:paraId="577BA64F">
      <w:pPr>
        <w:snapToGrid w:val="0"/>
        <w:spacing w:before="50"/>
        <w:jc w:val="left"/>
        <w:rPr>
          <w:rFonts w:ascii="宋体" w:hAnsi="宋体"/>
          <w:sz w:val="24"/>
        </w:rPr>
      </w:pPr>
    </w:p>
    <w:p w14:paraId="74EA1B12">
      <w:pPr>
        <w:spacing w:line="360" w:lineRule="auto"/>
        <w:ind w:left="-424" w:leftChars="-202" w:firstLine="846"/>
        <w:rPr>
          <w:rFonts w:hAnsi="宋体"/>
          <w:sz w:val="24"/>
        </w:rPr>
      </w:pPr>
      <w:r>
        <w:rPr>
          <w:rFonts w:hint="eastAsia"/>
        </w:rPr>
        <w:t>请逐条对应本项目招标文件第二章“服务需求一览表”中“商务条款”的要求，详细填写相应的具体内容。“偏离说明”一栏应当选择“正偏离”、“负偏离”或“无偏离”进行填写。</w:t>
      </w:r>
    </w:p>
    <w:tbl>
      <w:tblPr>
        <w:tblStyle w:val="35"/>
        <w:tblpPr w:leftFromText="180" w:rightFromText="180" w:vertAnchor="text" w:horzAnchor="margin" w:tblpXSpec="center" w:tblpY="94"/>
        <w:tblW w:w="948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1"/>
        <w:gridCol w:w="3926"/>
        <w:gridCol w:w="3589"/>
        <w:gridCol w:w="1274"/>
      </w:tblGrid>
      <w:tr w14:paraId="08BB88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691" w:type="dxa"/>
            <w:tcBorders>
              <w:top w:val="single" w:color="auto" w:sz="4" w:space="0"/>
              <w:left w:val="single" w:color="auto" w:sz="4" w:space="0"/>
              <w:bottom w:val="single" w:color="auto" w:sz="4" w:space="0"/>
              <w:right w:val="single" w:color="auto" w:sz="4" w:space="0"/>
            </w:tcBorders>
            <w:vAlign w:val="center"/>
          </w:tcPr>
          <w:p w14:paraId="396FECAA">
            <w:pPr>
              <w:spacing w:line="340" w:lineRule="exact"/>
              <w:jc w:val="center"/>
              <w:rPr>
                <w:rFonts w:ascii="宋体" w:hAnsi="宋体"/>
                <w:szCs w:val="21"/>
              </w:rPr>
            </w:pPr>
            <w:r>
              <w:rPr>
                <w:rFonts w:hint="eastAsia" w:ascii="宋体" w:hAnsi="宋体"/>
                <w:szCs w:val="21"/>
              </w:rPr>
              <w:t>项号</w:t>
            </w:r>
          </w:p>
        </w:tc>
        <w:tc>
          <w:tcPr>
            <w:tcW w:w="3926" w:type="dxa"/>
            <w:tcBorders>
              <w:top w:val="single" w:color="auto" w:sz="4" w:space="0"/>
              <w:left w:val="single" w:color="auto" w:sz="4" w:space="0"/>
              <w:bottom w:val="single" w:color="auto" w:sz="4" w:space="0"/>
              <w:right w:val="single" w:color="auto" w:sz="4" w:space="0"/>
            </w:tcBorders>
            <w:vAlign w:val="center"/>
          </w:tcPr>
          <w:p w14:paraId="5E11161C">
            <w:pPr>
              <w:spacing w:line="340" w:lineRule="exact"/>
              <w:jc w:val="center"/>
              <w:rPr>
                <w:rFonts w:ascii="宋体" w:hAnsi="宋体"/>
                <w:szCs w:val="21"/>
              </w:rPr>
            </w:pPr>
            <w:r>
              <w:rPr>
                <w:rFonts w:hint="eastAsia" w:ascii="宋体" w:hAnsi="宋体"/>
                <w:szCs w:val="21"/>
              </w:rPr>
              <w:t>招标文件的商务需求</w:t>
            </w:r>
          </w:p>
        </w:tc>
        <w:tc>
          <w:tcPr>
            <w:tcW w:w="3589" w:type="dxa"/>
            <w:tcBorders>
              <w:top w:val="single" w:color="auto" w:sz="4" w:space="0"/>
              <w:left w:val="single" w:color="auto" w:sz="4" w:space="0"/>
              <w:bottom w:val="single" w:color="auto" w:sz="4" w:space="0"/>
              <w:right w:val="single" w:color="auto" w:sz="4" w:space="0"/>
            </w:tcBorders>
            <w:vAlign w:val="center"/>
          </w:tcPr>
          <w:p w14:paraId="1A0C80A6">
            <w:pPr>
              <w:spacing w:line="340" w:lineRule="exact"/>
              <w:jc w:val="center"/>
              <w:rPr>
                <w:rFonts w:ascii="宋体" w:hAnsi="宋体"/>
                <w:szCs w:val="21"/>
              </w:rPr>
            </w:pPr>
            <w:r>
              <w:rPr>
                <w:rFonts w:hint="eastAsia" w:ascii="宋体" w:hAnsi="宋体"/>
                <w:szCs w:val="21"/>
              </w:rPr>
              <w:t>投标文件承诺的商务条款</w:t>
            </w:r>
          </w:p>
        </w:tc>
        <w:tc>
          <w:tcPr>
            <w:tcW w:w="1274" w:type="dxa"/>
            <w:tcBorders>
              <w:top w:val="single" w:color="auto" w:sz="4" w:space="0"/>
              <w:left w:val="single" w:color="auto" w:sz="4" w:space="0"/>
              <w:bottom w:val="single" w:color="auto" w:sz="4" w:space="0"/>
              <w:right w:val="single" w:color="auto" w:sz="4" w:space="0"/>
            </w:tcBorders>
            <w:vAlign w:val="center"/>
          </w:tcPr>
          <w:p w14:paraId="3FADAF0E">
            <w:pPr>
              <w:spacing w:line="340" w:lineRule="exact"/>
              <w:jc w:val="center"/>
              <w:rPr>
                <w:rFonts w:ascii="宋体" w:hAnsi="宋体"/>
                <w:szCs w:val="21"/>
              </w:rPr>
            </w:pPr>
            <w:r>
              <w:rPr>
                <w:rFonts w:hint="eastAsia" w:ascii="宋体" w:hAnsi="宋体"/>
                <w:szCs w:val="21"/>
              </w:rPr>
              <w:t>偏离说明</w:t>
            </w:r>
          </w:p>
        </w:tc>
      </w:tr>
      <w:tr w14:paraId="42E42D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6D1502E">
            <w:pPr>
              <w:spacing w:line="340" w:lineRule="exact"/>
              <w:rPr>
                <w:rFonts w:ascii="宋体" w:hAnsi="宋体"/>
                <w:szCs w:val="21"/>
              </w:rPr>
            </w:pPr>
            <w:r>
              <w:rPr>
                <w:rFonts w:hint="eastAsia" w:ascii="宋体" w:hAnsi="宋体"/>
                <w:szCs w:val="21"/>
              </w:rPr>
              <w:t>一</w:t>
            </w:r>
          </w:p>
        </w:tc>
        <w:tc>
          <w:tcPr>
            <w:tcW w:w="3926" w:type="dxa"/>
            <w:tcBorders>
              <w:top w:val="single" w:color="auto" w:sz="4" w:space="0"/>
              <w:left w:val="single" w:color="auto" w:sz="4" w:space="0"/>
              <w:bottom w:val="single" w:color="auto" w:sz="4" w:space="0"/>
              <w:right w:val="single" w:color="auto" w:sz="4" w:space="0"/>
            </w:tcBorders>
          </w:tcPr>
          <w:p w14:paraId="53A056F2">
            <w:pPr>
              <w:spacing w:line="340" w:lineRule="exact"/>
              <w:rPr>
                <w:rFonts w:ascii="宋体" w:hAnsi="宋体"/>
                <w:szCs w:val="21"/>
              </w:rPr>
            </w:pPr>
            <w:r>
              <w:rPr>
                <w:rFonts w:hint="eastAsia" w:ascii="宋体" w:hAnsi="宋体"/>
                <w:szCs w:val="21"/>
              </w:rPr>
              <w:t>1  ……</w:t>
            </w:r>
          </w:p>
          <w:p w14:paraId="385B8F9E">
            <w:pPr>
              <w:spacing w:line="340" w:lineRule="exact"/>
              <w:rPr>
                <w:rFonts w:ascii="宋体" w:hAnsi="宋体"/>
                <w:szCs w:val="21"/>
              </w:rPr>
            </w:pPr>
            <w:r>
              <w:rPr>
                <w:rFonts w:hint="eastAsia" w:ascii="宋体" w:hAnsi="宋体"/>
                <w:szCs w:val="21"/>
              </w:rPr>
              <w:t>2  ……</w:t>
            </w:r>
          </w:p>
          <w:p w14:paraId="0DF07ED7">
            <w:pPr>
              <w:spacing w:line="340" w:lineRule="exact"/>
              <w:rPr>
                <w:rFonts w:ascii="宋体" w:hAnsi="宋体"/>
                <w:szCs w:val="21"/>
              </w:rPr>
            </w:pPr>
            <w:r>
              <w:rPr>
                <w:rFonts w:hint="eastAsia" w:ascii="宋体" w:hAnsi="宋体"/>
                <w:szCs w:val="21"/>
              </w:rPr>
              <w:t>3  ……</w:t>
            </w:r>
          </w:p>
          <w:p w14:paraId="58300FC1">
            <w:pPr>
              <w:spacing w:line="340" w:lineRule="exact"/>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31BDBD7D">
            <w:pPr>
              <w:spacing w:line="340" w:lineRule="exact"/>
              <w:rPr>
                <w:rFonts w:ascii="宋体" w:hAnsi="宋体"/>
                <w:szCs w:val="21"/>
              </w:rPr>
            </w:pPr>
            <w:r>
              <w:rPr>
                <w:rFonts w:hint="eastAsia" w:ascii="宋体" w:hAnsi="宋体"/>
                <w:szCs w:val="21"/>
              </w:rPr>
              <w:t>1  ……</w:t>
            </w:r>
          </w:p>
          <w:p w14:paraId="7EBB7CD4">
            <w:pPr>
              <w:spacing w:line="340" w:lineRule="exact"/>
              <w:rPr>
                <w:rFonts w:ascii="宋体" w:hAnsi="宋体"/>
                <w:szCs w:val="21"/>
              </w:rPr>
            </w:pPr>
            <w:r>
              <w:rPr>
                <w:rFonts w:hint="eastAsia" w:ascii="宋体" w:hAnsi="宋体"/>
                <w:szCs w:val="21"/>
              </w:rPr>
              <w:t>2  ……</w:t>
            </w:r>
          </w:p>
          <w:p w14:paraId="7C598803">
            <w:pPr>
              <w:spacing w:line="340" w:lineRule="exact"/>
              <w:rPr>
                <w:rFonts w:ascii="宋体" w:hAnsi="宋体"/>
                <w:szCs w:val="21"/>
              </w:rPr>
            </w:pPr>
            <w:r>
              <w:rPr>
                <w:rFonts w:hint="eastAsia" w:ascii="宋体" w:hAnsi="宋体"/>
                <w:szCs w:val="21"/>
              </w:rPr>
              <w:t>3  ……</w:t>
            </w:r>
          </w:p>
          <w:p w14:paraId="274DE81C">
            <w:pPr>
              <w:spacing w:line="340" w:lineRule="exact"/>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22DC7BDE">
            <w:pPr>
              <w:spacing w:line="300" w:lineRule="exact"/>
              <w:rPr>
                <w:rFonts w:ascii="宋体" w:hAnsi="宋体"/>
                <w:szCs w:val="21"/>
              </w:rPr>
            </w:pPr>
            <w:r>
              <w:rPr>
                <w:rFonts w:hint="eastAsia" w:ascii="宋体" w:hAnsi="宋体"/>
                <w:szCs w:val="21"/>
              </w:rPr>
              <w:t>正偏离（负偏离或无偏离）</w:t>
            </w:r>
          </w:p>
        </w:tc>
      </w:tr>
      <w:tr w14:paraId="7CDBC3A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20" w:hRule="atLeast"/>
        </w:trPr>
        <w:tc>
          <w:tcPr>
            <w:tcW w:w="691" w:type="dxa"/>
            <w:tcBorders>
              <w:top w:val="single" w:color="auto" w:sz="4" w:space="0"/>
              <w:left w:val="single" w:color="auto" w:sz="4" w:space="0"/>
              <w:bottom w:val="single" w:color="auto" w:sz="4" w:space="0"/>
              <w:right w:val="single" w:color="auto" w:sz="4" w:space="0"/>
            </w:tcBorders>
          </w:tcPr>
          <w:p w14:paraId="224A56B2">
            <w:pPr>
              <w:spacing w:line="340" w:lineRule="exact"/>
              <w:rPr>
                <w:rFonts w:ascii="宋体" w:hAnsi="宋体"/>
                <w:szCs w:val="21"/>
              </w:rPr>
            </w:pPr>
            <w:r>
              <w:rPr>
                <w:rFonts w:hint="eastAsia" w:ascii="宋体" w:hAnsi="宋体"/>
                <w:szCs w:val="21"/>
              </w:rPr>
              <w:t>二</w:t>
            </w:r>
          </w:p>
        </w:tc>
        <w:tc>
          <w:tcPr>
            <w:tcW w:w="3926" w:type="dxa"/>
            <w:tcBorders>
              <w:top w:val="single" w:color="auto" w:sz="4" w:space="0"/>
              <w:left w:val="single" w:color="auto" w:sz="4" w:space="0"/>
              <w:bottom w:val="single" w:color="auto" w:sz="4" w:space="0"/>
              <w:right w:val="single" w:color="auto" w:sz="4" w:space="0"/>
            </w:tcBorders>
          </w:tcPr>
          <w:p w14:paraId="1CF4A9D8">
            <w:pPr>
              <w:spacing w:line="340" w:lineRule="exact"/>
              <w:rPr>
                <w:rFonts w:ascii="宋体" w:hAnsi="宋体"/>
                <w:szCs w:val="21"/>
              </w:rPr>
            </w:pPr>
            <w:r>
              <w:rPr>
                <w:rFonts w:hint="eastAsia" w:ascii="宋体" w:hAnsi="宋体"/>
                <w:szCs w:val="21"/>
              </w:rPr>
              <w:t>1  ……</w:t>
            </w:r>
          </w:p>
          <w:p w14:paraId="5D364CA5">
            <w:pPr>
              <w:spacing w:line="340" w:lineRule="exact"/>
              <w:rPr>
                <w:rFonts w:ascii="宋体" w:hAnsi="宋体"/>
                <w:szCs w:val="21"/>
              </w:rPr>
            </w:pPr>
            <w:r>
              <w:rPr>
                <w:rFonts w:hint="eastAsia" w:ascii="宋体" w:hAnsi="宋体"/>
                <w:szCs w:val="21"/>
              </w:rPr>
              <w:t>2  ……</w:t>
            </w:r>
          </w:p>
          <w:p w14:paraId="153AACFE">
            <w:pPr>
              <w:spacing w:line="340" w:lineRule="exact"/>
              <w:rPr>
                <w:rFonts w:ascii="宋体" w:hAnsi="宋体"/>
                <w:szCs w:val="21"/>
              </w:rPr>
            </w:pPr>
            <w:r>
              <w:rPr>
                <w:rFonts w:hint="eastAsia" w:ascii="宋体" w:hAnsi="宋体"/>
                <w:szCs w:val="21"/>
              </w:rPr>
              <w:t>3  ……</w:t>
            </w:r>
          </w:p>
          <w:p w14:paraId="2A926958">
            <w:pPr>
              <w:spacing w:line="340" w:lineRule="exact"/>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1AA34F18">
            <w:pPr>
              <w:spacing w:line="340" w:lineRule="exact"/>
              <w:rPr>
                <w:rFonts w:ascii="宋体" w:hAnsi="宋体"/>
                <w:szCs w:val="21"/>
              </w:rPr>
            </w:pPr>
            <w:r>
              <w:rPr>
                <w:rFonts w:hint="eastAsia" w:ascii="宋体" w:hAnsi="宋体"/>
                <w:szCs w:val="21"/>
              </w:rPr>
              <w:t>1  ……</w:t>
            </w:r>
          </w:p>
          <w:p w14:paraId="0D1F23BD">
            <w:pPr>
              <w:spacing w:line="340" w:lineRule="exact"/>
              <w:rPr>
                <w:rFonts w:ascii="宋体" w:hAnsi="宋体"/>
                <w:szCs w:val="21"/>
              </w:rPr>
            </w:pPr>
            <w:r>
              <w:rPr>
                <w:rFonts w:hint="eastAsia" w:ascii="宋体" w:hAnsi="宋体"/>
                <w:szCs w:val="21"/>
              </w:rPr>
              <w:t>2  ……</w:t>
            </w:r>
          </w:p>
          <w:p w14:paraId="7DBF9B84">
            <w:pPr>
              <w:spacing w:line="340" w:lineRule="exact"/>
              <w:rPr>
                <w:rFonts w:ascii="宋体" w:hAnsi="宋体"/>
                <w:szCs w:val="21"/>
              </w:rPr>
            </w:pPr>
            <w:r>
              <w:rPr>
                <w:rFonts w:hint="eastAsia" w:ascii="宋体" w:hAnsi="宋体"/>
                <w:szCs w:val="21"/>
              </w:rPr>
              <w:t>3  ……</w:t>
            </w:r>
          </w:p>
          <w:p w14:paraId="3651F12C">
            <w:pPr>
              <w:spacing w:line="340" w:lineRule="exact"/>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3FCA89BE">
            <w:pPr>
              <w:spacing w:line="300" w:lineRule="exact"/>
              <w:rPr>
                <w:rFonts w:ascii="宋体" w:hAnsi="宋体"/>
                <w:szCs w:val="21"/>
              </w:rPr>
            </w:pPr>
            <w:r>
              <w:rPr>
                <w:rFonts w:hint="eastAsia" w:ascii="宋体" w:hAnsi="宋体"/>
                <w:szCs w:val="21"/>
              </w:rPr>
              <w:t>正偏离（负偏离或无偏离）</w:t>
            </w:r>
          </w:p>
        </w:tc>
      </w:tr>
      <w:tr w14:paraId="67CB7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59" w:hRule="atLeast"/>
        </w:trPr>
        <w:tc>
          <w:tcPr>
            <w:tcW w:w="691" w:type="dxa"/>
            <w:tcBorders>
              <w:top w:val="single" w:color="auto" w:sz="4" w:space="0"/>
              <w:left w:val="single" w:color="auto" w:sz="4" w:space="0"/>
              <w:bottom w:val="single" w:color="auto" w:sz="4" w:space="0"/>
              <w:right w:val="single" w:color="auto" w:sz="4" w:space="0"/>
            </w:tcBorders>
          </w:tcPr>
          <w:p w14:paraId="54029B3B">
            <w:pPr>
              <w:spacing w:line="340" w:lineRule="exact"/>
              <w:rPr>
                <w:rFonts w:ascii="宋体" w:hAnsi="宋体"/>
                <w:szCs w:val="21"/>
              </w:rPr>
            </w:pPr>
            <w:r>
              <w:rPr>
                <w:rFonts w:hint="eastAsia" w:ascii="宋体" w:hAnsi="宋体"/>
                <w:szCs w:val="21"/>
              </w:rPr>
              <w:t>...</w:t>
            </w:r>
          </w:p>
        </w:tc>
        <w:tc>
          <w:tcPr>
            <w:tcW w:w="3926" w:type="dxa"/>
            <w:tcBorders>
              <w:top w:val="single" w:color="auto" w:sz="4" w:space="0"/>
              <w:left w:val="single" w:color="auto" w:sz="4" w:space="0"/>
              <w:bottom w:val="single" w:color="auto" w:sz="4" w:space="0"/>
              <w:right w:val="single" w:color="auto" w:sz="4" w:space="0"/>
            </w:tcBorders>
          </w:tcPr>
          <w:p w14:paraId="16F11EA2">
            <w:pPr>
              <w:spacing w:line="340" w:lineRule="exact"/>
              <w:rPr>
                <w:rFonts w:ascii="宋体" w:hAnsi="宋体"/>
                <w:szCs w:val="21"/>
              </w:rPr>
            </w:pPr>
            <w:r>
              <w:rPr>
                <w:rFonts w:hint="eastAsia" w:ascii="宋体" w:hAnsi="宋体"/>
                <w:szCs w:val="21"/>
              </w:rPr>
              <w:t>1  ……</w:t>
            </w:r>
          </w:p>
          <w:p w14:paraId="05E3B900">
            <w:pPr>
              <w:spacing w:line="340" w:lineRule="exact"/>
              <w:rPr>
                <w:rFonts w:ascii="宋体" w:hAnsi="宋体"/>
                <w:szCs w:val="21"/>
              </w:rPr>
            </w:pPr>
            <w:r>
              <w:rPr>
                <w:rFonts w:hint="eastAsia" w:ascii="宋体" w:hAnsi="宋体"/>
                <w:szCs w:val="21"/>
              </w:rPr>
              <w:t>2  ……</w:t>
            </w:r>
          </w:p>
          <w:p w14:paraId="347189C0">
            <w:pPr>
              <w:spacing w:line="340" w:lineRule="exact"/>
              <w:rPr>
                <w:rFonts w:ascii="宋体" w:hAnsi="宋体"/>
                <w:szCs w:val="21"/>
              </w:rPr>
            </w:pPr>
            <w:r>
              <w:rPr>
                <w:rFonts w:hint="eastAsia" w:ascii="宋体" w:hAnsi="宋体"/>
                <w:szCs w:val="21"/>
              </w:rPr>
              <w:t>3  ……</w:t>
            </w:r>
          </w:p>
          <w:p w14:paraId="47D8013F">
            <w:pPr>
              <w:spacing w:line="340" w:lineRule="exact"/>
              <w:rPr>
                <w:rFonts w:ascii="宋体" w:hAnsi="宋体"/>
                <w:szCs w:val="21"/>
              </w:rPr>
            </w:pPr>
            <w:r>
              <w:rPr>
                <w:rFonts w:hint="eastAsia" w:ascii="宋体" w:hAnsi="宋体"/>
                <w:szCs w:val="21"/>
              </w:rPr>
              <w:t>……</w:t>
            </w:r>
          </w:p>
        </w:tc>
        <w:tc>
          <w:tcPr>
            <w:tcW w:w="3589" w:type="dxa"/>
            <w:tcBorders>
              <w:top w:val="single" w:color="auto" w:sz="4" w:space="0"/>
              <w:left w:val="single" w:color="auto" w:sz="4" w:space="0"/>
              <w:bottom w:val="single" w:color="auto" w:sz="4" w:space="0"/>
              <w:right w:val="single" w:color="auto" w:sz="4" w:space="0"/>
            </w:tcBorders>
          </w:tcPr>
          <w:p w14:paraId="45BFC278">
            <w:pPr>
              <w:spacing w:line="340" w:lineRule="exact"/>
              <w:rPr>
                <w:rFonts w:ascii="宋体" w:hAnsi="宋体"/>
                <w:szCs w:val="21"/>
              </w:rPr>
            </w:pPr>
            <w:r>
              <w:rPr>
                <w:rFonts w:hint="eastAsia" w:ascii="宋体" w:hAnsi="宋体"/>
                <w:szCs w:val="21"/>
              </w:rPr>
              <w:t>1  ……</w:t>
            </w:r>
          </w:p>
          <w:p w14:paraId="184AF12D">
            <w:pPr>
              <w:spacing w:line="340" w:lineRule="exact"/>
              <w:rPr>
                <w:rFonts w:ascii="宋体" w:hAnsi="宋体"/>
                <w:szCs w:val="21"/>
              </w:rPr>
            </w:pPr>
            <w:r>
              <w:rPr>
                <w:rFonts w:hint="eastAsia" w:ascii="宋体" w:hAnsi="宋体"/>
                <w:szCs w:val="21"/>
              </w:rPr>
              <w:t>2  ……</w:t>
            </w:r>
          </w:p>
          <w:p w14:paraId="0F959C13">
            <w:pPr>
              <w:spacing w:line="340" w:lineRule="exact"/>
              <w:rPr>
                <w:rFonts w:ascii="宋体" w:hAnsi="宋体"/>
                <w:szCs w:val="21"/>
              </w:rPr>
            </w:pPr>
            <w:r>
              <w:rPr>
                <w:rFonts w:hint="eastAsia" w:ascii="宋体" w:hAnsi="宋体"/>
                <w:szCs w:val="21"/>
              </w:rPr>
              <w:t>3  ……</w:t>
            </w:r>
          </w:p>
          <w:p w14:paraId="2620BD75">
            <w:pPr>
              <w:spacing w:line="340" w:lineRule="exact"/>
              <w:rPr>
                <w:rFonts w:ascii="宋体" w:hAnsi="宋体"/>
                <w:szCs w:val="21"/>
              </w:rPr>
            </w:pPr>
            <w:r>
              <w:rPr>
                <w:rFonts w:hint="eastAsia" w:ascii="宋体" w:hAnsi="宋体"/>
                <w:szCs w:val="21"/>
              </w:rPr>
              <w:t>……</w:t>
            </w:r>
          </w:p>
        </w:tc>
        <w:tc>
          <w:tcPr>
            <w:tcW w:w="1274" w:type="dxa"/>
            <w:tcBorders>
              <w:top w:val="single" w:color="auto" w:sz="4" w:space="0"/>
              <w:left w:val="single" w:color="auto" w:sz="4" w:space="0"/>
              <w:bottom w:val="single" w:color="auto" w:sz="4" w:space="0"/>
              <w:right w:val="single" w:color="auto" w:sz="4" w:space="0"/>
            </w:tcBorders>
          </w:tcPr>
          <w:p w14:paraId="79A50EC2">
            <w:pPr>
              <w:spacing w:line="300" w:lineRule="exact"/>
              <w:rPr>
                <w:rFonts w:ascii="宋体" w:hAnsi="宋体"/>
                <w:szCs w:val="21"/>
              </w:rPr>
            </w:pPr>
            <w:r>
              <w:rPr>
                <w:rFonts w:hint="eastAsia" w:ascii="宋体" w:hAnsi="宋体"/>
                <w:szCs w:val="21"/>
              </w:rPr>
              <w:t>正偏离（负偏离或无偏离）</w:t>
            </w:r>
          </w:p>
        </w:tc>
      </w:tr>
      <w:tr w14:paraId="487143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7" w:hRule="atLeast"/>
        </w:trPr>
        <w:tc>
          <w:tcPr>
            <w:tcW w:w="9480" w:type="dxa"/>
            <w:gridSpan w:val="4"/>
            <w:tcBorders>
              <w:top w:val="single" w:color="auto" w:sz="4" w:space="0"/>
              <w:left w:val="single" w:color="auto" w:sz="4" w:space="0"/>
              <w:bottom w:val="single" w:color="auto" w:sz="4" w:space="0"/>
              <w:right w:val="single" w:color="auto" w:sz="4" w:space="0"/>
            </w:tcBorders>
          </w:tcPr>
          <w:p w14:paraId="088034DC">
            <w:pPr>
              <w:spacing w:line="340" w:lineRule="exact"/>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分标（此处有分标时填写具体分标号，无分标时填写“无”）</w:t>
            </w:r>
          </w:p>
        </w:tc>
      </w:tr>
    </w:tbl>
    <w:p w14:paraId="0DB1506F">
      <w:pPr>
        <w:spacing w:line="360" w:lineRule="auto"/>
        <w:ind w:left="-708" w:leftChars="-337"/>
      </w:pPr>
    </w:p>
    <w:p w14:paraId="05BB2009">
      <w:pPr>
        <w:spacing w:line="360" w:lineRule="auto"/>
        <w:ind w:left="-708" w:leftChars="-337"/>
        <w:rPr>
          <w:szCs w:val="20"/>
        </w:rPr>
      </w:pPr>
      <w:r>
        <w:rPr>
          <w:rFonts w:hint="eastAsia"/>
          <w:szCs w:val="20"/>
        </w:rPr>
        <w:t>注：</w:t>
      </w:r>
    </w:p>
    <w:p w14:paraId="2CCAFD2F">
      <w:pPr>
        <w:spacing w:line="360" w:lineRule="auto"/>
        <w:ind w:left="-708" w:leftChars="-337" w:firstLine="420" w:firstLineChars="200"/>
        <w:rPr>
          <w:szCs w:val="20"/>
        </w:rPr>
      </w:pPr>
      <w:r>
        <w:rPr>
          <w:szCs w:val="20"/>
        </w:rPr>
        <w:t>1.</w:t>
      </w:r>
      <w:r>
        <w:rPr>
          <w:rFonts w:hint="eastAsia"/>
          <w:szCs w:val="20"/>
        </w:rPr>
        <w:t>表格内容均需按要求填写并盖章。</w:t>
      </w:r>
    </w:p>
    <w:p w14:paraId="39AB4804">
      <w:pPr>
        <w:spacing w:line="360" w:lineRule="auto"/>
        <w:ind w:left="-603" w:leftChars="-287" w:firstLine="315" w:firstLineChars="150"/>
        <w:rPr>
          <w:szCs w:val="20"/>
        </w:rPr>
      </w:pPr>
      <w:r>
        <w:rPr>
          <w:szCs w:val="20"/>
        </w:rPr>
        <w:t>2.</w:t>
      </w:r>
      <w:r>
        <w:rPr>
          <w:rFonts w:hint="eastAsia"/>
          <w:szCs w:val="20"/>
        </w:rPr>
        <w:t>如果招标文件需求为小于或大于某个数值标准时，投标文件承诺不得直接复制招标文件需求，投标文件承诺内容应当写明投标货物具体参数或商务响应承诺的具体数值。如该采购需求属于不能明确具体数值的，采购人应在此采购需求的数值后标注◆号，对标注◆号的采购需求不适用上述“投标无效”条款。</w:t>
      </w:r>
    </w:p>
    <w:p w14:paraId="6CB52C82">
      <w:pPr>
        <w:spacing w:line="360" w:lineRule="auto"/>
        <w:ind w:left="-708" w:leftChars="-337" w:firstLine="420" w:firstLineChars="200"/>
        <w:rPr>
          <w:szCs w:val="20"/>
        </w:rPr>
      </w:pPr>
      <w:r>
        <w:rPr>
          <w:szCs w:val="20"/>
        </w:rPr>
        <w:t>3.</w:t>
      </w:r>
      <w:r>
        <w:rPr>
          <w:rFonts w:hint="eastAsia"/>
          <w:szCs w:val="20"/>
        </w:rPr>
        <w:t>当投标文件的商务内容低于招标文件要求时，投标人应当如实写明“负偏离”，否则视为虚假应标。</w:t>
      </w:r>
    </w:p>
    <w:p w14:paraId="4F838606">
      <w:pPr>
        <w:spacing w:line="360" w:lineRule="auto"/>
        <w:ind w:left="-708" w:leftChars="-337" w:firstLine="420" w:firstLineChars="200"/>
        <w:rPr>
          <w:szCs w:val="20"/>
        </w:rPr>
      </w:pPr>
      <w:r>
        <w:rPr>
          <w:rFonts w:hint="eastAsia" w:ascii="宋体" w:hAnsi="宋体" w:cs="宋体"/>
          <w:szCs w:val="21"/>
        </w:rPr>
        <w:t>4.采购需求中带“▲”及“</w:t>
      </w:r>
      <w:r>
        <w:rPr>
          <w:rFonts w:hint="eastAsia"/>
          <w:szCs w:val="20"/>
        </w:rPr>
        <w:t>◆</w:t>
      </w:r>
      <w:r>
        <w:rPr>
          <w:rFonts w:hint="eastAsia" w:ascii="宋体" w:hAnsi="宋体" w:cs="宋体"/>
          <w:szCs w:val="21"/>
        </w:rPr>
        <w:t>”的条款，也要分别在本表“</w:t>
      </w:r>
      <w:r>
        <w:rPr>
          <w:rFonts w:hint="eastAsia" w:ascii="宋体" w:hAnsi="宋体"/>
          <w:szCs w:val="21"/>
        </w:rPr>
        <w:t>投标文件的商务需求</w:t>
      </w:r>
      <w:r>
        <w:rPr>
          <w:rFonts w:hint="eastAsia" w:ascii="宋体" w:hAnsi="宋体" w:cs="宋体"/>
          <w:szCs w:val="21"/>
        </w:rPr>
        <w:t>”、“</w:t>
      </w:r>
      <w:r>
        <w:rPr>
          <w:rFonts w:hint="eastAsia" w:ascii="宋体" w:hAnsi="宋体"/>
          <w:szCs w:val="21"/>
        </w:rPr>
        <w:t>投标文件承诺的商务条款</w:t>
      </w:r>
      <w:r>
        <w:rPr>
          <w:rFonts w:hint="eastAsia" w:ascii="宋体" w:hAnsi="宋体" w:cs="宋体"/>
          <w:szCs w:val="21"/>
        </w:rPr>
        <w:t>”中标记。</w:t>
      </w:r>
    </w:p>
    <w:p w14:paraId="511D6F0B">
      <w:pPr>
        <w:snapToGrid w:val="0"/>
        <w:spacing w:before="50" w:after="50"/>
        <w:rPr>
          <w:rFonts w:ascii="宋体" w:hAnsi="宋体"/>
          <w:sz w:val="24"/>
        </w:rPr>
      </w:pPr>
    </w:p>
    <w:p w14:paraId="4E8ED369">
      <w:pPr>
        <w:snapToGrid w:val="0"/>
        <w:spacing w:line="360" w:lineRule="auto"/>
        <w:ind w:firstLine="4935" w:firstLineChars="2350"/>
        <w:rPr>
          <w:rFonts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73612BE4">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3CF9AA7">
      <w:pPr>
        <w:snapToGrid w:val="0"/>
        <w:spacing w:before="120" w:beforeLines="50" w:after="50"/>
        <w:ind w:firstLine="3150" w:firstLineChars="1500"/>
        <w:jc w:val="left"/>
        <w:rPr>
          <w:rFonts w:ascii="宋体" w:hAnsi="宋体"/>
          <w:szCs w:val="21"/>
        </w:rPr>
        <w:sectPr>
          <w:footerReference r:id="rId13" w:type="first"/>
          <w:headerReference r:id="rId10" w:type="default"/>
          <w:footerReference r:id="rId11" w:type="default"/>
          <w:footerReference r:id="rId12" w:type="even"/>
          <w:pgSz w:w="11906" w:h="16838"/>
          <w:pgMar w:top="1440" w:right="1797" w:bottom="1440" w:left="1797" w:header="851" w:footer="992" w:gutter="0"/>
          <w:cols w:space="720" w:num="1"/>
          <w:docGrid w:linePitch="312" w:charSpace="0"/>
        </w:sectPr>
      </w:pPr>
    </w:p>
    <w:p w14:paraId="6AE4A082">
      <w:pPr>
        <w:snapToGrid w:val="0"/>
        <w:spacing w:before="165" w:beforeLines="50" w:after="50"/>
        <w:ind w:firstLine="602" w:firstLineChars="200"/>
        <w:jc w:val="center"/>
        <w:rPr>
          <w:b/>
          <w:bCs/>
          <w:sz w:val="30"/>
          <w:szCs w:val="30"/>
        </w:rPr>
      </w:pPr>
      <w:r>
        <w:rPr>
          <w:rFonts w:hint="eastAsia"/>
          <w:b/>
          <w:bCs/>
          <w:sz w:val="30"/>
          <w:szCs w:val="30"/>
        </w:rPr>
        <w:t>五、投标人情况介绍</w:t>
      </w:r>
    </w:p>
    <w:p w14:paraId="5D880A25">
      <w:pPr>
        <w:spacing w:line="360" w:lineRule="auto"/>
        <w:ind w:firstLine="4048" w:firstLineChars="1687"/>
        <w:rPr>
          <w:rFonts w:ascii="仿宋_GB2312" w:hAnsi="仿宋" w:eastAsia="仿宋_GB2312" w:cs="仿宋_GB2312"/>
          <w:kern w:val="0"/>
          <w:sz w:val="24"/>
        </w:rPr>
      </w:pPr>
      <w:r>
        <w:rPr>
          <w:rFonts w:hint="eastAsia" w:ascii="宋体" w:hAnsi="宋体"/>
          <w:sz w:val="24"/>
        </w:rPr>
        <w:t>（格式自拟）</w:t>
      </w:r>
    </w:p>
    <w:p w14:paraId="67869A3A">
      <w:pPr>
        <w:snapToGrid w:val="0"/>
        <w:spacing w:line="360" w:lineRule="auto"/>
        <w:ind w:firstLine="4935" w:firstLineChars="2350"/>
        <w:rPr>
          <w:rFonts w:hAnsi="宋体"/>
          <w:szCs w:val="21"/>
        </w:rPr>
      </w:pPr>
      <w:r>
        <w:rPr>
          <w:rFonts w:hAnsi="宋体"/>
          <w:szCs w:val="21"/>
        </w:rPr>
        <w:t xml:space="preserve"> </w:t>
      </w:r>
    </w:p>
    <w:p w14:paraId="595DC38C">
      <w:pPr>
        <w:snapToGrid w:val="0"/>
        <w:spacing w:line="360" w:lineRule="auto"/>
        <w:ind w:firstLine="4935" w:firstLineChars="2350"/>
        <w:rPr>
          <w:rFonts w:hAnsi="宋体"/>
          <w:szCs w:val="21"/>
        </w:rPr>
      </w:pPr>
    </w:p>
    <w:p w14:paraId="096F2B05">
      <w:pPr>
        <w:snapToGrid w:val="0"/>
        <w:spacing w:line="360" w:lineRule="auto"/>
        <w:ind w:firstLine="4935" w:firstLineChars="2350"/>
        <w:rPr>
          <w:rFonts w:hAnsi="宋体"/>
          <w:szCs w:val="21"/>
        </w:rPr>
      </w:pPr>
    </w:p>
    <w:p w14:paraId="1D64792E">
      <w:pPr>
        <w:snapToGrid w:val="0"/>
        <w:spacing w:line="360" w:lineRule="auto"/>
        <w:ind w:firstLine="4935" w:firstLineChars="2350"/>
        <w:rPr>
          <w:rFonts w:hAnsi="宋体"/>
          <w:szCs w:val="21"/>
        </w:rPr>
      </w:pPr>
    </w:p>
    <w:p w14:paraId="4C19F53D">
      <w:pPr>
        <w:snapToGrid w:val="0"/>
        <w:spacing w:line="360" w:lineRule="auto"/>
        <w:ind w:firstLine="4935" w:firstLineChars="2350"/>
        <w:rPr>
          <w:rFonts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421AA59A">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EAEF348">
      <w:pPr>
        <w:snapToGrid w:val="0"/>
        <w:spacing w:before="165" w:beforeLines="50" w:after="50"/>
        <w:ind w:firstLine="602" w:firstLineChars="200"/>
        <w:jc w:val="center"/>
        <w:rPr>
          <w:b/>
          <w:bCs/>
          <w:sz w:val="30"/>
          <w:szCs w:val="30"/>
        </w:rPr>
      </w:pPr>
    </w:p>
    <w:p w14:paraId="780E89A7">
      <w:pPr>
        <w:snapToGrid w:val="0"/>
        <w:spacing w:line="360" w:lineRule="auto"/>
        <w:ind w:firstLine="5160" w:firstLineChars="2150"/>
        <w:rPr>
          <w:rFonts w:ascii="仿宋_GB2312" w:hAnsi="仿宋" w:eastAsia="仿宋_GB2312" w:cs="仿宋_GB2312"/>
          <w:kern w:val="0"/>
          <w:sz w:val="24"/>
          <w:lang w:val="zh-CN"/>
        </w:rPr>
      </w:pPr>
    </w:p>
    <w:p w14:paraId="4A114D18">
      <w:pPr>
        <w:snapToGrid w:val="0"/>
        <w:spacing w:before="165" w:beforeLines="50" w:after="50"/>
        <w:ind w:firstLine="602" w:firstLineChars="200"/>
        <w:jc w:val="center"/>
        <w:rPr>
          <w:b/>
          <w:bCs/>
          <w:sz w:val="30"/>
          <w:szCs w:val="30"/>
        </w:rPr>
        <w:sectPr>
          <w:footerReference r:id="rId17" w:type="first"/>
          <w:headerReference r:id="rId14" w:type="default"/>
          <w:footerReference r:id="rId15" w:type="default"/>
          <w:footerReference r:id="rId16" w:type="even"/>
          <w:pgSz w:w="11906" w:h="16838"/>
          <w:pgMar w:top="1134" w:right="1134" w:bottom="1134" w:left="1134" w:header="720" w:footer="720" w:gutter="0"/>
          <w:cols w:space="720" w:num="1"/>
          <w:docGrid w:type="lines" w:linePitch="331" w:charSpace="0"/>
        </w:sectPr>
      </w:pPr>
    </w:p>
    <w:p w14:paraId="66848CED">
      <w:pPr>
        <w:snapToGrid w:val="0"/>
        <w:spacing w:line="360" w:lineRule="auto"/>
        <w:rPr>
          <w:rFonts w:ascii="仿宋_GB2312" w:hAnsi="仿宋" w:eastAsia="仿宋_GB2312" w:cs="仿宋_GB2312"/>
          <w:kern w:val="0"/>
          <w:sz w:val="24"/>
          <w:lang w:val="zh-CN"/>
        </w:rPr>
      </w:pPr>
      <w:r>
        <w:rPr>
          <w:rFonts w:hint="eastAsia"/>
          <w:b/>
          <w:bCs/>
          <w:sz w:val="30"/>
          <w:szCs w:val="30"/>
        </w:rPr>
        <w:t>六、</w:t>
      </w:r>
      <w:r>
        <w:rPr>
          <w:rFonts w:hint="eastAsia"/>
          <w:b/>
          <w:bCs/>
          <w:sz w:val="30"/>
          <w:szCs w:val="30"/>
          <w:lang w:val="zh-CN"/>
        </w:rPr>
        <w:t>除招标文件规定必须提供以外，投标人认为需要提供的其他证明材料（格式自拟）。（投标人根据“第二章 采购需求”及“第四章 评标方法及评标标准”提供有关证明材料）</w:t>
      </w:r>
      <w:r>
        <w:rPr>
          <w:rFonts w:hint="eastAsia" w:ascii="仿宋_GB2312" w:hAnsi="仿宋" w:eastAsia="仿宋_GB2312" w:cs="仿宋_GB2312"/>
          <w:kern w:val="0"/>
          <w:sz w:val="24"/>
          <w:lang w:val="zh-CN"/>
        </w:rPr>
        <w:t>。</w:t>
      </w:r>
    </w:p>
    <w:p w14:paraId="4514BF25">
      <w:pPr>
        <w:snapToGrid w:val="0"/>
        <w:spacing w:before="165" w:beforeLines="50" w:after="50"/>
        <w:ind w:firstLine="602" w:firstLineChars="200"/>
        <w:jc w:val="center"/>
        <w:rPr>
          <w:b/>
          <w:bCs/>
          <w:sz w:val="30"/>
          <w:szCs w:val="30"/>
        </w:rPr>
      </w:pPr>
    </w:p>
    <w:p w14:paraId="2DD1E191">
      <w:pPr>
        <w:snapToGrid w:val="0"/>
        <w:spacing w:before="165" w:beforeLines="50" w:after="50"/>
        <w:ind w:firstLine="602" w:firstLineChars="200"/>
        <w:jc w:val="center"/>
        <w:rPr>
          <w:rFonts w:ascii="宋体" w:hAnsi="宋体"/>
          <w:sz w:val="24"/>
        </w:rPr>
      </w:pPr>
      <w:r>
        <w:rPr>
          <w:rFonts w:hint="eastAsia"/>
          <w:b/>
          <w:bCs/>
          <w:sz w:val="30"/>
          <w:szCs w:val="30"/>
        </w:rPr>
        <w:t>投标人类似的业绩证明文件（如有要求）</w:t>
      </w:r>
    </w:p>
    <w:p w14:paraId="5742D9EC">
      <w:pPr>
        <w:autoSpaceDE w:val="0"/>
        <w:autoSpaceDN w:val="0"/>
        <w:spacing w:line="360" w:lineRule="auto"/>
        <w:ind w:firstLine="120"/>
        <w:rPr>
          <w:rFonts w:ascii="宋体" w:hAnsi="宋体"/>
          <w:sz w:val="22"/>
          <w:szCs w:val="22"/>
        </w:rPr>
      </w:pPr>
      <w:r>
        <w:rPr>
          <w:rFonts w:hint="eastAsia" w:ascii="仿宋_GB2312" w:hAnsi="仿宋" w:eastAsia="仿宋_GB2312" w:cs="仿宋_GB2312"/>
          <w:b/>
          <w:sz w:val="22"/>
          <w:szCs w:val="22"/>
        </w:rPr>
        <w:t>附表 :相关项目业绩一览表（投标人同类项目合同复印件、用户验收报告（如有）、用户评价意见（如有）格式自拟）</w:t>
      </w:r>
    </w:p>
    <w:tbl>
      <w:tblPr>
        <w:tblStyle w:val="35"/>
        <w:tblW w:w="10010"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522"/>
        <w:gridCol w:w="1466"/>
        <w:gridCol w:w="1582"/>
        <w:gridCol w:w="940"/>
        <w:gridCol w:w="1391"/>
        <w:gridCol w:w="1255"/>
        <w:gridCol w:w="1854"/>
      </w:tblGrid>
      <w:tr w14:paraId="6E7A2C5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487" w:hRule="atLeast"/>
        </w:trPr>
        <w:tc>
          <w:tcPr>
            <w:tcW w:w="1522" w:type="dxa"/>
            <w:vMerge w:val="restart"/>
            <w:tcBorders>
              <w:top w:val="single" w:color="auto" w:sz="4" w:space="0"/>
              <w:left w:val="single" w:color="auto" w:sz="4" w:space="0"/>
              <w:bottom w:val="single" w:color="auto" w:sz="4" w:space="0"/>
              <w:right w:val="single" w:color="auto" w:sz="4" w:space="0"/>
            </w:tcBorders>
            <w:vAlign w:val="center"/>
          </w:tcPr>
          <w:p w14:paraId="5104892B">
            <w:pPr>
              <w:snapToGrid w:val="0"/>
              <w:jc w:val="center"/>
              <w:rPr>
                <w:rFonts w:ascii="宋体" w:hAnsi="宋体"/>
                <w:sz w:val="22"/>
                <w:szCs w:val="22"/>
              </w:rPr>
            </w:pPr>
            <w:r>
              <w:rPr>
                <w:rFonts w:hint="eastAsia" w:ascii="宋体" w:hAnsi="宋体"/>
                <w:sz w:val="22"/>
                <w:szCs w:val="22"/>
              </w:rPr>
              <w:t>采购人名称</w:t>
            </w:r>
          </w:p>
        </w:tc>
        <w:tc>
          <w:tcPr>
            <w:tcW w:w="1466" w:type="dxa"/>
            <w:vMerge w:val="restart"/>
            <w:tcBorders>
              <w:top w:val="single" w:color="auto" w:sz="4" w:space="0"/>
              <w:left w:val="single" w:color="auto" w:sz="4" w:space="0"/>
              <w:bottom w:val="single" w:color="auto" w:sz="4" w:space="0"/>
              <w:right w:val="single" w:color="auto" w:sz="4" w:space="0"/>
            </w:tcBorders>
            <w:vAlign w:val="center"/>
          </w:tcPr>
          <w:p w14:paraId="541ECFF2">
            <w:pPr>
              <w:snapToGrid w:val="0"/>
              <w:jc w:val="center"/>
              <w:rPr>
                <w:rFonts w:ascii="宋体" w:hAnsi="宋体"/>
                <w:sz w:val="22"/>
                <w:szCs w:val="22"/>
              </w:rPr>
            </w:pPr>
            <w:r>
              <w:rPr>
                <w:rFonts w:hint="eastAsia" w:ascii="宋体" w:hAnsi="宋体"/>
                <w:sz w:val="22"/>
                <w:szCs w:val="22"/>
              </w:rPr>
              <w:t>项目名称</w:t>
            </w:r>
          </w:p>
        </w:tc>
        <w:tc>
          <w:tcPr>
            <w:tcW w:w="1582" w:type="dxa"/>
            <w:vMerge w:val="restart"/>
            <w:tcBorders>
              <w:top w:val="single" w:color="auto" w:sz="4" w:space="0"/>
              <w:left w:val="single" w:color="auto" w:sz="4" w:space="0"/>
              <w:bottom w:val="single" w:color="auto" w:sz="4" w:space="0"/>
              <w:right w:val="single" w:color="auto" w:sz="4" w:space="0"/>
            </w:tcBorders>
            <w:vAlign w:val="center"/>
          </w:tcPr>
          <w:p w14:paraId="37A02ACF">
            <w:pPr>
              <w:snapToGrid w:val="0"/>
              <w:jc w:val="center"/>
              <w:rPr>
                <w:rFonts w:ascii="宋体" w:hAnsi="宋体"/>
                <w:sz w:val="22"/>
                <w:szCs w:val="22"/>
              </w:rPr>
            </w:pPr>
            <w:r>
              <w:rPr>
                <w:rFonts w:hint="eastAsia" w:ascii="宋体" w:hAnsi="宋体"/>
                <w:sz w:val="22"/>
                <w:szCs w:val="22"/>
              </w:rPr>
              <w:t>合同金额（万元）</w:t>
            </w:r>
          </w:p>
        </w:tc>
        <w:tc>
          <w:tcPr>
            <w:tcW w:w="3586" w:type="dxa"/>
            <w:gridSpan w:val="3"/>
            <w:tcBorders>
              <w:top w:val="single" w:color="auto" w:sz="4" w:space="0"/>
              <w:left w:val="single" w:color="auto" w:sz="4" w:space="0"/>
              <w:bottom w:val="single" w:color="auto" w:sz="4" w:space="0"/>
              <w:right w:val="single" w:color="auto" w:sz="4" w:space="0"/>
            </w:tcBorders>
            <w:vAlign w:val="center"/>
          </w:tcPr>
          <w:p w14:paraId="45A60795">
            <w:pPr>
              <w:snapToGrid w:val="0"/>
              <w:jc w:val="center"/>
              <w:rPr>
                <w:rFonts w:ascii="宋体" w:hAnsi="宋体"/>
                <w:sz w:val="22"/>
                <w:szCs w:val="22"/>
              </w:rPr>
            </w:pPr>
            <w:r>
              <w:rPr>
                <w:rFonts w:hint="eastAsia" w:ascii="宋体" w:hAnsi="宋体"/>
                <w:sz w:val="22"/>
                <w:szCs w:val="22"/>
              </w:rPr>
              <w:t>附件在投标文件中页码</w:t>
            </w:r>
          </w:p>
        </w:tc>
        <w:tc>
          <w:tcPr>
            <w:tcW w:w="1854" w:type="dxa"/>
            <w:vMerge w:val="restart"/>
            <w:tcBorders>
              <w:top w:val="single" w:color="auto" w:sz="4" w:space="0"/>
              <w:left w:val="single" w:color="auto" w:sz="4" w:space="0"/>
              <w:bottom w:val="single" w:color="auto" w:sz="4" w:space="0"/>
              <w:right w:val="single" w:color="auto" w:sz="4" w:space="0"/>
            </w:tcBorders>
            <w:vAlign w:val="center"/>
          </w:tcPr>
          <w:p w14:paraId="44CFAA6A">
            <w:pPr>
              <w:snapToGrid w:val="0"/>
              <w:jc w:val="center"/>
              <w:rPr>
                <w:rFonts w:ascii="宋体" w:hAnsi="宋体"/>
                <w:sz w:val="22"/>
                <w:szCs w:val="22"/>
              </w:rPr>
            </w:pPr>
            <w:r>
              <w:rPr>
                <w:rFonts w:hint="eastAsia" w:ascii="宋体" w:hAnsi="宋体"/>
                <w:sz w:val="22"/>
                <w:szCs w:val="22"/>
              </w:rPr>
              <w:t>采购人联系人及联系电话</w:t>
            </w:r>
          </w:p>
        </w:tc>
      </w:tr>
      <w:tr w14:paraId="373F17D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vMerge w:val="continue"/>
            <w:tcBorders>
              <w:top w:val="single" w:color="auto" w:sz="4" w:space="0"/>
              <w:left w:val="single" w:color="auto" w:sz="4" w:space="0"/>
              <w:bottom w:val="single" w:color="auto" w:sz="4" w:space="0"/>
              <w:right w:val="single" w:color="auto" w:sz="4" w:space="0"/>
            </w:tcBorders>
            <w:vAlign w:val="center"/>
          </w:tcPr>
          <w:p w14:paraId="3FC7ED7B">
            <w:pPr>
              <w:jc w:val="left"/>
              <w:rPr>
                <w:rFonts w:ascii="宋体" w:hAnsi="宋体"/>
                <w:sz w:val="22"/>
                <w:szCs w:val="22"/>
              </w:rPr>
            </w:pPr>
          </w:p>
        </w:tc>
        <w:tc>
          <w:tcPr>
            <w:tcW w:w="1466" w:type="dxa"/>
            <w:vMerge w:val="continue"/>
            <w:tcBorders>
              <w:top w:val="single" w:color="auto" w:sz="4" w:space="0"/>
              <w:left w:val="single" w:color="auto" w:sz="4" w:space="0"/>
              <w:bottom w:val="single" w:color="auto" w:sz="4" w:space="0"/>
              <w:right w:val="single" w:color="auto" w:sz="4" w:space="0"/>
            </w:tcBorders>
            <w:vAlign w:val="center"/>
          </w:tcPr>
          <w:p w14:paraId="032375C8">
            <w:pPr>
              <w:jc w:val="left"/>
              <w:rPr>
                <w:rFonts w:ascii="宋体" w:hAnsi="宋体"/>
                <w:sz w:val="22"/>
                <w:szCs w:val="22"/>
              </w:rPr>
            </w:pPr>
          </w:p>
        </w:tc>
        <w:tc>
          <w:tcPr>
            <w:tcW w:w="1582" w:type="dxa"/>
            <w:vMerge w:val="continue"/>
            <w:tcBorders>
              <w:top w:val="single" w:color="auto" w:sz="4" w:space="0"/>
              <w:left w:val="single" w:color="auto" w:sz="4" w:space="0"/>
              <w:bottom w:val="single" w:color="auto" w:sz="4" w:space="0"/>
              <w:right w:val="single" w:color="auto" w:sz="4" w:space="0"/>
            </w:tcBorders>
            <w:vAlign w:val="center"/>
          </w:tcPr>
          <w:p w14:paraId="14B54AD6">
            <w:pPr>
              <w:jc w:val="left"/>
              <w:rPr>
                <w:rFonts w:ascii="宋体" w:hAnsi="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3DF1A981">
            <w:pPr>
              <w:snapToGrid w:val="0"/>
              <w:spacing w:line="240" w:lineRule="exact"/>
              <w:jc w:val="center"/>
              <w:rPr>
                <w:rFonts w:ascii="宋体" w:hAnsi="宋体"/>
                <w:sz w:val="22"/>
                <w:szCs w:val="22"/>
              </w:rPr>
            </w:pPr>
            <w:r>
              <w:rPr>
                <w:rFonts w:hint="eastAsia" w:ascii="宋体" w:hAnsi="宋体"/>
                <w:sz w:val="22"/>
                <w:szCs w:val="22"/>
              </w:rPr>
              <w:t>合同</w:t>
            </w:r>
          </w:p>
        </w:tc>
        <w:tc>
          <w:tcPr>
            <w:tcW w:w="1391" w:type="dxa"/>
            <w:tcBorders>
              <w:top w:val="single" w:color="auto" w:sz="4" w:space="0"/>
              <w:left w:val="single" w:color="auto" w:sz="4" w:space="0"/>
              <w:bottom w:val="single" w:color="auto" w:sz="4" w:space="0"/>
              <w:right w:val="single" w:color="auto" w:sz="4" w:space="0"/>
            </w:tcBorders>
            <w:vAlign w:val="center"/>
          </w:tcPr>
          <w:p w14:paraId="0EFC73CE">
            <w:pPr>
              <w:snapToGrid w:val="0"/>
              <w:jc w:val="center"/>
              <w:rPr>
                <w:rFonts w:ascii="宋体" w:hAnsi="宋体"/>
                <w:sz w:val="22"/>
                <w:szCs w:val="22"/>
              </w:rPr>
            </w:pPr>
            <w:r>
              <w:rPr>
                <w:rFonts w:hint="eastAsia" w:ascii="宋体" w:hAnsi="宋体"/>
                <w:sz w:val="22"/>
                <w:szCs w:val="22"/>
              </w:rPr>
              <w:t>验收报告</w:t>
            </w:r>
          </w:p>
        </w:tc>
        <w:tc>
          <w:tcPr>
            <w:tcW w:w="1255" w:type="dxa"/>
            <w:tcBorders>
              <w:top w:val="single" w:color="auto" w:sz="4" w:space="0"/>
              <w:left w:val="single" w:color="auto" w:sz="4" w:space="0"/>
              <w:bottom w:val="single" w:color="auto" w:sz="4" w:space="0"/>
              <w:right w:val="single" w:color="auto" w:sz="4" w:space="0"/>
            </w:tcBorders>
            <w:vAlign w:val="center"/>
          </w:tcPr>
          <w:p w14:paraId="621AAC96">
            <w:pPr>
              <w:snapToGrid w:val="0"/>
              <w:jc w:val="center"/>
              <w:rPr>
                <w:rFonts w:ascii="宋体" w:hAnsi="宋体"/>
                <w:sz w:val="22"/>
                <w:szCs w:val="22"/>
              </w:rPr>
            </w:pPr>
            <w:r>
              <w:rPr>
                <w:rFonts w:hint="eastAsia" w:ascii="宋体" w:hAnsi="宋体"/>
                <w:sz w:val="22"/>
                <w:szCs w:val="22"/>
              </w:rPr>
              <w:t>用户评价</w:t>
            </w:r>
          </w:p>
        </w:tc>
        <w:tc>
          <w:tcPr>
            <w:tcW w:w="1854" w:type="dxa"/>
            <w:vMerge w:val="continue"/>
            <w:tcBorders>
              <w:top w:val="single" w:color="auto" w:sz="4" w:space="0"/>
              <w:left w:val="single" w:color="auto" w:sz="4" w:space="0"/>
              <w:bottom w:val="single" w:color="auto" w:sz="4" w:space="0"/>
              <w:right w:val="single" w:color="auto" w:sz="4" w:space="0"/>
            </w:tcBorders>
            <w:vAlign w:val="center"/>
          </w:tcPr>
          <w:p w14:paraId="077EB11B">
            <w:pPr>
              <w:jc w:val="left"/>
              <w:rPr>
                <w:rFonts w:ascii="宋体" w:hAnsi="宋体"/>
                <w:sz w:val="22"/>
                <w:szCs w:val="22"/>
              </w:rPr>
            </w:pPr>
          </w:p>
        </w:tc>
      </w:tr>
      <w:tr w14:paraId="28EDF376">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0E30E979">
            <w:pPr>
              <w:jc w:val="left"/>
              <w:rPr>
                <w:rFonts w:ascii="宋体" w:hAnsi="宋体"/>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4261B3D7">
            <w:pPr>
              <w:jc w:val="left"/>
              <w:rPr>
                <w:rFonts w:ascii="宋体" w:hAnsi="宋体"/>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0ECA376A">
            <w:pPr>
              <w:jc w:val="left"/>
              <w:rPr>
                <w:rFonts w:ascii="宋体" w:hAnsi="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3FB274EC">
            <w:pPr>
              <w:snapToGrid w:val="0"/>
              <w:spacing w:line="240" w:lineRule="exact"/>
              <w:jc w:val="center"/>
              <w:rPr>
                <w:rFonts w:ascii="宋体" w:hAnsi="宋体"/>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362E0153">
            <w:pPr>
              <w:snapToGrid w:val="0"/>
              <w:spacing w:line="240" w:lineRule="exact"/>
              <w:jc w:val="center"/>
              <w:rPr>
                <w:rFonts w:ascii="宋体" w:hAnsi="宋体"/>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5B988BB2">
            <w:pPr>
              <w:snapToGrid w:val="0"/>
              <w:spacing w:line="240" w:lineRule="exact"/>
              <w:jc w:val="center"/>
              <w:rPr>
                <w:rFonts w:ascii="宋体" w:hAnsi="宋体"/>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3FC2DEFB">
            <w:pPr>
              <w:jc w:val="left"/>
              <w:rPr>
                <w:rFonts w:ascii="宋体" w:hAnsi="宋体"/>
                <w:sz w:val="22"/>
                <w:szCs w:val="22"/>
              </w:rPr>
            </w:pPr>
          </w:p>
        </w:tc>
      </w:tr>
      <w:tr w14:paraId="01CE956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1A91CE87">
            <w:pPr>
              <w:jc w:val="left"/>
              <w:rPr>
                <w:rFonts w:ascii="宋体" w:hAnsi="宋体"/>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79C0E57C">
            <w:pPr>
              <w:jc w:val="left"/>
              <w:rPr>
                <w:rFonts w:ascii="宋体" w:hAnsi="宋体"/>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5F1F7E7E">
            <w:pPr>
              <w:jc w:val="left"/>
              <w:rPr>
                <w:rFonts w:ascii="宋体" w:hAnsi="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158A3AF5">
            <w:pPr>
              <w:snapToGrid w:val="0"/>
              <w:spacing w:line="240" w:lineRule="exact"/>
              <w:jc w:val="center"/>
              <w:rPr>
                <w:rFonts w:ascii="宋体" w:hAnsi="宋体"/>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61B1A133">
            <w:pPr>
              <w:snapToGrid w:val="0"/>
              <w:spacing w:line="240" w:lineRule="exact"/>
              <w:jc w:val="center"/>
              <w:rPr>
                <w:rFonts w:ascii="宋体" w:hAnsi="宋体"/>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202061FA">
            <w:pPr>
              <w:snapToGrid w:val="0"/>
              <w:spacing w:line="240" w:lineRule="exact"/>
              <w:jc w:val="center"/>
              <w:rPr>
                <w:rFonts w:ascii="宋体" w:hAnsi="宋体"/>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033B49FA">
            <w:pPr>
              <w:jc w:val="left"/>
              <w:rPr>
                <w:rFonts w:ascii="宋体" w:hAnsi="宋体"/>
                <w:sz w:val="22"/>
                <w:szCs w:val="22"/>
              </w:rPr>
            </w:pPr>
          </w:p>
        </w:tc>
      </w:tr>
      <w:tr w14:paraId="18FABEF9">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6E11948D">
            <w:pPr>
              <w:jc w:val="left"/>
              <w:rPr>
                <w:rFonts w:ascii="宋体" w:hAnsi="宋体"/>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2BFF55F1">
            <w:pPr>
              <w:jc w:val="left"/>
              <w:rPr>
                <w:rFonts w:ascii="宋体" w:hAnsi="宋体"/>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4442E968">
            <w:pPr>
              <w:jc w:val="left"/>
              <w:rPr>
                <w:rFonts w:ascii="宋体" w:hAnsi="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5B426F31">
            <w:pPr>
              <w:snapToGrid w:val="0"/>
              <w:spacing w:line="240" w:lineRule="exact"/>
              <w:jc w:val="center"/>
              <w:rPr>
                <w:rFonts w:ascii="宋体" w:hAnsi="宋体"/>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2179F5DA">
            <w:pPr>
              <w:snapToGrid w:val="0"/>
              <w:spacing w:line="240" w:lineRule="exact"/>
              <w:jc w:val="center"/>
              <w:rPr>
                <w:rFonts w:ascii="宋体" w:hAnsi="宋体"/>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16CDC631">
            <w:pPr>
              <w:snapToGrid w:val="0"/>
              <w:spacing w:line="240" w:lineRule="exact"/>
              <w:jc w:val="center"/>
              <w:rPr>
                <w:rFonts w:ascii="宋体" w:hAnsi="宋体"/>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351F28C0">
            <w:pPr>
              <w:jc w:val="left"/>
              <w:rPr>
                <w:rFonts w:ascii="宋体" w:hAnsi="宋体"/>
                <w:sz w:val="22"/>
                <w:szCs w:val="22"/>
              </w:rPr>
            </w:pPr>
          </w:p>
        </w:tc>
      </w:tr>
      <w:tr w14:paraId="21EB7EA3">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0113DC29">
            <w:pPr>
              <w:jc w:val="left"/>
              <w:rPr>
                <w:rFonts w:ascii="宋体" w:hAnsi="宋体"/>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57716EC1">
            <w:pPr>
              <w:jc w:val="left"/>
              <w:rPr>
                <w:rFonts w:ascii="宋体" w:hAnsi="宋体"/>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216B4E78">
            <w:pPr>
              <w:jc w:val="left"/>
              <w:rPr>
                <w:rFonts w:ascii="宋体" w:hAnsi="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05A810C9">
            <w:pPr>
              <w:snapToGrid w:val="0"/>
              <w:spacing w:line="240" w:lineRule="exact"/>
              <w:jc w:val="center"/>
              <w:rPr>
                <w:rFonts w:ascii="宋体" w:hAnsi="宋体"/>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1E6A9638">
            <w:pPr>
              <w:snapToGrid w:val="0"/>
              <w:spacing w:line="240" w:lineRule="exact"/>
              <w:jc w:val="center"/>
              <w:rPr>
                <w:rFonts w:ascii="宋体" w:hAnsi="宋体"/>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7C11C1E1">
            <w:pPr>
              <w:snapToGrid w:val="0"/>
              <w:spacing w:line="240" w:lineRule="exact"/>
              <w:jc w:val="center"/>
              <w:rPr>
                <w:rFonts w:ascii="宋体" w:hAnsi="宋体"/>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56B2D739">
            <w:pPr>
              <w:jc w:val="left"/>
              <w:rPr>
                <w:rFonts w:ascii="宋体" w:hAnsi="宋体"/>
                <w:sz w:val="22"/>
                <w:szCs w:val="22"/>
              </w:rPr>
            </w:pPr>
          </w:p>
        </w:tc>
      </w:tr>
      <w:tr w14:paraId="1299F89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cantSplit/>
          <w:trHeight w:val="836" w:hRule="atLeast"/>
        </w:trPr>
        <w:tc>
          <w:tcPr>
            <w:tcW w:w="1522" w:type="dxa"/>
            <w:tcBorders>
              <w:top w:val="single" w:color="auto" w:sz="4" w:space="0"/>
              <w:left w:val="single" w:color="auto" w:sz="4" w:space="0"/>
              <w:bottom w:val="single" w:color="auto" w:sz="4" w:space="0"/>
              <w:right w:val="single" w:color="auto" w:sz="4" w:space="0"/>
            </w:tcBorders>
            <w:vAlign w:val="center"/>
          </w:tcPr>
          <w:p w14:paraId="43079DB3">
            <w:pPr>
              <w:jc w:val="left"/>
              <w:rPr>
                <w:rFonts w:ascii="宋体" w:hAnsi="宋体"/>
                <w:sz w:val="22"/>
                <w:szCs w:val="22"/>
              </w:rPr>
            </w:pPr>
          </w:p>
        </w:tc>
        <w:tc>
          <w:tcPr>
            <w:tcW w:w="1466" w:type="dxa"/>
            <w:tcBorders>
              <w:top w:val="single" w:color="auto" w:sz="4" w:space="0"/>
              <w:left w:val="single" w:color="auto" w:sz="4" w:space="0"/>
              <w:bottom w:val="single" w:color="auto" w:sz="4" w:space="0"/>
              <w:right w:val="single" w:color="auto" w:sz="4" w:space="0"/>
            </w:tcBorders>
            <w:vAlign w:val="center"/>
          </w:tcPr>
          <w:p w14:paraId="4B954165">
            <w:pPr>
              <w:jc w:val="left"/>
              <w:rPr>
                <w:rFonts w:ascii="宋体" w:hAnsi="宋体"/>
                <w:sz w:val="22"/>
                <w:szCs w:val="22"/>
              </w:rPr>
            </w:pPr>
          </w:p>
        </w:tc>
        <w:tc>
          <w:tcPr>
            <w:tcW w:w="1582" w:type="dxa"/>
            <w:tcBorders>
              <w:top w:val="single" w:color="auto" w:sz="4" w:space="0"/>
              <w:left w:val="single" w:color="auto" w:sz="4" w:space="0"/>
              <w:bottom w:val="single" w:color="auto" w:sz="4" w:space="0"/>
              <w:right w:val="single" w:color="auto" w:sz="4" w:space="0"/>
            </w:tcBorders>
            <w:vAlign w:val="center"/>
          </w:tcPr>
          <w:p w14:paraId="20656CC1">
            <w:pPr>
              <w:jc w:val="left"/>
              <w:rPr>
                <w:rFonts w:ascii="宋体" w:hAnsi="宋体"/>
                <w:sz w:val="22"/>
                <w:szCs w:val="22"/>
              </w:rPr>
            </w:pPr>
          </w:p>
        </w:tc>
        <w:tc>
          <w:tcPr>
            <w:tcW w:w="940" w:type="dxa"/>
            <w:tcBorders>
              <w:top w:val="single" w:color="auto" w:sz="4" w:space="0"/>
              <w:left w:val="single" w:color="auto" w:sz="4" w:space="0"/>
              <w:bottom w:val="single" w:color="auto" w:sz="4" w:space="0"/>
              <w:right w:val="single" w:color="auto" w:sz="4" w:space="0"/>
            </w:tcBorders>
            <w:vAlign w:val="center"/>
          </w:tcPr>
          <w:p w14:paraId="6C878CEC">
            <w:pPr>
              <w:snapToGrid w:val="0"/>
              <w:spacing w:line="240" w:lineRule="exact"/>
              <w:jc w:val="center"/>
              <w:rPr>
                <w:rFonts w:ascii="宋体" w:hAnsi="宋体"/>
                <w:sz w:val="22"/>
                <w:szCs w:val="22"/>
              </w:rPr>
            </w:pPr>
          </w:p>
        </w:tc>
        <w:tc>
          <w:tcPr>
            <w:tcW w:w="1391" w:type="dxa"/>
            <w:tcBorders>
              <w:top w:val="single" w:color="auto" w:sz="4" w:space="0"/>
              <w:left w:val="single" w:color="auto" w:sz="4" w:space="0"/>
              <w:bottom w:val="single" w:color="auto" w:sz="4" w:space="0"/>
              <w:right w:val="single" w:color="auto" w:sz="4" w:space="0"/>
            </w:tcBorders>
            <w:vAlign w:val="center"/>
          </w:tcPr>
          <w:p w14:paraId="30306B93">
            <w:pPr>
              <w:snapToGrid w:val="0"/>
              <w:spacing w:line="240" w:lineRule="exact"/>
              <w:jc w:val="center"/>
              <w:rPr>
                <w:rFonts w:ascii="宋体" w:hAnsi="宋体"/>
                <w:sz w:val="22"/>
                <w:szCs w:val="22"/>
              </w:rPr>
            </w:pPr>
          </w:p>
        </w:tc>
        <w:tc>
          <w:tcPr>
            <w:tcW w:w="1255" w:type="dxa"/>
            <w:tcBorders>
              <w:top w:val="single" w:color="auto" w:sz="4" w:space="0"/>
              <w:left w:val="single" w:color="auto" w:sz="4" w:space="0"/>
              <w:bottom w:val="single" w:color="auto" w:sz="4" w:space="0"/>
              <w:right w:val="single" w:color="auto" w:sz="4" w:space="0"/>
            </w:tcBorders>
            <w:vAlign w:val="center"/>
          </w:tcPr>
          <w:p w14:paraId="344035C7">
            <w:pPr>
              <w:snapToGrid w:val="0"/>
              <w:spacing w:line="240" w:lineRule="exact"/>
              <w:jc w:val="center"/>
              <w:rPr>
                <w:rFonts w:ascii="宋体" w:hAnsi="宋体"/>
                <w:sz w:val="22"/>
                <w:szCs w:val="22"/>
              </w:rPr>
            </w:pPr>
          </w:p>
        </w:tc>
        <w:tc>
          <w:tcPr>
            <w:tcW w:w="1854" w:type="dxa"/>
            <w:tcBorders>
              <w:top w:val="single" w:color="auto" w:sz="4" w:space="0"/>
              <w:left w:val="single" w:color="auto" w:sz="4" w:space="0"/>
              <w:bottom w:val="single" w:color="auto" w:sz="4" w:space="0"/>
              <w:right w:val="single" w:color="auto" w:sz="4" w:space="0"/>
            </w:tcBorders>
            <w:vAlign w:val="center"/>
          </w:tcPr>
          <w:p w14:paraId="116BFEBD">
            <w:pPr>
              <w:jc w:val="left"/>
              <w:rPr>
                <w:rFonts w:ascii="宋体" w:hAnsi="宋体"/>
                <w:sz w:val="22"/>
                <w:szCs w:val="22"/>
              </w:rPr>
            </w:pPr>
          </w:p>
        </w:tc>
      </w:tr>
    </w:tbl>
    <w:p w14:paraId="6C489B31">
      <w:pPr>
        <w:spacing w:line="360" w:lineRule="auto"/>
        <w:ind w:left="72"/>
      </w:pPr>
      <w:r>
        <w:rPr>
          <w:rFonts w:hint="eastAsia"/>
        </w:rPr>
        <w:t>注：投标人可按上述的格式自行编制，如有，请随表提交相应的合同复印件、用户单位验收证明</w:t>
      </w:r>
      <w:r>
        <w:rPr>
          <w:rFonts w:hint="eastAsia" w:ascii="仿宋_GB2312" w:hAnsi="仿宋" w:eastAsia="仿宋_GB2312" w:cs="仿宋_GB2312"/>
          <w:b/>
          <w:sz w:val="22"/>
          <w:szCs w:val="22"/>
        </w:rPr>
        <w:t>（如有）</w:t>
      </w:r>
      <w:r>
        <w:rPr>
          <w:rFonts w:hint="eastAsia"/>
        </w:rPr>
        <w:t>。</w:t>
      </w:r>
    </w:p>
    <w:p w14:paraId="6652C882">
      <w:pPr>
        <w:snapToGrid w:val="0"/>
        <w:spacing w:line="360" w:lineRule="auto"/>
        <w:ind w:firstLine="4935" w:firstLineChars="2350"/>
        <w:rPr>
          <w:rFonts w:hAnsi="宋体"/>
          <w:szCs w:val="21"/>
        </w:rPr>
      </w:pPr>
      <w:r>
        <w:rPr>
          <w:rFonts w:hAnsi="宋体"/>
          <w:szCs w:val="21"/>
        </w:rPr>
        <w:t xml:space="preserve"> </w:t>
      </w:r>
    </w:p>
    <w:p w14:paraId="5D84BF48">
      <w:pPr>
        <w:snapToGrid w:val="0"/>
        <w:spacing w:line="360" w:lineRule="auto"/>
        <w:ind w:firstLine="4935" w:firstLineChars="2350"/>
        <w:rPr>
          <w:rFonts w:hAnsi="宋体"/>
          <w:szCs w:val="21"/>
        </w:rPr>
      </w:pPr>
    </w:p>
    <w:p w14:paraId="720FB5C4">
      <w:pPr>
        <w:snapToGrid w:val="0"/>
        <w:spacing w:line="360" w:lineRule="auto"/>
        <w:ind w:left="3570" w:leftChars="1700" w:firstLine="6510" w:firstLineChars="3100"/>
        <w:rPr>
          <w:rFonts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17516664">
      <w:pPr>
        <w:snapToGrid w:val="0"/>
        <w:spacing w:line="360" w:lineRule="auto"/>
        <w:ind w:firstLine="5520" w:firstLineChars="230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B54ACB4">
      <w:pPr>
        <w:snapToGrid w:val="0"/>
        <w:spacing w:line="360" w:lineRule="auto"/>
        <w:rPr>
          <w:rFonts w:ascii="仿宋_GB2312" w:hAnsi="仿宋" w:eastAsia="仿宋_GB2312" w:cs="仿宋_GB2312"/>
          <w:kern w:val="0"/>
          <w:sz w:val="24"/>
          <w:lang w:val="zh-CN"/>
        </w:rPr>
        <w:sectPr>
          <w:footerReference r:id="rId21" w:type="first"/>
          <w:headerReference r:id="rId18" w:type="default"/>
          <w:footerReference r:id="rId19" w:type="default"/>
          <w:footerReference r:id="rId20" w:type="even"/>
          <w:pgSz w:w="11906" w:h="16838"/>
          <w:pgMar w:top="1134" w:right="1134" w:bottom="1134" w:left="1134" w:header="720" w:footer="720" w:gutter="0"/>
          <w:cols w:space="720" w:num="1"/>
          <w:docGrid w:type="lines" w:linePitch="331" w:charSpace="0"/>
        </w:sectPr>
      </w:pPr>
    </w:p>
    <w:p w14:paraId="0DF049FB">
      <w:pPr>
        <w:snapToGrid w:val="0"/>
        <w:spacing w:line="360" w:lineRule="auto"/>
        <w:rPr>
          <w:rFonts w:ascii="仿宋_GB2312" w:hAnsi="仿宋" w:eastAsia="仿宋_GB2312" w:cs="仿宋_GB2312"/>
          <w:kern w:val="0"/>
          <w:sz w:val="24"/>
          <w:lang w:val="zh-CN"/>
        </w:rPr>
      </w:pPr>
    </w:p>
    <w:p w14:paraId="5EE23681">
      <w:pPr>
        <w:jc w:val="center"/>
        <w:outlineLvl w:val="1"/>
        <w:rPr>
          <w:rFonts w:hAnsi="宋体"/>
          <w:b/>
          <w:bCs/>
          <w:sz w:val="28"/>
          <w:szCs w:val="28"/>
        </w:rPr>
      </w:pPr>
      <w:bookmarkStart w:id="82" w:name="_Toc12489"/>
      <w:bookmarkStart w:id="83" w:name="_Toc22194"/>
      <w:bookmarkStart w:id="84" w:name="_Toc8144"/>
      <w:r>
        <w:rPr>
          <w:rFonts w:hint="eastAsia" w:hAnsi="宋体"/>
          <w:b/>
          <w:bCs/>
          <w:sz w:val="28"/>
          <w:szCs w:val="28"/>
        </w:rPr>
        <w:t>第三节 技术文件格式</w:t>
      </w:r>
      <w:bookmarkEnd w:id="82"/>
      <w:bookmarkEnd w:id="83"/>
      <w:bookmarkEnd w:id="84"/>
    </w:p>
    <w:p w14:paraId="087903D9">
      <w:pPr>
        <w:snapToGrid w:val="0"/>
        <w:spacing w:before="165" w:beforeLines="50" w:after="50"/>
        <w:rPr>
          <w:rFonts w:ascii="宋体" w:hAnsi="宋体"/>
          <w:bCs/>
          <w:sz w:val="32"/>
          <w:szCs w:val="20"/>
        </w:rPr>
      </w:pPr>
      <w:r>
        <w:rPr>
          <w:rFonts w:hint="eastAsia" w:ascii="宋体" w:hAnsi="宋体"/>
          <w:sz w:val="24"/>
        </w:rPr>
        <w:t xml:space="preserve">                                                  </w:t>
      </w:r>
      <w:r>
        <w:rPr>
          <w:rFonts w:hint="eastAsia" w:ascii="宋体" w:hAnsi="宋体"/>
          <w:bCs/>
        </w:rPr>
        <w:t>电子投标文件</w:t>
      </w:r>
    </w:p>
    <w:p w14:paraId="37641F5A">
      <w:pPr>
        <w:snapToGrid w:val="0"/>
        <w:spacing w:before="165" w:beforeLines="50" w:after="50"/>
        <w:rPr>
          <w:rFonts w:ascii="宋体" w:hAnsi="宋体"/>
          <w:sz w:val="24"/>
          <w:szCs w:val="20"/>
        </w:rPr>
      </w:pPr>
    </w:p>
    <w:p w14:paraId="3ACAF64C">
      <w:pPr>
        <w:snapToGrid w:val="0"/>
        <w:spacing w:before="165" w:beforeLines="50" w:after="50"/>
        <w:jc w:val="center"/>
        <w:rPr>
          <w:rFonts w:ascii="宋体" w:hAnsi="宋体"/>
          <w:b/>
          <w:bCs/>
          <w:sz w:val="32"/>
          <w:szCs w:val="32"/>
        </w:rPr>
      </w:pPr>
    </w:p>
    <w:p w14:paraId="0469492B">
      <w:pPr>
        <w:snapToGrid w:val="0"/>
        <w:spacing w:before="165" w:beforeLines="50" w:after="50"/>
        <w:jc w:val="center"/>
        <w:rPr>
          <w:rFonts w:ascii="宋体" w:hAnsi="宋体"/>
          <w:b/>
          <w:bCs/>
          <w:sz w:val="32"/>
          <w:szCs w:val="32"/>
        </w:rPr>
      </w:pPr>
    </w:p>
    <w:p w14:paraId="13F559C9">
      <w:pPr>
        <w:snapToGrid w:val="0"/>
        <w:spacing w:before="165" w:beforeLines="50" w:after="50"/>
        <w:jc w:val="center"/>
        <w:rPr>
          <w:rFonts w:ascii="宋体" w:hAnsi="宋体"/>
          <w:b/>
          <w:bCs/>
          <w:sz w:val="32"/>
          <w:szCs w:val="32"/>
        </w:rPr>
      </w:pPr>
    </w:p>
    <w:p w14:paraId="38DEA3C7">
      <w:pPr>
        <w:snapToGrid w:val="0"/>
        <w:spacing w:before="165" w:beforeLines="50" w:after="50"/>
        <w:jc w:val="center"/>
        <w:rPr>
          <w:rFonts w:ascii="宋体" w:hAnsi="宋体"/>
          <w:b/>
          <w:bCs/>
          <w:sz w:val="32"/>
          <w:szCs w:val="32"/>
        </w:rPr>
      </w:pPr>
      <w:r>
        <w:rPr>
          <w:rFonts w:hint="eastAsia" w:ascii="宋体" w:hAnsi="宋体"/>
          <w:b/>
          <w:bCs/>
          <w:sz w:val="32"/>
          <w:szCs w:val="32"/>
        </w:rPr>
        <w:t>技术文件（封面）</w:t>
      </w:r>
    </w:p>
    <w:p w14:paraId="516A1BB3">
      <w:pPr>
        <w:snapToGrid w:val="0"/>
        <w:spacing w:before="165" w:beforeLines="50" w:after="50"/>
        <w:rPr>
          <w:rFonts w:ascii="宋体" w:hAnsi="宋体"/>
          <w:bCs/>
          <w:sz w:val="24"/>
          <w:szCs w:val="20"/>
        </w:rPr>
      </w:pPr>
    </w:p>
    <w:p w14:paraId="77718A07">
      <w:pPr>
        <w:snapToGrid w:val="0"/>
        <w:spacing w:before="165" w:beforeLines="50" w:after="50" w:line="400" w:lineRule="exact"/>
        <w:ind w:firstLine="360" w:firstLineChars="150"/>
        <w:rPr>
          <w:rFonts w:ascii="宋体" w:hAnsi="宋体"/>
          <w:bCs/>
          <w:sz w:val="24"/>
          <w:szCs w:val="20"/>
        </w:rPr>
      </w:pPr>
      <w:r>
        <w:rPr>
          <w:rFonts w:hint="eastAsia" w:ascii="宋体" w:hAnsi="宋体"/>
          <w:bCs/>
          <w:sz w:val="24"/>
        </w:rPr>
        <w:t xml:space="preserve">项目名称： </w:t>
      </w:r>
    </w:p>
    <w:p w14:paraId="280A847A">
      <w:pPr>
        <w:snapToGrid w:val="0"/>
        <w:spacing w:before="165" w:beforeLines="50" w:after="50" w:line="400" w:lineRule="exact"/>
        <w:ind w:firstLine="360" w:firstLineChars="150"/>
        <w:rPr>
          <w:rFonts w:ascii="宋体" w:hAnsi="宋体"/>
          <w:bCs/>
          <w:sz w:val="24"/>
        </w:rPr>
      </w:pPr>
      <w:r>
        <w:rPr>
          <w:rFonts w:hint="eastAsia" w:ascii="宋体" w:hAnsi="宋体"/>
          <w:bCs/>
          <w:sz w:val="24"/>
        </w:rPr>
        <w:t xml:space="preserve">项目编号： </w:t>
      </w:r>
    </w:p>
    <w:p w14:paraId="6C3AF9E7">
      <w:pPr>
        <w:snapToGrid w:val="0"/>
        <w:spacing w:before="165" w:beforeLines="50" w:after="50" w:line="400" w:lineRule="exact"/>
        <w:ind w:firstLine="360" w:firstLineChars="150"/>
        <w:rPr>
          <w:rFonts w:ascii="宋体" w:hAnsi="宋体"/>
          <w:bCs/>
          <w:sz w:val="24"/>
        </w:rPr>
      </w:pPr>
      <w:r>
        <w:rPr>
          <w:rFonts w:hint="eastAsia" w:ascii="宋体" w:hAnsi="宋体"/>
          <w:bCs/>
          <w:sz w:val="24"/>
        </w:rPr>
        <w:t>所投分标：</w:t>
      </w:r>
    </w:p>
    <w:p w14:paraId="120D7CC6">
      <w:pPr>
        <w:snapToGrid w:val="0"/>
        <w:spacing w:before="165" w:beforeLines="50" w:after="50" w:line="400" w:lineRule="exact"/>
        <w:ind w:firstLine="360" w:firstLineChars="150"/>
        <w:rPr>
          <w:rFonts w:ascii="宋体" w:hAnsi="宋体"/>
          <w:bCs/>
          <w:sz w:val="24"/>
        </w:rPr>
      </w:pPr>
      <w:r>
        <w:rPr>
          <w:rFonts w:hint="eastAsia" w:ascii="宋体" w:hAnsi="宋体"/>
          <w:bCs/>
          <w:sz w:val="24"/>
        </w:rPr>
        <w:t>投标人名称：</w:t>
      </w:r>
    </w:p>
    <w:p w14:paraId="004FF47E">
      <w:pPr>
        <w:snapToGrid w:val="0"/>
        <w:spacing w:before="165" w:beforeLines="50" w:after="50" w:line="400" w:lineRule="exact"/>
        <w:ind w:firstLine="360" w:firstLineChars="150"/>
        <w:rPr>
          <w:rFonts w:ascii="宋体" w:hAnsi="宋体"/>
          <w:bCs/>
          <w:sz w:val="24"/>
        </w:rPr>
      </w:pPr>
      <w:r>
        <w:rPr>
          <w:rFonts w:hint="eastAsia" w:ascii="宋体" w:hAnsi="宋体"/>
          <w:bCs/>
          <w:sz w:val="24"/>
        </w:rPr>
        <w:t>投标人地址：</w:t>
      </w:r>
    </w:p>
    <w:p w14:paraId="433CA645">
      <w:pPr>
        <w:snapToGrid w:val="0"/>
        <w:spacing w:before="165" w:beforeLines="50" w:after="50"/>
        <w:ind w:firstLine="645"/>
        <w:jc w:val="center"/>
        <w:rPr>
          <w:rFonts w:ascii="宋体" w:hAnsi="宋体"/>
          <w:sz w:val="24"/>
        </w:rPr>
      </w:pPr>
      <w:r>
        <w:rPr>
          <w:rFonts w:hint="eastAsia" w:ascii="宋体" w:hAnsi="宋体"/>
          <w:sz w:val="24"/>
        </w:rPr>
        <w:t xml:space="preserve">                        年    月    日</w:t>
      </w:r>
    </w:p>
    <w:p w14:paraId="02D22135">
      <w:pPr>
        <w:snapToGrid w:val="0"/>
        <w:spacing w:before="165" w:beforeLines="50" w:after="50"/>
        <w:ind w:firstLine="645"/>
        <w:jc w:val="center"/>
        <w:rPr>
          <w:rFonts w:ascii="宋体" w:hAnsi="宋体"/>
          <w:sz w:val="24"/>
          <w:szCs w:val="20"/>
        </w:rPr>
      </w:pPr>
    </w:p>
    <w:p w14:paraId="60EFD861">
      <w:pPr>
        <w:jc w:val="center"/>
        <w:rPr>
          <w:rFonts w:ascii="仿宋_GB2312" w:hAnsi="仿宋" w:eastAsia="仿宋_GB2312" w:cs="仿宋_GB2312"/>
          <w:b/>
          <w:kern w:val="0"/>
          <w:sz w:val="28"/>
          <w:szCs w:val="28"/>
        </w:rPr>
      </w:pPr>
      <w:r>
        <w:rPr>
          <w:rFonts w:ascii="宋体" w:hAnsi="宋体"/>
          <w:b/>
          <w:bCs/>
          <w:sz w:val="24"/>
        </w:rPr>
        <w:br w:type="page"/>
      </w:r>
      <w:r>
        <w:rPr>
          <w:rFonts w:hint="eastAsia" w:ascii="仿宋_GB2312" w:hAnsi="仿宋" w:eastAsia="仿宋_GB2312" w:cs="仿宋_GB2312"/>
          <w:b/>
          <w:kern w:val="0"/>
          <w:sz w:val="28"/>
          <w:szCs w:val="28"/>
        </w:rPr>
        <w:t>技术文件目录</w:t>
      </w:r>
    </w:p>
    <w:p w14:paraId="69B199DB">
      <w:pPr>
        <w:pStyle w:val="103"/>
        <w:spacing w:line="360" w:lineRule="auto"/>
        <w:rPr>
          <w:rFonts w:cs="仿宋_GB2312"/>
        </w:rPr>
      </w:pPr>
      <w:r>
        <w:rPr>
          <w:rFonts w:hint="eastAsia" w:cs="仿宋_GB2312"/>
        </w:rPr>
        <w:t>一、服务需求、技术需求偏离表………………………………………………（页码）</w:t>
      </w:r>
    </w:p>
    <w:p w14:paraId="7BA40F13">
      <w:pPr>
        <w:pStyle w:val="103"/>
        <w:spacing w:line="360" w:lineRule="auto"/>
        <w:rPr>
          <w:rFonts w:cs="仿宋_GB2312"/>
        </w:rPr>
      </w:pPr>
      <w:r>
        <w:rPr>
          <w:rFonts w:hint="eastAsia" w:cs="仿宋_GB2312"/>
        </w:rPr>
        <w:t>二、组织服务方案………………………………………………………………（页码）</w:t>
      </w:r>
    </w:p>
    <w:p w14:paraId="4F41DB3F">
      <w:pPr>
        <w:pStyle w:val="103"/>
        <w:spacing w:line="360" w:lineRule="auto"/>
        <w:rPr>
          <w:rFonts w:cs="仿宋_GB2312"/>
        </w:rPr>
      </w:pPr>
      <w:r>
        <w:rPr>
          <w:rFonts w:hint="eastAsia" w:cs="仿宋_GB2312"/>
        </w:rPr>
        <w:t>三、</w:t>
      </w:r>
      <w:r>
        <w:rPr>
          <w:rFonts w:hint="eastAsia" w:ascii="宋体" w:hAnsi="宋体"/>
          <w:szCs w:val="21"/>
        </w:rPr>
        <w:t>售后服务方案</w:t>
      </w:r>
      <w:r>
        <w:rPr>
          <w:rFonts w:hint="eastAsia" w:cs="仿宋_GB2312"/>
        </w:rPr>
        <w:t>………………………………</w:t>
      </w:r>
      <w:r>
        <w:rPr>
          <w:rFonts w:hint="eastAsia" w:cs="仿宋_GB2312"/>
          <w:lang w:val="zh-CN"/>
        </w:rPr>
        <w:t>………</w:t>
      </w:r>
      <w:r>
        <w:rPr>
          <w:rFonts w:hint="eastAsia" w:cs="仿宋_GB2312"/>
        </w:rPr>
        <w:t>………………………（页码）</w:t>
      </w:r>
    </w:p>
    <w:p w14:paraId="1EE4623A">
      <w:pPr>
        <w:pStyle w:val="103"/>
        <w:spacing w:line="360" w:lineRule="auto"/>
        <w:rPr>
          <w:rFonts w:cs="仿宋_GB2312"/>
        </w:rPr>
      </w:pPr>
      <w:r>
        <w:rPr>
          <w:rFonts w:hint="eastAsia" w:cs="仿宋_GB2312"/>
        </w:rPr>
        <w:t>四、</w:t>
      </w:r>
      <w:r>
        <w:rPr>
          <w:rFonts w:hint="eastAsia" w:cs="仿宋_GB2312"/>
          <w:lang w:val="zh-CN"/>
        </w:rPr>
        <w:t>项目实施人员一览表………………………………</w:t>
      </w:r>
      <w:r>
        <w:rPr>
          <w:rFonts w:hint="eastAsia" w:cs="仿宋_GB2312"/>
        </w:rPr>
        <w:t>………………………（页码）</w:t>
      </w:r>
    </w:p>
    <w:p w14:paraId="42F18A82">
      <w:pPr>
        <w:pStyle w:val="103"/>
        <w:spacing w:line="360" w:lineRule="auto"/>
        <w:rPr>
          <w:rFonts w:cs="仿宋_GB2312"/>
        </w:rPr>
      </w:pPr>
      <w:r>
        <w:rPr>
          <w:rFonts w:hint="eastAsia" w:cs="仿宋_GB2312"/>
        </w:rPr>
        <w:t>五、投标人对项目的合理化建议和改进措施</w:t>
      </w:r>
      <w:r>
        <w:rPr>
          <w:rFonts w:hint="eastAsia" w:cs="仿宋_GB2312"/>
          <w:lang w:val="zh-CN"/>
        </w:rPr>
        <w:t>…………………………</w:t>
      </w:r>
      <w:r>
        <w:rPr>
          <w:rFonts w:hint="eastAsia" w:cs="仿宋_GB2312"/>
        </w:rPr>
        <w:t>………（页码）</w:t>
      </w:r>
    </w:p>
    <w:p w14:paraId="66CEC064">
      <w:pPr>
        <w:pStyle w:val="103"/>
        <w:spacing w:line="360" w:lineRule="auto"/>
        <w:rPr>
          <w:rFonts w:cs="仿宋_GB2312"/>
        </w:rPr>
      </w:pPr>
      <w:r>
        <w:rPr>
          <w:rFonts w:hint="eastAsia" w:cs="仿宋_GB2312"/>
        </w:rPr>
        <w:t>六、除招标文件规定必须提供以外，投标人需要说明的其他文件和说明…（页码）</w:t>
      </w:r>
    </w:p>
    <w:p w14:paraId="5E086462">
      <w:pPr>
        <w:spacing w:line="360" w:lineRule="auto"/>
        <w:rPr>
          <w:rFonts w:ascii="仿宋_GB2312" w:hAnsi="仿宋" w:eastAsia="仿宋_GB2312" w:cs="仿宋_GB2312"/>
          <w:b/>
          <w:bCs/>
          <w:sz w:val="24"/>
        </w:rPr>
      </w:pPr>
      <w:r>
        <w:rPr>
          <w:rFonts w:hint="eastAsia" w:ascii="仿宋_GB2312" w:hAnsi="仿宋" w:eastAsia="仿宋_GB2312" w:cs="仿宋_GB2312"/>
          <w:b/>
          <w:bCs/>
          <w:sz w:val="24"/>
        </w:rPr>
        <w:t>注：以上目录是基本格式要求，各投标人可根据自身情况进一步向下增加内容或细化。</w:t>
      </w:r>
    </w:p>
    <w:p w14:paraId="7084CAED">
      <w:pPr>
        <w:snapToGrid w:val="0"/>
        <w:spacing w:before="165" w:beforeLines="50" w:after="50"/>
        <w:ind w:left="143" w:leftChars="68" w:firstLine="472" w:firstLineChars="196"/>
        <w:jc w:val="left"/>
        <w:rPr>
          <w:rFonts w:ascii="宋体" w:hAnsi="宋体"/>
          <w:b/>
          <w:sz w:val="24"/>
        </w:rPr>
      </w:pPr>
    </w:p>
    <w:p w14:paraId="7AC8D12A">
      <w:pPr>
        <w:snapToGrid w:val="0"/>
        <w:spacing w:before="165" w:beforeLines="50" w:after="50"/>
        <w:ind w:left="143" w:leftChars="68" w:firstLine="472" w:firstLineChars="196"/>
        <w:jc w:val="left"/>
        <w:rPr>
          <w:rFonts w:ascii="宋体" w:hAnsi="宋体"/>
          <w:b/>
          <w:sz w:val="24"/>
        </w:rPr>
      </w:pPr>
      <w:r>
        <w:rPr>
          <w:rFonts w:ascii="宋体" w:hAnsi="宋体"/>
          <w:b/>
          <w:sz w:val="24"/>
        </w:rPr>
        <w:br w:type="page"/>
      </w:r>
      <w:r>
        <w:rPr>
          <w:rFonts w:hint="eastAsia" w:ascii="宋体" w:hAnsi="宋体"/>
          <w:b/>
          <w:sz w:val="24"/>
        </w:rPr>
        <w:t xml:space="preserve"> </w:t>
      </w:r>
    </w:p>
    <w:p w14:paraId="7D8EE77D">
      <w:pPr>
        <w:spacing w:line="500" w:lineRule="exact"/>
        <w:jc w:val="center"/>
        <w:rPr>
          <w:b/>
          <w:bCs/>
          <w:sz w:val="30"/>
          <w:szCs w:val="30"/>
        </w:rPr>
      </w:pPr>
      <w:r>
        <w:rPr>
          <w:rFonts w:hint="eastAsia"/>
          <w:b/>
          <w:bCs/>
          <w:sz w:val="30"/>
          <w:szCs w:val="30"/>
        </w:rPr>
        <w:t>一、服务需求、技术需求偏离表</w:t>
      </w:r>
    </w:p>
    <w:p w14:paraId="061F6F82">
      <w:pPr>
        <w:spacing w:line="440" w:lineRule="exact"/>
        <w:ind w:firstLine="420" w:firstLineChars="200"/>
      </w:pPr>
    </w:p>
    <w:p w14:paraId="2794945C">
      <w:pPr>
        <w:spacing w:line="600" w:lineRule="exact"/>
        <w:ind w:firstLine="480" w:firstLineChars="200"/>
        <w:rPr>
          <w:rFonts w:hAnsi="宋体"/>
          <w:sz w:val="24"/>
        </w:rPr>
      </w:pPr>
      <w:r>
        <w:rPr>
          <w:rFonts w:hint="eastAsia" w:hAnsi="宋体"/>
          <w:sz w:val="24"/>
        </w:rPr>
        <w:t>请根据所投服务的实际技术参数，</w:t>
      </w:r>
      <w:r>
        <w:rPr>
          <w:rFonts w:hint="eastAsia" w:hAnsi="宋体"/>
          <w:b/>
          <w:sz w:val="28"/>
          <w:szCs w:val="28"/>
        </w:rPr>
        <w:t>逐条对应</w:t>
      </w:r>
      <w:r>
        <w:rPr>
          <w:rFonts w:hint="eastAsia" w:hAnsi="宋体"/>
          <w:sz w:val="24"/>
        </w:rPr>
        <w:t>本项目招标文件第二章</w:t>
      </w:r>
      <w:r>
        <w:rPr>
          <w:rFonts w:hAnsi="宋体"/>
          <w:sz w:val="24"/>
        </w:rPr>
        <w:t>“</w:t>
      </w:r>
      <w:r>
        <w:rPr>
          <w:rFonts w:hint="eastAsia" w:hAnsi="宋体"/>
          <w:sz w:val="24"/>
        </w:rPr>
        <w:t>服务需求一览表</w:t>
      </w:r>
      <w:r>
        <w:rPr>
          <w:rFonts w:hAnsi="宋体"/>
          <w:sz w:val="24"/>
        </w:rPr>
        <w:t>”</w:t>
      </w:r>
      <w:r>
        <w:rPr>
          <w:rFonts w:hint="eastAsia" w:hAnsi="宋体"/>
          <w:sz w:val="24"/>
        </w:rPr>
        <w:t>中的</w:t>
      </w:r>
      <w:r>
        <w:rPr>
          <w:rFonts w:hint="eastAsia" w:hAnsi="宋体"/>
          <w:b/>
          <w:sz w:val="28"/>
          <w:szCs w:val="28"/>
        </w:rPr>
        <w:t>服务内容与要求</w:t>
      </w:r>
      <w:r>
        <w:rPr>
          <w:rFonts w:hint="eastAsia" w:hAnsi="宋体"/>
          <w:sz w:val="24"/>
        </w:rPr>
        <w:t>详细填写相应的具体内容。</w:t>
      </w:r>
      <w:r>
        <w:rPr>
          <w:rFonts w:hAnsi="宋体"/>
          <w:sz w:val="24"/>
        </w:rPr>
        <w:t>“</w:t>
      </w:r>
      <w:r>
        <w:rPr>
          <w:rFonts w:hint="eastAsia" w:hAnsi="宋体"/>
          <w:sz w:val="24"/>
        </w:rPr>
        <w:t>偏离说明</w:t>
      </w:r>
      <w:r>
        <w:rPr>
          <w:rFonts w:hAnsi="宋体"/>
          <w:sz w:val="24"/>
        </w:rPr>
        <w:t>”</w:t>
      </w:r>
      <w:r>
        <w:rPr>
          <w:rFonts w:hint="eastAsia" w:hAnsi="宋体"/>
          <w:sz w:val="24"/>
        </w:rPr>
        <w:t>一栏应当选择</w:t>
      </w:r>
      <w:r>
        <w:rPr>
          <w:rFonts w:hAnsi="宋体"/>
          <w:sz w:val="24"/>
        </w:rPr>
        <w:t>“</w:t>
      </w:r>
      <w:r>
        <w:rPr>
          <w:rFonts w:hint="eastAsia" w:hAnsi="宋体"/>
          <w:sz w:val="24"/>
        </w:rPr>
        <w:t>正偏离</w:t>
      </w:r>
      <w:r>
        <w:rPr>
          <w:rFonts w:hAnsi="宋体"/>
          <w:sz w:val="24"/>
        </w:rPr>
        <w:t>”</w:t>
      </w:r>
      <w:r>
        <w:rPr>
          <w:rFonts w:hint="eastAsia" w:hAnsi="宋体"/>
          <w:sz w:val="24"/>
        </w:rPr>
        <w:t>、</w:t>
      </w:r>
      <w:r>
        <w:rPr>
          <w:rFonts w:hAnsi="宋体"/>
          <w:sz w:val="24"/>
        </w:rPr>
        <w:t>“</w:t>
      </w:r>
      <w:r>
        <w:rPr>
          <w:rFonts w:hint="eastAsia" w:hAnsi="宋体"/>
          <w:sz w:val="24"/>
        </w:rPr>
        <w:t>负偏离</w:t>
      </w:r>
      <w:r>
        <w:rPr>
          <w:rFonts w:hAnsi="宋体"/>
          <w:sz w:val="24"/>
        </w:rPr>
        <w:t>”</w:t>
      </w:r>
      <w:r>
        <w:rPr>
          <w:rFonts w:hint="eastAsia" w:hAnsi="宋体"/>
          <w:sz w:val="24"/>
        </w:rPr>
        <w:t>或</w:t>
      </w:r>
      <w:r>
        <w:rPr>
          <w:rFonts w:hAnsi="宋体"/>
          <w:sz w:val="24"/>
        </w:rPr>
        <w:t>“</w:t>
      </w:r>
      <w:r>
        <w:rPr>
          <w:rFonts w:hint="eastAsia" w:hAnsi="宋体"/>
          <w:sz w:val="24"/>
        </w:rPr>
        <w:t>无偏离</w:t>
      </w:r>
      <w:r>
        <w:rPr>
          <w:rFonts w:hAnsi="宋体"/>
          <w:sz w:val="24"/>
        </w:rPr>
        <w:t>”</w:t>
      </w:r>
      <w:r>
        <w:rPr>
          <w:rFonts w:hint="eastAsia" w:hAnsi="宋体"/>
          <w:sz w:val="24"/>
        </w:rPr>
        <w:t>进行填写。</w:t>
      </w:r>
    </w:p>
    <w:tbl>
      <w:tblPr>
        <w:tblStyle w:val="35"/>
        <w:tblW w:w="10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34"/>
        <w:gridCol w:w="1260"/>
        <w:gridCol w:w="2310"/>
        <w:gridCol w:w="1516"/>
        <w:gridCol w:w="3297"/>
        <w:gridCol w:w="1168"/>
      </w:tblGrid>
      <w:tr w14:paraId="5993DE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17" w:hRule="atLeast"/>
          <w:jc w:val="center"/>
        </w:trPr>
        <w:tc>
          <w:tcPr>
            <w:tcW w:w="634" w:type="dxa"/>
            <w:vMerge w:val="restart"/>
            <w:tcBorders>
              <w:top w:val="single" w:color="auto" w:sz="4" w:space="0"/>
              <w:left w:val="single" w:color="auto" w:sz="4" w:space="0"/>
              <w:bottom w:val="single" w:color="auto" w:sz="4" w:space="0"/>
              <w:right w:val="single" w:color="auto" w:sz="4" w:space="0"/>
            </w:tcBorders>
            <w:vAlign w:val="center"/>
          </w:tcPr>
          <w:p w14:paraId="61E7EF66">
            <w:pPr>
              <w:rPr>
                <w:rFonts w:ascii="宋体" w:hAnsi="宋体"/>
                <w:szCs w:val="21"/>
              </w:rPr>
            </w:pPr>
            <w:r>
              <w:rPr>
                <w:rFonts w:hint="eastAsia" w:ascii="宋体" w:hAnsi="宋体"/>
                <w:szCs w:val="21"/>
              </w:rPr>
              <w:t>项号</w:t>
            </w:r>
          </w:p>
        </w:tc>
        <w:tc>
          <w:tcPr>
            <w:tcW w:w="3570" w:type="dxa"/>
            <w:gridSpan w:val="2"/>
            <w:tcBorders>
              <w:top w:val="single" w:color="auto" w:sz="4" w:space="0"/>
              <w:left w:val="single" w:color="auto" w:sz="4" w:space="0"/>
              <w:bottom w:val="single" w:color="auto" w:sz="4" w:space="0"/>
              <w:right w:val="single" w:color="auto" w:sz="4" w:space="0"/>
            </w:tcBorders>
            <w:vAlign w:val="center"/>
          </w:tcPr>
          <w:p w14:paraId="22BE59BD">
            <w:pPr>
              <w:jc w:val="center"/>
              <w:rPr>
                <w:rFonts w:ascii="宋体" w:hAnsi="宋体"/>
                <w:szCs w:val="21"/>
              </w:rPr>
            </w:pPr>
            <w:r>
              <w:rPr>
                <w:rFonts w:hint="eastAsia" w:ascii="宋体" w:hAnsi="宋体"/>
                <w:szCs w:val="21"/>
              </w:rPr>
              <w:t>招标文件需求</w:t>
            </w:r>
          </w:p>
        </w:tc>
        <w:tc>
          <w:tcPr>
            <w:tcW w:w="4813" w:type="dxa"/>
            <w:gridSpan w:val="2"/>
            <w:tcBorders>
              <w:top w:val="single" w:color="auto" w:sz="4" w:space="0"/>
              <w:left w:val="single" w:color="auto" w:sz="4" w:space="0"/>
              <w:bottom w:val="single" w:color="auto" w:sz="4" w:space="0"/>
              <w:right w:val="single" w:color="auto" w:sz="4" w:space="0"/>
            </w:tcBorders>
            <w:vAlign w:val="center"/>
          </w:tcPr>
          <w:p w14:paraId="4F020424">
            <w:pPr>
              <w:jc w:val="center"/>
              <w:rPr>
                <w:rFonts w:ascii="宋体" w:hAnsi="宋体"/>
                <w:szCs w:val="21"/>
              </w:rPr>
            </w:pPr>
            <w:r>
              <w:rPr>
                <w:rFonts w:hint="eastAsia" w:ascii="宋体" w:hAnsi="宋体"/>
                <w:szCs w:val="21"/>
              </w:rPr>
              <w:t>投标文件承诺</w:t>
            </w:r>
          </w:p>
        </w:tc>
        <w:tc>
          <w:tcPr>
            <w:tcW w:w="1168" w:type="dxa"/>
            <w:vMerge w:val="restart"/>
            <w:tcBorders>
              <w:top w:val="single" w:color="auto" w:sz="4" w:space="0"/>
              <w:left w:val="single" w:color="auto" w:sz="4" w:space="0"/>
              <w:bottom w:val="single" w:color="auto" w:sz="4" w:space="0"/>
              <w:right w:val="single" w:color="auto" w:sz="4" w:space="0"/>
            </w:tcBorders>
            <w:vAlign w:val="center"/>
          </w:tcPr>
          <w:p w14:paraId="23A3ACAB">
            <w:pPr>
              <w:rPr>
                <w:rFonts w:ascii="宋体" w:hAnsi="宋体"/>
                <w:szCs w:val="21"/>
              </w:rPr>
            </w:pPr>
            <w:r>
              <w:rPr>
                <w:rFonts w:hint="eastAsia" w:ascii="宋体" w:hAnsi="宋体"/>
                <w:szCs w:val="21"/>
              </w:rPr>
              <w:t>偏离说明</w:t>
            </w:r>
          </w:p>
        </w:tc>
      </w:tr>
      <w:tr w14:paraId="07F716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35" w:hRule="atLeast"/>
          <w:jc w:val="center"/>
        </w:trPr>
        <w:tc>
          <w:tcPr>
            <w:tcW w:w="634" w:type="dxa"/>
            <w:vMerge w:val="continue"/>
            <w:tcBorders>
              <w:top w:val="single" w:color="auto" w:sz="4" w:space="0"/>
              <w:left w:val="single" w:color="auto" w:sz="4" w:space="0"/>
              <w:bottom w:val="single" w:color="auto" w:sz="4" w:space="0"/>
              <w:right w:val="single" w:color="auto" w:sz="4" w:space="0"/>
            </w:tcBorders>
            <w:vAlign w:val="center"/>
          </w:tcPr>
          <w:p w14:paraId="01DCBE73">
            <w:pPr>
              <w:widowControl/>
              <w:jc w:val="left"/>
              <w:rPr>
                <w:rFonts w:ascii="宋体" w:hAnsi="宋体"/>
                <w:szCs w:val="21"/>
              </w:rPr>
            </w:pPr>
          </w:p>
        </w:tc>
        <w:tc>
          <w:tcPr>
            <w:tcW w:w="1260" w:type="dxa"/>
            <w:tcBorders>
              <w:top w:val="single" w:color="auto" w:sz="4" w:space="0"/>
              <w:left w:val="single" w:color="auto" w:sz="4" w:space="0"/>
              <w:bottom w:val="single" w:color="auto" w:sz="4" w:space="0"/>
              <w:right w:val="single" w:color="auto" w:sz="4" w:space="0"/>
            </w:tcBorders>
            <w:vAlign w:val="center"/>
          </w:tcPr>
          <w:p w14:paraId="2EBA6A8D">
            <w:pPr>
              <w:jc w:val="center"/>
              <w:rPr>
                <w:rFonts w:ascii="宋体" w:hAnsi="宋体"/>
                <w:szCs w:val="21"/>
              </w:rPr>
            </w:pPr>
            <w:r>
              <w:rPr>
                <w:rFonts w:hint="eastAsia" w:ascii="宋体" w:hAnsi="宋体"/>
                <w:szCs w:val="21"/>
              </w:rPr>
              <w:t>服务名称</w:t>
            </w:r>
          </w:p>
        </w:tc>
        <w:tc>
          <w:tcPr>
            <w:tcW w:w="2310" w:type="dxa"/>
            <w:tcBorders>
              <w:top w:val="single" w:color="auto" w:sz="4" w:space="0"/>
              <w:left w:val="single" w:color="auto" w:sz="4" w:space="0"/>
              <w:bottom w:val="single" w:color="auto" w:sz="4" w:space="0"/>
              <w:right w:val="single" w:color="auto" w:sz="4" w:space="0"/>
            </w:tcBorders>
            <w:vAlign w:val="center"/>
          </w:tcPr>
          <w:p w14:paraId="1FE6259B">
            <w:pPr>
              <w:jc w:val="center"/>
              <w:rPr>
                <w:rFonts w:ascii="宋体" w:hAnsi="宋体"/>
                <w:szCs w:val="21"/>
              </w:rPr>
            </w:pPr>
            <w:r>
              <w:rPr>
                <w:rFonts w:hint="eastAsia" w:ascii="宋体" w:hAnsi="宋体"/>
                <w:szCs w:val="21"/>
              </w:rPr>
              <w:t>服务参数</w:t>
            </w:r>
          </w:p>
        </w:tc>
        <w:tc>
          <w:tcPr>
            <w:tcW w:w="1516" w:type="dxa"/>
            <w:tcBorders>
              <w:top w:val="single" w:color="auto" w:sz="4" w:space="0"/>
              <w:left w:val="single" w:color="auto" w:sz="4" w:space="0"/>
              <w:bottom w:val="single" w:color="auto" w:sz="4" w:space="0"/>
              <w:right w:val="single" w:color="auto" w:sz="4" w:space="0"/>
            </w:tcBorders>
            <w:vAlign w:val="center"/>
          </w:tcPr>
          <w:p w14:paraId="1A3FE250">
            <w:pPr>
              <w:jc w:val="center"/>
              <w:rPr>
                <w:rFonts w:ascii="宋体" w:hAnsi="宋体"/>
                <w:szCs w:val="21"/>
              </w:rPr>
            </w:pPr>
            <w:r>
              <w:rPr>
                <w:rFonts w:hint="eastAsia" w:ascii="宋体" w:hAnsi="宋体"/>
                <w:szCs w:val="21"/>
              </w:rPr>
              <w:t>服务名称</w:t>
            </w:r>
          </w:p>
        </w:tc>
        <w:tc>
          <w:tcPr>
            <w:tcW w:w="3297" w:type="dxa"/>
            <w:tcBorders>
              <w:top w:val="single" w:color="auto" w:sz="4" w:space="0"/>
              <w:left w:val="single" w:color="auto" w:sz="4" w:space="0"/>
              <w:bottom w:val="single" w:color="auto" w:sz="4" w:space="0"/>
              <w:right w:val="single" w:color="auto" w:sz="4" w:space="0"/>
            </w:tcBorders>
            <w:vAlign w:val="center"/>
          </w:tcPr>
          <w:p w14:paraId="58742130">
            <w:pPr>
              <w:jc w:val="center"/>
              <w:rPr>
                <w:rFonts w:ascii="宋体" w:hAnsi="宋体"/>
                <w:szCs w:val="21"/>
              </w:rPr>
            </w:pPr>
            <w:r>
              <w:rPr>
                <w:rFonts w:hint="eastAsia" w:ascii="宋体" w:hAnsi="宋体"/>
                <w:szCs w:val="21"/>
              </w:rPr>
              <w:t>所提供服务的内容</w:t>
            </w:r>
          </w:p>
        </w:tc>
        <w:tc>
          <w:tcPr>
            <w:tcW w:w="1168" w:type="dxa"/>
            <w:vMerge w:val="continue"/>
            <w:tcBorders>
              <w:top w:val="single" w:color="auto" w:sz="4" w:space="0"/>
              <w:left w:val="single" w:color="auto" w:sz="4" w:space="0"/>
              <w:bottom w:val="single" w:color="auto" w:sz="4" w:space="0"/>
              <w:right w:val="single" w:color="auto" w:sz="4" w:space="0"/>
            </w:tcBorders>
            <w:vAlign w:val="center"/>
          </w:tcPr>
          <w:p w14:paraId="58B64112">
            <w:pPr>
              <w:widowControl/>
              <w:jc w:val="left"/>
              <w:rPr>
                <w:rFonts w:ascii="宋体" w:hAnsi="宋体"/>
                <w:szCs w:val="21"/>
              </w:rPr>
            </w:pPr>
          </w:p>
        </w:tc>
      </w:tr>
      <w:tr w14:paraId="523A058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73B29E43">
            <w:pPr>
              <w:rPr>
                <w:rFonts w:ascii="宋体" w:hAnsi="宋体"/>
                <w:szCs w:val="21"/>
              </w:rPr>
            </w:pPr>
            <w:r>
              <w:rPr>
                <w:rFonts w:ascii="宋体" w:hAnsi="宋体"/>
                <w:szCs w:val="21"/>
              </w:rPr>
              <w:t>1</w:t>
            </w:r>
          </w:p>
        </w:tc>
        <w:tc>
          <w:tcPr>
            <w:tcW w:w="1260" w:type="dxa"/>
            <w:tcBorders>
              <w:top w:val="single" w:color="auto" w:sz="4" w:space="0"/>
              <w:left w:val="single" w:color="auto" w:sz="4" w:space="0"/>
              <w:bottom w:val="single" w:color="auto" w:sz="4" w:space="0"/>
              <w:right w:val="single" w:color="auto" w:sz="4" w:space="0"/>
            </w:tcBorders>
            <w:vAlign w:val="center"/>
          </w:tcPr>
          <w:p w14:paraId="6D8B7250">
            <w:pPr>
              <w:rPr>
                <w:rFonts w:ascii="宋体" w:hAnsi="宋体"/>
                <w:szCs w:val="21"/>
              </w:rPr>
            </w:pPr>
            <w:r>
              <w:rPr>
                <w:rFonts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0CA9EA13">
            <w:pPr>
              <w:rPr>
                <w:rFonts w:ascii="宋体" w:hAnsi="宋体"/>
                <w:szCs w:val="21"/>
              </w:rPr>
            </w:pPr>
            <w:r>
              <w:rPr>
                <w:rFonts w:ascii="宋体" w:hAnsi="宋体"/>
                <w:szCs w:val="21"/>
              </w:rPr>
              <w:t>1  ……</w:t>
            </w:r>
          </w:p>
          <w:p w14:paraId="4AD264C6">
            <w:pPr>
              <w:rPr>
                <w:rFonts w:ascii="宋体" w:hAnsi="宋体"/>
                <w:szCs w:val="21"/>
              </w:rPr>
            </w:pPr>
            <w:r>
              <w:rPr>
                <w:rFonts w:ascii="宋体" w:hAnsi="宋体"/>
                <w:szCs w:val="21"/>
              </w:rPr>
              <w:t>2  ……</w:t>
            </w:r>
          </w:p>
          <w:p w14:paraId="056CCFDC">
            <w:pPr>
              <w:rPr>
                <w:rFonts w:ascii="宋体" w:hAnsi="宋体"/>
                <w:szCs w:val="21"/>
              </w:rPr>
            </w:pPr>
            <w:r>
              <w:rPr>
                <w:rFonts w:ascii="宋体" w:hAnsi="宋体"/>
                <w:szCs w:val="21"/>
              </w:rPr>
              <w:t>3  ……</w:t>
            </w:r>
          </w:p>
          <w:p w14:paraId="4DA0B898">
            <w:pPr>
              <w:rPr>
                <w:rFonts w:ascii="宋体" w:hAnsi="宋体"/>
                <w:szCs w:val="21"/>
              </w:rPr>
            </w:pPr>
            <w:r>
              <w:rPr>
                <w:rFonts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34AD1D35">
            <w:pPr>
              <w:rPr>
                <w:rFonts w:ascii="宋体" w:hAnsi="宋体"/>
                <w:szCs w:val="21"/>
              </w:rPr>
            </w:pPr>
            <w:r>
              <w:rPr>
                <w:rFonts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15A9D520">
            <w:pPr>
              <w:rPr>
                <w:rFonts w:ascii="宋体" w:hAnsi="宋体"/>
                <w:szCs w:val="21"/>
              </w:rPr>
            </w:pPr>
            <w:r>
              <w:rPr>
                <w:rFonts w:ascii="宋体" w:hAnsi="宋体"/>
                <w:szCs w:val="21"/>
              </w:rPr>
              <w:t>1  ……</w:t>
            </w:r>
          </w:p>
          <w:p w14:paraId="47997F18">
            <w:pPr>
              <w:rPr>
                <w:rFonts w:ascii="宋体" w:hAnsi="宋体"/>
                <w:szCs w:val="21"/>
              </w:rPr>
            </w:pPr>
            <w:r>
              <w:rPr>
                <w:rFonts w:ascii="宋体" w:hAnsi="宋体"/>
                <w:szCs w:val="21"/>
              </w:rPr>
              <w:t>2  ……</w:t>
            </w:r>
          </w:p>
          <w:p w14:paraId="313011EA">
            <w:pPr>
              <w:rPr>
                <w:rFonts w:ascii="宋体" w:hAnsi="宋体"/>
                <w:szCs w:val="21"/>
              </w:rPr>
            </w:pPr>
            <w:r>
              <w:rPr>
                <w:rFonts w:ascii="宋体" w:hAnsi="宋体"/>
                <w:szCs w:val="21"/>
              </w:rPr>
              <w:t>3  ……</w:t>
            </w:r>
          </w:p>
          <w:p w14:paraId="0530716E">
            <w:pPr>
              <w:rPr>
                <w:rFonts w:ascii="宋体" w:hAnsi="宋体"/>
                <w:szCs w:val="21"/>
              </w:rPr>
            </w:pPr>
            <w:r>
              <w:rPr>
                <w:rFonts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5763584B">
            <w:pPr>
              <w:rPr>
                <w:rFonts w:ascii="宋体" w:hAnsi="宋体"/>
                <w:szCs w:val="21"/>
              </w:rPr>
            </w:pPr>
            <w:r>
              <w:rPr>
                <w:rFonts w:hint="eastAsia" w:ascii="宋体" w:hAnsi="宋体"/>
                <w:szCs w:val="21"/>
              </w:rPr>
              <w:t>正偏离（负偏离或无偏离）</w:t>
            </w:r>
          </w:p>
        </w:tc>
      </w:tr>
      <w:tr w14:paraId="2BECCD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254CE2BC">
            <w:pPr>
              <w:rPr>
                <w:rFonts w:ascii="宋体" w:hAnsi="宋体"/>
                <w:szCs w:val="21"/>
              </w:rPr>
            </w:pPr>
            <w:r>
              <w:rPr>
                <w:rFonts w:ascii="宋体" w:hAnsi="宋体"/>
                <w:szCs w:val="21"/>
              </w:rPr>
              <w:t>2</w:t>
            </w:r>
          </w:p>
        </w:tc>
        <w:tc>
          <w:tcPr>
            <w:tcW w:w="1260" w:type="dxa"/>
            <w:tcBorders>
              <w:top w:val="single" w:color="auto" w:sz="4" w:space="0"/>
              <w:left w:val="single" w:color="auto" w:sz="4" w:space="0"/>
              <w:bottom w:val="single" w:color="auto" w:sz="4" w:space="0"/>
              <w:right w:val="single" w:color="auto" w:sz="4" w:space="0"/>
            </w:tcBorders>
            <w:vAlign w:val="center"/>
          </w:tcPr>
          <w:p w14:paraId="532DAC61">
            <w:pPr>
              <w:rPr>
                <w:rFonts w:ascii="宋体" w:hAnsi="宋体"/>
                <w:szCs w:val="21"/>
              </w:rPr>
            </w:pPr>
            <w:r>
              <w:rPr>
                <w:rFonts w:ascii="宋体" w:hAnsi="宋体"/>
                <w:szCs w:val="21"/>
              </w:rPr>
              <w:t>……</w:t>
            </w:r>
          </w:p>
        </w:tc>
        <w:tc>
          <w:tcPr>
            <w:tcW w:w="2310" w:type="dxa"/>
            <w:tcBorders>
              <w:top w:val="single" w:color="auto" w:sz="4" w:space="0"/>
              <w:left w:val="single" w:color="auto" w:sz="4" w:space="0"/>
              <w:bottom w:val="single" w:color="auto" w:sz="4" w:space="0"/>
              <w:right w:val="single" w:color="auto" w:sz="4" w:space="0"/>
            </w:tcBorders>
            <w:vAlign w:val="center"/>
          </w:tcPr>
          <w:p w14:paraId="537E0DED">
            <w:pPr>
              <w:rPr>
                <w:rFonts w:ascii="宋体" w:hAnsi="宋体"/>
                <w:szCs w:val="21"/>
              </w:rPr>
            </w:pPr>
            <w:r>
              <w:rPr>
                <w:rFonts w:ascii="宋体" w:hAnsi="宋体"/>
                <w:szCs w:val="21"/>
              </w:rPr>
              <w:t>1  ……</w:t>
            </w:r>
          </w:p>
          <w:p w14:paraId="2ECE2C6C">
            <w:pPr>
              <w:rPr>
                <w:rFonts w:ascii="宋体" w:hAnsi="宋体"/>
                <w:szCs w:val="21"/>
              </w:rPr>
            </w:pPr>
            <w:r>
              <w:rPr>
                <w:rFonts w:ascii="宋体" w:hAnsi="宋体"/>
                <w:szCs w:val="21"/>
              </w:rPr>
              <w:t>2  ……</w:t>
            </w:r>
          </w:p>
          <w:p w14:paraId="3A550DC6">
            <w:pPr>
              <w:rPr>
                <w:rFonts w:ascii="宋体" w:hAnsi="宋体"/>
                <w:szCs w:val="21"/>
              </w:rPr>
            </w:pPr>
            <w:r>
              <w:rPr>
                <w:rFonts w:ascii="宋体" w:hAnsi="宋体"/>
                <w:szCs w:val="21"/>
              </w:rPr>
              <w:t>3  ……</w:t>
            </w:r>
          </w:p>
          <w:p w14:paraId="4C26F48A">
            <w:pPr>
              <w:rPr>
                <w:rFonts w:ascii="宋体" w:hAnsi="宋体"/>
                <w:szCs w:val="21"/>
              </w:rPr>
            </w:pPr>
            <w:r>
              <w:rPr>
                <w:rFonts w:ascii="宋体" w:hAnsi="宋体"/>
                <w:szCs w:val="21"/>
              </w:rPr>
              <w:t>……</w:t>
            </w:r>
          </w:p>
        </w:tc>
        <w:tc>
          <w:tcPr>
            <w:tcW w:w="1516" w:type="dxa"/>
            <w:tcBorders>
              <w:top w:val="single" w:color="auto" w:sz="4" w:space="0"/>
              <w:left w:val="single" w:color="auto" w:sz="4" w:space="0"/>
              <w:bottom w:val="single" w:color="auto" w:sz="4" w:space="0"/>
              <w:right w:val="single" w:color="auto" w:sz="4" w:space="0"/>
            </w:tcBorders>
            <w:vAlign w:val="center"/>
          </w:tcPr>
          <w:p w14:paraId="51296EEB">
            <w:pPr>
              <w:rPr>
                <w:rFonts w:ascii="宋体" w:hAnsi="宋体"/>
                <w:szCs w:val="21"/>
              </w:rPr>
            </w:pPr>
            <w:r>
              <w:rPr>
                <w:rFonts w:ascii="宋体" w:hAnsi="宋体"/>
                <w:szCs w:val="21"/>
              </w:rPr>
              <w:t>……</w:t>
            </w:r>
          </w:p>
        </w:tc>
        <w:tc>
          <w:tcPr>
            <w:tcW w:w="3297" w:type="dxa"/>
            <w:tcBorders>
              <w:top w:val="single" w:color="auto" w:sz="4" w:space="0"/>
              <w:left w:val="single" w:color="auto" w:sz="4" w:space="0"/>
              <w:bottom w:val="single" w:color="auto" w:sz="4" w:space="0"/>
              <w:right w:val="single" w:color="auto" w:sz="4" w:space="0"/>
            </w:tcBorders>
            <w:vAlign w:val="center"/>
          </w:tcPr>
          <w:p w14:paraId="67737F44">
            <w:pPr>
              <w:rPr>
                <w:rFonts w:ascii="宋体" w:hAnsi="宋体"/>
                <w:szCs w:val="21"/>
              </w:rPr>
            </w:pPr>
            <w:r>
              <w:rPr>
                <w:rFonts w:ascii="宋体" w:hAnsi="宋体"/>
                <w:szCs w:val="21"/>
              </w:rPr>
              <w:t>1  ……</w:t>
            </w:r>
          </w:p>
          <w:p w14:paraId="752293BA">
            <w:pPr>
              <w:rPr>
                <w:rFonts w:ascii="宋体" w:hAnsi="宋体"/>
                <w:szCs w:val="21"/>
              </w:rPr>
            </w:pPr>
            <w:r>
              <w:rPr>
                <w:rFonts w:ascii="宋体" w:hAnsi="宋体"/>
                <w:szCs w:val="21"/>
              </w:rPr>
              <w:t>2  ……</w:t>
            </w:r>
          </w:p>
          <w:p w14:paraId="4ABC271C">
            <w:pPr>
              <w:rPr>
                <w:rFonts w:ascii="宋体" w:hAnsi="宋体"/>
                <w:szCs w:val="21"/>
              </w:rPr>
            </w:pPr>
            <w:r>
              <w:rPr>
                <w:rFonts w:ascii="宋体" w:hAnsi="宋体"/>
                <w:szCs w:val="21"/>
              </w:rPr>
              <w:t>3  ……</w:t>
            </w:r>
          </w:p>
          <w:p w14:paraId="73BAFF96">
            <w:pPr>
              <w:rPr>
                <w:rFonts w:ascii="宋体" w:hAnsi="宋体"/>
                <w:szCs w:val="21"/>
              </w:rPr>
            </w:pPr>
            <w:r>
              <w:rPr>
                <w:rFonts w:ascii="宋体" w:hAnsi="宋体"/>
                <w:szCs w:val="21"/>
              </w:rPr>
              <w:t>……</w:t>
            </w:r>
          </w:p>
        </w:tc>
        <w:tc>
          <w:tcPr>
            <w:tcW w:w="1168" w:type="dxa"/>
            <w:tcBorders>
              <w:top w:val="single" w:color="auto" w:sz="4" w:space="0"/>
              <w:left w:val="single" w:color="auto" w:sz="4" w:space="0"/>
              <w:bottom w:val="single" w:color="auto" w:sz="4" w:space="0"/>
              <w:right w:val="single" w:color="auto" w:sz="4" w:space="0"/>
            </w:tcBorders>
            <w:vAlign w:val="center"/>
          </w:tcPr>
          <w:p w14:paraId="7FE48EF9">
            <w:pPr>
              <w:rPr>
                <w:rFonts w:ascii="宋体" w:hAnsi="宋体"/>
                <w:szCs w:val="21"/>
              </w:rPr>
            </w:pPr>
            <w:r>
              <w:rPr>
                <w:rFonts w:hint="eastAsia" w:ascii="宋体" w:hAnsi="宋体"/>
                <w:szCs w:val="21"/>
              </w:rPr>
              <w:t>正偏离（负偏离或无偏离）</w:t>
            </w:r>
          </w:p>
        </w:tc>
      </w:tr>
      <w:tr w14:paraId="187BBD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34" w:type="dxa"/>
            <w:tcBorders>
              <w:top w:val="single" w:color="auto" w:sz="4" w:space="0"/>
              <w:left w:val="single" w:color="auto" w:sz="4" w:space="0"/>
              <w:bottom w:val="single" w:color="auto" w:sz="4" w:space="0"/>
              <w:right w:val="single" w:color="auto" w:sz="4" w:space="0"/>
            </w:tcBorders>
            <w:vAlign w:val="center"/>
          </w:tcPr>
          <w:p w14:paraId="3D91933C">
            <w:pPr>
              <w:rPr>
                <w:rFonts w:ascii="宋体" w:hAnsi="宋体"/>
                <w:szCs w:val="21"/>
              </w:rPr>
            </w:pPr>
            <w:r>
              <w:rPr>
                <w:rFonts w:ascii="宋体" w:hAnsi="宋体"/>
                <w:szCs w:val="21"/>
              </w:rPr>
              <w:t>...</w:t>
            </w:r>
          </w:p>
        </w:tc>
        <w:tc>
          <w:tcPr>
            <w:tcW w:w="1260" w:type="dxa"/>
            <w:tcBorders>
              <w:top w:val="single" w:color="auto" w:sz="4" w:space="0"/>
              <w:left w:val="single" w:color="auto" w:sz="4" w:space="0"/>
              <w:bottom w:val="single" w:color="auto" w:sz="4" w:space="0"/>
              <w:right w:val="single" w:color="auto" w:sz="4" w:space="0"/>
            </w:tcBorders>
            <w:vAlign w:val="center"/>
          </w:tcPr>
          <w:p w14:paraId="30960280">
            <w:pPr>
              <w:rPr>
                <w:rFonts w:ascii="宋体" w:hAnsi="宋体"/>
                <w:szCs w:val="21"/>
              </w:rPr>
            </w:pPr>
          </w:p>
        </w:tc>
        <w:tc>
          <w:tcPr>
            <w:tcW w:w="2310" w:type="dxa"/>
            <w:tcBorders>
              <w:top w:val="single" w:color="auto" w:sz="4" w:space="0"/>
              <w:left w:val="single" w:color="auto" w:sz="4" w:space="0"/>
              <w:bottom w:val="single" w:color="auto" w:sz="4" w:space="0"/>
              <w:right w:val="single" w:color="auto" w:sz="4" w:space="0"/>
            </w:tcBorders>
            <w:vAlign w:val="center"/>
          </w:tcPr>
          <w:p w14:paraId="604DEF0A">
            <w:pPr>
              <w:rPr>
                <w:rFonts w:ascii="宋体" w:hAnsi="宋体"/>
                <w:szCs w:val="21"/>
              </w:rPr>
            </w:pPr>
          </w:p>
        </w:tc>
        <w:tc>
          <w:tcPr>
            <w:tcW w:w="1516" w:type="dxa"/>
            <w:tcBorders>
              <w:top w:val="single" w:color="auto" w:sz="4" w:space="0"/>
              <w:left w:val="single" w:color="auto" w:sz="4" w:space="0"/>
              <w:bottom w:val="single" w:color="auto" w:sz="4" w:space="0"/>
              <w:right w:val="single" w:color="auto" w:sz="4" w:space="0"/>
            </w:tcBorders>
            <w:vAlign w:val="center"/>
          </w:tcPr>
          <w:p w14:paraId="619EABEF">
            <w:pPr>
              <w:rPr>
                <w:rFonts w:ascii="宋体" w:hAnsi="宋体"/>
                <w:szCs w:val="21"/>
              </w:rPr>
            </w:pPr>
          </w:p>
        </w:tc>
        <w:tc>
          <w:tcPr>
            <w:tcW w:w="3297" w:type="dxa"/>
            <w:tcBorders>
              <w:top w:val="single" w:color="auto" w:sz="4" w:space="0"/>
              <w:left w:val="single" w:color="auto" w:sz="4" w:space="0"/>
              <w:bottom w:val="single" w:color="auto" w:sz="4" w:space="0"/>
              <w:right w:val="single" w:color="auto" w:sz="4" w:space="0"/>
            </w:tcBorders>
            <w:vAlign w:val="center"/>
          </w:tcPr>
          <w:p w14:paraId="5F454479">
            <w:pPr>
              <w:rPr>
                <w:rFonts w:ascii="宋体" w:hAnsi="宋体"/>
                <w:szCs w:val="21"/>
              </w:rPr>
            </w:pPr>
          </w:p>
        </w:tc>
        <w:tc>
          <w:tcPr>
            <w:tcW w:w="1168" w:type="dxa"/>
            <w:tcBorders>
              <w:top w:val="single" w:color="auto" w:sz="4" w:space="0"/>
              <w:left w:val="single" w:color="auto" w:sz="4" w:space="0"/>
              <w:bottom w:val="single" w:color="auto" w:sz="4" w:space="0"/>
              <w:right w:val="single" w:color="auto" w:sz="4" w:space="0"/>
            </w:tcBorders>
            <w:vAlign w:val="center"/>
          </w:tcPr>
          <w:p w14:paraId="185F1935">
            <w:pPr>
              <w:rPr>
                <w:rFonts w:ascii="宋体" w:hAnsi="宋体"/>
                <w:szCs w:val="21"/>
              </w:rPr>
            </w:pPr>
          </w:p>
        </w:tc>
      </w:tr>
      <w:tr w14:paraId="351DA83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48" w:hRule="atLeast"/>
          <w:jc w:val="center"/>
        </w:trPr>
        <w:tc>
          <w:tcPr>
            <w:tcW w:w="10185" w:type="dxa"/>
            <w:gridSpan w:val="6"/>
            <w:tcBorders>
              <w:top w:val="single" w:color="auto" w:sz="4" w:space="0"/>
              <w:left w:val="single" w:color="auto" w:sz="4" w:space="0"/>
              <w:bottom w:val="single" w:color="auto" w:sz="4" w:space="0"/>
              <w:right w:val="single" w:color="auto" w:sz="4" w:space="0"/>
            </w:tcBorders>
            <w:vAlign w:val="center"/>
          </w:tcPr>
          <w:p w14:paraId="1B886C5D">
            <w:pPr>
              <w:rPr>
                <w:rFonts w:ascii="宋体" w:hAnsi="宋体"/>
                <w:szCs w:val="21"/>
              </w:rPr>
            </w:pPr>
            <w:r>
              <w:rPr>
                <w:rFonts w:hint="eastAsia" w:ascii="宋体" w:hAnsi="宋体"/>
                <w:szCs w:val="21"/>
                <w:u w:val="single"/>
              </w:rPr>
              <w:t>　　</w:t>
            </w:r>
            <w:r>
              <w:rPr>
                <w:rFonts w:hint="eastAsia" w:ascii="宋体" w:hAnsi="宋体"/>
                <w:szCs w:val="21"/>
              </w:rPr>
              <w:t>分标（此处有分标时填写具体分标号，无分标时填写</w:t>
            </w:r>
            <w:r>
              <w:rPr>
                <w:rFonts w:ascii="宋体" w:hAnsi="宋体"/>
                <w:szCs w:val="21"/>
              </w:rPr>
              <w:t>“</w:t>
            </w:r>
            <w:r>
              <w:rPr>
                <w:rFonts w:hint="eastAsia" w:ascii="宋体" w:hAnsi="宋体"/>
                <w:szCs w:val="21"/>
              </w:rPr>
              <w:t>无</w:t>
            </w:r>
            <w:r>
              <w:rPr>
                <w:rFonts w:ascii="宋体" w:hAnsi="宋体"/>
                <w:szCs w:val="21"/>
              </w:rPr>
              <w:t>”</w:t>
            </w:r>
            <w:r>
              <w:rPr>
                <w:rFonts w:hint="eastAsia" w:ascii="宋体" w:hAnsi="宋体"/>
                <w:szCs w:val="21"/>
              </w:rPr>
              <w:t>）</w:t>
            </w:r>
          </w:p>
        </w:tc>
      </w:tr>
    </w:tbl>
    <w:p w14:paraId="7A71D5C2">
      <w:pPr>
        <w:spacing w:line="360" w:lineRule="auto"/>
        <w:rPr>
          <w:rFonts w:hAnsi="宋体"/>
          <w:szCs w:val="21"/>
        </w:rPr>
      </w:pPr>
      <w:r>
        <w:rPr>
          <w:rFonts w:hint="eastAsia" w:hAnsi="宋体"/>
          <w:szCs w:val="21"/>
        </w:rPr>
        <w:t>注：</w:t>
      </w:r>
    </w:p>
    <w:p w14:paraId="7B53D5CB">
      <w:pPr>
        <w:spacing w:line="360" w:lineRule="auto"/>
        <w:rPr>
          <w:rFonts w:hAnsi="宋体"/>
          <w:szCs w:val="21"/>
        </w:rPr>
      </w:pPr>
      <w:r>
        <w:rPr>
          <w:rFonts w:hint="eastAsia" w:hAnsi="宋体" w:cs="宋体"/>
          <w:szCs w:val="21"/>
        </w:rPr>
        <w:t>1.</w:t>
      </w:r>
      <w:r>
        <w:rPr>
          <w:rFonts w:hint="eastAsia" w:hAnsi="宋体"/>
          <w:szCs w:val="21"/>
        </w:rPr>
        <w:t>表格内容均需按要求填写并盖章。</w:t>
      </w:r>
    </w:p>
    <w:p w14:paraId="120D12EC">
      <w:pPr>
        <w:spacing w:line="360" w:lineRule="auto"/>
        <w:rPr>
          <w:rFonts w:hAnsi="宋体"/>
          <w:szCs w:val="21"/>
        </w:rPr>
      </w:pPr>
      <w:r>
        <w:rPr>
          <w:rFonts w:hint="eastAsia" w:hAnsi="宋体"/>
          <w:bCs/>
          <w:szCs w:val="21"/>
        </w:rPr>
        <w:t>2.当投标文件的服务内容低于招标文件要求时，投标人应当如实写明</w:t>
      </w:r>
      <w:r>
        <w:rPr>
          <w:rFonts w:hAnsi="宋体"/>
          <w:bCs/>
          <w:szCs w:val="21"/>
        </w:rPr>
        <w:t>“</w:t>
      </w:r>
      <w:r>
        <w:rPr>
          <w:rFonts w:hint="eastAsia" w:hAnsi="宋体"/>
          <w:bCs/>
          <w:szCs w:val="21"/>
        </w:rPr>
        <w:t>负偏离</w:t>
      </w:r>
      <w:r>
        <w:rPr>
          <w:rFonts w:hAnsi="宋体"/>
          <w:bCs/>
          <w:szCs w:val="21"/>
        </w:rPr>
        <w:t>”</w:t>
      </w:r>
      <w:r>
        <w:rPr>
          <w:rFonts w:hint="eastAsia" w:hAnsi="宋体"/>
          <w:bCs/>
          <w:szCs w:val="21"/>
        </w:rPr>
        <w:t>，否则视为虚假应标。</w:t>
      </w:r>
    </w:p>
    <w:p w14:paraId="0F5275E9">
      <w:pPr>
        <w:spacing w:line="360" w:lineRule="auto"/>
      </w:pPr>
      <w:r>
        <w:rPr>
          <w:rFonts w:hint="eastAsia"/>
        </w:rPr>
        <w:t>3.</w:t>
      </w:r>
      <w:r>
        <w:rPr>
          <w:rFonts w:hint="eastAsia" w:hAnsi="宋体" w:cs="宋体"/>
          <w:szCs w:val="21"/>
        </w:rPr>
        <w:t>采购需求中带“▲”及“◆”的条款，也要分别在本表“</w:t>
      </w:r>
      <w:r>
        <w:rPr>
          <w:rFonts w:hint="eastAsia" w:hAnsi="宋体"/>
          <w:szCs w:val="21"/>
        </w:rPr>
        <w:t>服务参数</w:t>
      </w:r>
      <w:r>
        <w:rPr>
          <w:rFonts w:hint="eastAsia" w:hAnsi="宋体" w:cs="宋体"/>
          <w:szCs w:val="21"/>
        </w:rPr>
        <w:t>”、“</w:t>
      </w:r>
      <w:r>
        <w:rPr>
          <w:rFonts w:hint="eastAsia" w:hAnsi="宋体"/>
          <w:szCs w:val="21"/>
        </w:rPr>
        <w:t>所提供服务的内容</w:t>
      </w:r>
      <w:r>
        <w:rPr>
          <w:rFonts w:hint="eastAsia" w:hAnsi="宋体" w:cs="宋体"/>
          <w:szCs w:val="21"/>
        </w:rPr>
        <w:t>”中标记。</w:t>
      </w:r>
    </w:p>
    <w:p w14:paraId="396A13AF">
      <w:pPr>
        <w:snapToGrid w:val="0"/>
        <w:spacing w:line="360" w:lineRule="auto"/>
        <w:ind w:firstLine="5640" w:firstLineChars="2350"/>
        <w:rPr>
          <w:rFonts w:ascii="仿宋_GB2312" w:hAnsi="仿宋" w:eastAsia="仿宋_GB2312" w:cs="仿宋_GB2312"/>
          <w:kern w:val="0"/>
          <w:sz w:val="24"/>
          <w:lang w:val="zh-CN"/>
        </w:rPr>
      </w:pPr>
    </w:p>
    <w:p w14:paraId="74EDDD0F">
      <w:pPr>
        <w:snapToGrid w:val="0"/>
        <w:spacing w:line="360" w:lineRule="auto"/>
        <w:ind w:firstLine="5640" w:firstLineChars="23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441FDFCF">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75C3C274">
      <w:pPr>
        <w:snapToGrid w:val="0"/>
        <w:spacing w:before="165" w:beforeLines="50" w:after="50"/>
        <w:ind w:left="143" w:leftChars="68" w:firstLine="600" w:firstLineChars="200"/>
        <w:jc w:val="left"/>
        <w:rPr>
          <w:rFonts w:ascii="宋体" w:hAnsi="宋体"/>
          <w:sz w:val="30"/>
          <w:szCs w:val="20"/>
        </w:rPr>
        <w:sectPr>
          <w:pgSz w:w="11906" w:h="16838"/>
          <w:pgMar w:top="1134" w:right="1134" w:bottom="1134" w:left="1134" w:header="720" w:footer="720" w:gutter="0"/>
          <w:cols w:space="720" w:num="1"/>
          <w:docGrid w:type="lines" w:linePitch="331" w:charSpace="0"/>
        </w:sectPr>
      </w:pPr>
    </w:p>
    <w:p w14:paraId="78EB9BDE">
      <w:pPr>
        <w:snapToGrid w:val="0"/>
        <w:spacing w:before="165" w:beforeLines="50" w:after="50"/>
        <w:jc w:val="center"/>
        <w:rPr>
          <w:b/>
          <w:bCs/>
          <w:sz w:val="30"/>
          <w:szCs w:val="30"/>
        </w:rPr>
      </w:pPr>
      <w:r>
        <w:rPr>
          <w:rFonts w:hint="eastAsia"/>
          <w:b/>
          <w:bCs/>
          <w:sz w:val="30"/>
          <w:szCs w:val="30"/>
        </w:rPr>
        <w:t>二、组织服务方案</w:t>
      </w:r>
    </w:p>
    <w:p w14:paraId="66DD00D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（由投标人根据采购需求及招标文件要求编制）</w:t>
      </w:r>
    </w:p>
    <w:p w14:paraId="69208038">
      <w:pPr>
        <w:autoSpaceDE w:val="0"/>
        <w:autoSpaceDN w:val="0"/>
        <w:spacing w:line="360" w:lineRule="auto"/>
        <w:jc w:val="center"/>
        <w:rPr>
          <w:rFonts w:ascii="仿宋_GB2312" w:hAnsi="仿宋" w:eastAsia="仿宋_GB2312" w:cs="仿宋_GB2312"/>
          <w:sz w:val="24"/>
        </w:rPr>
      </w:pPr>
    </w:p>
    <w:p w14:paraId="6F146CA7">
      <w:pPr>
        <w:rPr>
          <w:rFonts w:ascii="仿宋_GB2312" w:hAnsi="仿宋" w:eastAsia="仿宋_GB2312" w:cs="仿宋_GB2312"/>
          <w:b/>
          <w:bCs/>
          <w:kern w:val="0"/>
          <w:sz w:val="24"/>
          <w:lang w:val="zh-CN"/>
        </w:rPr>
      </w:pPr>
    </w:p>
    <w:p w14:paraId="1F44DA68">
      <w:pPr>
        <w:rPr>
          <w:rFonts w:ascii="仿宋_GB2312" w:hAnsi="仿宋" w:eastAsia="仿宋_GB2312" w:cs="仿宋_GB2312"/>
          <w:b/>
          <w:bCs/>
          <w:kern w:val="0"/>
          <w:sz w:val="24"/>
          <w:lang w:val="zh-CN"/>
        </w:rPr>
      </w:pPr>
    </w:p>
    <w:p w14:paraId="25623AEB">
      <w:pPr>
        <w:autoSpaceDE w:val="0"/>
        <w:autoSpaceDN w:val="0"/>
        <w:spacing w:line="360" w:lineRule="auto"/>
        <w:ind w:firstLine="4440" w:firstLineChars="1850"/>
        <w:rPr>
          <w:rFonts w:ascii="仿宋_GB2312" w:hAnsi="仿宋" w:eastAsia="仿宋_GB2312" w:cs="仿宋_GB2312"/>
          <w:kern w:val="0"/>
          <w:sz w:val="24"/>
        </w:rPr>
      </w:pPr>
      <w:r>
        <w:rPr>
          <w:rFonts w:hint="eastAsia" w:ascii="仿宋_GB2312" w:hAnsi="仿宋" w:eastAsia="仿宋_GB2312" w:cs="仿宋_GB2312"/>
          <w:kern w:val="0"/>
          <w:sz w:val="24"/>
        </w:rPr>
        <w:t>投标人名称（电子签名）：</w:t>
      </w:r>
    </w:p>
    <w:p w14:paraId="111D9913">
      <w:pPr>
        <w:autoSpaceDE w:val="0"/>
        <w:autoSpaceDN w:val="0"/>
        <w:spacing w:line="360" w:lineRule="auto"/>
        <w:rPr>
          <w:rFonts w:ascii="仿宋_GB2312" w:hAnsi="仿宋" w:eastAsia="仿宋_GB2312" w:cs="仿宋_GB2312"/>
          <w:b/>
          <w:bCs/>
          <w:sz w:val="32"/>
          <w:szCs w:val="32"/>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53EAB438">
      <w:pPr>
        <w:snapToGrid w:val="0"/>
        <w:spacing w:line="360" w:lineRule="auto"/>
        <w:ind w:firstLine="4935" w:firstLineChars="2350"/>
        <w:rPr>
          <w:rFonts w:hAnsi="宋体"/>
          <w:szCs w:val="21"/>
        </w:rPr>
      </w:pPr>
      <w:r>
        <w:rPr>
          <w:rFonts w:hAnsi="宋体"/>
          <w:szCs w:val="21"/>
        </w:rPr>
        <w:t xml:space="preserve"> </w:t>
      </w:r>
    </w:p>
    <w:p w14:paraId="0FBAB0FB">
      <w:pPr>
        <w:snapToGrid w:val="0"/>
        <w:spacing w:before="165" w:beforeLines="50" w:after="50"/>
        <w:jc w:val="center"/>
        <w:rPr>
          <w:b/>
          <w:bCs/>
          <w:sz w:val="30"/>
          <w:szCs w:val="30"/>
        </w:rPr>
      </w:pPr>
      <w:r>
        <w:rPr>
          <w:rFonts w:hint="eastAsia"/>
          <w:b/>
          <w:bCs/>
          <w:sz w:val="30"/>
          <w:szCs w:val="30"/>
        </w:rPr>
        <w:br w:type="page"/>
      </w:r>
      <w:r>
        <w:rPr>
          <w:rFonts w:hint="eastAsia"/>
          <w:b/>
          <w:bCs/>
          <w:sz w:val="30"/>
          <w:szCs w:val="30"/>
        </w:rPr>
        <w:t>三、售后服务方案</w:t>
      </w:r>
    </w:p>
    <w:p w14:paraId="2065F8F9">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（由投标人根据采购需求及招标文件要求编制）</w:t>
      </w:r>
    </w:p>
    <w:p w14:paraId="2A48D705">
      <w:pPr>
        <w:snapToGrid w:val="0"/>
        <w:spacing w:before="165" w:beforeLines="50" w:after="50"/>
        <w:ind w:left="142"/>
        <w:jc w:val="center"/>
        <w:rPr>
          <w:rFonts w:ascii="宋体" w:hAnsi="宋体"/>
          <w:b/>
          <w:sz w:val="32"/>
          <w:szCs w:val="32"/>
        </w:rPr>
      </w:pPr>
      <w:r>
        <w:rPr>
          <w:rFonts w:hint="eastAsia" w:ascii="宋体" w:hAnsi="宋体"/>
          <w:b/>
          <w:sz w:val="32"/>
          <w:szCs w:val="32"/>
        </w:rPr>
        <w:t>1、</w:t>
      </w:r>
      <w:r>
        <w:rPr>
          <w:rFonts w:hint="eastAsia"/>
          <w:b/>
          <w:bCs/>
          <w:sz w:val="30"/>
          <w:szCs w:val="30"/>
        </w:rPr>
        <w:t>售后服务方案</w:t>
      </w:r>
    </w:p>
    <w:p w14:paraId="340D52D6">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附表A:售后服务机构情况表</w:t>
      </w:r>
      <w:r>
        <w:rPr>
          <w:rFonts w:hint="eastAsia" w:ascii="仿宋_GB2312" w:hAnsi="仿宋" w:eastAsia="仿宋_GB2312" w:cs="仿宋_GB2312"/>
          <w:sz w:val="24"/>
        </w:rPr>
        <w:t>（按此格式自制）</w:t>
      </w:r>
    </w:p>
    <w:tbl>
      <w:tblPr>
        <w:tblStyle w:val="35"/>
        <w:tblW w:w="8748"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28"/>
        <w:gridCol w:w="2340"/>
        <w:gridCol w:w="1095"/>
        <w:gridCol w:w="1245"/>
        <w:gridCol w:w="1980"/>
        <w:gridCol w:w="1260"/>
      </w:tblGrid>
      <w:tr w14:paraId="4071AA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53AB584D">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序号</w:t>
            </w:r>
          </w:p>
        </w:tc>
        <w:tc>
          <w:tcPr>
            <w:tcW w:w="2340" w:type="dxa"/>
          </w:tcPr>
          <w:p w14:paraId="72C6D5CA">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机构名称</w:t>
            </w:r>
          </w:p>
        </w:tc>
        <w:tc>
          <w:tcPr>
            <w:tcW w:w="1095" w:type="dxa"/>
          </w:tcPr>
          <w:p w14:paraId="57896230">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机构性质</w:t>
            </w:r>
          </w:p>
        </w:tc>
        <w:tc>
          <w:tcPr>
            <w:tcW w:w="1245" w:type="dxa"/>
          </w:tcPr>
          <w:p w14:paraId="3F464428">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注册地址</w:t>
            </w:r>
          </w:p>
        </w:tc>
        <w:tc>
          <w:tcPr>
            <w:tcW w:w="1980" w:type="dxa"/>
          </w:tcPr>
          <w:p w14:paraId="67E657D4">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服务技术人员数量</w:t>
            </w:r>
          </w:p>
        </w:tc>
        <w:tc>
          <w:tcPr>
            <w:tcW w:w="1260" w:type="dxa"/>
          </w:tcPr>
          <w:p w14:paraId="30E50C15">
            <w:pPr>
              <w:autoSpaceDE w:val="0"/>
              <w:autoSpaceDN w:val="0"/>
              <w:spacing w:line="360" w:lineRule="auto"/>
              <w:jc w:val="center"/>
              <w:rPr>
                <w:rFonts w:ascii="仿宋_GB2312" w:hAnsi="仿宋" w:eastAsia="仿宋_GB2312" w:cs="仿宋_GB2312"/>
                <w:b/>
                <w:sz w:val="24"/>
              </w:rPr>
            </w:pPr>
            <w:r>
              <w:rPr>
                <w:rFonts w:hint="eastAsia" w:ascii="仿宋_GB2312" w:hAnsi="仿宋" w:eastAsia="仿宋_GB2312" w:cs="仿宋_GB2312"/>
                <w:b/>
                <w:sz w:val="24"/>
              </w:rPr>
              <w:t>联系电话</w:t>
            </w:r>
          </w:p>
        </w:tc>
      </w:tr>
      <w:tr w14:paraId="4BC408E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307F5DF3">
            <w:pPr>
              <w:autoSpaceDE w:val="0"/>
              <w:autoSpaceDN w:val="0"/>
              <w:spacing w:line="360" w:lineRule="auto"/>
              <w:jc w:val="center"/>
              <w:rPr>
                <w:rFonts w:ascii="仿宋_GB2312" w:hAnsi="仿宋" w:eastAsia="仿宋_GB2312" w:cs="仿宋_GB2312"/>
                <w:sz w:val="24"/>
              </w:rPr>
            </w:pPr>
          </w:p>
        </w:tc>
        <w:tc>
          <w:tcPr>
            <w:tcW w:w="2340" w:type="dxa"/>
          </w:tcPr>
          <w:p w14:paraId="68681F8D">
            <w:pPr>
              <w:autoSpaceDE w:val="0"/>
              <w:autoSpaceDN w:val="0"/>
              <w:spacing w:line="360" w:lineRule="auto"/>
              <w:jc w:val="center"/>
              <w:rPr>
                <w:rFonts w:ascii="仿宋_GB2312" w:hAnsi="仿宋" w:eastAsia="仿宋_GB2312" w:cs="仿宋_GB2312"/>
                <w:sz w:val="24"/>
              </w:rPr>
            </w:pPr>
          </w:p>
        </w:tc>
        <w:tc>
          <w:tcPr>
            <w:tcW w:w="1095" w:type="dxa"/>
          </w:tcPr>
          <w:p w14:paraId="05CAC9EB">
            <w:pPr>
              <w:autoSpaceDE w:val="0"/>
              <w:autoSpaceDN w:val="0"/>
              <w:spacing w:line="360" w:lineRule="auto"/>
              <w:jc w:val="center"/>
              <w:rPr>
                <w:rFonts w:ascii="仿宋_GB2312" w:hAnsi="仿宋" w:eastAsia="仿宋_GB2312" w:cs="仿宋_GB2312"/>
                <w:sz w:val="24"/>
              </w:rPr>
            </w:pPr>
          </w:p>
        </w:tc>
        <w:tc>
          <w:tcPr>
            <w:tcW w:w="1245" w:type="dxa"/>
          </w:tcPr>
          <w:p w14:paraId="31A526E9">
            <w:pPr>
              <w:autoSpaceDE w:val="0"/>
              <w:autoSpaceDN w:val="0"/>
              <w:spacing w:line="360" w:lineRule="auto"/>
              <w:jc w:val="center"/>
              <w:rPr>
                <w:rFonts w:ascii="仿宋_GB2312" w:hAnsi="仿宋" w:eastAsia="仿宋_GB2312" w:cs="仿宋_GB2312"/>
                <w:sz w:val="24"/>
              </w:rPr>
            </w:pPr>
          </w:p>
        </w:tc>
        <w:tc>
          <w:tcPr>
            <w:tcW w:w="1980" w:type="dxa"/>
          </w:tcPr>
          <w:p w14:paraId="6B8C3335">
            <w:pPr>
              <w:autoSpaceDE w:val="0"/>
              <w:autoSpaceDN w:val="0"/>
              <w:spacing w:line="360" w:lineRule="auto"/>
              <w:jc w:val="center"/>
              <w:rPr>
                <w:rFonts w:ascii="仿宋_GB2312" w:hAnsi="仿宋" w:eastAsia="仿宋_GB2312" w:cs="仿宋_GB2312"/>
                <w:sz w:val="24"/>
              </w:rPr>
            </w:pPr>
          </w:p>
        </w:tc>
        <w:tc>
          <w:tcPr>
            <w:tcW w:w="1260" w:type="dxa"/>
          </w:tcPr>
          <w:p w14:paraId="04E63D23">
            <w:pPr>
              <w:autoSpaceDE w:val="0"/>
              <w:autoSpaceDN w:val="0"/>
              <w:spacing w:line="360" w:lineRule="auto"/>
              <w:jc w:val="center"/>
              <w:rPr>
                <w:rFonts w:ascii="仿宋_GB2312" w:hAnsi="仿宋" w:eastAsia="仿宋_GB2312" w:cs="仿宋_GB2312"/>
                <w:sz w:val="24"/>
              </w:rPr>
            </w:pPr>
          </w:p>
        </w:tc>
      </w:tr>
      <w:tr w14:paraId="1DE9E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828" w:type="dxa"/>
          </w:tcPr>
          <w:p w14:paraId="058897AE">
            <w:pPr>
              <w:autoSpaceDE w:val="0"/>
              <w:autoSpaceDN w:val="0"/>
              <w:spacing w:line="360" w:lineRule="auto"/>
              <w:jc w:val="center"/>
              <w:rPr>
                <w:rFonts w:ascii="仿宋_GB2312" w:hAnsi="仿宋" w:eastAsia="仿宋_GB2312" w:cs="仿宋_GB2312"/>
                <w:sz w:val="24"/>
              </w:rPr>
            </w:pPr>
          </w:p>
        </w:tc>
        <w:tc>
          <w:tcPr>
            <w:tcW w:w="2340" w:type="dxa"/>
          </w:tcPr>
          <w:p w14:paraId="7981768E">
            <w:pPr>
              <w:autoSpaceDE w:val="0"/>
              <w:autoSpaceDN w:val="0"/>
              <w:spacing w:line="360" w:lineRule="auto"/>
              <w:jc w:val="center"/>
              <w:rPr>
                <w:rFonts w:ascii="仿宋_GB2312" w:hAnsi="仿宋" w:eastAsia="仿宋_GB2312" w:cs="仿宋_GB2312"/>
                <w:sz w:val="24"/>
              </w:rPr>
            </w:pPr>
          </w:p>
        </w:tc>
        <w:tc>
          <w:tcPr>
            <w:tcW w:w="1095" w:type="dxa"/>
          </w:tcPr>
          <w:p w14:paraId="5B170516">
            <w:pPr>
              <w:autoSpaceDE w:val="0"/>
              <w:autoSpaceDN w:val="0"/>
              <w:spacing w:line="360" w:lineRule="auto"/>
              <w:jc w:val="center"/>
              <w:rPr>
                <w:rFonts w:ascii="仿宋_GB2312" w:hAnsi="仿宋" w:eastAsia="仿宋_GB2312" w:cs="仿宋_GB2312"/>
                <w:sz w:val="24"/>
              </w:rPr>
            </w:pPr>
          </w:p>
        </w:tc>
        <w:tc>
          <w:tcPr>
            <w:tcW w:w="1245" w:type="dxa"/>
          </w:tcPr>
          <w:p w14:paraId="09C0C947">
            <w:pPr>
              <w:autoSpaceDE w:val="0"/>
              <w:autoSpaceDN w:val="0"/>
              <w:spacing w:line="360" w:lineRule="auto"/>
              <w:jc w:val="center"/>
              <w:rPr>
                <w:rFonts w:ascii="仿宋_GB2312" w:hAnsi="仿宋" w:eastAsia="仿宋_GB2312" w:cs="仿宋_GB2312"/>
                <w:sz w:val="24"/>
              </w:rPr>
            </w:pPr>
          </w:p>
        </w:tc>
        <w:tc>
          <w:tcPr>
            <w:tcW w:w="1980" w:type="dxa"/>
          </w:tcPr>
          <w:p w14:paraId="204396D9">
            <w:pPr>
              <w:autoSpaceDE w:val="0"/>
              <w:autoSpaceDN w:val="0"/>
              <w:spacing w:line="360" w:lineRule="auto"/>
              <w:jc w:val="center"/>
              <w:rPr>
                <w:rFonts w:ascii="仿宋_GB2312" w:hAnsi="仿宋" w:eastAsia="仿宋_GB2312" w:cs="仿宋_GB2312"/>
                <w:sz w:val="24"/>
              </w:rPr>
            </w:pPr>
          </w:p>
        </w:tc>
        <w:tc>
          <w:tcPr>
            <w:tcW w:w="1260" w:type="dxa"/>
          </w:tcPr>
          <w:p w14:paraId="1B092779">
            <w:pPr>
              <w:autoSpaceDE w:val="0"/>
              <w:autoSpaceDN w:val="0"/>
              <w:spacing w:line="360" w:lineRule="auto"/>
              <w:jc w:val="center"/>
              <w:rPr>
                <w:rFonts w:ascii="仿宋_GB2312" w:hAnsi="仿宋" w:eastAsia="仿宋_GB2312" w:cs="仿宋_GB2312"/>
                <w:sz w:val="24"/>
              </w:rPr>
            </w:pPr>
          </w:p>
        </w:tc>
      </w:tr>
    </w:tbl>
    <w:p w14:paraId="769CE115">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注：关于项目涉及的所有售后服务机构均在本表注明，包括投标人本单位和符合条件的第三方服务机构；</w:t>
      </w:r>
    </w:p>
    <w:p w14:paraId="0B7C2300">
      <w:pPr>
        <w:autoSpaceDE w:val="0"/>
        <w:autoSpaceDN w:val="0"/>
        <w:spacing w:line="360" w:lineRule="auto"/>
        <w:rPr>
          <w:rFonts w:ascii="仿宋_GB2312" w:hAnsi="仿宋" w:eastAsia="仿宋_GB2312" w:cs="仿宋_GB2312"/>
          <w:kern w:val="0"/>
          <w:sz w:val="24"/>
        </w:rPr>
      </w:pPr>
      <w:r>
        <w:rPr>
          <w:rFonts w:hint="eastAsia" w:ascii="仿宋_GB2312" w:hAnsi="仿宋" w:eastAsia="仿宋_GB2312" w:cs="仿宋_GB2312"/>
          <w:b/>
          <w:kern w:val="0"/>
          <w:sz w:val="24"/>
        </w:rPr>
        <w:t>附表B：售后服务人员情况表</w:t>
      </w:r>
      <w:r>
        <w:rPr>
          <w:rFonts w:hint="eastAsia" w:ascii="仿宋_GB2312" w:hAnsi="仿宋" w:eastAsia="仿宋_GB2312" w:cs="仿宋_GB2312"/>
          <w:sz w:val="24"/>
        </w:rPr>
        <w:t>（按此格式自制）</w:t>
      </w:r>
    </w:p>
    <w:tbl>
      <w:tblPr>
        <w:tblStyle w:val="35"/>
        <w:tblW w:w="10002" w:type="dxa"/>
        <w:jc w:val="center"/>
        <w:tblLayout w:type="fixed"/>
        <w:tblCellMar>
          <w:top w:w="0" w:type="dxa"/>
          <w:left w:w="108" w:type="dxa"/>
          <w:bottom w:w="0" w:type="dxa"/>
          <w:right w:w="108" w:type="dxa"/>
        </w:tblCellMar>
      </w:tblPr>
      <w:tblGrid>
        <w:gridCol w:w="646"/>
        <w:gridCol w:w="746"/>
        <w:gridCol w:w="787"/>
        <w:gridCol w:w="412"/>
        <w:gridCol w:w="900"/>
        <w:gridCol w:w="1080"/>
        <w:gridCol w:w="1080"/>
        <w:gridCol w:w="1080"/>
        <w:gridCol w:w="1260"/>
        <w:gridCol w:w="900"/>
        <w:gridCol w:w="1111"/>
      </w:tblGrid>
      <w:tr w14:paraId="4F20B828">
        <w:tblPrEx>
          <w:tblCellMar>
            <w:top w:w="0" w:type="dxa"/>
            <w:left w:w="108" w:type="dxa"/>
            <w:bottom w:w="0" w:type="dxa"/>
            <w:right w:w="108" w:type="dxa"/>
          </w:tblCellMar>
        </w:tblPrEx>
        <w:trPr>
          <w:jc w:val="center"/>
        </w:trPr>
        <w:tc>
          <w:tcPr>
            <w:tcW w:w="646" w:type="dxa"/>
            <w:tcBorders>
              <w:top w:val="single" w:color="auto" w:sz="6" w:space="0"/>
              <w:left w:val="single" w:color="auto" w:sz="6" w:space="0"/>
              <w:bottom w:val="single" w:color="auto" w:sz="6" w:space="0"/>
              <w:right w:val="single" w:color="auto" w:sz="4" w:space="0"/>
            </w:tcBorders>
            <w:vAlign w:val="center"/>
          </w:tcPr>
          <w:p w14:paraId="63986D9E">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序号</w:t>
            </w:r>
          </w:p>
          <w:p w14:paraId="2FB91E3C">
            <w:pPr>
              <w:autoSpaceDE w:val="0"/>
              <w:autoSpaceDN w:val="0"/>
              <w:spacing w:line="360" w:lineRule="auto"/>
              <w:jc w:val="center"/>
              <w:rPr>
                <w:rFonts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vAlign w:val="center"/>
          </w:tcPr>
          <w:p w14:paraId="0984136D">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类别</w:t>
            </w:r>
          </w:p>
        </w:tc>
        <w:tc>
          <w:tcPr>
            <w:tcW w:w="787" w:type="dxa"/>
            <w:tcBorders>
              <w:top w:val="single" w:color="auto" w:sz="6" w:space="0"/>
              <w:left w:val="single" w:color="auto" w:sz="6" w:space="0"/>
              <w:bottom w:val="single" w:color="auto" w:sz="6" w:space="0"/>
              <w:right w:val="single" w:color="auto" w:sz="6" w:space="0"/>
            </w:tcBorders>
            <w:vAlign w:val="center"/>
          </w:tcPr>
          <w:p w14:paraId="596409A0">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141FEE7C">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900" w:type="dxa"/>
            <w:tcBorders>
              <w:top w:val="single" w:color="auto" w:sz="6" w:space="0"/>
              <w:left w:val="single" w:color="auto" w:sz="6" w:space="0"/>
              <w:bottom w:val="single" w:color="auto" w:sz="6" w:space="0"/>
              <w:right w:val="single" w:color="auto" w:sz="6" w:space="0"/>
            </w:tcBorders>
            <w:vAlign w:val="center"/>
          </w:tcPr>
          <w:p w14:paraId="5297F1E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080" w:type="dxa"/>
            <w:tcBorders>
              <w:top w:val="single" w:color="auto" w:sz="6" w:space="0"/>
              <w:left w:val="single" w:color="auto" w:sz="6" w:space="0"/>
              <w:bottom w:val="single" w:color="auto" w:sz="6" w:space="0"/>
              <w:right w:val="single" w:color="auto" w:sz="6" w:space="0"/>
            </w:tcBorders>
            <w:vAlign w:val="center"/>
          </w:tcPr>
          <w:p w14:paraId="0C771E7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w:t>
            </w:r>
          </w:p>
        </w:tc>
        <w:tc>
          <w:tcPr>
            <w:tcW w:w="1080" w:type="dxa"/>
            <w:tcBorders>
              <w:top w:val="single" w:color="auto" w:sz="6" w:space="0"/>
              <w:left w:val="single" w:color="auto" w:sz="6" w:space="0"/>
              <w:bottom w:val="single" w:color="auto" w:sz="6" w:space="0"/>
              <w:right w:val="single" w:color="auto" w:sz="6" w:space="0"/>
            </w:tcBorders>
            <w:vAlign w:val="center"/>
          </w:tcPr>
          <w:p w14:paraId="40BE386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专业</w:t>
            </w:r>
          </w:p>
        </w:tc>
        <w:tc>
          <w:tcPr>
            <w:tcW w:w="1080" w:type="dxa"/>
            <w:tcBorders>
              <w:top w:val="single" w:color="auto" w:sz="6" w:space="0"/>
              <w:left w:val="single" w:color="auto" w:sz="6" w:space="0"/>
              <w:bottom w:val="single" w:color="auto" w:sz="6" w:space="0"/>
              <w:right w:val="single" w:color="auto" w:sz="6" w:space="0"/>
            </w:tcBorders>
            <w:vAlign w:val="center"/>
          </w:tcPr>
          <w:p w14:paraId="1813B5B5">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p>
        </w:tc>
        <w:tc>
          <w:tcPr>
            <w:tcW w:w="1260" w:type="dxa"/>
            <w:tcBorders>
              <w:top w:val="single" w:color="auto" w:sz="6" w:space="0"/>
              <w:left w:val="single" w:color="auto" w:sz="6" w:space="0"/>
              <w:bottom w:val="single" w:color="auto" w:sz="6" w:space="0"/>
              <w:right w:val="single" w:color="auto" w:sz="6" w:space="0"/>
            </w:tcBorders>
            <w:vAlign w:val="center"/>
          </w:tcPr>
          <w:p w14:paraId="2241111F">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4ADFD2F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响应时间</w:t>
            </w:r>
          </w:p>
        </w:tc>
        <w:tc>
          <w:tcPr>
            <w:tcW w:w="1111" w:type="dxa"/>
            <w:tcBorders>
              <w:top w:val="single" w:color="auto" w:sz="6" w:space="0"/>
              <w:left w:val="single" w:color="auto" w:sz="6" w:space="0"/>
              <w:bottom w:val="single" w:color="auto" w:sz="6" w:space="0"/>
              <w:right w:val="single" w:color="auto" w:sz="6" w:space="0"/>
            </w:tcBorders>
            <w:vAlign w:val="center"/>
          </w:tcPr>
          <w:p w14:paraId="586D83D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到达现场时间</w:t>
            </w:r>
          </w:p>
        </w:tc>
      </w:tr>
      <w:tr w14:paraId="72A4FE37">
        <w:tblPrEx>
          <w:tblCellMar>
            <w:top w:w="0" w:type="dxa"/>
            <w:left w:w="108" w:type="dxa"/>
            <w:bottom w:w="0" w:type="dxa"/>
            <w:right w:w="108" w:type="dxa"/>
          </w:tblCellMar>
        </w:tblPrEx>
        <w:trPr>
          <w:trHeight w:val="607" w:hRule="atLeast"/>
          <w:jc w:val="center"/>
        </w:trPr>
        <w:tc>
          <w:tcPr>
            <w:tcW w:w="646" w:type="dxa"/>
            <w:tcBorders>
              <w:top w:val="single" w:color="auto" w:sz="6" w:space="0"/>
              <w:left w:val="single" w:color="auto" w:sz="6" w:space="0"/>
              <w:bottom w:val="single" w:color="auto" w:sz="6" w:space="0"/>
              <w:right w:val="single" w:color="auto" w:sz="4" w:space="0"/>
            </w:tcBorders>
          </w:tcPr>
          <w:p w14:paraId="1245F2FA">
            <w:pPr>
              <w:autoSpaceDE w:val="0"/>
              <w:autoSpaceDN w:val="0"/>
              <w:spacing w:line="360" w:lineRule="auto"/>
              <w:jc w:val="center"/>
              <w:rPr>
                <w:rFonts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tcPr>
          <w:p w14:paraId="3D0E036C">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总协调人</w:t>
            </w:r>
          </w:p>
        </w:tc>
        <w:tc>
          <w:tcPr>
            <w:tcW w:w="787" w:type="dxa"/>
            <w:tcBorders>
              <w:top w:val="single" w:color="auto" w:sz="6" w:space="0"/>
              <w:left w:val="single" w:color="auto" w:sz="6" w:space="0"/>
              <w:bottom w:val="single" w:color="auto" w:sz="6" w:space="0"/>
              <w:right w:val="single" w:color="auto" w:sz="6" w:space="0"/>
            </w:tcBorders>
          </w:tcPr>
          <w:p w14:paraId="4CBC1C21">
            <w:pPr>
              <w:autoSpaceDE w:val="0"/>
              <w:autoSpaceDN w:val="0"/>
              <w:spacing w:line="360" w:lineRule="auto"/>
              <w:rPr>
                <w:rFonts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tcPr>
          <w:p w14:paraId="06F55433">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0B7BDC57">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795B603E">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21568CF0">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016953F2">
            <w:pPr>
              <w:autoSpaceDE w:val="0"/>
              <w:autoSpaceDN w:val="0"/>
              <w:spacing w:line="360" w:lineRule="auto"/>
              <w:rPr>
                <w:rFonts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tcPr>
          <w:p w14:paraId="0C5F0C88">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3B326E96">
            <w:pPr>
              <w:autoSpaceDE w:val="0"/>
              <w:autoSpaceDN w:val="0"/>
              <w:spacing w:line="360" w:lineRule="auto"/>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28E623FC">
            <w:pPr>
              <w:autoSpaceDE w:val="0"/>
              <w:autoSpaceDN w:val="0"/>
              <w:spacing w:line="360" w:lineRule="auto"/>
              <w:rPr>
                <w:rFonts w:ascii="仿宋_GB2312" w:hAnsi="仿宋" w:eastAsia="仿宋_GB2312" w:cs="仿宋_GB2312"/>
                <w:sz w:val="24"/>
              </w:rPr>
            </w:pPr>
          </w:p>
        </w:tc>
      </w:tr>
      <w:tr w14:paraId="5604B3DD">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160A0F82">
            <w:pPr>
              <w:autoSpaceDE w:val="0"/>
              <w:autoSpaceDN w:val="0"/>
              <w:spacing w:line="360" w:lineRule="auto"/>
              <w:jc w:val="center"/>
              <w:rPr>
                <w:rFonts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tcPr>
          <w:p w14:paraId="02059D62">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售后人员</w:t>
            </w:r>
          </w:p>
        </w:tc>
        <w:tc>
          <w:tcPr>
            <w:tcW w:w="787" w:type="dxa"/>
            <w:tcBorders>
              <w:top w:val="single" w:color="auto" w:sz="6" w:space="0"/>
              <w:left w:val="single" w:color="auto" w:sz="6" w:space="0"/>
              <w:bottom w:val="single" w:color="auto" w:sz="6" w:space="0"/>
              <w:right w:val="single" w:color="auto" w:sz="6" w:space="0"/>
            </w:tcBorders>
          </w:tcPr>
          <w:p w14:paraId="74D3D4D1">
            <w:pPr>
              <w:autoSpaceDE w:val="0"/>
              <w:autoSpaceDN w:val="0"/>
              <w:spacing w:line="360" w:lineRule="auto"/>
              <w:rPr>
                <w:rFonts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tcPr>
          <w:p w14:paraId="5463FEB0">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220FA182">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14BE39FC">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31144141">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7C976EDA">
            <w:pPr>
              <w:autoSpaceDE w:val="0"/>
              <w:autoSpaceDN w:val="0"/>
              <w:spacing w:line="360" w:lineRule="auto"/>
              <w:rPr>
                <w:rFonts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tcPr>
          <w:p w14:paraId="2D3ADE04">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34F98287">
            <w:pPr>
              <w:autoSpaceDE w:val="0"/>
              <w:autoSpaceDN w:val="0"/>
              <w:spacing w:line="360" w:lineRule="auto"/>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6949892C">
            <w:pPr>
              <w:autoSpaceDE w:val="0"/>
              <w:autoSpaceDN w:val="0"/>
              <w:spacing w:line="360" w:lineRule="auto"/>
              <w:rPr>
                <w:rFonts w:ascii="仿宋_GB2312" w:hAnsi="仿宋" w:eastAsia="仿宋_GB2312" w:cs="仿宋_GB2312"/>
                <w:sz w:val="24"/>
              </w:rPr>
            </w:pPr>
          </w:p>
        </w:tc>
      </w:tr>
      <w:tr w14:paraId="1BD7EEDC">
        <w:tblPrEx>
          <w:tblCellMar>
            <w:top w:w="0" w:type="dxa"/>
            <w:left w:w="108" w:type="dxa"/>
            <w:bottom w:w="0" w:type="dxa"/>
            <w:right w:w="108" w:type="dxa"/>
          </w:tblCellMar>
        </w:tblPrEx>
        <w:trPr>
          <w:trHeight w:val="595" w:hRule="atLeast"/>
          <w:jc w:val="center"/>
        </w:trPr>
        <w:tc>
          <w:tcPr>
            <w:tcW w:w="646" w:type="dxa"/>
            <w:tcBorders>
              <w:top w:val="single" w:color="auto" w:sz="6" w:space="0"/>
              <w:left w:val="single" w:color="auto" w:sz="6" w:space="0"/>
              <w:bottom w:val="single" w:color="auto" w:sz="6" w:space="0"/>
              <w:right w:val="single" w:color="auto" w:sz="4" w:space="0"/>
            </w:tcBorders>
          </w:tcPr>
          <w:p w14:paraId="4CF5BE80">
            <w:pPr>
              <w:autoSpaceDE w:val="0"/>
              <w:autoSpaceDN w:val="0"/>
              <w:spacing w:line="360" w:lineRule="auto"/>
              <w:jc w:val="center"/>
              <w:rPr>
                <w:rFonts w:ascii="仿宋_GB2312" w:hAnsi="仿宋" w:eastAsia="仿宋_GB2312" w:cs="仿宋_GB2312"/>
                <w:sz w:val="24"/>
              </w:rPr>
            </w:pPr>
          </w:p>
        </w:tc>
        <w:tc>
          <w:tcPr>
            <w:tcW w:w="746" w:type="dxa"/>
            <w:tcBorders>
              <w:top w:val="single" w:color="auto" w:sz="6" w:space="0"/>
              <w:left w:val="single" w:color="auto" w:sz="4" w:space="0"/>
              <w:bottom w:val="single" w:color="auto" w:sz="6" w:space="0"/>
              <w:right w:val="single" w:color="auto" w:sz="6" w:space="0"/>
            </w:tcBorders>
          </w:tcPr>
          <w:p w14:paraId="38EFC46B">
            <w:pPr>
              <w:autoSpaceDE w:val="0"/>
              <w:autoSpaceDN w:val="0"/>
              <w:spacing w:line="360" w:lineRule="auto"/>
              <w:jc w:val="center"/>
              <w:rPr>
                <w:rFonts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tcPr>
          <w:p w14:paraId="000EA43A">
            <w:pPr>
              <w:autoSpaceDE w:val="0"/>
              <w:autoSpaceDN w:val="0"/>
              <w:spacing w:line="360" w:lineRule="auto"/>
              <w:rPr>
                <w:rFonts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tcPr>
          <w:p w14:paraId="47E8F4EF">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16493913">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08902FFA">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28781B4C">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36256748">
            <w:pPr>
              <w:autoSpaceDE w:val="0"/>
              <w:autoSpaceDN w:val="0"/>
              <w:spacing w:line="360" w:lineRule="auto"/>
              <w:rPr>
                <w:rFonts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tcPr>
          <w:p w14:paraId="5A92476D">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112AA3B4">
            <w:pPr>
              <w:autoSpaceDE w:val="0"/>
              <w:autoSpaceDN w:val="0"/>
              <w:spacing w:line="360" w:lineRule="auto"/>
              <w:rPr>
                <w:rFonts w:ascii="仿宋_GB2312" w:hAnsi="仿宋" w:eastAsia="仿宋_GB2312" w:cs="仿宋_GB2312"/>
                <w:sz w:val="24"/>
              </w:rPr>
            </w:pPr>
          </w:p>
        </w:tc>
        <w:tc>
          <w:tcPr>
            <w:tcW w:w="1111" w:type="dxa"/>
            <w:tcBorders>
              <w:top w:val="single" w:color="auto" w:sz="6" w:space="0"/>
              <w:left w:val="single" w:color="auto" w:sz="6" w:space="0"/>
              <w:bottom w:val="single" w:color="auto" w:sz="6" w:space="0"/>
              <w:right w:val="single" w:color="auto" w:sz="6" w:space="0"/>
            </w:tcBorders>
          </w:tcPr>
          <w:p w14:paraId="3C94C40B">
            <w:pPr>
              <w:autoSpaceDE w:val="0"/>
              <w:autoSpaceDN w:val="0"/>
              <w:spacing w:line="360" w:lineRule="auto"/>
              <w:rPr>
                <w:rFonts w:ascii="仿宋_GB2312" w:hAnsi="仿宋" w:eastAsia="仿宋_GB2312" w:cs="仿宋_GB2312"/>
                <w:sz w:val="24"/>
              </w:rPr>
            </w:pPr>
          </w:p>
        </w:tc>
      </w:tr>
    </w:tbl>
    <w:p w14:paraId="5E10BD9F">
      <w:pPr>
        <w:snapToGrid w:val="0"/>
        <w:spacing w:before="165" w:beforeLines="50" w:line="360" w:lineRule="auto"/>
        <w:ind w:right="480"/>
        <w:rPr>
          <w:rFonts w:ascii="宋体" w:hAnsi="宋体"/>
          <w:sz w:val="24"/>
        </w:rPr>
      </w:pPr>
    </w:p>
    <w:p w14:paraId="6AE3AC60">
      <w:pPr>
        <w:snapToGrid w:val="0"/>
        <w:spacing w:line="360" w:lineRule="auto"/>
        <w:ind w:firstLine="5160" w:firstLineChars="215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031D8E8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20A69ECA">
      <w:pPr>
        <w:spacing w:line="360" w:lineRule="auto"/>
        <w:ind w:firstLine="4048" w:firstLineChars="1687"/>
        <w:rPr>
          <w:rFonts w:ascii="宋体" w:hAnsi="宋体"/>
          <w:sz w:val="24"/>
        </w:rPr>
        <w:sectPr>
          <w:pgSz w:w="11906" w:h="16838"/>
          <w:pgMar w:top="1134" w:right="1134" w:bottom="1134" w:left="1134" w:header="720" w:footer="720" w:gutter="0"/>
          <w:cols w:space="720" w:num="1"/>
          <w:docGrid w:type="lines" w:linePitch="331" w:charSpace="0"/>
        </w:sectPr>
      </w:pPr>
    </w:p>
    <w:p w14:paraId="13F61680">
      <w:pPr>
        <w:snapToGrid w:val="0"/>
        <w:spacing w:before="165" w:beforeLines="50" w:after="50"/>
        <w:ind w:left="142"/>
        <w:jc w:val="center"/>
        <w:rPr>
          <w:rFonts w:ascii="宋体" w:hAnsi="宋体"/>
          <w:b/>
          <w:sz w:val="32"/>
          <w:szCs w:val="32"/>
        </w:rPr>
      </w:pPr>
      <w:r>
        <w:rPr>
          <w:rFonts w:hint="eastAsia" w:ascii="宋体" w:hAnsi="宋体"/>
          <w:b/>
          <w:sz w:val="32"/>
          <w:szCs w:val="32"/>
        </w:rPr>
        <w:t>四、项目实施人员一览表</w:t>
      </w:r>
    </w:p>
    <w:p w14:paraId="736FB3FB">
      <w:pPr>
        <w:spacing w:line="360" w:lineRule="auto"/>
        <w:jc w:val="center"/>
        <w:rPr>
          <w:rFonts w:ascii="仿宋_GB2312" w:hAnsi="仿宋" w:eastAsia="仿宋_GB2312" w:cs="仿宋_GB2312"/>
          <w:b/>
          <w:bCs/>
          <w:sz w:val="24"/>
        </w:rPr>
      </w:pPr>
      <w:r>
        <w:rPr>
          <w:rFonts w:hint="eastAsia" w:ascii="仿宋_GB2312" w:hAnsi="仿宋" w:eastAsia="仿宋_GB2312" w:cs="仿宋_GB2312"/>
          <w:sz w:val="24"/>
        </w:rPr>
        <w:t>（由投标人根据采购需求及招标文件要求自行编制）</w:t>
      </w:r>
    </w:p>
    <w:p w14:paraId="06796EFF">
      <w:pPr>
        <w:rPr>
          <w:sz w:val="24"/>
        </w:rPr>
      </w:pPr>
      <w:r>
        <w:rPr>
          <w:rFonts w:hint="eastAsia"/>
          <w:sz w:val="24"/>
        </w:rPr>
        <w:t>所投分标：</w:t>
      </w:r>
      <w:r>
        <w:rPr>
          <w:rFonts w:hint="eastAsia"/>
          <w:sz w:val="24"/>
          <w:u w:val="single"/>
        </w:rPr>
        <w:t xml:space="preserve">     </w:t>
      </w:r>
      <w:r>
        <w:rPr>
          <w:rFonts w:hint="eastAsia"/>
          <w:sz w:val="24"/>
        </w:rPr>
        <w:t>分标</w:t>
      </w:r>
    </w:p>
    <w:p w14:paraId="7C923426">
      <w:pPr>
        <w:keepNext/>
        <w:autoSpaceDE w:val="0"/>
        <w:autoSpaceDN w:val="0"/>
        <w:spacing w:line="360" w:lineRule="auto"/>
        <w:ind w:firstLine="477"/>
        <w:rPr>
          <w:rFonts w:ascii="仿宋_GB2312" w:hAnsi="仿宋" w:eastAsia="仿宋_GB2312" w:cs="仿宋_GB2312"/>
          <w:b/>
          <w:sz w:val="24"/>
        </w:rPr>
      </w:pPr>
      <w:r>
        <w:rPr>
          <w:rFonts w:hint="eastAsia" w:ascii="仿宋_GB2312" w:hAnsi="仿宋" w:eastAsia="仿宋_GB2312" w:cs="仿宋_GB2312"/>
          <w:b/>
          <w:sz w:val="24"/>
        </w:rPr>
        <w:t>附表A:本项目的项目负责人情况表</w:t>
      </w:r>
    </w:p>
    <w:tbl>
      <w:tblPr>
        <w:tblStyle w:val="35"/>
        <w:tblW w:w="8755" w:type="dxa"/>
        <w:tblInd w:w="0" w:type="dxa"/>
        <w:tblLayout w:type="fixed"/>
        <w:tblCellMar>
          <w:top w:w="0" w:type="dxa"/>
          <w:left w:w="108" w:type="dxa"/>
          <w:bottom w:w="0" w:type="dxa"/>
          <w:right w:w="108" w:type="dxa"/>
        </w:tblCellMar>
      </w:tblPr>
      <w:tblGrid>
        <w:gridCol w:w="2061"/>
        <w:gridCol w:w="1287"/>
        <w:gridCol w:w="1260"/>
        <w:gridCol w:w="4147"/>
      </w:tblGrid>
      <w:tr w14:paraId="56E13279">
        <w:tblPrEx>
          <w:tblCellMar>
            <w:top w:w="0" w:type="dxa"/>
            <w:left w:w="108" w:type="dxa"/>
            <w:bottom w:w="0" w:type="dxa"/>
            <w:right w:w="108" w:type="dxa"/>
          </w:tblCellMar>
        </w:tblPrEx>
        <w:trPr>
          <w:trHeight w:val="604"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3B995A98">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1287" w:type="dxa"/>
            <w:tcBorders>
              <w:top w:val="single" w:color="auto" w:sz="6" w:space="0"/>
              <w:left w:val="single" w:color="auto" w:sz="6" w:space="0"/>
              <w:bottom w:val="single" w:color="auto" w:sz="6" w:space="0"/>
              <w:right w:val="single" w:color="auto" w:sz="4" w:space="0"/>
            </w:tcBorders>
            <w:shd w:val="clear" w:color="auto" w:fill="B3B3B3"/>
            <w:vAlign w:val="center"/>
          </w:tcPr>
          <w:p w14:paraId="647E19A2">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DEC6EE8">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4147" w:type="dxa"/>
            <w:tcBorders>
              <w:top w:val="single" w:color="auto" w:sz="6" w:space="0"/>
              <w:left w:val="single" w:color="auto" w:sz="6" w:space="0"/>
              <w:bottom w:val="single" w:color="auto" w:sz="6" w:space="0"/>
              <w:right w:val="single" w:color="auto" w:sz="6" w:space="0"/>
            </w:tcBorders>
            <w:vAlign w:val="center"/>
          </w:tcPr>
          <w:p w14:paraId="6E434B3B">
            <w:pPr>
              <w:autoSpaceDE w:val="0"/>
              <w:autoSpaceDN w:val="0"/>
              <w:spacing w:line="360" w:lineRule="auto"/>
              <w:rPr>
                <w:rFonts w:ascii="仿宋_GB2312" w:hAnsi="仿宋" w:eastAsia="仿宋_GB2312" w:cs="仿宋_GB2312"/>
                <w:sz w:val="24"/>
              </w:rPr>
            </w:pPr>
            <w:r>
              <w:rPr>
                <w:rFonts w:hint="eastAsia" w:ascii="仿宋_GB2312" w:hAnsi="仿宋" w:eastAsia="仿宋_GB2312" w:cs="仿宋_GB2312"/>
                <w:sz w:val="24"/>
              </w:rPr>
              <w:t>投标截止时间前三年业绩及承担的主要工作情况，曾担任项目负责人的项目应列明细</w:t>
            </w:r>
          </w:p>
        </w:tc>
      </w:tr>
      <w:tr w14:paraId="3F244DF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1647897">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11D3DA7D">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62C6352">
            <w:pPr>
              <w:autoSpaceDE w:val="0"/>
              <w:autoSpaceDN w:val="0"/>
              <w:spacing w:line="360" w:lineRule="auto"/>
              <w:jc w:val="center"/>
              <w:rPr>
                <w:rFonts w:ascii="仿宋_GB2312" w:hAnsi="仿宋" w:eastAsia="仿宋_GB2312" w:cs="仿宋_GB2312"/>
                <w:sz w:val="24"/>
              </w:rPr>
            </w:pPr>
          </w:p>
        </w:tc>
        <w:tc>
          <w:tcPr>
            <w:tcW w:w="4147" w:type="dxa"/>
            <w:vMerge w:val="restart"/>
            <w:tcBorders>
              <w:top w:val="single" w:color="auto" w:sz="6" w:space="0"/>
              <w:left w:val="single" w:color="auto" w:sz="6" w:space="0"/>
              <w:bottom w:val="single" w:color="auto" w:sz="6" w:space="0"/>
              <w:right w:val="single" w:color="auto" w:sz="6" w:space="0"/>
            </w:tcBorders>
            <w:vAlign w:val="center"/>
          </w:tcPr>
          <w:p w14:paraId="1CD252F4">
            <w:pPr>
              <w:autoSpaceDE w:val="0"/>
              <w:autoSpaceDN w:val="0"/>
              <w:spacing w:line="360" w:lineRule="auto"/>
              <w:jc w:val="center"/>
              <w:rPr>
                <w:rFonts w:ascii="仿宋_GB2312" w:hAnsi="仿宋" w:eastAsia="仿宋_GB2312" w:cs="仿宋_GB2312"/>
                <w:sz w:val="24"/>
              </w:rPr>
            </w:pPr>
          </w:p>
        </w:tc>
      </w:tr>
      <w:tr w14:paraId="1E334639">
        <w:tblPrEx>
          <w:tblCellMar>
            <w:top w:w="0" w:type="dxa"/>
            <w:left w:w="108" w:type="dxa"/>
            <w:bottom w:w="0" w:type="dxa"/>
            <w:right w:w="108" w:type="dxa"/>
          </w:tblCellMar>
        </w:tblPrEx>
        <w:trPr>
          <w:cantSplit/>
          <w:trHeight w:val="337"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009DFCF8">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41EEC4C4">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77A97540">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335828FD">
            <w:pPr>
              <w:autoSpaceDE w:val="0"/>
              <w:autoSpaceDN w:val="0"/>
              <w:spacing w:line="360" w:lineRule="auto"/>
              <w:jc w:val="center"/>
              <w:rPr>
                <w:rFonts w:ascii="仿宋_GB2312" w:hAnsi="仿宋" w:eastAsia="仿宋_GB2312" w:cs="仿宋_GB2312"/>
                <w:sz w:val="24"/>
              </w:rPr>
            </w:pPr>
          </w:p>
        </w:tc>
      </w:tr>
      <w:tr w14:paraId="0CE69313">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12E9E18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p>
        </w:tc>
        <w:tc>
          <w:tcPr>
            <w:tcW w:w="1287" w:type="dxa"/>
            <w:tcBorders>
              <w:top w:val="single" w:color="auto" w:sz="6" w:space="0"/>
              <w:left w:val="single" w:color="auto" w:sz="6" w:space="0"/>
              <w:bottom w:val="single" w:color="auto" w:sz="6" w:space="0"/>
              <w:right w:val="single" w:color="auto" w:sz="4" w:space="0"/>
            </w:tcBorders>
            <w:vAlign w:val="center"/>
          </w:tcPr>
          <w:p w14:paraId="401B302D">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6BB94A90">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95701CF">
            <w:pPr>
              <w:autoSpaceDE w:val="0"/>
              <w:autoSpaceDN w:val="0"/>
              <w:spacing w:line="360" w:lineRule="auto"/>
              <w:jc w:val="center"/>
              <w:rPr>
                <w:rFonts w:ascii="仿宋_GB2312" w:hAnsi="仿宋" w:eastAsia="仿宋_GB2312" w:cs="仿宋_GB2312"/>
                <w:sz w:val="24"/>
              </w:rPr>
            </w:pPr>
          </w:p>
        </w:tc>
      </w:tr>
      <w:tr w14:paraId="00B553FE">
        <w:tblPrEx>
          <w:tblCellMar>
            <w:top w:w="0" w:type="dxa"/>
            <w:left w:w="108" w:type="dxa"/>
            <w:bottom w:w="0" w:type="dxa"/>
            <w:right w:w="108" w:type="dxa"/>
          </w:tblCellMar>
        </w:tblPrEx>
        <w:trPr>
          <w:cantSplit/>
          <w:trHeight w:val="345" w:hRule="atLeast"/>
        </w:trPr>
        <w:tc>
          <w:tcPr>
            <w:tcW w:w="2061" w:type="dxa"/>
            <w:tcBorders>
              <w:top w:val="single" w:color="auto" w:sz="6" w:space="0"/>
              <w:left w:val="single" w:color="auto" w:sz="6" w:space="0"/>
              <w:bottom w:val="single" w:color="auto" w:sz="6" w:space="0"/>
              <w:right w:val="single" w:color="auto" w:sz="6" w:space="0"/>
            </w:tcBorders>
            <w:vAlign w:val="center"/>
          </w:tcPr>
          <w:p w14:paraId="62E85BAD">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毕业时间</w:t>
            </w:r>
          </w:p>
        </w:tc>
        <w:tc>
          <w:tcPr>
            <w:tcW w:w="1287" w:type="dxa"/>
            <w:tcBorders>
              <w:top w:val="single" w:color="auto" w:sz="6" w:space="0"/>
              <w:left w:val="single" w:color="auto" w:sz="6" w:space="0"/>
              <w:bottom w:val="single" w:color="auto" w:sz="6" w:space="0"/>
              <w:right w:val="single" w:color="auto" w:sz="4" w:space="0"/>
            </w:tcBorders>
            <w:vAlign w:val="center"/>
          </w:tcPr>
          <w:p w14:paraId="1E7C1866">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36E975B">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20CDAD1">
            <w:pPr>
              <w:autoSpaceDE w:val="0"/>
              <w:autoSpaceDN w:val="0"/>
              <w:spacing w:line="360" w:lineRule="auto"/>
              <w:jc w:val="center"/>
              <w:rPr>
                <w:rFonts w:ascii="仿宋_GB2312" w:hAnsi="仿宋" w:eastAsia="仿宋_GB2312" w:cs="仿宋_GB2312"/>
                <w:sz w:val="24"/>
              </w:rPr>
            </w:pPr>
          </w:p>
        </w:tc>
      </w:tr>
      <w:tr w14:paraId="363A9F64">
        <w:tblPrEx>
          <w:tblCellMar>
            <w:top w:w="0" w:type="dxa"/>
            <w:left w:w="108" w:type="dxa"/>
            <w:bottom w:w="0" w:type="dxa"/>
            <w:right w:w="108" w:type="dxa"/>
          </w:tblCellMar>
        </w:tblPrEx>
        <w:trPr>
          <w:cantSplit/>
          <w:trHeight w:val="422" w:hRule="atLeast"/>
        </w:trPr>
        <w:tc>
          <w:tcPr>
            <w:tcW w:w="2061" w:type="dxa"/>
            <w:tcBorders>
              <w:top w:val="single" w:color="auto" w:sz="6" w:space="0"/>
              <w:left w:val="single" w:color="auto" w:sz="6" w:space="0"/>
              <w:bottom w:val="single" w:color="auto" w:sz="6" w:space="0"/>
              <w:right w:val="single" w:color="auto" w:sz="6" w:space="0"/>
            </w:tcBorders>
            <w:vAlign w:val="center"/>
          </w:tcPr>
          <w:p w14:paraId="5320D69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所学专业</w:t>
            </w:r>
          </w:p>
        </w:tc>
        <w:tc>
          <w:tcPr>
            <w:tcW w:w="1287" w:type="dxa"/>
            <w:tcBorders>
              <w:top w:val="single" w:color="auto" w:sz="6" w:space="0"/>
              <w:left w:val="single" w:color="auto" w:sz="6" w:space="0"/>
              <w:bottom w:val="single" w:color="auto" w:sz="6" w:space="0"/>
              <w:right w:val="single" w:color="auto" w:sz="4" w:space="0"/>
            </w:tcBorders>
            <w:vAlign w:val="center"/>
          </w:tcPr>
          <w:p w14:paraId="1B3897A0">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0487E07B">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15DAB3E9">
            <w:pPr>
              <w:autoSpaceDE w:val="0"/>
              <w:autoSpaceDN w:val="0"/>
              <w:spacing w:line="360" w:lineRule="auto"/>
              <w:jc w:val="center"/>
              <w:rPr>
                <w:rFonts w:ascii="仿宋_GB2312" w:hAnsi="仿宋" w:eastAsia="仿宋_GB2312" w:cs="仿宋_GB2312"/>
                <w:sz w:val="24"/>
              </w:rPr>
            </w:pPr>
          </w:p>
        </w:tc>
      </w:tr>
      <w:tr w14:paraId="3022F270">
        <w:tblPrEx>
          <w:tblCellMar>
            <w:top w:w="0" w:type="dxa"/>
            <w:left w:w="108" w:type="dxa"/>
            <w:bottom w:w="0" w:type="dxa"/>
            <w:right w:w="108" w:type="dxa"/>
          </w:tblCellMar>
        </w:tblPrEx>
        <w:trPr>
          <w:cantSplit/>
          <w:trHeight w:val="416" w:hRule="atLeast"/>
        </w:trPr>
        <w:tc>
          <w:tcPr>
            <w:tcW w:w="2061" w:type="dxa"/>
            <w:tcBorders>
              <w:top w:val="single" w:color="auto" w:sz="6" w:space="0"/>
              <w:left w:val="single" w:color="auto" w:sz="6" w:space="0"/>
              <w:bottom w:val="single" w:color="auto" w:sz="6" w:space="0"/>
              <w:right w:val="single" w:color="auto" w:sz="6" w:space="0"/>
            </w:tcBorders>
            <w:vAlign w:val="center"/>
          </w:tcPr>
          <w:p w14:paraId="7C33DCE7">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w:t>
            </w:r>
          </w:p>
        </w:tc>
        <w:tc>
          <w:tcPr>
            <w:tcW w:w="1287" w:type="dxa"/>
            <w:tcBorders>
              <w:top w:val="single" w:color="auto" w:sz="6" w:space="0"/>
              <w:left w:val="single" w:color="auto" w:sz="6" w:space="0"/>
              <w:bottom w:val="single" w:color="auto" w:sz="6" w:space="0"/>
              <w:right w:val="single" w:color="auto" w:sz="4" w:space="0"/>
            </w:tcBorders>
            <w:vAlign w:val="center"/>
          </w:tcPr>
          <w:p w14:paraId="5966C7A8">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19FC76BE">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6A9617E">
            <w:pPr>
              <w:autoSpaceDE w:val="0"/>
              <w:autoSpaceDN w:val="0"/>
              <w:spacing w:line="360" w:lineRule="auto"/>
              <w:jc w:val="center"/>
              <w:rPr>
                <w:rFonts w:ascii="仿宋_GB2312" w:hAnsi="仿宋" w:eastAsia="仿宋_GB2312" w:cs="仿宋_GB2312"/>
                <w:sz w:val="24"/>
              </w:rPr>
            </w:pPr>
          </w:p>
        </w:tc>
      </w:tr>
      <w:tr w14:paraId="100EDEC5">
        <w:tblPrEx>
          <w:tblCellMar>
            <w:top w:w="0" w:type="dxa"/>
            <w:left w:w="108" w:type="dxa"/>
            <w:bottom w:w="0" w:type="dxa"/>
            <w:right w:w="108" w:type="dxa"/>
          </w:tblCellMar>
        </w:tblPrEx>
        <w:trPr>
          <w:cantSplit/>
          <w:trHeight w:val="356" w:hRule="atLeast"/>
        </w:trPr>
        <w:tc>
          <w:tcPr>
            <w:tcW w:w="2061" w:type="dxa"/>
            <w:tcBorders>
              <w:top w:val="single" w:color="auto" w:sz="6" w:space="0"/>
              <w:left w:val="single" w:color="auto" w:sz="6" w:space="0"/>
              <w:bottom w:val="single" w:color="auto" w:sz="6" w:space="0"/>
              <w:right w:val="single" w:color="auto" w:sz="6" w:space="0"/>
            </w:tcBorders>
            <w:vAlign w:val="center"/>
          </w:tcPr>
          <w:p w14:paraId="5B775DA6">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资质证书编号</w:t>
            </w:r>
          </w:p>
        </w:tc>
        <w:tc>
          <w:tcPr>
            <w:tcW w:w="1287" w:type="dxa"/>
            <w:tcBorders>
              <w:top w:val="single" w:color="auto" w:sz="6" w:space="0"/>
              <w:left w:val="single" w:color="auto" w:sz="6" w:space="0"/>
              <w:bottom w:val="single" w:color="auto" w:sz="6" w:space="0"/>
              <w:right w:val="single" w:color="auto" w:sz="4" w:space="0"/>
            </w:tcBorders>
            <w:vAlign w:val="center"/>
          </w:tcPr>
          <w:p w14:paraId="547FB99C">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768C6CE9">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49095206">
            <w:pPr>
              <w:autoSpaceDE w:val="0"/>
              <w:autoSpaceDN w:val="0"/>
              <w:spacing w:line="360" w:lineRule="auto"/>
              <w:jc w:val="center"/>
              <w:rPr>
                <w:rFonts w:ascii="仿宋_GB2312" w:hAnsi="仿宋" w:eastAsia="仿宋_GB2312" w:cs="仿宋_GB2312"/>
                <w:sz w:val="24"/>
              </w:rPr>
            </w:pPr>
          </w:p>
        </w:tc>
      </w:tr>
      <w:tr w14:paraId="7041E1F3">
        <w:tblPrEx>
          <w:tblCellMar>
            <w:top w:w="0" w:type="dxa"/>
            <w:left w:w="108" w:type="dxa"/>
            <w:bottom w:w="0" w:type="dxa"/>
            <w:right w:w="108" w:type="dxa"/>
          </w:tblCellMar>
        </w:tblPrEx>
        <w:trPr>
          <w:cantSplit/>
          <w:trHeight w:val="177" w:hRule="atLeast"/>
        </w:trPr>
        <w:tc>
          <w:tcPr>
            <w:tcW w:w="2061" w:type="dxa"/>
            <w:tcBorders>
              <w:top w:val="single" w:color="auto" w:sz="6" w:space="0"/>
              <w:left w:val="single" w:color="auto" w:sz="6" w:space="0"/>
              <w:bottom w:val="single" w:color="auto" w:sz="6" w:space="0"/>
              <w:right w:val="single" w:color="auto" w:sz="6" w:space="0"/>
            </w:tcBorders>
            <w:vAlign w:val="center"/>
          </w:tcPr>
          <w:p w14:paraId="6BA9C42F">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其他资质情况</w:t>
            </w:r>
          </w:p>
        </w:tc>
        <w:tc>
          <w:tcPr>
            <w:tcW w:w="1287" w:type="dxa"/>
            <w:tcBorders>
              <w:top w:val="single" w:color="auto" w:sz="6" w:space="0"/>
              <w:left w:val="single" w:color="auto" w:sz="6" w:space="0"/>
              <w:bottom w:val="single" w:color="auto" w:sz="6" w:space="0"/>
              <w:right w:val="single" w:color="auto" w:sz="4" w:space="0"/>
            </w:tcBorders>
            <w:vAlign w:val="center"/>
          </w:tcPr>
          <w:p w14:paraId="71A5916C">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vAlign w:val="center"/>
          </w:tcPr>
          <w:p w14:paraId="5AA42DC9">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ECE6985">
            <w:pPr>
              <w:autoSpaceDE w:val="0"/>
              <w:autoSpaceDN w:val="0"/>
              <w:spacing w:line="360" w:lineRule="auto"/>
              <w:jc w:val="center"/>
              <w:rPr>
                <w:rFonts w:ascii="仿宋_GB2312" w:hAnsi="仿宋" w:eastAsia="仿宋_GB2312" w:cs="仿宋_GB2312"/>
                <w:sz w:val="24"/>
              </w:rPr>
            </w:pPr>
          </w:p>
        </w:tc>
      </w:tr>
      <w:tr w14:paraId="659A9C3F">
        <w:tblPrEx>
          <w:tblCellMar>
            <w:top w:w="0" w:type="dxa"/>
            <w:left w:w="108" w:type="dxa"/>
            <w:bottom w:w="0" w:type="dxa"/>
            <w:right w:w="108" w:type="dxa"/>
          </w:tblCellMar>
        </w:tblPrEx>
        <w:trPr>
          <w:cantSplit/>
          <w:trHeight w:val="169" w:hRule="atLeast"/>
        </w:trPr>
        <w:tc>
          <w:tcPr>
            <w:tcW w:w="2061" w:type="dxa"/>
            <w:tcBorders>
              <w:top w:val="single" w:color="auto" w:sz="6" w:space="0"/>
              <w:left w:val="single" w:color="auto" w:sz="6" w:space="0"/>
              <w:bottom w:val="single" w:color="auto" w:sz="6" w:space="0"/>
              <w:right w:val="single" w:color="auto" w:sz="6" w:space="0"/>
            </w:tcBorders>
            <w:shd w:val="clear" w:color="auto" w:fill="auto"/>
            <w:vAlign w:val="center"/>
          </w:tcPr>
          <w:p w14:paraId="454C3E75">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联系电话</w:t>
            </w:r>
          </w:p>
        </w:tc>
        <w:tc>
          <w:tcPr>
            <w:tcW w:w="1287" w:type="dxa"/>
            <w:tcBorders>
              <w:top w:val="single" w:color="auto" w:sz="6" w:space="0"/>
              <w:left w:val="single" w:color="auto" w:sz="6" w:space="0"/>
              <w:bottom w:val="single" w:color="auto" w:sz="6" w:space="0"/>
              <w:right w:val="single" w:color="auto" w:sz="4" w:space="0"/>
            </w:tcBorders>
            <w:shd w:val="clear" w:color="auto" w:fill="auto"/>
            <w:vAlign w:val="center"/>
          </w:tcPr>
          <w:p w14:paraId="5F46D06C">
            <w:pPr>
              <w:autoSpaceDE w:val="0"/>
              <w:autoSpaceDN w:val="0"/>
              <w:spacing w:line="360" w:lineRule="auto"/>
              <w:jc w:val="center"/>
              <w:rPr>
                <w:rFonts w:ascii="仿宋_GB2312" w:hAnsi="仿宋" w:eastAsia="仿宋_GB2312" w:cs="仿宋_GB2312"/>
                <w:sz w:val="24"/>
              </w:rPr>
            </w:pPr>
          </w:p>
        </w:tc>
        <w:tc>
          <w:tcPr>
            <w:tcW w:w="1260" w:type="dxa"/>
            <w:tcBorders>
              <w:top w:val="single" w:color="auto" w:sz="6" w:space="0"/>
              <w:left w:val="single" w:color="auto" w:sz="4" w:space="0"/>
              <w:bottom w:val="single" w:color="auto" w:sz="6" w:space="0"/>
              <w:right w:val="single" w:color="auto" w:sz="6" w:space="0"/>
            </w:tcBorders>
            <w:shd w:val="clear" w:color="auto" w:fill="B3B3B3"/>
            <w:vAlign w:val="center"/>
          </w:tcPr>
          <w:p w14:paraId="55BF00AD">
            <w:pPr>
              <w:autoSpaceDE w:val="0"/>
              <w:autoSpaceDN w:val="0"/>
              <w:spacing w:line="360" w:lineRule="auto"/>
              <w:jc w:val="center"/>
              <w:rPr>
                <w:rFonts w:ascii="仿宋_GB2312" w:hAnsi="仿宋" w:eastAsia="仿宋_GB2312" w:cs="仿宋_GB2312"/>
                <w:sz w:val="24"/>
              </w:rPr>
            </w:pPr>
          </w:p>
        </w:tc>
        <w:tc>
          <w:tcPr>
            <w:tcW w:w="4147" w:type="dxa"/>
            <w:vMerge w:val="continue"/>
            <w:tcBorders>
              <w:top w:val="single" w:color="auto" w:sz="6" w:space="0"/>
              <w:left w:val="single" w:color="auto" w:sz="6" w:space="0"/>
              <w:bottom w:val="single" w:color="auto" w:sz="6" w:space="0"/>
              <w:right w:val="single" w:color="auto" w:sz="6" w:space="0"/>
            </w:tcBorders>
            <w:vAlign w:val="center"/>
          </w:tcPr>
          <w:p w14:paraId="2D01A3E5">
            <w:pPr>
              <w:autoSpaceDE w:val="0"/>
              <w:autoSpaceDN w:val="0"/>
              <w:spacing w:line="360" w:lineRule="auto"/>
              <w:jc w:val="center"/>
              <w:rPr>
                <w:rFonts w:ascii="仿宋_GB2312" w:hAnsi="仿宋" w:eastAsia="仿宋_GB2312" w:cs="仿宋_GB2312"/>
                <w:sz w:val="24"/>
              </w:rPr>
            </w:pPr>
          </w:p>
        </w:tc>
      </w:tr>
    </w:tbl>
    <w:p w14:paraId="1A741866">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注：如有请随表提交相应的证书复印件。</w:t>
      </w:r>
    </w:p>
    <w:p w14:paraId="6C987103">
      <w:pPr>
        <w:autoSpaceDE w:val="0"/>
        <w:autoSpaceDN w:val="0"/>
        <w:spacing w:line="360" w:lineRule="auto"/>
        <w:rPr>
          <w:rFonts w:ascii="仿宋_GB2312" w:hAnsi="仿宋" w:eastAsia="仿宋_GB2312" w:cs="仿宋_GB2312"/>
          <w:b/>
          <w:sz w:val="24"/>
        </w:rPr>
      </w:pPr>
      <w:r>
        <w:rPr>
          <w:rFonts w:hint="eastAsia" w:ascii="仿宋_GB2312" w:hAnsi="仿宋" w:eastAsia="仿宋_GB2312" w:cs="仿宋_GB2312"/>
          <w:b/>
          <w:sz w:val="24"/>
        </w:rPr>
        <w:t>附表B:本项目的项目小组人员情况表</w:t>
      </w:r>
      <w:r>
        <w:rPr>
          <w:rFonts w:hint="eastAsia" w:ascii="仿宋_GB2312" w:hAnsi="仿宋" w:eastAsia="仿宋_GB2312" w:cs="仿宋_GB2312"/>
          <w:sz w:val="24"/>
        </w:rPr>
        <w:t>（按此格式自制）</w:t>
      </w:r>
    </w:p>
    <w:tbl>
      <w:tblPr>
        <w:tblStyle w:val="35"/>
        <w:tblW w:w="9030" w:type="dxa"/>
        <w:tblInd w:w="108" w:type="dxa"/>
        <w:tblLayout w:type="fixed"/>
        <w:tblCellMar>
          <w:top w:w="0" w:type="dxa"/>
          <w:left w:w="108" w:type="dxa"/>
          <w:bottom w:w="0" w:type="dxa"/>
          <w:right w:w="108" w:type="dxa"/>
        </w:tblCellMar>
      </w:tblPr>
      <w:tblGrid>
        <w:gridCol w:w="420"/>
        <w:gridCol w:w="787"/>
        <w:gridCol w:w="412"/>
        <w:gridCol w:w="586"/>
        <w:gridCol w:w="1035"/>
        <w:gridCol w:w="1080"/>
        <w:gridCol w:w="1080"/>
        <w:gridCol w:w="1260"/>
        <w:gridCol w:w="900"/>
        <w:gridCol w:w="1470"/>
      </w:tblGrid>
      <w:tr w14:paraId="3AC3E362">
        <w:tblPrEx>
          <w:tblCellMar>
            <w:top w:w="0" w:type="dxa"/>
            <w:left w:w="108" w:type="dxa"/>
            <w:bottom w:w="0" w:type="dxa"/>
            <w:right w:w="108" w:type="dxa"/>
          </w:tblCellMar>
        </w:tblPrEx>
        <w:tc>
          <w:tcPr>
            <w:tcW w:w="420" w:type="dxa"/>
            <w:tcBorders>
              <w:top w:val="single" w:color="auto" w:sz="6" w:space="0"/>
              <w:left w:val="single" w:color="auto" w:sz="6" w:space="0"/>
              <w:bottom w:val="single" w:color="auto" w:sz="6" w:space="0"/>
              <w:right w:val="single" w:color="auto" w:sz="6" w:space="0"/>
            </w:tcBorders>
            <w:vAlign w:val="center"/>
          </w:tcPr>
          <w:p w14:paraId="338D587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序号</w:t>
            </w:r>
          </w:p>
        </w:tc>
        <w:tc>
          <w:tcPr>
            <w:tcW w:w="787" w:type="dxa"/>
            <w:tcBorders>
              <w:top w:val="single" w:color="auto" w:sz="6" w:space="0"/>
              <w:left w:val="single" w:color="auto" w:sz="6" w:space="0"/>
              <w:bottom w:val="single" w:color="auto" w:sz="6" w:space="0"/>
              <w:right w:val="single" w:color="auto" w:sz="6" w:space="0"/>
            </w:tcBorders>
            <w:vAlign w:val="center"/>
          </w:tcPr>
          <w:p w14:paraId="07851E65">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姓名</w:t>
            </w:r>
          </w:p>
        </w:tc>
        <w:tc>
          <w:tcPr>
            <w:tcW w:w="412" w:type="dxa"/>
            <w:tcBorders>
              <w:top w:val="single" w:color="auto" w:sz="6" w:space="0"/>
              <w:left w:val="single" w:color="auto" w:sz="6" w:space="0"/>
              <w:bottom w:val="single" w:color="auto" w:sz="6" w:space="0"/>
              <w:right w:val="single" w:color="auto" w:sz="6" w:space="0"/>
            </w:tcBorders>
            <w:vAlign w:val="center"/>
          </w:tcPr>
          <w:p w14:paraId="4A6563B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性别</w:t>
            </w:r>
          </w:p>
        </w:tc>
        <w:tc>
          <w:tcPr>
            <w:tcW w:w="586" w:type="dxa"/>
            <w:tcBorders>
              <w:top w:val="single" w:color="auto" w:sz="6" w:space="0"/>
              <w:left w:val="single" w:color="auto" w:sz="6" w:space="0"/>
              <w:bottom w:val="single" w:color="auto" w:sz="6" w:space="0"/>
              <w:right w:val="single" w:color="auto" w:sz="6" w:space="0"/>
            </w:tcBorders>
            <w:vAlign w:val="center"/>
          </w:tcPr>
          <w:p w14:paraId="1166EAA3">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年龄</w:t>
            </w:r>
          </w:p>
        </w:tc>
        <w:tc>
          <w:tcPr>
            <w:tcW w:w="1035" w:type="dxa"/>
            <w:tcBorders>
              <w:top w:val="single" w:color="auto" w:sz="6" w:space="0"/>
              <w:left w:val="single" w:color="auto" w:sz="6" w:space="0"/>
              <w:bottom w:val="single" w:color="auto" w:sz="6" w:space="0"/>
              <w:right w:val="single" w:color="auto" w:sz="6" w:space="0"/>
            </w:tcBorders>
            <w:vAlign w:val="center"/>
          </w:tcPr>
          <w:p w14:paraId="562E8A6D">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学历</w:t>
            </w:r>
          </w:p>
          <w:p w14:paraId="2B097467">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178211E4">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专业</w:t>
            </w:r>
          </w:p>
          <w:p w14:paraId="3BAA7A3A">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1080" w:type="dxa"/>
            <w:tcBorders>
              <w:top w:val="single" w:color="auto" w:sz="6" w:space="0"/>
              <w:left w:val="single" w:color="auto" w:sz="6" w:space="0"/>
              <w:bottom w:val="single" w:color="auto" w:sz="6" w:space="0"/>
              <w:right w:val="single" w:color="auto" w:sz="6" w:space="0"/>
            </w:tcBorders>
            <w:vAlign w:val="center"/>
          </w:tcPr>
          <w:p w14:paraId="0FDBD971">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职称</w:t>
            </w:r>
          </w:p>
          <w:p w14:paraId="38077296">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(页码)</w:t>
            </w:r>
          </w:p>
        </w:tc>
        <w:tc>
          <w:tcPr>
            <w:tcW w:w="1260" w:type="dxa"/>
            <w:tcBorders>
              <w:top w:val="single" w:color="auto" w:sz="6" w:space="0"/>
              <w:left w:val="single" w:color="auto" w:sz="6" w:space="0"/>
              <w:bottom w:val="single" w:color="auto" w:sz="6" w:space="0"/>
              <w:right w:val="single" w:color="auto" w:sz="6" w:space="0"/>
            </w:tcBorders>
            <w:vAlign w:val="center"/>
          </w:tcPr>
          <w:p w14:paraId="28A28EAA">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本项目中的职责</w:t>
            </w:r>
          </w:p>
        </w:tc>
        <w:tc>
          <w:tcPr>
            <w:tcW w:w="900" w:type="dxa"/>
            <w:tcBorders>
              <w:top w:val="single" w:color="auto" w:sz="6" w:space="0"/>
              <w:left w:val="single" w:color="auto" w:sz="6" w:space="0"/>
              <w:bottom w:val="single" w:color="auto" w:sz="6" w:space="0"/>
              <w:right w:val="single" w:color="auto" w:sz="6" w:space="0"/>
            </w:tcBorders>
            <w:vAlign w:val="center"/>
          </w:tcPr>
          <w:p w14:paraId="6EA434FD">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项目经历</w:t>
            </w:r>
          </w:p>
        </w:tc>
        <w:tc>
          <w:tcPr>
            <w:tcW w:w="1470" w:type="dxa"/>
            <w:tcBorders>
              <w:top w:val="single" w:color="auto" w:sz="6" w:space="0"/>
              <w:left w:val="single" w:color="auto" w:sz="6" w:space="0"/>
              <w:bottom w:val="single" w:color="auto" w:sz="6" w:space="0"/>
              <w:right w:val="single" w:color="auto" w:sz="6" w:space="0"/>
            </w:tcBorders>
            <w:vAlign w:val="center"/>
          </w:tcPr>
          <w:p w14:paraId="7C07A0FB">
            <w:pPr>
              <w:autoSpaceDE w:val="0"/>
              <w:autoSpaceDN w:val="0"/>
              <w:spacing w:line="360" w:lineRule="auto"/>
              <w:jc w:val="center"/>
              <w:rPr>
                <w:rFonts w:ascii="仿宋_GB2312" w:hAnsi="仿宋" w:eastAsia="仿宋_GB2312" w:cs="仿宋_GB2312"/>
                <w:sz w:val="24"/>
              </w:rPr>
            </w:pPr>
            <w:r>
              <w:rPr>
                <w:rFonts w:hint="eastAsia" w:ascii="仿宋_GB2312" w:hAnsi="仿宋" w:eastAsia="仿宋_GB2312" w:cs="仿宋_GB2312"/>
                <w:sz w:val="24"/>
              </w:rPr>
              <w:t>参与本项目的到位情况</w:t>
            </w:r>
          </w:p>
        </w:tc>
      </w:tr>
      <w:tr w14:paraId="39135600">
        <w:tblPrEx>
          <w:tblCellMar>
            <w:top w:w="0" w:type="dxa"/>
            <w:left w:w="108" w:type="dxa"/>
            <w:bottom w:w="0" w:type="dxa"/>
            <w:right w:w="108" w:type="dxa"/>
          </w:tblCellMar>
        </w:tblPrEx>
        <w:trPr>
          <w:trHeight w:val="479" w:hRule="atLeast"/>
        </w:trPr>
        <w:tc>
          <w:tcPr>
            <w:tcW w:w="420" w:type="dxa"/>
            <w:tcBorders>
              <w:top w:val="single" w:color="auto" w:sz="6" w:space="0"/>
              <w:left w:val="single" w:color="auto" w:sz="6" w:space="0"/>
              <w:bottom w:val="single" w:color="auto" w:sz="6" w:space="0"/>
              <w:right w:val="single" w:color="auto" w:sz="6" w:space="0"/>
            </w:tcBorders>
          </w:tcPr>
          <w:p w14:paraId="4288A45C">
            <w:pPr>
              <w:autoSpaceDE w:val="0"/>
              <w:autoSpaceDN w:val="0"/>
              <w:spacing w:line="360" w:lineRule="auto"/>
              <w:jc w:val="center"/>
              <w:rPr>
                <w:rFonts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tcPr>
          <w:p w14:paraId="335B1A45">
            <w:pPr>
              <w:autoSpaceDE w:val="0"/>
              <w:autoSpaceDN w:val="0"/>
              <w:spacing w:line="360" w:lineRule="auto"/>
              <w:rPr>
                <w:rFonts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tcPr>
          <w:p w14:paraId="07CB161B">
            <w:pPr>
              <w:autoSpaceDE w:val="0"/>
              <w:autoSpaceDN w:val="0"/>
              <w:spacing w:line="360" w:lineRule="auto"/>
              <w:rPr>
                <w:rFonts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tcPr>
          <w:p w14:paraId="408ECC82">
            <w:pPr>
              <w:autoSpaceDE w:val="0"/>
              <w:autoSpaceDN w:val="0"/>
              <w:spacing w:line="360" w:lineRule="auto"/>
              <w:rPr>
                <w:rFonts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tcPr>
          <w:p w14:paraId="348D21F5">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71047AC9">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2819ACA2">
            <w:pPr>
              <w:autoSpaceDE w:val="0"/>
              <w:autoSpaceDN w:val="0"/>
              <w:spacing w:line="360" w:lineRule="auto"/>
              <w:rPr>
                <w:rFonts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tcPr>
          <w:p w14:paraId="7B3CB764">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5CE58A67">
            <w:pPr>
              <w:autoSpaceDE w:val="0"/>
              <w:autoSpaceDN w:val="0"/>
              <w:spacing w:line="360" w:lineRule="auto"/>
              <w:rPr>
                <w:rFonts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10C5CFF6">
            <w:pPr>
              <w:autoSpaceDE w:val="0"/>
              <w:autoSpaceDN w:val="0"/>
              <w:spacing w:line="360" w:lineRule="auto"/>
              <w:rPr>
                <w:rFonts w:ascii="仿宋_GB2312" w:hAnsi="仿宋" w:eastAsia="仿宋_GB2312" w:cs="仿宋_GB2312"/>
                <w:sz w:val="24"/>
              </w:rPr>
            </w:pPr>
          </w:p>
        </w:tc>
      </w:tr>
      <w:tr w14:paraId="7051D8DC">
        <w:tblPrEx>
          <w:tblCellMar>
            <w:top w:w="0" w:type="dxa"/>
            <w:left w:w="108" w:type="dxa"/>
            <w:bottom w:w="0" w:type="dxa"/>
            <w:right w:w="108" w:type="dxa"/>
          </w:tblCellMar>
        </w:tblPrEx>
        <w:trPr>
          <w:trHeight w:val="473" w:hRule="atLeast"/>
        </w:trPr>
        <w:tc>
          <w:tcPr>
            <w:tcW w:w="420" w:type="dxa"/>
            <w:tcBorders>
              <w:top w:val="single" w:color="auto" w:sz="6" w:space="0"/>
              <w:left w:val="single" w:color="auto" w:sz="6" w:space="0"/>
              <w:bottom w:val="single" w:color="auto" w:sz="6" w:space="0"/>
              <w:right w:val="single" w:color="auto" w:sz="6" w:space="0"/>
            </w:tcBorders>
          </w:tcPr>
          <w:p w14:paraId="1313F7C8">
            <w:pPr>
              <w:autoSpaceDE w:val="0"/>
              <w:autoSpaceDN w:val="0"/>
              <w:spacing w:line="360" w:lineRule="auto"/>
              <w:jc w:val="center"/>
              <w:rPr>
                <w:rFonts w:ascii="仿宋_GB2312" w:hAnsi="仿宋" w:eastAsia="仿宋_GB2312" w:cs="仿宋_GB2312"/>
                <w:sz w:val="24"/>
              </w:rPr>
            </w:pPr>
          </w:p>
        </w:tc>
        <w:tc>
          <w:tcPr>
            <w:tcW w:w="787" w:type="dxa"/>
            <w:tcBorders>
              <w:top w:val="single" w:color="auto" w:sz="6" w:space="0"/>
              <w:left w:val="single" w:color="auto" w:sz="6" w:space="0"/>
              <w:bottom w:val="single" w:color="auto" w:sz="6" w:space="0"/>
              <w:right w:val="single" w:color="auto" w:sz="6" w:space="0"/>
            </w:tcBorders>
          </w:tcPr>
          <w:p w14:paraId="1E357A36">
            <w:pPr>
              <w:autoSpaceDE w:val="0"/>
              <w:autoSpaceDN w:val="0"/>
              <w:spacing w:line="360" w:lineRule="auto"/>
              <w:rPr>
                <w:rFonts w:ascii="仿宋_GB2312" w:hAnsi="仿宋" w:eastAsia="仿宋_GB2312" w:cs="仿宋_GB2312"/>
                <w:sz w:val="24"/>
              </w:rPr>
            </w:pPr>
          </w:p>
        </w:tc>
        <w:tc>
          <w:tcPr>
            <w:tcW w:w="412" w:type="dxa"/>
            <w:tcBorders>
              <w:top w:val="single" w:color="auto" w:sz="6" w:space="0"/>
              <w:left w:val="single" w:color="auto" w:sz="6" w:space="0"/>
              <w:bottom w:val="single" w:color="auto" w:sz="6" w:space="0"/>
              <w:right w:val="single" w:color="auto" w:sz="6" w:space="0"/>
            </w:tcBorders>
          </w:tcPr>
          <w:p w14:paraId="604806B4">
            <w:pPr>
              <w:autoSpaceDE w:val="0"/>
              <w:autoSpaceDN w:val="0"/>
              <w:spacing w:line="360" w:lineRule="auto"/>
              <w:rPr>
                <w:rFonts w:ascii="仿宋_GB2312" w:hAnsi="仿宋" w:eastAsia="仿宋_GB2312" w:cs="仿宋_GB2312"/>
                <w:sz w:val="24"/>
              </w:rPr>
            </w:pPr>
          </w:p>
        </w:tc>
        <w:tc>
          <w:tcPr>
            <w:tcW w:w="586" w:type="dxa"/>
            <w:tcBorders>
              <w:top w:val="single" w:color="auto" w:sz="6" w:space="0"/>
              <w:left w:val="single" w:color="auto" w:sz="6" w:space="0"/>
              <w:bottom w:val="single" w:color="auto" w:sz="6" w:space="0"/>
              <w:right w:val="single" w:color="auto" w:sz="6" w:space="0"/>
            </w:tcBorders>
          </w:tcPr>
          <w:p w14:paraId="321B1C56">
            <w:pPr>
              <w:autoSpaceDE w:val="0"/>
              <w:autoSpaceDN w:val="0"/>
              <w:spacing w:line="360" w:lineRule="auto"/>
              <w:rPr>
                <w:rFonts w:ascii="仿宋_GB2312" w:hAnsi="仿宋" w:eastAsia="仿宋_GB2312" w:cs="仿宋_GB2312"/>
                <w:sz w:val="24"/>
              </w:rPr>
            </w:pPr>
          </w:p>
        </w:tc>
        <w:tc>
          <w:tcPr>
            <w:tcW w:w="1035" w:type="dxa"/>
            <w:tcBorders>
              <w:top w:val="single" w:color="auto" w:sz="6" w:space="0"/>
              <w:left w:val="single" w:color="auto" w:sz="6" w:space="0"/>
              <w:bottom w:val="single" w:color="auto" w:sz="6" w:space="0"/>
              <w:right w:val="single" w:color="auto" w:sz="6" w:space="0"/>
            </w:tcBorders>
          </w:tcPr>
          <w:p w14:paraId="2FF2D5C0">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6FD42EDD">
            <w:pPr>
              <w:autoSpaceDE w:val="0"/>
              <w:autoSpaceDN w:val="0"/>
              <w:spacing w:line="360" w:lineRule="auto"/>
              <w:rPr>
                <w:rFonts w:ascii="仿宋_GB2312" w:hAnsi="仿宋" w:eastAsia="仿宋_GB2312" w:cs="仿宋_GB2312"/>
                <w:sz w:val="24"/>
              </w:rPr>
            </w:pPr>
          </w:p>
        </w:tc>
        <w:tc>
          <w:tcPr>
            <w:tcW w:w="1080" w:type="dxa"/>
            <w:tcBorders>
              <w:top w:val="single" w:color="auto" w:sz="6" w:space="0"/>
              <w:left w:val="single" w:color="auto" w:sz="6" w:space="0"/>
              <w:bottom w:val="single" w:color="auto" w:sz="6" w:space="0"/>
              <w:right w:val="single" w:color="auto" w:sz="6" w:space="0"/>
            </w:tcBorders>
          </w:tcPr>
          <w:p w14:paraId="5B59757E">
            <w:pPr>
              <w:autoSpaceDE w:val="0"/>
              <w:autoSpaceDN w:val="0"/>
              <w:spacing w:line="360" w:lineRule="auto"/>
              <w:rPr>
                <w:rFonts w:ascii="仿宋_GB2312" w:hAnsi="仿宋" w:eastAsia="仿宋_GB2312" w:cs="仿宋_GB2312"/>
                <w:sz w:val="24"/>
              </w:rPr>
            </w:pPr>
          </w:p>
        </w:tc>
        <w:tc>
          <w:tcPr>
            <w:tcW w:w="1260" w:type="dxa"/>
            <w:tcBorders>
              <w:top w:val="single" w:color="auto" w:sz="6" w:space="0"/>
              <w:left w:val="single" w:color="auto" w:sz="6" w:space="0"/>
              <w:bottom w:val="single" w:color="auto" w:sz="6" w:space="0"/>
              <w:right w:val="single" w:color="auto" w:sz="6" w:space="0"/>
            </w:tcBorders>
          </w:tcPr>
          <w:p w14:paraId="2738C5C2">
            <w:pPr>
              <w:autoSpaceDE w:val="0"/>
              <w:autoSpaceDN w:val="0"/>
              <w:spacing w:line="360" w:lineRule="auto"/>
              <w:rPr>
                <w:rFonts w:ascii="仿宋_GB2312" w:hAnsi="仿宋" w:eastAsia="仿宋_GB2312" w:cs="仿宋_GB2312"/>
                <w:sz w:val="24"/>
              </w:rPr>
            </w:pPr>
          </w:p>
        </w:tc>
        <w:tc>
          <w:tcPr>
            <w:tcW w:w="900" w:type="dxa"/>
            <w:tcBorders>
              <w:top w:val="single" w:color="auto" w:sz="6" w:space="0"/>
              <w:left w:val="single" w:color="auto" w:sz="6" w:space="0"/>
              <w:bottom w:val="single" w:color="auto" w:sz="6" w:space="0"/>
              <w:right w:val="single" w:color="auto" w:sz="6" w:space="0"/>
            </w:tcBorders>
          </w:tcPr>
          <w:p w14:paraId="2E872184">
            <w:pPr>
              <w:autoSpaceDE w:val="0"/>
              <w:autoSpaceDN w:val="0"/>
              <w:spacing w:line="360" w:lineRule="auto"/>
              <w:rPr>
                <w:rFonts w:ascii="仿宋_GB2312" w:hAnsi="仿宋" w:eastAsia="仿宋_GB2312" w:cs="仿宋_GB2312"/>
                <w:sz w:val="24"/>
              </w:rPr>
            </w:pPr>
          </w:p>
        </w:tc>
        <w:tc>
          <w:tcPr>
            <w:tcW w:w="1470" w:type="dxa"/>
            <w:tcBorders>
              <w:top w:val="single" w:color="auto" w:sz="6" w:space="0"/>
              <w:left w:val="single" w:color="auto" w:sz="6" w:space="0"/>
              <w:bottom w:val="single" w:color="auto" w:sz="6" w:space="0"/>
              <w:right w:val="single" w:color="auto" w:sz="6" w:space="0"/>
            </w:tcBorders>
          </w:tcPr>
          <w:p w14:paraId="7321AA0C">
            <w:pPr>
              <w:autoSpaceDE w:val="0"/>
              <w:autoSpaceDN w:val="0"/>
              <w:spacing w:line="360" w:lineRule="auto"/>
              <w:rPr>
                <w:rFonts w:ascii="仿宋_GB2312" w:hAnsi="仿宋" w:eastAsia="仿宋_GB2312" w:cs="仿宋_GB2312"/>
                <w:sz w:val="24"/>
              </w:rPr>
            </w:pPr>
          </w:p>
        </w:tc>
      </w:tr>
    </w:tbl>
    <w:p w14:paraId="05952FE9">
      <w:pPr>
        <w:spacing w:line="360" w:lineRule="auto"/>
        <w:rPr>
          <w:rFonts w:ascii="仿宋_GB2312" w:hAnsi="仿宋" w:eastAsia="仿宋_GB2312" w:cs="仿宋_GB2312"/>
          <w:b/>
          <w:sz w:val="24"/>
        </w:rPr>
      </w:pPr>
      <w:r>
        <w:rPr>
          <w:rFonts w:hint="eastAsia" w:ascii="仿宋_GB2312" w:hAnsi="仿宋" w:eastAsia="仿宋_GB2312" w:cs="仿宋_GB2312"/>
          <w:b/>
          <w:sz w:val="24"/>
        </w:rPr>
        <w:t>注：投标人可按上述的格式自行编制，如有请随表提交相应的证书复印件。</w:t>
      </w:r>
    </w:p>
    <w:p w14:paraId="5BB03626">
      <w:pPr>
        <w:spacing w:line="360" w:lineRule="auto"/>
        <w:rPr>
          <w:rFonts w:ascii="仿宋_GB2312" w:hAnsi="仿宋" w:eastAsia="仿宋_GB2312" w:cs="仿宋_GB2312"/>
          <w:b/>
          <w:sz w:val="24"/>
        </w:rPr>
      </w:pPr>
    </w:p>
    <w:p w14:paraId="3BB49CDE">
      <w:pPr>
        <w:spacing w:line="360" w:lineRule="auto"/>
        <w:rPr>
          <w:rFonts w:ascii="仿宋_GB2312" w:hAnsi="仿宋" w:eastAsia="仿宋_GB2312" w:cs="仿宋_GB2312"/>
          <w:b/>
          <w:bCs/>
          <w:sz w:val="24"/>
        </w:rPr>
      </w:pPr>
      <w:r>
        <w:rPr>
          <w:rFonts w:hint="eastAsia" w:ascii="仿宋_GB2312" w:hAnsi="仿宋" w:eastAsia="仿宋_GB2312" w:cs="仿宋_GB2312"/>
          <w:b/>
          <w:sz w:val="24"/>
        </w:rPr>
        <w:t>附表C:本项目的项目负责人和项目小组人员投标截止时间前半年内任意1个月社保缴纳证明材料复印件或劳动合同。</w:t>
      </w:r>
    </w:p>
    <w:p w14:paraId="12434614">
      <w:pPr>
        <w:snapToGrid w:val="0"/>
        <w:spacing w:line="360" w:lineRule="auto"/>
        <w:ind w:firstLine="4320" w:firstLineChars="18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0A0A82C0">
      <w:pPr>
        <w:autoSpaceDE w:val="0"/>
        <w:autoSpaceDN w:val="0"/>
        <w:spacing w:line="360" w:lineRule="auto"/>
        <w:rPr>
          <w:rFonts w:ascii="仿宋_GB2312" w:hAnsi="仿宋" w:eastAsia="仿宋_GB2312" w:cs="仿宋_GB2312"/>
          <w:kern w:val="0"/>
          <w:sz w:val="24"/>
        </w:rPr>
      </w:pP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日期：  年  月   日</w:t>
      </w:r>
    </w:p>
    <w:p w14:paraId="02B38217">
      <w:pPr>
        <w:snapToGrid w:val="0"/>
        <w:spacing w:before="50" w:after="50"/>
        <w:rPr>
          <w:rFonts w:ascii="宋体" w:hAnsi="宋体"/>
          <w:sz w:val="24"/>
        </w:rPr>
      </w:pPr>
    </w:p>
    <w:p w14:paraId="311803DE">
      <w:pPr>
        <w:snapToGrid w:val="0"/>
        <w:spacing w:before="165" w:beforeLines="50" w:after="50"/>
        <w:jc w:val="left"/>
        <w:rPr>
          <w:rFonts w:ascii="宋体" w:hAnsi="宋体"/>
          <w:sz w:val="24"/>
        </w:rPr>
      </w:pPr>
      <w:r>
        <w:rPr>
          <w:rFonts w:ascii="宋体" w:hAnsi="宋体"/>
          <w:b/>
          <w:sz w:val="24"/>
        </w:rPr>
        <w:br w:type="page"/>
      </w:r>
      <w:r>
        <w:rPr>
          <w:rFonts w:hint="eastAsia" w:ascii="宋体" w:hAnsi="宋体"/>
          <w:sz w:val="24"/>
        </w:rPr>
        <w:t xml:space="preserve"> </w:t>
      </w:r>
    </w:p>
    <w:p w14:paraId="64CD2A57">
      <w:pPr>
        <w:snapToGrid w:val="0"/>
        <w:spacing w:before="165" w:beforeLines="50" w:after="50"/>
        <w:ind w:left="142"/>
        <w:jc w:val="center"/>
        <w:rPr>
          <w:rFonts w:ascii="宋体" w:hAnsi="宋体"/>
          <w:b/>
          <w:sz w:val="32"/>
          <w:szCs w:val="32"/>
        </w:rPr>
      </w:pPr>
      <w:r>
        <w:rPr>
          <w:rFonts w:hint="eastAsia" w:ascii="宋体" w:hAnsi="宋体"/>
          <w:b/>
          <w:sz w:val="32"/>
          <w:szCs w:val="32"/>
        </w:rPr>
        <w:t>五、投标人对项目的合理化建议和改进措施（如无，可不提供）</w:t>
      </w:r>
    </w:p>
    <w:p w14:paraId="3AB57046">
      <w:pPr>
        <w:spacing w:line="360" w:lineRule="auto"/>
        <w:ind w:firstLine="4048" w:firstLineChars="1687"/>
        <w:rPr>
          <w:rFonts w:ascii="仿宋_GB2312" w:hAnsi="仿宋" w:eastAsia="仿宋_GB2312" w:cs="仿宋_GB2312"/>
          <w:sz w:val="24"/>
        </w:rPr>
      </w:pPr>
      <w:r>
        <w:rPr>
          <w:rFonts w:hint="eastAsia" w:ascii="仿宋_GB2312" w:hAnsi="仿宋" w:eastAsia="仿宋_GB2312" w:cs="仿宋_GB2312"/>
          <w:sz w:val="24"/>
        </w:rPr>
        <w:t>（格式自拟）</w:t>
      </w:r>
    </w:p>
    <w:p w14:paraId="41BF0D7E">
      <w:pPr>
        <w:snapToGrid w:val="0"/>
        <w:spacing w:line="360" w:lineRule="auto"/>
        <w:ind w:firstLine="4935" w:firstLineChars="2350"/>
        <w:rPr>
          <w:rFonts w:hAnsi="宋体"/>
          <w:szCs w:val="21"/>
        </w:rPr>
      </w:pPr>
      <w:r>
        <w:rPr>
          <w:rFonts w:hAnsi="宋体"/>
          <w:szCs w:val="21"/>
        </w:rPr>
        <w:t xml:space="preserve"> </w:t>
      </w:r>
    </w:p>
    <w:p w14:paraId="0861BF13">
      <w:pPr>
        <w:snapToGrid w:val="0"/>
        <w:spacing w:line="360" w:lineRule="auto"/>
        <w:ind w:firstLine="4935" w:firstLineChars="2350"/>
        <w:rPr>
          <w:rFonts w:hAnsi="宋体"/>
          <w:szCs w:val="21"/>
        </w:rPr>
      </w:pPr>
    </w:p>
    <w:p w14:paraId="317CFBFB">
      <w:pPr>
        <w:snapToGrid w:val="0"/>
        <w:spacing w:line="360" w:lineRule="auto"/>
        <w:ind w:firstLine="4935" w:firstLineChars="2350"/>
        <w:rPr>
          <w:rFonts w:hAnsi="宋体"/>
          <w:szCs w:val="21"/>
        </w:rPr>
      </w:pPr>
    </w:p>
    <w:p w14:paraId="0B201133">
      <w:pPr>
        <w:snapToGrid w:val="0"/>
        <w:spacing w:line="360" w:lineRule="auto"/>
        <w:ind w:firstLine="4935" w:firstLineChars="2350"/>
        <w:rPr>
          <w:rFonts w:hAnsi="宋体"/>
          <w:szCs w:val="21"/>
        </w:rPr>
      </w:pPr>
    </w:p>
    <w:p w14:paraId="7C3137C4">
      <w:pPr>
        <w:snapToGrid w:val="0"/>
        <w:spacing w:line="360" w:lineRule="auto"/>
        <w:ind w:firstLine="4935" w:firstLineChars="2350"/>
        <w:rPr>
          <w:rFonts w:ascii="仿宋_GB2312" w:hAnsi="仿宋" w:eastAsia="仿宋_GB2312" w:cs="仿宋_GB2312"/>
          <w:kern w:val="0"/>
          <w:sz w:val="24"/>
        </w:rPr>
      </w:pPr>
      <w:r>
        <w:rPr>
          <w:rFonts w:hAnsi="宋体"/>
          <w:szCs w:val="21"/>
        </w:rPr>
        <w:t xml:space="preserve">  </w:t>
      </w:r>
      <w:r>
        <w:rPr>
          <w:rFonts w:hint="eastAsia" w:ascii="仿宋_GB2312" w:hAnsi="仿宋" w:eastAsia="仿宋_GB2312" w:cs="仿宋_GB2312"/>
          <w:kern w:val="0"/>
          <w:sz w:val="24"/>
          <w:lang w:val="zh-CN"/>
        </w:rPr>
        <w:t>投标人名称(电子签章)：</w:t>
      </w:r>
    </w:p>
    <w:p w14:paraId="20449B3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01DF7386">
      <w:pPr>
        <w:spacing w:line="360" w:lineRule="auto"/>
        <w:jc w:val="center"/>
        <w:rPr>
          <w:rFonts w:ascii="宋体" w:hAnsi="宋体"/>
          <w:b/>
          <w:sz w:val="32"/>
          <w:szCs w:val="32"/>
        </w:rPr>
      </w:pPr>
      <w:r>
        <w:rPr>
          <w:rFonts w:hint="eastAsia" w:ascii="宋体" w:hAnsi="宋体"/>
          <w:b/>
          <w:sz w:val="32"/>
          <w:szCs w:val="32"/>
        </w:rPr>
        <w:t>六、除招标文件规定必须提供以外，投标人需要说明的其他文件和说明</w:t>
      </w:r>
    </w:p>
    <w:p w14:paraId="1115D14A">
      <w:pPr>
        <w:spacing w:line="360" w:lineRule="auto"/>
        <w:jc w:val="center"/>
        <w:rPr>
          <w:rFonts w:ascii="仿宋_GB2312" w:hAnsi="仿宋" w:eastAsia="仿宋_GB2312" w:cs="仿宋_GB2312"/>
          <w:sz w:val="24"/>
        </w:rPr>
      </w:pPr>
      <w:r>
        <w:rPr>
          <w:rFonts w:hint="eastAsia" w:ascii="仿宋_GB2312" w:hAnsi="仿宋" w:eastAsia="仿宋_GB2312" w:cs="仿宋_GB2312"/>
          <w:sz w:val="24"/>
        </w:rPr>
        <w:t>（由投标人根据采购需求自行编制）</w:t>
      </w:r>
    </w:p>
    <w:p w14:paraId="121F6719">
      <w:pPr>
        <w:spacing w:line="360" w:lineRule="auto"/>
        <w:jc w:val="center"/>
        <w:rPr>
          <w:rFonts w:ascii="仿宋_GB2312" w:hAnsi="仿宋" w:eastAsia="仿宋_GB2312" w:cs="仿宋_GB2312"/>
          <w:sz w:val="18"/>
          <w:szCs w:val="18"/>
        </w:rPr>
      </w:pPr>
    </w:p>
    <w:p w14:paraId="421C3C60">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39070525">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4E3E440">
      <w:pPr>
        <w:spacing w:line="360" w:lineRule="auto"/>
        <w:jc w:val="center"/>
        <w:rPr>
          <w:rFonts w:ascii="仿宋_GB2312" w:hAnsi="仿宋" w:eastAsia="仿宋_GB2312" w:cs="仿宋_GB2312"/>
          <w:sz w:val="24"/>
        </w:rPr>
      </w:pPr>
    </w:p>
    <w:p w14:paraId="15C7F25E">
      <w:pPr>
        <w:spacing w:line="360" w:lineRule="auto"/>
        <w:jc w:val="center"/>
        <w:rPr>
          <w:rFonts w:ascii="仿宋_GB2312" w:hAnsi="仿宋" w:eastAsia="仿宋_GB2312" w:cs="仿宋_GB2312"/>
          <w:sz w:val="24"/>
        </w:rPr>
      </w:pPr>
    </w:p>
    <w:p w14:paraId="14E4A8B7">
      <w:pPr>
        <w:spacing w:line="360" w:lineRule="auto"/>
        <w:jc w:val="center"/>
        <w:rPr>
          <w:rFonts w:ascii="仿宋_GB2312" w:hAnsi="仿宋" w:eastAsia="仿宋_GB2312" w:cs="仿宋_GB2312"/>
          <w:sz w:val="24"/>
        </w:rPr>
      </w:pPr>
    </w:p>
    <w:p w14:paraId="352C9E04">
      <w:pPr>
        <w:spacing w:line="360" w:lineRule="auto"/>
        <w:jc w:val="center"/>
        <w:rPr>
          <w:rFonts w:ascii="仿宋_GB2312" w:hAnsi="仿宋" w:eastAsia="仿宋_GB2312" w:cs="仿宋_GB2312"/>
          <w:sz w:val="24"/>
        </w:rPr>
      </w:pPr>
    </w:p>
    <w:p w14:paraId="0B0C5828">
      <w:pPr>
        <w:rPr>
          <w:rFonts w:ascii="仿宋_GB2312" w:hAnsi="仿宋" w:eastAsia="仿宋_GB2312" w:cs="仿宋_GB2312"/>
          <w:sz w:val="24"/>
        </w:rPr>
      </w:pPr>
      <w:r>
        <w:rPr>
          <w:rFonts w:ascii="仿宋_GB2312" w:hAnsi="仿宋" w:eastAsia="仿宋_GB2312" w:cs="仿宋_GB2312"/>
          <w:sz w:val="24"/>
        </w:rPr>
        <w:br w:type="page"/>
      </w:r>
    </w:p>
    <w:p w14:paraId="4656B784">
      <w:pPr>
        <w:spacing w:line="360" w:lineRule="auto"/>
        <w:jc w:val="center"/>
        <w:rPr>
          <w:rFonts w:ascii="仿宋_GB2312" w:hAnsi="仿宋" w:eastAsia="仿宋_GB2312" w:cs="仿宋_GB2312"/>
          <w:sz w:val="24"/>
        </w:rPr>
      </w:pPr>
    </w:p>
    <w:p w14:paraId="05056B1F">
      <w:pPr>
        <w:jc w:val="center"/>
        <w:outlineLvl w:val="1"/>
        <w:rPr>
          <w:rFonts w:hAnsi="宋体"/>
          <w:b/>
          <w:bCs/>
          <w:sz w:val="28"/>
          <w:szCs w:val="28"/>
        </w:rPr>
      </w:pPr>
      <w:bookmarkStart w:id="85" w:name="_Toc21750"/>
      <w:bookmarkStart w:id="86" w:name="_Toc10070"/>
      <w:bookmarkStart w:id="87" w:name="_Toc14373"/>
      <w:r>
        <w:rPr>
          <w:rFonts w:hint="eastAsia" w:hAnsi="宋体"/>
          <w:b/>
          <w:bCs/>
          <w:sz w:val="28"/>
          <w:szCs w:val="28"/>
        </w:rPr>
        <w:t>第四节 报价文件格式</w:t>
      </w:r>
      <w:bookmarkEnd w:id="85"/>
      <w:bookmarkEnd w:id="86"/>
      <w:bookmarkEnd w:id="87"/>
    </w:p>
    <w:p w14:paraId="72A0A264">
      <w:pPr>
        <w:snapToGrid w:val="0"/>
        <w:spacing w:before="165" w:beforeLines="50" w:after="50" w:line="400" w:lineRule="exact"/>
        <w:rPr>
          <w:rFonts w:ascii="宋体" w:hAnsi="宋体"/>
          <w:bCs/>
          <w:sz w:val="32"/>
          <w:szCs w:val="20"/>
        </w:rPr>
      </w:pPr>
      <w:r>
        <w:rPr>
          <w:rFonts w:hint="eastAsia" w:ascii="宋体" w:hAnsi="宋体"/>
          <w:sz w:val="24"/>
        </w:rPr>
        <w:t xml:space="preserve">                                                            </w:t>
      </w:r>
      <w:r>
        <w:rPr>
          <w:rFonts w:hint="eastAsia" w:ascii="宋体" w:hAnsi="宋体"/>
          <w:bCs/>
        </w:rPr>
        <w:t>电子投标文件</w:t>
      </w:r>
    </w:p>
    <w:p w14:paraId="1D8A11F3">
      <w:pPr>
        <w:snapToGrid w:val="0"/>
        <w:spacing w:before="165" w:beforeLines="50" w:after="50" w:line="400" w:lineRule="exact"/>
        <w:jc w:val="center"/>
        <w:rPr>
          <w:rFonts w:ascii="宋体" w:hAnsi="宋体"/>
          <w:bCs/>
          <w:sz w:val="24"/>
          <w:szCs w:val="20"/>
        </w:rPr>
      </w:pPr>
    </w:p>
    <w:p w14:paraId="5223CA18">
      <w:pPr>
        <w:snapToGrid w:val="0"/>
        <w:spacing w:before="165" w:beforeLines="50" w:after="50" w:line="400" w:lineRule="exact"/>
        <w:jc w:val="center"/>
        <w:rPr>
          <w:rFonts w:ascii="宋体" w:hAnsi="宋体"/>
          <w:b/>
          <w:bCs/>
          <w:sz w:val="32"/>
          <w:szCs w:val="32"/>
        </w:rPr>
      </w:pPr>
      <w:r>
        <w:rPr>
          <w:rFonts w:hint="eastAsia" w:ascii="宋体" w:hAnsi="宋体"/>
          <w:b/>
          <w:bCs/>
          <w:sz w:val="32"/>
          <w:szCs w:val="32"/>
        </w:rPr>
        <w:t>报价文件（封面）</w:t>
      </w:r>
    </w:p>
    <w:p w14:paraId="6E11D943">
      <w:pPr>
        <w:snapToGrid w:val="0"/>
        <w:spacing w:before="165" w:beforeLines="50" w:after="50" w:line="400" w:lineRule="exact"/>
        <w:rPr>
          <w:rFonts w:ascii="宋体" w:hAnsi="宋体"/>
          <w:bCs/>
          <w:sz w:val="24"/>
          <w:szCs w:val="20"/>
        </w:rPr>
      </w:pPr>
    </w:p>
    <w:p w14:paraId="7364FA36">
      <w:pPr>
        <w:snapToGrid w:val="0"/>
        <w:spacing w:before="165" w:beforeLines="50" w:after="50" w:line="400" w:lineRule="exact"/>
        <w:rPr>
          <w:rFonts w:ascii="宋体" w:hAnsi="宋体"/>
          <w:bCs/>
          <w:sz w:val="24"/>
          <w:szCs w:val="20"/>
        </w:rPr>
      </w:pPr>
    </w:p>
    <w:p w14:paraId="2E9B42F1">
      <w:pPr>
        <w:snapToGrid w:val="0"/>
        <w:spacing w:before="165" w:beforeLines="50" w:after="50" w:line="400" w:lineRule="exact"/>
        <w:rPr>
          <w:rFonts w:ascii="宋体" w:hAnsi="宋体"/>
          <w:bCs/>
          <w:sz w:val="24"/>
          <w:szCs w:val="20"/>
        </w:rPr>
      </w:pPr>
    </w:p>
    <w:p w14:paraId="061853CF">
      <w:pPr>
        <w:snapToGrid w:val="0"/>
        <w:spacing w:before="165" w:beforeLines="50" w:after="50" w:line="400" w:lineRule="exact"/>
        <w:rPr>
          <w:rFonts w:ascii="宋体" w:hAnsi="宋体"/>
          <w:bCs/>
          <w:sz w:val="24"/>
          <w:szCs w:val="20"/>
        </w:rPr>
      </w:pPr>
    </w:p>
    <w:p w14:paraId="42126923">
      <w:pPr>
        <w:snapToGrid w:val="0"/>
        <w:spacing w:before="165" w:beforeLines="50" w:after="50" w:line="400" w:lineRule="exact"/>
        <w:ind w:firstLine="360" w:firstLineChars="150"/>
        <w:rPr>
          <w:rFonts w:ascii="宋体" w:hAnsi="宋体"/>
          <w:bCs/>
          <w:sz w:val="24"/>
        </w:rPr>
      </w:pPr>
      <w:r>
        <w:rPr>
          <w:rFonts w:hint="eastAsia" w:ascii="宋体" w:hAnsi="宋体"/>
          <w:bCs/>
          <w:sz w:val="24"/>
        </w:rPr>
        <w:t xml:space="preserve">项目名称： </w:t>
      </w:r>
    </w:p>
    <w:p w14:paraId="5AE15FD6">
      <w:pPr>
        <w:snapToGrid w:val="0"/>
        <w:spacing w:before="165" w:beforeLines="50" w:after="50" w:line="400" w:lineRule="exact"/>
        <w:ind w:firstLine="360" w:firstLineChars="150"/>
        <w:rPr>
          <w:rFonts w:ascii="宋体" w:hAnsi="宋体"/>
          <w:bCs/>
          <w:sz w:val="24"/>
        </w:rPr>
      </w:pPr>
    </w:p>
    <w:p w14:paraId="715BC9A6">
      <w:pPr>
        <w:snapToGrid w:val="0"/>
        <w:spacing w:before="165" w:beforeLines="50" w:after="50" w:line="400" w:lineRule="exact"/>
        <w:ind w:firstLine="360" w:firstLineChars="150"/>
        <w:rPr>
          <w:rFonts w:ascii="宋体" w:hAnsi="宋体"/>
          <w:bCs/>
          <w:sz w:val="24"/>
        </w:rPr>
      </w:pPr>
      <w:r>
        <w:rPr>
          <w:rFonts w:hint="eastAsia" w:ascii="宋体" w:hAnsi="宋体"/>
          <w:bCs/>
          <w:sz w:val="24"/>
        </w:rPr>
        <w:t xml:space="preserve">项目编号： </w:t>
      </w:r>
    </w:p>
    <w:p w14:paraId="7C71386B">
      <w:pPr>
        <w:snapToGrid w:val="0"/>
        <w:spacing w:before="165" w:beforeLines="50" w:after="50" w:line="400" w:lineRule="exact"/>
        <w:ind w:firstLine="360" w:firstLineChars="150"/>
        <w:rPr>
          <w:rFonts w:ascii="宋体" w:hAnsi="宋体"/>
          <w:bCs/>
          <w:sz w:val="24"/>
        </w:rPr>
      </w:pPr>
    </w:p>
    <w:p w14:paraId="5018758E">
      <w:pPr>
        <w:snapToGrid w:val="0"/>
        <w:spacing w:before="165" w:beforeLines="50" w:after="50" w:line="400" w:lineRule="exact"/>
        <w:ind w:firstLine="360" w:firstLineChars="150"/>
        <w:rPr>
          <w:rFonts w:ascii="宋体" w:hAnsi="宋体"/>
          <w:bCs/>
          <w:sz w:val="24"/>
        </w:rPr>
      </w:pPr>
      <w:r>
        <w:rPr>
          <w:rFonts w:hint="eastAsia" w:ascii="宋体" w:hAnsi="宋体"/>
          <w:bCs/>
          <w:sz w:val="24"/>
        </w:rPr>
        <w:t>所投分标：</w:t>
      </w:r>
    </w:p>
    <w:p w14:paraId="3B5C82E9">
      <w:pPr>
        <w:snapToGrid w:val="0"/>
        <w:spacing w:before="165" w:beforeLines="50" w:after="50" w:line="400" w:lineRule="exact"/>
        <w:ind w:firstLine="360" w:firstLineChars="150"/>
        <w:rPr>
          <w:rFonts w:ascii="宋体" w:hAnsi="宋体"/>
          <w:bCs/>
          <w:sz w:val="24"/>
        </w:rPr>
      </w:pPr>
    </w:p>
    <w:p w14:paraId="55A50649">
      <w:pPr>
        <w:snapToGrid w:val="0"/>
        <w:spacing w:before="165" w:beforeLines="50" w:after="50" w:line="400" w:lineRule="exact"/>
        <w:ind w:firstLine="360" w:firstLineChars="150"/>
        <w:rPr>
          <w:rFonts w:ascii="宋体" w:hAnsi="宋体"/>
          <w:bCs/>
          <w:sz w:val="24"/>
        </w:rPr>
      </w:pPr>
      <w:r>
        <w:rPr>
          <w:rFonts w:hint="eastAsia" w:ascii="宋体" w:hAnsi="宋体"/>
          <w:bCs/>
          <w:sz w:val="24"/>
        </w:rPr>
        <w:t>投标人名称：</w:t>
      </w:r>
    </w:p>
    <w:p w14:paraId="3EA80ED7">
      <w:pPr>
        <w:snapToGrid w:val="0"/>
        <w:spacing w:before="165" w:beforeLines="50" w:after="50" w:line="400" w:lineRule="exact"/>
        <w:ind w:firstLine="360" w:firstLineChars="150"/>
        <w:rPr>
          <w:rFonts w:ascii="宋体" w:hAnsi="宋体"/>
          <w:bCs/>
          <w:sz w:val="24"/>
        </w:rPr>
      </w:pPr>
    </w:p>
    <w:p w14:paraId="72BBDC44">
      <w:pPr>
        <w:snapToGrid w:val="0"/>
        <w:spacing w:before="165" w:beforeLines="50" w:after="50" w:line="400" w:lineRule="exact"/>
        <w:ind w:firstLine="360" w:firstLineChars="150"/>
        <w:rPr>
          <w:rFonts w:ascii="宋体" w:hAnsi="宋体"/>
          <w:bCs/>
          <w:sz w:val="24"/>
        </w:rPr>
      </w:pPr>
      <w:r>
        <w:rPr>
          <w:rFonts w:hint="eastAsia" w:ascii="宋体" w:hAnsi="宋体"/>
          <w:bCs/>
          <w:sz w:val="24"/>
        </w:rPr>
        <w:t>投标人地址：</w:t>
      </w:r>
    </w:p>
    <w:p w14:paraId="113A0B5A">
      <w:pPr>
        <w:snapToGrid w:val="0"/>
        <w:spacing w:before="50" w:after="50" w:line="400" w:lineRule="exact"/>
        <w:ind w:firstLine="960" w:firstLineChars="400"/>
        <w:rPr>
          <w:rFonts w:ascii="宋体" w:hAnsi="宋体"/>
          <w:bCs/>
          <w:sz w:val="24"/>
        </w:rPr>
      </w:pPr>
    </w:p>
    <w:p w14:paraId="32678E5C">
      <w:pPr>
        <w:snapToGrid w:val="0"/>
        <w:spacing w:before="165" w:beforeLines="50" w:after="50" w:line="400" w:lineRule="exact"/>
        <w:rPr>
          <w:rFonts w:ascii="宋体" w:hAnsi="宋体"/>
          <w:sz w:val="24"/>
        </w:rPr>
        <w:sectPr>
          <w:pgSz w:w="11906" w:h="16838"/>
          <w:pgMar w:top="1134" w:right="1134" w:bottom="1134" w:left="1134" w:header="720" w:footer="720" w:gutter="0"/>
          <w:cols w:space="720" w:num="1"/>
          <w:docGrid w:type="lines" w:linePitch="331" w:charSpace="0"/>
        </w:sectPr>
      </w:pPr>
      <w:r>
        <w:rPr>
          <w:rFonts w:hint="eastAsia" w:ascii="宋体" w:hAnsi="宋体"/>
          <w:sz w:val="24"/>
        </w:rPr>
        <w:t xml:space="preserve">                                                       年  月  日</w:t>
      </w:r>
    </w:p>
    <w:p w14:paraId="04552DC4">
      <w:pPr>
        <w:rPr>
          <w:rFonts w:ascii="宋体" w:hAnsi="宋体" w:cs="宋体"/>
        </w:rPr>
      </w:pPr>
    </w:p>
    <w:p w14:paraId="3BC21F88">
      <w:pPr>
        <w:snapToGrid w:val="0"/>
        <w:spacing w:before="165" w:beforeLines="50" w:after="50" w:line="400" w:lineRule="exact"/>
        <w:jc w:val="center"/>
        <w:rPr>
          <w:rFonts w:ascii="宋体" w:hAnsi="宋体"/>
          <w:b/>
          <w:bCs/>
          <w:sz w:val="32"/>
          <w:szCs w:val="32"/>
        </w:rPr>
      </w:pPr>
      <w:r>
        <w:rPr>
          <w:rFonts w:hint="eastAsia" w:ascii="宋体" w:hAnsi="宋体"/>
          <w:b/>
          <w:bCs/>
          <w:sz w:val="32"/>
          <w:szCs w:val="32"/>
        </w:rPr>
        <w:t>报价文件目录</w:t>
      </w:r>
    </w:p>
    <w:p w14:paraId="1776E24F">
      <w:pPr>
        <w:rPr>
          <w:rFonts w:ascii="宋体" w:hAnsi="宋体" w:cs="宋体"/>
        </w:rPr>
      </w:pPr>
    </w:p>
    <w:p w14:paraId="23604DDA">
      <w:pPr>
        <w:rPr>
          <w:rFonts w:ascii="仿宋_GB2312" w:hAnsi="仿宋" w:eastAsia="仿宋_GB2312" w:cs="仿宋_GB2312"/>
          <w:kern w:val="0"/>
          <w:sz w:val="24"/>
        </w:rPr>
      </w:pPr>
      <w:r>
        <w:rPr>
          <w:rFonts w:hint="eastAsia" w:ascii="仿宋_GB2312" w:hAnsi="仿宋" w:eastAsia="仿宋_GB2312" w:cs="仿宋_GB2312"/>
          <w:kern w:val="0"/>
          <w:sz w:val="24"/>
        </w:rPr>
        <w:t>一、投标函…………………………………………………………………………………（页码）</w:t>
      </w:r>
    </w:p>
    <w:p w14:paraId="216E9B31">
      <w:pPr>
        <w:rPr>
          <w:rFonts w:ascii="仿宋_GB2312" w:hAnsi="仿宋" w:eastAsia="仿宋_GB2312" w:cs="仿宋_GB2312"/>
          <w:kern w:val="0"/>
          <w:sz w:val="24"/>
        </w:rPr>
      </w:pPr>
      <w:r>
        <w:rPr>
          <w:rFonts w:hint="eastAsia" w:ascii="仿宋_GB2312" w:hAnsi="仿宋" w:eastAsia="仿宋_GB2312" w:cs="仿宋_GB2312"/>
          <w:kern w:val="0"/>
          <w:sz w:val="24"/>
        </w:rPr>
        <w:t>二、开标一览表……………………………………………………………………………（页码）</w:t>
      </w:r>
    </w:p>
    <w:p w14:paraId="0BD773DC">
      <w:pPr>
        <w:rPr>
          <w:rFonts w:ascii="仿宋_GB2312" w:hAnsi="仿宋" w:eastAsia="仿宋_GB2312" w:cs="仿宋_GB2312"/>
          <w:kern w:val="0"/>
          <w:sz w:val="24"/>
        </w:rPr>
      </w:pPr>
      <w:r>
        <w:rPr>
          <w:rFonts w:hint="eastAsia" w:ascii="仿宋_GB2312" w:hAnsi="仿宋" w:eastAsia="仿宋_GB2312" w:cs="仿宋_GB2312"/>
          <w:kern w:val="0"/>
          <w:sz w:val="24"/>
        </w:rPr>
        <w:t>三、投标人针对报价需要说明的其他文件和说明，如《中小企业声明函》…………（页码）</w:t>
      </w:r>
    </w:p>
    <w:p w14:paraId="789D7E5C">
      <w:pPr>
        <w:spacing w:line="500" w:lineRule="exact"/>
        <w:jc w:val="center"/>
        <w:rPr>
          <w:b/>
          <w:bCs/>
          <w:sz w:val="30"/>
          <w:szCs w:val="30"/>
        </w:rPr>
      </w:pPr>
    </w:p>
    <w:p w14:paraId="39F47FE6">
      <w:pPr>
        <w:spacing w:line="500" w:lineRule="exact"/>
        <w:jc w:val="center"/>
        <w:rPr>
          <w:b/>
          <w:bCs/>
          <w:sz w:val="30"/>
          <w:szCs w:val="30"/>
        </w:rPr>
      </w:pPr>
    </w:p>
    <w:p w14:paraId="257349BE">
      <w:pPr>
        <w:spacing w:line="500" w:lineRule="exact"/>
        <w:jc w:val="center"/>
        <w:rPr>
          <w:b/>
          <w:bCs/>
          <w:sz w:val="30"/>
          <w:szCs w:val="30"/>
        </w:rPr>
      </w:pPr>
    </w:p>
    <w:p w14:paraId="7BE02E1F">
      <w:pPr>
        <w:spacing w:line="500" w:lineRule="exact"/>
        <w:jc w:val="center"/>
        <w:rPr>
          <w:b/>
          <w:bCs/>
          <w:sz w:val="30"/>
          <w:szCs w:val="30"/>
        </w:rPr>
      </w:pPr>
    </w:p>
    <w:p w14:paraId="7C67191F">
      <w:pPr>
        <w:spacing w:line="500" w:lineRule="exact"/>
        <w:jc w:val="center"/>
        <w:rPr>
          <w:b/>
          <w:bCs/>
          <w:sz w:val="30"/>
          <w:szCs w:val="30"/>
        </w:rPr>
      </w:pPr>
    </w:p>
    <w:p w14:paraId="2E7EE36B">
      <w:pPr>
        <w:spacing w:line="500" w:lineRule="exact"/>
        <w:jc w:val="center"/>
        <w:rPr>
          <w:b/>
          <w:bCs/>
          <w:sz w:val="30"/>
          <w:szCs w:val="30"/>
        </w:rPr>
      </w:pPr>
    </w:p>
    <w:p w14:paraId="3A963EC3">
      <w:pPr>
        <w:spacing w:line="500" w:lineRule="exact"/>
        <w:jc w:val="center"/>
        <w:rPr>
          <w:b/>
          <w:bCs/>
          <w:sz w:val="30"/>
          <w:szCs w:val="30"/>
        </w:rPr>
      </w:pPr>
    </w:p>
    <w:p w14:paraId="05E7A84C">
      <w:pPr>
        <w:spacing w:line="500" w:lineRule="exact"/>
        <w:jc w:val="center"/>
        <w:rPr>
          <w:b/>
          <w:bCs/>
          <w:sz w:val="30"/>
          <w:szCs w:val="30"/>
        </w:rPr>
      </w:pPr>
    </w:p>
    <w:p w14:paraId="6A784C37">
      <w:pPr>
        <w:spacing w:line="500" w:lineRule="exact"/>
        <w:jc w:val="center"/>
        <w:rPr>
          <w:b/>
          <w:bCs/>
          <w:sz w:val="30"/>
          <w:szCs w:val="30"/>
        </w:rPr>
      </w:pPr>
    </w:p>
    <w:p w14:paraId="59F45324">
      <w:pPr>
        <w:spacing w:line="500" w:lineRule="exact"/>
        <w:jc w:val="center"/>
        <w:rPr>
          <w:b/>
          <w:bCs/>
          <w:sz w:val="30"/>
          <w:szCs w:val="30"/>
        </w:rPr>
      </w:pPr>
    </w:p>
    <w:p w14:paraId="291166BB">
      <w:pPr>
        <w:spacing w:line="500" w:lineRule="exact"/>
        <w:jc w:val="center"/>
        <w:rPr>
          <w:b/>
          <w:bCs/>
          <w:sz w:val="30"/>
          <w:szCs w:val="30"/>
        </w:rPr>
      </w:pPr>
    </w:p>
    <w:p w14:paraId="31338E4F">
      <w:pPr>
        <w:spacing w:line="500" w:lineRule="exact"/>
        <w:jc w:val="center"/>
        <w:rPr>
          <w:b/>
          <w:bCs/>
          <w:sz w:val="30"/>
          <w:szCs w:val="30"/>
        </w:rPr>
      </w:pPr>
    </w:p>
    <w:p w14:paraId="41944353">
      <w:pPr>
        <w:spacing w:line="500" w:lineRule="exact"/>
        <w:jc w:val="center"/>
        <w:rPr>
          <w:b/>
          <w:bCs/>
          <w:sz w:val="30"/>
          <w:szCs w:val="30"/>
        </w:rPr>
      </w:pPr>
    </w:p>
    <w:p w14:paraId="14971079">
      <w:pPr>
        <w:spacing w:line="500" w:lineRule="exact"/>
        <w:jc w:val="center"/>
        <w:rPr>
          <w:b/>
          <w:bCs/>
          <w:sz w:val="30"/>
          <w:szCs w:val="30"/>
        </w:rPr>
      </w:pPr>
    </w:p>
    <w:p w14:paraId="0D39A8A1">
      <w:pPr>
        <w:spacing w:line="500" w:lineRule="exact"/>
        <w:jc w:val="center"/>
        <w:rPr>
          <w:b/>
          <w:bCs/>
          <w:sz w:val="30"/>
          <w:szCs w:val="30"/>
        </w:rPr>
      </w:pPr>
    </w:p>
    <w:p w14:paraId="662CA892">
      <w:pPr>
        <w:spacing w:line="500" w:lineRule="exact"/>
        <w:jc w:val="center"/>
        <w:rPr>
          <w:b/>
          <w:bCs/>
          <w:sz w:val="30"/>
          <w:szCs w:val="30"/>
        </w:rPr>
      </w:pPr>
    </w:p>
    <w:p w14:paraId="15D7193E">
      <w:pPr>
        <w:spacing w:line="500" w:lineRule="exact"/>
        <w:jc w:val="center"/>
        <w:rPr>
          <w:b/>
          <w:bCs/>
          <w:sz w:val="30"/>
          <w:szCs w:val="30"/>
        </w:rPr>
      </w:pPr>
    </w:p>
    <w:p w14:paraId="503D076F">
      <w:pPr>
        <w:spacing w:line="500" w:lineRule="exact"/>
        <w:jc w:val="center"/>
        <w:rPr>
          <w:b/>
          <w:bCs/>
          <w:sz w:val="30"/>
          <w:szCs w:val="30"/>
        </w:rPr>
      </w:pPr>
    </w:p>
    <w:p w14:paraId="50252DE5">
      <w:pPr>
        <w:spacing w:line="500" w:lineRule="exact"/>
        <w:jc w:val="center"/>
        <w:rPr>
          <w:b/>
          <w:bCs/>
          <w:sz w:val="30"/>
          <w:szCs w:val="30"/>
        </w:rPr>
      </w:pPr>
    </w:p>
    <w:p w14:paraId="3DB5CB69">
      <w:pPr>
        <w:spacing w:line="500" w:lineRule="exact"/>
        <w:jc w:val="center"/>
        <w:rPr>
          <w:b/>
          <w:bCs/>
          <w:sz w:val="30"/>
          <w:szCs w:val="30"/>
        </w:rPr>
      </w:pPr>
    </w:p>
    <w:p w14:paraId="15075115">
      <w:pPr>
        <w:spacing w:line="500" w:lineRule="exact"/>
        <w:jc w:val="center"/>
        <w:rPr>
          <w:b/>
          <w:bCs/>
          <w:sz w:val="30"/>
          <w:szCs w:val="30"/>
        </w:rPr>
      </w:pPr>
    </w:p>
    <w:p w14:paraId="62B27B3D">
      <w:pPr>
        <w:spacing w:line="500" w:lineRule="exact"/>
        <w:jc w:val="center"/>
        <w:rPr>
          <w:b/>
          <w:bCs/>
          <w:sz w:val="30"/>
          <w:szCs w:val="30"/>
        </w:rPr>
      </w:pPr>
    </w:p>
    <w:p w14:paraId="2CE06533">
      <w:pPr>
        <w:spacing w:line="500" w:lineRule="exact"/>
        <w:jc w:val="center"/>
        <w:rPr>
          <w:b/>
          <w:bCs/>
          <w:sz w:val="30"/>
          <w:szCs w:val="30"/>
        </w:rPr>
      </w:pPr>
    </w:p>
    <w:p w14:paraId="12D088AC">
      <w:pPr>
        <w:spacing w:line="500" w:lineRule="exact"/>
        <w:jc w:val="center"/>
        <w:rPr>
          <w:b/>
          <w:bCs/>
          <w:sz w:val="30"/>
          <w:szCs w:val="30"/>
        </w:rPr>
      </w:pPr>
    </w:p>
    <w:p w14:paraId="612E46E9">
      <w:pPr>
        <w:spacing w:line="500" w:lineRule="exact"/>
        <w:jc w:val="center"/>
        <w:rPr>
          <w:b/>
          <w:bCs/>
          <w:sz w:val="30"/>
          <w:szCs w:val="30"/>
        </w:rPr>
      </w:pPr>
    </w:p>
    <w:p w14:paraId="229D9F21">
      <w:pPr>
        <w:spacing w:line="500" w:lineRule="exact"/>
        <w:jc w:val="center"/>
        <w:rPr>
          <w:b/>
          <w:bCs/>
          <w:sz w:val="30"/>
          <w:szCs w:val="30"/>
        </w:rPr>
      </w:pPr>
      <w:r>
        <w:rPr>
          <w:rFonts w:hint="eastAsia"/>
          <w:b/>
          <w:bCs/>
          <w:sz w:val="30"/>
          <w:szCs w:val="30"/>
        </w:rPr>
        <w:t>一、投标函</w:t>
      </w:r>
    </w:p>
    <w:p w14:paraId="78F4D6DF">
      <w:pPr>
        <w:spacing w:line="440" w:lineRule="exact"/>
        <w:ind w:firstLine="420" w:firstLineChars="200"/>
      </w:pPr>
      <w:r>
        <w:rPr>
          <w:rFonts w:hint="eastAsia"/>
        </w:rPr>
        <w:t>致：</w:t>
      </w:r>
      <w:r>
        <w:rPr>
          <w:u w:val="single"/>
        </w:rPr>
        <w:t xml:space="preserve">                      </w:t>
      </w:r>
      <w:r>
        <w:rPr>
          <w:rFonts w:hint="eastAsia"/>
        </w:rPr>
        <w:t>（采购代理机构名称）</w:t>
      </w:r>
    </w:p>
    <w:p w14:paraId="4DC0CA2D">
      <w:pPr>
        <w:spacing w:line="440" w:lineRule="exact"/>
        <w:ind w:firstLine="420" w:firstLineChars="200"/>
      </w:pPr>
      <w:r>
        <w:rPr>
          <w:rFonts w:hint="eastAsia"/>
        </w:rPr>
        <w:t>我方已仔细阅读了贵方组织的</w:t>
      </w:r>
      <w:r>
        <w:rPr>
          <w:u w:val="single"/>
        </w:rPr>
        <w:t xml:space="preserve">                    </w:t>
      </w:r>
      <w:r>
        <w:rPr>
          <w:rFonts w:hint="eastAsia"/>
        </w:rPr>
        <w:t>项目（项目编号：</w:t>
      </w:r>
      <w:r>
        <w:rPr>
          <w:rFonts w:hint="eastAsia"/>
          <w:u w:val="single"/>
        </w:rPr>
        <w:t xml:space="preserve">             </w:t>
      </w:r>
      <w:r>
        <w:rPr>
          <w:rFonts w:hint="eastAsia"/>
        </w:rPr>
        <w:t>）的招标文件的全部内容，授权</w:t>
      </w:r>
      <w:r>
        <w:rPr>
          <w:u w:val="single"/>
        </w:rPr>
        <w:t xml:space="preserve">                      </w:t>
      </w:r>
      <w:r>
        <w:rPr>
          <w:rFonts w:hint="eastAsia"/>
        </w:rPr>
        <w:t>(全权代表姓名)</w:t>
      </w:r>
      <w:r>
        <w:rPr>
          <w:u w:val="single"/>
        </w:rPr>
        <w:t xml:space="preserve">          </w:t>
      </w:r>
      <w:r>
        <w:rPr>
          <w:rFonts w:hint="eastAsia"/>
        </w:rPr>
        <w:t xml:space="preserve"> (职务、职称)为全权代表，现正式递交下述文件参加贵方组织的本次政府采购活动： </w:t>
      </w:r>
    </w:p>
    <w:p w14:paraId="06DE6CC0">
      <w:pPr>
        <w:spacing w:line="440" w:lineRule="exact"/>
        <w:ind w:firstLine="482"/>
      </w:pPr>
      <w:r>
        <w:rPr>
          <w:rFonts w:hint="eastAsia"/>
        </w:rPr>
        <w:t>一、报价文件电子版一份（包含按投标人须知前附表要求提交的全部文件）；</w:t>
      </w:r>
    </w:p>
    <w:p w14:paraId="1449233D">
      <w:pPr>
        <w:spacing w:line="440" w:lineRule="exact"/>
        <w:ind w:firstLine="482"/>
      </w:pPr>
      <w:r>
        <w:rPr>
          <w:rFonts w:hint="eastAsia"/>
        </w:rPr>
        <w:t>二、资格文件电子版一份（包含按投标人须知前附表要求提交的全部文件）；</w:t>
      </w:r>
    </w:p>
    <w:p w14:paraId="3D7272E1">
      <w:pPr>
        <w:spacing w:line="440" w:lineRule="exact"/>
        <w:ind w:firstLine="482"/>
      </w:pPr>
      <w:r>
        <w:rPr>
          <w:rFonts w:hint="eastAsia"/>
        </w:rPr>
        <w:t>三、</w:t>
      </w:r>
      <w:r>
        <w:rPr>
          <w:rFonts w:hint="eastAsia" w:hAnsi="宋体"/>
        </w:rPr>
        <w:t>技术</w:t>
      </w:r>
      <w:r>
        <w:rPr>
          <w:rFonts w:hint="eastAsia"/>
        </w:rPr>
        <w:t>文件电子版一份（包含按投标人须知前附表要求提交的全部文件）；</w:t>
      </w:r>
    </w:p>
    <w:p w14:paraId="1911E5E1">
      <w:pPr>
        <w:spacing w:line="440" w:lineRule="exact"/>
        <w:ind w:firstLine="482"/>
      </w:pPr>
      <w:r>
        <w:rPr>
          <w:rFonts w:hint="eastAsia" w:hAnsi="宋体"/>
        </w:rPr>
        <w:t>四、</w:t>
      </w:r>
      <w:r>
        <w:rPr>
          <w:rFonts w:hint="eastAsia"/>
        </w:rPr>
        <w:t>商务</w:t>
      </w:r>
      <w:r>
        <w:rPr>
          <w:rFonts w:hint="eastAsia" w:hAnsi="宋体"/>
        </w:rPr>
        <w:t>文件</w:t>
      </w:r>
      <w:r>
        <w:rPr>
          <w:rFonts w:hint="eastAsia"/>
        </w:rPr>
        <w:t>电子版一份（包含按投标人须知前附表要求提交的全部文件）；</w:t>
      </w:r>
    </w:p>
    <w:p w14:paraId="28F0AE0F">
      <w:pPr>
        <w:spacing w:line="440" w:lineRule="exact"/>
        <w:ind w:firstLine="482"/>
      </w:pPr>
      <w:r>
        <w:rPr>
          <w:rFonts w:hint="eastAsia"/>
        </w:rPr>
        <w:t>据此函，签字人兹宣布：</w:t>
      </w:r>
    </w:p>
    <w:p w14:paraId="0E7E8A68">
      <w:pPr>
        <w:pStyle w:val="17"/>
        <w:spacing w:line="440" w:lineRule="exact"/>
        <w:ind w:firstLine="420" w:firstLineChars="200"/>
        <w:rPr>
          <w:rFonts w:ascii="Times New Roman" w:hAnsi="Times New Roman"/>
        </w:rPr>
      </w:pPr>
      <w:r>
        <w:rPr>
          <w:rFonts w:hint="eastAsia"/>
        </w:rPr>
        <w:t>1、我方愿意以（大写）人民币</w:t>
      </w:r>
      <w:r>
        <w:rPr>
          <w:rFonts w:hint="eastAsia"/>
          <w:u w:val="single"/>
        </w:rPr>
        <w:t xml:space="preserve">              </w:t>
      </w:r>
      <w:r>
        <w:rPr>
          <w:rFonts w:hint="eastAsia"/>
        </w:rPr>
        <w:t>元 (￥</w:t>
      </w:r>
      <w:r>
        <w:rPr>
          <w:rFonts w:hint="eastAsia"/>
          <w:u w:val="single"/>
        </w:rPr>
        <w:t xml:space="preserve">          </w:t>
      </w:r>
      <w:r>
        <w:rPr>
          <w:rFonts w:hint="eastAsia"/>
        </w:rPr>
        <w:t>元)的投标总报价，</w:t>
      </w:r>
      <w:r>
        <w:rPr>
          <w:rFonts w:hint="eastAsia" w:hAnsi="宋体"/>
          <w:color w:val="000000"/>
          <w:kern w:val="0"/>
          <w:szCs w:val="21"/>
        </w:rPr>
        <w:t>提交服务成果时间</w:t>
      </w:r>
      <w:r>
        <w:rPr>
          <w:rFonts w:hint="eastAsia"/>
        </w:rPr>
        <w:t>（无分标时填写）</w:t>
      </w:r>
      <w:r>
        <w:rPr>
          <w:rFonts w:hint="eastAsia"/>
          <w:u w:val="single"/>
        </w:rPr>
        <w:t xml:space="preserve">              </w:t>
      </w:r>
      <w:r>
        <w:rPr>
          <w:rFonts w:hint="eastAsia"/>
        </w:rPr>
        <w:t>，提供本项目</w:t>
      </w:r>
      <w:r>
        <w:rPr>
          <w:rFonts w:hint="eastAsia" w:hAnsi="Times New Roman"/>
        </w:rPr>
        <w:t>招标文件第二章</w:t>
      </w:r>
      <w:r>
        <w:rPr>
          <w:rFonts w:hint="eastAsia"/>
        </w:rPr>
        <w:t>“服务需求一览表”中的相应的采购内容。</w:t>
      </w:r>
    </w:p>
    <w:p w14:paraId="145EB68B">
      <w:pPr>
        <w:pStyle w:val="17"/>
        <w:spacing w:line="440" w:lineRule="exact"/>
        <w:ind w:firstLine="420" w:firstLineChars="200"/>
        <w:rPr>
          <w:rFonts w:ascii="Times New Roman" w:hAnsi="Times New Roman"/>
        </w:rPr>
      </w:pPr>
      <w:r>
        <w:rPr>
          <w:rFonts w:hint="eastAsia"/>
        </w:rPr>
        <w:t>其中（有分标时填写）：</w:t>
      </w:r>
    </w:p>
    <w:p w14:paraId="31397929">
      <w:pPr>
        <w:pStyle w:val="17"/>
        <w:spacing w:line="360" w:lineRule="exact"/>
        <w:ind w:firstLine="420" w:firstLineChars="200"/>
        <w:rPr>
          <w:u w:val="single"/>
        </w:rPr>
      </w:pPr>
      <w:r>
        <w:rPr>
          <w:rFonts w:hint="eastAsia"/>
          <w:u w:val="single"/>
        </w:rPr>
        <w:t xml:space="preserve">  </w:t>
      </w:r>
      <w:r>
        <w:rPr>
          <w:rFonts w:hint="eastAsia"/>
        </w:rPr>
        <w:t>分标报价为（大写）人民币</w:t>
      </w:r>
      <w:r>
        <w:rPr>
          <w:rFonts w:hint="eastAsia"/>
          <w:u w:val="single"/>
        </w:rPr>
        <w:t xml:space="preserve">              </w:t>
      </w:r>
      <w:r>
        <w:rPr>
          <w:rFonts w:hint="eastAsia"/>
        </w:rPr>
        <w:t>元 (￥</w:t>
      </w:r>
      <w:r>
        <w:rPr>
          <w:rFonts w:hint="eastAsia"/>
          <w:u w:val="single"/>
        </w:rPr>
        <w:t xml:space="preserve">          </w:t>
      </w:r>
      <w:r>
        <w:rPr>
          <w:rFonts w:hint="eastAsia"/>
        </w:rPr>
        <w:t>元)，</w:t>
      </w:r>
      <w:r>
        <w:rPr>
          <w:rFonts w:hint="eastAsia"/>
          <w:lang w:val="zh-TW"/>
        </w:rPr>
        <w:t>服务期限</w:t>
      </w:r>
      <w:r>
        <w:rPr>
          <w:rFonts w:hint="eastAsia"/>
        </w:rPr>
        <w:t>：</w:t>
      </w:r>
      <w:r>
        <w:rPr>
          <w:rFonts w:hint="eastAsia"/>
          <w:u w:val="single"/>
        </w:rPr>
        <w:t xml:space="preserve">          </w:t>
      </w:r>
      <w:r>
        <w:rPr>
          <w:rFonts w:hint="eastAsia"/>
        </w:rPr>
        <w:t>；</w:t>
      </w:r>
    </w:p>
    <w:p w14:paraId="19250788">
      <w:pPr>
        <w:pStyle w:val="17"/>
        <w:spacing w:line="360" w:lineRule="exact"/>
        <w:ind w:firstLine="420" w:firstLineChars="200"/>
        <w:rPr>
          <w:u w:val="single"/>
        </w:rPr>
      </w:pPr>
      <w:r>
        <w:rPr>
          <w:rFonts w:hint="eastAsia"/>
          <w:u w:val="single"/>
        </w:rPr>
        <w:t xml:space="preserve">  </w:t>
      </w:r>
      <w:r>
        <w:rPr>
          <w:rFonts w:hint="eastAsia"/>
        </w:rPr>
        <w:t>分标报价为（大写）人民币</w:t>
      </w:r>
      <w:r>
        <w:rPr>
          <w:rFonts w:hint="eastAsia"/>
          <w:u w:val="single"/>
        </w:rPr>
        <w:t xml:space="preserve">              </w:t>
      </w:r>
      <w:r>
        <w:rPr>
          <w:rFonts w:hint="eastAsia"/>
        </w:rPr>
        <w:t>元 (￥</w:t>
      </w:r>
      <w:r>
        <w:rPr>
          <w:rFonts w:hint="eastAsia"/>
          <w:u w:val="single"/>
        </w:rPr>
        <w:t xml:space="preserve">          </w:t>
      </w:r>
      <w:r>
        <w:rPr>
          <w:rFonts w:hint="eastAsia"/>
        </w:rPr>
        <w:t>元)，</w:t>
      </w:r>
      <w:r>
        <w:rPr>
          <w:rFonts w:hint="eastAsia"/>
          <w:lang w:val="zh-TW"/>
        </w:rPr>
        <w:t>服务期限</w:t>
      </w:r>
      <w:r>
        <w:rPr>
          <w:rFonts w:hint="eastAsia"/>
        </w:rPr>
        <w:t>：</w:t>
      </w:r>
      <w:r>
        <w:rPr>
          <w:rFonts w:hint="eastAsia"/>
          <w:u w:val="single"/>
        </w:rPr>
        <w:t xml:space="preserve">          </w:t>
      </w:r>
      <w:r>
        <w:rPr>
          <w:rFonts w:hint="eastAsia"/>
        </w:rPr>
        <w:t>；</w:t>
      </w:r>
    </w:p>
    <w:p w14:paraId="3C40A07A">
      <w:pPr>
        <w:pStyle w:val="17"/>
        <w:spacing w:line="360" w:lineRule="exact"/>
        <w:ind w:firstLine="420" w:firstLineChars="200"/>
        <w:rPr>
          <w:u w:val="single"/>
        </w:rPr>
      </w:pPr>
      <w:r>
        <w:rPr>
          <w:rFonts w:hint="eastAsia"/>
        </w:rPr>
        <w:t>......</w:t>
      </w:r>
    </w:p>
    <w:p w14:paraId="3DDBA4EB">
      <w:pPr>
        <w:spacing w:line="440" w:lineRule="exact"/>
        <w:ind w:firstLine="420" w:firstLineChars="200"/>
        <w:rPr>
          <w:u w:val="single"/>
        </w:rPr>
      </w:pPr>
      <w:r>
        <w:rPr>
          <w:rFonts w:hint="eastAsia"/>
        </w:rPr>
        <w:t>2、我方同意自本项目招标文件“第三章 投标人须知”第一节 投标人须知前附表 第21.2项规定的投标截止时间（开标时间）起遵循</w:t>
      </w:r>
      <w:r>
        <w:rPr>
          <w:rFonts w:hint="eastAsia" w:hAnsi="宋体"/>
        </w:rPr>
        <w:t>本投标函</w:t>
      </w:r>
      <w:r>
        <w:rPr>
          <w:rFonts w:hint="eastAsia"/>
        </w:rPr>
        <w:t>，并承诺在“投标人须知前附表”第17.2项规定的投标有效期内不修改、撤销投标文件。</w:t>
      </w:r>
    </w:p>
    <w:p w14:paraId="71FAE5AF">
      <w:pPr>
        <w:spacing w:line="360" w:lineRule="exact"/>
        <w:ind w:firstLine="420" w:firstLineChars="200"/>
        <w:rPr>
          <w:u w:val="single"/>
        </w:rPr>
      </w:pPr>
      <w:r>
        <w:rPr>
          <w:rFonts w:hint="eastAsia"/>
        </w:rPr>
        <w:t>3、我方所递交的投标文件及有关资料都是内容完整、真实和准确的。</w:t>
      </w:r>
    </w:p>
    <w:p w14:paraId="4932A471">
      <w:pPr>
        <w:spacing w:line="360" w:lineRule="exact"/>
        <w:ind w:firstLine="420" w:firstLineChars="200"/>
        <w:rPr>
          <w:u w:val="single"/>
        </w:rPr>
      </w:pPr>
      <w:r>
        <w:rPr>
          <w:rFonts w:hint="eastAsia"/>
        </w:rPr>
        <w:t>4、我方承诺未被列入失信被执行人、重大税收违法案件当事人名单、政府采购严重违法失信行为记录名单，并已经具备《中华人民共和国政府采购法》中规定的参加政府采购活动的投标人应当具备的条件：</w:t>
      </w:r>
    </w:p>
    <w:p w14:paraId="19D505AC">
      <w:pPr>
        <w:numPr>
          <w:ilvl w:val="0"/>
          <w:numId w:val="2"/>
        </w:numPr>
        <w:spacing w:line="440" w:lineRule="exact"/>
      </w:pPr>
      <w:r>
        <w:rPr>
          <w:rFonts w:hint="eastAsia"/>
        </w:rPr>
        <w:t>具有独立承担民事责任的能力；</w:t>
      </w:r>
    </w:p>
    <w:p w14:paraId="03331626">
      <w:pPr>
        <w:numPr>
          <w:ilvl w:val="0"/>
          <w:numId w:val="2"/>
        </w:numPr>
        <w:spacing w:line="440" w:lineRule="exact"/>
      </w:pPr>
      <w:r>
        <w:rPr>
          <w:rFonts w:hint="eastAsia"/>
        </w:rPr>
        <w:t>具有良好的商业信誉和健全的财务会计制度；</w:t>
      </w:r>
    </w:p>
    <w:p w14:paraId="108C4B61">
      <w:pPr>
        <w:numPr>
          <w:ilvl w:val="0"/>
          <w:numId w:val="2"/>
        </w:numPr>
        <w:spacing w:line="440" w:lineRule="exact"/>
      </w:pPr>
      <w:r>
        <w:rPr>
          <w:rFonts w:hint="eastAsia"/>
        </w:rPr>
        <w:t>具有履行合同所必需的设备和专业技术能力；</w:t>
      </w:r>
    </w:p>
    <w:p w14:paraId="4366490B">
      <w:pPr>
        <w:numPr>
          <w:ilvl w:val="0"/>
          <w:numId w:val="2"/>
        </w:numPr>
        <w:spacing w:line="440" w:lineRule="exact"/>
      </w:pPr>
      <w:r>
        <w:rPr>
          <w:rFonts w:hint="eastAsia"/>
        </w:rPr>
        <w:t>有依法缴纳税收和社会保障资金的良好记录；</w:t>
      </w:r>
    </w:p>
    <w:p w14:paraId="33528D32">
      <w:pPr>
        <w:numPr>
          <w:ilvl w:val="0"/>
          <w:numId w:val="2"/>
        </w:numPr>
        <w:spacing w:line="440" w:lineRule="exact"/>
      </w:pPr>
      <w:r>
        <w:rPr>
          <w:rFonts w:hint="eastAsia"/>
        </w:rPr>
        <w:t>参加政府采购活动前三年内，在经营活动中没有重大违法记录；</w:t>
      </w:r>
    </w:p>
    <w:p w14:paraId="4CEF91DE">
      <w:pPr>
        <w:numPr>
          <w:ilvl w:val="0"/>
          <w:numId w:val="2"/>
        </w:numPr>
        <w:spacing w:line="440" w:lineRule="exact"/>
      </w:pPr>
      <w:r>
        <w:rPr>
          <w:rFonts w:hint="eastAsia"/>
        </w:rPr>
        <w:t>法律、行政法规规定的其他条件。</w:t>
      </w:r>
    </w:p>
    <w:p w14:paraId="5077B9F9">
      <w:pPr>
        <w:spacing w:line="440" w:lineRule="exact"/>
        <w:ind w:firstLine="482"/>
      </w:pPr>
      <w:r>
        <w:rPr>
          <w:rFonts w:hint="eastAsia"/>
        </w:rPr>
        <w:t>5、</w:t>
      </w:r>
      <w:r>
        <w:rPr>
          <w:rFonts w:hint="eastAsia"/>
          <w:szCs w:val="21"/>
        </w:rPr>
        <w:t>如本项目采购内容涉及须符合国家强制规定的，我方承诺我方本次投标（包括资格条件和所投产品）均符合国家有关强制规定。</w:t>
      </w:r>
    </w:p>
    <w:p w14:paraId="29FC1023">
      <w:pPr>
        <w:spacing w:line="440" w:lineRule="exact"/>
        <w:ind w:firstLine="420" w:firstLineChars="200"/>
      </w:pPr>
      <w:r>
        <w:rPr>
          <w:rFonts w:hint="eastAsia"/>
        </w:rPr>
        <w:t>6、如我方中标，我方承诺在收到中标通知书后，在中标通知书规定的期限内，</w:t>
      </w:r>
      <w:r>
        <w:rPr>
          <w:rFonts w:hint="eastAsia" w:hAnsi="宋体"/>
        </w:rPr>
        <w:t>根据招标文件、我方的投标文件及有关澄清承诺书的要求按第五章“拟签订的合同文本”与采购人订立书面合同，并按照合同约定</w:t>
      </w:r>
      <w:r>
        <w:rPr>
          <w:rFonts w:hint="eastAsia"/>
        </w:rPr>
        <w:t>承担完成合同的责任和义务。</w:t>
      </w:r>
    </w:p>
    <w:p w14:paraId="1EDFBF11">
      <w:pPr>
        <w:spacing w:line="440" w:lineRule="exact"/>
        <w:ind w:firstLine="420" w:firstLineChars="200"/>
      </w:pPr>
      <w:r>
        <w:rPr>
          <w:rFonts w:hint="eastAsia"/>
        </w:rPr>
        <w:t>7、我方已详细审核招标文件，我方知道必须放弃提出含糊不清或误解问题的权利。</w:t>
      </w:r>
    </w:p>
    <w:p w14:paraId="033532D9">
      <w:pPr>
        <w:spacing w:line="440" w:lineRule="exact"/>
        <w:ind w:firstLine="420" w:firstLineChars="200"/>
      </w:pPr>
      <w:r>
        <w:rPr>
          <w:rFonts w:hint="eastAsia"/>
        </w:rPr>
        <w:t>8、我方同意应贵方要求提供与本投标有关的任何数据或资料。若贵方需要，我方愿意提供我方作出的一切承诺的证明材料。</w:t>
      </w:r>
    </w:p>
    <w:p w14:paraId="7770F39D">
      <w:pPr>
        <w:spacing w:line="440" w:lineRule="exact"/>
        <w:ind w:firstLine="420" w:firstLineChars="200"/>
      </w:pPr>
      <w:r>
        <w:rPr>
          <w:rFonts w:hint="eastAsia"/>
        </w:rPr>
        <w:t>9、我方完全理解贵方不一定接受投标报价最低的投标人为中标人的行为。</w:t>
      </w:r>
    </w:p>
    <w:p w14:paraId="00E17343">
      <w:pPr>
        <w:spacing w:line="440" w:lineRule="exact"/>
        <w:ind w:firstLine="420" w:firstLineChars="200"/>
      </w:pPr>
      <w:r>
        <w:rPr>
          <w:rFonts w:hint="eastAsia"/>
        </w:rPr>
        <w:t>10、我方将严格遵守《中华人民共和国政府采购法》第七十七条的规定，即投标人有下列情形之一的，处以采购金额千分之五以上千分之十</w:t>
      </w:r>
      <w:r>
        <w:rPr>
          <w:rFonts w:hint="eastAsia" w:hAnsi="宋体"/>
        </w:rPr>
        <w:t>以下的罚款，列入不良行为记录名单，在一至三年内禁止参加政府采购活动，有违法所得的，并处没收违法所得，情节严重的，由工商行政管理机关吊销营业执照；构成犯罪的，依法追究刑事责任：</w:t>
      </w:r>
    </w:p>
    <w:p w14:paraId="50962CCE">
      <w:pPr>
        <w:numPr>
          <w:ilvl w:val="0"/>
          <w:numId w:val="3"/>
        </w:numPr>
        <w:spacing w:line="440" w:lineRule="exact"/>
        <w:rPr>
          <w:rFonts w:hAnsi="宋体"/>
        </w:rPr>
      </w:pPr>
      <w:r>
        <w:rPr>
          <w:rFonts w:hint="eastAsia" w:hAnsi="宋体"/>
        </w:rPr>
        <w:t>提供虚假材料谋取中标、成交的；</w:t>
      </w:r>
    </w:p>
    <w:p w14:paraId="4FEAAD1B">
      <w:pPr>
        <w:numPr>
          <w:ilvl w:val="0"/>
          <w:numId w:val="3"/>
        </w:numPr>
        <w:spacing w:line="440" w:lineRule="exact"/>
        <w:rPr>
          <w:rFonts w:hAnsi="宋体"/>
        </w:rPr>
      </w:pPr>
      <w:r>
        <w:rPr>
          <w:rFonts w:hint="eastAsia" w:hAnsi="宋体"/>
        </w:rPr>
        <w:t>采取不正当手段诋毁、排挤其他投标人的；</w:t>
      </w:r>
    </w:p>
    <w:p w14:paraId="0ED13134">
      <w:pPr>
        <w:numPr>
          <w:ilvl w:val="0"/>
          <w:numId w:val="3"/>
        </w:numPr>
        <w:spacing w:line="440" w:lineRule="exact"/>
      </w:pPr>
      <w:r>
        <w:rPr>
          <w:rFonts w:hint="eastAsia" w:hAnsi="宋体"/>
        </w:rPr>
        <w:t>与采购人、其他投标人或者采购代理机构恶意串通的；</w:t>
      </w:r>
    </w:p>
    <w:p w14:paraId="212F061F">
      <w:pPr>
        <w:numPr>
          <w:ilvl w:val="0"/>
          <w:numId w:val="3"/>
        </w:numPr>
        <w:spacing w:line="440" w:lineRule="exact"/>
      </w:pPr>
      <w:r>
        <w:rPr>
          <w:rFonts w:hint="eastAsia" w:hAnsi="宋体"/>
        </w:rPr>
        <w:t>向采购人、采购代理机构行贿或者提供其他不正当利益的；</w:t>
      </w:r>
    </w:p>
    <w:p w14:paraId="30929CD5">
      <w:pPr>
        <w:numPr>
          <w:ilvl w:val="0"/>
          <w:numId w:val="3"/>
        </w:numPr>
        <w:spacing w:line="440" w:lineRule="exact"/>
      </w:pPr>
      <w:r>
        <w:rPr>
          <w:rFonts w:hint="eastAsia" w:hAnsi="宋体"/>
        </w:rPr>
        <w:t>在招标采购过程中与采购人进行协商谈判的；</w:t>
      </w:r>
    </w:p>
    <w:p w14:paraId="2B212D72">
      <w:pPr>
        <w:numPr>
          <w:ilvl w:val="0"/>
          <w:numId w:val="3"/>
        </w:numPr>
        <w:spacing w:line="440" w:lineRule="exact"/>
      </w:pPr>
      <w:r>
        <w:rPr>
          <w:rFonts w:hint="eastAsia" w:hAnsi="宋体"/>
        </w:rPr>
        <w:t>拒绝有关部门监督检查或提供虚假情况的。</w:t>
      </w:r>
    </w:p>
    <w:p w14:paraId="60B7B902">
      <w:pPr>
        <w:spacing w:line="440" w:lineRule="exact"/>
        <w:ind w:left="420"/>
      </w:pPr>
      <w:r>
        <w:rPr>
          <w:rFonts w:hint="eastAsia"/>
        </w:rPr>
        <w:t>11、我方及由本人担任法定代表人的其他机构最近三年内被处罚的违法行为有：</w:t>
      </w:r>
      <w:r>
        <w:rPr>
          <w:rFonts w:hint="eastAsia"/>
          <w:u w:val="single"/>
        </w:rPr>
        <w:t xml:space="preserve">                                        </w:t>
      </w:r>
    </w:p>
    <w:p w14:paraId="415B973D">
      <w:pPr>
        <w:spacing w:line="440" w:lineRule="exact"/>
        <w:ind w:left="420"/>
      </w:pPr>
      <w:r>
        <w:rPr>
          <w:rFonts w:hint="eastAsia"/>
          <w:u w:val="single"/>
        </w:rPr>
        <w:t xml:space="preserve">                                                                                                                        </w:t>
      </w:r>
    </w:p>
    <w:p w14:paraId="3769103F">
      <w:pPr>
        <w:spacing w:line="360" w:lineRule="auto"/>
        <w:ind w:firstLine="420"/>
      </w:pPr>
      <w:r>
        <w:rPr>
          <w:rFonts w:hint="eastAsia"/>
        </w:rPr>
        <w:t>12、以上事项如有虚假或隐瞒，我方愿意承担一切后果，并不再寻求任何旨在减轻或免除法律责任的辩解。</w:t>
      </w:r>
    </w:p>
    <w:p w14:paraId="6450B969">
      <w:pPr>
        <w:spacing w:line="360" w:lineRule="auto"/>
        <w:ind w:firstLine="420"/>
      </w:pPr>
      <w:r>
        <w:rPr>
          <w:rFonts w:hint="eastAsia"/>
        </w:rPr>
        <w:t>13、与本投标有关的一切正式往来信函请寄：</w:t>
      </w:r>
    </w:p>
    <w:p w14:paraId="458C3F8E">
      <w:pPr>
        <w:spacing w:line="360" w:lineRule="auto"/>
        <w:ind w:firstLine="420"/>
      </w:pPr>
      <w:r>
        <w:rPr>
          <w:rFonts w:hint="eastAsia"/>
        </w:rPr>
        <w:t>地址：</w:t>
      </w:r>
      <w:r>
        <w:rPr>
          <w:rFonts w:hint="eastAsia"/>
          <w:u w:val="single"/>
        </w:rPr>
        <w:t xml:space="preserve">                                                        </w:t>
      </w:r>
      <w:r>
        <w:rPr>
          <w:rFonts w:hint="eastAsia"/>
        </w:rPr>
        <w:t xml:space="preserve"> </w:t>
      </w:r>
    </w:p>
    <w:p w14:paraId="75DE4C59">
      <w:pPr>
        <w:spacing w:line="360" w:lineRule="auto"/>
        <w:ind w:firstLine="420"/>
        <w:rPr>
          <w:u w:val="single"/>
        </w:rPr>
      </w:pPr>
      <w:r>
        <w:rPr>
          <w:rFonts w:hint="eastAsia"/>
        </w:rPr>
        <w:t>电话：</w:t>
      </w:r>
      <w:r>
        <w:rPr>
          <w:rFonts w:hint="eastAsia"/>
          <w:u w:val="single"/>
        </w:rPr>
        <w:t xml:space="preserve">                                      　　　　　　　　　</w:t>
      </w:r>
    </w:p>
    <w:p w14:paraId="44D253E2">
      <w:pPr>
        <w:spacing w:line="360" w:lineRule="auto"/>
        <w:ind w:firstLine="420"/>
      </w:pPr>
      <w:r>
        <w:rPr>
          <w:rFonts w:hint="eastAsia"/>
        </w:rPr>
        <w:t>传真：</w:t>
      </w:r>
      <w:r>
        <w:rPr>
          <w:rFonts w:hint="eastAsia"/>
          <w:u w:val="single"/>
        </w:rPr>
        <w:t>　　　　　　　　　　　　　　　　　　　　　　　　　　　　</w:t>
      </w:r>
    </w:p>
    <w:p w14:paraId="59A9B039">
      <w:pPr>
        <w:spacing w:line="360" w:lineRule="auto"/>
        <w:ind w:firstLine="420"/>
        <w:rPr>
          <w:u w:val="single"/>
        </w:rPr>
      </w:pPr>
      <w:r>
        <w:rPr>
          <w:rFonts w:hint="eastAsia"/>
        </w:rPr>
        <w:t>邮政编码：</w:t>
      </w:r>
      <w:r>
        <w:rPr>
          <w:rFonts w:hint="eastAsia"/>
          <w:u w:val="single"/>
        </w:rPr>
        <w:t xml:space="preserve">                                                    </w:t>
      </w:r>
    </w:p>
    <w:p w14:paraId="5473838C">
      <w:pPr>
        <w:spacing w:line="360" w:lineRule="auto"/>
        <w:ind w:firstLine="420"/>
        <w:rPr>
          <w:u w:val="single"/>
        </w:rPr>
      </w:pPr>
      <w:r>
        <w:rPr>
          <w:rFonts w:hint="eastAsia"/>
        </w:rPr>
        <w:t>开户名称：</w:t>
      </w:r>
      <w:r>
        <w:rPr>
          <w:rFonts w:hint="eastAsia"/>
          <w:u w:val="single"/>
        </w:rPr>
        <w:t xml:space="preserve">                                                    </w:t>
      </w:r>
    </w:p>
    <w:p w14:paraId="14C1C082">
      <w:pPr>
        <w:spacing w:line="360" w:lineRule="auto"/>
        <w:ind w:firstLine="420"/>
        <w:rPr>
          <w:u w:val="single"/>
        </w:rPr>
      </w:pPr>
      <w:r>
        <w:rPr>
          <w:rFonts w:hint="eastAsia"/>
        </w:rPr>
        <w:t>开户银行：</w:t>
      </w:r>
      <w:r>
        <w:rPr>
          <w:rFonts w:hint="eastAsia"/>
          <w:u w:val="single"/>
        </w:rPr>
        <w:t xml:space="preserve">                                                    </w:t>
      </w:r>
    </w:p>
    <w:p w14:paraId="18C616FE">
      <w:pPr>
        <w:spacing w:line="360" w:lineRule="auto"/>
        <w:ind w:firstLine="420"/>
        <w:rPr>
          <w:u w:val="single"/>
        </w:rPr>
      </w:pPr>
      <w:r>
        <w:rPr>
          <w:rFonts w:hint="eastAsia"/>
        </w:rPr>
        <w:t>银行账号：</w:t>
      </w:r>
      <w:r>
        <w:rPr>
          <w:rFonts w:hint="eastAsia"/>
          <w:u w:val="single"/>
        </w:rPr>
        <w:t xml:space="preserve">                                                    </w:t>
      </w:r>
    </w:p>
    <w:p w14:paraId="33FA9F44">
      <w:pPr>
        <w:snapToGrid w:val="0"/>
        <w:spacing w:line="360" w:lineRule="auto"/>
        <w:ind w:firstLine="5040" w:firstLineChars="2100"/>
        <w:rPr>
          <w:rFonts w:ascii="宋体" w:hAnsi="宋体" w:cs="宋体"/>
          <w:kern w:val="0"/>
          <w:sz w:val="24"/>
        </w:rPr>
      </w:pPr>
      <w:r>
        <w:rPr>
          <w:rFonts w:hint="eastAsia" w:ascii="宋体" w:hAnsi="宋体" w:cs="宋体"/>
          <w:kern w:val="0"/>
          <w:sz w:val="24"/>
          <w:lang w:val="zh-CN"/>
        </w:rPr>
        <w:t>投标人名称(电子签章)：</w:t>
      </w:r>
    </w:p>
    <w:p w14:paraId="630E2B9C">
      <w:pPr>
        <w:snapToGrid w:val="0"/>
        <w:spacing w:line="360" w:lineRule="auto"/>
        <w:ind w:firstLine="5160" w:firstLineChars="2150"/>
        <w:rPr>
          <w:rFonts w:ascii="宋体" w:hAnsi="宋体" w:cs="宋体"/>
          <w:kern w:val="0"/>
          <w:sz w:val="24"/>
          <w:lang w:val="zh-CN"/>
        </w:rPr>
      </w:pPr>
      <w:r>
        <w:rPr>
          <w:rFonts w:hint="eastAsia" w:ascii="宋体" w:hAnsi="宋体" w:cs="宋体"/>
          <w:kern w:val="0"/>
          <w:sz w:val="24"/>
          <w:lang w:val="zh-CN"/>
        </w:rPr>
        <w:t>日期</w:t>
      </w:r>
      <w:r>
        <w:rPr>
          <w:rFonts w:hint="eastAsia" w:ascii="宋体" w:hAnsi="宋体" w:cs="宋体"/>
          <w:kern w:val="0"/>
          <w:sz w:val="24"/>
        </w:rPr>
        <w:t xml:space="preserve">：  年  </w:t>
      </w:r>
      <w:r>
        <w:rPr>
          <w:rFonts w:hint="eastAsia" w:ascii="宋体" w:hAnsi="宋体" w:cs="宋体"/>
          <w:kern w:val="0"/>
          <w:sz w:val="24"/>
          <w:lang w:val="zh-CN"/>
        </w:rPr>
        <w:t>月</w:t>
      </w:r>
      <w:r>
        <w:rPr>
          <w:rFonts w:hint="eastAsia" w:ascii="宋体" w:hAnsi="宋体" w:cs="宋体"/>
          <w:kern w:val="0"/>
          <w:sz w:val="24"/>
        </w:rPr>
        <w:t xml:space="preserve">   </w:t>
      </w:r>
      <w:r>
        <w:rPr>
          <w:rFonts w:hint="eastAsia" w:ascii="宋体" w:hAnsi="宋体" w:cs="宋体"/>
          <w:kern w:val="0"/>
          <w:sz w:val="24"/>
          <w:lang w:val="zh-CN"/>
        </w:rPr>
        <w:t>日</w:t>
      </w:r>
    </w:p>
    <w:p w14:paraId="742F382F">
      <w:pPr>
        <w:snapToGrid w:val="0"/>
        <w:spacing w:line="360" w:lineRule="auto"/>
        <w:ind w:firstLine="5160" w:firstLineChars="2150"/>
        <w:rPr>
          <w:rFonts w:ascii="宋体" w:hAnsi="宋体" w:cs="宋体"/>
          <w:kern w:val="0"/>
          <w:sz w:val="24"/>
          <w:lang w:val="zh-CN"/>
        </w:rPr>
        <w:sectPr>
          <w:pgSz w:w="11906" w:h="16838"/>
          <w:pgMar w:top="1134" w:right="1134" w:bottom="1134" w:left="1134" w:header="720" w:footer="720" w:gutter="0"/>
          <w:cols w:space="720" w:num="1"/>
          <w:docGrid w:type="lines" w:linePitch="331" w:charSpace="0"/>
        </w:sectPr>
      </w:pPr>
    </w:p>
    <w:p w14:paraId="769899B0">
      <w:pPr>
        <w:spacing w:line="360" w:lineRule="auto"/>
        <w:jc w:val="center"/>
        <w:rPr>
          <w:b/>
          <w:sz w:val="30"/>
          <w:szCs w:val="30"/>
        </w:rPr>
      </w:pPr>
      <w:r>
        <w:rPr>
          <w:rFonts w:hint="eastAsia" w:hAnsi="宋体"/>
          <w:sz w:val="30"/>
        </w:rPr>
        <w:t>二、</w:t>
      </w:r>
      <w:r>
        <w:rPr>
          <w:rFonts w:hint="eastAsia"/>
          <w:b/>
          <w:sz w:val="30"/>
          <w:szCs w:val="30"/>
        </w:rPr>
        <w:t>开标一览表</w:t>
      </w:r>
      <w:r>
        <w:rPr>
          <w:rFonts w:hint="eastAsia" w:ascii="仿宋_GB2312" w:hAnsi="仿宋" w:eastAsia="仿宋_GB2312" w:cs="仿宋_GB2312"/>
          <w:b/>
          <w:kern w:val="0"/>
          <w:sz w:val="24"/>
          <w:lang w:val="zh-CN"/>
        </w:rPr>
        <w:t>(单位均为人民币元)</w:t>
      </w:r>
    </w:p>
    <w:p w14:paraId="6B0562DC">
      <w:pPr>
        <w:snapToGrid w:val="0"/>
        <w:spacing w:before="50" w:after="50" w:line="360" w:lineRule="auto"/>
        <w:rPr>
          <w:rFonts w:ascii="宋体" w:hAnsi="宋体"/>
          <w:sz w:val="24"/>
        </w:rPr>
      </w:pPr>
      <w:r>
        <w:rPr>
          <w:rFonts w:hint="eastAsia" w:ascii="宋体" w:hAnsi="宋体"/>
          <w:sz w:val="24"/>
        </w:rPr>
        <w:t>项目名称：</w:t>
      </w:r>
      <w:r>
        <w:rPr>
          <w:rFonts w:hint="eastAsia" w:ascii="宋体" w:hAnsi="宋体"/>
          <w:sz w:val="24"/>
          <w:u w:val="single"/>
        </w:rPr>
        <w:t xml:space="preserve">      </w:t>
      </w:r>
      <w:r>
        <w:rPr>
          <w:rFonts w:ascii="宋体" w:hAnsi="宋体"/>
          <w:sz w:val="24"/>
          <w:u w:val="single"/>
        </w:rPr>
        <w:t xml:space="preserve">     </w:t>
      </w:r>
      <w:r>
        <w:rPr>
          <w:rFonts w:ascii="宋体" w:hAnsi="宋体"/>
          <w:sz w:val="24"/>
        </w:rPr>
        <w:t xml:space="preserve">         </w:t>
      </w:r>
    </w:p>
    <w:p w14:paraId="4861B078">
      <w:pPr>
        <w:snapToGrid w:val="0"/>
        <w:spacing w:before="50" w:after="50" w:line="360" w:lineRule="auto"/>
        <w:rPr>
          <w:rFonts w:ascii="宋体" w:hAnsi="宋体"/>
          <w:sz w:val="24"/>
          <w:u w:val="single"/>
        </w:rPr>
      </w:pPr>
      <w:r>
        <w:rPr>
          <w:rFonts w:hint="eastAsia" w:ascii="宋体" w:hAnsi="宋体"/>
          <w:sz w:val="24"/>
        </w:rPr>
        <w:t>项目编号：</w:t>
      </w:r>
      <w:r>
        <w:rPr>
          <w:rFonts w:hint="eastAsia" w:ascii="宋体" w:hAnsi="宋体"/>
          <w:sz w:val="24"/>
          <w:u w:val="single"/>
        </w:rPr>
        <w:t xml:space="preserve">  </w:t>
      </w:r>
      <w:r>
        <w:rPr>
          <w:rFonts w:ascii="宋体" w:hAnsi="宋体"/>
          <w:sz w:val="24"/>
          <w:u w:val="single"/>
        </w:rPr>
        <w:t xml:space="preserve">      </w:t>
      </w:r>
      <w:r>
        <w:rPr>
          <w:rFonts w:hint="eastAsia" w:ascii="宋体" w:hAnsi="宋体"/>
          <w:sz w:val="24"/>
          <w:u w:val="single"/>
        </w:rPr>
        <w:t xml:space="preserve">    </w:t>
      </w:r>
      <w:r>
        <w:rPr>
          <w:rFonts w:hint="eastAsia" w:ascii="宋体" w:hAnsi="宋体"/>
          <w:sz w:val="24"/>
        </w:rPr>
        <w:t xml:space="preserve">        </w:t>
      </w:r>
    </w:p>
    <w:p w14:paraId="53B4DA52">
      <w:pPr>
        <w:spacing w:line="360" w:lineRule="auto"/>
        <w:rPr>
          <w:rFonts w:hAnsi="宋体"/>
          <w:sz w:val="24"/>
        </w:rPr>
      </w:pPr>
      <w:r>
        <w:rPr>
          <w:rFonts w:hint="eastAsia" w:hAnsi="宋体"/>
          <w:sz w:val="24"/>
        </w:rPr>
        <w:t>投标人名称：</w:t>
      </w:r>
      <w:r>
        <w:rPr>
          <w:rFonts w:hint="eastAsia" w:hAnsi="宋体"/>
          <w:sz w:val="24"/>
          <w:u w:val="single"/>
        </w:rPr>
        <w:t xml:space="preserve">                     </w:t>
      </w:r>
      <w:r>
        <w:rPr>
          <w:rFonts w:hint="eastAsia" w:hAnsi="宋体"/>
          <w:sz w:val="24"/>
        </w:rPr>
        <w:t xml:space="preserve">   </w:t>
      </w:r>
    </w:p>
    <w:tbl>
      <w:tblPr>
        <w:tblStyle w:val="35"/>
        <w:tblW w:w="99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9"/>
        <w:gridCol w:w="1260"/>
        <w:gridCol w:w="2143"/>
        <w:gridCol w:w="1309"/>
        <w:gridCol w:w="884"/>
        <w:gridCol w:w="1462"/>
        <w:gridCol w:w="1080"/>
        <w:gridCol w:w="1080"/>
      </w:tblGrid>
      <w:tr w14:paraId="098F0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33" w:hRule="atLeast"/>
        </w:trPr>
        <w:tc>
          <w:tcPr>
            <w:tcW w:w="719" w:type="dxa"/>
            <w:tcBorders>
              <w:top w:val="single" w:color="auto" w:sz="4" w:space="0"/>
              <w:left w:val="single" w:color="auto" w:sz="4" w:space="0"/>
              <w:bottom w:val="single" w:color="auto" w:sz="4" w:space="0"/>
              <w:right w:val="single" w:color="auto" w:sz="4" w:space="0"/>
            </w:tcBorders>
            <w:vAlign w:val="center"/>
          </w:tcPr>
          <w:p w14:paraId="0DF2A21F">
            <w:pPr>
              <w:jc w:val="center"/>
              <w:rPr>
                <w:rFonts w:ascii="宋体" w:hAnsi="宋体"/>
                <w:szCs w:val="22"/>
              </w:rPr>
            </w:pPr>
            <w:r>
              <w:rPr>
                <w:rFonts w:hint="eastAsia" w:ascii="宋体" w:hAnsi="宋体"/>
                <w:szCs w:val="22"/>
              </w:rPr>
              <w:t>序号</w:t>
            </w:r>
          </w:p>
        </w:tc>
        <w:tc>
          <w:tcPr>
            <w:tcW w:w="1260" w:type="dxa"/>
            <w:tcBorders>
              <w:top w:val="single" w:color="auto" w:sz="4" w:space="0"/>
              <w:left w:val="single" w:color="auto" w:sz="4" w:space="0"/>
              <w:bottom w:val="single" w:color="auto" w:sz="4" w:space="0"/>
              <w:right w:val="single" w:color="auto" w:sz="4" w:space="0"/>
            </w:tcBorders>
            <w:vAlign w:val="center"/>
          </w:tcPr>
          <w:p w14:paraId="0829E1AF">
            <w:pPr>
              <w:jc w:val="center"/>
              <w:rPr>
                <w:rFonts w:ascii="宋体" w:hAnsi="宋体"/>
                <w:szCs w:val="22"/>
              </w:rPr>
            </w:pPr>
            <w:r>
              <w:rPr>
                <w:rFonts w:hint="eastAsia" w:ascii="宋体" w:hAnsi="宋体"/>
                <w:szCs w:val="22"/>
              </w:rPr>
              <w:t>服务名称</w:t>
            </w:r>
          </w:p>
        </w:tc>
        <w:tc>
          <w:tcPr>
            <w:tcW w:w="2143" w:type="dxa"/>
            <w:tcBorders>
              <w:top w:val="single" w:color="auto" w:sz="4" w:space="0"/>
              <w:left w:val="single" w:color="auto" w:sz="4" w:space="0"/>
              <w:bottom w:val="single" w:color="auto" w:sz="4" w:space="0"/>
              <w:right w:val="single" w:color="auto" w:sz="4" w:space="0"/>
            </w:tcBorders>
            <w:vAlign w:val="center"/>
          </w:tcPr>
          <w:p w14:paraId="212C0A6B">
            <w:pPr>
              <w:jc w:val="center"/>
              <w:rPr>
                <w:rFonts w:ascii="宋体" w:hAnsi="宋体"/>
                <w:szCs w:val="22"/>
              </w:rPr>
            </w:pPr>
            <w:r>
              <w:rPr>
                <w:rFonts w:hint="eastAsia" w:ascii="宋体" w:hAnsi="宋体"/>
                <w:color w:val="0D0D0D"/>
                <w:szCs w:val="22"/>
              </w:rPr>
              <w:t>具体服务内容</w:t>
            </w:r>
          </w:p>
        </w:tc>
        <w:tc>
          <w:tcPr>
            <w:tcW w:w="1309" w:type="dxa"/>
            <w:tcBorders>
              <w:top w:val="single" w:color="auto" w:sz="4" w:space="0"/>
              <w:left w:val="single" w:color="auto" w:sz="4" w:space="0"/>
              <w:bottom w:val="single" w:color="auto" w:sz="4" w:space="0"/>
              <w:right w:val="single" w:color="auto" w:sz="4" w:space="0"/>
            </w:tcBorders>
            <w:vAlign w:val="center"/>
          </w:tcPr>
          <w:p w14:paraId="6ED7F211">
            <w:pPr>
              <w:jc w:val="center"/>
              <w:rPr>
                <w:rFonts w:ascii="宋体" w:hAnsi="宋体"/>
                <w:szCs w:val="22"/>
              </w:rPr>
            </w:pPr>
            <w:r>
              <w:rPr>
                <w:rFonts w:hint="eastAsia" w:ascii="宋体" w:hAnsi="宋体"/>
                <w:szCs w:val="22"/>
              </w:rPr>
              <w:t>数量</w:t>
            </w:r>
            <w:r>
              <w:rPr>
                <w:rFonts w:ascii="宋体" w:hAnsi="宋体"/>
                <w:szCs w:val="22"/>
              </w:rPr>
              <w:t>①</w:t>
            </w:r>
          </w:p>
        </w:tc>
        <w:tc>
          <w:tcPr>
            <w:tcW w:w="884" w:type="dxa"/>
            <w:tcBorders>
              <w:top w:val="single" w:color="auto" w:sz="4" w:space="0"/>
              <w:left w:val="single" w:color="auto" w:sz="4" w:space="0"/>
              <w:bottom w:val="single" w:color="auto" w:sz="4" w:space="0"/>
              <w:right w:val="single" w:color="auto" w:sz="4" w:space="0"/>
            </w:tcBorders>
            <w:vAlign w:val="center"/>
          </w:tcPr>
          <w:p w14:paraId="22F2C6F2">
            <w:pPr>
              <w:jc w:val="center"/>
              <w:rPr>
                <w:rFonts w:ascii="宋体" w:hAnsi="宋体"/>
                <w:szCs w:val="22"/>
              </w:rPr>
            </w:pPr>
            <w:r>
              <w:rPr>
                <w:rFonts w:hint="eastAsia" w:ascii="宋体" w:hAnsi="宋体"/>
                <w:szCs w:val="22"/>
              </w:rPr>
              <w:t>单价</w:t>
            </w:r>
            <w:r>
              <w:rPr>
                <w:rFonts w:ascii="宋体" w:hAnsi="宋体"/>
                <w:szCs w:val="22"/>
              </w:rPr>
              <w:t>(</w:t>
            </w:r>
            <w:r>
              <w:rPr>
                <w:rFonts w:hint="eastAsia" w:ascii="宋体" w:hAnsi="宋体"/>
                <w:szCs w:val="22"/>
              </w:rPr>
              <w:t>元</w:t>
            </w:r>
            <w:r>
              <w:rPr>
                <w:rFonts w:ascii="宋体" w:hAnsi="宋体"/>
                <w:szCs w:val="22"/>
              </w:rPr>
              <w:t>)②</w:t>
            </w:r>
          </w:p>
        </w:tc>
        <w:tc>
          <w:tcPr>
            <w:tcW w:w="1462" w:type="dxa"/>
            <w:tcBorders>
              <w:top w:val="single" w:color="auto" w:sz="4" w:space="0"/>
              <w:left w:val="single" w:color="auto" w:sz="4" w:space="0"/>
              <w:bottom w:val="single" w:color="auto" w:sz="4" w:space="0"/>
              <w:right w:val="single" w:color="auto" w:sz="4" w:space="0"/>
            </w:tcBorders>
            <w:vAlign w:val="center"/>
          </w:tcPr>
          <w:p w14:paraId="54DEF7FC">
            <w:pPr>
              <w:jc w:val="center"/>
              <w:rPr>
                <w:rFonts w:ascii="宋体" w:hAnsi="宋体"/>
                <w:szCs w:val="22"/>
              </w:rPr>
            </w:pPr>
            <w:r>
              <w:rPr>
                <w:rFonts w:hint="eastAsia" w:ascii="宋体" w:hAnsi="宋体"/>
                <w:szCs w:val="22"/>
              </w:rPr>
              <w:t>单项合价（元）</w:t>
            </w:r>
          </w:p>
          <w:p w14:paraId="23D10F3E">
            <w:pPr>
              <w:jc w:val="center"/>
              <w:rPr>
                <w:rFonts w:ascii="宋体" w:hAnsi="宋体"/>
                <w:szCs w:val="22"/>
              </w:rPr>
            </w:pPr>
            <w:r>
              <w:rPr>
                <w:rFonts w:ascii="宋体" w:hAnsi="宋体"/>
                <w:szCs w:val="22"/>
              </w:rPr>
              <w:t>③</w:t>
            </w:r>
            <w:r>
              <w:rPr>
                <w:rFonts w:hint="eastAsia" w:ascii="宋体" w:hAnsi="宋体"/>
                <w:szCs w:val="22"/>
              </w:rPr>
              <w:t>＝</w:t>
            </w:r>
            <w:r>
              <w:rPr>
                <w:rFonts w:ascii="宋体" w:hAnsi="宋体"/>
                <w:szCs w:val="22"/>
              </w:rPr>
              <w:t>①×②</w:t>
            </w:r>
          </w:p>
        </w:tc>
        <w:tc>
          <w:tcPr>
            <w:tcW w:w="1080" w:type="dxa"/>
            <w:tcBorders>
              <w:top w:val="single" w:color="auto" w:sz="4" w:space="0"/>
              <w:left w:val="single" w:color="auto" w:sz="4" w:space="0"/>
              <w:bottom w:val="single" w:color="auto" w:sz="4" w:space="0"/>
              <w:right w:val="single" w:color="auto" w:sz="4" w:space="0"/>
            </w:tcBorders>
            <w:vAlign w:val="center"/>
          </w:tcPr>
          <w:p w14:paraId="776BFC5C">
            <w:pPr>
              <w:jc w:val="center"/>
              <w:rPr>
                <w:rFonts w:ascii="宋体" w:hAnsi="宋体"/>
                <w:szCs w:val="22"/>
              </w:rPr>
            </w:pPr>
            <w:r>
              <w:rPr>
                <w:rFonts w:hint="eastAsia"/>
                <w:color w:val="0D0D0D"/>
              </w:rPr>
              <w:t>提交服务成果时间</w:t>
            </w:r>
          </w:p>
        </w:tc>
        <w:tc>
          <w:tcPr>
            <w:tcW w:w="1080" w:type="dxa"/>
            <w:tcBorders>
              <w:top w:val="single" w:color="auto" w:sz="4" w:space="0"/>
              <w:left w:val="single" w:color="auto" w:sz="4" w:space="0"/>
              <w:bottom w:val="single" w:color="auto" w:sz="4" w:space="0"/>
              <w:right w:val="single" w:color="auto" w:sz="4" w:space="0"/>
            </w:tcBorders>
            <w:vAlign w:val="center"/>
          </w:tcPr>
          <w:p w14:paraId="23282959">
            <w:pPr>
              <w:jc w:val="center"/>
              <w:rPr>
                <w:color w:val="0D0D0D"/>
              </w:rPr>
            </w:pPr>
            <w:r>
              <w:rPr>
                <w:rFonts w:hint="eastAsia"/>
                <w:color w:val="0D0D0D"/>
              </w:rPr>
              <w:t>备注</w:t>
            </w:r>
          </w:p>
        </w:tc>
      </w:tr>
      <w:tr w14:paraId="1183FE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trPr>
        <w:tc>
          <w:tcPr>
            <w:tcW w:w="719" w:type="dxa"/>
            <w:tcBorders>
              <w:top w:val="single" w:color="auto" w:sz="4" w:space="0"/>
              <w:left w:val="single" w:color="auto" w:sz="4" w:space="0"/>
              <w:bottom w:val="single" w:color="auto" w:sz="4" w:space="0"/>
              <w:right w:val="single" w:color="auto" w:sz="4" w:space="0"/>
            </w:tcBorders>
            <w:vAlign w:val="center"/>
          </w:tcPr>
          <w:p w14:paraId="11890282">
            <w:pPr>
              <w:jc w:val="center"/>
              <w:rPr>
                <w:rFonts w:ascii="宋体" w:hAnsi="宋体"/>
                <w:szCs w:val="22"/>
              </w:rPr>
            </w:pPr>
            <w:r>
              <w:rPr>
                <w:rFonts w:ascii="宋体" w:hAnsi="宋体"/>
                <w:szCs w:val="22"/>
              </w:rPr>
              <w:t>1</w:t>
            </w:r>
          </w:p>
        </w:tc>
        <w:tc>
          <w:tcPr>
            <w:tcW w:w="1260" w:type="dxa"/>
            <w:tcBorders>
              <w:top w:val="single" w:color="auto" w:sz="4" w:space="0"/>
              <w:left w:val="single" w:color="auto" w:sz="4" w:space="0"/>
              <w:bottom w:val="single" w:color="auto" w:sz="4" w:space="0"/>
              <w:right w:val="single" w:color="auto" w:sz="4" w:space="0"/>
            </w:tcBorders>
            <w:vAlign w:val="center"/>
          </w:tcPr>
          <w:p w14:paraId="24E1B4F9">
            <w:pPr>
              <w:jc w:val="center"/>
              <w:rPr>
                <w:rFonts w:ascii="宋体" w:hAnsi="宋体"/>
                <w:szCs w:val="22"/>
              </w:rPr>
            </w:pPr>
          </w:p>
        </w:tc>
        <w:tc>
          <w:tcPr>
            <w:tcW w:w="2143" w:type="dxa"/>
            <w:tcBorders>
              <w:top w:val="single" w:color="auto" w:sz="4" w:space="0"/>
              <w:left w:val="single" w:color="auto" w:sz="4" w:space="0"/>
              <w:bottom w:val="single" w:color="auto" w:sz="4" w:space="0"/>
              <w:right w:val="single" w:color="auto" w:sz="4" w:space="0"/>
            </w:tcBorders>
            <w:vAlign w:val="center"/>
          </w:tcPr>
          <w:p w14:paraId="0D56C4E7">
            <w:pPr>
              <w:jc w:val="center"/>
              <w:rPr>
                <w:rFonts w:ascii="宋体" w:hAnsi="宋体"/>
                <w:szCs w:val="22"/>
              </w:rPr>
            </w:pPr>
          </w:p>
        </w:tc>
        <w:tc>
          <w:tcPr>
            <w:tcW w:w="1309" w:type="dxa"/>
            <w:tcBorders>
              <w:top w:val="single" w:color="auto" w:sz="4" w:space="0"/>
              <w:left w:val="single" w:color="auto" w:sz="4" w:space="0"/>
              <w:bottom w:val="single" w:color="auto" w:sz="4" w:space="0"/>
              <w:right w:val="single" w:color="auto" w:sz="4" w:space="0"/>
            </w:tcBorders>
            <w:vAlign w:val="center"/>
          </w:tcPr>
          <w:p w14:paraId="5CC22F88">
            <w:pPr>
              <w:jc w:val="center"/>
              <w:rPr>
                <w:rFonts w:ascii="宋体" w:hAnsi="宋体"/>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567F7299">
            <w:pPr>
              <w:jc w:val="left"/>
              <w:rPr>
                <w:rFonts w:ascii="宋体" w:hAnsi="宋体"/>
                <w:szCs w:val="22"/>
              </w:rPr>
            </w:pPr>
          </w:p>
        </w:tc>
        <w:tc>
          <w:tcPr>
            <w:tcW w:w="1462" w:type="dxa"/>
            <w:tcBorders>
              <w:top w:val="single" w:color="auto" w:sz="4" w:space="0"/>
              <w:left w:val="single" w:color="auto" w:sz="4" w:space="0"/>
              <w:bottom w:val="single" w:color="auto" w:sz="4" w:space="0"/>
              <w:right w:val="single" w:color="auto" w:sz="4" w:space="0"/>
            </w:tcBorders>
            <w:vAlign w:val="center"/>
          </w:tcPr>
          <w:p w14:paraId="5A1BAC07">
            <w:pPr>
              <w:jc w:val="left"/>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916DDD2">
            <w:pPr>
              <w:jc w:val="center"/>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33262EFE">
            <w:pPr>
              <w:jc w:val="center"/>
              <w:rPr>
                <w:rFonts w:ascii="宋体" w:hAnsi="宋体"/>
                <w:szCs w:val="22"/>
              </w:rPr>
            </w:pPr>
          </w:p>
        </w:tc>
      </w:tr>
      <w:tr w14:paraId="00202A2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62" w:hRule="atLeast"/>
        </w:trPr>
        <w:tc>
          <w:tcPr>
            <w:tcW w:w="719" w:type="dxa"/>
            <w:tcBorders>
              <w:top w:val="single" w:color="auto" w:sz="4" w:space="0"/>
              <w:left w:val="single" w:color="auto" w:sz="4" w:space="0"/>
              <w:bottom w:val="single" w:color="auto" w:sz="4" w:space="0"/>
              <w:right w:val="single" w:color="auto" w:sz="4" w:space="0"/>
            </w:tcBorders>
            <w:vAlign w:val="center"/>
          </w:tcPr>
          <w:p w14:paraId="068D13A7">
            <w:pPr>
              <w:jc w:val="center"/>
              <w:rPr>
                <w:rFonts w:ascii="宋体" w:hAnsi="宋体"/>
                <w:szCs w:val="22"/>
              </w:rPr>
            </w:pPr>
            <w:r>
              <w:rPr>
                <w:rFonts w:hint="eastAsia" w:ascii="宋体" w:hAnsi="宋体"/>
                <w:szCs w:val="22"/>
              </w:rPr>
              <w:t>……</w:t>
            </w:r>
          </w:p>
        </w:tc>
        <w:tc>
          <w:tcPr>
            <w:tcW w:w="1260" w:type="dxa"/>
            <w:tcBorders>
              <w:top w:val="single" w:color="auto" w:sz="4" w:space="0"/>
              <w:left w:val="single" w:color="auto" w:sz="4" w:space="0"/>
              <w:bottom w:val="single" w:color="auto" w:sz="4" w:space="0"/>
              <w:right w:val="single" w:color="auto" w:sz="4" w:space="0"/>
            </w:tcBorders>
            <w:vAlign w:val="center"/>
          </w:tcPr>
          <w:p w14:paraId="6D939E3D">
            <w:pPr>
              <w:jc w:val="center"/>
              <w:rPr>
                <w:rFonts w:ascii="宋体" w:hAnsi="宋体"/>
                <w:szCs w:val="22"/>
              </w:rPr>
            </w:pPr>
          </w:p>
        </w:tc>
        <w:tc>
          <w:tcPr>
            <w:tcW w:w="2143" w:type="dxa"/>
            <w:tcBorders>
              <w:top w:val="single" w:color="auto" w:sz="4" w:space="0"/>
              <w:left w:val="single" w:color="auto" w:sz="4" w:space="0"/>
              <w:bottom w:val="single" w:color="auto" w:sz="4" w:space="0"/>
              <w:right w:val="single" w:color="auto" w:sz="4" w:space="0"/>
            </w:tcBorders>
            <w:vAlign w:val="center"/>
          </w:tcPr>
          <w:p w14:paraId="62FD338B">
            <w:pPr>
              <w:jc w:val="center"/>
              <w:rPr>
                <w:rFonts w:ascii="宋体" w:hAnsi="宋体"/>
                <w:szCs w:val="22"/>
              </w:rPr>
            </w:pPr>
          </w:p>
        </w:tc>
        <w:tc>
          <w:tcPr>
            <w:tcW w:w="1309" w:type="dxa"/>
            <w:tcBorders>
              <w:top w:val="single" w:color="auto" w:sz="4" w:space="0"/>
              <w:left w:val="single" w:color="auto" w:sz="4" w:space="0"/>
              <w:bottom w:val="single" w:color="auto" w:sz="4" w:space="0"/>
              <w:right w:val="single" w:color="auto" w:sz="4" w:space="0"/>
            </w:tcBorders>
            <w:vAlign w:val="center"/>
          </w:tcPr>
          <w:p w14:paraId="03A30AF8">
            <w:pPr>
              <w:jc w:val="center"/>
              <w:rPr>
                <w:rFonts w:ascii="宋体" w:hAnsi="宋体"/>
                <w:szCs w:val="22"/>
              </w:rPr>
            </w:pPr>
          </w:p>
        </w:tc>
        <w:tc>
          <w:tcPr>
            <w:tcW w:w="884" w:type="dxa"/>
            <w:tcBorders>
              <w:top w:val="single" w:color="auto" w:sz="4" w:space="0"/>
              <w:left w:val="single" w:color="auto" w:sz="4" w:space="0"/>
              <w:bottom w:val="single" w:color="auto" w:sz="4" w:space="0"/>
              <w:right w:val="single" w:color="auto" w:sz="4" w:space="0"/>
            </w:tcBorders>
            <w:vAlign w:val="center"/>
          </w:tcPr>
          <w:p w14:paraId="1D1E1F66">
            <w:pPr>
              <w:jc w:val="left"/>
              <w:rPr>
                <w:rFonts w:ascii="宋体" w:hAnsi="宋体"/>
                <w:szCs w:val="22"/>
              </w:rPr>
            </w:pPr>
          </w:p>
        </w:tc>
        <w:tc>
          <w:tcPr>
            <w:tcW w:w="1462" w:type="dxa"/>
            <w:tcBorders>
              <w:top w:val="single" w:color="auto" w:sz="4" w:space="0"/>
              <w:left w:val="single" w:color="auto" w:sz="4" w:space="0"/>
              <w:bottom w:val="single" w:color="auto" w:sz="4" w:space="0"/>
              <w:right w:val="single" w:color="auto" w:sz="4" w:space="0"/>
            </w:tcBorders>
            <w:vAlign w:val="center"/>
          </w:tcPr>
          <w:p w14:paraId="74A37B6C">
            <w:pPr>
              <w:jc w:val="left"/>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7F0EB3E1">
            <w:pPr>
              <w:jc w:val="center"/>
              <w:rPr>
                <w:rFonts w:ascii="宋体" w:hAnsi="宋体"/>
                <w:szCs w:val="22"/>
              </w:rPr>
            </w:pPr>
          </w:p>
        </w:tc>
        <w:tc>
          <w:tcPr>
            <w:tcW w:w="1080" w:type="dxa"/>
            <w:tcBorders>
              <w:top w:val="single" w:color="auto" w:sz="4" w:space="0"/>
              <w:left w:val="single" w:color="auto" w:sz="4" w:space="0"/>
              <w:bottom w:val="single" w:color="auto" w:sz="4" w:space="0"/>
              <w:right w:val="single" w:color="auto" w:sz="4" w:space="0"/>
            </w:tcBorders>
            <w:vAlign w:val="center"/>
          </w:tcPr>
          <w:p w14:paraId="23B492A8">
            <w:pPr>
              <w:jc w:val="center"/>
              <w:rPr>
                <w:rFonts w:ascii="宋体" w:hAnsi="宋体"/>
                <w:szCs w:val="22"/>
              </w:rPr>
            </w:pPr>
          </w:p>
        </w:tc>
      </w:tr>
      <w:tr w14:paraId="60C53F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24" w:hRule="atLeast"/>
        </w:trPr>
        <w:tc>
          <w:tcPr>
            <w:tcW w:w="9937" w:type="dxa"/>
            <w:gridSpan w:val="8"/>
            <w:tcBorders>
              <w:top w:val="single" w:color="auto" w:sz="4" w:space="0"/>
              <w:left w:val="single" w:color="auto" w:sz="4" w:space="0"/>
              <w:bottom w:val="single" w:color="auto" w:sz="4" w:space="0"/>
              <w:right w:val="single" w:color="auto" w:sz="4" w:space="0"/>
            </w:tcBorders>
          </w:tcPr>
          <w:p w14:paraId="6F758B2E">
            <w:pPr>
              <w:spacing w:line="480" w:lineRule="auto"/>
              <w:rPr>
                <w:rFonts w:ascii="宋体" w:hAnsi="宋体"/>
                <w:szCs w:val="22"/>
              </w:rPr>
            </w:pPr>
            <w:r>
              <w:rPr>
                <w:rFonts w:hint="eastAsia" w:ascii="宋体" w:hAnsi="宋体"/>
                <w:szCs w:val="22"/>
              </w:rPr>
              <w:t>报价合计（包含税费等所有费用）：（大写）人民币                    （￥</w:t>
            </w:r>
            <w:r>
              <w:rPr>
                <w:rFonts w:ascii="宋体" w:hAnsi="宋体"/>
                <w:szCs w:val="22"/>
              </w:rPr>
              <w:t xml:space="preserve">                </w:t>
            </w:r>
            <w:r>
              <w:rPr>
                <w:rFonts w:hint="eastAsia" w:ascii="宋体" w:hAnsi="宋体"/>
                <w:szCs w:val="22"/>
              </w:rPr>
              <w:t>元）</w:t>
            </w:r>
          </w:p>
        </w:tc>
      </w:tr>
    </w:tbl>
    <w:p w14:paraId="66FEA66C"/>
    <w:p w14:paraId="1FA1C80F">
      <w:pPr>
        <w:snapToGrid w:val="0"/>
        <w:spacing w:before="50" w:after="50" w:line="360" w:lineRule="auto"/>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 xml:space="preserve">注： </w:t>
      </w:r>
    </w:p>
    <w:p w14:paraId="655CE6D7">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1、 投标人需按本表格式填写，如有多分标，按分标分别提供开标一览表，必须加盖投标人有效电子公章。</w:t>
      </w:r>
    </w:p>
    <w:p w14:paraId="2B902A48">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2、本表内容均不能涂改。</w:t>
      </w:r>
    </w:p>
    <w:p w14:paraId="4B94C938">
      <w:pPr>
        <w:snapToGrid w:val="0"/>
        <w:spacing w:before="50" w:after="50"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3、如为联合体投标，“投标人名称”处必须列明联合体各方名称，并标注联合体牵头人名称，且盖章处须加盖联合体各方公章。</w:t>
      </w:r>
    </w:p>
    <w:p w14:paraId="797D5D41">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rPr>
        <w:t>4</w:t>
      </w:r>
      <w:r>
        <w:rPr>
          <w:rFonts w:hint="eastAsia" w:ascii="仿宋_GB2312" w:hAnsi="仿宋" w:eastAsia="仿宋_GB2312" w:cs="仿宋_GB2312"/>
          <w:kern w:val="0"/>
          <w:sz w:val="24"/>
          <w:lang w:val="zh-CN"/>
        </w:rPr>
        <w:t>、特别提示：采购机构将对项目名称和项目编号，中标人名称、地址和中标金额，主要中标标的的名称、服务范围、服务要求、服务时间、服务标准等予以公示。</w:t>
      </w:r>
    </w:p>
    <w:p w14:paraId="17F9F33E">
      <w:pPr>
        <w:snapToGrid w:val="0"/>
        <w:spacing w:line="360" w:lineRule="auto"/>
        <w:ind w:firstLine="480" w:firstLineChars="200"/>
        <w:jc w:val="left"/>
        <w:rPr>
          <w:rFonts w:ascii="仿宋_GB2312" w:hAnsi="仿宋" w:eastAsia="仿宋_GB2312" w:cs="仿宋_GB2312"/>
          <w:kern w:val="0"/>
          <w:sz w:val="24"/>
          <w:lang w:val="zh-CN"/>
        </w:rPr>
      </w:pPr>
      <w:r>
        <w:rPr>
          <w:rFonts w:hint="eastAsia" w:ascii="仿宋_GB2312" w:hAnsi="仿宋" w:eastAsia="仿宋_GB2312" w:cs="仿宋_GB2312"/>
          <w:kern w:val="0"/>
          <w:sz w:val="24"/>
          <w:szCs w:val="22"/>
        </w:rPr>
        <w:t>5</w:t>
      </w:r>
      <w:r>
        <w:rPr>
          <w:rFonts w:hint="eastAsia" w:ascii="仿宋_GB2312" w:hAnsi="仿宋" w:eastAsia="仿宋_GB2312" w:cs="仿宋_GB2312"/>
          <w:kern w:val="0"/>
          <w:sz w:val="24"/>
          <w:szCs w:val="22"/>
          <w:lang w:val="zh-CN"/>
        </w:rPr>
        <w:t>、</w:t>
      </w:r>
      <w:r>
        <w:rPr>
          <w:rFonts w:hint="eastAsia" w:ascii="仿宋_GB2312" w:hAnsi="仿宋" w:eastAsia="仿宋_GB2312" w:cs="仿宋_GB2312"/>
          <w:kern w:val="0"/>
          <w:sz w:val="24"/>
          <w:lang w:val="zh-CN"/>
        </w:rPr>
        <w:t>符合招标文件中列明的可享受中小企业扶持政策的投标人，请填写中小企业声明函。注：投标人</w:t>
      </w:r>
      <w:r>
        <w:rPr>
          <w:rFonts w:ascii="仿宋_GB2312" w:hAnsi="仿宋" w:eastAsia="仿宋_GB2312" w:cs="仿宋_GB2312"/>
          <w:kern w:val="0"/>
          <w:sz w:val="24"/>
          <w:lang w:val="zh-CN"/>
        </w:rPr>
        <w:t>提供</w:t>
      </w:r>
      <w:r>
        <w:rPr>
          <w:rFonts w:hint="eastAsia" w:ascii="仿宋_GB2312" w:hAnsi="仿宋" w:eastAsia="仿宋_GB2312" w:cs="仿宋_GB2312"/>
          <w:kern w:val="0"/>
          <w:sz w:val="24"/>
          <w:lang w:val="zh-CN"/>
        </w:rPr>
        <w:t>的中小企业</w:t>
      </w:r>
      <w:r>
        <w:rPr>
          <w:rFonts w:ascii="仿宋_GB2312" w:hAnsi="仿宋" w:eastAsia="仿宋_GB2312" w:cs="仿宋_GB2312"/>
          <w:kern w:val="0"/>
          <w:sz w:val="24"/>
          <w:lang w:val="zh-CN"/>
        </w:rPr>
        <w:t>声明函内容不实的，属于提供虚假材料谋取中标、成交，依照《中华人民共和国政府采购法》等国家有关规定追究相应责任。</w:t>
      </w:r>
    </w:p>
    <w:p w14:paraId="32F2271E">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0ABFD8A0">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18AD7BFD">
      <w:pPr>
        <w:snapToGrid w:val="0"/>
        <w:spacing w:line="360" w:lineRule="auto"/>
        <w:ind w:firstLine="6450" w:firstLineChars="2150"/>
        <w:rPr>
          <w:rFonts w:hAnsi="宋体"/>
          <w:sz w:val="30"/>
        </w:rPr>
      </w:pPr>
    </w:p>
    <w:p w14:paraId="3091550C">
      <w:pPr>
        <w:snapToGrid w:val="0"/>
        <w:spacing w:line="360" w:lineRule="auto"/>
        <w:ind w:firstLine="6450" w:firstLineChars="2150"/>
        <w:rPr>
          <w:rFonts w:hAnsi="宋体"/>
          <w:sz w:val="30"/>
        </w:rPr>
      </w:pPr>
    </w:p>
    <w:p w14:paraId="3D9BDBC3">
      <w:pPr>
        <w:snapToGrid w:val="0"/>
        <w:spacing w:line="360" w:lineRule="auto"/>
        <w:ind w:firstLine="6450" w:firstLineChars="2150"/>
        <w:rPr>
          <w:rFonts w:hAnsi="宋体"/>
          <w:sz w:val="30"/>
        </w:rPr>
      </w:pPr>
    </w:p>
    <w:p w14:paraId="7EDEB998">
      <w:pPr>
        <w:spacing w:line="360" w:lineRule="auto"/>
        <w:jc w:val="center"/>
        <w:rPr>
          <w:rFonts w:hAnsi="宋体"/>
          <w:b/>
          <w:bCs/>
          <w:sz w:val="30"/>
        </w:rPr>
      </w:pPr>
      <w:r>
        <w:rPr>
          <w:rFonts w:hint="eastAsia" w:hAnsi="宋体"/>
          <w:b/>
          <w:bCs/>
          <w:sz w:val="30"/>
        </w:rPr>
        <w:t>三、投标人针对报价需要说明的其他文件和说明，如《中小企业声明函》</w:t>
      </w:r>
    </w:p>
    <w:p w14:paraId="1B499D0A">
      <w:pPr>
        <w:snapToGrid w:val="0"/>
        <w:spacing w:before="165" w:beforeLines="50" w:after="50"/>
        <w:ind w:firstLine="3092" w:firstLineChars="1100"/>
        <w:outlineLvl w:val="1"/>
        <w:rPr>
          <w:rFonts w:ascii="宋体" w:hAnsi="宋体"/>
          <w:b/>
          <w:bCs/>
          <w:sz w:val="28"/>
          <w:szCs w:val="28"/>
        </w:rPr>
      </w:pPr>
      <w:r>
        <w:rPr>
          <w:rFonts w:ascii="宋体" w:hAnsi="宋体"/>
          <w:b/>
          <w:bCs/>
          <w:sz w:val="28"/>
          <w:szCs w:val="28"/>
        </w:rPr>
        <w:t>1</w:t>
      </w:r>
      <w:r>
        <w:rPr>
          <w:rFonts w:hint="eastAsia" w:ascii="宋体" w:hAnsi="宋体"/>
          <w:b/>
          <w:bCs/>
          <w:sz w:val="28"/>
          <w:szCs w:val="28"/>
        </w:rPr>
        <w:t>、中小企业声明函</w:t>
      </w:r>
    </w:p>
    <w:p w14:paraId="250C3E31">
      <w:pPr>
        <w:pStyle w:val="11"/>
        <w:rPr>
          <w:rFonts w:ascii="Times New Roman"/>
          <w:sz w:val="21"/>
          <w:szCs w:val="21"/>
        </w:rPr>
      </w:pPr>
      <w:r>
        <w:rPr>
          <w:rFonts w:hint="eastAsia" w:ascii="Times New Roman" w:hAnsi="宋体"/>
          <w:sz w:val="21"/>
          <w:szCs w:val="21"/>
        </w:rPr>
        <w:t>说明：</w:t>
      </w:r>
    </w:p>
    <w:p w14:paraId="2FD020F6">
      <w:pPr>
        <w:pStyle w:val="11"/>
        <w:ind w:firstLine="420" w:firstLineChars="200"/>
        <w:rPr>
          <w:rFonts w:ascii="Times New Roman"/>
          <w:sz w:val="21"/>
          <w:szCs w:val="21"/>
        </w:rPr>
      </w:pPr>
      <w:r>
        <w:rPr>
          <w:rFonts w:ascii="Times New Roman"/>
          <w:sz w:val="21"/>
          <w:szCs w:val="21"/>
        </w:rPr>
        <w:t>1</w:t>
      </w:r>
      <w:r>
        <w:rPr>
          <w:rFonts w:hint="eastAsia" w:ascii="Times New Roman" w:hAnsi="宋体"/>
          <w:sz w:val="21"/>
          <w:szCs w:val="21"/>
        </w:rPr>
        <w:t>、本声明函主要供参加政府采购活动的中小企业填写，非中小企业无需填写。</w:t>
      </w:r>
    </w:p>
    <w:p w14:paraId="6F99CB67">
      <w:pPr>
        <w:pStyle w:val="11"/>
        <w:ind w:firstLine="420" w:firstLineChars="200"/>
        <w:rPr>
          <w:rFonts w:ascii="Times New Roman" w:hAnsi="宋体"/>
          <w:sz w:val="21"/>
          <w:szCs w:val="21"/>
        </w:rPr>
      </w:pPr>
      <w:r>
        <w:rPr>
          <w:rFonts w:ascii="Times New Roman"/>
          <w:sz w:val="21"/>
          <w:szCs w:val="21"/>
        </w:rPr>
        <w:t>2</w:t>
      </w:r>
      <w:r>
        <w:rPr>
          <w:rFonts w:hint="eastAsia" w:ascii="Times New Roman" w:hAnsi="宋体"/>
          <w:sz w:val="21"/>
          <w:szCs w:val="21"/>
        </w:rPr>
        <w:t>、小型、微型企业提供中型企业提供的服务的，视同为中型企业。</w:t>
      </w:r>
    </w:p>
    <w:p w14:paraId="69331A92">
      <w:pPr>
        <w:pStyle w:val="11"/>
        <w:ind w:firstLine="420" w:firstLineChars="200"/>
        <w:rPr>
          <w:rFonts w:ascii="Times New Roman" w:hAnsi="宋体"/>
          <w:sz w:val="21"/>
          <w:szCs w:val="21"/>
        </w:rPr>
      </w:pPr>
    </w:p>
    <w:p w14:paraId="5B24FD16">
      <w:pPr>
        <w:spacing w:line="500" w:lineRule="exact"/>
        <w:ind w:right="142" w:firstLine="420" w:firstLineChars="200"/>
        <w:rPr>
          <w:rFonts w:ascii="宋体" w:hAnsi="宋体"/>
        </w:rPr>
      </w:pPr>
      <w:r>
        <w:rPr>
          <w:rFonts w:hint="eastAsia" w:ascii="宋体" w:hAnsi="宋体"/>
        </w:rPr>
        <w:t>本公司（联合体）郑重声明，根据《政府采购促进中小企业发展管理办法》（财库﹝2020﹞46号）的规定，本公司（联合体）参加</w:t>
      </w:r>
      <w:r>
        <w:rPr>
          <w:rFonts w:hint="eastAsia" w:ascii="宋体" w:hAnsi="宋体"/>
          <w:u w:val="single"/>
        </w:rPr>
        <w:t>（项目名称）</w:t>
      </w:r>
      <w:r>
        <w:rPr>
          <w:rFonts w:hint="eastAsia" w:ascii="宋体" w:hAnsi="宋体"/>
        </w:rPr>
        <w:t>采购活动，服务全部由符合政策要求的中小企业承接。相关企业（含联合体中的中小企业、签订分包意向协议的中小企业）的具体情况如下：</w:t>
      </w:r>
    </w:p>
    <w:p w14:paraId="4A48BD93">
      <w:pPr>
        <w:tabs>
          <w:tab w:val="left" w:pos="1384"/>
          <w:tab w:val="left" w:pos="4562"/>
          <w:tab w:val="left" w:pos="6803"/>
        </w:tabs>
        <w:spacing w:before="13" w:line="500" w:lineRule="exact"/>
        <w:ind w:right="142" w:firstLine="600" w:firstLineChars="286"/>
        <w:rPr>
          <w:rFonts w:ascii="宋体" w:hAnsi="宋体"/>
          <w:szCs w:val="21"/>
        </w:rPr>
      </w:pPr>
      <w:r>
        <w:rPr>
          <w:rFonts w:hint="eastAsia" w:ascii="宋体" w:hAnsi="宋体"/>
          <w:szCs w:val="21"/>
        </w:rPr>
        <w:t>1.</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（招标文件中明确的所属行业）</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1C962582">
      <w:pPr>
        <w:tabs>
          <w:tab w:val="left" w:pos="1065"/>
          <w:tab w:val="left" w:pos="4262"/>
          <w:tab w:val="left" w:pos="6477"/>
        </w:tabs>
        <w:spacing w:before="20" w:line="500" w:lineRule="exact"/>
        <w:ind w:right="84" w:firstLine="600" w:firstLineChars="286"/>
        <w:rPr>
          <w:rFonts w:ascii="宋体" w:hAnsi="宋体"/>
          <w:szCs w:val="21"/>
          <w:u w:val="single"/>
        </w:rPr>
      </w:pPr>
      <w:r>
        <w:rPr>
          <w:rFonts w:hint="eastAsia" w:ascii="宋体" w:hAnsi="宋体"/>
          <w:szCs w:val="21"/>
        </w:rPr>
        <w:t>2.</w:t>
      </w:r>
      <w:r>
        <w:rPr>
          <w:rFonts w:hint="eastAsia" w:ascii="宋体" w:hAnsi="宋体"/>
          <w:szCs w:val="21"/>
          <w:u w:val="single"/>
        </w:rPr>
        <w:t>（标的名称）</w:t>
      </w:r>
      <w:r>
        <w:rPr>
          <w:rFonts w:hint="eastAsia" w:ascii="宋体" w:hAnsi="宋体"/>
          <w:szCs w:val="21"/>
        </w:rPr>
        <w:t>，属于</w:t>
      </w:r>
      <w:r>
        <w:rPr>
          <w:rFonts w:hint="eastAsia" w:ascii="宋体" w:hAnsi="宋体"/>
          <w:szCs w:val="21"/>
          <w:u w:val="single"/>
        </w:rPr>
        <w:t>（招标文件中明确的所属行业）</w:t>
      </w:r>
      <w:r>
        <w:rPr>
          <w:rFonts w:hint="eastAsia" w:ascii="宋体" w:hAnsi="宋体"/>
          <w:szCs w:val="21"/>
        </w:rPr>
        <w:t>；承接企业为</w:t>
      </w:r>
      <w:r>
        <w:rPr>
          <w:rFonts w:hint="eastAsia" w:ascii="宋体" w:hAnsi="宋体"/>
          <w:szCs w:val="21"/>
          <w:u w:val="single"/>
        </w:rPr>
        <w:t>（企业名称）</w:t>
      </w:r>
      <w:r>
        <w:rPr>
          <w:rFonts w:hint="eastAsia" w:ascii="宋体" w:hAnsi="宋体"/>
          <w:szCs w:val="21"/>
        </w:rPr>
        <w:t>，从业人员</w:t>
      </w:r>
      <w:r>
        <w:rPr>
          <w:rFonts w:hint="eastAsia" w:ascii="宋体" w:hAnsi="宋体"/>
          <w:szCs w:val="21"/>
          <w:u w:val="single"/>
        </w:rPr>
        <w:t xml:space="preserve">      </w:t>
      </w:r>
      <w:r>
        <w:rPr>
          <w:rFonts w:hint="eastAsia" w:ascii="宋体" w:hAnsi="宋体"/>
          <w:szCs w:val="21"/>
        </w:rPr>
        <w:t>人，营业收入为</w:t>
      </w:r>
      <w:r>
        <w:rPr>
          <w:rFonts w:hint="eastAsia" w:ascii="宋体" w:hAnsi="宋体"/>
          <w:szCs w:val="21"/>
          <w:u w:val="single"/>
        </w:rPr>
        <w:t xml:space="preserve">      </w:t>
      </w:r>
      <w:r>
        <w:rPr>
          <w:rFonts w:hint="eastAsia" w:ascii="宋体" w:hAnsi="宋体"/>
          <w:szCs w:val="21"/>
        </w:rPr>
        <w:t>万元，资产总额为</w:t>
      </w:r>
      <w:r>
        <w:rPr>
          <w:rFonts w:hint="eastAsia" w:ascii="宋体" w:hAnsi="宋体"/>
          <w:szCs w:val="21"/>
          <w:u w:val="single"/>
        </w:rPr>
        <w:t xml:space="preserve">      </w:t>
      </w:r>
      <w:r>
        <w:rPr>
          <w:rFonts w:hint="eastAsia" w:ascii="宋体" w:hAnsi="宋体"/>
          <w:szCs w:val="21"/>
        </w:rPr>
        <w:t>万元，属于</w:t>
      </w:r>
      <w:r>
        <w:rPr>
          <w:rFonts w:hint="eastAsia" w:ascii="宋体" w:hAnsi="宋体"/>
          <w:szCs w:val="21"/>
          <w:u w:val="single"/>
        </w:rPr>
        <w:t>（中型企业、小型企业、微型企业）</w:t>
      </w:r>
      <w:r>
        <w:rPr>
          <w:rFonts w:hint="eastAsia" w:ascii="宋体" w:hAnsi="宋体"/>
          <w:szCs w:val="21"/>
        </w:rPr>
        <w:t>；</w:t>
      </w:r>
    </w:p>
    <w:p w14:paraId="77485039">
      <w:pPr>
        <w:spacing w:before="34" w:line="500" w:lineRule="exact"/>
        <w:ind w:left="765" w:right="142" w:hanging="5"/>
        <w:rPr>
          <w:rFonts w:ascii="宋体" w:hAnsi="宋体"/>
        </w:rPr>
      </w:pPr>
      <w:r>
        <w:rPr>
          <w:rFonts w:hint="eastAsia" w:ascii="宋体" w:hAnsi="宋体"/>
        </w:rPr>
        <w:t xml:space="preserve">…… </w:t>
      </w:r>
    </w:p>
    <w:p w14:paraId="0C605C12">
      <w:pPr>
        <w:spacing w:before="34" w:line="500" w:lineRule="exact"/>
        <w:ind w:right="142" w:firstLine="420" w:firstLineChars="200"/>
        <w:rPr>
          <w:rFonts w:ascii="宋体" w:hAnsi="宋体"/>
        </w:rPr>
      </w:pPr>
      <w:r>
        <w:rPr>
          <w:rFonts w:hint="eastAsia" w:ascii="宋体" w:hAnsi="宋体"/>
        </w:rPr>
        <w:t>以上企业，不属于大企业的分支机构，不存在控股股东为大企业的情形，也不存在与大企业的负责人为同一人的情形。</w:t>
      </w:r>
    </w:p>
    <w:p w14:paraId="27574744">
      <w:pPr>
        <w:spacing w:before="34" w:line="500" w:lineRule="exact"/>
        <w:ind w:right="142" w:firstLine="420" w:firstLineChars="200"/>
        <w:rPr>
          <w:rFonts w:ascii="宋体" w:hAnsi="宋体"/>
        </w:rPr>
      </w:pPr>
      <w:r>
        <w:rPr>
          <w:rFonts w:hint="eastAsia" w:ascii="宋体" w:hAnsi="宋体"/>
        </w:rPr>
        <w:t>本企业对上述声明内容的真实性负责。如有虚假，将依法承担相应责任。</w:t>
      </w:r>
    </w:p>
    <w:p w14:paraId="5480B5E7">
      <w:pPr>
        <w:spacing w:line="360" w:lineRule="auto"/>
        <w:ind w:firstLine="420" w:firstLineChars="200"/>
        <w:rPr>
          <w:rFonts w:hAnsi="宋体"/>
          <w:szCs w:val="21"/>
        </w:rPr>
      </w:pPr>
    </w:p>
    <w:p w14:paraId="631A4414">
      <w:pPr>
        <w:spacing w:line="360" w:lineRule="auto"/>
        <w:ind w:firstLine="420" w:firstLineChars="200"/>
        <w:rPr>
          <w:rFonts w:hAnsi="宋体"/>
          <w:szCs w:val="21"/>
        </w:rPr>
      </w:pPr>
    </w:p>
    <w:p w14:paraId="6DCF1691">
      <w:pPr>
        <w:snapToGrid w:val="0"/>
        <w:spacing w:line="360" w:lineRule="auto"/>
        <w:ind w:firstLine="5040" w:firstLineChars="2100"/>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41F152CE">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50085D65">
      <w:pPr>
        <w:snapToGrid w:val="0"/>
        <w:spacing w:before="50" w:after="165" w:afterLines="50" w:line="360" w:lineRule="auto"/>
        <w:jc w:val="left"/>
        <w:rPr>
          <w:rFonts w:hAnsi="宋体" w:cs="宋体"/>
          <w:sz w:val="20"/>
        </w:rPr>
      </w:pPr>
      <w:r>
        <w:rPr>
          <w:rFonts w:hint="eastAsia" w:hAnsi="宋体" w:cs="宋体"/>
          <w:sz w:val="20"/>
        </w:rPr>
        <w:t>注：</w:t>
      </w:r>
    </w:p>
    <w:p w14:paraId="7B2915CD">
      <w:pPr>
        <w:numPr>
          <w:ilvl w:val="0"/>
          <w:numId w:val="4"/>
        </w:numPr>
        <w:snapToGrid w:val="0"/>
        <w:spacing w:before="50" w:after="165" w:afterLines="50" w:line="360" w:lineRule="auto"/>
        <w:jc w:val="left"/>
        <w:rPr>
          <w:sz w:val="20"/>
        </w:rPr>
      </w:pPr>
      <w:r>
        <w:rPr>
          <w:rFonts w:hint="eastAsia"/>
          <w:sz w:val="20"/>
        </w:rPr>
        <w:t>从业人员、营业收入、资产总额填报上一年度数据，无上一年度数据的新成立企业可不填报。</w:t>
      </w:r>
    </w:p>
    <w:p w14:paraId="6AB03229">
      <w:pPr>
        <w:snapToGrid w:val="0"/>
        <w:spacing w:before="50" w:after="165" w:afterLines="50" w:line="360" w:lineRule="auto"/>
        <w:ind w:firstLine="300" w:firstLineChars="150"/>
        <w:jc w:val="left"/>
        <w:rPr>
          <w:sz w:val="20"/>
        </w:rPr>
      </w:pPr>
      <w:r>
        <w:rPr>
          <w:sz w:val="20"/>
        </w:rPr>
        <w:t>2</w:t>
      </w:r>
      <w:r>
        <w:rPr>
          <w:rFonts w:hint="eastAsia"/>
          <w:sz w:val="20"/>
        </w:rPr>
        <w:t>、请根据自己的真实情况出具《中小企业声明函》。依法享受中小企业优惠政策的，采购人或者采购代理机构在公告中标结果时，同时公告其《中小企业声明函》，接受社会监督。</w:t>
      </w:r>
    </w:p>
    <w:p w14:paraId="1EEC7367">
      <w:pPr>
        <w:snapToGrid w:val="0"/>
        <w:spacing w:before="50" w:after="165" w:afterLines="50" w:line="360" w:lineRule="auto"/>
        <w:ind w:firstLine="300" w:firstLineChars="150"/>
        <w:jc w:val="left"/>
        <w:rPr>
          <w:sz w:val="20"/>
        </w:rPr>
      </w:pPr>
      <w:r>
        <w:rPr>
          <w:rFonts w:hint="eastAsia"/>
          <w:sz w:val="20"/>
        </w:rPr>
        <w:br w:type="page"/>
      </w:r>
    </w:p>
    <w:p w14:paraId="147B5866">
      <w:pPr>
        <w:snapToGrid w:val="0"/>
        <w:spacing w:before="165" w:beforeLines="50" w:after="50"/>
        <w:ind w:firstLine="3092" w:firstLineChars="1100"/>
        <w:outlineLvl w:val="1"/>
        <w:rPr>
          <w:rFonts w:ascii="宋体" w:hAnsi="宋体"/>
          <w:b/>
          <w:bCs/>
          <w:sz w:val="28"/>
          <w:szCs w:val="28"/>
        </w:rPr>
      </w:pPr>
      <w:r>
        <w:rPr>
          <w:rFonts w:hint="eastAsia" w:ascii="宋体" w:hAnsi="宋体"/>
          <w:b/>
          <w:bCs/>
          <w:sz w:val="28"/>
          <w:szCs w:val="28"/>
        </w:rPr>
        <w:t>2、其他文书、文件格式</w:t>
      </w:r>
    </w:p>
    <w:p w14:paraId="094D4B98">
      <w:pPr>
        <w:spacing w:line="360" w:lineRule="auto"/>
        <w:jc w:val="center"/>
        <w:rPr>
          <w:b/>
          <w:sz w:val="30"/>
          <w:szCs w:val="30"/>
        </w:rPr>
      </w:pPr>
      <w:r>
        <w:rPr>
          <w:rFonts w:hint="eastAsia"/>
          <w:b/>
          <w:sz w:val="30"/>
          <w:szCs w:val="30"/>
        </w:rPr>
        <w:t>残疾人福利性单位声明函（格式）</w:t>
      </w:r>
    </w:p>
    <w:p w14:paraId="50898E5F">
      <w:pPr>
        <w:spacing w:line="360" w:lineRule="auto"/>
        <w:jc w:val="center"/>
        <w:rPr>
          <w:b/>
          <w:sz w:val="30"/>
          <w:szCs w:val="30"/>
        </w:rPr>
      </w:pPr>
    </w:p>
    <w:p w14:paraId="57A7BC41">
      <w:pPr>
        <w:spacing w:line="360" w:lineRule="auto"/>
        <w:jc w:val="left"/>
        <w:rPr>
          <w:rFonts w:ascii="仿宋_GB2312" w:eastAsia="仿宋_GB2312"/>
          <w:sz w:val="24"/>
        </w:rPr>
      </w:pPr>
      <w:r>
        <w:rPr>
          <w:rFonts w:hint="eastAsia"/>
          <w:sz w:val="30"/>
          <w:szCs w:val="30"/>
        </w:rPr>
        <w:t xml:space="preserve">   </w:t>
      </w:r>
      <w:r>
        <w:rPr>
          <w:rFonts w:hint="eastAsia" w:ascii="仿宋_GB2312" w:eastAsia="仿宋_GB2312"/>
          <w:sz w:val="24"/>
        </w:rPr>
        <w:t>本公司郑重声明，根据《财政部 民政部 中国残疾人联合会关于促进残疾人就业政府采购政策的通知》（财库〔2017〕 141号）的规定，本公司为符合条件的残疾人福利性单位，且本公司参加</w:t>
      </w:r>
      <w:r>
        <w:rPr>
          <w:rFonts w:hint="eastAsia" w:ascii="仿宋_GB2312" w:eastAsia="仿宋_GB2312"/>
          <w:sz w:val="24"/>
          <w:u w:val="single"/>
        </w:rPr>
        <w:t xml:space="preserve">        </w:t>
      </w:r>
      <w:r>
        <w:rPr>
          <w:rFonts w:hint="eastAsia" w:ascii="仿宋_GB2312" w:eastAsia="仿宋_GB2312"/>
          <w:sz w:val="24"/>
        </w:rPr>
        <w:t>单位的</w:t>
      </w:r>
      <w:r>
        <w:rPr>
          <w:rFonts w:hint="eastAsia" w:ascii="仿宋_GB2312" w:eastAsia="仿宋_GB2312"/>
          <w:sz w:val="24"/>
          <w:u w:val="single"/>
        </w:rPr>
        <w:t xml:space="preserve">          </w:t>
      </w:r>
      <w:r>
        <w:rPr>
          <w:rFonts w:hint="eastAsia" w:ascii="仿宋_GB2312" w:eastAsia="仿宋_GB2312"/>
          <w:sz w:val="24"/>
        </w:rPr>
        <w:t>项目采购活动提供本公司制造的货物（由本公司承担工程/提供服务），或者提供其他残疾人福利性单位制造的货物（不包括使用非残疾人福利性单位注册商标的货物）。</w:t>
      </w:r>
    </w:p>
    <w:p w14:paraId="3B76AE05">
      <w:pPr>
        <w:spacing w:line="360" w:lineRule="auto"/>
        <w:ind w:firstLine="480" w:firstLineChars="200"/>
        <w:jc w:val="left"/>
        <w:rPr>
          <w:rFonts w:ascii="仿宋_GB2312" w:eastAsia="仿宋_GB2312"/>
          <w:sz w:val="24"/>
        </w:rPr>
      </w:pPr>
      <w:r>
        <w:rPr>
          <w:rFonts w:hint="eastAsia" w:ascii="仿宋_GB2312" w:eastAsia="仿宋_GB2312"/>
          <w:sz w:val="24"/>
        </w:rPr>
        <w:t>本公司对上述声明的真实性负责。如有虚假，将依法承担相应责任。</w:t>
      </w:r>
    </w:p>
    <w:p w14:paraId="60D50079">
      <w:pPr>
        <w:spacing w:line="360" w:lineRule="auto"/>
        <w:jc w:val="left"/>
        <w:rPr>
          <w:b/>
          <w:szCs w:val="21"/>
        </w:rPr>
      </w:pPr>
    </w:p>
    <w:p w14:paraId="7B78DCF1">
      <w:pPr>
        <w:spacing w:line="360" w:lineRule="auto"/>
        <w:jc w:val="left"/>
        <w:rPr>
          <w:b/>
          <w:szCs w:val="21"/>
        </w:rPr>
      </w:pPr>
    </w:p>
    <w:p w14:paraId="24B35F54">
      <w:pPr>
        <w:snapToGrid w:val="0"/>
        <w:spacing w:line="360" w:lineRule="auto"/>
        <w:ind w:left="5137" w:leftChars="1736" w:hanging="1491" w:hangingChars="825"/>
        <w:rPr>
          <w:rFonts w:ascii="仿宋_GB2312" w:hAnsi="仿宋" w:eastAsia="仿宋_GB2312" w:cs="仿宋_GB2312"/>
          <w:kern w:val="0"/>
          <w:sz w:val="24"/>
        </w:rPr>
      </w:pPr>
      <w:r>
        <w:rPr>
          <w:rFonts w:hint="eastAsia"/>
          <w:b/>
          <w:sz w:val="18"/>
          <w:szCs w:val="18"/>
        </w:rPr>
        <w:t xml:space="preserve">                                                                    </w:t>
      </w:r>
      <w:r>
        <w:rPr>
          <w:rFonts w:hint="eastAsia" w:ascii="仿宋_GB2312" w:hAnsi="仿宋" w:eastAsia="仿宋_GB2312" w:cs="仿宋_GB2312"/>
          <w:kern w:val="0"/>
          <w:sz w:val="24"/>
          <w:lang w:val="zh-CN"/>
        </w:rPr>
        <w:t>投标人名称(电子签章)：</w:t>
      </w:r>
    </w:p>
    <w:p w14:paraId="5AFA7306">
      <w:pPr>
        <w:snapToGrid w:val="0"/>
        <w:spacing w:line="360" w:lineRule="auto"/>
        <w:ind w:firstLine="5160" w:firstLineChars="2150"/>
        <w:rPr>
          <w:rFonts w:ascii="仿宋_GB2312" w:hAnsi="仿宋" w:eastAsia="仿宋_GB2312" w:cs="仿宋_GB2312"/>
          <w:kern w:val="0"/>
          <w:sz w:val="24"/>
          <w:lang w:val="zh-CN"/>
        </w:r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w:t>
      </w:r>
      <w:r>
        <w:rPr>
          <w:rFonts w:hint="eastAsia" w:ascii="仿宋_GB2312" w:hAnsi="仿宋" w:eastAsia="仿宋_GB2312" w:cs="仿宋_GB2312"/>
          <w:kern w:val="0"/>
          <w:sz w:val="24"/>
          <w:lang w:val="zh-CN"/>
        </w:rPr>
        <w:t>日</w:t>
      </w:r>
    </w:p>
    <w:p w14:paraId="6C4A7039">
      <w:pPr>
        <w:spacing w:line="360" w:lineRule="auto"/>
        <w:ind w:left="5132" w:leftChars="1979" w:hanging="976" w:hangingChars="488"/>
        <w:rPr>
          <w:sz w:val="20"/>
        </w:rPr>
      </w:pPr>
    </w:p>
    <w:p w14:paraId="6CFE19F5">
      <w:pPr>
        <w:spacing w:line="360" w:lineRule="auto"/>
        <w:ind w:right="420" w:firstLine="480" w:firstLineChars="200"/>
        <w:rPr>
          <w:rFonts w:ascii="仿宋_GB2312" w:hAnsi="仿宋" w:eastAsia="仿宋_GB2312" w:cs="仿宋_GB2312"/>
          <w:sz w:val="24"/>
        </w:rPr>
      </w:pPr>
      <w:r>
        <w:rPr>
          <w:rFonts w:hint="eastAsia" w:ascii="仿宋_GB2312" w:hAnsi="仿宋" w:eastAsia="仿宋_GB2312" w:cs="仿宋_GB2312"/>
          <w:sz w:val="24"/>
        </w:rPr>
        <w:t>注：请根据自己的真实情况出具《残疾人福利性单位声明函》。依法享受中小企业优惠政策的，采购人或者采购代理机构在公告中标结果时，同时公告其《残疾人福利性单位声明函》，接受社会监督；根据《关于政府采购支持监狱企业发展有关问题的通知》（财库[2014]68号）的规定，投标人提供由省级以上监狱管理局、戒毒管理局（含新疆生产建设兵团）出具的属于监狱企业证明文件的，视同为小型和微型企业。</w:t>
      </w:r>
    </w:p>
    <w:p w14:paraId="5F750968">
      <w:pPr>
        <w:jc w:val="center"/>
        <w:rPr>
          <w:rFonts w:ascii="宋体" w:hAnsi="宋体" w:cs="宋体"/>
          <w:b/>
          <w:bCs/>
          <w:sz w:val="32"/>
          <w:szCs w:val="32"/>
        </w:rPr>
      </w:pPr>
      <w:r>
        <w:rPr>
          <w:sz w:val="20"/>
        </w:rPr>
        <w:br w:type="page"/>
      </w:r>
      <w:r>
        <w:rPr>
          <w:rFonts w:hint="eastAsia" w:ascii="宋体" w:hAnsi="宋体" w:cs="宋体"/>
          <w:b/>
          <w:bCs/>
          <w:sz w:val="32"/>
          <w:szCs w:val="32"/>
        </w:rPr>
        <w:t>知识产权合规性声明</w:t>
      </w:r>
    </w:p>
    <w:p w14:paraId="42DF9D92">
      <w:pPr>
        <w:rPr>
          <w:rFonts w:ascii="仿宋_GB2312" w:hAnsi="仿宋_GB2312" w:eastAsia="仿宋_GB2312" w:cs="仿宋_GB2312"/>
          <w:sz w:val="30"/>
          <w:szCs w:val="30"/>
        </w:rPr>
      </w:pPr>
    </w:p>
    <w:p w14:paraId="430F073F">
      <w:pPr>
        <w:ind w:firstLine="300" w:firstLineChars="100"/>
        <w:rPr>
          <w:rFonts w:ascii="仿宋_GB2312" w:hAnsi="仿宋_GB2312" w:eastAsia="仿宋_GB2312" w:cs="仿宋_GB2312"/>
          <w:sz w:val="30"/>
          <w:szCs w:val="30"/>
        </w:rPr>
      </w:pPr>
      <w:r>
        <w:rPr>
          <w:rFonts w:hint="eastAsia" w:ascii="仿宋_GB2312" w:hAnsi="仿宋_GB2312" w:eastAsia="仿宋_GB2312" w:cs="仿宋_GB2312"/>
          <w:sz w:val="30"/>
          <w:szCs w:val="30"/>
        </w:rPr>
        <w:t>本企业（单位）自愿参与政府投资政府采购的</w:t>
      </w:r>
      <w:r>
        <w:rPr>
          <w:rFonts w:hint="eastAsia" w:ascii="仿宋_GB2312" w:hAnsi="仿宋_GB2312" w:eastAsia="仿宋_GB2312" w:cs="仿宋_GB2312"/>
          <w:sz w:val="30"/>
          <w:szCs w:val="30"/>
          <w:u w:val="single"/>
        </w:rPr>
        <w:t>[项目采购-项目名称_]</w:t>
      </w:r>
      <w:r>
        <w:rPr>
          <w:rFonts w:hint="eastAsia" w:ascii="仿宋_GB2312" w:hAnsi="仿宋_GB2312" w:eastAsia="仿宋_GB2312" w:cs="仿宋_GB2312"/>
          <w:sz w:val="30"/>
          <w:szCs w:val="30"/>
        </w:rPr>
        <w:t>项目，</w:t>
      </w:r>
      <w:r>
        <w:rPr>
          <w:rFonts w:hint="eastAsia" w:ascii="仿宋_GB2312" w:hAnsi="仿宋_GB2312" w:eastAsia="仿宋_GB2312" w:cs="仿宋_GB2312"/>
          <w:b/>
          <w:bCs/>
          <w:sz w:val="30"/>
          <w:szCs w:val="30"/>
        </w:rPr>
        <w:t>在此郑重承诺：</w:t>
      </w:r>
      <w:r>
        <w:rPr>
          <w:rFonts w:hint="eastAsia" w:ascii="仿宋_GB2312" w:hAnsi="仿宋_GB2312" w:eastAsia="仿宋_GB2312" w:cs="仿宋_GB2312"/>
          <w:sz w:val="30"/>
          <w:szCs w:val="30"/>
        </w:rPr>
        <w:t>遵守中国知识产权法律、法规、规章、规范性文件及在中国适用的与知识产权有关的国际公约，所参与项目的知识产权明晰无争议，归属或技术来源正当合法。近三年在知识产权领域不存在违反法律、法规、规章及其他规范性文件的失信行为。所参与的项目不对其他单位及个人的知识产权构成侵权。如经核查确有违反上述承诺应遵守的行为，本企业（单位）将承担由此产生的全部责任。</w:t>
      </w:r>
    </w:p>
    <w:p w14:paraId="7795D12A">
      <w:pPr>
        <w:snapToGrid w:val="0"/>
        <w:spacing w:line="360" w:lineRule="auto"/>
        <w:ind w:left="5137" w:leftChars="1736" w:hanging="1491" w:hangingChars="825"/>
        <w:rPr>
          <w:b/>
          <w:sz w:val="18"/>
          <w:szCs w:val="18"/>
        </w:rPr>
      </w:pPr>
    </w:p>
    <w:p w14:paraId="2578FAFB">
      <w:pPr>
        <w:snapToGrid w:val="0"/>
        <w:spacing w:line="360" w:lineRule="auto"/>
        <w:ind w:left="5137" w:leftChars="1736" w:hanging="1491" w:hangingChars="825"/>
        <w:rPr>
          <w:b/>
          <w:sz w:val="18"/>
          <w:szCs w:val="18"/>
        </w:rPr>
      </w:pPr>
    </w:p>
    <w:p w14:paraId="57F5F09D">
      <w:pPr>
        <w:snapToGrid w:val="0"/>
        <w:spacing w:line="360" w:lineRule="auto"/>
        <w:ind w:left="5137" w:leftChars="1736" w:hanging="1491" w:hangingChars="825"/>
        <w:rPr>
          <w:b/>
          <w:sz w:val="18"/>
          <w:szCs w:val="18"/>
        </w:rPr>
      </w:pPr>
    </w:p>
    <w:p w14:paraId="691CCE27">
      <w:pPr>
        <w:snapToGrid w:val="0"/>
        <w:spacing w:line="360" w:lineRule="auto"/>
        <w:ind w:left="5137" w:leftChars="1736" w:hanging="1491" w:hangingChars="825"/>
        <w:rPr>
          <w:b/>
          <w:sz w:val="18"/>
          <w:szCs w:val="18"/>
        </w:rPr>
      </w:pPr>
    </w:p>
    <w:p w14:paraId="0D5C3186">
      <w:pPr>
        <w:snapToGrid w:val="0"/>
        <w:spacing w:line="360" w:lineRule="auto"/>
        <w:ind w:left="5626" w:leftChars="1736" w:hanging="1980" w:hangingChars="825"/>
        <w:rPr>
          <w:rFonts w:ascii="仿宋_GB2312" w:hAnsi="仿宋" w:eastAsia="仿宋_GB2312" w:cs="仿宋_GB2312"/>
          <w:kern w:val="0"/>
          <w:sz w:val="24"/>
        </w:rPr>
      </w:pPr>
      <w:r>
        <w:rPr>
          <w:rFonts w:hint="eastAsia" w:ascii="仿宋_GB2312" w:hAnsi="仿宋" w:eastAsia="仿宋_GB2312" w:cs="仿宋_GB2312"/>
          <w:kern w:val="0"/>
          <w:sz w:val="24"/>
          <w:lang w:val="zh-CN"/>
        </w:rPr>
        <w:t>投标人名称(电子签章)：</w:t>
      </w:r>
    </w:p>
    <w:p w14:paraId="23AB0EB7">
      <w:pPr>
        <w:snapToGrid w:val="0"/>
        <w:spacing w:line="360" w:lineRule="auto"/>
        <w:ind w:firstLine="5160" w:firstLineChars="2150"/>
        <w:rPr>
          <w:sz w:val="20"/>
        </w:rPr>
        <w:sectPr>
          <w:pgSz w:w="11906" w:h="16838"/>
          <w:pgMar w:top="1134" w:right="1134" w:bottom="1134" w:left="1134" w:header="720" w:footer="720" w:gutter="0"/>
          <w:cols w:space="720" w:num="1"/>
          <w:docGrid w:type="lines" w:linePitch="331" w:charSpace="0"/>
        </w:sectPr>
      </w:pPr>
      <w:r>
        <w:rPr>
          <w:rFonts w:hint="eastAsia" w:ascii="仿宋_GB2312" w:hAnsi="仿宋" w:eastAsia="仿宋_GB2312" w:cs="仿宋_GB2312"/>
          <w:kern w:val="0"/>
          <w:sz w:val="24"/>
          <w:lang w:val="zh-CN"/>
        </w:rPr>
        <w:t>日期</w:t>
      </w:r>
      <w:r>
        <w:rPr>
          <w:rFonts w:hint="eastAsia" w:ascii="仿宋_GB2312" w:hAnsi="仿宋" w:eastAsia="仿宋_GB2312" w:cs="仿宋_GB2312"/>
          <w:kern w:val="0"/>
          <w:sz w:val="24"/>
        </w:rPr>
        <w:t xml:space="preserve">：  年  </w:t>
      </w:r>
      <w:r>
        <w:rPr>
          <w:rFonts w:hint="eastAsia" w:ascii="仿宋_GB2312" w:hAnsi="仿宋" w:eastAsia="仿宋_GB2312" w:cs="仿宋_GB2312"/>
          <w:kern w:val="0"/>
          <w:sz w:val="24"/>
          <w:lang w:val="zh-CN"/>
        </w:rPr>
        <w:t>月</w:t>
      </w:r>
      <w:r>
        <w:rPr>
          <w:rFonts w:hint="eastAsia" w:ascii="仿宋_GB2312" w:hAnsi="仿宋" w:eastAsia="仿宋_GB2312" w:cs="仿宋_GB2312"/>
          <w:kern w:val="0"/>
          <w:sz w:val="24"/>
        </w:rPr>
        <w:t xml:space="preserve">   日</w:t>
      </w:r>
    </w:p>
    <w:p w14:paraId="5A000B7B">
      <w:pPr>
        <w:tabs>
          <w:tab w:val="left" w:pos="2472"/>
        </w:tabs>
        <w:spacing w:line="460" w:lineRule="exact"/>
        <w:rPr>
          <w:b/>
          <w:sz w:val="36"/>
        </w:rPr>
      </w:pPr>
    </w:p>
    <w:p w14:paraId="2C0820FD">
      <w:pPr>
        <w:tabs>
          <w:tab w:val="left" w:pos="2472"/>
        </w:tabs>
        <w:spacing w:line="460" w:lineRule="exact"/>
        <w:jc w:val="center"/>
        <w:outlineLvl w:val="0"/>
        <w:rPr>
          <w:b/>
          <w:sz w:val="36"/>
        </w:rPr>
      </w:pPr>
      <w:bookmarkStart w:id="88" w:name="_Toc15742"/>
      <w:bookmarkStart w:id="89" w:name="_Toc31289"/>
      <w:r>
        <w:rPr>
          <w:rFonts w:hint="eastAsia"/>
          <w:b/>
          <w:sz w:val="36"/>
        </w:rPr>
        <w:t>第七章 质疑、投诉证明材料格式</w:t>
      </w:r>
      <w:bookmarkEnd w:id="88"/>
      <w:bookmarkEnd w:id="89"/>
    </w:p>
    <w:p w14:paraId="0F8C120F">
      <w:pPr>
        <w:snapToGrid w:val="0"/>
        <w:spacing w:before="50" w:after="165" w:afterLines="50" w:line="360" w:lineRule="auto"/>
        <w:ind w:firstLine="300" w:firstLineChars="150"/>
        <w:jc w:val="left"/>
        <w:rPr>
          <w:sz w:val="20"/>
        </w:rPr>
        <w:sectPr>
          <w:pgSz w:w="11906" w:h="16838"/>
          <w:pgMar w:top="1134" w:right="1134" w:bottom="1134" w:left="1134" w:header="720" w:footer="720" w:gutter="0"/>
          <w:cols w:space="720" w:num="1"/>
          <w:docGrid w:type="lines" w:linePitch="331" w:charSpace="0"/>
        </w:sectPr>
      </w:pPr>
    </w:p>
    <w:p w14:paraId="5A103247">
      <w:pPr>
        <w:widowControl/>
        <w:shd w:val="clear" w:color="auto" w:fill="FFFFFF"/>
        <w:spacing w:line="260" w:lineRule="exact"/>
        <w:jc w:val="left"/>
        <w:rPr>
          <w:rFonts w:ascii="宋体" w:hAnsi="宋体"/>
          <w:b/>
          <w:bCs/>
          <w:sz w:val="28"/>
          <w:szCs w:val="28"/>
        </w:rPr>
      </w:pPr>
    </w:p>
    <w:p w14:paraId="012833AB">
      <w:pPr>
        <w:pStyle w:val="4"/>
        <w:jc w:val="center"/>
        <w:rPr>
          <w:rFonts w:ascii="宋体" w:hAnsi="宋体"/>
          <w:b w:val="0"/>
          <w:bCs w:val="0"/>
        </w:rPr>
      </w:pPr>
      <w:bookmarkStart w:id="90" w:name="_Toc4900"/>
      <w:bookmarkStart w:id="91" w:name="_Toc7208"/>
      <w:bookmarkStart w:id="92" w:name="_Toc23780"/>
      <w:r>
        <w:rPr>
          <w:rFonts w:hint="eastAsia" w:ascii="宋体" w:hAnsi="宋体"/>
          <w:b w:val="0"/>
          <w:bCs w:val="0"/>
        </w:rPr>
        <w:t>第一节 质疑函（格式）</w:t>
      </w:r>
      <w:bookmarkEnd w:id="90"/>
      <w:bookmarkEnd w:id="91"/>
      <w:bookmarkEnd w:id="92"/>
    </w:p>
    <w:p w14:paraId="14CAD1C5">
      <w:pPr>
        <w:jc w:val="center"/>
        <w:rPr>
          <w:rFonts w:ascii="仿宋" w:hAnsi="仿宋" w:eastAsia="仿宋" w:cs="仿宋"/>
          <w:b/>
          <w:bCs/>
          <w:sz w:val="44"/>
          <w:szCs w:val="44"/>
        </w:rPr>
      </w:pPr>
      <w:r>
        <w:rPr>
          <w:rFonts w:hint="eastAsia" w:ascii="仿宋" w:hAnsi="仿宋" w:eastAsia="仿宋" w:cs="仿宋"/>
          <w:b/>
          <w:bCs/>
          <w:sz w:val="44"/>
          <w:szCs w:val="44"/>
        </w:rPr>
        <w:t>质疑函范本</w:t>
      </w:r>
    </w:p>
    <w:p w14:paraId="54CDB7FB">
      <w:pPr>
        <w:adjustRightInd w:val="0"/>
        <w:snapToGrid w:val="0"/>
        <w:spacing w:before="331" w:beforeLines="100" w:line="360" w:lineRule="auto"/>
        <w:rPr>
          <w:rFonts w:ascii="黑体" w:hAnsi="黑体" w:eastAsia="黑体" w:cs="仿宋"/>
          <w:bCs/>
          <w:sz w:val="32"/>
          <w:szCs w:val="32"/>
        </w:rPr>
      </w:pPr>
      <w:r>
        <w:rPr>
          <w:rFonts w:hint="eastAsia" w:ascii="黑体" w:hAnsi="黑体" w:eastAsia="黑体" w:cs="仿宋"/>
          <w:bCs/>
          <w:sz w:val="32"/>
          <w:szCs w:val="32"/>
        </w:rPr>
        <w:t>一、质疑投标人基本信息</w:t>
      </w:r>
    </w:p>
    <w:p w14:paraId="5795B918">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质疑投标人：</w:t>
      </w:r>
      <w:r>
        <w:rPr>
          <w:rFonts w:hint="eastAsia" w:ascii="仿宋" w:hAnsi="仿宋" w:eastAsia="仿宋" w:cs="仿宋"/>
          <w:sz w:val="32"/>
          <w:szCs w:val="32"/>
          <w:u w:val="dotted"/>
        </w:rPr>
        <w:t xml:space="preserve">                                        </w:t>
      </w:r>
    </w:p>
    <w:p w14:paraId="68E62F4D">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地址：</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2E67E8CA">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联系人：</w:t>
      </w:r>
      <w:r>
        <w:rPr>
          <w:rFonts w:hint="eastAsia" w:ascii="仿宋" w:hAnsi="仿宋" w:eastAsia="仿宋" w:cs="仿宋"/>
          <w:sz w:val="32"/>
          <w:szCs w:val="32"/>
          <w:u w:val="dotted"/>
        </w:rPr>
        <w:t xml:space="preserve">                      </w:t>
      </w: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p>
    <w:p w14:paraId="78FF9BF1">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授权代表：</w:t>
      </w:r>
      <w:r>
        <w:rPr>
          <w:rFonts w:hint="eastAsia" w:ascii="仿宋" w:hAnsi="仿宋" w:eastAsia="仿宋" w:cs="仿宋"/>
          <w:sz w:val="32"/>
          <w:szCs w:val="32"/>
          <w:u w:val="dotted"/>
        </w:rPr>
        <w:t xml:space="preserve">                                          </w:t>
      </w:r>
    </w:p>
    <w:p w14:paraId="36ADCBA4">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联系电话：</w:t>
      </w:r>
      <w:r>
        <w:rPr>
          <w:rFonts w:hint="eastAsia" w:ascii="仿宋" w:hAnsi="仿宋" w:eastAsia="仿宋" w:cs="仿宋"/>
          <w:sz w:val="32"/>
          <w:szCs w:val="32"/>
          <w:u w:val="dotted"/>
        </w:rPr>
        <w:t xml:space="preserve">                                           </w:t>
      </w:r>
      <w:r>
        <w:rPr>
          <w:rFonts w:ascii="仿宋" w:hAnsi="仿宋" w:eastAsia="仿宋" w:cs="仿宋"/>
          <w:sz w:val="32"/>
          <w:szCs w:val="32"/>
        </w:rPr>
        <w:t xml:space="preserve"> </w:t>
      </w:r>
    </w:p>
    <w:p w14:paraId="6E80A417">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地址：</w:t>
      </w:r>
      <w:r>
        <w:rPr>
          <w:rFonts w:ascii="仿宋" w:hAnsi="仿宋" w:eastAsia="仿宋" w:cs="仿宋"/>
          <w:sz w:val="32"/>
          <w:szCs w:val="32"/>
        </w:rPr>
        <w:t xml:space="preserve"> </w:t>
      </w:r>
      <w:r>
        <w:rPr>
          <w:rFonts w:hint="eastAsia" w:ascii="仿宋" w:hAnsi="仿宋" w:eastAsia="仿宋" w:cs="仿宋"/>
          <w:sz w:val="32"/>
          <w:szCs w:val="32"/>
          <w:u w:val="dotted"/>
        </w:rPr>
        <w:t xml:space="preserve">                        </w:t>
      </w:r>
      <w:r>
        <w:rPr>
          <w:rFonts w:hint="eastAsia" w:ascii="仿宋" w:hAnsi="仿宋" w:eastAsia="仿宋" w:cs="仿宋"/>
          <w:sz w:val="32"/>
          <w:szCs w:val="32"/>
        </w:rPr>
        <w:t>邮编：</w:t>
      </w:r>
      <w:r>
        <w:rPr>
          <w:rFonts w:hint="eastAsia" w:ascii="仿宋" w:hAnsi="仿宋" w:eastAsia="仿宋" w:cs="仿宋"/>
          <w:sz w:val="32"/>
          <w:szCs w:val="32"/>
          <w:u w:val="dotted"/>
        </w:rPr>
        <w:t xml:space="preserve">                                                </w:t>
      </w:r>
    </w:p>
    <w:p w14:paraId="11332D1B">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二、质疑项目基本情况</w:t>
      </w:r>
    </w:p>
    <w:p w14:paraId="05658E50">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质疑项目的名称：</w:t>
      </w:r>
      <w:r>
        <w:rPr>
          <w:rFonts w:hint="eastAsia" w:ascii="仿宋" w:hAnsi="仿宋" w:eastAsia="仿宋" w:cs="仿宋"/>
          <w:sz w:val="32"/>
          <w:szCs w:val="32"/>
          <w:u w:val="dotted"/>
        </w:rPr>
        <w:t xml:space="preserve">                                      </w:t>
      </w:r>
    </w:p>
    <w:p w14:paraId="6E1B14F5">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质疑项目的编号：</w:t>
      </w:r>
      <w:r>
        <w:rPr>
          <w:rFonts w:hint="eastAsia" w:ascii="仿宋" w:hAnsi="仿宋" w:eastAsia="仿宋" w:cs="仿宋"/>
          <w:sz w:val="32"/>
          <w:szCs w:val="32"/>
          <w:u w:val="dotted"/>
        </w:rPr>
        <w:t xml:space="preserve">               </w:t>
      </w:r>
      <w:r>
        <w:rPr>
          <w:rFonts w:hint="eastAsia" w:ascii="仿宋" w:hAnsi="仿宋" w:eastAsia="仿宋" w:cs="仿宋"/>
          <w:sz w:val="32"/>
          <w:szCs w:val="32"/>
        </w:rPr>
        <w:t>包号：</w:t>
      </w:r>
      <w:r>
        <w:rPr>
          <w:rFonts w:hint="eastAsia" w:ascii="仿宋" w:hAnsi="仿宋" w:eastAsia="仿宋" w:cs="仿宋"/>
          <w:sz w:val="32"/>
          <w:szCs w:val="32"/>
          <w:u w:val="dotted"/>
        </w:rPr>
        <w:t xml:space="preserve">                 </w:t>
      </w:r>
    </w:p>
    <w:p w14:paraId="787BF0C9">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采购人名称：</w:t>
      </w:r>
      <w:r>
        <w:rPr>
          <w:rFonts w:hint="eastAsia" w:ascii="仿宋" w:hAnsi="仿宋" w:eastAsia="仿宋" w:cs="仿宋"/>
          <w:sz w:val="32"/>
          <w:szCs w:val="32"/>
          <w:u w:val="dotted"/>
        </w:rPr>
        <w:t xml:space="preserve">                                         </w:t>
      </w:r>
    </w:p>
    <w:p w14:paraId="7BA79A78">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招标文件获取日期：</w:t>
      </w:r>
      <w:r>
        <w:rPr>
          <w:rFonts w:hint="eastAsia" w:ascii="仿宋" w:hAnsi="仿宋" w:eastAsia="仿宋" w:cs="仿宋"/>
          <w:sz w:val="32"/>
          <w:szCs w:val="32"/>
          <w:u w:val="dotted"/>
        </w:rPr>
        <w:t xml:space="preserve">                                           </w:t>
      </w:r>
    </w:p>
    <w:p w14:paraId="0DAFB336">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三、质疑事项具体内容</w:t>
      </w:r>
    </w:p>
    <w:p w14:paraId="49354238">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质疑事项1：</w:t>
      </w:r>
      <w:r>
        <w:rPr>
          <w:rFonts w:hint="eastAsia" w:ascii="仿宋" w:hAnsi="仿宋" w:eastAsia="仿宋" w:cs="仿宋"/>
          <w:sz w:val="32"/>
          <w:szCs w:val="32"/>
          <w:u w:val="dotted"/>
        </w:rPr>
        <w:t xml:space="preserve">                                         </w:t>
      </w:r>
    </w:p>
    <w:p w14:paraId="3908CA8E">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事实依据：</w:t>
      </w:r>
      <w:r>
        <w:rPr>
          <w:rFonts w:hint="eastAsia" w:ascii="仿宋" w:hAnsi="仿宋" w:eastAsia="仿宋" w:cs="仿宋"/>
          <w:sz w:val="32"/>
          <w:szCs w:val="32"/>
          <w:u w:val="dotted"/>
        </w:rPr>
        <w:t xml:space="preserve">                                          </w:t>
      </w:r>
    </w:p>
    <w:p w14:paraId="586A29B6">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u w:val="dotted"/>
        </w:rPr>
        <w:t xml:space="preserve">                                                       </w:t>
      </w:r>
    </w:p>
    <w:p w14:paraId="6DC975D6">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法律依据：</w:t>
      </w:r>
      <w:r>
        <w:rPr>
          <w:rFonts w:hint="eastAsia" w:ascii="仿宋" w:hAnsi="仿宋" w:eastAsia="仿宋" w:cs="仿宋"/>
          <w:sz w:val="32"/>
          <w:szCs w:val="32"/>
          <w:u w:val="dotted"/>
        </w:rPr>
        <w:t xml:space="preserve">                                          </w:t>
      </w:r>
    </w:p>
    <w:p w14:paraId="3DA14F2C">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u w:val="dotted"/>
        </w:rPr>
        <w:t xml:space="preserve">                                                     </w:t>
      </w:r>
    </w:p>
    <w:p w14:paraId="6C051F0E">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质疑事项2</w:t>
      </w:r>
    </w:p>
    <w:p w14:paraId="6DA652A4">
      <w:pPr>
        <w:adjustRightInd w:val="0"/>
        <w:snapToGrid w:val="0"/>
        <w:spacing w:line="360" w:lineRule="auto"/>
        <w:rPr>
          <w:rFonts w:ascii="仿宋" w:hAnsi="仿宋" w:eastAsia="仿宋" w:cs="仿宋"/>
          <w:sz w:val="32"/>
          <w:szCs w:val="32"/>
        </w:rPr>
      </w:pPr>
      <w:r>
        <w:rPr>
          <w:rFonts w:hint="eastAsia" w:ascii="仿宋" w:hAnsi="仿宋" w:eastAsia="仿宋" w:cs="仿宋"/>
          <w:sz w:val="32"/>
          <w:szCs w:val="32"/>
        </w:rPr>
        <w:t>……</w:t>
      </w:r>
    </w:p>
    <w:p w14:paraId="6547122E">
      <w:pPr>
        <w:adjustRightInd w:val="0"/>
        <w:snapToGrid w:val="0"/>
        <w:spacing w:line="360" w:lineRule="auto"/>
        <w:rPr>
          <w:rFonts w:ascii="黑体" w:hAnsi="黑体" w:eastAsia="黑体" w:cs="仿宋"/>
          <w:bCs/>
          <w:sz w:val="32"/>
          <w:szCs w:val="32"/>
        </w:rPr>
      </w:pPr>
      <w:r>
        <w:rPr>
          <w:rFonts w:hint="eastAsia" w:ascii="黑体" w:hAnsi="黑体" w:eastAsia="黑体" w:cs="仿宋"/>
          <w:bCs/>
          <w:sz w:val="32"/>
          <w:szCs w:val="32"/>
        </w:rPr>
        <w:t>四、与质疑事项相关的质疑请求</w:t>
      </w:r>
    </w:p>
    <w:p w14:paraId="4BF2BA8F">
      <w:pPr>
        <w:adjustRightInd w:val="0"/>
        <w:snapToGrid w:val="0"/>
        <w:spacing w:line="360" w:lineRule="auto"/>
        <w:rPr>
          <w:rFonts w:ascii="仿宋" w:hAnsi="仿宋" w:eastAsia="仿宋" w:cs="仿宋"/>
          <w:sz w:val="32"/>
          <w:szCs w:val="32"/>
          <w:u w:val="dotted"/>
        </w:rPr>
      </w:pPr>
      <w:r>
        <w:rPr>
          <w:rFonts w:hint="eastAsia" w:ascii="仿宋" w:hAnsi="仿宋" w:eastAsia="仿宋" w:cs="仿宋"/>
          <w:sz w:val="32"/>
          <w:szCs w:val="32"/>
        </w:rPr>
        <w:t>请求：</w:t>
      </w:r>
      <w:r>
        <w:rPr>
          <w:rFonts w:hint="eastAsia" w:ascii="仿宋" w:hAnsi="仿宋" w:eastAsia="仿宋" w:cs="仿宋"/>
          <w:sz w:val="32"/>
          <w:szCs w:val="32"/>
          <w:u w:val="dotted"/>
        </w:rPr>
        <w:t xml:space="preserve">                                               </w:t>
      </w:r>
    </w:p>
    <w:p w14:paraId="3D4B5ECC">
      <w:pPr>
        <w:rPr>
          <w:rFonts w:ascii="仿宋_GB2312" w:eastAsia="仿宋_GB2312"/>
          <w:sz w:val="30"/>
          <w:szCs w:val="30"/>
        </w:rPr>
      </w:pPr>
      <w:r>
        <w:rPr>
          <w:rFonts w:hint="eastAsia" w:ascii="仿宋_GB2312" w:eastAsia="仿宋_GB2312"/>
          <w:sz w:val="30"/>
          <w:szCs w:val="30"/>
        </w:rPr>
        <w:t xml:space="preserve">签字(签章)：                   公章：                      </w:t>
      </w:r>
    </w:p>
    <w:p w14:paraId="71108846">
      <w:pPr>
        <w:rPr>
          <w:rFonts w:ascii="仿宋_GB2312" w:eastAsia="仿宋_GB2312"/>
          <w:sz w:val="30"/>
          <w:szCs w:val="30"/>
        </w:rPr>
      </w:pPr>
      <w:r>
        <w:rPr>
          <w:rFonts w:hint="eastAsia" w:ascii="仿宋_GB2312" w:eastAsia="仿宋_GB2312"/>
          <w:sz w:val="30"/>
          <w:szCs w:val="30"/>
        </w:rPr>
        <w:t xml:space="preserve">日期：    </w:t>
      </w:r>
    </w:p>
    <w:p w14:paraId="17EE32D4">
      <w:pPr>
        <w:rPr>
          <w:rFonts w:ascii="黑体" w:hAnsi="黑体" w:eastAsia="黑体"/>
          <w:b/>
          <w:sz w:val="32"/>
          <w:szCs w:val="32"/>
        </w:rPr>
      </w:pPr>
    </w:p>
    <w:p w14:paraId="3EF1199D">
      <w:pPr>
        <w:rPr>
          <w:rFonts w:ascii="黑体" w:hAnsi="黑体" w:eastAsia="黑体"/>
          <w:b/>
          <w:sz w:val="32"/>
          <w:szCs w:val="32"/>
        </w:rPr>
      </w:pPr>
    </w:p>
    <w:p w14:paraId="7BE64DBE">
      <w:pPr>
        <w:rPr>
          <w:rFonts w:ascii="黑体" w:hAnsi="黑体" w:eastAsia="黑体"/>
          <w:b/>
          <w:sz w:val="32"/>
          <w:szCs w:val="32"/>
        </w:rPr>
      </w:pPr>
      <w:r>
        <w:rPr>
          <w:rFonts w:hint="eastAsia" w:ascii="黑体" w:hAnsi="黑体" w:eastAsia="黑体"/>
          <w:b/>
          <w:sz w:val="32"/>
          <w:szCs w:val="32"/>
        </w:rPr>
        <w:t>质疑函制作说明：</w:t>
      </w:r>
    </w:p>
    <w:p w14:paraId="0E102D19">
      <w:pPr>
        <w:widowControl/>
        <w:ind w:firstLine="640" w:firstLineChars="200"/>
        <w:jc w:val="left"/>
        <w:rPr>
          <w:rFonts w:ascii="仿宋_GB2312" w:eastAsia="仿宋_GB2312"/>
          <w:sz w:val="32"/>
          <w:szCs w:val="32"/>
        </w:rPr>
      </w:pPr>
      <w:r>
        <w:rPr>
          <w:rFonts w:hint="eastAsia" w:ascii="仿宋_GB2312" w:eastAsia="仿宋_GB2312"/>
          <w:sz w:val="32"/>
          <w:szCs w:val="32"/>
        </w:rPr>
        <w:t>1.投标人提出质疑时，应提交质疑函和必要的证明材料。</w:t>
      </w:r>
    </w:p>
    <w:p w14:paraId="515A8003">
      <w:pPr>
        <w:widowControl/>
        <w:ind w:firstLine="640" w:firstLineChars="200"/>
        <w:jc w:val="left"/>
        <w:rPr>
          <w:rFonts w:ascii="仿宋_GB2312" w:eastAsia="仿宋_GB2312"/>
          <w:sz w:val="32"/>
          <w:szCs w:val="32"/>
        </w:rPr>
      </w:pPr>
      <w:r>
        <w:rPr>
          <w:rFonts w:hint="eastAsia" w:ascii="仿宋_GB2312" w:eastAsia="仿宋_GB2312"/>
          <w:sz w:val="32"/>
          <w:szCs w:val="32"/>
        </w:rPr>
        <w:t>2.质疑投标人若委托代理人进行质疑的，质疑函应按要求列明“授权代表”的有关内容，并在附件中提交由质疑</w:t>
      </w:r>
      <w:r>
        <w:rPr>
          <w:rFonts w:hint="eastAsia" w:ascii="仿宋_GB2312" w:hAnsi="宋体" w:eastAsia="仿宋_GB2312" w:cs="宋体"/>
          <w:kern w:val="0"/>
          <w:sz w:val="32"/>
          <w:szCs w:val="32"/>
        </w:rPr>
        <w:t>投标人签署的授权委托书。授权委托书应载明代理人的姓名或者名称、代理事项、具体权限、期限和相关事项。</w:t>
      </w:r>
    </w:p>
    <w:p w14:paraId="4ACA968E">
      <w:pPr>
        <w:widowControl/>
        <w:ind w:firstLine="640" w:firstLineChars="200"/>
        <w:jc w:val="left"/>
        <w:rPr>
          <w:rFonts w:ascii="仿宋_GB2312" w:eastAsia="仿宋_GB2312"/>
          <w:sz w:val="32"/>
          <w:szCs w:val="32"/>
        </w:rPr>
      </w:pPr>
      <w:r>
        <w:rPr>
          <w:rFonts w:hint="eastAsia" w:ascii="仿宋_GB2312" w:eastAsia="仿宋_GB2312"/>
          <w:sz w:val="32"/>
          <w:szCs w:val="32"/>
        </w:rPr>
        <w:t>3.质疑投标人若对项目的某一分包进行质疑，质疑函中应列明具体分包号。</w:t>
      </w:r>
    </w:p>
    <w:p w14:paraId="2004C292">
      <w:pPr>
        <w:widowControl/>
        <w:ind w:firstLine="640" w:firstLineChars="200"/>
        <w:jc w:val="left"/>
        <w:rPr>
          <w:rFonts w:ascii="仿宋_GB2312" w:eastAsia="仿宋_GB2312"/>
          <w:sz w:val="32"/>
          <w:szCs w:val="32"/>
        </w:rPr>
      </w:pPr>
      <w:r>
        <w:rPr>
          <w:rFonts w:hint="eastAsia" w:ascii="仿宋_GB2312" w:eastAsia="仿宋_GB2312"/>
          <w:sz w:val="32"/>
          <w:szCs w:val="32"/>
        </w:rPr>
        <w:t>4.质疑函的质疑事项应具体、明确，并有必要的事实依据和法律依据。</w:t>
      </w:r>
    </w:p>
    <w:p w14:paraId="63E78366">
      <w:pPr>
        <w:widowControl/>
        <w:ind w:firstLine="640" w:firstLineChars="200"/>
        <w:jc w:val="left"/>
        <w:rPr>
          <w:rFonts w:ascii="仿宋_GB2312" w:eastAsia="仿宋_GB2312"/>
          <w:sz w:val="32"/>
          <w:szCs w:val="32"/>
        </w:rPr>
      </w:pPr>
      <w:r>
        <w:rPr>
          <w:rFonts w:hint="eastAsia" w:ascii="仿宋_GB2312" w:eastAsia="仿宋_GB2312"/>
          <w:sz w:val="32"/>
          <w:szCs w:val="32"/>
        </w:rPr>
        <w:t>5.质疑函的质疑请求应与质疑事项相关。</w:t>
      </w:r>
    </w:p>
    <w:p w14:paraId="2D4A34A5">
      <w:pPr>
        <w:widowControl/>
        <w:ind w:firstLine="640" w:firstLineChars="200"/>
        <w:jc w:val="left"/>
        <w:rPr>
          <w:rFonts w:ascii="仿宋_GB2312" w:eastAsia="仿宋_GB2312"/>
          <w:sz w:val="32"/>
          <w:szCs w:val="32"/>
        </w:rPr>
      </w:pPr>
      <w:r>
        <w:rPr>
          <w:rFonts w:hint="eastAsia" w:ascii="仿宋_GB2312" w:eastAsia="仿宋_GB2312"/>
          <w:sz w:val="32"/>
          <w:szCs w:val="32"/>
        </w:rPr>
        <w:t>6.质疑投标人为自然人的，质疑函应由本人签字；质疑投标人为法人或者其他组织的，质疑函应由法定代表人、主要负责人，或者其授权代表签字或者盖章，并加盖公章。</w:t>
      </w:r>
    </w:p>
    <w:p w14:paraId="3D2FE4EE">
      <w:pPr>
        <w:widowControl/>
        <w:ind w:firstLine="600" w:firstLineChars="200"/>
        <w:jc w:val="left"/>
        <w:rPr>
          <w:rFonts w:ascii="仿宋_GB2312" w:eastAsia="仿宋_GB2312"/>
          <w:sz w:val="30"/>
          <w:szCs w:val="30"/>
        </w:rPr>
      </w:pPr>
    </w:p>
    <w:p w14:paraId="35A027DD">
      <w:pPr>
        <w:snapToGrid w:val="0"/>
        <w:spacing w:before="50" w:after="165" w:afterLines="50" w:line="360" w:lineRule="auto"/>
        <w:ind w:firstLine="480" w:firstLineChars="200"/>
        <w:jc w:val="left"/>
        <w:rPr>
          <w:rFonts w:ascii="ˎ̥" w:hAnsi="ˎ̥" w:cs="宋体"/>
          <w:kern w:val="0"/>
          <w:sz w:val="24"/>
        </w:rPr>
        <w:sectPr>
          <w:pgSz w:w="11906" w:h="16838"/>
          <w:pgMar w:top="1134" w:right="1134" w:bottom="1134" w:left="1134" w:header="720" w:footer="720" w:gutter="0"/>
          <w:cols w:space="720" w:num="1"/>
          <w:docGrid w:type="lines" w:linePitch="331" w:charSpace="0"/>
        </w:sectPr>
      </w:pPr>
    </w:p>
    <w:p w14:paraId="7B581FB2">
      <w:pPr>
        <w:pStyle w:val="4"/>
        <w:jc w:val="center"/>
        <w:rPr>
          <w:rFonts w:ascii="宋体" w:hAnsi="宋体"/>
          <w:b w:val="0"/>
          <w:bCs w:val="0"/>
        </w:rPr>
      </w:pPr>
      <w:bookmarkStart w:id="93" w:name="_Toc31052"/>
      <w:bookmarkStart w:id="94" w:name="_Toc2814"/>
      <w:bookmarkStart w:id="95" w:name="_Toc31743"/>
      <w:r>
        <w:rPr>
          <w:rFonts w:hint="eastAsia" w:ascii="宋体" w:hAnsi="宋体"/>
          <w:b w:val="0"/>
          <w:bCs w:val="0"/>
        </w:rPr>
        <w:t>第二节 投诉书（格式）</w:t>
      </w:r>
      <w:bookmarkEnd w:id="93"/>
      <w:bookmarkEnd w:id="94"/>
      <w:bookmarkEnd w:id="95"/>
    </w:p>
    <w:p w14:paraId="16E8F977">
      <w:pPr>
        <w:jc w:val="center"/>
        <w:rPr>
          <w:rFonts w:ascii="宋体" w:hAnsi="宋体"/>
          <w:b/>
          <w:sz w:val="44"/>
          <w:szCs w:val="44"/>
        </w:rPr>
      </w:pPr>
      <w:r>
        <w:rPr>
          <w:rFonts w:hint="eastAsia" w:ascii="宋体" w:hAnsi="宋体"/>
          <w:b/>
          <w:sz w:val="44"/>
          <w:szCs w:val="44"/>
        </w:rPr>
        <w:t>投诉书范本</w:t>
      </w:r>
    </w:p>
    <w:p w14:paraId="31B8312B">
      <w:pPr>
        <w:rPr>
          <w:rFonts w:ascii="黑体" w:hAnsi="黑体" w:eastAsia="黑体"/>
          <w:sz w:val="32"/>
          <w:szCs w:val="32"/>
        </w:rPr>
      </w:pPr>
      <w:r>
        <w:rPr>
          <w:rFonts w:hint="eastAsia" w:ascii="黑体" w:hAnsi="黑体" w:eastAsia="黑体"/>
          <w:sz w:val="32"/>
          <w:szCs w:val="32"/>
        </w:rPr>
        <w:t>一、投诉相关主体基本情况</w:t>
      </w:r>
    </w:p>
    <w:p w14:paraId="16B94C04">
      <w:pPr>
        <w:rPr>
          <w:rFonts w:ascii="仿宋_GB2312" w:eastAsia="仿宋_GB2312"/>
          <w:sz w:val="32"/>
          <w:szCs w:val="32"/>
          <w:u w:val="dotted"/>
        </w:rPr>
      </w:pPr>
      <w:r>
        <w:rPr>
          <w:rFonts w:hint="eastAsia" w:ascii="仿宋_GB2312" w:eastAsia="仿宋_GB2312"/>
          <w:sz w:val="32"/>
          <w:szCs w:val="32"/>
        </w:rPr>
        <w:t>投诉人：</w:t>
      </w:r>
      <w:r>
        <w:rPr>
          <w:rFonts w:hint="eastAsia" w:ascii="仿宋_GB2312" w:eastAsia="仿宋_GB2312"/>
          <w:sz w:val="32"/>
          <w:szCs w:val="32"/>
          <w:u w:val="dotted"/>
        </w:rPr>
        <w:t xml:space="preserve">                                               </w:t>
      </w:r>
    </w:p>
    <w:p w14:paraId="1B4CFF60">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2E7A8604">
      <w:pPr>
        <w:tabs>
          <w:tab w:val="left" w:pos="6510"/>
        </w:tabs>
        <w:jc w:val="left"/>
        <w:rPr>
          <w:rFonts w:ascii="仿宋_GB2312" w:eastAsia="仿宋_GB2312"/>
          <w:sz w:val="32"/>
          <w:szCs w:val="32"/>
        </w:rPr>
      </w:pPr>
      <w:r>
        <w:rPr>
          <w:rFonts w:hint="eastAsia" w:ascii="仿宋_GB2312" w:eastAsia="仿宋_GB2312"/>
          <w:sz w:val="32"/>
          <w:szCs w:val="32"/>
        </w:rPr>
        <w:t>法定代表人/主要负责人：</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4A800DB5">
      <w:pPr>
        <w:tabs>
          <w:tab w:val="left" w:pos="6510"/>
        </w:tabs>
        <w:rPr>
          <w:rFonts w:ascii="仿宋_GB2312" w:eastAsia="仿宋_GB2312"/>
          <w:sz w:val="32"/>
          <w:szCs w:val="32"/>
          <w:u w:val="dotted"/>
        </w:rPr>
      </w:pP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28C0790E">
      <w:pPr>
        <w:rPr>
          <w:rFonts w:ascii="仿宋_GB2312" w:eastAsia="仿宋_GB2312"/>
          <w:sz w:val="32"/>
          <w:szCs w:val="32"/>
          <w:u w:val="dotted"/>
        </w:rPr>
      </w:pPr>
      <w:r>
        <w:rPr>
          <w:rFonts w:hint="eastAsia" w:ascii="仿宋_GB2312" w:eastAsia="仿宋_GB2312"/>
          <w:sz w:val="32"/>
          <w:szCs w:val="32"/>
        </w:rPr>
        <w:t>授权代表：</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p>
    <w:p w14:paraId="6BDB7BB7">
      <w:pPr>
        <w:rPr>
          <w:rFonts w:ascii="仿宋_GB2312" w:eastAsia="仿宋_GB2312"/>
          <w:sz w:val="32"/>
          <w:szCs w:val="32"/>
          <w:u w:val="dotted"/>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r>
        <w:rPr>
          <w:rFonts w:hint="eastAsia" w:ascii="仿宋_GB2312" w:eastAsia="仿宋_GB2312"/>
          <w:sz w:val="32"/>
          <w:szCs w:val="32"/>
          <w:u w:val="dotted"/>
        </w:rPr>
        <w:t xml:space="preserve">                   </w:t>
      </w:r>
    </w:p>
    <w:p w14:paraId="6B7EDAB0">
      <w:pPr>
        <w:rPr>
          <w:rFonts w:ascii="仿宋_GB2312" w:eastAsia="仿宋_GB2312"/>
          <w:sz w:val="32"/>
          <w:szCs w:val="32"/>
          <w:u w:val="single"/>
        </w:rPr>
      </w:pPr>
      <w:r>
        <w:rPr>
          <w:rFonts w:hint="eastAsia" w:ascii="仿宋_GB2312" w:eastAsia="仿宋_GB2312"/>
          <w:sz w:val="32"/>
          <w:szCs w:val="32"/>
        </w:rPr>
        <w:t>被投诉人1：</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6A2CDAC8">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769F8741">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2831855D">
      <w:pPr>
        <w:rPr>
          <w:rFonts w:ascii="仿宋_GB2312" w:eastAsia="仿宋_GB2312"/>
          <w:sz w:val="32"/>
          <w:szCs w:val="32"/>
        </w:rPr>
      </w:pPr>
      <w:r>
        <w:rPr>
          <w:rFonts w:hint="eastAsia" w:ascii="仿宋_GB2312" w:eastAsia="仿宋_GB2312"/>
          <w:sz w:val="32"/>
          <w:szCs w:val="32"/>
        </w:rPr>
        <w:t>被投诉人2</w:t>
      </w:r>
    </w:p>
    <w:p w14:paraId="495AE4DE">
      <w:pPr>
        <w:rPr>
          <w:rFonts w:ascii="仿宋_GB2312" w:eastAsia="仿宋_GB2312"/>
          <w:sz w:val="32"/>
          <w:szCs w:val="32"/>
          <w:u w:val="dotted"/>
        </w:rPr>
      </w:pPr>
      <w:r>
        <w:rPr>
          <w:rFonts w:hint="eastAsia" w:ascii="仿宋_GB2312" w:eastAsia="仿宋_GB2312"/>
          <w:sz w:val="32"/>
          <w:szCs w:val="32"/>
        </w:rPr>
        <w:t>……</w:t>
      </w:r>
    </w:p>
    <w:p w14:paraId="080F2700">
      <w:pPr>
        <w:rPr>
          <w:rFonts w:ascii="仿宋_GB2312" w:eastAsia="仿宋_GB2312"/>
          <w:sz w:val="32"/>
          <w:szCs w:val="32"/>
          <w:u w:val="single"/>
        </w:rPr>
      </w:pPr>
      <w:r>
        <w:rPr>
          <w:rFonts w:hint="eastAsia" w:ascii="仿宋_GB2312" w:eastAsia="仿宋_GB2312"/>
          <w:sz w:val="32"/>
          <w:szCs w:val="32"/>
        </w:rPr>
        <w:t>相关投标人：</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2FCC412A">
      <w:pPr>
        <w:rPr>
          <w:rFonts w:ascii="仿宋_GB2312" w:eastAsia="仿宋_GB2312"/>
          <w:sz w:val="32"/>
          <w:szCs w:val="32"/>
          <w:u w:val="single"/>
        </w:rPr>
      </w:pPr>
      <w:r>
        <w:rPr>
          <w:rFonts w:hint="eastAsia" w:ascii="仿宋_GB2312" w:eastAsia="仿宋_GB2312"/>
          <w:sz w:val="32"/>
          <w:szCs w:val="32"/>
        </w:rPr>
        <w:t>地     址：</w:t>
      </w:r>
      <w:r>
        <w:rPr>
          <w:rFonts w:hint="eastAsia" w:ascii="仿宋_GB2312" w:eastAsia="仿宋_GB2312"/>
          <w:sz w:val="32"/>
          <w:szCs w:val="32"/>
          <w:u w:val="dotted"/>
        </w:rPr>
        <w:t xml:space="preserve">                             </w:t>
      </w:r>
      <w:r>
        <w:rPr>
          <w:rFonts w:hint="eastAsia" w:ascii="仿宋_GB2312" w:eastAsia="仿宋_GB2312"/>
          <w:sz w:val="32"/>
          <w:szCs w:val="32"/>
        </w:rPr>
        <w:t>邮编：</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180FC80A">
      <w:pPr>
        <w:rPr>
          <w:rFonts w:ascii="仿宋_GB2312" w:eastAsia="仿宋_GB2312"/>
          <w:sz w:val="32"/>
          <w:szCs w:val="32"/>
          <w:u w:val="single"/>
        </w:rPr>
      </w:pPr>
      <w:r>
        <w:rPr>
          <w:rFonts w:hint="eastAsia" w:ascii="仿宋_GB2312" w:eastAsia="仿宋_GB2312"/>
          <w:sz w:val="32"/>
          <w:szCs w:val="32"/>
        </w:rPr>
        <w:t>联系人：</w:t>
      </w:r>
      <w:r>
        <w:rPr>
          <w:rFonts w:hint="eastAsia" w:ascii="仿宋_GB2312" w:eastAsia="仿宋_GB2312"/>
          <w:sz w:val="32"/>
          <w:szCs w:val="32"/>
          <w:u w:val="dotted"/>
        </w:rPr>
        <w:t xml:space="preserve">               </w:t>
      </w:r>
      <w:r>
        <w:rPr>
          <w:rFonts w:hint="eastAsia" w:ascii="仿宋_GB2312" w:eastAsia="仿宋_GB2312"/>
          <w:sz w:val="32"/>
          <w:szCs w:val="32"/>
        </w:rPr>
        <w:t>联系电话：</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5F4E55EF">
      <w:pPr>
        <w:rPr>
          <w:rFonts w:ascii="黑体" w:hAnsi="黑体" w:eastAsia="黑体"/>
          <w:sz w:val="32"/>
          <w:szCs w:val="32"/>
        </w:rPr>
      </w:pPr>
      <w:r>
        <w:rPr>
          <w:rFonts w:hint="eastAsia" w:ascii="黑体" w:hAnsi="黑体" w:eastAsia="黑体"/>
          <w:sz w:val="32"/>
          <w:szCs w:val="32"/>
        </w:rPr>
        <w:t>二、投诉项目基本情况</w:t>
      </w:r>
    </w:p>
    <w:p w14:paraId="19B82B7B">
      <w:pPr>
        <w:rPr>
          <w:rFonts w:ascii="仿宋_GB2312" w:eastAsia="仿宋_GB2312"/>
          <w:sz w:val="32"/>
          <w:szCs w:val="32"/>
          <w:u w:val="dotted"/>
        </w:rPr>
      </w:pPr>
      <w:r>
        <w:rPr>
          <w:rFonts w:hint="eastAsia" w:ascii="仿宋_GB2312" w:eastAsia="仿宋_GB2312"/>
          <w:sz w:val="32"/>
          <w:szCs w:val="32"/>
        </w:rPr>
        <w:t>采购项目名称：</w:t>
      </w:r>
      <w:r>
        <w:rPr>
          <w:rFonts w:hint="eastAsia" w:ascii="仿宋_GB2312" w:eastAsia="仿宋_GB2312"/>
          <w:sz w:val="32"/>
          <w:szCs w:val="32"/>
          <w:u w:val="dotted"/>
        </w:rPr>
        <w:t xml:space="preserve">                                        </w:t>
      </w:r>
    </w:p>
    <w:p w14:paraId="779F15CE">
      <w:pPr>
        <w:rPr>
          <w:rFonts w:ascii="仿宋_GB2312" w:eastAsia="仿宋_GB2312"/>
          <w:sz w:val="32"/>
          <w:szCs w:val="32"/>
          <w:u w:val="single"/>
        </w:rPr>
      </w:pPr>
      <w:r>
        <w:rPr>
          <w:rFonts w:hint="eastAsia" w:ascii="仿宋_GB2312" w:eastAsia="仿宋_GB2312"/>
          <w:sz w:val="32"/>
          <w:szCs w:val="32"/>
        </w:rPr>
        <w:t>采购项目编号：</w:t>
      </w:r>
      <w:r>
        <w:rPr>
          <w:rFonts w:hint="eastAsia" w:ascii="仿宋_GB2312" w:eastAsia="仿宋_GB2312"/>
          <w:sz w:val="32"/>
          <w:szCs w:val="32"/>
          <w:u w:val="dotted"/>
        </w:rPr>
        <w:t xml:space="preserve">                 </w:t>
      </w:r>
      <w:r>
        <w:rPr>
          <w:rFonts w:hint="eastAsia" w:ascii="仿宋_GB2312" w:eastAsia="仿宋_GB2312"/>
          <w:sz w:val="32"/>
          <w:szCs w:val="32"/>
        </w:rPr>
        <w:t>包号：</w:t>
      </w:r>
      <w:r>
        <w:rPr>
          <w:rFonts w:hint="eastAsia" w:ascii="仿宋_GB2312" w:eastAsia="仿宋_GB2312"/>
          <w:sz w:val="32"/>
          <w:szCs w:val="32"/>
          <w:u w:val="dotted"/>
        </w:rPr>
        <w:t xml:space="preserve">              </w:t>
      </w:r>
    </w:p>
    <w:p w14:paraId="60DF0AC1">
      <w:pPr>
        <w:rPr>
          <w:rFonts w:ascii="仿宋_GB2312" w:eastAsia="仿宋_GB2312"/>
          <w:sz w:val="32"/>
          <w:szCs w:val="32"/>
        </w:rPr>
      </w:pPr>
      <w:r>
        <w:rPr>
          <w:rFonts w:hint="eastAsia" w:ascii="仿宋_GB2312" w:eastAsia="仿宋_GB2312"/>
          <w:sz w:val="32"/>
          <w:szCs w:val="32"/>
        </w:rPr>
        <w:t>采购人名称：</w:t>
      </w:r>
      <w:r>
        <w:rPr>
          <w:rFonts w:hint="eastAsia" w:ascii="仿宋_GB2312" w:eastAsia="仿宋_GB2312"/>
          <w:sz w:val="32"/>
          <w:szCs w:val="32"/>
          <w:u w:val="dotted"/>
        </w:rPr>
        <w:t xml:space="preserve">                                           </w:t>
      </w:r>
      <w:r>
        <w:rPr>
          <w:rFonts w:hint="eastAsia" w:ascii="仿宋_GB2312" w:eastAsia="仿宋_GB2312"/>
          <w:sz w:val="32"/>
          <w:szCs w:val="32"/>
          <w:u w:val="single"/>
        </w:rPr>
        <w:t xml:space="preserve">  </w:t>
      </w:r>
    </w:p>
    <w:p w14:paraId="4E6E76D2">
      <w:pPr>
        <w:rPr>
          <w:rFonts w:ascii="仿宋_GB2312" w:eastAsia="仿宋_GB2312"/>
          <w:sz w:val="32"/>
          <w:szCs w:val="32"/>
          <w:u w:val="single"/>
        </w:rPr>
      </w:pPr>
      <w:r>
        <w:rPr>
          <w:rFonts w:hint="eastAsia" w:ascii="仿宋_GB2312" w:eastAsia="仿宋_GB2312"/>
          <w:sz w:val="32"/>
          <w:szCs w:val="32"/>
        </w:rPr>
        <w:t>代理机构名称：</w:t>
      </w:r>
      <w:r>
        <w:rPr>
          <w:rFonts w:hint="eastAsia" w:ascii="仿宋_GB2312" w:eastAsia="仿宋_GB2312"/>
          <w:sz w:val="32"/>
          <w:szCs w:val="32"/>
          <w:u w:val="dotted"/>
        </w:rPr>
        <w:t xml:space="preserve">                                         </w:t>
      </w:r>
    </w:p>
    <w:p w14:paraId="147AA6C9">
      <w:pPr>
        <w:rPr>
          <w:rFonts w:ascii="仿宋_GB2312" w:eastAsia="仿宋_GB2312"/>
          <w:sz w:val="32"/>
          <w:szCs w:val="32"/>
          <w:u w:val="dotted"/>
        </w:rPr>
      </w:pPr>
      <w:r>
        <w:rPr>
          <w:rFonts w:hint="eastAsia" w:ascii="仿宋_GB2312" w:eastAsia="仿宋_GB2312"/>
          <w:sz w:val="32"/>
          <w:szCs w:val="32"/>
        </w:rPr>
        <w:t>招标文件公告: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1BE4F1BF">
      <w:pPr>
        <w:rPr>
          <w:rFonts w:ascii="仿宋_GB2312" w:eastAsia="仿宋_GB2312"/>
          <w:sz w:val="32"/>
          <w:szCs w:val="32"/>
          <w:u w:val="single"/>
        </w:rPr>
      </w:pPr>
      <w:r>
        <w:rPr>
          <w:rFonts w:hint="eastAsia" w:ascii="仿宋_GB2312" w:eastAsia="仿宋_GB2312"/>
          <w:sz w:val="32"/>
          <w:szCs w:val="32"/>
        </w:rPr>
        <w:t>采购结果公告:</w:t>
      </w:r>
      <w:r>
        <w:rPr>
          <w:rFonts w:hint="eastAsia" w:ascii="仿宋_GB2312" w:eastAsia="仿宋_GB2312"/>
          <w:sz w:val="32"/>
          <w:szCs w:val="32"/>
          <w:u w:val="dotted"/>
        </w:rPr>
        <w:t xml:space="preserve">是/否 </w:t>
      </w:r>
      <w:r>
        <w:rPr>
          <w:rFonts w:hint="eastAsia" w:ascii="仿宋_GB2312" w:eastAsia="仿宋_GB2312"/>
          <w:sz w:val="32"/>
          <w:szCs w:val="32"/>
        </w:rPr>
        <w:t>公告期限：</w:t>
      </w:r>
      <w:r>
        <w:rPr>
          <w:rFonts w:hint="eastAsia" w:ascii="仿宋_GB2312" w:eastAsia="仿宋_GB2312"/>
          <w:sz w:val="32"/>
          <w:szCs w:val="32"/>
          <w:u w:val="dotted"/>
        </w:rPr>
        <w:t xml:space="preserve">                        </w:t>
      </w:r>
    </w:p>
    <w:p w14:paraId="4101B9B1">
      <w:pPr>
        <w:rPr>
          <w:rFonts w:ascii="黑体" w:hAnsi="黑体" w:eastAsia="黑体"/>
          <w:sz w:val="32"/>
          <w:szCs w:val="32"/>
        </w:rPr>
      </w:pPr>
      <w:r>
        <w:rPr>
          <w:rFonts w:hint="eastAsia" w:ascii="黑体" w:hAnsi="黑体" w:eastAsia="黑体"/>
          <w:sz w:val="32"/>
          <w:szCs w:val="32"/>
        </w:rPr>
        <w:t>三、质疑基本情况</w:t>
      </w:r>
    </w:p>
    <w:p w14:paraId="2409808C">
      <w:pPr>
        <w:ind w:firstLine="640" w:firstLineChars="200"/>
        <w:rPr>
          <w:rFonts w:ascii="仿宋_GB2312" w:eastAsia="仿宋_GB2312"/>
          <w:sz w:val="32"/>
          <w:szCs w:val="32"/>
          <w:u w:val="dotted"/>
        </w:rPr>
      </w:pPr>
      <w:r>
        <w:rPr>
          <w:rFonts w:hint="eastAsia" w:ascii="仿宋_GB2312" w:eastAsia="仿宋_GB2312"/>
          <w:sz w:val="32"/>
          <w:szCs w:val="32"/>
        </w:rPr>
        <w:t>投诉人于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日,向</w:t>
      </w:r>
      <w:r>
        <w:rPr>
          <w:rFonts w:hint="eastAsia" w:ascii="仿宋_GB2312" w:eastAsia="仿宋_GB2312"/>
          <w:sz w:val="32"/>
          <w:szCs w:val="32"/>
          <w:u w:val="dotted"/>
        </w:rPr>
        <w:t xml:space="preserve">                   </w:t>
      </w:r>
      <w:r>
        <w:rPr>
          <w:rFonts w:hint="eastAsia" w:ascii="仿宋_GB2312" w:eastAsia="仿宋_GB2312"/>
          <w:sz w:val="32"/>
          <w:szCs w:val="32"/>
        </w:rPr>
        <w:t>提出质疑，质疑事项为：</w:t>
      </w:r>
      <w:r>
        <w:rPr>
          <w:rFonts w:hint="eastAsia" w:ascii="仿宋_GB2312" w:eastAsia="仿宋_GB2312"/>
          <w:sz w:val="32"/>
          <w:szCs w:val="32"/>
          <w:u w:val="dotted"/>
        </w:rPr>
        <w:t xml:space="preserve">                                </w:t>
      </w:r>
    </w:p>
    <w:p w14:paraId="2B039316">
      <w:pPr>
        <w:rPr>
          <w:rFonts w:ascii="仿宋_GB2312" w:eastAsia="仿宋_GB2312"/>
          <w:sz w:val="32"/>
          <w:szCs w:val="32"/>
          <w:u w:val="dotted"/>
        </w:rPr>
      </w:pP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11577D7C">
      <w:pPr>
        <w:ind w:firstLine="480" w:firstLineChars="150"/>
        <w:rPr>
          <w:rFonts w:ascii="仿宋_GB2312" w:eastAsia="仿宋_GB2312"/>
          <w:sz w:val="32"/>
          <w:szCs w:val="32"/>
        </w:rPr>
      </w:pPr>
      <w:r>
        <w:rPr>
          <w:rFonts w:hint="eastAsia" w:ascii="仿宋_GB2312" w:eastAsia="仿宋_GB2312"/>
          <w:sz w:val="32"/>
          <w:szCs w:val="32"/>
          <w:u w:val="dotted"/>
        </w:rPr>
        <w:t>采购人/代理机构</w:t>
      </w:r>
      <w:r>
        <w:rPr>
          <w:rFonts w:hint="eastAsia" w:ascii="仿宋_GB2312" w:eastAsia="仿宋_GB2312"/>
          <w:sz w:val="32"/>
          <w:szCs w:val="32"/>
        </w:rPr>
        <w:t>于</w:t>
      </w:r>
      <w:r>
        <w:rPr>
          <w:rFonts w:hint="eastAsia" w:ascii="仿宋_GB2312" w:eastAsia="仿宋_GB2312"/>
          <w:sz w:val="32"/>
          <w:szCs w:val="32"/>
          <w:u w:val="dotted"/>
        </w:rPr>
        <w:t xml:space="preserve">   </w:t>
      </w:r>
      <w:r>
        <w:rPr>
          <w:rFonts w:hint="eastAsia" w:ascii="仿宋_GB2312" w:eastAsia="仿宋_GB2312"/>
          <w:sz w:val="32"/>
          <w:szCs w:val="32"/>
        </w:rPr>
        <w:t>年</w:t>
      </w:r>
      <w:r>
        <w:rPr>
          <w:rFonts w:hint="eastAsia" w:ascii="仿宋_GB2312" w:eastAsia="仿宋_GB2312"/>
          <w:sz w:val="32"/>
          <w:szCs w:val="32"/>
          <w:u w:val="dotted"/>
        </w:rPr>
        <w:t xml:space="preserve">   </w:t>
      </w:r>
      <w:r>
        <w:rPr>
          <w:rFonts w:hint="eastAsia" w:ascii="仿宋_GB2312" w:eastAsia="仿宋_GB2312"/>
          <w:sz w:val="32"/>
          <w:szCs w:val="32"/>
        </w:rPr>
        <w:t>月</w:t>
      </w:r>
      <w:r>
        <w:rPr>
          <w:rFonts w:hint="eastAsia" w:ascii="仿宋_GB2312" w:eastAsia="仿宋_GB2312"/>
          <w:sz w:val="32"/>
          <w:szCs w:val="32"/>
          <w:u w:val="dotted"/>
        </w:rPr>
        <w:t xml:space="preserve">   </w:t>
      </w:r>
      <w:r>
        <w:rPr>
          <w:rFonts w:hint="eastAsia" w:ascii="仿宋_GB2312" w:eastAsia="仿宋_GB2312"/>
          <w:sz w:val="32"/>
          <w:szCs w:val="32"/>
        </w:rPr>
        <w:t>日,就质疑事项作出了答复/没有在法定期限内作出答复。</w:t>
      </w:r>
    </w:p>
    <w:p w14:paraId="44364CD3">
      <w:pPr>
        <w:rPr>
          <w:rFonts w:ascii="黑体" w:hAnsi="黑体" w:eastAsia="黑体"/>
          <w:sz w:val="32"/>
          <w:szCs w:val="32"/>
        </w:rPr>
      </w:pPr>
      <w:r>
        <w:rPr>
          <w:rFonts w:hint="eastAsia" w:ascii="黑体" w:hAnsi="黑体" w:eastAsia="黑体"/>
          <w:sz w:val="32"/>
          <w:szCs w:val="32"/>
        </w:rPr>
        <w:t>四、投诉事项具体内容</w:t>
      </w:r>
    </w:p>
    <w:p w14:paraId="6F5D79CD">
      <w:pPr>
        <w:rPr>
          <w:rFonts w:ascii="仿宋_GB2312" w:eastAsia="仿宋_GB2312"/>
          <w:sz w:val="32"/>
          <w:szCs w:val="32"/>
          <w:u w:val="single"/>
        </w:rPr>
      </w:pPr>
      <w:r>
        <w:rPr>
          <w:rFonts w:hint="eastAsia" w:ascii="仿宋_GB2312" w:eastAsia="仿宋_GB2312"/>
          <w:sz w:val="32"/>
          <w:szCs w:val="32"/>
        </w:rPr>
        <w:t>投诉事项 1：</w:t>
      </w:r>
      <w:r>
        <w:rPr>
          <w:rFonts w:hint="eastAsia" w:ascii="仿宋_GB2312" w:eastAsia="仿宋_GB2312"/>
          <w:sz w:val="32"/>
          <w:szCs w:val="32"/>
          <w:u w:val="dotted"/>
        </w:rPr>
        <w:t xml:space="preserve">                                       </w:t>
      </w:r>
    </w:p>
    <w:p w14:paraId="6D94A26F">
      <w:pPr>
        <w:rPr>
          <w:rFonts w:ascii="仿宋_GB2312" w:eastAsia="仿宋_GB2312"/>
          <w:sz w:val="32"/>
          <w:szCs w:val="32"/>
        </w:rPr>
      </w:pPr>
      <w:r>
        <w:rPr>
          <w:rFonts w:hint="eastAsia" w:ascii="仿宋_GB2312" w:eastAsia="仿宋_GB2312"/>
          <w:sz w:val="32"/>
          <w:szCs w:val="32"/>
        </w:rPr>
        <w:t>事实依据：</w:t>
      </w:r>
      <w:r>
        <w:rPr>
          <w:rFonts w:hint="eastAsia" w:ascii="仿宋_GB2312" w:eastAsia="仿宋_GB2312"/>
          <w:sz w:val="32"/>
          <w:szCs w:val="32"/>
          <w:u w:val="dotted"/>
        </w:rPr>
        <w:t xml:space="preserve">                                         </w:t>
      </w:r>
    </w:p>
    <w:p w14:paraId="2D7C520C">
      <w:pPr>
        <w:rPr>
          <w:rFonts w:ascii="仿宋_GB2312" w:eastAsia="仿宋_GB2312"/>
          <w:sz w:val="32"/>
          <w:szCs w:val="32"/>
          <w:u w:val="dotted"/>
        </w:rPr>
      </w:pPr>
      <w:r>
        <w:rPr>
          <w:rFonts w:hint="eastAsia" w:ascii="仿宋_GB2312" w:eastAsia="仿宋_GB2312"/>
          <w:sz w:val="32"/>
          <w:szCs w:val="32"/>
          <w:u w:val="dotted"/>
        </w:rPr>
        <w:t xml:space="preserve">                                                      </w:t>
      </w:r>
    </w:p>
    <w:p w14:paraId="186C7EA1">
      <w:pPr>
        <w:rPr>
          <w:rFonts w:ascii="仿宋_GB2312" w:eastAsia="仿宋_GB2312"/>
          <w:sz w:val="32"/>
          <w:szCs w:val="32"/>
          <w:u w:val="single"/>
        </w:rPr>
      </w:pPr>
      <w:r>
        <w:rPr>
          <w:rFonts w:hint="eastAsia" w:ascii="仿宋_GB2312" w:eastAsia="仿宋_GB2312"/>
          <w:sz w:val="32"/>
          <w:szCs w:val="32"/>
        </w:rPr>
        <w:t>法律依据：</w:t>
      </w:r>
      <w:r>
        <w:rPr>
          <w:rFonts w:hint="eastAsia" w:ascii="仿宋_GB2312" w:eastAsia="仿宋_GB2312"/>
          <w:sz w:val="32"/>
          <w:szCs w:val="32"/>
          <w:u w:val="dotted"/>
        </w:rPr>
        <w:t xml:space="preserve">                                          </w:t>
      </w:r>
    </w:p>
    <w:p w14:paraId="38DB557F">
      <w:pPr>
        <w:rPr>
          <w:rFonts w:ascii="仿宋_GB2312" w:eastAsia="仿宋_GB2312"/>
          <w:sz w:val="32"/>
          <w:szCs w:val="32"/>
          <w:u w:val="dotted"/>
        </w:rPr>
      </w:pPr>
      <w:r>
        <w:rPr>
          <w:rFonts w:hint="eastAsia" w:ascii="仿宋_GB2312" w:eastAsia="仿宋_GB2312"/>
          <w:sz w:val="32"/>
          <w:szCs w:val="32"/>
          <w:u w:val="dotted"/>
        </w:rPr>
        <w:t xml:space="preserve">                                                      </w:t>
      </w:r>
    </w:p>
    <w:p w14:paraId="722BADB6">
      <w:pPr>
        <w:rPr>
          <w:rFonts w:ascii="仿宋_GB2312" w:eastAsia="仿宋_GB2312"/>
          <w:sz w:val="32"/>
          <w:szCs w:val="32"/>
        </w:rPr>
      </w:pPr>
      <w:r>
        <w:rPr>
          <w:rFonts w:hint="eastAsia" w:ascii="仿宋_GB2312" w:eastAsia="仿宋_GB2312"/>
          <w:sz w:val="32"/>
          <w:szCs w:val="32"/>
        </w:rPr>
        <w:t>投诉事项2</w:t>
      </w:r>
    </w:p>
    <w:p w14:paraId="2329A050">
      <w:pPr>
        <w:rPr>
          <w:rFonts w:ascii="仿宋_GB2312" w:eastAsia="仿宋_GB2312"/>
          <w:sz w:val="32"/>
          <w:szCs w:val="32"/>
          <w:u w:val="dotted"/>
        </w:rPr>
      </w:pPr>
      <w:r>
        <w:rPr>
          <w:rFonts w:hint="eastAsia" w:ascii="仿宋_GB2312" w:eastAsia="仿宋_GB2312"/>
          <w:sz w:val="32"/>
          <w:szCs w:val="32"/>
        </w:rPr>
        <w:t>……</w:t>
      </w:r>
    </w:p>
    <w:p w14:paraId="6BEF0E48">
      <w:pPr>
        <w:rPr>
          <w:rFonts w:ascii="黑体" w:hAnsi="黑体" w:eastAsia="黑体"/>
          <w:sz w:val="32"/>
          <w:szCs w:val="32"/>
        </w:rPr>
      </w:pPr>
      <w:r>
        <w:rPr>
          <w:rFonts w:hint="eastAsia" w:ascii="黑体" w:hAnsi="黑体" w:eastAsia="黑体"/>
          <w:sz w:val="32"/>
          <w:szCs w:val="32"/>
        </w:rPr>
        <w:t>五、与投诉事项相关的投诉请求</w:t>
      </w:r>
    </w:p>
    <w:p w14:paraId="509F23AE">
      <w:pPr>
        <w:rPr>
          <w:rFonts w:ascii="仿宋_GB2312" w:eastAsia="仿宋_GB2312"/>
          <w:sz w:val="32"/>
          <w:szCs w:val="32"/>
        </w:rPr>
      </w:pPr>
      <w:r>
        <w:rPr>
          <w:rFonts w:hint="eastAsia" w:ascii="仿宋_GB2312" w:eastAsia="仿宋_GB2312"/>
          <w:sz w:val="32"/>
          <w:szCs w:val="32"/>
        </w:rPr>
        <w:t>请求：</w:t>
      </w:r>
      <w:r>
        <w:rPr>
          <w:rFonts w:hint="eastAsia" w:ascii="仿宋_GB2312" w:eastAsia="仿宋_GB2312"/>
          <w:sz w:val="32"/>
          <w:szCs w:val="32"/>
          <w:u w:val="dotted"/>
        </w:rPr>
        <w:t xml:space="preserve">                                              </w:t>
      </w:r>
      <w:r>
        <w:rPr>
          <w:rFonts w:hint="eastAsia" w:ascii="仿宋_GB2312" w:eastAsia="仿宋_GB2312"/>
          <w:sz w:val="32"/>
          <w:szCs w:val="32"/>
        </w:rPr>
        <w:t xml:space="preserve"> </w:t>
      </w:r>
    </w:p>
    <w:p w14:paraId="75E2014B">
      <w:pPr>
        <w:rPr>
          <w:rFonts w:ascii="仿宋_GB2312" w:eastAsia="仿宋_GB2312"/>
          <w:sz w:val="32"/>
          <w:szCs w:val="32"/>
          <w:u w:val="single"/>
        </w:rPr>
      </w:pPr>
      <w:r>
        <w:rPr>
          <w:rFonts w:hint="eastAsia" w:ascii="仿宋_GB2312" w:eastAsia="仿宋_GB2312"/>
          <w:sz w:val="32"/>
          <w:szCs w:val="32"/>
        </w:rPr>
        <w:t xml:space="preserve">                                                                                                    </w:t>
      </w:r>
    </w:p>
    <w:p w14:paraId="2EE54D2A">
      <w:pPr>
        <w:rPr>
          <w:rFonts w:ascii="仿宋_GB2312" w:eastAsia="仿宋_GB2312"/>
          <w:sz w:val="32"/>
          <w:szCs w:val="32"/>
        </w:rPr>
      </w:pPr>
      <w:r>
        <w:rPr>
          <w:rFonts w:hint="eastAsia" w:ascii="仿宋_GB2312" w:eastAsia="仿宋_GB2312"/>
          <w:sz w:val="32"/>
          <w:szCs w:val="32"/>
        </w:rPr>
        <w:t xml:space="preserve">签字(签章)：                   公章：                      </w:t>
      </w:r>
    </w:p>
    <w:p w14:paraId="6EAEF530">
      <w:pPr>
        <w:rPr>
          <w:rFonts w:ascii="仿宋_GB2312" w:eastAsia="仿宋_GB2312"/>
          <w:sz w:val="32"/>
          <w:szCs w:val="32"/>
        </w:rPr>
      </w:pPr>
      <w:r>
        <w:rPr>
          <w:rFonts w:hint="eastAsia" w:ascii="仿宋_GB2312" w:eastAsia="仿宋_GB2312"/>
          <w:sz w:val="32"/>
          <w:szCs w:val="32"/>
        </w:rPr>
        <w:t xml:space="preserve">日期：    </w:t>
      </w:r>
    </w:p>
    <w:p w14:paraId="47802E2D">
      <w:pPr>
        <w:rPr>
          <w:rFonts w:ascii="黑体" w:hAnsi="黑体" w:eastAsia="黑体"/>
          <w:b/>
          <w:sz w:val="32"/>
          <w:szCs w:val="32"/>
        </w:rPr>
      </w:pPr>
    </w:p>
    <w:p w14:paraId="313D7A3A">
      <w:pPr>
        <w:rPr>
          <w:rFonts w:ascii="黑体" w:hAnsi="黑体" w:eastAsia="黑体"/>
          <w:b/>
          <w:sz w:val="32"/>
          <w:szCs w:val="32"/>
        </w:rPr>
      </w:pPr>
      <w:r>
        <w:rPr>
          <w:rFonts w:hint="eastAsia" w:ascii="黑体" w:hAnsi="黑体" w:eastAsia="黑体"/>
          <w:b/>
          <w:sz w:val="32"/>
          <w:szCs w:val="32"/>
        </w:rPr>
        <w:t>投诉书制作说明：</w:t>
      </w:r>
    </w:p>
    <w:p w14:paraId="7928F41E">
      <w:pPr>
        <w:widowControl/>
        <w:ind w:firstLine="640" w:firstLineChars="200"/>
        <w:rPr>
          <w:rFonts w:ascii="仿宋_GB2312" w:hAnsi="宋体" w:eastAsia="仿宋_GB2312" w:cs="宋体"/>
          <w:kern w:val="0"/>
          <w:sz w:val="32"/>
          <w:szCs w:val="32"/>
        </w:rPr>
      </w:pPr>
      <w:r>
        <w:rPr>
          <w:rFonts w:hint="eastAsia" w:ascii="仿宋_GB2312" w:eastAsia="仿宋_GB2312"/>
          <w:sz w:val="32"/>
          <w:szCs w:val="32"/>
        </w:rPr>
        <w:t>1.投诉人提起投诉时，应当提交投诉书和必要的证明材料，并按照被投诉人和与投诉事项有关的投标人数量提供投诉书副本。</w:t>
      </w:r>
    </w:p>
    <w:p w14:paraId="7FCDB6D7">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2.投诉人若委托代理人进行投诉的，投诉书应按照要求列明“授权代表”的有关内容，并在附件中提交由</w:t>
      </w:r>
      <w:r>
        <w:rPr>
          <w:rFonts w:hint="eastAsia" w:ascii="仿宋_GB2312" w:hAnsi="宋体" w:eastAsia="仿宋_GB2312" w:cs="宋体"/>
          <w:kern w:val="0"/>
          <w:sz w:val="32"/>
          <w:szCs w:val="32"/>
        </w:rPr>
        <w:t>投诉人签署的授权委托书。授权委托书应当载明代理人的姓名或者名称、代理事项、具体权限、期限和相关事项。</w:t>
      </w:r>
    </w:p>
    <w:p w14:paraId="216BABEB">
      <w:pPr>
        <w:widowControl/>
        <w:ind w:firstLine="640" w:firstLineChars="200"/>
        <w:jc w:val="left"/>
        <w:rPr>
          <w:rFonts w:ascii="仿宋_GB2312" w:eastAsia="仿宋_GB2312"/>
          <w:sz w:val="32"/>
          <w:szCs w:val="32"/>
        </w:rPr>
      </w:pPr>
      <w:r>
        <w:rPr>
          <w:rFonts w:hint="eastAsia" w:ascii="仿宋_GB2312" w:eastAsia="仿宋_GB2312"/>
          <w:sz w:val="32"/>
          <w:szCs w:val="32"/>
        </w:rPr>
        <w:t>3.投诉人若对项目的某一分包进行投诉，投诉书应列明具体分包号。</w:t>
      </w:r>
    </w:p>
    <w:p w14:paraId="6424A20F">
      <w:pPr>
        <w:widowControl/>
        <w:ind w:firstLine="640" w:firstLineChars="200"/>
        <w:jc w:val="left"/>
        <w:rPr>
          <w:rFonts w:ascii="仿宋_GB2312" w:eastAsia="仿宋_GB2312"/>
          <w:sz w:val="32"/>
          <w:szCs w:val="32"/>
        </w:rPr>
      </w:pPr>
      <w:r>
        <w:rPr>
          <w:rFonts w:hint="eastAsia" w:ascii="仿宋_GB2312" w:eastAsia="仿宋_GB2312"/>
          <w:sz w:val="32"/>
          <w:szCs w:val="32"/>
        </w:rPr>
        <w:t>4.投诉书应简要列明质疑事项，质疑函、质疑答复等作为附件材料提供。</w:t>
      </w:r>
    </w:p>
    <w:p w14:paraId="1E7FA399">
      <w:pPr>
        <w:widowControl/>
        <w:ind w:firstLine="640" w:firstLineChars="200"/>
        <w:jc w:val="left"/>
        <w:rPr>
          <w:rFonts w:ascii="仿宋_GB2312" w:eastAsia="仿宋_GB2312"/>
          <w:sz w:val="32"/>
          <w:szCs w:val="32"/>
        </w:rPr>
      </w:pPr>
      <w:r>
        <w:rPr>
          <w:rFonts w:hint="eastAsia" w:ascii="仿宋_GB2312" w:eastAsia="仿宋_GB2312"/>
          <w:sz w:val="32"/>
          <w:szCs w:val="32"/>
        </w:rPr>
        <w:t>5.投诉书的投诉事项应具体、明确，并有必要的事实依据和法律依据。</w:t>
      </w:r>
    </w:p>
    <w:p w14:paraId="3DB6F2B7">
      <w:pPr>
        <w:widowControl/>
        <w:ind w:firstLine="640" w:firstLineChars="200"/>
        <w:jc w:val="left"/>
        <w:rPr>
          <w:rFonts w:ascii="仿宋_GB2312" w:eastAsia="仿宋_GB2312"/>
          <w:sz w:val="32"/>
          <w:szCs w:val="32"/>
        </w:rPr>
      </w:pPr>
      <w:r>
        <w:rPr>
          <w:rFonts w:hint="eastAsia" w:ascii="仿宋_GB2312" w:eastAsia="仿宋_GB2312"/>
          <w:sz w:val="32"/>
          <w:szCs w:val="32"/>
        </w:rPr>
        <w:t>6.投诉书的投诉请求应与投诉事项相关。</w:t>
      </w:r>
    </w:p>
    <w:p w14:paraId="635F1B1F">
      <w:pPr>
        <w:widowControl/>
        <w:ind w:firstLine="640" w:firstLineChars="200"/>
        <w:jc w:val="left"/>
        <w:rPr>
          <w:rFonts w:ascii="仿宋_GB2312" w:hAnsi="宋体" w:eastAsia="仿宋_GB2312" w:cs="宋体"/>
          <w:kern w:val="0"/>
          <w:sz w:val="32"/>
          <w:szCs w:val="32"/>
        </w:rPr>
      </w:pPr>
      <w:r>
        <w:rPr>
          <w:rFonts w:hint="eastAsia" w:ascii="仿宋_GB2312" w:eastAsia="仿宋_GB2312"/>
          <w:sz w:val="32"/>
          <w:szCs w:val="32"/>
        </w:rPr>
        <w:t>7.投诉人为自然人的，投诉书应当由本人签字；投诉人为法人或者其他组织的，投诉书应当由法定代表人、主要负责人，或者其授权代表签字或者盖章，并加盖公章。</w:t>
      </w:r>
    </w:p>
    <w:p w14:paraId="78C68130">
      <w:pPr>
        <w:snapToGrid w:val="0"/>
        <w:spacing w:before="50" w:after="165" w:afterLines="50" w:line="360" w:lineRule="auto"/>
        <w:ind w:firstLine="480" w:firstLineChars="200"/>
        <w:jc w:val="left"/>
        <w:rPr>
          <w:sz w:val="24"/>
        </w:rPr>
      </w:pPr>
    </w:p>
    <w:p w14:paraId="13C8AB54"/>
    <w:p w14:paraId="7B471142"/>
    <w:p w14:paraId="5AFEEAFD"/>
    <w:sectPr>
      <w:footerReference r:id="rId25" w:type="first"/>
      <w:headerReference r:id="rId22" w:type="default"/>
      <w:footerReference r:id="rId23" w:type="default"/>
      <w:footerReference r:id="rId24" w:type="even"/>
      <w:pgSz w:w="11906" w:h="16838"/>
      <w:pgMar w:top="1134" w:right="1134" w:bottom="1134" w:left="1134" w:header="720" w:footer="720" w:gutter="0"/>
      <w:cols w:space="720" w:num="1"/>
      <w:docGrid w:type="lines" w:linePitch="331"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embedRegular r:id="rId1" w:fontKey="{5C043CB5-3A4D-4724-8FED-00F6C59CD0FD}"/>
  </w:font>
  <w:font w:name="Arial">
    <w:panose1 w:val="020B0604020202020204"/>
    <w:charset w:val="01"/>
    <w:family w:val="swiss"/>
    <w:pitch w:val="default"/>
    <w:sig w:usb0="E0002EFF" w:usb1="C000785B" w:usb2="00000009" w:usb3="00000000" w:csb0="400001FF" w:csb1="FFFF0000"/>
    <w:embedRegular r:id="rId2" w:fontKey="{1C323367-3F6F-4981-874D-8BC74740ED59}"/>
  </w:font>
  <w:font w:name="黑体">
    <w:panose1 w:val="02010609060101010101"/>
    <w:charset w:val="86"/>
    <w:family w:val="auto"/>
    <w:pitch w:val="default"/>
    <w:sig w:usb0="800002BF" w:usb1="38CF7CFA" w:usb2="00000016" w:usb3="00000000" w:csb0="00040001" w:csb1="00000000"/>
    <w:embedRegular r:id="rId3" w:fontKey="{D29E7B16-E544-4B3D-BF1B-B880EBCE5A1E}"/>
  </w:font>
  <w:font w:name="Courier New">
    <w:panose1 w:val="02070309020205020404"/>
    <w:charset w:val="01"/>
    <w:family w:val="modern"/>
    <w:pitch w:val="default"/>
    <w:sig w:usb0="E0002EFF" w:usb1="C0007843" w:usb2="00000009" w:usb3="00000000" w:csb0="400001FF" w:csb1="FFFF0000"/>
    <w:embedRegular r:id="rId4" w:fontKey="{3D2581D9-1BF0-4D54-86ED-FD000688417D}"/>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embedRegular r:id="rId5" w:fontKey="{26DF1EE5-53EE-4482-9AA2-88AF114D95DC}"/>
  </w:font>
  <w:font w:name="等线 Light">
    <w:panose1 w:val="02010600030101010101"/>
    <w:charset w:val="86"/>
    <w:family w:val="auto"/>
    <w:pitch w:val="default"/>
    <w:sig w:usb0="A00002BF" w:usb1="38CF7CFA" w:usb2="00000016" w:usb3="00000000" w:csb0="0004000F" w:csb1="00000000"/>
  </w:font>
  <w:font w:name="Microsoft YaHei UI">
    <w:panose1 w:val="020B0503020204020204"/>
    <w:charset w:val="86"/>
    <w:family w:val="swiss"/>
    <w:pitch w:val="default"/>
    <w:sig w:usb0="80000287" w:usb1="2ACF3C50" w:usb2="00000016" w:usb3="00000000" w:csb0="0004001F" w:csb1="00000000"/>
  </w:font>
  <w:font w:name="MingLiU">
    <w:altName w:val="PMingLiU-ExtB"/>
    <w:panose1 w:val="02020509000000000000"/>
    <w:charset w:val="88"/>
    <w:family w:val="moder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等线">
    <w:panose1 w:val="02010600030101010101"/>
    <w:charset w:val="86"/>
    <w:family w:val="auto"/>
    <w:pitch w:val="default"/>
    <w:sig w:usb0="A00002BF" w:usb1="38CF7CFA" w:usb2="00000016" w:usb3="00000000" w:csb0="0004000F" w:csb1="00000000"/>
  </w:font>
  <w:font w:name="Cambria">
    <w:panose1 w:val="02040503050406030204"/>
    <w:charset w:val="00"/>
    <w:family w:val="roman"/>
    <w:pitch w:val="default"/>
    <w:sig w:usb0="E00006FF" w:usb1="420024FF" w:usb2="02000000" w:usb3="00000000" w:csb0="2000019F" w:csb1="00000000"/>
  </w:font>
  <w:font w:name="仿宋_GB2312">
    <w:panose1 w:val="02010609030101010101"/>
    <w:charset w:val="86"/>
    <w:family w:val="modern"/>
    <w:pitch w:val="default"/>
    <w:sig w:usb0="00000001" w:usb1="080E0000" w:usb2="00000000" w:usb3="00000000" w:csb0="00040000" w:csb1="00000000"/>
    <w:embedRegular r:id="rId6" w:fontKey="{A1034114-6E5E-4450-BC44-85C1FB1565D5}"/>
  </w:font>
  <w:font w:name="仿宋">
    <w:panose1 w:val="02010609060101010101"/>
    <w:charset w:val="86"/>
    <w:family w:val="modern"/>
    <w:pitch w:val="default"/>
    <w:sig w:usb0="800002BF" w:usb1="38CF7CFA" w:usb2="00000016" w:usb3="00000000" w:csb0="00040001" w:csb1="00000000"/>
    <w:embedRegular r:id="rId7" w:fontKey="{435D5760-C249-40BF-BBC3-2D9D743397F2}"/>
  </w:font>
  <w:font w:name="Tahoma">
    <w:panose1 w:val="020B0604030504040204"/>
    <w:charset w:val="00"/>
    <w:family w:val="swiss"/>
    <w:pitch w:val="default"/>
    <w:sig w:usb0="E1002EFF" w:usb1="C000605B" w:usb2="00000029" w:usb3="00000000" w:csb0="200101FF" w:csb1="20280000"/>
  </w:font>
  <w:font w:name="Wingdings 2">
    <w:panose1 w:val="05020102010507070707"/>
    <w:charset w:val="02"/>
    <w:family w:val="roman"/>
    <w:pitch w:val="default"/>
    <w:sig w:usb0="00000000" w:usb1="00000000" w:usb2="00000000" w:usb3="00000000" w:csb0="80000000" w:csb1="00000000"/>
    <w:embedRegular r:id="rId8" w:fontKey="{B011F192-3D9C-40A9-A3DD-5B513CEFAE4C}"/>
  </w:font>
  <w:font w:name="MS Gothic">
    <w:panose1 w:val="020B0609070205080204"/>
    <w:charset w:val="80"/>
    <w:family w:val="modern"/>
    <w:pitch w:val="default"/>
    <w:sig w:usb0="E00002FF" w:usb1="6AC7FDFB" w:usb2="08000012" w:usb3="00000000" w:csb0="4002009F" w:csb1="DFD70000"/>
    <w:embedRegular r:id="rId9" w:fontKey="{9D90EFEC-BFEA-484F-AFD0-C9FC289A68D8}"/>
  </w:font>
  <w:font w:name="Arial Unicode MS">
    <w:altName w:val="宋体"/>
    <w:panose1 w:val="020B0604020202020204"/>
    <w:charset w:val="86"/>
    <w:family w:val="swiss"/>
    <w:pitch w:val="default"/>
    <w:sig w:usb0="00000000" w:usb1="00000000" w:usb2="0000003F" w:usb3="00000000" w:csb0="003F01FF" w:csb1="00000000"/>
    <w:embedRegular r:id="rId10" w:fontKey="{4FAB98EF-CE39-4E7B-AA43-2137D8B9C164}"/>
  </w:font>
  <w:font w:name="Helvetica">
    <w:altName w:val="Arial"/>
    <w:panose1 w:val="020B0604020202020204"/>
    <w:charset w:val="00"/>
    <w:family w:val="swiss"/>
    <w:pitch w:val="default"/>
    <w:sig w:usb0="00000000" w:usb1="00000000" w:usb2="00000009" w:usb3="00000000" w:csb0="000001FF" w:csb1="00000000"/>
    <w:embedRegular r:id="rId11" w:fontKey="{59E98BAB-83EA-457D-B9A0-F6059AADF84B}"/>
  </w:font>
  <w:font w:name="Helvetica Neue">
    <w:altName w:val="微软雅黑"/>
    <w:panose1 w:val="00000000000000000000"/>
    <w:charset w:val="01"/>
    <w:family w:val="auto"/>
    <w:pitch w:val="default"/>
    <w:sig w:usb0="00000000" w:usb1="00000000" w:usb2="00000000" w:usb3="00000000" w:csb0="00040001" w:csb1="00000000"/>
    <w:embedRegular r:id="rId12" w:fontKey="{F1ABAD3A-943C-4C1D-857A-A6E69AD9DF31}"/>
  </w:font>
  <w:font w:name="微软雅黑">
    <w:panose1 w:val="020B0503020204020204"/>
    <w:charset w:val="86"/>
    <w:family w:val="auto"/>
    <w:pitch w:val="default"/>
    <w:sig w:usb0="80000287" w:usb1="2ACF3C50" w:usb2="00000016" w:usb3="00000000" w:csb0="0004001F" w:csb1="00000000"/>
  </w:font>
  <w:font w:name="楷体">
    <w:panose1 w:val="02010609060101010101"/>
    <w:charset w:val="86"/>
    <w:family w:val="modern"/>
    <w:pitch w:val="default"/>
    <w:sig w:usb0="800002BF" w:usb1="38CF7CFA" w:usb2="00000016" w:usb3="00000000" w:csb0="00040001" w:csb1="00000000"/>
    <w:embedRegular r:id="rId13" w:fontKey="{2246FF76-DC58-4DB9-B47C-0155DBD5FFBA}"/>
  </w:font>
  <w:font w:name="ˎ̥">
    <w:altName w:val="宋体"/>
    <w:panose1 w:val="00000000000000000000"/>
    <w:charset w:val="00"/>
    <w:family w:val="roman"/>
    <w:pitch w:val="default"/>
    <w:sig w:usb0="00000000" w:usb1="00000000" w:usb2="00000000" w:usb3="00000000" w:csb0="00040001" w:csb1="00000000"/>
    <w:embedRegular r:id="rId14" w:fontKey="{AB220143-3071-44B5-802C-2775DBF4583B}"/>
  </w:font>
  <w:font w:name="WPSEMBED1">
    <w:panose1 w:val="02010609030101010101"/>
    <w:charset w:val="86"/>
    <w:family w:val="auto"/>
    <w:pitch w:val="default"/>
    <w:sig w:usb0="00000001" w:usb1="080E0000" w:usb2="00000000" w:usb3="00000000" w:csb0="00040000" w:csb1="00000000"/>
  </w:font>
  <w:font w:name="KSOF6B657194">
    <w:panose1 w:val="02020500000000000000"/>
    <w:charset w:val="88"/>
    <w:family w:val="auto"/>
    <w:pitch w:val="default"/>
    <w:sig w:usb0="00000001" w:usb1="00000000" w:usb2="00000000"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EDD57C">
    <w:pPr>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6C1B3">
    <w:pPr>
      <w:framePr w:wrap="around" w:vAnchor="text" w:hAnchor="margin" w:xAlign="center" w:y="1"/>
    </w:pPr>
    <w:r>
      <w:fldChar w:fldCharType="begin"/>
    </w:r>
    <w:r>
      <w:instrText xml:space="preserve">PAGE  </w:instrText>
    </w:r>
    <w:r>
      <w:fldChar w:fldCharType="end"/>
    </w:r>
  </w:p>
  <w:p w14:paraId="52EA2431"/>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18A868">
    <w:pPr>
      <w:framePr w:wrap="around" w:vAnchor="text" w:hAnchor="margin" w:xAlign="right" w:y="1"/>
    </w:pPr>
    <w:r>
      <w:fldChar w:fldCharType="begin"/>
    </w:r>
    <w:r>
      <w:instrText xml:space="preserve">PAGE  </w:instrText>
    </w:r>
    <w:r>
      <w:fldChar w:fldCharType="separate"/>
    </w:r>
    <w:r>
      <w:t>122</w:t>
    </w:r>
    <w:r>
      <w:fldChar w:fldCharType="end"/>
    </w:r>
  </w:p>
  <w:p w14:paraId="788920B9">
    <w:pPr>
      <w:ind w:right="360"/>
    </w:pPr>
    <w:r>
      <w:rPr>
        <w:rFonts w:hint="eastAsia"/>
      </w:rPr>
      <w:t>121</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A9FEDE4">
    <w:pPr>
      <w:jc w:val="center"/>
    </w:pPr>
    <w: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14935" cy="131445"/>
              <wp:effectExtent l="0" t="0" r="0" b="0"/>
              <wp:wrapNone/>
              <wp:docPr id="1" name="文本框 1"/>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1B4705A">
                          <w:pPr>
                            <w:jc w:val="center"/>
                          </w:pPr>
                          <w:r>
                            <w:fldChar w:fldCharType="begin"/>
                          </w:r>
                          <w:r>
                            <w:instrText xml:space="preserve"> PAGE   \* MERGEFORMAT </w:instrText>
                          </w:r>
                          <w:r>
                            <w:fldChar w:fldCharType="separate"/>
                          </w:r>
                          <w:r>
                            <w:rPr>
                              <w:lang w:val="zh-CN"/>
                            </w:rPr>
                            <w:t>99</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540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N4ls6kI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">
              <v:fill on="f" focussize="0,0"/>
              <v:stroke on="f"/>
              <v:imagedata o:title=""/>
              <o:lock v:ext="edit" aspectratio="f"/>
              <v:textbox inset="0mm,0mm,0mm,0mm" style="mso-fit-shape-to-text:t;">
                <w:txbxContent>
                  <w:p w14:paraId="31B4705A">
                    <w:pPr>
                      <w:jc w:val="center"/>
                    </w:pPr>
                    <w:r>
                      <w:fldChar w:fldCharType="begin"/>
                    </w:r>
                    <w:r>
                      <w:instrText xml:space="preserve"> PAGE   \* MERGEFORMAT </w:instrText>
                    </w:r>
                    <w:r>
                      <w:fldChar w:fldCharType="separate"/>
                    </w:r>
                    <w:r>
                      <w:rPr>
                        <w:lang w:val="zh-CN"/>
                      </w:rPr>
                      <w:t>99</w:t>
                    </w:r>
                    <w:r>
                      <w:fldChar w:fldCharType="end"/>
                    </w:r>
                  </w:p>
                </w:txbxContent>
              </v:textbox>
            </v:shape>
          </w:pict>
        </mc:Fallback>
      </mc:AlternateContent>
    </w:r>
  </w:p>
  <w:p w14:paraId="5875A4ED"/>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9F673FA">
    <w:pPr>
      <w:framePr w:wrap="around" w:vAnchor="text" w:hAnchor="margin" w:xAlign="center" w:y="1"/>
    </w:pPr>
    <w:r>
      <w:fldChar w:fldCharType="begin"/>
    </w:r>
    <w:r>
      <w:instrText xml:space="preserve">PAGE  </w:instrText>
    </w:r>
    <w:r>
      <w:fldChar w:fldCharType="end"/>
    </w:r>
  </w:p>
  <w:p w14:paraId="342ABE51"/>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288B955">
    <w:pPr>
      <w:framePr w:wrap="around" w:vAnchor="text" w:hAnchor="margin" w:xAlign="right" w:y="1"/>
    </w:pPr>
    <w:r>
      <w:fldChar w:fldCharType="begin"/>
    </w:r>
    <w:r>
      <w:instrText xml:space="preserve">PAGE  </w:instrText>
    </w:r>
    <w:r>
      <w:fldChar w:fldCharType="separate"/>
    </w:r>
    <w:r>
      <w:t>122</w:t>
    </w:r>
    <w:r>
      <w:fldChar w:fldCharType="end"/>
    </w:r>
  </w:p>
  <w:p w14:paraId="718A6A51">
    <w:pPr>
      <w:ind w:right="360"/>
    </w:pPr>
    <w:r>
      <w:rPr>
        <w:rFonts w:hint="eastAsia"/>
      </w:rPr>
      <w:t>121</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0B5A0C">
    <w:pPr>
      <w:jc w:val="center"/>
    </w:pPr>
    <w:r>
      <w:fldChar w:fldCharType="begin"/>
    </w:r>
    <w:r>
      <w:instrText xml:space="preserve"> PAGE   \* MERGEFORMAT </w:instrText>
    </w:r>
    <w:r>
      <w:fldChar w:fldCharType="separate"/>
    </w:r>
    <w:r>
      <w:rPr>
        <w:lang w:val="zh-CN"/>
      </w:rPr>
      <w:t>102</w:t>
    </w:r>
    <w:r>
      <w:fldChar w:fldCharType="end"/>
    </w:r>
  </w:p>
  <w:p w14:paraId="454EC0FA"/>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7930310">
    <w:pPr>
      <w:framePr w:wrap="around" w:vAnchor="text" w:hAnchor="margin" w:xAlign="center" w:y="1"/>
    </w:pPr>
    <w:r>
      <w:fldChar w:fldCharType="begin"/>
    </w:r>
    <w:r>
      <w:instrText xml:space="preserve">PAGE  </w:instrText>
    </w:r>
    <w:r>
      <w:fldChar w:fldCharType="end"/>
    </w:r>
  </w:p>
  <w:p w14:paraId="2BA51FCF"/>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C2428A">
    <w:pPr>
      <w:framePr w:wrap="around" w:vAnchor="text" w:hAnchor="margin" w:xAlign="right" w:y="1"/>
    </w:pPr>
    <w:r>
      <w:fldChar w:fldCharType="begin"/>
    </w:r>
    <w:r>
      <w:instrText xml:space="preserve">PAGE  </w:instrText>
    </w:r>
    <w:r>
      <w:fldChar w:fldCharType="separate"/>
    </w:r>
    <w:r>
      <w:t>122</w:t>
    </w:r>
    <w:r>
      <w:fldChar w:fldCharType="end"/>
    </w:r>
  </w:p>
  <w:p w14:paraId="4A70C586">
    <w:pPr>
      <w:ind w:right="360"/>
    </w:pPr>
    <w:r>
      <w:rPr>
        <w:rFonts w:hint="eastAsia"/>
      </w:rPr>
      <w:t>121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13A2E">
    <w:pPr>
      <w:jc w:val="center"/>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57785" cy="131445"/>
              <wp:effectExtent l="0" t="0" r="0" b="0"/>
              <wp:wrapNone/>
              <wp:docPr id="7" name="文本框 7"/>
              <wp:cNvGraphicFramePr/>
              <a:graphic xmlns:a="http://schemas.openxmlformats.org/drawingml/2006/main">
                <a:graphicData uri="http://schemas.microsoft.com/office/word/2010/wordprocessingShape">
                  <wps:wsp>
                    <wps:cNvSpPr txBox="1">
                      <a:spLocks noChangeArrowheads="1"/>
                    </wps:cNvSpPr>
                    <wps:spPr bwMode="auto">
                      <a:xfrm>
                        <a:off x="0" y="0"/>
                        <a:ext cx="57785" cy="131445"/>
                      </a:xfrm>
                      <a:prstGeom prst="rect">
                        <a:avLst/>
                      </a:prstGeom>
                      <a:noFill/>
                      <a:ln>
                        <a:noFill/>
                      </a:ln>
                    </wps:spPr>
                    <wps:txbx>
                      <w:txbxContent>
                        <w:p w14:paraId="55764B54">
                          <w:pPr>
                            <w:jc w:val="center"/>
                          </w:pPr>
                          <w:r>
                            <w:fldChar w:fldCharType="begin"/>
                          </w:r>
                          <w:r>
                            <w:instrText xml:space="preserve">PAGE   \* MERGEFORMAT</w:instrText>
                          </w:r>
                          <w:r>
                            <w:fldChar w:fldCharType="separate"/>
                          </w:r>
                          <w:r>
                            <w:rPr>
                              <w:lang w:val="zh-CN"/>
                            </w:rPr>
                            <w:t>10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4.55pt;mso-position-horizontal:center;mso-position-horizontal-relative:margin;mso-wrap-style:none;z-index:251659264;mso-width-relative:page;mso-height-relative:page;" filled="f" stroked="f" coordsize="21600,21600" o:gfxdata="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M+L3UTQAAAAAgEAAA8AAAAAAAAAAQAgAAAAIgAAAGRycy9k&#10;b3ducmV2LnhtbFBLAQIUABQAAAAIAIdO4kD0lWDgCgIAAAEEAAAOAAAAAAAAAAEAIAAAAB8BAABk&#10;cnMvZTJvRG9jLnhtbFBLBQYAAAAABgAGAFkBAACbBQAAAAA=&#10;">
              <v:fill on="f" focussize="0,0"/>
              <v:stroke on="f"/>
              <v:imagedata o:title=""/>
              <o:lock v:ext="edit" aspectratio="f"/>
              <v:textbox inset="0mm,0mm,0mm,0mm" style="mso-fit-shape-to-text:t;">
                <w:txbxContent>
                  <w:p w14:paraId="55764B54">
                    <w:pPr>
                      <w:jc w:val="center"/>
                    </w:pPr>
                    <w:r>
                      <w:fldChar w:fldCharType="begin"/>
                    </w:r>
                    <w:r>
                      <w:instrText xml:space="preserve">PAGE   \* MERGEFORMAT</w:instrText>
                    </w:r>
                    <w:r>
                      <w:fldChar w:fldCharType="separate"/>
                    </w:r>
                    <w:r>
                      <w:rPr>
                        <w:lang w:val="zh-CN"/>
                      </w:rPr>
                      <w:t>10</w:t>
                    </w:r>
                    <w: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EAC916">
    <w:pPr>
      <w:jc w:val="center"/>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14935" cy="131445"/>
              <wp:effectExtent l="0" t="0" r="0" b="0"/>
              <wp:wrapNone/>
              <wp:docPr id="6" name="文本框 6"/>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5A9E01F9">
                          <w:pPr>
                            <w:jc w:val="center"/>
                          </w:pPr>
                          <w:r>
                            <w:fldChar w:fldCharType="begin"/>
                          </w:r>
                          <w:r>
                            <w:instrText xml:space="preserve">PAGE   \* MERGEFORMAT</w:instrText>
                          </w:r>
                          <w:r>
                            <w:fldChar w:fldCharType="separate"/>
                          </w:r>
                          <w:r>
                            <w:rPr>
                              <w:lang w:val="zh-CN"/>
                            </w:rPr>
                            <w:t>45</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0288;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">
              <v:fill on="f" focussize="0,0"/>
              <v:stroke on="f"/>
              <v:imagedata o:title=""/>
              <o:lock v:ext="edit" aspectratio="f"/>
              <v:textbox inset="0mm,0mm,0mm,0mm" style="mso-fit-shape-to-text:t;">
                <w:txbxContent>
                  <w:p w14:paraId="5A9E01F9">
                    <w:pPr>
                      <w:jc w:val="center"/>
                    </w:pPr>
                    <w:r>
                      <w:fldChar w:fldCharType="begin"/>
                    </w:r>
                    <w:r>
                      <w:instrText xml:space="preserve">PAGE   \* MERGEFORMAT</w:instrText>
                    </w:r>
                    <w:r>
                      <w:fldChar w:fldCharType="separate"/>
                    </w:r>
                    <w:r>
                      <w:rPr>
                        <w:lang w:val="zh-CN"/>
                      </w:rPr>
                      <w:t>45</w:t>
                    </w:r>
                    <w:r>
                      <w:fldChar w:fldCharType="end"/>
                    </w:r>
                  </w:p>
                </w:txbxContent>
              </v:textbox>
            </v:shape>
          </w:pict>
        </mc:Fallback>
      </mc:AlternateContent>
    </w:r>
  </w:p>
  <w:p w14:paraId="11A5F6B9"/>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700D50">
    <w:pPr>
      <w:jc w:val="center"/>
    </w:pPr>
    <w: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14935" cy="131445"/>
              <wp:effectExtent l="0" t="0" r="0" b="0"/>
              <wp:wrapNone/>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37570AC4">
                          <w:pPr>
                            <w:jc w:val="center"/>
                          </w:pPr>
                          <w:r>
                            <w:fldChar w:fldCharType="begin"/>
                          </w:r>
                          <w:r>
                            <w:instrText xml:space="preserve">PAGE   \* MERGEFORMAT</w:instrText>
                          </w:r>
                          <w:r>
                            <w:fldChar w:fldCharType="separate"/>
                          </w:r>
                          <w:r>
                            <w:rPr>
                              <w:lang w:val="zh-CN"/>
                            </w:rPr>
                            <w:t>63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1312;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H/2DHgK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quQXnFlhqOGHH98PP38f&#10;fn1jF9GezvmCsm4d5YX+DfQ0NEmqdzcgv3hm4boRdqOuEKFrlKiIXh5fZg+eDjg+gqy791BRHbEN&#10;kID6Gk30jtxghE6t2Z9ao/rAZCyZz16fE0VJV/l5PpslbpkoxscOfXirwLAYlByp8wlc7G58iGRE&#10;MabEWhZWum1T91v71wElxpNEPvIdmId+3R/NWEO1JxkIwzDRV6KgAfzKWUeDVHJL/4az9p0lI+LM&#10;jQGOwXoMhJX0sOSBsyG8DsNsbh3qTUO4o9VXZNZKJyHR1YHDkSWNRtJ3HOM4ew/3KevP113cA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9gx4CgIAAAIEAAAOAAAAAAAAAAEAIAAAAB8BAABk&#10;cnMvZTJvRG9jLnhtbFBLBQYAAAAABgAGAFkBAACbBQAAAAA=&#10;">
              <v:fill on="f" focussize="0,0"/>
              <v:stroke on="f"/>
              <v:imagedata o:title=""/>
              <o:lock v:ext="edit" aspectratio="f"/>
              <v:textbox inset="0mm,0mm,0mm,0mm" style="mso-fit-shape-to-text:t;">
                <w:txbxContent>
                  <w:p w14:paraId="37570AC4">
                    <w:pPr>
                      <w:jc w:val="center"/>
                    </w:pPr>
                    <w:r>
                      <w:fldChar w:fldCharType="begin"/>
                    </w:r>
                    <w:r>
                      <w:instrText xml:space="preserve">PAGE   \* MERGEFORMAT</w:instrText>
                    </w:r>
                    <w:r>
                      <w:fldChar w:fldCharType="separate"/>
                    </w:r>
                    <w:r>
                      <w:rPr>
                        <w:lang w:val="zh-CN"/>
                      </w:rPr>
                      <w:t>63</w:t>
                    </w:r>
                    <w:r>
                      <w:fldChar w:fldCharType="end"/>
                    </w:r>
                  </w:p>
                </w:txbxContent>
              </v:textbox>
            </v:shape>
          </w:pict>
        </mc:Fallback>
      </mc:AlternateContent>
    </w:r>
  </w:p>
  <w:p w14:paraId="610C0D29">
    <w:pPr>
      <w:tabs>
        <w:tab w:val="center" w:pos="4819"/>
      </w:tabs>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A00D19">
    <w:pPr>
      <w:jc w:val="center"/>
    </w:pPr>
    <w: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14935" cy="131445"/>
              <wp:effectExtent l="0" t="0" r="0" b="0"/>
              <wp:wrapNone/>
              <wp:docPr id="4" name="文本框 4"/>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07C318B5">
                          <w:pPr>
                            <w:jc w:val="center"/>
                          </w:pPr>
                          <w:r>
                            <w:fldChar w:fldCharType="begin"/>
                          </w:r>
                          <w:r>
                            <w:instrText xml:space="preserve"> PAGE   \* MERGEFORMAT </w:instrText>
                          </w:r>
                          <w:r>
                            <w:fldChar w:fldCharType="separate"/>
                          </w:r>
                          <w:r>
                            <w:rPr>
                              <w:lang w:val="zh-CN"/>
                            </w:rPr>
                            <w:t>73</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2336;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HQ786CgIAAAIEAAAOAAAAAAAAAAEAIAAAAB8BAABk&#10;cnMvZTJvRG9jLnhtbFBLBQYAAAAABgAGAFkBAACbBQAAAAA=&#10;">
              <v:fill on="f" focussize="0,0"/>
              <v:stroke on="f"/>
              <v:imagedata o:title=""/>
              <o:lock v:ext="edit" aspectratio="f"/>
              <v:textbox inset="0mm,0mm,0mm,0mm" style="mso-fit-shape-to-text:t;">
                <w:txbxContent>
                  <w:p w14:paraId="07C318B5">
                    <w:pPr>
                      <w:jc w:val="center"/>
                    </w:pPr>
                    <w:r>
                      <w:fldChar w:fldCharType="begin"/>
                    </w:r>
                    <w:r>
                      <w:instrText xml:space="preserve"> PAGE   \* MERGEFORMAT </w:instrText>
                    </w:r>
                    <w:r>
                      <w:fldChar w:fldCharType="separate"/>
                    </w:r>
                    <w:r>
                      <w:rPr>
                        <w:lang w:val="zh-CN"/>
                      </w:rPr>
                      <w:t>73</w:t>
                    </w:r>
                    <w:r>
                      <w:fldChar w:fldCharType="end"/>
                    </w:r>
                  </w:p>
                </w:txbxContent>
              </v:textbox>
            </v:shape>
          </w:pict>
        </mc:Fallback>
      </mc:AlternateContent>
    </w:r>
  </w:p>
  <w:p w14:paraId="00193356"/>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CFDB77">
    <w:pPr>
      <w:jc w:val="center"/>
    </w:pPr>
    <w: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14935" cy="131445"/>
              <wp:effectExtent l="0" t="0" r="0" b="0"/>
              <wp:wrapNone/>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98AD4BB">
                          <w:pPr>
                            <w:jc w:val="center"/>
                          </w:pPr>
                          <w:r>
                            <w:fldChar w:fldCharType="begin"/>
                          </w:r>
                          <w:r>
                            <w:instrText xml:space="preserve"> PAGE   \* MERGEFORMAT </w:instrText>
                          </w:r>
                          <w:r>
                            <w:fldChar w:fldCharType="separate"/>
                          </w:r>
                          <w:r>
                            <w:rPr>
                              <w:lang w:val="zh-CN"/>
                            </w:rPr>
                            <w:t>79</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3360;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AuT9QsCgIAAAIEAAAOAAAAAAAAAAEAIAAAAB8BAABk&#10;cnMvZTJvRG9jLnhtbFBLBQYAAAAABgAGAFkBAACbBQAAAAA=&#10;">
              <v:fill on="f" focussize="0,0"/>
              <v:stroke on="f"/>
              <v:imagedata o:title=""/>
              <o:lock v:ext="edit" aspectratio="f"/>
              <v:textbox inset="0mm,0mm,0mm,0mm" style="mso-fit-shape-to-text:t;">
                <w:txbxContent>
                  <w:p w14:paraId="698AD4BB">
                    <w:pPr>
                      <w:jc w:val="center"/>
                    </w:pPr>
                    <w:r>
                      <w:fldChar w:fldCharType="begin"/>
                    </w:r>
                    <w:r>
                      <w:instrText xml:space="preserve"> PAGE   \* MERGEFORMAT </w:instrText>
                    </w:r>
                    <w:r>
                      <w:fldChar w:fldCharType="separate"/>
                    </w:r>
                    <w:r>
                      <w:rPr>
                        <w:lang w:val="zh-CN"/>
                      </w:rPr>
                      <w:t>79</w:t>
                    </w:r>
                    <w:r>
                      <w:fldChar w:fldCharType="end"/>
                    </w:r>
                  </w:p>
                </w:txbxContent>
              </v:textbox>
            </v:shape>
          </w:pict>
        </mc:Fallback>
      </mc:AlternateContent>
    </w:r>
  </w:p>
  <w:p w14:paraId="4280F201"/>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C7CD7D">
    <w:pPr>
      <w:framePr w:wrap="around" w:vAnchor="text" w:hAnchor="margin" w:xAlign="center" w:y="1"/>
    </w:pPr>
    <w:r>
      <w:fldChar w:fldCharType="begin"/>
    </w:r>
    <w:r>
      <w:instrText xml:space="preserve">PAGE  </w:instrText>
    </w:r>
    <w:r>
      <w:fldChar w:fldCharType="end"/>
    </w:r>
  </w:p>
  <w:p w14:paraId="62967586"/>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E26330D">
    <w:pPr>
      <w:framePr w:wrap="around" w:vAnchor="text" w:hAnchor="margin" w:xAlign="right" w:y="1"/>
    </w:pPr>
    <w:r>
      <w:fldChar w:fldCharType="begin"/>
    </w:r>
    <w:r>
      <w:instrText xml:space="preserve">PAGE  </w:instrText>
    </w:r>
    <w:r>
      <w:fldChar w:fldCharType="separate"/>
    </w:r>
    <w:r>
      <w:t>122</w:t>
    </w:r>
    <w:r>
      <w:fldChar w:fldCharType="end"/>
    </w:r>
  </w:p>
  <w:p w14:paraId="5D1D5415">
    <w:pPr>
      <w:ind w:right="360"/>
    </w:pPr>
    <w:r>
      <w:rPr>
        <w:rFonts w:hint="eastAsia"/>
      </w:rPr>
      <w:t>121</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0A1691E">
    <w:pPr>
      <w:jc w:val="center"/>
    </w:pPr>
    <w: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14935" cy="131445"/>
              <wp:effectExtent l="0" t="0" r="0" b="0"/>
              <wp:wrapNone/>
              <wp:docPr id="2" name="文本框 2"/>
              <wp:cNvGraphicFramePr/>
              <a:graphic xmlns:a="http://schemas.openxmlformats.org/drawingml/2006/main">
                <a:graphicData uri="http://schemas.microsoft.com/office/word/2010/wordprocessingShape">
                  <wps:wsp>
                    <wps:cNvSpPr txBox="1">
                      <a:spLocks noChangeArrowheads="1"/>
                    </wps:cNvSpPr>
                    <wps:spPr bwMode="auto">
                      <a:xfrm>
                        <a:off x="0" y="0"/>
                        <a:ext cx="114935" cy="131445"/>
                      </a:xfrm>
                      <a:prstGeom prst="rect">
                        <a:avLst/>
                      </a:prstGeom>
                      <a:noFill/>
                      <a:ln>
                        <a:noFill/>
                      </a:ln>
                    </wps:spPr>
                    <wps:txbx>
                      <w:txbxContent>
                        <w:p w14:paraId="62B98BA4">
                          <w:pPr>
                            <w:jc w:val="center"/>
                          </w:pPr>
                          <w:r>
                            <w:fldChar w:fldCharType="begin"/>
                          </w:r>
                          <w:r>
                            <w:instrText xml:space="preserve"> PAGE   \* MERGEFORMAT </w:instrText>
                          </w:r>
                          <w:r>
                            <w:fldChar w:fldCharType="separate"/>
                          </w:r>
                          <w:r>
                            <w:rPr>
                              <w:lang w:val="zh-CN"/>
                            </w:rPr>
                            <w:t>80</w:t>
                          </w:r>
                          <w:r>
                            <w:fldChar w:fldCharType="end"/>
                          </w:r>
                        </w:p>
                      </w:txbxContent>
                    </wps:txbx>
                    <wps:bodyPr rot="0" vert="horz" wrap="none" lIns="0" tIns="0" rIns="0" bIns="0" anchor="t" anchorCtr="0" upright="1">
                      <a:spAutoFit/>
                    </wps:bodyPr>
                  </wps:wsp>
                </a:graphicData>
              </a:graphic>
            </wp:anchor>
          </w:drawing>
        </mc:Choice>
        <mc:Fallback>
          <w:pict>
            <v:shape id="_x0000_s1026" o:spid="_x0000_s1026" o:spt="202" type="#_x0000_t202" style="position:absolute;left:0pt;margin-top:0pt;height:10.35pt;width:9.05pt;mso-position-horizontal:center;mso-position-horizontal-relative:margin;mso-wrap-style:none;z-index:251664384;mso-width-relative:page;mso-height-relative:page;" filled="f" stroked="f" coordsize="21600,21600" o:gfxdata="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">
              <v:fill on="f" focussize="0,0"/>
              <v:stroke on="f"/>
              <v:imagedata o:title=""/>
              <o:lock v:ext="edit" aspectratio="f"/>
              <v:textbox inset="0mm,0mm,0mm,0mm" style="mso-fit-shape-to-text:t;">
                <w:txbxContent>
                  <w:p w14:paraId="62B98BA4">
                    <w:pPr>
                      <w:jc w:val="center"/>
                    </w:pPr>
                    <w:r>
                      <w:fldChar w:fldCharType="begin"/>
                    </w:r>
                    <w:r>
                      <w:instrText xml:space="preserve"> PAGE   \* MERGEFORMAT </w:instrText>
                    </w:r>
                    <w:r>
                      <w:fldChar w:fldCharType="separate"/>
                    </w:r>
                    <w:r>
                      <w:rPr>
                        <w:lang w:val="zh-CN"/>
                      </w:rPr>
                      <w:t>80</w:t>
                    </w:r>
                    <w:r>
                      <w:fldChar w:fldCharType="end"/>
                    </w:r>
                  </w:p>
                </w:txbxContent>
              </v:textbox>
            </v:shape>
          </w:pict>
        </mc:Fallback>
      </mc:AlternateContent>
    </w:r>
  </w:p>
  <w:p w14:paraId="4CD59776"/>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8561574">
    <w:pPr>
      <w:pStyle w:val="19"/>
      <w:tabs>
        <w:tab w:val="center" w:pos="0"/>
      </w:tabs>
      <w:ind w:left="0" w:leftChars="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DEFBBD8">
    <w:pPr>
      <w:pStyle w:val="19"/>
      <w:tabs>
        <w:tab w:val="center" w:pos="0"/>
      </w:tabs>
      <w:ind w:left="5250"/>
    </w:pPr>
    <w:r>
      <w:rPr>
        <w:rFonts w:hint="eastAsia"/>
      </w:rPr>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AEE198">
    <w:pPr>
      <w:pStyle w:val="19"/>
      <w:ind w:left="525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7D90A7C">
    <w:pPr>
      <w:pStyle w:val="19"/>
      <w:ind w:left="5250"/>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DC44775">
    <w:pPr>
      <w:pStyle w:val="19"/>
      <w:ind w:left="5250"/>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050AA6">
    <w:pPr>
      <w:pStyle w:val="19"/>
      <w:ind w:left="525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000007"/>
    <w:multiLevelType w:val="multilevel"/>
    <w:tmpl w:val="00000007"/>
    <w:lvl w:ilvl="0" w:tentative="0">
      <w:start w:val="1"/>
      <w:numFmt w:val="decimal"/>
      <w:lvlText w:val="（%1）"/>
      <w:lvlJc w:val="left"/>
      <w:pPr>
        <w:tabs>
          <w:tab w:val="left" w:pos="1140"/>
        </w:tabs>
        <w:ind w:left="1140" w:hanging="720"/>
      </w:pPr>
      <w:rPr>
        <w:rFonts w:ascii="宋体" w:hAnsi="宋体" w:eastAsia="宋体" w:cs="Times New Roman"/>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1">
    <w:nsid w:val="00000008"/>
    <w:multiLevelType w:val="multilevel"/>
    <w:tmpl w:val="00000008"/>
    <w:lvl w:ilvl="0" w:tentative="0">
      <w:start w:val="1"/>
      <w:numFmt w:val="decimal"/>
      <w:lvlText w:val="（%1）"/>
      <w:lvlJc w:val="left"/>
      <w:pPr>
        <w:tabs>
          <w:tab w:val="left" w:pos="1140"/>
        </w:tabs>
        <w:ind w:left="1140" w:hanging="720"/>
      </w:pPr>
      <w:rPr>
        <w:rFonts w:hint="eastAsia"/>
      </w:rPr>
    </w:lvl>
    <w:lvl w:ilvl="1" w:tentative="0">
      <w:start w:val="1"/>
      <w:numFmt w:val="lowerLetter"/>
      <w:lvlText w:val="%2)"/>
      <w:lvlJc w:val="left"/>
      <w:pPr>
        <w:tabs>
          <w:tab w:val="left" w:pos="1260"/>
        </w:tabs>
        <w:ind w:left="1260" w:hanging="420"/>
      </w:pPr>
    </w:lvl>
    <w:lvl w:ilvl="2" w:tentative="0">
      <w:start w:val="1"/>
      <w:numFmt w:val="lowerRoman"/>
      <w:lvlText w:val="%3."/>
      <w:lvlJc w:val="right"/>
      <w:pPr>
        <w:tabs>
          <w:tab w:val="left" w:pos="1680"/>
        </w:tabs>
        <w:ind w:left="1680" w:hanging="420"/>
      </w:pPr>
    </w:lvl>
    <w:lvl w:ilvl="3" w:tentative="0">
      <w:start w:val="1"/>
      <w:numFmt w:val="decimal"/>
      <w:lvlText w:val="%4."/>
      <w:lvlJc w:val="left"/>
      <w:pPr>
        <w:tabs>
          <w:tab w:val="left" w:pos="2100"/>
        </w:tabs>
        <w:ind w:left="2100" w:hanging="420"/>
      </w:pPr>
    </w:lvl>
    <w:lvl w:ilvl="4" w:tentative="0">
      <w:start w:val="1"/>
      <w:numFmt w:val="lowerLetter"/>
      <w:lvlText w:val="%5)"/>
      <w:lvlJc w:val="left"/>
      <w:pPr>
        <w:tabs>
          <w:tab w:val="left" w:pos="2520"/>
        </w:tabs>
        <w:ind w:left="2520" w:hanging="420"/>
      </w:pPr>
    </w:lvl>
    <w:lvl w:ilvl="5" w:tentative="0">
      <w:start w:val="1"/>
      <w:numFmt w:val="lowerRoman"/>
      <w:lvlText w:val="%6."/>
      <w:lvlJc w:val="right"/>
      <w:pPr>
        <w:tabs>
          <w:tab w:val="left" w:pos="2940"/>
        </w:tabs>
        <w:ind w:left="2940" w:hanging="420"/>
      </w:pPr>
    </w:lvl>
    <w:lvl w:ilvl="6" w:tentative="0">
      <w:start w:val="1"/>
      <w:numFmt w:val="decimal"/>
      <w:lvlText w:val="%7."/>
      <w:lvlJc w:val="left"/>
      <w:pPr>
        <w:tabs>
          <w:tab w:val="left" w:pos="3360"/>
        </w:tabs>
        <w:ind w:left="3360" w:hanging="420"/>
      </w:pPr>
    </w:lvl>
    <w:lvl w:ilvl="7" w:tentative="0">
      <w:start w:val="1"/>
      <w:numFmt w:val="lowerLetter"/>
      <w:lvlText w:val="%8)"/>
      <w:lvlJc w:val="left"/>
      <w:pPr>
        <w:tabs>
          <w:tab w:val="left" w:pos="3780"/>
        </w:tabs>
        <w:ind w:left="3780" w:hanging="420"/>
      </w:pPr>
    </w:lvl>
    <w:lvl w:ilvl="8" w:tentative="0">
      <w:start w:val="1"/>
      <w:numFmt w:val="lowerRoman"/>
      <w:lvlText w:val="%9."/>
      <w:lvlJc w:val="right"/>
      <w:pPr>
        <w:tabs>
          <w:tab w:val="left" w:pos="4200"/>
        </w:tabs>
        <w:ind w:left="4200" w:hanging="420"/>
      </w:pPr>
    </w:lvl>
  </w:abstractNum>
  <w:abstractNum w:abstractNumId="2">
    <w:nsid w:val="2B7645F7"/>
    <w:multiLevelType w:val="singleLevel"/>
    <w:tmpl w:val="2B7645F7"/>
    <w:lvl w:ilvl="0" w:tentative="0">
      <w:start w:val="1"/>
      <w:numFmt w:val="decimal"/>
      <w:suff w:val="nothing"/>
      <w:lvlText w:val="（%1）"/>
      <w:lvlJc w:val="left"/>
    </w:lvl>
  </w:abstractNum>
  <w:abstractNum w:abstractNumId="3">
    <w:nsid w:val="34444808"/>
    <w:multiLevelType w:val="multilevel"/>
    <w:tmpl w:val="34444808"/>
    <w:lvl w:ilvl="0" w:tentative="0">
      <w:start w:val="1"/>
      <w:numFmt w:val="decimal"/>
      <w:lvlText w:val="%1、"/>
      <w:lvlJc w:val="left"/>
      <w:pPr>
        <w:ind w:left="660" w:hanging="360"/>
      </w:pPr>
      <w:rPr>
        <w:rFonts w:hint="default"/>
      </w:rPr>
    </w:lvl>
    <w:lvl w:ilvl="1" w:tentative="0">
      <w:start w:val="1"/>
      <w:numFmt w:val="lowerLetter"/>
      <w:lvlText w:val="%2)"/>
      <w:lvlJc w:val="left"/>
      <w:pPr>
        <w:ind w:left="1140" w:hanging="420"/>
      </w:pPr>
    </w:lvl>
    <w:lvl w:ilvl="2" w:tentative="0">
      <w:start w:val="1"/>
      <w:numFmt w:val="lowerRoman"/>
      <w:lvlText w:val="%3."/>
      <w:lvlJc w:val="right"/>
      <w:pPr>
        <w:ind w:left="1560" w:hanging="420"/>
      </w:pPr>
    </w:lvl>
    <w:lvl w:ilvl="3" w:tentative="0">
      <w:start w:val="1"/>
      <w:numFmt w:val="decimal"/>
      <w:lvlText w:val="%4."/>
      <w:lvlJc w:val="left"/>
      <w:pPr>
        <w:ind w:left="1980" w:hanging="420"/>
      </w:pPr>
    </w:lvl>
    <w:lvl w:ilvl="4" w:tentative="0">
      <w:start w:val="1"/>
      <w:numFmt w:val="lowerLetter"/>
      <w:lvlText w:val="%5)"/>
      <w:lvlJc w:val="left"/>
      <w:pPr>
        <w:ind w:left="2400" w:hanging="420"/>
      </w:pPr>
    </w:lvl>
    <w:lvl w:ilvl="5" w:tentative="0">
      <w:start w:val="1"/>
      <w:numFmt w:val="lowerRoman"/>
      <w:lvlText w:val="%6."/>
      <w:lvlJc w:val="right"/>
      <w:pPr>
        <w:ind w:left="2820" w:hanging="420"/>
      </w:pPr>
    </w:lvl>
    <w:lvl w:ilvl="6" w:tentative="0">
      <w:start w:val="1"/>
      <w:numFmt w:val="decimal"/>
      <w:lvlText w:val="%7."/>
      <w:lvlJc w:val="left"/>
      <w:pPr>
        <w:ind w:left="3240" w:hanging="420"/>
      </w:pPr>
    </w:lvl>
    <w:lvl w:ilvl="7" w:tentative="0">
      <w:start w:val="1"/>
      <w:numFmt w:val="lowerLetter"/>
      <w:lvlText w:val="%8)"/>
      <w:lvlJc w:val="left"/>
      <w:pPr>
        <w:ind w:left="3660" w:hanging="420"/>
      </w:pPr>
    </w:lvl>
    <w:lvl w:ilvl="8" w:tentative="0">
      <w:start w:val="1"/>
      <w:numFmt w:val="lowerRoman"/>
      <w:lvlText w:val="%9."/>
      <w:lvlJc w:val="right"/>
      <w:pPr>
        <w:ind w:left="4080" w:hanging="420"/>
      </w:pPr>
    </w:lvl>
  </w:abstractNum>
  <w:num w:numId="1">
    <w:abstractNumId w:val="2"/>
  </w:num>
  <w:num w:numId="2">
    <w:abstractNumId w:val="1"/>
    <w:lvlOverride w:ilvl="0">
      <w:startOverride w:val="1"/>
    </w:lvlOverride>
  </w:num>
  <w:num w:numId="3">
    <w:abstractNumId w:val="0"/>
    <w:lvlOverride w:ilvl="0">
      <w:startOverride w:val="1"/>
    </w:lvlOverride>
  </w:num>
  <w:num w:numId="4">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TrueTypeFonts/>
  <w:saveSubsetFonts/>
  <w:hideSpellingErrors/>
  <w:documentProtection w:enforcement="0"/>
  <w:defaultTabStop w:val="420"/>
  <w:drawingGridVerticalSpacing w:val="156"/>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ODlhMDYxNTU3MzkyMGFlNjBkZjAwMjJjZTg1OGEzMmEifQ=="/>
  </w:docVars>
  <w:rsids>
    <w:rsidRoot w:val="00B83D31"/>
    <w:rsid w:val="000860A9"/>
    <w:rsid w:val="0009435C"/>
    <w:rsid w:val="000E7A99"/>
    <w:rsid w:val="000F662E"/>
    <w:rsid w:val="001F042B"/>
    <w:rsid w:val="00223DA7"/>
    <w:rsid w:val="002733A7"/>
    <w:rsid w:val="002C206F"/>
    <w:rsid w:val="002D56BA"/>
    <w:rsid w:val="002E2693"/>
    <w:rsid w:val="002F7B2D"/>
    <w:rsid w:val="00322035"/>
    <w:rsid w:val="003564ED"/>
    <w:rsid w:val="003B63B2"/>
    <w:rsid w:val="003F205D"/>
    <w:rsid w:val="0040517F"/>
    <w:rsid w:val="004368C7"/>
    <w:rsid w:val="00477E3D"/>
    <w:rsid w:val="00485728"/>
    <w:rsid w:val="004B7A89"/>
    <w:rsid w:val="004E42C1"/>
    <w:rsid w:val="00527C90"/>
    <w:rsid w:val="00540799"/>
    <w:rsid w:val="00546CBD"/>
    <w:rsid w:val="005B679A"/>
    <w:rsid w:val="00615E34"/>
    <w:rsid w:val="00631652"/>
    <w:rsid w:val="006728E1"/>
    <w:rsid w:val="00690DBF"/>
    <w:rsid w:val="006B23CD"/>
    <w:rsid w:val="006F2051"/>
    <w:rsid w:val="00717531"/>
    <w:rsid w:val="00725263"/>
    <w:rsid w:val="0079412A"/>
    <w:rsid w:val="00796CA8"/>
    <w:rsid w:val="007D73E1"/>
    <w:rsid w:val="00816742"/>
    <w:rsid w:val="008273CF"/>
    <w:rsid w:val="00880146"/>
    <w:rsid w:val="00885245"/>
    <w:rsid w:val="00891940"/>
    <w:rsid w:val="00963ADA"/>
    <w:rsid w:val="00A57445"/>
    <w:rsid w:val="00AB4E2A"/>
    <w:rsid w:val="00AE6CBD"/>
    <w:rsid w:val="00AF772F"/>
    <w:rsid w:val="00B4185F"/>
    <w:rsid w:val="00B83D31"/>
    <w:rsid w:val="00BA077B"/>
    <w:rsid w:val="00C3340C"/>
    <w:rsid w:val="00CA27C8"/>
    <w:rsid w:val="00CB1669"/>
    <w:rsid w:val="00CE05DE"/>
    <w:rsid w:val="00D04426"/>
    <w:rsid w:val="00D20DA4"/>
    <w:rsid w:val="00D95B45"/>
    <w:rsid w:val="00E04CB2"/>
    <w:rsid w:val="00E26F56"/>
    <w:rsid w:val="00E33070"/>
    <w:rsid w:val="00E946D4"/>
    <w:rsid w:val="00EA4E7A"/>
    <w:rsid w:val="00ED27E5"/>
    <w:rsid w:val="00ED33C1"/>
    <w:rsid w:val="00F31DD6"/>
    <w:rsid w:val="00F952D1"/>
    <w:rsid w:val="00FD60F9"/>
    <w:rsid w:val="00FF2A6B"/>
    <w:rsid w:val="012375FA"/>
    <w:rsid w:val="0196014B"/>
    <w:rsid w:val="01986DCB"/>
    <w:rsid w:val="02005B8D"/>
    <w:rsid w:val="02046F8A"/>
    <w:rsid w:val="02261C62"/>
    <w:rsid w:val="023B77C8"/>
    <w:rsid w:val="024A2C41"/>
    <w:rsid w:val="02B953D3"/>
    <w:rsid w:val="02DC56B0"/>
    <w:rsid w:val="02E560E8"/>
    <w:rsid w:val="033638BC"/>
    <w:rsid w:val="04A53787"/>
    <w:rsid w:val="04B213C1"/>
    <w:rsid w:val="04E20948"/>
    <w:rsid w:val="058645FB"/>
    <w:rsid w:val="068F6D0F"/>
    <w:rsid w:val="069C3C54"/>
    <w:rsid w:val="07045514"/>
    <w:rsid w:val="073256F9"/>
    <w:rsid w:val="075A7AEE"/>
    <w:rsid w:val="07F25F78"/>
    <w:rsid w:val="08E914C2"/>
    <w:rsid w:val="08EA3204"/>
    <w:rsid w:val="0A373DED"/>
    <w:rsid w:val="0A5B101A"/>
    <w:rsid w:val="0A7A0F19"/>
    <w:rsid w:val="0B287211"/>
    <w:rsid w:val="0B80600C"/>
    <w:rsid w:val="0C7E602C"/>
    <w:rsid w:val="0D074560"/>
    <w:rsid w:val="0D471FD0"/>
    <w:rsid w:val="0DBF524C"/>
    <w:rsid w:val="0DC23CCF"/>
    <w:rsid w:val="0DEB14A0"/>
    <w:rsid w:val="0E4447F7"/>
    <w:rsid w:val="0E682AF0"/>
    <w:rsid w:val="0EEC624B"/>
    <w:rsid w:val="0F296733"/>
    <w:rsid w:val="0F564FEF"/>
    <w:rsid w:val="10232267"/>
    <w:rsid w:val="119A52CC"/>
    <w:rsid w:val="11D329A9"/>
    <w:rsid w:val="1225566E"/>
    <w:rsid w:val="128A4873"/>
    <w:rsid w:val="12C66506"/>
    <w:rsid w:val="13C608B9"/>
    <w:rsid w:val="143359CC"/>
    <w:rsid w:val="15086F25"/>
    <w:rsid w:val="16784C85"/>
    <w:rsid w:val="1680548D"/>
    <w:rsid w:val="182A6BA6"/>
    <w:rsid w:val="18441C25"/>
    <w:rsid w:val="1890336F"/>
    <w:rsid w:val="18964DB2"/>
    <w:rsid w:val="19155381"/>
    <w:rsid w:val="19381467"/>
    <w:rsid w:val="197A706B"/>
    <w:rsid w:val="197E295B"/>
    <w:rsid w:val="1A43009A"/>
    <w:rsid w:val="1A6835ED"/>
    <w:rsid w:val="1B013245"/>
    <w:rsid w:val="1B737891"/>
    <w:rsid w:val="1BAE5363"/>
    <w:rsid w:val="1C4E1577"/>
    <w:rsid w:val="1CE56C4B"/>
    <w:rsid w:val="1D7F0913"/>
    <w:rsid w:val="1D900946"/>
    <w:rsid w:val="1E297CDA"/>
    <w:rsid w:val="1E472722"/>
    <w:rsid w:val="1E795AC7"/>
    <w:rsid w:val="22D60151"/>
    <w:rsid w:val="23706662"/>
    <w:rsid w:val="24C06B88"/>
    <w:rsid w:val="263F6458"/>
    <w:rsid w:val="26560EF1"/>
    <w:rsid w:val="26705ECD"/>
    <w:rsid w:val="26AA5B59"/>
    <w:rsid w:val="26FD715C"/>
    <w:rsid w:val="2886146E"/>
    <w:rsid w:val="29F066B0"/>
    <w:rsid w:val="2ACD2D2F"/>
    <w:rsid w:val="2EA46DEB"/>
    <w:rsid w:val="2F25260C"/>
    <w:rsid w:val="2F252ABD"/>
    <w:rsid w:val="2F7013AD"/>
    <w:rsid w:val="2FD933F6"/>
    <w:rsid w:val="301A759E"/>
    <w:rsid w:val="30772DDA"/>
    <w:rsid w:val="307F4167"/>
    <w:rsid w:val="3195318B"/>
    <w:rsid w:val="31F77BC2"/>
    <w:rsid w:val="32FA5DBA"/>
    <w:rsid w:val="335F4A81"/>
    <w:rsid w:val="350D73D3"/>
    <w:rsid w:val="35CD6336"/>
    <w:rsid w:val="361319E9"/>
    <w:rsid w:val="379608E9"/>
    <w:rsid w:val="38564F1B"/>
    <w:rsid w:val="386B15FB"/>
    <w:rsid w:val="387766BB"/>
    <w:rsid w:val="38AE01EB"/>
    <w:rsid w:val="38E6209F"/>
    <w:rsid w:val="38F7129E"/>
    <w:rsid w:val="39B44A4F"/>
    <w:rsid w:val="39F0209E"/>
    <w:rsid w:val="3A7C331E"/>
    <w:rsid w:val="3C0A6604"/>
    <w:rsid w:val="3C131844"/>
    <w:rsid w:val="3C131A3E"/>
    <w:rsid w:val="3C972E5F"/>
    <w:rsid w:val="3DF81A0A"/>
    <w:rsid w:val="3E381C93"/>
    <w:rsid w:val="3ED953EC"/>
    <w:rsid w:val="3F2446D7"/>
    <w:rsid w:val="40684965"/>
    <w:rsid w:val="40FB5D1B"/>
    <w:rsid w:val="41667B72"/>
    <w:rsid w:val="43A63197"/>
    <w:rsid w:val="43B9111D"/>
    <w:rsid w:val="43CA5201"/>
    <w:rsid w:val="445157F9"/>
    <w:rsid w:val="445E1745"/>
    <w:rsid w:val="44C30A62"/>
    <w:rsid w:val="44EE01CF"/>
    <w:rsid w:val="45034D45"/>
    <w:rsid w:val="45C55EC6"/>
    <w:rsid w:val="482A4A72"/>
    <w:rsid w:val="489664B9"/>
    <w:rsid w:val="49696031"/>
    <w:rsid w:val="4A2F63BA"/>
    <w:rsid w:val="4B654F6A"/>
    <w:rsid w:val="4B903C2C"/>
    <w:rsid w:val="4C3B0D25"/>
    <w:rsid w:val="4D8D09AD"/>
    <w:rsid w:val="4D9D1CC4"/>
    <w:rsid w:val="4EAC6E91"/>
    <w:rsid w:val="4F1C6995"/>
    <w:rsid w:val="4FF92705"/>
    <w:rsid w:val="50387632"/>
    <w:rsid w:val="50946199"/>
    <w:rsid w:val="51C45F8A"/>
    <w:rsid w:val="52750905"/>
    <w:rsid w:val="5316734A"/>
    <w:rsid w:val="53581E49"/>
    <w:rsid w:val="53BF62DB"/>
    <w:rsid w:val="54D74A08"/>
    <w:rsid w:val="564D11C4"/>
    <w:rsid w:val="5705691D"/>
    <w:rsid w:val="570F7A5E"/>
    <w:rsid w:val="575965E0"/>
    <w:rsid w:val="58A14277"/>
    <w:rsid w:val="59F8644B"/>
    <w:rsid w:val="5A8030E4"/>
    <w:rsid w:val="5B294982"/>
    <w:rsid w:val="5C545A2F"/>
    <w:rsid w:val="5C5E4003"/>
    <w:rsid w:val="5D794766"/>
    <w:rsid w:val="5D7A7EA1"/>
    <w:rsid w:val="5DEB75DC"/>
    <w:rsid w:val="5E9370EE"/>
    <w:rsid w:val="5F146DD1"/>
    <w:rsid w:val="5F643ACD"/>
    <w:rsid w:val="5F643BFE"/>
    <w:rsid w:val="5F6B37BB"/>
    <w:rsid w:val="5F8B56A5"/>
    <w:rsid w:val="60244AC1"/>
    <w:rsid w:val="60593F9F"/>
    <w:rsid w:val="611C05BC"/>
    <w:rsid w:val="62591744"/>
    <w:rsid w:val="62F277E6"/>
    <w:rsid w:val="63202D5A"/>
    <w:rsid w:val="642A1A22"/>
    <w:rsid w:val="65610AE6"/>
    <w:rsid w:val="659673E1"/>
    <w:rsid w:val="65D31FB8"/>
    <w:rsid w:val="66434A01"/>
    <w:rsid w:val="668C1347"/>
    <w:rsid w:val="66F0188A"/>
    <w:rsid w:val="67E55EF8"/>
    <w:rsid w:val="68617A69"/>
    <w:rsid w:val="687F19DA"/>
    <w:rsid w:val="6880042B"/>
    <w:rsid w:val="68E721D3"/>
    <w:rsid w:val="68FC7602"/>
    <w:rsid w:val="69751022"/>
    <w:rsid w:val="69CC12FA"/>
    <w:rsid w:val="69CE3464"/>
    <w:rsid w:val="6AA05B7D"/>
    <w:rsid w:val="6AE21919"/>
    <w:rsid w:val="6B6317EA"/>
    <w:rsid w:val="6C1D31AD"/>
    <w:rsid w:val="6CCE0EE6"/>
    <w:rsid w:val="6CEC3579"/>
    <w:rsid w:val="6D1C6FDF"/>
    <w:rsid w:val="6D266F73"/>
    <w:rsid w:val="6D747729"/>
    <w:rsid w:val="6DE24C48"/>
    <w:rsid w:val="6EA057D2"/>
    <w:rsid w:val="6F732038"/>
    <w:rsid w:val="6F993367"/>
    <w:rsid w:val="6FD360C5"/>
    <w:rsid w:val="709E6AD1"/>
    <w:rsid w:val="71792369"/>
    <w:rsid w:val="71BA0AFB"/>
    <w:rsid w:val="721E621C"/>
    <w:rsid w:val="72231B12"/>
    <w:rsid w:val="72386804"/>
    <w:rsid w:val="73BD39A6"/>
    <w:rsid w:val="7438751D"/>
    <w:rsid w:val="75572C4E"/>
    <w:rsid w:val="757E5B9F"/>
    <w:rsid w:val="75933079"/>
    <w:rsid w:val="75B01451"/>
    <w:rsid w:val="75EB1328"/>
    <w:rsid w:val="76005E71"/>
    <w:rsid w:val="762E2245"/>
    <w:rsid w:val="7662438F"/>
    <w:rsid w:val="779C1F25"/>
    <w:rsid w:val="7844150C"/>
    <w:rsid w:val="78CB247D"/>
    <w:rsid w:val="792C4472"/>
    <w:rsid w:val="7A1A39BC"/>
    <w:rsid w:val="7A25474D"/>
    <w:rsid w:val="7A7D2BAF"/>
    <w:rsid w:val="7B771530"/>
    <w:rsid w:val="7BDA41D2"/>
    <w:rsid w:val="7BEA75F6"/>
    <w:rsid w:val="7C10780F"/>
    <w:rsid w:val="7C4F3DF1"/>
    <w:rsid w:val="7C8F1F73"/>
    <w:rsid w:val="7CD14CD1"/>
    <w:rsid w:val="7CF60306"/>
    <w:rsid w:val="7D330E3C"/>
    <w:rsid w:val="7DD54CAE"/>
    <w:rsid w:val="7EAB0300"/>
    <w:rsid w:val="7F544A56"/>
    <w:rsid w:val="7F9072E2"/>
    <w:rsid w:val="7FDC1E3F"/>
    <w:rsid w:val="7FEF126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9" w:semiHidden="0" w:name="heading 2"/>
    <w:lsdException w:qFormat="1" w:unhideWhenUsed="0" w:uiPriority="9" w:semiHidden="0" w:name="heading 3"/>
    <w:lsdException w:qFormat="1" w:unhideWhenUsed="0" w:uiPriority="9" w:semiHidden="0" w:name="heading 4"/>
    <w:lsdException w:qFormat="1" w:unhideWhenUsed="0" w:uiPriority="9" w:semiHidden="0"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qFormat="1" w:uiPriority="39" w:semiHidden="0" w:name="toc 4"/>
    <w:lsdException w:qFormat="1" w:uiPriority="39" w:semiHidden="0" w:name="toc 5"/>
    <w:lsdException w:qFormat="1" w:uiPriority="39" w:semiHidden="0" w:name="toc 6"/>
    <w:lsdException w:qFormat="1" w:uiPriority="39" w:semiHidden="0" w:name="toc 7"/>
    <w:lsdException w:qFormat="1" w:uiPriority="39" w:semiHidden="0" w:name="toc 8"/>
    <w:lsdException w:qFormat="1" w:uiPriority="39" w:semiHidden="0" w:name="toc 9"/>
    <w:lsdException w:qFormat="1" w:uiPriority="99" w:semiHidden="0" w:name="Normal Indent"/>
    <w:lsdException w:uiPriority="99" w:name="footnote text"/>
    <w:lsdException w:qFormat="1" w:uiPriority="0" w:semiHidden="0" w:name="annotation text"/>
    <w:lsdException w:qFormat="1" w:uiPriority="99" w:semiHidden="0" w:name="header"/>
    <w:lsdException w:qFormat="1" w:uiPriority="99" w:semiHidden="0" w:name="footer"/>
    <w:lsdException w:uiPriority="99" w:name="index heading"/>
    <w:lsdException w:qFormat="1" w:unhideWhenUsed="0" w:uiPriority="35" w:semiHidden="0" w:name="caption"/>
    <w:lsdException w:uiPriority="99" w:name="table of figures"/>
    <w:lsdException w:uiPriority="99" w:name="envelope address"/>
    <w:lsdException w:uiPriority="99" w:name="envelope return"/>
    <w:lsdException w:uiPriority="99" w:name="footnote reference"/>
    <w:lsdException w:qFormat="1" w:uiPriority="99" w:semiHidden="0" w:name="annotation reference"/>
    <w:lsdException w:uiPriority="99" w:name="line number"/>
    <w:lsdException w:qFormat="1"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qFormat="1" w:uiPriority="99" w:semiHidden="0"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qFormat="1" w:uiPriority="99" w:semiHidden="0" w:name="Date"/>
    <w:lsdException w:uiPriority="99" w:name="Body Text First Indent"/>
    <w:lsdException w:qFormat="1" w:unhideWhenUsed="0" w:uiPriority="0" w:semiHidden="0" w:name="Body Text First Indent 2"/>
    <w:lsdException w:uiPriority="99" w:name="Note Heading"/>
    <w:lsdException w:uiPriority="99" w:name="Body Text 2"/>
    <w:lsdException w:qFormat="1" w:uiPriority="99" w:semiHidden="0" w:name="Body Text 3"/>
    <w:lsdException w:qFormat="1" w:uiPriority="99" w:semiHidden="0" w:name="Body Text Indent 2"/>
    <w:lsdException w:qFormat="1" w:uiPriority="0" w:semiHidden="0" w:name="Body Text Indent 3"/>
    <w:lsdException w:uiPriority="99" w:name="Block Text"/>
    <w:lsdException w:qFormat="1" w:uiPriority="99" w:semiHidden="0" w:name="Hyperlink"/>
    <w:lsdException w:qFormat="1" w:uiPriority="99" w:semiHidden="0" w:name="FollowedHyperlink"/>
    <w:lsdException w:qFormat="1" w:unhideWhenUsed="0" w:uiPriority="22" w:semiHidden="0" w:name="Strong"/>
    <w:lsdException w:qFormat="1" w:unhideWhenUsed="0" w:uiPriority="20" w:semiHidden="0" w:name="Emphasis"/>
    <w:lsdException w:qFormat="1" w:uiPriority="99" w:semiHidden="0" w:name="Document Map"/>
    <w:lsdException w:qFormat="1" w:unhideWhenUsed="0" w:uiPriority="0" w:semiHidden="0"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qFormat="1" w:uiPriority="99"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semiHidden="0" w:name="Table Web 2"/>
    <w:lsdException w:uiPriority="99" w:semiHidden="0" w:name="Table Web 3"/>
    <w:lsdException w:qFormat="1" w:uiPriority="99" w:semiHidden="0" w:name="Balloon Text"/>
    <w:lsdException w:uiPriority="39" w:semiHidden="0" w:name="Table Grid"/>
    <w:lsdException w:uiPriority="99"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3">
    <w:name w:val="heading 1"/>
    <w:basedOn w:val="1"/>
    <w:next w:val="1"/>
    <w:link w:val="42"/>
    <w:qFormat/>
    <w:uiPriority w:val="9"/>
    <w:pPr>
      <w:keepNext/>
      <w:keepLines/>
      <w:spacing w:before="340" w:after="330" w:line="576" w:lineRule="auto"/>
      <w:outlineLvl w:val="0"/>
    </w:pPr>
    <w:rPr>
      <w:b/>
      <w:bCs/>
      <w:kern w:val="44"/>
      <w:sz w:val="44"/>
      <w:szCs w:val="44"/>
    </w:rPr>
  </w:style>
  <w:style w:type="paragraph" w:styleId="4">
    <w:name w:val="heading 2"/>
    <w:basedOn w:val="1"/>
    <w:next w:val="1"/>
    <w:link w:val="43"/>
    <w:qFormat/>
    <w:uiPriority w:val="9"/>
    <w:pPr>
      <w:keepNext/>
      <w:keepLines/>
      <w:spacing w:before="260" w:after="260" w:line="413" w:lineRule="auto"/>
      <w:outlineLvl w:val="1"/>
    </w:pPr>
    <w:rPr>
      <w:rFonts w:ascii="Arial" w:hAnsi="Arial" w:eastAsia="黑体"/>
      <w:b/>
      <w:bCs/>
      <w:sz w:val="32"/>
      <w:szCs w:val="32"/>
    </w:rPr>
  </w:style>
  <w:style w:type="paragraph" w:styleId="5">
    <w:name w:val="heading 3"/>
    <w:basedOn w:val="1"/>
    <w:next w:val="1"/>
    <w:link w:val="44"/>
    <w:qFormat/>
    <w:uiPriority w:val="9"/>
    <w:pPr>
      <w:keepNext/>
      <w:keepLines/>
      <w:spacing w:line="600" w:lineRule="exact"/>
      <w:ind w:firstLine="643" w:firstLineChars="200"/>
      <w:outlineLvl w:val="2"/>
    </w:pPr>
    <w:rPr>
      <w:b/>
      <w:bCs/>
      <w:sz w:val="32"/>
      <w:szCs w:val="32"/>
    </w:rPr>
  </w:style>
  <w:style w:type="paragraph" w:styleId="6">
    <w:name w:val="heading 4"/>
    <w:basedOn w:val="1"/>
    <w:next w:val="1"/>
    <w:link w:val="45"/>
    <w:qFormat/>
    <w:uiPriority w:val="9"/>
    <w:pPr>
      <w:tabs>
        <w:tab w:val="left" w:pos="2155"/>
      </w:tabs>
      <w:adjustRightInd w:val="0"/>
      <w:spacing w:before="120" w:line="360" w:lineRule="auto"/>
      <w:ind w:left="2155" w:hanging="1078"/>
      <w:textAlignment w:val="baseline"/>
      <w:outlineLvl w:val="3"/>
    </w:pPr>
    <w:rPr>
      <w:rFonts w:ascii="Arial" w:eastAsia="黑体"/>
      <w:kern w:val="0"/>
      <w:sz w:val="28"/>
      <w:szCs w:val="20"/>
    </w:rPr>
  </w:style>
  <w:style w:type="paragraph" w:styleId="7">
    <w:name w:val="heading 5"/>
    <w:basedOn w:val="1"/>
    <w:next w:val="1"/>
    <w:link w:val="46"/>
    <w:qFormat/>
    <w:uiPriority w:val="9"/>
    <w:pPr>
      <w:keepNext/>
      <w:keepLines/>
      <w:spacing w:before="280" w:after="290" w:line="376" w:lineRule="auto"/>
      <w:outlineLvl w:val="4"/>
    </w:pPr>
    <w:rPr>
      <w:b/>
      <w:bCs/>
      <w:sz w:val="28"/>
      <w:szCs w:val="28"/>
    </w:rPr>
  </w:style>
  <w:style w:type="character" w:default="1" w:styleId="36">
    <w:name w:val="Default Paragraph Font"/>
    <w:semiHidden/>
    <w:unhideWhenUsed/>
    <w:qFormat/>
    <w:uiPriority w:val="1"/>
  </w:style>
  <w:style w:type="table" w:default="1" w:styleId="35">
    <w:name w:val="Normal Table"/>
    <w:semiHidden/>
    <w:unhideWhenUsed/>
    <w:qFormat/>
    <w:uiPriority w:val="99"/>
    <w:tblPr>
      <w:tblCellMar>
        <w:top w:w="0" w:type="dxa"/>
        <w:left w:w="108" w:type="dxa"/>
        <w:bottom w:w="0" w:type="dxa"/>
        <w:right w:w="108" w:type="dxa"/>
      </w:tblCellMar>
    </w:tblPr>
  </w:style>
  <w:style w:type="paragraph" w:styleId="2">
    <w:name w:val="Body Text"/>
    <w:basedOn w:val="1"/>
    <w:next w:val="1"/>
    <w:link w:val="41"/>
    <w:qFormat/>
    <w:uiPriority w:val="0"/>
    <w:pPr>
      <w:spacing w:after="120"/>
    </w:pPr>
  </w:style>
  <w:style w:type="paragraph" w:styleId="8">
    <w:name w:val="toc 7"/>
    <w:basedOn w:val="1"/>
    <w:next w:val="1"/>
    <w:unhideWhenUsed/>
    <w:qFormat/>
    <w:uiPriority w:val="39"/>
    <w:pPr>
      <w:jc w:val="left"/>
    </w:pPr>
    <w:rPr>
      <w:rFonts w:ascii="Calibri" w:hAnsi="Calibri"/>
      <w:sz w:val="22"/>
      <w:szCs w:val="22"/>
    </w:rPr>
  </w:style>
  <w:style w:type="paragraph" w:styleId="9">
    <w:name w:val="Normal Indent"/>
    <w:basedOn w:val="1"/>
    <w:unhideWhenUsed/>
    <w:qFormat/>
    <w:uiPriority w:val="99"/>
    <w:pPr>
      <w:ind w:firstLine="420"/>
    </w:pPr>
    <w:rPr>
      <w:szCs w:val="20"/>
    </w:rPr>
  </w:style>
  <w:style w:type="paragraph" w:styleId="10">
    <w:name w:val="caption"/>
    <w:basedOn w:val="1"/>
    <w:next w:val="1"/>
    <w:qFormat/>
    <w:uiPriority w:val="35"/>
    <w:pPr>
      <w:spacing w:before="152" w:after="160"/>
    </w:pPr>
    <w:rPr>
      <w:rFonts w:ascii="Arial" w:hAnsi="Arial" w:eastAsia="黑体" w:cs="Arial"/>
      <w:sz w:val="20"/>
      <w:szCs w:val="20"/>
    </w:rPr>
  </w:style>
  <w:style w:type="paragraph" w:styleId="11">
    <w:name w:val="Document Map"/>
    <w:basedOn w:val="1"/>
    <w:link w:val="53"/>
    <w:unhideWhenUsed/>
    <w:qFormat/>
    <w:uiPriority w:val="99"/>
    <w:rPr>
      <w:rFonts w:ascii="宋体"/>
      <w:sz w:val="18"/>
      <w:szCs w:val="18"/>
    </w:rPr>
  </w:style>
  <w:style w:type="paragraph" w:styleId="12">
    <w:name w:val="annotation text"/>
    <w:basedOn w:val="1"/>
    <w:link w:val="55"/>
    <w:unhideWhenUsed/>
    <w:qFormat/>
    <w:uiPriority w:val="0"/>
    <w:pPr>
      <w:jc w:val="left"/>
    </w:pPr>
  </w:style>
  <w:style w:type="paragraph" w:styleId="13">
    <w:name w:val="Body Text 3"/>
    <w:basedOn w:val="1"/>
    <w:link w:val="56"/>
    <w:unhideWhenUsed/>
    <w:qFormat/>
    <w:uiPriority w:val="99"/>
    <w:pPr>
      <w:spacing w:after="120"/>
    </w:pPr>
    <w:rPr>
      <w:sz w:val="16"/>
      <w:szCs w:val="16"/>
    </w:rPr>
  </w:style>
  <w:style w:type="paragraph" w:styleId="14">
    <w:name w:val="Body Text Indent"/>
    <w:basedOn w:val="1"/>
    <w:next w:val="1"/>
    <w:link w:val="58"/>
    <w:qFormat/>
    <w:uiPriority w:val="0"/>
    <w:pPr>
      <w:spacing w:line="200" w:lineRule="exact"/>
      <w:ind w:firstLine="301"/>
    </w:pPr>
    <w:rPr>
      <w:rFonts w:ascii="宋体" w:hAnsi="Courier New"/>
      <w:spacing w:val="-4"/>
      <w:sz w:val="18"/>
      <w:szCs w:val="20"/>
    </w:rPr>
  </w:style>
  <w:style w:type="paragraph" w:styleId="15">
    <w:name w:val="toc 5"/>
    <w:basedOn w:val="1"/>
    <w:next w:val="1"/>
    <w:unhideWhenUsed/>
    <w:qFormat/>
    <w:uiPriority w:val="39"/>
    <w:pPr>
      <w:jc w:val="left"/>
    </w:pPr>
    <w:rPr>
      <w:rFonts w:ascii="Calibri" w:hAnsi="Calibri"/>
      <w:sz w:val="22"/>
      <w:szCs w:val="22"/>
    </w:rPr>
  </w:style>
  <w:style w:type="paragraph" w:styleId="16">
    <w:name w:val="toc 3"/>
    <w:basedOn w:val="1"/>
    <w:next w:val="1"/>
    <w:unhideWhenUsed/>
    <w:qFormat/>
    <w:uiPriority w:val="39"/>
    <w:pPr>
      <w:jc w:val="left"/>
    </w:pPr>
    <w:rPr>
      <w:rFonts w:ascii="Calibri" w:hAnsi="Calibri"/>
      <w:smallCaps/>
      <w:sz w:val="22"/>
      <w:szCs w:val="22"/>
    </w:rPr>
  </w:style>
  <w:style w:type="paragraph" w:styleId="17">
    <w:name w:val="Plain Text"/>
    <w:basedOn w:val="1"/>
    <w:next w:val="6"/>
    <w:link w:val="59"/>
    <w:qFormat/>
    <w:uiPriority w:val="0"/>
    <w:rPr>
      <w:rFonts w:ascii="宋体" w:hAnsi="Courier New"/>
      <w:szCs w:val="20"/>
    </w:rPr>
  </w:style>
  <w:style w:type="paragraph" w:styleId="18">
    <w:name w:val="toc 8"/>
    <w:basedOn w:val="1"/>
    <w:next w:val="1"/>
    <w:unhideWhenUsed/>
    <w:qFormat/>
    <w:uiPriority w:val="39"/>
    <w:pPr>
      <w:jc w:val="left"/>
    </w:pPr>
    <w:rPr>
      <w:rFonts w:ascii="Calibri" w:hAnsi="Calibri"/>
      <w:sz w:val="22"/>
      <w:szCs w:val="22"/>
    </w:rPr>
  </w:style>
  <w:style w:type="paragraph" w:styleId="19">
    <w:name w:val="Date"/>
    <w:basedOn w:val="1"/>
    <w:next w:val="1"/>
    <w:link w:val="60"/>
    <w:unhideWhenUsed/>
    <w:qFormat/>
    <w:uiPriority w:val="99"/>
    <w:pPr>
      <w:ind w:left="100" w:leftChars="2500"/>
    </w:pPr>
  </w:style>
  <w:style w:type="paragraph" w:styleId="20">
    <w:name w:val="Body Text Indent 2"/>
    <w:basedOn w:val="1"/>
    <w:link w:val="61"/>
    <w:unhideWhenUsed/>
    <w:qFormat/>
    <w:uiPriority w:val="99"/>
    <w:pPr>
      <w:spacing w:after="120" w:line="480" w:lineRule="auto"/>
      <w:ind w:left="420" w:leftChars="200"/>
    </w:pPr>
  </w:style>
  <w:style w:type="paragraph" w:styleId="21">
    <w:name w:val="Balloon Text"/>
    <w:basedOn w:val="1"/>
    <w:link w:val="63"/>
    <w:unhideWhenUsed/>
    <w:qFormat/>
    <w:uiPriority w:val="99"/>
    <w:rPr>
      <w:sz w:val="18"/>
      <w:szCs w:val="18"/>
    </w:rPr>
  </w:style>
  <w:style w:type="paragraph" w:styleId="22">
    <w:name w:val="footer"/>
    <w:basedOn w:val="1"/>
    <w:link w:val="64"/>
    <w:unhideWhenUsed/>
    <w:qFormat/>
    <w:uiPriority w:val="99"/>
    <w:pPr>
      <w:tabs>
        <w:tab w:val="center" w:pos="4153"/>
        <w:tab w:val="right" w:pos="8306"/>
      </w:tabs>
      <w:snapToGrid w:val="0"/>
      <w:jc w:val="left"/>
    </w:pPr>
    <w:rPr>
      <w:sz w:val="18"/>
      <w:szCs w:val="18"/>
    </w:rPr>
  </w:style>
  <w:style w:type="paragraph" w:styleId="23">
    <w:name w:val="header"/>
    <w:basedOn w:val="1"/>
    <w:link w:val="65"/>
    <w:unhideWhenUsed/>
    <w:qFormat/>
    <w:uiPriority w:val="99"/>
    <w:pPr>
      <w:pBdr>
        <w:bottom w:val="single" w:color="auto" w:sz="6" w:space="1"/>
      </w:pBdr>
      <w:tabs>
        <w:tab w:val="center" w:pos="4153"/>
        <w:tab w:val="right" w:pos="8306"/>
      </w:tabs>
      <w:snapToGrid w:val="0"/>
      <w:jc w:val="center"/>
    </w:pPr>
    <w:rPr>
      <w:sz w:val="18"/>
      <w:szCs w:val="18"/>
    </w:rPr>
  </w:style>
  <w:style w:type="paragraph" w:styleId="24">
    <w:name w:val="toc 1"/>
    <w:basedOn w:val="1"/>
    <w:next w:val="1"/>
    <w:unhideWhenUsed/>
    <w:qFormat/>
    <w:uiPriority w:val="39"/>
    <w:pPr>
      <w:spacing w:before="360" w:after="360"/>
      <w:jc w:val="left"/>
    </w:pPr>
    <w:rPr>
      <w:rFonts w:ascii="Calibri" w:hAnsi="Calibri"/>
      <w:b/>
      <w:bCs/>
      <w:caps/>
      <w:sz w:val="22"/>
      <w:szCs w:val="22"/>
      <w:u w:val="single"/>
    </w:rPr>
  </w:style>
  <w:style w:type="paragraph" w:styleId="25">
    <w:name w:val="toc 4"/>
    <w:basedOn w:val="1"/>
    <w:next w:val="1"/>
    <w:unhideWhenUsed/>
    <w:qFormat/>
    <w:uiPriority w:val="39"/>
    <w:pPr>
      <w:jc w:val="left"/>
    </w:pPr>
    <w:rPr>
      <w:rFonts w:ascii="Calibri" w:hAnsi="Calibri"/>
      <w:sz w:val="22"/>
      <w:szCs w:val="22"/>
    </w:rPr>
  </w:style>
  <w:style w:type="paragraph" w:styleId="26">
    <w:name w:val="List"/>
    <w:basedOn w:val="1"/>
    <w:unhideWhenUsed/>
    <w:qFormat/>
    <w:uiPriority w:val="99"/>
    <w:pPr>
      <w:ind w:left="200" w:hanging="200" w:hangingChars="200"/>
    </w:pPr>
    <w:rPr>
      <w:sz w:val="28"/>
    </w:rPr>
  </w:style>
  <w:style w:type="paragraph" w:styleId="27">
    <w:name w:val="toc 6"/>
    <w:basedOn w:val="1"/>
    <w:next w:val="1"/>
    <w:unhideWhenUsed/>
    <w:qFormat/>
    <w:uiPriority w:val="39"/>
    <w:pPr>
      <w:jc w:val="left"/>
    </w:pPr>
    <w:rPr>
      <w:rFonts w:ascii="Calibri" w:hAnsi="Calibri"/>
      <w:sz w:val="22"/>
      <w:szCs w:val="22"/>
    </w:rPr>
  </w:style>
  <w:style w:type="paragraph" w:styleId="28">
    <w:name w:val="Body Text Indent 3"/>
    <w:basedOn w:val="1"/>
    <w:unhideWhenUsed/>
    <w:qFormat/>
    <w:uiPriority w:val="0"/>
    <w:pPr>
      <w:spacing w:after="120"/>
      <w:ind w:left="420" w:leftChars="200"/>
    </w:pPr>
    <w:rPr>
      <w:sz w:val="16"/>
      <w:szCs w:val="16"/>
    </w:rPr>
  </w:style>
  <w:style w:type="paragraph" w:styleId="29">
    <w:name w:val="toc 2"/>
    <w:basedOn w:val="1"/>
    <w:next w:val="1"/>
    <w:unhideWhenUsed/>
    <w:qFormat/>
    <w:uiPriority w:val="39"/>
    <w:pPr>
      <w:jc w:val="left"/>
    </w:pPr>
    <w:rPr>
      <w:rFonts w:ascii="Calibri" w:hAnsi="Calibri"/>
      <w:b/>
      <w:bCs/>
      <w:smallCaps/>
      <w:sz w:val="22"/>
      <w:szCs w:val="22"/>
    </w:rPr>
  </w:style>
  <w:style w:type="paragraph" w:styleId="30">
    <w:name w:val="toc 9"/>
    <w:basedOn w:val="1"/>
    <w:next w:val="1"/>
    <w:unhideWhenUsed/>
    <w:qFormat/>
    <w:uiPriority w:val="39"/>
    <w:pPr>
      <w:jc w:val="left"/>
    </w:pPr>
    <w:rPr>
      <w:rFonts w:ascii="Calibri" w:hAnsi="Calibri"/>
      <w:sz w:val="22"/>
      <w:szCs w:val="22"/>
    </w:rPr>
  </w:style>
  <w:style w:type="paragraph" w:styleId="31">
    <w:name w:val="Normal (Web)"/>
    <w:basedOn w:val="1"/>
    <w:semiHidden/>
    <w:unhideWhenUsed/>
    <w:qFormat/>
    <w:uiPriority w:val="99"/>
    <w:pPr>
      <w:spacing w:beforeAutospacing="1" w:afterAutospacing="1"/>
      <w:jc w:val="left"/>
    </w:pPr>
    <w:rPr>
      <w:kern w:val="0"/>
      <w:sz w:val="24"/>
    </w:rPr>
  </w:style>
  <w:style w:type="paragraph" w:styleId="32">
    <w:name w:val="annotation subject"/>
    <w:basedOn w:val="12"/>
    <w:next w:val="12"/>
    <w:link w:val="66"/>
    <w:unhideWhenUsed/>
    <w:qFormat/>
    <w:uiPriority w:val="99"/>
    <w:rPr>
      <w:b/>
      <w:bCs/>
    </w:rPr>
  </w:style>
  <w:style w:type="paragraph" w:styleId="33">
    <w:name w:val="Body Text First Indent 2"/>
    <w:basedOn w:val="14"/>
    <w:next w:val="34"/>
    <w:link w:val="68"/>
    <w:qFormat/>
    <w:uiPriority w:val="0"/>
    <w:pPr>
      <w:spacing w:after="120" w:line="240" w:lineRule="auto"/>
      <w:ind w:left="420" w:leftChars="200" w:firstLine="420" w:firstLineChars="200"/>
    </w:pPr>
    <w:rPr>
      <w:szCs w:val="24"/>
    </w:rPr>
  </w:style>
  <w:style w:type="paragraph" w:styleId="34">
    <w:name w:val="Intense Quote"/>
    <w:basedOn w:val="1"/>
    <w:next w:val="1"/>
    <w:link w:val="67"/>
    <w:qFormat/>
    <w:uiPriority w:val="0"/>
    <w:pPr>
      <w:pBdr>
        <w:bottom w:val="single" w:color="4F81BD" w:sz="4" w:space="4"/>
      </w:pBdr>
      <w:ind w:left="936" w:right="936"/>
    </w:pPr>
    <w:rPr>
      <w:rFonts w:ascii="Calibri" w:hAnsi="Calibri"/>
      <w:b/>
      <w:i/>
      <w:color w:val="4F81BD"/>
    </w:rPr>
  </w:style>
  <w:style w:type="character" w:styleId="37">
    <w:name w:val="page number"/>
    <w:unhideWhenUsed/>
    <w:qFormat/>
    <w:uiPriority w:val="0"/>
  </w:style>
  <w:style w:type="character" w:styleId="38">
    <w:name w:val="FollowedHyperlink"/>
    <w:unhideWhenUsed/>
    <w:qFormat/>
    <w:uiPriority w:val="99"/>
    <w:rPr>
      <w:color w:val="800080"/>
      <w:u w:val="single"/>
    </w:rPr>
  </w:style>
  <w:style w:type="character" w:styleId="39">
    <w:name w:val="Hyperlink"/>
    <w:unhideWhenUsed/>
    <w:qFormat/>
    <w:uiPriority w:val="99"/>
    <w:rPr>
      <w:color w:val="0000FF"/>
      <w:u w:val="single"/>
    </w:rPr>
  </w:style>
  <w:style w:type="character" w:styleId="40">
    <w:name w:val="annotation reference"/>
    <w:unhideWhenUsed/>
    <w:qFormat/>
    <w:uiPriority w:val="99"/>
    <w:rPr>
      <w:sz w:val="21"/>
      <w:szCs w:val="21"/>
    </w:rPr>
  </w:style>
  <w:style w:type="character" w:customStyle="1" w:styleId="41">
    <w:name w:val="正文文本 Char"/>
    <w:link w:val="2"/>
    <w:qFormat/>
    <w:uiPriority w:val="0"/>
    <w:rPr>
      <w:rFonts w:ascii="Times New Roman" w:hAnsi="Times New Roman" w:eastAsia="宋体" w:cs="Times New Roman"/>
      <w:szCs w:val="24"/>
    </w:rPr>
  </w:style>
  <w:style w:type="character" w:customStyle="1" w:styleId="42">
    <w:name w:val="标题 1 Char"/>
    <w:link w:val="3"/>
    <w:qFormat/>
    <w:uiPriority w:val="9"/>
    <w:rPr>
      <w:rFonts w:ascii="Times New Roman" w:hAnsi="Times New Roman" w:eastAsia="宋体" w:cs="Times New Roman"/>
      <w:b/>
      <w:bCs/>
      <w:kern w:val="44"/>
      <w:sz w:val="44"/>
      <w:szCs w:val="44"/>
    </w:rPr>
  </w:style>
  <w:style w:type="character" w:customStyle="1" w:styleId="43">
    <w:name w:val="标题 2 Char1"/>
    <w:link w:val="4"/>
    <w:qFormat/>
    <w:uiPriority w:val="9"/>
    <w:rPr>
      <w:rFonts w:ascii="Arial" w:hAnsi="Arial" w:eastAsia="黑体" w:cs="Times New Roman"/>
      <w:b/>
      <w:bCs/>
      <w:sz w:val="32"/>
      <w:szCs w:val="32"/>
    </w:rPr>
  </w:style>
  <w:style w:type="character" w:customStyle="1" w:styleId="44">
    <w:name w:val="标题 3 Char"/>
    <w:link w:val="5"/>
    <w:qFormat/>
    <w:uiPriority w:val="9"/>
    <w:rPr>
      <w:rFonts w:ascii="Times New Roman" w:hAnsi="Times New Roman" w:eastAsia="宋体" w:cs="Times New Roman"/>
      <w:b/>
      <w:bCs/>
      <w:sz w:val="32"/>
      <w:szCs w:val="32"/>
    </w:rPr>
  </w:style>
  <w:style w:type="character" w:customStyle="1" w:styleId="45">
    <w:name w:val="标题 4 Char"/>
    <w:link w:val="6"/>
    <w:qFormat/>
    <w:uiPriority w:val="9"/>
    <w:rPr>
      <w:rFonts w:ascii="Arial" w:hAnsi="Times New Roman" w:eastAsia="黑体" w:cs="Times New Roman"/>
      <w:kern w:val="0"/>
      <w:sz w:val="28"/>
      <w:szCs w:val="20"/>
    </w:rPr>
  </w:style>
  <w:style w:type="character" w:customStyle="1" w:styleId="46">
    <w:name w:val="标题 5 Char"/>
    <w:link w:val="7"/>
    <w:qFormat/>
    <w:uiPriority w:val="9"/>
    <w:rPr>
      <w:rFonts w:ascii="Times New Roman" w:hAnsi="Times New Roman" w:eastAsia="宋体" w:cs="Times New Roman"/>
      <w:b/>
      <w:bCs/>
      <w:sz w:val="28"/>
      <w:szCs w:val="28"/>
    </w:rPr>
  </w:style>
  <w:style w:type="character" w:customStyle="1" w:styleId="47">
    <w:name w:val="标题 1 字符"/>
    <w:basedOn w:val="36"/>
    <w:qFormat/>
    <w:uiPriority w:val="0"/>
    <w:rPr>
      <w:rFonts w:ascii="Times New Roman" w:hAnsi="Times New Roman" w:eastAsia="宋体" w:cs="Times New Roman"/>
      <w:b/>
      <w:bCs/>
      <w:kern w:val="44"/>
      <w:sz w:val="44"/>
      <w:szCs w:val="44"/>
    </w:rPr>
  </w:style>
  <w:style w:type="character" w:customStyle="1" w:styleId="48">
    <w:name w:val="标题 2 字符"/>
    <w:basedOn w:val="36"/>
    <w:qFormat/>
    <w:uiPriority w:val="0"/>
    <w:rPr>
      <w:rFonts w:asciiTheme="majorHAnsi" w:hAnsiTheme="majorHAnsi" w:eastAsiaTheme="majorEastAsia" w:cstheme="majorBidi"/>
      <w:b/>
      <w:bCs/>
      <w:sz w:val="32"/>
      <w:szCs w:val="32"/>
    </w:rPr>
  </w:style>
  <w:style w:type="character" w:customStyle="1" w:styleId="49">
    <w:name w:val="标题 3 字符"/>
    <w:basedOn w:val="36"/>
    <w:qFormat/>
    <w:uiPriority w:val="0"/>
    <w:rPr>
      <w:rFonts w:ascii="Times New Roman" w:hAnsi="Times New Roman" w:eastAsia="宋体" w:cs="Times New Roman"/>
      <w:b/>
      <w:bCs/>
      <w:sz w:val="32"/>
      <w:szCs w:val="32"/>
    </w:rPr>
  </w:style>
  <w:style w:type="character" w:customStyle="1" w:styleId="50">
    <w:name w:val="标题 4 字符"/>
    <w:basedOn w:val="36"/>
    <w:qFormat/>
    <w:uiPriority w:val="0"/>
    <w:rPr>
      <w:rFonts w:asciiTheme="majorHAnsi" w:hAnsiTheme="majorHAnsi" w:eastAsiaTheme="majorEastAsia" w:cstheme="majorBidi"/>
      <w:b/>
      <w:bCs/>
      <w:sz w:val="28"/>
      <w:szCs w:val="28"/>
    </w:rPr>
  </w:style>
  <w:style w:type="character" w:customStyle="1" w:styleId="51">
    <w:name w:val="标题 5 字符"/>
    <w:basedOn w:val="36"/>
    <w:qFormat/>
    <w:uiPriority w:val="9"/>
    <w:rPr>
      <w:rFonts w:ascii="Times New Roman" w:hAnsi="Times New Roman" w:eastAsia="宋体" w:cs="Times New Roman"/>
      <w:b/>
      <w:bCs/>
      <w:sz w:val="28"/>
      <w:szCs w:val="28"/>
    </w:rPr>
  </w:style>
  <w:style w:type="character" w:customStyle="1" w:styleId="52">
    <w:name w:val="正文文本 字符"/>
    <w:basedOn w:val="36"/>
    <w:qFormat/>
    <w:uiPriority w:val="99"/>
    <w:rPr>
      <w:rFonts w:ascii="Times New Roman" w:hAnsi="Times New Roman" w:eastAsia="宋体" w:cs="Times New Roman"/>
      <w:szCs w:val="24"/>
    </w:rPr>
  </w:style>
  <w:style w:type="character" w:customStyle="1" w:styleId="53">
    <w:name w:val="文档结构图 Char"/>
    <w:link w:val="11"/>
    <w:qFormat/>
    <w:uiPriority w:val="99"/>
    <w:rPr>
      <w:rFonts w:ascii="宋体" w:hAnsi="Times New Roman" w:eastAsia="宋体" w:cs="Times New Roman"/>
      <w:sz w:val="18"/>
      <w:szCs w:val="18"/>
    </w:rPr>
  </w:style>
  <w:style w:type="character" w:customStyle="1" w:styleId="54">
    <w:name w:val="文档结构图 字符"/>
    <w:basedOn w:val="36"/>
    <w:qFormat/>
    <w:uiPriority w:val="0"/>
    <w:rPr>
      <w:rFonts w:ascii="Microsoft YaHei UI" w:hAnsi="Times New Roman" w:eastAsia="Microsoft YaHei UI" w:cs="Times New Roman"/>
      <w:sz w:val="18"/>
      <w:szCs w:val="18"/>
    </w:rPr>
  </w:style>
  <w:style w:type="character" w:customStyle="1" w:styleId="55">
    <w:name w:val="批注文字 Char2"/>
    <w:basedOn w:val="36"/>
    <w:link w:val="12"/>
    <w:qFormat/>
    <w:uiPriority w:val="0"/>
    <w:rPr>
      <w:rFonts w:ascii="Times New Roman" w:hAnsi="Times New Roman" w:eastAsia="宋体" w:cs="Times New Roman"/>
      <w:szCs w:val="24"/>
    </w:rPr>
  </w:style>
  <w:style w:type="character" w:customStyle="1" w:styleId="56">
    <w:name w:val="正文文本 3 Char"/>
    <w:link w:val="13"/>
    <w:qFormat/>
    <w:uiPriority w:val="99"/>
    <w:rPr>
      <w:rFonts w:ascii="Times New Roman" w:hAnsi="Times New Roman" w:eastAsia="宋体" w:cs="Times New Roman"/>
      <w:sz w:val="16"/>
      <w:szCs w:val="16"/>
    </w:rPr>
  </w:style>
  <w:style w:type="character" w:customStyle="1" w:styleId="57">
    <w:name w:val="正文文本 3 字符"/>
    <w:basedOn w:val="36"/>
    <w:qFormat/>
    <w:uiPriority w:val="99"/>
    <w:rPr>
      <w:rFonts w:ascii="Times New Roman" w:hAnsi="Times New Roman" w:eastAsia="宋体" w:cs="Times New Roman"/>
      <w:sz w:val="16"/>
      <w:szCs w:val="16"/>
    </w:rPr>
  </w:style>
  <w:style w:type="character" w:customStyle="1" w:styleId="58">
    <w:name w:val="正文文本缩进 Char1"/>
    <w:basedOn w:val="36"/>
    <w:link w:val="14"/>
    <w:qFormat/>
    <w:uiPriority w:val="0"/>
    <w:rPr>
      <w:rFonts w:ascii="宋体" w:hAnsi="Courier New" w:eastAsia="宋体" w:cs="Times New Roman"/>
      <w:spacing w:val="-4"/>
      <w:sz w:val="18"/>
      <w:szCs w:val="20"/>
    </w:rPr>
  </w:style>
  <w:style w:type="character" w:customStyle="1" w:styleId="59">
    <w:name w:val="纯文本 Char2"/>
    <w:basedOn w:val="36"/>
    <w:link w:val="17"/>
    <w:qFormat/>
    <w:uiPriority w:val="0"/>
    <w:rPr>
      <w:rFonts w:ascii="宋体" w:hAnsi="Courier New" w:eastAsia="宋体" w:cs="Times New Roman"/>
      <w:szCs w:val="20"/>
    </w:rPr>
  </w:style>
  <w:style w:type="character" w:customStyle="1" w:styleId="60">
    <w:name w:val="日期 Char1"/>
    <w:basedOn w:val="36"/>
    <w:link w:val="19"/>
    <w:qFormat/>
    <w:uiPriority w:val="99"/>
    <w:rPr>
      <w:rFonts w:ascii="Times New Roman" w:hAnsi="Times New Roman" w:eastAsia="宋体" w:cs="Times New Roman"/>
      <w:szCs w:val="24"/>
    </w:rPr>
  </w:style>
  <w:style w:type="character" w:customStyle="1" w:styleId="61">
    <w:name w:val="正文文本缩进 2 Char"/>
    <w:link w:val="20"/>
    <w:qFormat/>
    <w:uiPriority w:val="99"/>
    <w:rPr>
      <w:rFonts w:ascii="Times New Roman" w:hAnsi="Times New Roman" w:eastAsia="宋体" w:cs="Times New Roman"/>
      <w:szCs w:val="24"/>
    </w:rPr>
  </w:style>
  <w:style w:type="character" w:customStyle="1" w:styleId="62">
    <w:name w:val="正文文本缩进 2 字符"/>
    <w:basedOn w:val="36"/>
    <w:qFormat/>
    <w:uiPriority w:val="0"/>
    <w:rPr>
      <w:rFonts w:ascii="Times New Roman" w:hAnsi="Times New Roman" w:eastAsia="宋体" w:cs="Times New Roman"/>
      <w:szCs w:val="24"/>
    </w:rPr>
  </w:style>
  <w:style w:type="character" w:customStyle="1" w:styleId="63">
    <w:name w:val="批注框文本 Char1"/>
    <w:basedOn w:val="36"/>
    <w:link w:val="21"/>
    <w:qFormat/>
    <w:uiPriority w:val="99"/>
    <w:rPr>
      <w:rFonts w:ascii="Times New Roman" w:hAnsi="Times New Roman" w:eastAsia="宋体" w:cs="Times New Roman"/>
      <w:sz w:val="18"/>
      <w:szCs w:val="18"/>
    </w:rPr>
  </w:style>
  <w:style w:type="character" w:customStyle="1" w:styleId="64">
    <w:name w:val="页脚 Char"/>
    <w:basedOn w:val="36"/>
    <w:link w:val="22"/>
    <w:qFormat/>
    <w:uiPriority w:val="99"/>
    <w:rPr>
      <w:rFonts w:ascii="Times New Roman" w:hAnsi="Times New Roman" w:eastAsia="宋体" w:cs="Times New Roman"/>
      <w:sz w:val="18"/>
      <w:szCs w:val="18"/>
    </w:rPr>
  </w:style>
  <w:style w:type="character" w:customStyle="1" w:styleId="65">
    <w:name w:val="页眉 Char1"/>
    <w:basedOn w:val="36"/>
    <w:link w:val="23"/>
    <w:qFormat/>
    <w:uiPriority w:val="99"/>
    <w:rPr>
      <w:rFonts w:ascii="Times New Roman" w:hAnsi="Times New Roman" w:eastAsia="宋体" w:cs="Times New Roman"/>
      <w:sz w:val="18"/>
      <w:szCs w:val="18"/>
    </w:rPr>
  </w:style>
  <w:style w:type="character" w:customStyle="1" w:styleId="66">
    <w:name w:val="批注主题 Char1"/>
    <w:basedOn w:val="55"/>
    <w:link w:val="32"/>
    <w:qFormat/>
    <w:uiPriority w:val="99"/>
    <w:rPr>
      <w:rFonts w:ascii="Times New Roman" w:hAnsi="Times New Roman" w:eastAsia="宋体" w:cs="Times New Roman"/>
      <w:b/>
      <w:bCs/>
      <w:szCs w:val="24"/>
    </w:rPr>
  </w:style>
  <w:style w:type="character" w:customStyle="1" w:styleId="67">
    <w:name w:val="明显引用 Char"/>
    <w:basedOn w:val="36"/>
    <w:link w:val="34"/>
    <w:qFormat/>
    <w:uiPriority w:val="0"/>
    <w:rPr>
      <w:rFonts w:ascii="Calibri" w:hAnsi="Calibri" w:eastAsia="宋体" w:cs="Times New Roman"/>
      <w:b/>
      <w:i/>
      <w:color w:val="4F81BD"/>
      <w:szCs w:val="24"/>
    </w:rPr>
  </w:style>
  <w:style w:type="character" w:customStyle="1" w:styleId="68">
    <w:name w:val="正文首行缩进 2 Char"/>
    <w:basedOn w:val="58"/>
    <w:link w:val="33"/>
    <w:qFormat/>
    <w:uiPriority w:val="0"/>
    <w:rPr>
      <w:rFonts w:ascii="宋体" w:hAnsi="Courier New" w:eastAsia="宋体" w:cs="Times New Roman"/>
      <w:spacing w:val="-4"/>
      <w:sz w:val="18"/>
      <w:szCs w:val="24"/>
    </w:rPr>
  </w:style>
  <w:style w:type="character" w:customStyle="1" w:styleId="69">
    <w:name w:val="页脚 字符2"/>
    <w:qFormat/>
    <w:uiPriority w:val="99"/>
    <w:rPr>
      <w:kern w:val="2"/>
      <w:sz w:val="18"/>
      <w:szCs w:val="18"/>
    </w:rPr>
  </w:style>
  <w:style w:type="character" w:customStyle="1" w:styleId="70">
    <w:name w:val="标题 2 Char"/>
    <w:qFormat/>
    <w:uiPriority w:val="0"/>
    <w:rPr>
      <w:rFonts w:ascii="Arial" w:hAnsi="Arial" w:eastAsia="黑体"/>
      <w:b/>
      <w:bCs/>
      <w:kern w:val="2"/>
      <w:sz w:val="32"/>
      <w:szCs w:val="32"/>
    </w:rPr>
  </w:style>
  <w:style w:type="character" w:customStyle="1" w:styleId="71">
    <w:name w:val="批注文字 Char"/>
    <w:qFormat/>
    <w:uiPriority w:val="0"/>
    <w:rPr>
      <w:kern w:val="2"/>
      <w:sz w:val="21"/>
      <w:szCs w:val="24"/>
    </w:rPr>
  </w:style>
  <w:style w:type="character" w:customStyle="1" w:styleId="72">
    <w:name w:val="正文文本缩进 Char"/>
    <w:qFormat/>
    <w:uiPriority w:val="0"/>
    <w:rPr>
      <w:rFonts w:ascii="宋体" w:hAnsi="Courier New" w:eastAsia="宋体"/>
      <w:spacing w:val="-4"/>
      <w:kern w:val="2"/>
      <w:sz w:val="18"/>
      <w:lang w:val="en-US" w:eastAsia="zh-CN" w:bidi="ar-SA"/>
    </w:rPr>
  </w:style>
  <w:style w:type="character" w:customStyle="1" w:styleId="73">
    <w:name w:val="纯文本 Char"/>
    <w:qFormat/>
    <w:uiPriority w:val="0"/>
    <w:rPr>
      <w:rFonts w:ascii="宋体" w:hAnsi="Courier New" w:eastAsia="宋体"/>
      <w:kern w:val="2"/>
      <w:sz w:val="21"/>
      <w:lang w:val="en-US" w:eastAsia="zh-CN" w:bidi="ar-SA"/>
    </w:rPr>
  </w:style>
  <w:style w:type="character" w:customStyle="1" w:styleId="74">
    <w:name w:val="日期 Char"/>
    <w:qFormat/>
    <w:uiPriority w:val="0"/>
    <w:rPr>
      <w:kern w:val="2"/>
      <w:sz w:val="21"/>
      <w:szCs w:val="24"/>
    </w:rPr>
  </w:style>
  <w:style w:type="character" w:customStyle="1" w:styleId="75">
    <w:name w:val="批注框文本 Char"/>
    <w:qFormat/>
    <w:uiPriority w:val="0"/>
    <w:rPr>
      <w:kern w:val="2"/>
      <w:sz w:val="18"/>
      <w:szCs w:val="18"/>
    </w:rPr>
  </w:style>
  <w:style w:type="character" w:customStyle="1" w:styleId="76">
    <w:name w:val="页眉 Char"/>
    <w:qFormat/>
    <w:uiPriority w:val="99"/>
    <w:rPr>
      <w:kern w:val="2"/>
      <w:sz w:val="18"/>
      <w:szCs w:val="18"/>
    </w:rPr>
  </w:style>
  <w:style w:type="character" w:customStyle="1" w:styleId="77">
    <w:name w:val="批注主题 Char"/>
    <w:qFormat/>
    <w:uiPriority w:val="99"/>
    <w:rPr>
      <w:b/>
      <w:bCs/>
      <w:kern w:val="2"/>
      <w:sz w:val="21"/>
      <w:szCs w:val="24"/>
    </w:rPr>
  </w:style>
  <w:style w:type="character" w:customStyle="1" w:styleId="78">
    <w:name w:val="Char Char1"/>
    <w:qFormat/>
    <w:uiPriority w:val="0"/>
    <w:rPr>
      <w:rFonts w:ascii="宋体" w:hAnsi="Courier New" w:eastAsia="宋体"/>
      <w:kern w:val="2"/>
      <w:sz w:val="21"/>
      <w:lang w:val="en-US" w:eastAsia="zh-CN" w:bidi="ar-SA"/>
    </w:rPr>
  </w:style>
  <w:style w:type="character" w:customStyle="1" w:styleId="79">
    <w:name w:val="纯文本 字符2"/>
    <w:qFormat/>
    <w:uiPriority w:val="0"/>
    <w:rPr>
      <w:rFonts w:ascii="宋体" w:hAnsi="Courier New" w:eastAsia="宋体" w:cs="Courier New"/>
      <w:szCs w:val="21"/>
    </w:rPr>
  </w:style>
  <w:style w:type="character" w:customStyle="1" w:styleId="80">
    <w:name w:val="正文文本_"/>
    <w:link w:val="81"/>
    <w:qFormat/>
    <w:uiPriority w:val="0"/>
    <w:rPr>
      <w:rFonts w:ascii="MingLiU" w:hAnsi="MingLiU" w:eastAsia="MingLiU" w:cs="MingLiU"/>
      <w:spacing w:val="9"/>
      <w:sz w:val="19"/>
      <w:szCs w:val="19"/>
      <w:shd w:val="clear" w:color="auto" w:fill="FFFFFF"/>
    </w:rPr>
  </w:style>
  <w:style w:type="paragraph" w:customStyle="1" w:styleId="81">
    <w:name w:val="正文文本1"/>
    <w:basedOn w:val="1"/>
    <w:link w:val="80"/>
    <w:qFormat/>
    <w:uiPriority w:val="0"/>
    <w:pPr>
      <w:shd w:val="clear" w:color="auto" w:fill="FFFFFF"/>
      <w:spacing w:line="302" w:lineRule="exact"/>
      <w:ind w:firstLine="460"/>
      <w:jc w:val="left"/>
    </w:pPr>
    <w:rPr>
      <w:rFonts w:ascii="MingLiU" w:hAnsi="MingLiU" w:eastAsia="MingLiU" w:cs="MingLiU"/>
      <w:spacing w:val="9"/>
      <w:sz w:val="19"/>
      <w:szCs w:val="19"/>
    </w:rPr>
  </w:style>
  <w:style w:type="character" w:customStyle="1" w:styleId="82">
    <w:name w:val="纯文本 Char1"/>
    <w:link w:val="83"/>
    <w:qFormat/>
    <w:uiPriority w:val="99"/>
    <w:rPr>
      <w:rFonts w:ascii="宋体" w:hAnsi="Courier New" w:eastAsia="宋体"/>
    </w:rPr>
  </w:style>
  <w:style w:type="paragraph" w:customStyle="1" w:styleId="83">
    <w:name w:val="纯文本1"/>
    <w:basedOn w:val="1"/>
    <w:link w:val="82"/>
    <w:qFormat/>
    <w:uiPriority w:val="99"/>
    <w:rPr>
      <w:rFonts w:ascii="宋体" w:hAnsi="Courier New" w:cstheme="minorBidi"/>
      <w:szCs w:val="22"/>
    </w:rPr>
  </w:style>
  <w:style w:type="character" w:customStyle="1" w:styleId="84">
    <w:name w:val="正文文本 + 10 pt"/>
    <w:qFormat/>
    <w:uiPriority w:val="0"/>
    <w:rPr>
      <w:rFonts w:ascii="MingLiU" w:hAnsi="MingLiU" w:eastAsia="MingLiU" w:cs="MingLiU"/>
      <w:color w:val="000000"/>
      <w:spacing w:val="8"/>
      <w:w w:val="100"/>
      <w:position w:val="0"/>
      <w:sz w:val="20"/>
      <w:szCs w:val="20"/>
      <w:shd w:val="clear" w:color="auto" w:fill="FFFFFF"/>
      <w:lang w:val="zh-TW"/>
    </w:rPr>
  </w:style>
  <w:style w:type="character" w:customStyle="1" w:styleId="85">
    <w:name w:val="正文文本 (26) + 间距 0 pt"/>
    <w:qFormat/>
    <w:uiPriority w:val="0"/>
    <w:rPr>
      <w:rFonts w:ascii="宋体" w:hAnsi="宋体" w:eastAsia="宋体" w:cs="宋体"/>
      <w:color w:val="000000"/>
      <w:spacing w:val="0"/>
      <w:w w:val="100"/>
      <w:position w:val="0"/>
      <w:sz w:val="22"/>
      <w:szCs w:val="22"/>
      <w:u w:val="none"/>
      <w:lang w:val="zh-CN" w:eastAsia="zh-CN" w:bidi="zh-CN"/>
    </w:rPr>
  </w:style>
  <w:style w:type="character" w:customStyle="1" w:styleId="86">
    <w:name w:val="批注文字 字符1"/>
    <w:qFormat/>
    <w:uiPriority w:val="0"/>
    <w:rPr>
      <w:rFonts w:ascii="Times New Roman" w:hAnsi="Times New Roman"/>
      <w:kern w:val="2"/>
      <w:sz w:val="21"/>
      <w:szCs w:val="24"/>
    </w:rPr>
  </w:style>
  <w:style w:type="character" w:customStyle="1" w:styleId="87">
    <w:name w:val="正文2 Char Char"/>
    <w:link w:val="88"/>
    <w:qFormat/>
    <w:uiPriority w:val="0"/>
    <w:rPr>
      <w:sz w:val="24"/>
    </w:rPr>
  </w:style>
  <w:style w:type="paragraph" w:customStyle="1" w:styleId="88">
    <w:name w:val="正文2"/>
    <w:basedOn w:val="1"/>
    <w:link w:val="87"/>
    <w:qFormat/>
    <w:uiPriority w:val="0"/>
    <w:pPr>
      <w:adjustRightInd w:val="0"/>
      <w:spacing w:before="156" w:line="360" w:lineRule="auto"/>
      <w:ind w:firstLine="510" w:firstLineChars="200"/>
    </w:pPr>
    <w:rPr>
      <w:rFonts w:asciiTheme="minorHAnsi" w:hAnsiTheme="minorHAnsi" w:eastAsiaTheme="minorEastAsia" w:cstheme="minorBidi"/>
      <w:sz w:val="24"/>
      <w:szCs w:val="22"/>
    </w:rPr>
  </w:style>
  <w:style w:type="character" w:customStyle="1" w:styleId="89">
    <w:name w:val="纯文本 Char_0"/>
    <w:link w:val="90"/>
    <w:qFormat/>
    <w:uiPriority w:val="0"/>
    <w:rPr>
      <w:rFonts w:ascii="宋体" w:hAnsi="Courier New"/>
      <w:szCs w:val="21"/>
    </w:rPr>
  </w:style>
  <w:style w:type="paragraph" w:customStyle="1" w:styleId="90">
    <w:name w:val="纯文本_0_0"/>
    <w:basedOn w:val="1"/>
    <w:link w:val="89"/>
    <w:qFormat/>
    <w:uiPriority w:val="0"/>
    <w:rPr>
      <w:rFonts w:ascii="宋体" w:hAnsi="Courier New" w:eastAsiaTheme="minorEastAsia" w:cstheme="minorBidi"/>
      <w:szCs w:val="21"/>
    </w:rPr>
  </w:style>
  <w:style w:type="character" w:customStyle="1" w:styleId="91">
    <w:name w:val="批注文字 Char1"/>
    <w:qFormat/>
    <w:uiPriority w:val="0"/>
    <w:rPr>
      <w:rFonts w:ascii="Times New Roman" w:hAnsi="Times New Roman"/>
      <w:kern w:val="2"/>
      <w:sz w:val="21"/>
      <w:szCs w:val="24"/>
    </w:rPr>
  </w:style>
  <w:style w:type="paragraph" w:styleId="92">
    <w:name w:val="List Paragraph"/>
    <w:basedOn w:val="1"/>
    <w:qFormat/>
    <w:uiPriority w:val="34"/>
    <w:pPr>
      <w:ind w:firstLine="420" w:firstLineChars="200"/>
    </w:pPr>
  </w:style>
  <w:style w:type="paragraph" w:customStyle="1" w:styleId="93">
    <w:name w:val="Char Char Char1 Char Char Char Char Char Char Char"/>
    <w:basedOn w:val="1"/>
    <w:qFormat/>
    <w:uiPriority w:val="0"/>
  </w:style>
  <w:style w:type="paragraph" w:customStyle="1" w:styleId="94">
    <w:name w:val="Char Char Char"/>
    <w:basedOn w:val="1"/>
    <w:qFormat/>
    <w:uiPriority w:val="0"/>
    <w:rPr>
      <w:szCs w:val="20"/>
    </w:rPr>
  </w:style>
  <w:style w:type="paragraph" w:customStyle="1" w:styleId="95">
    <w:name w:val="Char Char Char Char Char Char Char Char Char Char Char Char"/>
    <w:basedOn w:val="1"/>
    <w:qFormat/>
    <w:uiPriority w:val="0"/>
    <w:pPr>
      <w:widowControl/>
      <w:spacing w:after="160" w:line="240" w:lineRule="exact"/>
      <w:jc w:val="left"/>
    </w:pPr>
  </w:style>
  <w:style w:type="paragraph" w:customStyle="1" w:styleId="96">
    <w:name w:val="列出段落1"/>
    <w:basedOn w:val="1"/>
    <w:qFormat/>
    <w:uiPriority w:val="0"/>
    <w:pPr>
      <w:spacing w:before="100" w:beforeAutospacing="1" w:after="100" w:afterAutospacing="1" w:line="360" w:lineRule="auto"/>
      <w:ind w:firstLine="420" w:firstLineChars="200"/>
    </w:pPr>
  </w:style>
  <w:style w:type="paragraph" w:customStyle="1" w:styleId="97">
    <w:name w:val="TOC 标题1"/>
    <w:basedOn w:val="3"/>
    <w:next w:val="1"/>
    <w:qFormat/>
    <w:uiPriority w:val="39"/>
    <w:pPr>
      <w:widowControl/>
      <w:spacing w:before="480" w:after="0" w:line="276" w:lineRule="auto"/>
      <w:jc w:val="left"/>
      <w:outlineLvl w:val="9"/>
    </w:pPr>
    <w:rPr>
      <w:rFonts w:ascii="Cambria" w:hAnsi="Cambria"/>
      <w:color w:val="365F91"/>
      <w:kern w:val="0"/>
      <w:sz w:val="28"/>
      <w:szCs w:val="28"/>
    </w:rPr>
  </w:style>
  <w:style w:type="paragraph" w:customStyle="1" w:styleId="98">
    <w:name w:val="样式 标题 2 + 非加粗 首行缩进:  2 字符"/>
    <w:basedOn w:val="4"/>
    <w:qFormat/>
    <w:uiPriority w:val="0"/>
    <w:pPr>
      <w:spacing w:before="0" w:after="0" w:line="600" w:lineRule="exact"/>
      <w:ind w:firstLine="640" w:firstLineChars="200"/>
      <w:jc w:val="left"/>
    </w:pPr>
    <w:rPr>
      <w:rFonts w:cs="宋体"/>
      <w:b w:val="0"/>
      <w:bCs w:val="0"/>
      <w:szCs w:val="20"/>
    </w:rPr>
  </w:style>
  <w:style w:type="paragraph" w:customStyle="1" w:styleId="99">
    <w:name w:val="Table Paragraph"/>
    <w:basedOn w:val="1"/>
    <w:qFormat/>
    <w:uiPriority w:val="1"/>
    <w:pPr>
      <w:jc w:val="left"/>
    </w:pPr>
    <w:rPr>
      <w:rFonts w:ascii="Calibri" w:hAnsi="Calibri"/>
      <w:kern w:val="0"/>
      <w:sz w:val="22"/>
      <w:szCs w:val="22"/>
      <w:lang w:eastAsia="en-US"/>
    </w:rPr>
  </w:style>
  <w:style w:type="paragraph" w:customStyle="1" w:styleId="100">
    <w:name w:val="Char"/>
    <w:basedOn w:val="1"/>
    <w:qFormat/>
    <w:uiPriority w:val="0"/>
    <w:rPr>
      <w:szCs w:val="21"/>
    </w:rPr>
  </w:style>
  <w:style w:type="paragraph" w:customStyle="1" w:styleId="101">
    <w:name w:val="Char Char Char Char Char Char Char"/>
    <w:basedOn w:val="1"/>
    <w:qFormat/>
    <w:uiPriority w:val="0"/>
  </w:style>
  <w:style w:type="paragraph" w:customStyle="1" w:styleId="102">
    <w:name w:val="样式5"/>
    <w:basedOn w:val="1"/>
    <w:qFormat/>
    <w:uiPriority w:val="0"/>
    <w:pPr>
      <w:adjustRightInd w:val="0"/>
      <w:spacing w:line="440" w:lineRule="exact"/>
      <w:ind w:left="2" w:firstLine="480" w:firstLineChars="200"/>
    </w:pPr>
    <w:rPr>
      <w:rFonts w:ascii="仿宋_GB2312" w:hAnsi="仿宋" w:eastAsia="仿宋_GB2312"/>
      <w:sz w:val="24"/>
    </w:rPr>
  </w:style>
  <w:style w:type="paragraph" w:customStyle="1" w:styleId="103">
    <w:name w:val="表格文字"/>
    <w:basedOn w:val="1"/>
    <w:qFormat/>
    <w:uiPriority w:val="0"/>
    <w:pPr>
      <w:adjustRightInd w:val="0"/>
      <w:spacing w:line="420" w:lineRule="atLeast"/>
      <w:jc w:val="left"/>
      <w:textAlignment w:val="baseline"/>
    </w:pPr>
    <w:rPr>
      <w:kern w:val="0"/>
    </w:rPr>
  </w:style>
  <w:style w:type="paragraph" w:customStyle="1" w:styleId="104">
    <w:name w:val="修订1"/>
    <w:unhideWhenUsed/>
    <w:qFormat/>
    <w:uiPriority w:val="99"/>
    <w:rPr>
      <w:rFonts w:ascii="Times New Roman" w:hAnsi="Times New Roman" w:eastAsia="宋体" w:cs="Times New Roman"/>
      <w:kern w:val="2"/>
      <w:sz w:val="21"/>
      <w:szCs w:val="24"/>
      <w:lang w:val="en-US" w:eastAsia="zh-CN" w:bidi="ar-SA"/>
    </w:rPr>
  </w:style>
  <w:style w:type="paragraph" w:customStyle="1" w:styleId="105">
    <w:name w:val="正文段"/>
    <w:basedOn w:val="1"/>
    <w:qFormat/>
    <w:uiPriority w:val="0"/>
    <w:pPr>
      <w:widowControl/>
      <w:snapToGrid w:val="0"/>
      <w:spacing w:after="156" w:afterLines="50"/>
      <w:ind w:firstLine="200" w:firstLineChars="200"/>
    </w:pPr>
    <w:rPr>
      <w:kern w:val="0"/>
      <w:sz w:val="24"/>
      <w:szCs w:val="20"/>
    </w:rPr>
  </w:style>
  <w:style w:type="paragraph" w:customStyle="1" w:styleId="106">
    <w:name w:val="Char Char Char Char"/>
    <w:basedOn w:val="1"/>
    <w:qFormat/>
    <w:uiPriority w:val="0"/>
    <w:pPr>
      <w:widowControl/>
      <w:spacing w:after="160" w:line="240" w:lineRule="exact"/>
      <w:jc w:val="left"/>
    </w:pPr>
  </w:style>
  <w:style w:type="paragraph" w:customStyle="1" w:styleId="107">
    <w:name w:val="样式 标题 1 + 居中 段前: 0 磅 段后: 0 磅 行距: 固定值 30 磅"/>
    <w:basedOn w:val="3"/>
    <w:qFormat/>
    <w:uiPriority w:val="0"/>
    <w:pPr>
      <w:spacing w:before="0" w:after="0" w:line="600" w:lineRule="exact"/>
      <w:jc w:val="center"/>
    </w:pPr>
    <w:rPr>
      <w:rFonts w:cs="宋体"/>
      <w:szCs w:val="20"/>
    </w:rPr>
  </w:style>
  <w:style w:type="paragraph" w:customStyle="1" w:styleId="108">
    <w:name w:val="正文缩进1"/>
    <w:basedOn w:val="1"/>
    <w:next w:val="14"/>
    <w:qFormat/>
    <w:uiPriority w:val="0"/>
    <w:pPr>
      <w:autoSpaceDE w:val="0"/>
      <w:autoSpaceDN w:val="0"/>
      <w:adjustRightInd w:val="0"/>
      <w:snapToGrid w:val="0"/>
      <w:spacing w:after="120" w:line="360" w:lineRule="auto"/>
      <w:ind w:left="420" w:leftChars="200" w:firstLine="480" w:firstLineChars="200"/>
    </w:pPr>
    <w:rPr>
      <w:sz w:val="24"/>
      <w:szCs w:val="21"/>
    </w:rPr>
  </w:style>
  <w:style w:type="paragraph" w:customStyle="1" w:styleId="109">
    <w:name w:val="p0"/>
    <w:basedOn w:val="1"/>
    <w:qFormat/>
    <w:uiPriority w:val="0"/>
    <w:pPr>
      <w:widowControl/>
    </w:pPr>
    <w:rPr>
      <w:kern w:val="0"/>
      <w:szCs w:val="21"/>
    </w:rPr>
  </w:style>
  <w:style w:type="paragraph" w:customStyle="1" w:styleId="110">
    <w:name w:val="默认段落字体 Para Char Char Char Char Char Char Char Char Char1 Char Char Char Char"/>
    <w:basedOn w:val="1"/>
    <w:qFormat/>
    <w:uiPriority w:val="0"/>
    <w:rPr>
      <w:rFonts w:ascii="Tahoma" w:hAnsi="Tahoma"/>
      <w:sz w:val="24"/>
      <w:szCs w:val="20"/>
    </w:rPr>
  </w:style>
  <w:style w:type="character" w:customStyle="1" w:styleId="111">
    <w:name w:val="页脚 字符1"/>
    <w:qFormat/>
    <w:uiPriority w:val="99"/>
    <w:rPr>
      <w:kern w:val="2"/>
      <w:sz w:val="18"/>
      <w:szCs w:val="18"/>
    </w:rPr>
  </w:style>
  <w:style w:type="character" w:customStyle="1" w:styleId="112">
    <w:name w:val="页眉 字符1"/>
    <w:qFormat/>
    <w:uiPriority w:val="99"/>
    <w:rPr>
      <w:kern w:val="2"/>
      <w:sz w:val="18"/>
      <w:szCs w:val="18"/>
    </w:rPr>
  </w:style>
  <w:style w:type="paragraph" w:customStyle="1" w:styleId="113">
    <w:name w:val="_Style 117"/>
    <w:qFormat/>
    <w:uiPriority w:val="0"/>
    <w:pPr>
      <w:widowControl w:val="0"/>
      <w:jc w:val="both"/>
    </w:pPr>
    <w:rPr>
      <w:rFonts w:ascii="Times New Roman" w:hAnsi="Times New Roman" w:eastAsia="宋体" w:cs="Times New Roman"/>
      <w:kern w:val="2"/>
      <w:sz w:val="21"/>
      <w:szCs w:val="24"/>
      <w:lang w:val="en-US" w:eastAsia="zh-CN" w:bidi="ar-SA"/>
    </w:rPr>
  </w:style>
  <w:style w:type="paragraph" w:customStyle="1" w:styleId="114">
    <w:name w:val="msonormal"/>
    <w:basedOn w:val="1"/>
    <w:qFormat/>
    <w:uiPriority w:val="0"/>
    <w:pPr>
      <w:widowControl/>
      <w:spacing w:before="100" w:beforeAutospacing="1" w:after="100" w:afterAutospacing="1"/>
      <w:jc w:val="left"/>
    </w:pPr>
    <w:rPr>
      <w:rFonts w:ascii="宋体" w:hAnsi="宋体" w:cs="宋体"/>
      <w:kern w:val="0"/>
      <w:sz w:val="24"/>
    </w:rPr>
  </w:style>
  <w:style w:type="character" w:customStyle="1" w:styleId="115">
    <w:name w:val="书籍标题1"/>
    <w:qFormat/>
    <w:uiPriority w:val="33"/>
    <w:rPr>
      <w:rFonts w:ascii="Calibri" w:hAnsi="Calibri" w:eastAsia="宋体" w:cs="Times New Roman"/>
      <w:b/>
      <w:bCs/>
      <w:i/>
      <w:iCs/>
      <w:spacing w:val="5"/>
    </w:rPr>
  </w:style>
  <w:style w:type="character" w:customStyle="1" w:styleId="116">
    <w:name w:val="!FL正文 Char"/>
    <w:link w:val="117"/>
    <w:qFormat/>
    <w:uiPriority w:val="0"/>
    <w:rPr>
      <w:rFonts w:ascii="仿宋_GB2312" w:hAnsi="Arial" w:eastAsia="仿宋_GB2312" w:cs="Times New Roman"/>
      <w:bCs/>
      <w:kern w:val="0"/>
      <w:sz w:val="30"/>
      <w:szCs w:val="24"/>
    </w:rPr>
  </w:style>
  <w:style w:type="paragraph" w:customStyle="1" w:styleId="117">
    <w:name w:val="!FL正文"/>
    <w:basedOn w:val="1"/>
    <w:link w:val="116"/>
    <w:qFormat/>
    <w:uiPriority w:val="0"/>
    <w:pPr>
      <w:spacing w:line="360" w:lineRule="auto"/>
      <w:ind w:firstLine="600" w:firstLineChars="200"/>
    </w:pPr>
    <w:rPr>
      <w:rFonts w:ascii="仿宋_GB2312" w:hAnsi="Arial" w:eastAsia="仿宋_GB2312"/>
      <w:bCs/>
      <w:kern w:val="0"/>
      <w:sz w:val="30"/>
    </w:rPr>
  </w:style>
  <w:style w:type="paragraph" w:customStyle="1" w:styleId="118">
    <w:name w:val="列出段落7"/>
    <w:basedOn w:val="1"/>
    <w:qFormat/>
    <w:uiPriority w:val="99"/>
    <w:pPr>
      <w:ind w:firstLine="420" w:firstLineChars="200"/>
    </w:pPr>
    <w:rPr>
      <w:rFonts w:ascii="Calibri" w:hAnsi="Calibri"/>
    </w:rPr>
  </w:style>
  <w:style w:type="character" w:customStyle="1" w:styleId="119">
    <w:name w:val="页眉 字符2"/>
    <w:qFormat/>
    <w:uiPriority w:val="99"/>
    <w:rPr>
      <w:kern w:val="2"/>
      <w:sz w:val="18"/>
      <w:szCs w:val="18"/>
    </w:rPr>
  </w:style>
  <w:style w:type="paragraph" w:customStyle="1" w:styleId="120">
    <w:name w:val="修订2"/>
    <w:hidden/>
    <w:semiHidden/>
    <w:qFormat/>
    <w:uiPriority w:val="99"/>
    <w:rPr>
      <w:rFonts w:ascii="Times New Roman" w:hAnsi="Times New Roman" w:eastAsia="宋体" w:cs="Times New Roman"/>
      <w:kern w:val="2"/>
      <w:sz w:val="21"/>
      <w:szCs w:val="24"/>
      <w:lang w:val="en-US" w:eastAsia="zh-CN" w:bidi="ar-SA"/>
    </w:rPr>
  </w:style>
  <w:style w:type="paragraph" w:customStyle="1" w:styleId="121">
    <w:name w:val="_Style 19"/>
    <w:basedOn w:val="1"/>
    <w:next w:val="92"/>
    <w:qFormat/>
    <w:uiPriority w:val="34"/>
    <w:pPr>
      <w:ind w:firstLine="420" w:firstLineChars="200"/>
    </w:pPr>
  </w:style>
  <w:style w:type="paragraph" w:customStyle="1" w:styleId="122">
    <w:name w:val="修订3"/>
    <w:hidden/>
    <w:semiHidden/>
    <w:qFormat/>
    <w:uiPriority w:val="99"/>
    <w:rPr>
      <w:rFonts w:ascii="Times New Roman" w:hAnsi="Times New Roman" w:eastAsia="宋体" w:cs="Times New Roman"/>
      <w:kern w:val="2"/>
      <w:sz w:val="21"/>
      <w:szCs w:val="24"/>
      <w:lang w:val="en-US" w:eastAsia="zh-CN" w:bidi="ar-SA"/>
    </w:rPr>
  </w:style>
  <w:style w:type="paragraph" w:customStyle="1" w:styleId="123">
    <w:name w:val="修订4"/>
    <w:hidden/>
    <w:semiHidden/>
    <w:qFormat/>
    <w:uiPriority w:val="99"/>
    <w:rPr>
      <w:rFonts w:ascii="Times New Roman" w:hAnsi="Times New Roman" w:eastAsia="宋体"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header" Target="header2.xml"/><Relationship Id="rId7" Type="http://schemas.openxmlformats.org/officeDocument/2006/relationships/footer" Target="footer4.xml"/><Relationship Id="rId6" Type="http://schemas.openxmlformats.org/officeDocument/2006/relationships/footer" Target="footer3.xml"/><Relationship Id="rId5" Type="http://schemas.openxmlformats.org/officeDocument/2006/relationships/footer" Target="footer2.xml"/><Relationship Id="rId4" Type="http://schemas.openxmlformats.org/officeDocument/2006/relationships/footer" Target="footer1.xml"/><Relationship Id="rId30" Type="http://schemas.openxmlformats.org/officeDocument/2006/relationships/fontTable" Target="fontTable.xml"/><Relationship Id="rId3" Type="http://schemas.openxmlformats.org/officeDocument/2006/relationships/header" Target="header1.xml"/><Relationship Id="rId29" Type="http://schemas.openxmlformats.org/officeDocument/2006/relationships/numbering" Target="numbering.xml"/><Relationship Id="rId28" Type="http://schemas.openxmlformats.org/officeDocument/2006/relationships/customXml" Target="../customXml/item1.xml"/><Relationship Id="rId27" Type="http://schemas.openxmlformats.org/officeDocument/2006/relationships/image" Target="media/image1.png"/><Relationship Id="rId26" Type="http://schemas.openxmlformats.org/officeDocument/2006/relationships/theme" Target="theme/theme1.xml"/><Relationship Id="rId25" Type="http://schemas.openxmlformats.org/officeDocument/2006/relationships/footer" Target="footer17.xml"/><Relationship Id="rId24" Type="http://schemas.openxmlformats.org/officeDocument/2006/relationships/footer" Target="footer16.xml"/><Relationship Id="rId23" Type="http://schemas.openxmlformats.org/officeDocument/2006/relationships/footer" Target="footer15.xml"/><Relationship Id="rId22" Type="http://schemas.openxmlformats.org/officeDocument/2006/relationships/header" Target="header6.xml"/><Relationship Id="rId21" Type="http://schemas.openxmlformats.org/officeDocument/2006/relationships/footer" Target="footer14.xml"/><Relationship Id="rId20" Type="http://schemas.openxmlformats.org/officeDocument/2006/relationships/footer" Target="footer13.xml"/><Relationship Id="rId2" Type="http://schemas.openxmlformats.org/officeDocument/2006/relationships/settings" Target="settings.xml"/><Relationship Id="rId19" Type="http://schemas.openxmlformats.org/officeDocument/2006/relationships/footer" Target="footer12.xml"/><Relationship Id="rId18" Type="http://schemas.openxmlformats.org/officeDocument/2006/relationships/header" Target="header5.xml"/><Relationship Id="rId17" Type="http://schemas.openxmlformats.org/officeDocument/2006/relationships/footer" Target="footer11.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header" Target="header3.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4" Type="http://schemas.openxmlformats.org/officeDocument/2006/relationships/font" Target="fonts/font14.odttf"/><Relationship Id="rId13" Type="http://schemas.openxmlformats.org/officeDocument/2006/relationships/font" Target="fonts/font13.odttf"/><Relationship Id="rId12" Type="http://schemas.openxmlformats.org/officeDocument/2006/relationships/font" Target="fonts/font12.odttf"/><Relationship Id="rId11" Type="http://schemas.openxmlformats.org/officeDocument/2006/relationships/font" Target="fonts/font11.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104</Pages>
  <Words>7464</Words>
  <Characters>8468</Characters>
  <Lines>465</Lines>
  <Paragraphs>131</Paragraphs>
  <TotalTime>0</TotalTime>
  <ScaleCrop>false</ScaleCrop>
  <LinksUpToDate>false</LinksUpToDate>
  <CharactersWithSpaces>8551</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2025-05-07T05:25:00Z</dcterms:created>
  <dc:creator>NTKO</dc:creator>
  <cp:lastModifiedBy>PENG</cp:lastModifiedBy>
  <cp:lastPrinted>2026-05-20T07:10:00Z</cp:lastPrinted>
  <dcterms:modified xsi:type="dcterms:W3CDTF">2026-07-23T07:51:03Z</dcterms:modified>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eyJoZGlkIjoiNGNiNDI4MmU5ZDRlNWYzYmJmYzZmMjA1ZGI2NTAwOWQiLCJ1c2VySWQiOiI4ODAyNzA4OTcifQ==</vt:lpwstr>
  </property>
  <property fmtid="{D5CDD505-2E9C-101B-9397-08002B2CF9AE}" pid="3" name="KSOProductBuildVer">
    <vt:lpwstr>2052-12.1.0.26895</vt:lpwstr>
  </property>
  <property fmtid="{D5CDD505-2E9C-101B-9397-08002B2CF9AE}" pid="4" name="ICV">
    <vt:lpwstr>C6C3D1A9AFEE4CC48C7C7FCD79ED46D9_13</vt:lpwstr>
  </property>
</Properties>
</file>