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4493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广西机电设备招标有限公司关于智能仓储实验实训室设备设施采购（重）</w:t>
      </w:r>
    </w:p>
    <w:p w14:paraId="3B73667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(项目编号：GXZC2026-J1-001433-JDZB)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lang w:val="en-US" w:eastAsia="zh-CN"/>
        </w:rPr>
        <w:t>更正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公告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lang w:eastAsia="zh-CN"/>
        </w:rPr>
        <w:t>）</w:t>
      </w:r>
    </w:p>
    <w:p w14:paraId="418CB94C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640" w:lineRule="exact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kern w:val="2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24"/>
          <w:szCs w:val="24"/>
        </w:rPr>
        <w:t>一、项目基本情况</w:t>
      </w:r>
    </w:p>
    <w:p w14:paraId="0A3470C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原公告的采购项目编号：GXZC2026-J1-001433-JDZB</w:t>
      </w:r>
    </w:p>
    <w:p w14:paraId="12F215BF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480" w:firstLineChars="200"/>
        <w:textAlignment w:val="auto"/>
        <w:outlineLvl w:val="9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原公告的采购项目名称：智能仓储实验实训室设备设施采购（重）</w:t>
      </w:r>
    </w:p>
    <w:p w14:paraId="4F8E8F36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kern w:val="2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首次公告日期：202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年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月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日                    </w:t>
      </w:r>
    </w:p>
    <w:p w14:paraId="348AE876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24"/>
          <w:szCs w:val="24"/>
        </w:rPr>
        <w:t>二、更正信息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24"/>
          <w:szCs w:val="24"/>
          <w:lang w:val="en-US" w:eastAsia="zh-CN"/>
        </w:rPr>
        <w:t xml:space="preserve"> </w:t>
      </w:r>
    </w:p>
    <w:p w14:paraId="72E1AEF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420"/>
        <w:textAlignment w:val="auto"/>
        <w:outlineLvl w:val="9"/>
        <w:rPr>
          <w:rFonts w:hint="eastAsia" w:ascii="仿宋" w:hAnsi="仿宋" w:eastAsia="仿宋" w:cs="仿宋"/>
          <w:color w:val="000000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更正事项：更正采购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 xml:space="preserve">文件 </w:t>
      </w:r>
    </w:p>
    <w:p w14:paraId="024B2849"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/>
        <w:textAlignment w:val="auto"/>
        <w:outlineLvl w:val="9"/>
        <w:rPr>
          <w:rFonts w:hint="eastAsia" w:ascii="仿宋" w:hAnsi="仿宋" w:eastAsia="仿宋" w:cs="仿宋"/>
          <w:color w:val="000000"/>
          <w:kern w:val="2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更正内容：</w:t>
      </w:r>
    </w:p>
    <w:tbl>
      <w:tblPr>
        <w:tblStyle w:val="8"/>
        <w:tblW w:w="55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4"/>
        <w:gridCol w:w="2226"/>
        <w:gridCol w:w="3444"/>
        <w:gridCol w:w="3878"/>
      </w:tblGrid>
      <w:tr w14:paraId="7AAAF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57" w:type="pct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A67036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082" w:type="pct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FC35AC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更正项</w:t>
            </w:r>
          </w:p>
        </w:tc>
        <w:tc>
          <w:tcPr>
            <w:tcW w:w="1674" w:type="pct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7A518B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更正前内容</w:t>
            </w:r>
          </w:p>
        </w:tc>
        <w:tc>
          <w:tcPr>
            <w:tcW w:w="1885" w:type="pct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95BD7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更正后内容</w:t>
            </w:r>
          </w:p>
        </w:tc>
      </w:tr>
      <w:tr w14:paraId="6DED7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57" w:type="pct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153A7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82" w:type="pct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85953B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第二章采购需求-“7-六自由度工业机器人”</w:t>
            </w:r>
          </w:p>
        </w:tc>
        <w:tc>
          <w:tcPr>
            <w:tcW w:w="1674" w:type="pct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7FCFC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960" w:firstLineChars="40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  <w:t>详见附件1</w:t>
            </w:r>
          </w:p>
        </w:tc>
        <w:tc>
          <w:tcPr>
            <w:tcW w:w="1885" w:type="pct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1AC22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1200" w:firstLineChars="50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  <w:t>详见附件1</w:t>
            </w:r>
          </w:p>
        </w:tc>
      </w:tr>
      <w:tr w14:paraId="63A24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57" w:type="pct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3368656">
            <w:pPr>
              <w:numPr>
                <w:ilvl w:val="-1"/>
                <w:numId w:val="0"/>
              </w:numPr>
              <w:adjustRightInd/>
              <w:spacing w:line="240" w:lineRule="auto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082" w:type="pct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69CE97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bookmarkStart w:id="0" w:name="_Toc32364"/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第五章合同主要条款格式</w:t>
            </w:r>
            <w:bookmarkEnd w:id="0"/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-第五条交付和验收</w:t>
            </w:r>
          </w:p>
        </w:tc>
        <w:tc>
          <w:tcPr>
            <w:tcW w:w="1674" w:type="pct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A0EFB4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……6、甲方对验收有异议的，在验收后10个工作日内以书面形式向乙方提出，乙方应自收到甲方书面异议后10日内及时予以解决。</w:t>
            </w:r>
          </w:p>
        </w:tc>
        <w:tc>
          <w:tcPr>
            <w:tcW w:w="1885" w:type="pct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C26E76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……6、甲方对验收有异议的，在验收后10个工作日内以书面形式向乙方提出，乙方应自收到甲方书面异议后10日内及时予以解决。</w:t>
            </w:r>
          </w:p>
          <w:p w14:paraId="033FDA0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7、合同约定交付时间内，乙方未按合同约定交付货物的（甲乙双方协商一致的情况除外），甲方有权单方面解除合同，并依法追究乙方的经济赔偿责任及相关法律责任。</w:t>
            </w:r>
          </w:p>
        </w:tc>
      </w:tr>
      <w:tr w14:paraId="466B3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57" w:type="pct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2112AF">
            <w:pPr>
              <w:numPr>
                <w:ilvl w:val="-1"/>
                <w:numId w:val="0"/>
              </w:numPr>
              <w:adjustRightInd/>
              <w:spacing w:line="240" w:lineRule="auto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082" w:type="pct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EBAE8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第一章竞争性谈判公告“响应文件提交和开启时间”</w:t>
            </w:r>
          </w:p>
        </w:tc>
        <w:tc>
          <w:tcPr>
            <w:tcW w:w="1674" w:type="pct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F4A18F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本项目响应文件提交截止时间、响应文件开启时间延期，具体时间另行通知。</w:t>
            </w:r>
          </w:p>
        </w:tc>
        <w:tc>
          <w:tcPr>
            <w:tcW w:w="1885" w:type="pct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871A0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2026年7月9日09:30（北京时间）</w:t>
            </w:r>
          </w:p>
        </w:tc>
      </w:tr>
    </w:tbl>
    <w:p w14:paraId="500C31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2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更正日期：202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年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月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日</w:t>
      </w:r>
    </w:p>
    <w:p w14:paraId="666CC095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kern w:val="2"/>
          <w:sz w:val="27"/>
          <w:szCs w:val="27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24"/>
          <w:szCs w:val="24"/>
        </w:rPr>
        <w:t>三、其他补充事宜</w:t>
      </w:r>
    </w:p>
    <w:p w14:paraId="3AEBBCED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20"/>
        <w:textAlignment w:val="auto"/>
        <w:outlineLvl w:val="9"/>
        <w:rPr>
          <w:rFonts w:hint="eastAsia" w:ascii="仿宋" w:hAnsi="仿宋" w:eastAsia="仿宋" w:cs="仿宋"/>
          <w:color w:val="000000"/>
          <w:kern w:val="2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采购公告、谈判文件涉及以上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相关条款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均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作相应变更，其余不变。</w:t>
      </w:r>
    </w:p>
    <w:p w14:paraId="66AB97C9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kern w:val="2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24"/>
          <w:szCs w:val="24"/>
        </w:rPr>
        <w:t>四、对本次公告提出询问，请按以下方式联系。</w:t>
      </w:r>
    </w:p>
    <w:p w14:paraId="60C406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  <w:t>1.采购人信息</w:t>
      </w:r>
    </w:p>
    <w:p w14:paraId="32803C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  <w:t>名称：广西职业师范学院</w:t>
      </w:r>
    </w:p>
    <w:p w14:paraId="5422A9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  <w:t>地址：南宁市西乡塘区大学东路105号</w:t>
      </w:r>
    </w:p>
    <w:p w14:paraId="588911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hint="default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  <w:t>项目联系人：蒋老师</w:t>
      </w:r>
    </w:p>
    <w:p w14:paraId="4364AF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  <w:t>项目联系方式：0771-3245617</w:t>
      </w:r>
    </w:p>
    <w:p w14:paraId="614B2F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  <w:t>2.采购代理机构信息</w:t>
      </w:r>
    </w:p>
    <w:p w14:paraId="7C799B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  <w:t>名称：广西机电设备招标有限公司</w:t>
      </w:r>
    </w:p>
    <w:p w14:paraId="7B14C5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  <w:t>地址：广西南宁市金湖路63号金源CBD现代城B座7层</w:t>
      </w:r>
    </w:p>
    <w:p w14:paraId="0C5D0F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  <w:t>项目联系人：梁艳冰、梅莹、彭瑶</w:t>
      </w:r>
    </w:p>
    <w:p w14:paraId="5E27FF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  <w:t>联系电话：0771-2808981</w:t>
      </w:r>
    </w:p>
    <w:p w14:paraId="7ED6DB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  <w:t>3.项目联系方式</w:t>
      </w:r>
    </w:p>
    <w:p w14:paraId="79A4B2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  <w:t>项目联系人：梁艳冰、梅莹、彭瑶</w:t>
      </w:r>
    </w:p>
    <w:p w14:paraId="494826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  <w:t>联系电话：0771-2808981</w:t>
      </w:r>
    </w:p>
    <w:p w14:paraId="67A086F0">
      <w:pP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  <w:br w:type="page"/>
      </w:r>
    </w:p>
    <w:p w14:paraId="308323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24"/>
          <w:szCs w:val="24"/>
          <w:lang w:val="en-US" w:eastAsia="zh-CN" w:bidi="ar-SA"/>
        </w:rPr>
      </w:pPr>
      <w:bookmarkStart w:id="1" w:name="_GoBack"/>
      <w:r>
        <w:rPr>
          <w:rFonts w:hint="eastAsia" w:ascii="仿宋" w:hAnsi="仿宋" w:eastAsia="仿宋" w:cs="仿宋"/>
          <w:b/>
          <w:bCs/>
          <w:color w:val="000000"/>
          <w:kern w:val="2"/>
          <w:sz w:val="24"/>
          <w:szCs w:val="24"/>
          <w:lang w:val="en-US" w:eastAsia="zh-CN" w:bidi="ar-SA"/>
        </w:rPr>
        <w:t>附件1:</w:t>
      </w:r>
    </w:p>
    <w:bookmarkEnd w:id="1"/>
    <w:tbl>
      <w:tblPr>
        <w:tblStyle w:val="8"/>
        <w:tblW w:w="55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4"/>
        <w:gridCol w:w="2226"/>
        <w:gridCol w:w="3444"/>
        <w:gridCol w:w="3878"/>
      </w:tblGrid>
      <w:tr w14:paraId="6AEB5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57" w:type="pct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A8E9A8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082" w:type="pct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5FB626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更正项</w:t>
            </w:r>
          </w:p>
        </w:tc>
        <w:tc>
          <w:tcPr>
            <w:tcW w:w="1674" w:type="pct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B758B6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更正前内容</w:t>
            </w:r>
          </w:p>
        </w:tc>
        <w:tc>
          <w:tcPr>
            <w:tcW w:w="1885" w:type="pct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81957D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更正后内容</w:t>
            </w:r>
          </w:p>
        </w:tc>
      </w:tr>
      <w:tr w14:paraId="17C1E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57" w:type="pct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3179F2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82" w:type="pct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8A7054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第二章采购需求-“7-六自由度工业机器人”</w:t>
            </w:r>
          </w:p>
        </w:tc>
        <w:tc>
          <w:tcPr>
            <w:tcW w:w="1674" w:type="pct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73767B8">
            <w:pPr>
              <w:numPr>
                <w:ilvl w:val="-1"/>
                <w:numId w:val="0"/>
              </w:numPr>
              <w:adjustRightIn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机器人本体参数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1.机器人轴数：不少于6轴；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2.最大负载：不低于10kg；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</w:rPr>
              <w:t>▲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3.工作半径：不小于1300mm；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【供应商于供货时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提供国家认可的第三方检测（检验）机构出具的关于该功能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检测（检验）报告复印件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】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4.重复定位精度：不低于±0.03mm；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5.工作最大速度：不低于2m/s；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6.轴运动参数：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</w:rPr>
              <w:t>▲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（1）轴1：工作范围不小于-360°到+360°，最大速度不低于150°/s；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【供应商于供货时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提供国家认可的第三方检测（检验）机构出具的关于该功能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检测（检验）报告复印件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】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</w:rPr>
              <w:t>▲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（2）轴2：工作范围不小于-360°到+360°，最大速度不低于150°/s；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【供应商于供货时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提供国家认可的第三方检测（检验）机构出具的关于该功能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检测（检验）报告复印件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】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</w:rPr>
              <w:t>▲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（3）轴3：工作范围不小于-160°到+160°，最大速度不低于180°/s；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【供应商于供货时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提供国家认可的第三方检测（检验）机构出具的关于该功能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检测（检验）报告复印件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】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</w:rPr>
              <w:t>▲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（4）轴4：工作范围不小于-360°到+360°，最大速度不低于223°/s；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【供应商于供货时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提供国家认可的第三方检测（检验）机构出具的关于该功能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检测（检验）报告复印件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】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</w:rPr>
              <w:t>▲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（5）轴5：工作范围不小于-360°到+360°，最大速度不低于223°/s；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【供应商于供货时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提供国家认可的第三方检测（检验）机构出具的关于该功能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检测（检验）报告复印件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】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</w:rPr>
              <w:t>▲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（6）轴6：工作范围不小于-360°到+360°，最大速度不低于223°/s；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【供应商于供货时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提供国家认可的第三方检测（检验）机构出具的关于该功能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检测（检验）报告复印件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】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7.额定功率：不大于350W；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8.末端接口：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（1）数字输入：不少于2路；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（2）数字输出：不少于2路；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（3）模拟量输入AI：不少于2路；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（4）RS485（复用2路AI）：不少于1组；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9.机器人末端具有不少于5个功能按键配合用户快捷手动操作。按键功能包含但不限于：上下使能、拖动示教、轨迹录制、轨迹复现、末端控制等。同时机器人上末端配有交互指示灯，可显示多种颜色和交互类型，方便用户实时观察到机器人状态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10.本体重量：不大于40kg；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11.防护等级：不低于IP54；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12.材质：铝合金，ABS塑料；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13.工作环境：0℃～50℃；</w:t>
            </w:r>
          </w:p>
          <w:p w14:paraId="2C0836F8">
            <w:pPr>
              <w:numPr>
                <w:ilvl w:val="-1"/>
                <w:numId w:val="0"/>
              </w:numPr>
              <w:adjustRightIn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</w:rPr>
              <w:t>▲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14.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机器人连续运行时间应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120h，机器人样品各轴运动应灵活、平稳，无故障、无异常报错。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【供应商于供货时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提供国家认可的第三方检测（检验）机构出具的关于该功能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检测（检验）报告复印件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】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.软件要求：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（1）支持一平台多类型机械臂控制，至少可支持控制4轴、6轴不同类型的机械臂；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（2）支持多平台运行，分别可支持Windows7/10/11、Android10及以上、IOS10及以上操作系统中运行；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（3）软件主界面需包含但不限于具备：菜单、快捷返回主界面、机器人链接面板、报警日志、使能、全局速度、急停按钮等功能模块；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（4）控制面板：需具备控制面板功能，可隐藏和快捷恢复该功能界面；控制面板打开后，需具备包含但不限于初始位姿、设置、坐标系、运动方式等；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（5）安全防护：需具备碰撞检测功能，并可根据需求对碰撞等级进行设置，可设置的等级≥5个；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（6）支持用户二次开发；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（7）需提供多种机械结构的运动学算法，内置虚拟仿真环境，适用于各种工艺应用；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（8）软件集成了图形化编程、脚本编程两种编程方式。图形化编程需包含但不限于事件、控制、运算、字符、自定义、运动、位姿、I/O、Modbus、TCP等功能组件；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（9）支持机器人拖拽示教编程；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（10）外部设备可以通过不同的远程控制模式如远程I/O模式、远程Modubs模式下发指令控制机械臂；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（11）末端负载设置：用户可通过软件界面设置智能机器人末端负载的重量与惯量、将其设定在运行范围值内、从而优化智能机器人的运动，抑制振动、缩短作业时间；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（12）智能机器人具备默认IP，连接过程中，如无法快速识别，可通过自定义方式设置智能机器人IP地址进行连接；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（13）图形化编程指令需包括事件、控制、运算、变量、函数、IO、运动、通信（Modbus、TCP）、相机、码垛等；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（14）脚本编程支持lua等主流脚本语言，且支持不少于5线程的多线程编程；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15）智能机器人控制与编程常用的代码工程模板供脚本编程使用。工程模板包括但不限于：DynamicTracking、ElapsedTime、Modbus_Coil、Modbus_Hold、MoveJ_4Axis、MoveJ_6Axis、Pallet、TCPClient、TCPClient_MultiThread、TCPServer、TCPServer_MultiThread、UDPClient、UDPServer、Vision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16）常用API指令库，包括但不限于运动、运动参数、姿态获取、坐标系设置、负载设置、安全设置、程序管理、I/O/、TCP/UDP、Modbus、轨迹复现、码垛、传送带跟踪、六维力传感器、编码器、末端设置、视觉等常用API指令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（17）需具备串口调试、TCP调试、Modbus等多种调试工具。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（二）控制器参数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1.输入电源：100～240VAC；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2.IO电源：24VDC，MAX3A，单路最大0.5A；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3.控制器接口：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（1）数字输入DI：不少于24路；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（2）数字输出DO：不少于24路；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（3）模拟量输入AI：不少于2路；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（4）模拟量输出AO：不少于2路；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（5）编码器输入：不少于1组；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（6）USB接口：不少于2个；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4.示教方法：APP、电脑、手持示教器；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5.编程语言：脚本/图形化；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6.安装方式：落地式；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7.工作环境：温度：0℃～50℃，湿度：≤95%，且无凝露；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8.防护等级：不低于IP20；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9.安全功能：紧急停止功能、预留外部安全接口（可通过I/O接口控制）保护性停止接口，自动运行远端确认接口功能等；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10.机器人可支持多种终端控制方式，包含但不限于手机、平板、电脑、示教器；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11.可配置覆盖于机器人关节和手臂上的主动安全装置，当机器人在运动过程中遇到障碍物（包含但不限于人体、金属和非金属物品）时，在确定障碍物迫近的距离后，机器人可根据确定的迫近距离执行对应的运动策略，其中，运动策略可包括暂停、减速、避障等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12.机器人数据采集软件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机器人数据采集软件采用C#语言进行开发设计，支持各种不同品牌的机器人数据采集，并将这些数据统一转换为OPCUA通用协议，可保证数据传输的安全性。软件可实时采集机器人IO信号、关节坐标等数据。为MES系统、数字孪生软件、数据可视化看板等第三方软件或系统提供机器人实时运行数据。软件界面简洁美观、易学易用，运行稳定，已广泛应用于多个项目中。可为数据可视化看板、MES数据提供准确可靠的实时数据，亦可为预测性维护系统提供实时可靠的设备状态数据。软件具备高可扩展性，可根据其他机器人厂商提供的接口实现快速集成。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具备以下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软件功能：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</w:rPr>
              <w:t>▲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（1）支持ABB、法奥、fanuc等不同品牌机器人的数据采集；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【供应商于供货时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提供国家认可的第三方检测（检验）机构出具的关于该功能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检测（检验）报告复印件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】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</w:rPr>
              <w:t>▲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（2）软件支持开机启动，可支持后台自动运行，可快速在界面切换不同品牌不同型号的机器人设备；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【供应商于供货时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提供国家认可的第三方检测（检验）机构出具的关于该功能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检测（检验）报告复印件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】</w:t>
            </w:r>
          </w:p>
          <w:p w14:paraId="3DB2B536">
            <w:pPr>
              <w:adjustRightIn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</w:rPr>
              <w:t>▲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（3）机器人数据采集周期在10~100ms以内，可为三方软件提供可靠的机器人实时数据。软件运行时，可实时显示当前数据采集周期，可分析出最长和最短采集时间；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【供应商于供货时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提供国家认可的第三方检测（检验）机构出具的关于该功能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检测（检验）报告复印件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】</w:t>
            </w:r>
          </w:p>
          <w:p w14:paraId="146BBC4C">
            <w:pPr>
              <w:adjustRightIn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</w:rPr>
              <w:t>▲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（4）软件可设置将数据发送至同一台计算机的单个网卡和多个网卡，可显示当前绑定网卡的IP地址和当前使用的端口号，利用OPCUA协议实现机器人数据分发和共享；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【供应商于供货时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提供国家认可的第三方检测（检验）机构出具的关于该功能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检测（检验）报告复印件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】</w:t>
            </w:r>
          </w:p>
          <w:p w14:paraId="30E1F45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</w:rPr>
              <w:t>▲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（5）软件界面可实时显示当前连接机器人的IO列表和当前信号状态，当前OPCUA服务打开状态，以及机器人的当前连接状态和实时关节坐标；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【供应商于供货时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提供国家认可的第三方检测（检验）机构出具的关于该功能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检测（检验）报告复印件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】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</w:rPr>
              <w:t>▲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（6）软件可设置参数，自动对fanuc机器人进行3轴坐标的转换，保持与实际位置情况一致；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【供应商于供货时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提供国家认可的第三方检测（检验）机构出具的关于该功能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检测（检验）报告复印件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】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</w:rPr>
              <w:t>▲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（7）软件可将用户设计的采集对象、软件使用端口、监控IP、连接的机器人型号等参数进行保存，下次打开可自动进行还原用户配置信息进行工作；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【供应商于供货时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提供国家认可的第三方检测（检验）机构出具的关于该功能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检测（检验）报告复印件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】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</w:rPr>
              <w:t>▲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（8）软件采用序列号或加密狗授权，支持对每台电脑进行单独授权；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【供应商于供货时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提供国家认可的第三方检测（检验）机构出具的关于该功能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检测（检验）报告复印件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】</w:t>
            </w:r>
          </w:p>
        </w:tc>
        <w:tc>
          <w:tcPr>
            <w:tcW w:w="1885" w:type="pct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5C884F1">
            <w:pPr>
              <w:numPr>
                <w:ilvl w:val="-1"/>
                <w:numId w:val="0"/>
              </w:numPr>
              <w:adjustRightIn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机器人本体参数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1.机器人轴数：不少于6轴；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2.最大负载：不低于10kg；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▲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highlight w:val="none"/>
              </w:rPr>
              <w:t>3.工作半径：不小于1300mm；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4.重复定位精度：不低于±0.03mm；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5.工作最大速度：不低于2m/s；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▲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highlight w:val="none"/>
              </w:rPr>
              <w:t>6.轴运动参数：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highlight w:val="none"/>
              </w:rPr>
              <w:t>（1）轴1：工作范围不小于-360°到+360°，最大速度不低于150°/s；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highlight w:val="none"/>
              </w:rPr>
              <w:t>（2）轴2：工作范围不小于-360°到+360°，最大速度不低于150°/s；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highlight w:val="none"/>
              </w:rPr>
              <w:t>（3）轴3：工作范围不小于-160°到+160°，最大速度不低于180°/s；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highlight w:val="none"/>
              </w:rPr>
              <w:t>（4）轴4：工作范围不小于-360°到+360°，最大速度不低于223°/s；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highlight w:val="none"/>
              </w:rPr>
              <w:t>（5）轴5：工作范围不小于-360°到+360°，最大速度不低于223°/s；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highlight w:val="none"/>
              </w:rPr>
              <w:t>（6）轴6：工作范围不小于-360°到+360°，最大速度不低于223°/s；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7.额定功率：不大于350W；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8.末端接口：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（1）数字输入：不少于2路；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（2）数字输出：不少于2路；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（3）模拟量输入AI：不少于2路；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（4）RS485（复用2路AI）：不少于1组；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9.机器人末端具有不少于5个功能按键配合用户快捷手动操作。按键功能包含但不限于：上下使能、拖动示教、轨迹录制、轨迹复现、末端控制等。同时机器人上末端配有交互指示灯，可显示多种颜色和交互类型，方便用户实时观察到机器人状态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10.本体重量：不大于40kg；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11.防护等级：不低于IP54；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12.材质：铝合金，ABS塑料；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13.工作环境：0℃～50℃；</w:t>
            </w:r>
          </w:p>
          <w:p w14:paraId="4954EBD5">
            <w:pPr>
              <w:numPr>
                <w:ilvl w:val="-1"/>
                <w:numId w:val="0"/>
              </w:numPr>
              <w:adjustRightInd/>
              <w:spacing w:line="240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▲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highlight w:val="none"/>
                <w:lang w:val="en-US" w:eastAsia="zh-CN"/>
              </w:rPr>
              <w:t>14.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机器人连续运行时间应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120h，机器人样品各轴运动应灵活、平稳，无故障、无异常报错。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.软件要求：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（1）支持一平台多类型机械臂控制，至少可支持控制4轴、6轴不同类型的机械臂；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（2）支持多平台运行，分别可支持Windows7/10/11、Android10及以上、IOS10及以上操作系统中运行；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（3）软件主界面需包含但不限于具备：菜单、快捷返回主界面、机器人链接面板、报警日志、使能、全局速度、急停按钮等功能模块；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（4）控制面板：需具备控制面板功能，可隐藏和快捷恢复该功能界面；控制面板打开后，需具备包含但不限于初始位姿、设置、坐标系、运动方式等；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（5）安全防护：需具备碰撞检测功能，并可根据需求对碰撞等级进行设置，可设置的等级≥5个；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（6）支持用户二次开发；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（7）需提供多种机械结构的运动学算法，内置虚拟仿真环境，适用于各种工艺应用；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（8）软件集成了图形化编程、脚本编程两种编程方式。图形化编程需包含但不限于事件、控制、运算、字符、自定义、运动、位姿、I/O、Modbus、TCP等功能组件；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（9）支持机器人拖拽示教编程；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（10）外部设备可以通过不同的远程控制模式如远程I/O模式、远程Modubs模式下发指令控制机械臂；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（11）末端负载设置：用户可通过软件界面设置智能机器人末端负载的重量与惯量、将其设定在运行范围值内、从而优化智能机器人的运动，抑制振动、缩短作业时间；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（12）智能机器人具备默认IP，连接过程中，如无法快速识别，可通过自定义方式设置智能机器人IP地址进行连接；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（13）图形化编程指令需包括事件、控制、运算、变量、函数、IO、运动、通信（Modbus、TCP）、相机、码垛等；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（14）脚本编程支持lua等主流脚本语言，且支持不少于5线程的多线程编程；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15）智能机器人控制与编程常用的代码工程模板供脚本编程使用。工程模板包括但不限于：DynamicTracking、ElapsedTime、Modbus_Coil、Modbus_Hold、MoveJ_4Axis、MoveJ_6Axis、Pallet、TCPClient、TCPClient_MultiThread、TCPServer、TCPServer_MultiThread、UDPClient、UDPServer、Vision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16）常用API指令库，包括但不限于运动、运动参数、姿态获取、坐标系设置、负载设置、安全设置、程序管理、I/O/、TCP/UDP、Modbus、轨迹复现、码垛、传送带跟踪、六维力传感器、编码器、末端设置、视觉等常用API指令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（17）需具备串口调试、TCP调试、Modbus等多种调试工具。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（二）控制器参数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1.输入电源：100～240VAC；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2.IO电源：24VDC，MAX3A，单路最大0.5A；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3.控制器接口：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（1）数字输入DI：不少于24路；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（2）数字输出DO：不少于24路；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（3）模拟量输入AI：不少于2路；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（4）模拟量输出AO：不少于2路；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（5）编码器输入：不少于1组；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（6）USB接口：不少于2个；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4.示教方法：APP、电脑、手持示教器；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5.编程语言：脚本/图形化；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6.安装方式：落地式；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7.工作环境：温度：0℃～50℃，湿度：≤95%，且无凝露；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8.防护等级：不低于IP20；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9.安全功能：紧急停止功能、预留外部安全接口（可通过I/O接口控制）保护性停止接口，自动运行远端确认接口功能等；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10.机器人可支持多种终端控制方式，包含但不限于手机、平板、电脑、示教器；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11.可配置覆盖于机器人关节和手臂上的主动安全装置，当机器人在运动过程中遇到障碍物（包含但不限于人体、金属和非金属物品）时，在确定障碍物迫近的距离后，机器人可根据确定的迫近距离执行对应的运动策略，其中，运动策略可包括暂停、减速、避障等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12.机器人数据采集软件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机器人数据采集软件采用C#语言进行开发设计，支持各种不同品牌的机器人数据采集，并将这些数据统一转换为OPCUA通用协议，可保证数据传输的安全性。软件可实时采集机器人IO信号、关节坐标等数据。为MES系统、数字孪生软件、数据可视化看板等第三方软件或系统提供机器人实时运行数据。软件界面简洁美观、易学易用，运行稳定，已广泛应用于多个项目中。可为数据可视化看板、MES数据提供准确可靠的实时数据，亦可为预测性维护系统提供实时可靠的设备状态数据。软件具备高可扩展性，可根据其他机器人厂商提供的接口实现快速集成。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具备以下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软件功能：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highlight w:val="none"/>
              </w:rPr>
              <w:t>（1）支持ABB、法奥、fanuc等不同品牌机器人的数据采集；</w:t>
            </w:r>
          </w:p>
          <w:p w14:paraId="6D8F3B4C">
            <w:pPr>
              <w:numPr>
                <w:ilvl w:val="-1"/>
                <w:numId w:val="0"/>
              </w:numPr>
              <w:adjustRightIn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highlight w:val="none"/>
              </w:rPr>
              <w:t>（2）软件支持开机启动，可支持后台自动运行，可快速在界面切换不同品牌不同型号的机器人设备；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【供应商于供货时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提供国家认可的第三方检测（检验）机构出具的关于该功能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检测（检验）报告复印件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】</w:t>
            </w:r>
          </w:p>
          <w:p w14:paraId="52554353">
            <w:pPr>
              <w:adjustRightIn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</w:rPr>
              <w:t>▲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（3）机器人数据采集周期在10~100ms以内，可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eastAsia="zh-CN"/>
              </w:rPr>
              <w:t>为第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三方软件提供可靠的机器人实时数据。软件运行时，可实时显示当前数据采集周期，可分析出最长和最短采集时间；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【供应商于供货时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提供国家认可的第三方检测（检验）机构出具的关于该功能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检测（检验）报告复印件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】</w:t>
            </w:r>
          </w:p>
          <w:p w14:paraId="6448CBB0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（4）软件可设置将数据发送至同一台计算机的单个网卡和多个网卡，可显示当前绑定网卡的IP地址和当前使用的端口号，利用OPCUA协议实现机器人数据分发和共享；</w:t>
            </w:r>
          </w:p>
          <w:p w14:paraId="15696539">
            <w:pPr>
              <w:widowControl/>
              <w:jc w:val="left"/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</w:rPr>
              <w:t>▲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（5）软件界面可实时显示当前连接机器人的IO列表和当前信号状态，当前OPCUA服务打开状态，以及机器人的当前连接状态和实时关节坐标；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【供应商于供货时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提供国家认可的第三方检测（检验）机构出具的关于该功能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检测（检验）报告复印件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】</w:t>
            </w:r>
          </w:p>
          <w:p w14:paraId="42508B7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highlight w:val="none"/>
              </w:rPr>
              <w:t>（6）软件可设置参数，自动对fanuc机器人进行3轴坐标的转换，保持与实际位置情况一致；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（7）软件可将用户设计的采集对象、软件使用端口、监控IP、连接的机器人型号等参数进行保存，下次打开可自动进行还原用户配置信息进行工作；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【供应商于供货时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提供国家认可的第三方检测（检验）机构出具的关于该功能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检测（检验）报告复印件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】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</w:rPr>
              <w:t>▲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（8）软件采用序列号或加密狗授权，支持对每台电脑进行单独授权；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【供应商于供货时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提供国家认可的第三方检测（检验）机构出具的关于该功能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检测（检验）报告复印件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  <w:highlight w:val="none"/>
              </w:rPr>
              <w:t>】</w:t>
            </w:r>
          </w:p>
        </w:tc>
      </w:tr>
    </w:tbl>
    <w:p w14:paraId="76041D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F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ZiY2Y5MzJmYzBkMjk1NjU5YTAwMGNjOGU0ZDFhMTIifQ=="/>
  </w:docVars>
  <w:rsids>
    <w:rsidRoot w:val="047B4886"/>
    <w:rsid w:val="001A0B0C"/>
    <w:rsid w:val="004A6C81"/>
    <w:rsid w:val="00A24960"/>
    <w:rsid w:val="00BF36FF"/>
    <w:rsid w:val="02225B04"/>
    <w:rsid w:val="02D26702"/>
    <w:rsid w:val="03165668"/>
    <w:rsid w:val="047B4886"/>
    <w:rsid w:val="05474A5D"/>
    <w:rsid w:val="065D6858"/>
    <w:rsid w:val="06FE35B0"/>
    <w:rsid w:val="08150B16"/>
    <w:rsid w:val="083D5445"/>
    <w:rsid w:val="08CE50CD"/>
    <w:rsid w:val="08DC58E8"/>
    <w:rsid w:val="0AA515DD"/>
    <w:rsid w:val="0AAE262A"/>
    <w:rsid w:val="0BFA3486"/>
    <w:rsid w:val="0C1951C5"/>
    <w:rsid w:val="0D955485"/>
    <w:rsid w:val="0DF9543A"/>
    <w:rsid w:val="0F53604B"/>
    <w:rsid w:val="0F87169C"/>
    <w:rsid w:val="0FE443CE"/>
    <w:rsid w:val="1192302F"/>
    <w:rsid w:val="12CD13B7"/>
    <w:rsid w:val="133438E9"/>
    <w:rsid w:val="1383758D"/>
    <w:rsid w:val="13F56BD4"/>
    <w:rsid w:val="14A037FB"/>
    <w:rsid w:val="15EE0C25"/>
    <w:rsid w:val="15F01D49"/>
    <w:rsid w:val="17233AB1"/>
    <w:rsid w:val="1921046B"/>
    <w:rsid w:val="195E6FCA"/>
    <w:rsid w:val="1A977BB8"/>
    <w:rsid w:val="1ABE5173"/>
    <w:rsid w:val="1B9649CA"/>
    <w:rsid w:val="1BF97E3D"/>
    <w:rsid w:val="1C051EBD"/>
    <w:rsid w:val="1FDE0E64"/>
    <w:rsid w:val="20887022"/>
    <w:rsid w:val="22D865D7"/>
    <w:rsid w:val="23694EE9"/>
    <w:rsid w:val="23FC3FAF"/>
    <w:rsid w:val="244E514C"/>
    <w:rsid w:val="27F1686F"/>
    <w:rsid w:val="2B2B1358"/>
    <w:rsid w:val="2C904F2C"/>
    <w:rsid w:val="300417D3"/>
    <w:rsid w:val="302813BA"/>
    <w:rsid w:val="32002EBC"/>
    <w:rsid w:val="37DD22AB"/>
    <w:rsid w:val="38ED54AA"/>
    <w:rsid w:val="3A66441A"/>
    <w:rsid w:val="3D373162"/>
    <w:rsid w:val="3D5F4016"/>
    <w:rsid w:val="3D9372DA"/>
    <w:rsid w:val="40C31C84"/>
    <w:rsid w:val="43F21959"/>
    <w:rsid w:val="444254F8"/>
    <w:rsid w:val="47946129"/>
    <w:rsid w:val="47B913E9"/>
    <w:rsid w:val="490475A5"/>
    <w:rsid w:val="4A346BEC"/>
    <w:rsid w:val="4A970C86"/>
    <w:rsid w:val="4C2B7F25"/>
    <w:rsid w:val="4DEA6248"/>
    <w:rsid w:val="4E7A40FC"/>
    <w:rsid w:val="4EAA4FA4"/>
    <w:rsid w:val="4EEB202C"/>
    <w:rsid w:val="4F294AAC"/>
    <w:rsid w:val="4FDB2F13"/>
    <w:rsid w:val="54DF7067"/>
    <w:rsid w:val="564D5954"/>
    <w:rsid w:val="567B2379"/>
    <w:rsid w:val="58507E4A"/>
    <w:rsid w:val="5A487D03"/>
    <w:rsid w:val="5CFF5F57"/>
    <w:rsid w:val="5E3B6EA6"/>
    <w:rsid w:val="63302135"/>
    <w:rsid w:val="635A0F2A"/>
    <w:rsid w:val="644713A8"/>
    <w:rsid w:val="66BE0674"/>
    <w:rsid w:val="66C5189E"/>
    <w:rsid w:val="66EC51E2"/>
    <w:rsid w:val="67003EF1"/>
    <w:rsid w:val="67D17248"/>
    <w:rsid w:val="6813366D"/>
    <w:rsid w:val="68172C9E"/>
    <w:rsid w:val="69BD59D9"/>
    <w:rsid w:val="6A1704E8"/>
    <w:rsid w:val="6A967FE4"/>
    <w:rsid w:val="6AE14931"/>
    <w:rsid w:val="744659CE"/>
    <w:rsid w:val="75296355"/>
    <w:rsid w:val="75903F14"/>
    <w:rsid w:val="76087723"/>
    <w:rsid w:val="76A41635"/>
    <w:rsid w:val="77DC4BF7"/>
    <w:rsid w:val="7B582192"/>
    <w:rsid w:val="7B705063"/>
    <w:rsid w:val="7DFB4A33"/>
    <w:rsid w:val="7F0B7D77"/>
    <w:rsid w:val="7F2E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toc 3"/>
    <w:next w:val="1"/>
    <w:unhideWhenUsed/>
    <w:qFormat/>
    <w:uiPriority w:val="39"/>
    <w:pPr>
      <w:widowControl w:val="0"/>
      <w:ind w:left="840" w:leftChars="4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Plain Text"/>
    <w:basedOn w:val="1"/>
    <w:qFormat/>
    <w:uiPriority w:val="0"/>
    <w:rPr>
      <w:rFonts w:ascii="宋体" w:hAnsi="Courier New" w:eastAsia="宋体" w:cs="Courier New"/>
      <w:szCs w:val="21"/>
    </w:rPr>
  </w:style>
  <w:style w:type="paragraph" w:styleId="5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annotation subject"/>
    <w:basedOn w:val="2"/>
    <w:next w:val="2"/>
    <w:link w:val="15"/>
    <w:qFormat/>
    <w:uiPriority w:val="0"/>
    <w:rPr>
      <w:b/>
      <w:bCs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styleId="12">
    <w:name w:val="HTML Sample"/>
    <w:basedOn w:val="9"/>
    <w:qFormat/>
    <w:uiPriority w:val="0"/>
    <w:rPr>
      <w:rFonts w:ascii="Courier New" w:hAnsi="Courier New"/>
    </w:rPr>
  </w:style>
  <w:style w:type="paragraph" w:customStyle="1" w:styleId="13">
    <w:name w:val="表格文字"/>
    <w:basedOn w:val="1"/>
    <w:qFormat/>
    <w:uiPriority w:val="99"/>
    <w:pPr>
      <w:spacing w:before="25" w:after="25"/>
    </w:pPr>
    <w:rPr>
      <w:rFonts w:ascii="Calibri" w:hAnsi="Calibri"/>
      <w:bCs/>
      <w:spacing w:val="10"/>
      <w:sz w:val="24"/>
    </w:rPr>
  </w:style>
  <w:style w:type="character" w:customStyle="1" w:styleId="14">
    <w:name w:val="批注文字 字符"/>
    <w:basedOn w:val="9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5">
    <w:name w:val="批注主题 字符"/>
    <w:basedOn w:val="14"/>
    <w:link w:val="7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6538</Words>
  <Characters>7513</Characters>
  <Lines>8</Lines>
  <Paragraphs>2</Paragraphs>
  <TotalTime>0</TotalTime>
  <ScaleCrop>false</ScaleCrop>
  <LinksUpToDate>false</LinksUpToDate>
  <CharactersWithSpaces>7535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2025-05-16T01:40:00Z</dcterms:created>
  <dc:creator>PENG</dc:creator>
  <cp:lastModifiedBy>LY冰</cp:lastModifiedBy>
  <dcterms:modified xsi:type="dcterms:W3CDTF">2026-07-03T01:53:10Z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D227F9B6CA554BB9A02AEEF78688F42B_11</vt:lpwstr>
  </property>
  <property fmtid="{D5CDD505-2E9C-101B-9397-08002B2CF9AE}" pid="4" name="KSOTemplateDocerSaveRecord">
    <vt:lpwstr>eyJoZGlkIjoiNDY4Y2IxYTg4MmM0NDhhYmZkMGZlYWYyMjc2YjIwYzQiLCJ1c2VySWQiOiIzMTQ2MjU3MTIifQ==</vt:lpwstr>
  </property>
</Properties>
</file>