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15.odttf" ContentType="application/vnd.openxmlformats-officedocument.obfuscatedFont"/>
  <Override PartName="/word/fonts/font16.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CC6C6F">
      <w:pPr>
        <w:spacing w:before="240" w:beforeLines="100" w:after="120" w:afterLines="50" w:line="600" w:lineRule="exact"/>
        <w:jc w:val="center"/>
        <w:rPr>
          <w:rFonts w:hint="eastAsia" w:ascii="方正小标宋简体" w:hAnsi="宋体" w:eastAsia="方正小标宋简体"/>
          <w:sz w:val="52"/>
          <w:szCs w:val="52"/>
        </w:rPr>
      </w:pPr>
    </w:p>
    <w:p w14:paraId="531C95A1">
      <w:pPr>
        <w:spacing w:line="360" w:lineRule="auto"/>
        <w:jc w:val="center"/>
        <w:rPr>
          <w:rFonts w:hint="eastAsia" w:ascii="方正小标宋简体" w:hAnsi="方正小标宋简体" w:eastAsia="方正小标宋简体" w:cs="方正小标宋简体"/>
          <w:sz w:val="52"/>
          <w:szCs w:val="52"/>
        </w:rPr>
      </w:pPr>
      <w:r>
        <w:rPr>
          <w:rFonts w:hint="eastAsia" w:ascii="方正小标宋简体" w:hAnsi="宋体" w:eastAsia="方正小标宋简体"/>
          <w:sz w:val="52"/>
          <w:szCs w:val="52"/>
        </w:rPr>
        <w:t>云之龙咨询集团有限公司</w:t>
      </w:r>
    </w:p>
    <w:p w14:paraId="54714EC7">
      <w:pPr>
        <w:spacing w:line="360" w:lineRule="auto"/>
        <w:jc w:val="center"/>
        <w:rPr>
          <w:rFonts w:hint="eastAsia" w:ascii="方正小标宋简体" w:hAnsi="方正小标宋简体" w:eastAsia="方正小标宋简体" w:cs="方正小标宋简体"/>
          <w:b/>
          <w:sz w:val="44"/>
          <w:szCs w:val="44"/>
        </w:rPr>
      </w:pPr>
    </w:p>
    <w:p w14:paraId="3CF380AD">
      <w:pPr>
        <w:snapToGrid w:val="0"/>
        <w:spacing w:before="120" w:beforeLines="50" w:line="360" w:lineRule="auto"/>
        <w:jc w:val="center"/>
        <w:rPr>
          <w:rFonts w:hint="eastAsia" w:ascii="华文新魏" w:hAnsi="宋体" w:eastAsia="华文新魏"/>
          <w:sz w:val="72"/>
          <w:szCs w:val="72"/>
        </w:rPr>
      </w:pPr>
      <w:r>
        <w:rPr>
          <w:rFonts w:hint="eastAsia" w:ascii="华文新魏" w:hAnsi="宋体" w:eastAsia="华文新魏"/>
          <w:sz w:val="120"/>
          <w:szCs w:val="120"/>
        </w:rPr>
        <w:t>招 标 文 件</w:t>
      </w:r>
    </w:p>
    <w:p w14:paraId="5D241BA4">
      <w:pPr>
        <w:snapToGrid w:val="0"/>
        <w:spacing w:before="120" w:beforeLines="50" w:line="360" w:lineRule="auto"/>
        <w:jc w:val="center"/>
        <w:rPr>
          <w:rFonts w:hint="eastAsia" w:ascii="仿宋_GB2312" w:hAnsi="宋体" w:eastAsia="仿宋_GB2312"/>
          <w:b/>
          <w:sz w:val="48"/>
          <w:szCs w:val="48"/>
        </w:rPr>
      </w:pPr>
    </w:p>
    <w:p w14:paraId="2980F30A">
      <w:pPr>
        <w:pStyle w:val="25"/>
        <w:snapToGrid w:val="0"/>
        <w:spacing w:line="360" w:lineRule="auto"/>
        <w:ind w:left="2757" w:leftChars="540" w:hanging="1623" w:hangingChars="539"/>
        <w:rPr>
          <w:rFonts w:hint="eastAsia" w:ascii="仿宋_GB2312" w:hAnsi="宋体" w:eastAsia="仿宋_GB2312"/>
          <w:b/>
          <w:bCs/>
          <w:sz w:val="30"/>
          <w:szCs w:val="30"/>
        </w:rPr>
      </w:pPr>
      <w:r>
        <w:rPr>
          <w:rFonts w:hint="eastAsia" w:ascii="仿宋_GB2312" w:hAnsi="宋体" w:eastAsia="仿宋_GB2312"/>
          <w:b/>
          <w:bCs/>
          <w:sz w:val="30"/>
          <w:szCs w:val="30"/>
        </w:rPr>
        <w:t>项目</w:t>
      </w:r>
      <w:r>
        <w:rPr>
          <w:rFonts w:hint="eastAsia" w:ascii="仿宋_GB2312" w:hAnsi="宋体" w:eastAsia="仿宋_GB2312" w:cs="Courier New"/>
          <w:b/>
          <w:bCs/>
          <w:w w:val="95"/>
          <w:sz w:val="30"/>
          <w:szCs w:val="30"/>
        </w:rPr>
        <w:t>名称</w:t>
      </w:r>
      <w:r>
        <w:rPr>
          <w:rFonts w:hint="eastAsia" w:ascii="仿宋_GB2312" w:hAnsi="宋体" w:eastAsia="仿宋_GB2312"/>
          <w:b/>
          <w:bCs/>
          <w:sz w:val="30"/>
          <w:szCs w:val="30"/>
        </w:rPr>
        <w:t>：</w:t>
      </w:r>
      <w:r>
        <w:rPr>
          <w:rFonts w:hint="eastAsia" w:ascii="仿宋_GB2312" w:hAnsi="宋体" w:eastAsia="仿宋_GB2312"/>
          <w:b/>
          <w:bCs/>
          <w:spacing w:val="-6"/>
          <w:sz w:val="30"/>
          <w:szCs w:val="30"/>
        </w:rPr>
        <w:t>国家区域性公路交通应急装备物资（广西南宁）储备中心应急装备物资采购</w:t>
      </w:r>
    </w:p>
    <w:p w14:paraId="1B87003C">
      <w:pPr>
        <w:snapToGrid w:val="0"/>
        <w:spacing w:line="360" w:lineRule="auto"/>
        <w:ind w:firstLine="1145" w:firstLineChars="400"/>
        <w:rPr>
          <w:rFonts w:hint="eastAsia" w:ascii="仿宋_GB2312" w:hAnsi="宋体" w:eastAsia="仿宋_GB2312"/>
          <w:sz w:val="30"/>
          <w:szCs w:val="72"/>
        </w:rPr>
      </w:pPr>
      <w:r>
        <w:rPr>
          <w:rFonts w:hint="eastAsia" w:ascii="仿宋_GB2312" w:hAnsi="宋体" w:eastAsia="仿宋_GB2312" w:cs="Courier New"/>
          <w:b/>
          <w:bCs/>
          <w:w w:val="95"/>
          <w:sz w:val="30"/>
          <w:szCs w:val="30"/>
        </w:rPr>
        <w:t>项目</w:t>
      </w:r>
      <w:r>
        <w:rPr>
          <w:rFonts w:hint="eastAsia" w:ascii="仿宋_GB2312" w:hAnsi="宋体" w:eastAsia="仿宋_GB2312"/>
          <w:b/>
          <w:bCs/>
          <w:sz w:val="30"/>
          <w:szCs w:val="30"/>
        </w:rPr>
        <w:t>编号</w:t>
      </w:r>
      <w:r>
        <w:rPr>
          <w:rFonts w:hint="eastAsia" w:ascii="仿宋_GB2312" w:hAnsi="宋体" w:eastAsia="仿宋_GB2312" w:cs="Courier New"/>
          <w:b/>
          <w:bCs/>
          <w:w w:val="95"/>
          <w:sz w:val="30"/>
          <w:szCs w:val="30"/>
        </w:rPr>
        <w:t>：GXZC2026-G1-001869-YZLZ</w:t>
      </w:r>
    </w:p>
    <w:p w14:paraId="0DE8F74A">
      <w:pPr>
        <w:pStyle w:val="25"/>
        <w:snapToGrid w:val="0"/>
        <w:spacing w:line="360" w:lineRule="auto"/>
        <w:ind w:firstLine="1125" w:firstLineChars="393"/>
        <w:rPr>
          <w:rFonts w:hint="eastAsia" w:ascii="仿宋_GB2312" w:hAnsi="宋体" w:eastAsia="仿宋_GB2312"/>
          <w:b/>
          <w:bCs/>
          <w:w w:val="95"/>
          <w:sz w:val="30"/>
          <w:szCs w:val="30"/>
        </w:rPr>
      </w:pPr>
      <w:r>
        <w:rPr>
          <w:rFonts w:hint="eastAsia" w:ascii="仿宋_GB2312" w:hAnsi="宋体" w:eastAsia="仿宋_GB2312"/>
          <w:b/>
          <w:bCs/>
          <w:w w:val="95"/>
          <w:sz w:val="30"/>
          <w:szCs w:val="30"/>
        </w:rPr>
        <w:t>采 购 人：广西壮族自治区公路发展中心</w:t>
      </w:r>
    </w:p>
    <w:p w14:paraId="117213B3">
      <w:pPr>
        <w:pStyle w:val="25"/>
        <w:snapToGrid w:val="0"/>
        <w:spacing w:line="360" w:lineRule="auto"/>
        <w:ind w:firstLine="1125" w:firstLineChars="393"/>
        <w:rPr>
          <w:rFonts w:hint="eastAsia" w:ascii="仿宋_GB2312" w:hAnsi="宋体" w:eastAsia="仿宋_GB2312"/>
          <w:b/>
          <w:bCs/>
          <w:w w:val="95"/>
          <w:sz w:val="30"/>
          <w:szCs w:val="30"/>
        </w:rPr>
      </w:pPr>
      <w:r>
        <w:rPr>
          <w:rFonts w:hint="eastAsia" w:ascii="仿宋_GB2312" w:hAnsi="宋体" w:eastAsia="仿宋_GB2312"/>
          <w:b/>
          <w:bCs/>
          <w:w w:val="95"/>
          <w:sz w:val="30"/>
          <w:szCs w:val="30"/>
        </w:rPr>
        <w:t>采购代理机构：云之龙咨询集团有限公司</w:t>
      </w:r>
    </w:p>
    <w:p w14:paraId="2495F185">
      <w:pPr>
        <w:pStyle w:val="25"/>
        <w:snapToGrid w:val="0"/>
        <w:spacing w:line="360" w:lineRule="auto"/>
        <w:ind w:firstLine="1125" w:firstLineChars="393"/>
        <w:rPr>
          <w:rFonts w:hint="eastAsia" w:ascii="仿宋_GB2312" w:hAnsi="宋体" w:eastAsia="仿宋_GB2312"/>
          <w:b/>
          <w:bCs/>
          <w:w w:val="95"/>
          <w:sz w:val="30"/>
          <w:szCs w:val="30"/>
        </w:rPr>
      </w:pPr>
      <w:r>
        <w:rPr>
          <w:rFonts w:hint="eastAsia" w:ascii="仿宋_GB2312" w:hAnsi="宋体" w:eastAsia="仿宋_GB2312"/>
          <w:b/>
          <w:bCs/>
          <w:w w:val="95"/>
          <w:sz w:val="30"/>
          <w:szCs w:val="30"/>
        </w:rPr>
        <w:t xml:space="preserve"> </w:t>
      </w:r>
      <w:r>
        <w:rPr>
          <w:rFonts w:ascii="仿宋_GB2312" w:hAnsi="宋体" w:eastAsia="仿宋_GB2312"/>
          <w:b/>
          <w:bCs/>
          <w:w w:val="95"/>
          <w:sz w:val="30"/>
          <w:szCs w:val="30"/>
        </w:rPr>
        <w:t xml:space="preserve">           </w:t>
      </w:r>
      <w:r>
        <w:rPr>
          <w:rFonts w:hint="eastAsia" w:ascii="仿宋_GB2312" w:hAnsi="宋体" w:eastAsia="仿宋_GB2312"/>
          <w:b/>
          <w:bCs/>
          <w:w w:val="95"/>
          <w:sz w:val="30"/>
          <w:szCs w:val="30"/>
        </w:rPr>
        <w:t>（</w:t>
      </w:r>
      <w:r>
        <w:rPr>
          <w:rFonts w:ascii="仿宋_GB2312" w:hAnsi="宋体" w:eastAsia="仿宋_GB2312"/>
          <w:b/>
          <w:bCs/>
          <w:w w:val="95"/>
          <w:sz w:val="30"/>
          <w:szCs w:val="30"/>
        </w:rPr>
        <w:t>YZLNN2026-G1-061-GXZC</w:t>
      </w:r>
      <w:r>
        <w:rPr>
          <w:rFonts w:hint="eastAsia" w:ascii="仿宋_GB2312" w:hAnsi="宋体" w:eastAsia="仿宋_GB2312"/>
          <w:b/>
          <w:bCs/>
          <w:w w:val="95"/>
          <w:sz w:val="30"/>
          <w:szCs w:val="30"/>
        </w:rPr>
        <w:t>）</w:t>
      </w:r>
    </w:p>
    <w:p w14:paraId="514F748D">
      <w:pPr>
        <w:pStyle w:val="25"/>
        <w:snapToGrid w:val="0"/>
        <w:spacing w:line="360" w:lineRule="auto"/>
        <w:ind w:firstLine="1125" w:firstLineChars="393"/>
        <w:rPr>
          <w:rFonts w:ascii="仿宋_GB2312" w:hAnsi="宋体" w:eastAsia="仿宋_GB2312"/>
          <w:b/>
          <w:bCs/>
          <w:w w:val="95"/>
          <w:sz w:val="30"/>
          <w:szCs w:val="30"/>
        </w:rPr>
      </w:pPr>
    </w:p>
    <w:p w14:paraId="3AD71530">
      <w:pPr>
        <w:pStyle w:val="25"/>
        <w:snapToGrid w:val="0"/>
        <w:spacing w:line="360" w:lineRule="auto"/>
        <w:ind w:firstLine="1125" w:firstLineChars="393"/>
        <w:rPr>
          <w:rFonts w:hint="eastAsia" w:ascii="仿宋_GB2312" w:hAnsi="宋体" w:eastAsia="仿宋_GB2312"/>
          <w:b/>
          <w:bCs/>
          <w:w w:val="95"/>
          <w:sz w:val="30"/>
          <w:szCs w:val="30"/>
        </w:rPr>
      </w:pPr>
    </w:p>
    <w:p w14:paraId="4592A47C">
      <w:pPr>
        <w:pStyle w:val="25"/>
        <w:snapToGrid w:val="0"/>
        <w:spacing w:line="360" w:lineRule="auto"/>
        <w:ind w:firstLine="1125" w:firstLineChars="393"/>
        <w:rPr>
          <w:rFonts w:hint="eastAsia" w:ascii="仿宋_GB2312" w:hAnsi="宋体" w:eastAsia="仿宋_GB2312"/>
          <w:b/>
          <w:bCs/>
          <w:w w:val="95"/>
          <w:sz w:val="30"/>
          <w:szCs w:val="30"/>
        </w:rPr>
      </w:pPr>
    </w:p>
    <w:p w14:paraId="271ED2F5">
      <w:pPr>
        <w:pStyle w:val="25"/>
        <w:snapToGrid w:val="0"/>
        <w:spacing w:line="360" w:lineRule="auto"/>
        <w:ind w:firstLine="1125" w:firstLineChars="393"/>
        <w:rPr>
          <w:rFonts w:hint="eastAsia" w:ascii="仿宋_GB2312" w:hAnsi="宋体" w:eastAsia="仿宋_GB2312"/>
          <w:b/>
          <w:bCs/>
          <w:w w:val="95"/>
          <w:sz w:val="30"/>
          <w:szCs w:val="30"/>
        </w:rPr>
      </w:pPr>
    </w:p>
    <w:p w14:paraId="0428C55D">
      <w:pPr>
        <w:pStyle w:val="25"/>
        <w:snapToGrid w:val="0"/>
        <w:spacing w:line="360" w:lineRule="auto"/>
        <w:jc w:val="center"/>
        <w:rPr>
          <w:rFonts w:hint="default" w:ascii="仿宋_GB2312" w:eastAsia="仿宋_GB2312"/>
          <w:szCs w:val="20"/>
          <w:lang w:val="en-US" w:eastAsia="zh-CN"/>
        </w:rPr>
      </w:pPr>
      <w:r>
        <w:rPr>
          <w:rFonts w:ascii="仿宋_GB2312" w:hAnsi="宋体" w:eastAsia="仿宋_GB2312"/>
          <w:b/>
          <w:bCs/>
          <w:w w:val="95"/>
          <w:sz w:val="30"/>
          <w:szCs w:val="30"/>
        </w:rPr>
        <w:t>202</w:t>
      </w:r>
      <w:r>
        <w:rPr>
          <w:rFonts w:hint="eastAsia" w:ascii="仿宋_GB2312" w:hAnsi="宋体" w:eastAsia="仿宋_GB2312"/>
          <w:b/>
          <w:bCs/>
          <w:w w:val="95"/>
          <w:sz w:val="30"/>
          <w:szCs w:val="30"/>
        </w:rPr>
        <w:t>6年</w:t>
      </w:r>
      <w:r>
        <w:rPr>
          <w:rFonts w:hint="eastAsia" w:ascii="仿宋_GB2312" w:hAnsi="宋体" w:eastAsia="仿宋_GB2312"/>
          <w:b/>
          <w:bCs/>
          <w:w w:val="95"/>
          <w:sz w:val="30"/>
          <w:szCs w:val="30"/>
          <w:lang w:val="en-US" w:eastAsia="zh-CN"/>
        </w:rPr>
        <w:t>6</w:t>
      </w:r>
      <w:r>
        <w:rPr>
          <w:rFonts w:hint="eastAsia" w:ascii="仿宋_GB2312" w:hAnsi="宋体" w:eastAsia="仿宋_GB2312"/>
          <w:b/>
          <w:bCs/>
          <w:w w:val="95"/>
          <w:sz w:val="30"/>
          <w:szCs w:val="30"/>
        </w:rPr>
        <w:t>月</w:t>
      </w:r>
    </w:p>
    <w:p w14:paraId="34879EEB">
      <w:pPr>
        <w:pStyle w:val="25"/>
        <w:spacing w:before="120" w:after="120" w:line="360" w:lineRule="auto"/>
        <w:jc w:val="center"/>
        <w:rPr>
          <w:rFonts w:hint="eastAsia" w:ascii="仿宋_GB2312" w:hAnsi="宋体" w:eastAsia="仿宋_GB2312"/>
        </w:rPr>
      </w:pPr>
    </w:p>
    <w:p w14:paraId="713B3973">
      <w:pPr>
        <w:pStyle w:val="25"/>
        <w:spacing w:before="120" w:after="120" w:line="360" w:lineRule="auto"/>
        <w:jc w:val="center"/>
        <w:rPr>
          <w:rFonts w:hint="eastAsia" w:ascii="仿宋_GB2312" w:hAnsi="宋体" w:eastAsia="仿宋_GB2312"/>
        </w:rPr>
        <w:sectPr>
          <w:headerReference r:id="rId5" w:type="first"/>
          <w:footerReference r:id="rId8" w:type="first"/>
          <w:headerReference r:id="rId3" w:type="default"/>
          <w:footerReference r:id="rId6" w:type="default"/>
          <w:headerReference r:id="rId4" w:type="even"/>
          <w:footerReference r:id="rId7" w:type="even"/>
          <w:pgSz w:w="11910" w:h="16840"/>
          <w:pgMar w:top="1520" w:right="1500" w:bottom="280" w:left="1680" w:header="720" w:footer="720" w:gutter="0"/>
          <w:cols w:space="720" w:num="1"/>
          <w:titlePg/>
          <w:docGrid w:linePitch="286" w:charSpace="0"/>
        </w:sectPr>
      </w:pPr>
    </w:p>
    <w:p w14:paraId="1BF0F715">
      <w:pPr>
        <w:pStyle w:val="25"/>
        <w:spacing w:before="120" w:after="120" w:line="360" w:lineRule="auto"/>
        <w:jc w:val="center"/>
        <w:rPr>
          <w:rFonts w:hint="eastAsia" w:ascii="仿宋_GB2312" w:hAnsi="宋体" w:eastAsia="仿宋_GB2312"/>
        </w:rPr>
      </w:pPr>
    </w:p>
    <w:p w14:paraId="00587506">
      <w:pPr>
        <w:spacing w:line="360" w:lineRule="auto"/>
        <w:jc w:val="center"/>
        <w:rPr>
          <w:rFonts w:hint="eastAsia" w:ascii="宋体" w:hAnsi="宋体"/>
          <w:b/>
          <w:sz w:val="44"/>
          <w:szCs w:val="44"/>
        </w:rPr>
      </w:pPr>
      <w:r>
        <w:rPr>
          <w:rFonts w:hint="eastAsia" w:ascii="宋体" w:hAnsi="宋体"/>
          <w:b/>
          <w:sz w:val="44"/>
          <w:szCs w:val="44"/>
        </w:rPr>
        <w:t>目  录</w:t>
      </w:r>
      <w:bookmarkStart w:id="186" w:name="_GoBack"/>
      <w:bookmarkEnd w:id="186"/>
    </w:p>
    <w:p w14:paraId="1971A116">
      <w:pPr>
        <w:spacing w:line="400" w:lineRule="exact"/>
        <w:jc w:val="center"/>
        <w:rPr>
          <w:rFonts w:hint="eastAsia" w:ascii="宋体" w:hAnsi="宋体"/>
          <w:b/>
          <w:sz w:val="44"/>
          <w:szCs w:val="44"/>
        </w:rPr>
      </w:pPr>
    </w:p>
    <w:p w14:paraId="3B499635">
      <w:pPr>
        <w:pStyle w:val="33"/>
        <w:tabs>
          <w:tab w:val="right" w:leader="dot" w:pos="8730"/>
          <w:tab w:val="clear" w:pos="8398"/>
        </w:tabs>
        <w:spacing w:line="480" w:lineRule="auto"/>
      </w:pPr>
      <w:r>
        <w:rPr>
          <w:rFonts w:ascii="仿宋_GB2312" w:eastAsia="仿宋_GB2312"/>
          <w:b w:val="0"/>
        </w:rPr>
        <w:fldChar w:fldCharType="begin"/>
      </w:r>
      <w:r>
        <w:rPr>
          <w:rFonts w:ascii="仿宋_GB2312" w:eastAsia="仿宋_GB2312"/>
          <w:b w:val="0"/>
        </w:rPr>
        <w:instrText xml:space="preserve"> </w:instrText>
      </w:r>
      <w:r>
        <w:rPr>
          <w:rFonts w:hint="eastAsia" w:ascii="仿宋_GB2312" w:eastAsia="仿宋_GB2312"/>
          <w:b w:val="0"/>
        </w:rPr>
        <w:instrText xml:space="preserve">TOC \o "1-2" \h \z \u</w:instrText>
      </w:r>
      <w:r>
        <w:rPr>
          <w:rFonts w:ascii="仿宋_GB2312" w:eastAsia="仿宋_GB2312"/>
          <w:b w:val="0"/>
        </w:rPr>
        <w:instrText xml:space="preserve"> </w:instrText>
      </w:r>
      <w:r>
        <w:rPr>
          <w:rFonts w:ascii="仿宋_GB2312" w:eastAsia="仿宋_GB2312"/>
          <w:b w:val="0"/>
        </w:rPr>
        <w:fldChar w:fldCharType="separate"/>
      </w:r>
      <w:r>
        <w:rPr>
          <w:rFonts w:ascii="仿宋_GB2312" w:eastAsia="仿宋_GB2312"/>
        </w:rPr>
        <w:fldChar w:fldCharType="begin"/>
      </w:r>
      <w:r>
        <w:rPr>
          <w:rFonts w:ascii="仿宋_GB2312" w:eastAsia="仿宋_GB2312"/>
        </w:rPr>
        <w:instrText xml:space="preserve"> HYPERLINK \l _Toc26956 </w:instrText>
      </w:r>
      <w:r>
        <w:rPr>
          <w:rFonts w:ascii="仿宋_GB2312" w:eastAsia="仿宋_GB2312"/>
        </w:rPr>
        <w:fldChar w:fldCharType="separate"/>
      </w:r>
      <w:r>
        <w:rPr>
          <w:rFonts w:hint="eastAsia"/>
        </w:rPr>
        <w:t>第一章 招标公告</w:t>
      </w:r>
      <w:r>
        <w:tab/>
      </w:r>
      <w:r>
        <w:fldChar w:fldCharType="begin"/>
      </w:r>
      <w:r>
        <w:instrText xml:space="preserve"> PAGEREF _Toc26956 \h </w:instrText>
      </w:r>
      <w:r>
        <w:fldChar w:fldCharType="separate"/>
      </w:r>
      <w:r>
        <w:t>1</w:t>
      </w:r>
      <w:r>
        <w:fldChar w:fldCharType="end"/>
      </w:r>
      <w:r>
        <w:rPr>
          <w:rFonts w:ascii="仿宋_GB2312" w:eastAsia="仿宋_GB2312"/>
        </w:rPr>
        <w:fldChar w:fldCharType="end"/>
      </w:r>
    </w:p>
    <w:p w14:paraId="6795FB32">
      <w:pPr>
        <w:pStyle w:val="33"/>
        <w:tabs>
          <w:tab w:val="right" w:leader="dot" w:pos="8730"/>
          <w:tab w:val="clear" w:pos="8398"/>
        </w:tabs>
        <w:spacing w:line="480" w:lineRule="auto"/>
        <w:ind w:firstLine="241"/>
      </w:pPr>
      <w:r>
        <w:rPr>
          <w:rFonts w:ascii="仿宋_GB2312" w:eastAsia="仿宋_GB2312"/>
        </w:rPr>
        <w:fldChar w:fldCharType="begin"/>
      </w:r>
      <w:r>
        <w:rPr>
          <w:rFonts w:ascii="仿宋_GB2312" w:eastAsia="仿宋_GB2312"/>
        </w:rPr>
        <w:instrText xml:space="preserve"> HYPERLINK \l _Toc27979 </w:instrText>
      </w:r>
      <w:r>
        <w:rPr>
          <w:rFonts w:ascii="仿宋_GB2312" w:eastAsia="仿宋_GB2312"/>
        </w:rPr>
        <w:fldChar w:fldCharType="separate"/>
      </w:r>
      <w:r>
        <w:rPr>
          <w:rFonts w:hint="eastAsia"/>
        </w:rPr>
        <w:t>第二章  采购</w:t>
      </w:r>
      <w:bookmarkStart w:id="0" w:name="_Hlt117186117"/>
      <w:bookmarkStart w:id="1" w:name="_Hlt136533568"/>
      <w:bookmarkStart w:id="2" w:name="_Hlt117186116"/>
      <w:r>
        <w:rPr>
          <w:rFonts w:hint="eastAsia"/>
        </w:rPr>
        <w:t>需</w:t>
      </w:r>
      <w:bookmarkEnd w:id="0"/>
      <w:bookmarkEnd w:id="1"/>
      <w:bookmarkEnd w:id="2"/>
      <w:bookmarkStart w:id="3" w:name="_Hlt191881697"/>
      <w:bookmarkStart w:id="4" w:name="_Hlt123804813"/>
      <w:bookmarkStart w:id="5" w:name="_Hlt191881696"/>
      <w:bookmarkStart w:id="6" w:name="_Hlt123804812"/>
      <w:bookmarkStart w:id="7" w:name="_Hlt136881812"/>
      <w:bookmarkStart w:id="8" w:name="_Hlt113464974"/>
      <w:bookmarkStart w:id="9" w:name="_Hlt168310409"/>
      <w:bookmarkStart w:id="10" w:name="_Hlt113464975"/>
      <w:bookmarkStart w:id="11" w:name="_Hlt168310410"/>
      <w:bookmarkStart w:id="12" w:name="_Hlt136881813"/>
      <w:bookmarkStart w:id="13" w:name="_Hlt137572974"/>
      <w:r>
        <w:rPr>
          <w:rFonts w:hint="eastAsia"/>
        </w:rPr>
        <w:t>求</w:t>
      </w:r>
      <w:bookmarkEnd w:id="3"/>
      <w:bookmarkEnd w:id="4"/>
      <w:bookmarkEnd w:id="5"/>
      <w:bookmarkEnd w:id="6"/>
      <w:bookmarkEnd w:id="7"/>
      <w:bookmarkEnd w:id="8"/>
      <w:bookmarkEnd w:id="9"/>
      <w:bookmarkEnd w:id="10"/>
      <w:bookmarkEnd w:id="11"/>
      <w:bookmarkEnd w:id="12"/>
      <w:bookmarkEnd w:id="13"/>
      <w:r>
        <w:tab/>
      </w:r>
      <w:r>
        <w:fldChar w:fldCharType="begin"/>
      </w:r>
      <w:r>
        <w:instrText xml:space="preserve"> PAGEREF _Toc27979 \h </w:instrText>
      </w:r>
      <w:r>
        <w:fldChar w:fldCharType="separate"/>
      </w:r>
      <w:r>
        <w:t>9</w:t>
      </w:r>
      <w:r>
        <w:fldChar w:fldCharType="end"/>
      </w:r>
      <w:r>
        <w:rPr>
          <w:rFonts w:ascii="仿宋_GB2312" w:eastAsia="仿宋_GB2312"/>
        </w:rPr>
        <w:fldChar w:fldCharType="end"/>
      </w:r>
    </w:p>
    <w:p w14:paraId="7B13A50F">
      <w:pPr>
        <w:pStyle w:val="33"/>
        <w:tabs>
          <w:tab w:val="right" w:leader="dot" w:pos="8730"/>
          <w:tab w:val="clear" w:pos="8398"/>
        </w:tabs>
        <w:spacing w:line="480" w:lineRule="auto"/>
        <w:ind w:firstLine="241"/>
      </w:pPr>
      <w:r>
        <w:rPr>
          <w:rFonts w:ascii="仿宋_GB2312" w:eastAsia="仿宋_GB2312"/>
        </w:rPr>
        <w:fldChar w:fldCharType="begin"/>
      </w:r>
      <w:r>
        <w:rPr>
          <w:rFonts w:ascii="仿宋_GB2312" w:eastAsia="仿宋_GB2312"/>
        </w:rPr>
        <w:instrText xml:space="preserve"> HYPERLINK \l _Toc25688 </w:instrText>
      </w:r>
      <w:r>
        <w:rPr>
          <w:rFonts w:ascii="仿宋_GB2312" w:eastAsia="仿宋_GB2312"/>
        </w:rPr>
        <w:fldChar w:fldCharType="separate"/>
      </w:r>
      <w:r>
        <w:rPr>
          <w:rFonts w:hint="eastAsia"/>
        </w:rPr>
        <w:t>第三章  投标</w:t>
      </w:r>
      <w:bookmarkStart w:id="14" w:name="_Hlt141364352"/>
      <w:bookmarkStart w:id="15" w:name="_Hlt171508834"/>
      <w:r>
        <w:rPr>
          <w:rFonts w:hint="eastAsia"/>
        </w:rPr>
        <w:t>人</w:t>
      </w:r>
      <w:bookmarkEnd w:id="14"/>
      <w:bookmarkEnd w:id="15"/>
      <w:bookmarkStart w:id="16" w:name="_Hlt136530927"/>
      <w:bookmarkStart w:id="17" w:name="_Hlt115422054"/>
      <w:bookmarkStart w:id="18" w:name="_Hlt144300658"/>
      <w:bookmarkStart w:id="19" w:name="_Hlt144300659"/>
      <w:r>
        <w:rPr>
          <w:rFonts w:hint="eastAsia"/>
        </w:rPr>
        <w:t>须</w:t>
      </w:r>
      <w:bookmarkEnd w:id="16"/>
      <w:bookmarkEnd w:id="17"/>
      <w:bookmarkEnd w:id="18"/>
      <w:bookmarkEnd w:id="19"/>
      <w:bookmarkStart w:id="20" w:name="_Hlt178278999"/>
      <w:r>
        <w:rPr>
          <w:rFonts w:hint="eastAsia"/>
        </w:rPr>
        <w:t>知</w:t>
      </w:r>
      <w:bookmarkEnd w:id="20"/>
      <w:r>
        <w:tab/>
      </w:r>
      <w:r>
        <w:fldChar w:fldCharType="begin"/>
      </w:r>
      <w:r>
        <w:instrText xml:space="preserve"> PAGEREF _Toc25688 \h </w:instrText>
      </w:r>
      <w:r>
        <w:fldChar w:fldCharType="separate"/>
      </w:r>
      <w:r>
        <w:t>71</w:t>
      </w:r>
      <w:r>
        <w:fldChar w:fldCharType="end"/>
      </w:r>
      <w:r>
        <w:rPr>
          <w:rFonts w:ascii="仿宋_GB2312" w:eastAsia="仿宋_GB2312"/>
        </w:rPr>
        <w:fldChar w:fldCharType="end"/>
      </w:r>
    </w:p>
    <w:p w14:paraId="79FEEFC6">
      <w:pPr>
        <w:pStyle w:val="33"/>
        <w:tabs>
          <w:tab w:val="right" w:leader="dot" w:pos="8730"/>
          <w:tab w:val="clear" w:pos="8398"/>
        </w:tabs>
        <w:spacing w:line="480" w:lineRule="auto"/>
        <w:ind w:firstLine="241"/>
      </w:pPr>
      <w:r>
        <w:rPr>
          <w:rFonts w:ascii="仿宋_GB2312" w:eastAsia="仿宋_GB2312"/>
        </w:rPr>
        <w:fldChar w:fldCharType="begin"/>
      </w:r>
      <w:r>
        <w:rPr>
          <w:rFonts w:ascii="仿宋_GB2312" w:eastAsia="仿宋_GB2312"/>
        </w:rPr>
        <w:instrText xml:space="preserve"> HYPERLINK \l _Toc15687 </w:instrText>
      </w:r>
      <w:r>
        <w:rPr>
          <w:rFonts w:ascii="仿宋_GB2312" w:eastAsia="仿宋_GB2312"/>
        </w:rPr>
        <w:fldChar w:fldCharType="separate"/>
      </w:r>
      <w:r>
        <w:rPr>
          <w:rFonts w:hint="eastAsia"/>
        </w:rPr>
        <w:t>第四章  评标</w:t>
      </w:r>
      <w:bookmarkStart w:id="21" w:name="_Hlt218877419"/>
      <w:r>
        <w:rPr>
          <w:rFonts w:hint="eastAsia"/>
        </w:rPr>
        <w:t>方</w:t>
      </w:r>
      <w:bookmarkEnd w:id="21"/>
      <w:r>
        <w:rPr>
          <w:rFonts w:hint="eastAsia"/>
        </w:rPr>
        <w:t>法</w:t>
      </w:r>
      <w:bookmarkStart w:id="22" w:name="_Hlt176428077"/>
      <w:r>
        <w:rPr>
          <w:rFonts w:hint="eastAsia"/>
        </w:rPr>
        <w:t>及</w:t>
      </w:r>
      <w:bookmarkEnd w:id="22"/>
      <w:r>
        <w:rPr>
          <w:rFonts w:hint="eastAsia"/>
        </w:rPr>
        <w:t>评标标准</w:t>
      </w:r>
      <w:r>
        <w:tab/>
      </w:r>
      <w:r>
        <w:fldChar w:fldCharType="begin"/>
      </w:r>
      <w:r>
        <w:instrText xml:space="preserve"> PAGEREF _Toc15687 \h </w:instrText>
      </w:r>
      <w:r>
        <w:fldChar w:fldCharType="separate"/>
      </w:r>
      <w:r>
        <w:t>96</w:t>
      </w:r>
      <w:r>
        <w:fldChar w:fldCharType="end"/>
      </w:r>
      <w:r>
        <w:rPr>
          <w:rFonts w:ascii="仿宋_GB2312" w:eastAsia="仿宋_GB2312"/>
        </w:rPr>
        <w:fldChar w:fldCharType="end"/>
      </w:r>
    </w:p>
    <w:p w14:paraId="66E63065">
      <w:pPr>
        <w:pStyle w:val="33"/>
        <w:tabs>
          <w:tab w:val="right" w:leader="dot" w:pos="8730"/>
          <w:tab w:val="clear" w:pos="8398"/>
        </w:tabs>
        <w:spacing w:line="480" w:lineRule="auto"/>
        <w:ind w:firstLine="241"/>
      </w:pPr>
      <w:r>
        <w:rPr>
          <w:rFonts w:ascii="仿宋_GB2312" w:eastAsia="仿宋_GB2312"/>
        </w:rPr>
        <w:fldChar w:fldCharType="begin"/>
      </w:r>
      <w:r>
        <w:rPr>
          <w:rFonts w:ascii="仿宋_GB2312" w:eastAsia="仿宋_GB2312"/>
        </w:rPr>
        <w:instrText xml:space="preserve"> HYPERLINK \l _Toc25250 </w:instrText>
      </w:r>
      <w:r>
        <w:rPr>
          <w:rFonts w:ascii="仿宋_GB2312" w:eastAsia="仿宋_GB2312"/>
        </w:rPr>
        <w:fldChar w:fldCharType="separate"/>
      </w:r>
      <w:r>
        <w:rPr>
          <w:rFonts w:hint="eastAsia"/>
        </w:rPr>
        <w:t>第五章  拟签订</w:t>
      </w:r>
      <w:bookmarkStart w:id="23" w:name="_Hlt142670202"/>
      <w:bookmarkStart w:id="24" w:name="_Hlt144201230"/>
      <w:bookmarkStart w:id="25" w:name="_Hlt144201231"/>
      <w:r>
        <w:rPr>
          <w:rFonts w:hint="eastAsia"/>
        </w:rPr>
        <w:t>的</w:t>
      </w:r>
      <w:bookmarkEnd w:id="23"/>
      <w:bookmarkEnd w:id="24"/>
      <w:bookmarkEnd w:id="25"/>
      <w:bookmarkStart w:id="26" w:name="_Hlt172744690"/>
      <w:bookmarkStart w:id="27" w:name="_Hlt172744689"/>
      <w:bookmarkStart w:id="28" w:name="_Hlt135207597"/>
      <w:bookmarkStart w:id="29" w:name="_Hlt135207598"/>
      <w:bookmarkStart w:id="30" w:name="_Hlt150795587"/>
      <w:r>
        <w:rPr>
          <w:rFonts w:hint="eastAsia"/>
        </w:rPr>
        <w:t>合</w:t>
      </w:r>
      <w:bookmarkEnd w:id="26"/>
      <w:bookmarkEnd w:id="27"/>
      <w:bookmarkEnd w:id="28"/>
      <w:bookmarkEnd w:id="29"/>
      <w:bookmarkEnd w:id="30"/>
      <w:bookmarkStart w:id="31" w:name="_Hlt144322969"/>
      <w:bookmarkStart w:id="32" w:name="_Hlt156849082"/>
      <w:r>
        <w:rPr>
          <w:rFonts w:hint="eastAsia"/>
        </w:rPr>
        <w:t>同</w:t>
      </w:r>
      <w:bookmarkEnd w:id="31"/>
      <w:bookmarkEnd w:id="32"/>
      <w:r>
        <w:rPr>
          <w:rFonts w:hint="eastAsia"/>
        </w:rPr>
        <w:t>文本</w:t>
      </w:r>
      <w:r>
        <w:tab/>
      </w:r>
      <w:r>
        <w:fldChar w:fldCharType="begin"/>
      </w:r>
      <w:r>
        <w:instrText xml:space="preserve"> PAGEREF _Toc25250 \h </w:instrText>
      </w:r>
      <w:r>
        <w:fldChar w:fldCharType="separate"/>
      </w:r>
      <w:r>
        <w:t>114</w:t>
      </w:r>
      <w:r>
        <w:fldChar w:fldCharType="end"/>
      </w:r>
      <w:r>
        <w:rPr>
          <w:rFonts w:ascii="仿宋_GB2312" w:eastAsia="仿宋_GB2312"/>
        </w:rPr>
        <w:fldChar w:fldCharType="end"/>
      </w:r>
    </w:p>
    <w:p w14:paraId="6BF5F477">
      <w:pPr>
        <w:pStyle w:val="33"/>
        <w:tabs>
          <w:tab w:val="right" w:leader="dot" w:pos="8730"/>
          <w:tab w:val="clear" w:pos="8398"/>
        </w:tabs>
        <w:spacing w:line="480" w:lineRule="auto"/>
        <w:ind w:firstLine="241"/>
      </w:pPr>
      <w:r>
        <w:rPr>
          <w:rFonts w:ascii="仿宋_GB2312" w:eastAsia="仿宋_GB2312"/>
        </w:rPr>
        <w:fldChar w:fldCharType="begin"/>
      </w:r>
      <w:r>
        <w:rPr>
          <w:rFonts w:ascii="仿宋_GB2312" w:eastAsia="仿宋_GB2312"/>
        </w:rPr>
        <w:instrText xml:space="preserve"> HYPERLINK \l _Toc25289 </w:instrText>
      </w:r>
      <w:r>
        <w:rPr>
          <w:rFonts w:ascii="仿宋_GB2312" w:eastAsia="仿宋_GB2312"/>
        </w:rPr>
        <w:fldChar w:fldCharType="separate"/>
      </w:r>
      <w:r>
        <w:rPr>
          <w:rFonts w:hint="eastAsia"/>
        </w:rPr>
        <w:t>第六章　投标文件格式</w:t>
      </w:r>
      <w:r>
        <w:tab/>
      </w:r>
      <w:r>
        <w:fldChar w:fldCharType="begin"/>
      </w:r>
      <w:r>
        <w:instrText xml:space="preserve"> PAGEREF _Toc25289 \h </w:instrText>
      </w:r>
      <w:r>
        <w:fldChar w:fldCharType="separate"/>
      </w:r>
      <w:r>
        <w:t>125</w:t>
      </w:r>
      <w:r>
        <w:fldChar w:fldCharType="end"/>
      </w:r>
      <w:r>
        <w:rPr>
          <w:rFonts w:ascii="仿宋_GB2312" w:eastAsia="仿宋_GB2312"/>
        </w:rPr>
        <w:fldChar w:fldCharType="end"/>
      </w:r>
    </w:p>
    <w:p w14:paraId="3178C786">
      <w:pPr>
        <w:tabs>
          <w:tab w:val="right" w:leader="dot" w:pos="8789"/>
        </w:tabs>
        <w:snapToGrid w:val="0"/>
        <w:spacing w:line="480" w:lineRule="auto"/>
        <w:rPr>
          <w:rFonts w:hint="eastAsia" w:ascii="仿宋_GB2312" w:hAnsi="宋体" w:eastAsia="仿宋_GB2312"/>
          <w:sz w:val="24"/>
        </w:rPr>
      </w:pPr>
      <w:r>
        <w:rPr>
          <w:rFonts w:ascii="仿宋_GB2312" w:hAnsi="宋体" w:eastAsia="仿宋_GB2312"/>
        </w:rPr>
        <w:fldChar w:fldCharType="end"/>
      </w:r>
    </w:p>
    <w:p w14:paraId="60BE972D">
      <w:pPr>
        <w:spacing w:before="120" w:beforeLines="50" w:line="480" w:lineRule="exact"/>
        <w:rPr>
          <w:rFonts w:hint="eastAsia" w:ascii="仿宋_GB2312" w:hAnsi="宋体" w:eastAsia="仿宋_GB2312"/>
          <w:sz w:val="30"/>
        </w:rPr>
      </w:pPr>
    </w:p>
    <w:p w14:paraId="06F7C4F9">
      <w:pPr>
        <w:rPr>
          <w:rFonts w:hint="eastAsia"/>
        </w:rPr>
      </w:pPr>
    </w:p>
    <w:p w14:paraId="5509EEBF">
      <w:pPr>
        <w:spacing w:before="120" w:beforeLines="50" w:line="480" w:lineRule="exact"/>
        <w:rPr>
          <w:rFonts w:hint="eastAsia" w:ascii="仿宋_GB2312" w:hAnsi="宋体" w:eastAsia="仿宋_GB2312"/>
          <w:sz w:val="30"/>
        </w:rPr>
      </w:pPr>
    </w:p>
    <w:p w14:paraId="6406F074">
      <w:pPr>
        <w:spacing w:before="120" w:beforeLines="50" w:line="480" w:lineRule="exact"/>
        <w:rPr>
          <w:rFonts w:hint="eastAsia" w:ascii="仿宋_GB2312" w:hAnsi="宋体" w:eastAsia="仿宋_GB2312"/>
          <w:sz w:val="30"/>
        </w:rPr>
      </w:pPr>
    </w:p>
    <w:p w14:paraId="1A1C22C0">
      <w:pPr>
        <w:pStyle w:val="16"/>
        <w:rPr>
          <w:rFonts w:hint="eastAsia" w:ascii="宋体" w:hAnsi="宋体" w:cs="宋体"/>
          <w:b/>
          <w:bCs/>
        </w:rPr>
      </w:pPr>
      <w:bookmarkStart w:id="33" w:name="_Toc254970630"/>
      <w:bookmarkStart w:id="34" w:name="_Toc254970489"/>
    </w:p>
    <w:p w14:paraId="032DEF85">
      <w:pPr>
        <w:pStyle w:val="2"/>
        <w:keepNext w:val="0"/>
        <w:keepLines w:val="0"/>
        <w:tabs>
          <w:tab w:val="left" w:pos="0"/>
          <w:tab w:val="left" w:pos="3165"/>
          <w:tab w:val="center" w:pos="4153"/>
        </w:tabs>
        <w:autoSpaceDE w:val="0"/>
        <w:autoSpaceDN w:val="0"/>
        <w:adjustRightInd w:val="0"/>
        <w:spacing w:before="0" w:after="0" w:line="360" w:lineRule="auto"/>
        <w:jc w:val="center"/>
        <w:rPr>
          <w:rFonts w:hint="eastAsia"/>
        </w:rPr>
        <w:sectPr>
          <w:footerReference r:id="rId10" w:type="first"/>
          <w:footerReference r:id="rId9" w:type="default"/>
          <w:pgSz w:w="11910" w:h="16840"/>
          <w:pgMar w:top="1520" w:right="1500" w:bottom="280" w:left="1680" w:header="720" w:footer="720" w:gutter="0"/>
          <w:pgNumType w:start="1"/>
          <w:cols w:space="720" w:num="1"/>
          <w:docGrid w:linePitch="286" w:charSpace="0"/>
        </w:sectPr>
      </w:pPr>
      <w:bookmarkStart w:id="35" w:name="_Toc26956"/>
    </w:p>
    <w:p w14:paraId="0ECB9455">
      <w:pPr>
        <w:pStyle w:val="2"/>
        <w:keepNext w:val="0"/>
        <w:keepLines w:val="0"/>
        <w:tabs>
          <w:tab w:val="left" w:pos="0"/>
          <w:tab w:val="left" w:pos="3165"/>
          <w:tab w:val="center" w:pos="4153"/>
        </w:tabs>
        <w:autoSpaceDE w:val="0"/>
        <w:autoSpaceDN w:val="0"/>
        <w:adjustRightInd w:val="0"/>
        <w:spacing w:before="0" w:after="0" w:line="360" w:lineRule="auto"/>
        <w:jc w:val="center"/>
      </w:pPr>
      <w:r>
        <w:rPr>
          <w:rFonts w:hint="eastAsia"/>
        </w:rPr>
        <w:t>第一章</w:t>
      </w:r>
      <w:bookmarkEnd w:id="33"/>
      <w:bookmarkEnd w:id="34"/>
      <w:bookmarkStart w:id="36" w:name="_Toc35393789"/>
      <w:bookmarkStart w:id="37" w:name="_Toc28359001"/>
      <w:r>
        <w:rPr>
          <w:rFonts w:hint="eastAsia"/>
        </w:rPr>
        <w:t xml:space="preserve"> 招标公告</w:t>
      </w:r>
      <w:bookmarkEnd w:id="35"/>
      <w:bookmarkEnd w:id="36"/>
      <w:bookmarkEnd w:id="37"/>
    </w:p>
    <w:p w14:paraId="3AB4318C">
      <w:pPr>
        <w:spacing w:line="360" w:lineRule="auto"/>
        <w:rPr>
          <w:rFonts w:ascii="宋体" w:hAnsi="宋体"/>
          <w:szCs w:val="21"/>
        </w:rPr>
      </w:pPr>
    </w:p>
    <w:p w14:paraId="59539FE4">
      <w:pPr>
        <w:pBdr>
          <w:top w:val="single" w:color="auto" w:sz="4" w:space="1"/>
          <w:left w:val="single" w:color="auto" w:sz="4" w:space="4"/>
          <w:bottom w:val="single" w:color="auto" w:sz="4" w:space="1"/>
          <w:right w:val="single" w:color="auto" w:sz="4" w:space="4"/>
        </w:pBdr>
        <w:spacing w:line="360" w:lineRule="auto"/>
        <w:ind w:firstLine="420" w:firstLineChars="200"/>
        <w:rPr>
          <w:rFonts w:ascii="宋体" w:hAnsi="宋体"/>
          <w:szCs w:val="21"/>
        </w:rPr>
      </w:pPr>
      <w:r>
        <w:rPr>
          <w:rFonts w:hint="eastAsia" w:ascii="宋体" w:hAnsi="宋体"/>
          <w:szCs w:val="21"/>
        </w:rPr>
        <w:t>项目概况</w:t>
      </w:r>
    </w:p>
    <w:p w14:paraId="6C1A0067">
      <w:pPr>
        <w:pBdr>
          <w:top w:val="single" w:color="auto" w:sz="4" w:space="1"/>
          <w:left w:val="single" w:color="auto" w:sz="4" w:space="4"/>
          <w:bottom w:val="single" w:color="auto" w:sz="4" w:space="1"/>
          <w:right w:val="single" w:color="auto" w:sz="4" w:space="4"/>
        </w:pBdr>
        <w:spacing w:line="360" w:lineRule="auto"/>
        <w:ind w:firstLine="420" w:firstLineChars="200"/>
        <w:rPr>
          <w:rFonts w:ascii="宋体" w:hAnsi="宋体"/>
          <w:szCs w:val="21"/>
        </w:rPr>
      </w:pPr>
      <w:r>
        <w:rPr>
          <w:rFonts w:hint="eastAsia" w:ascii="宋体" w:hAnsi="宋体"/>
          <w:szCs w:val="21"/>
          <w:u w:val="single"/>
        </w:rPr>
        <w:t>国家区域性公路交通应急装备物资（广西南宁）储备中心应急装备物资</w:t>
      </w:r>
      <w:r>
        <w:rPr>
          <w:rFonts w:hint="eastAsia" w:ascii="宋体" w:hAnsi="宋体"/>
          <w:szCs w:val="21"/>
        </w:rPr>
        <w:t>招标项目的潜在投标人应在广西政府采购云平台（https://www.gcy.zfcg.gxzf.gov.cn/）获取（下载）招标文件，并于</w:t>
      </w:r>
      <w:r>
        <w:rPr>
          <w:rFonts w:ascii="宋体" w:hAnsi="宋体"/>
          <w:szCs w:val="21"/>
          <w:u w:val="single"/>
        </w:rPr>
        <w:t>202</w:t>
      </w:r>
      <w:r>
        <w:rPr>
          <w:rFonts w:hint="eastAsia" w:ascii="宋体" w:hAnsi="宋体"/>
          <w:szCs w:val="21"/>
          <w:u w:val="single"/>
        </w:rPr>
        <w:t>6</w:t>
      </w:r>
      <w:r>
        <w:rPr>
          <w:rFonts w:hint="eastAsia" w:ascii="宋体" w:hAnsi="宋体"/>
          <w:bCs/>
          <w:szCs w:val="21"/>
          <w:u w:val="single"/>
        </w:rPr>
        <w:t>年</w:t>
      </w:r>
      <w:r>
        <w:rPr>
          <w:rFonts w:hint="eastAsia" w:ascii="宋体" w:hAnsi="宋体"/>
          <w:bCs/>
          <w:szCs w:val="21"/>
          <w:u w:val="single"/>
          <w:lang w:val="en-US" w:eastAsia="zh-CN"/>
        </w:rPr>
        <w:t>7</w:t>
      </w:r>
      <w:r>
        <w:rPr>
          <w:rFonts w:hint="eastAsia" w:ascii="宋体" w:hAnsi="宋体"/>
          <w:bCs/>
          <w:szCs w:val="21"/>
          <w:u w:val="single"/>
        </w:rPr>
        <w:t>月</w:t>
      </w:r>
      <w:r>
        <w:rPr>
          <w:rFonts w:hint="eastAsia" w:ascii="宋体" w:hAnsi="宋体"/>
          <w:bCs/>
          <w:szCs w:val="21"/>
          <w:u w:val="single"/>
          <w:lang w:val="en-US" w:eastAsia="zh-CN"/>
        </w:rPr>
        <w:t>22</w:t>
      </w:r>
      <w:r>
        <w:rPr>
          <w:rFonts w:hint="eastAsia" w:ascii="宋体" w:hAnsi="宋体"/>
          <w:bCs/>
          <w:szCs w:val="21"/>
          <w:u w:val="single"/>
        </w:rPr>
        <w:t>日上午9时30分（</w:t>
      </w:r>
      <w:r>
        <w:rPr>
          <w:rFonts w:hint="eastAsia" w:ascii="宋体" w:hAnsi="宋体"/>
          <w:bCs/>
          <w:szCs w:val="21"/>
        </w:rPr>
        <w:t>北京时间）前按要求递交（上传）投标</w:t>
      </w:r>
      <w:r>
        <w:rPr>
          <w:rFonts w:ascii="宋体" w:hAnsi="宋体"/>
          <w:bCs/>
          <w:szCs w:val="21"/>
        </w:rPr>
        <w:t>文件</w:t>
      </w:r>
      <w:r>
        <w:rPr>
          <w:rFonts w:hint="eastAsia" w:ascii="宋体" w:hAnsi="宋体"/>
          <w:szCs w:val="21"/>
        </w:rPr>
        <w:t>。</w:t>
      </w:r>
    </w:p>
    <w:p w14:paraId="72765034">
      <w:pPr>
        <w:spacing w:line="360" w:lineRule="auto"/>
        <w:rPr>
          <w:rFonts w:ascii="宋体" w:hAnsi="宋体"/>
          <w:szCs w:val="21"/>
        </w:rPr>
      </w:pPr>
    </w:p>
    <w:p w14:paraId="0A703BD7">
      <w:pPr>
        <w:spacing w:line="360" w:lineRule="auto"/>
        <w:rPr>
          <w:rFonts w:ascii="黑体" w:hAnsi="黑体" w:eastAsia="黑体"/>
          <w:b/>
          <w:bCs/>
          <w:sz w:val="24"/>
        </w:rPr>
      </w:pPr>
      <w:bookmarkStart w:id="38" w:name="_Toc28359002"/>
      <w:bookmarkStart w:id="39" w:name="_Toc35393790"/>
      <w:bookmarkStart w:id="40" w:name="_Toc35393621"/>
      <w:bookmarkStart w:id="41" w:name="_Toc28359079"/>
      <w:bookmarkStart w:id="42" w:name="_Hlk24379207"/>
      <w:r>
        <w:rPr>
          <w:rFonts w:hint="eastAsia" w:ascii="黑体" w:hAnsi="黑体" w:eastAsia="黑体"/>
          <w:b/>
          <w:bCs/>
          <w:sz w:val="24"/>
        </w:rPr>
        <w:t>一、项目基本情况</w:t>
      </w:r>
      <w:bookmarkEnd w:id="38"/>
      <w:bookmarkEnd w:id="39"/>
      <w:bookmarkEnd w:id="40"/>
      <w:bookmarkEnd w:id="41"/>
    </w:p>
    <w:bookmarkEnd w:id="42"/>
    <w:p w14:paraId="0F3A0FF9">
      <w:pPr>
        <w:spacing w:line="360" w:lineRule="auto"/>
        <w:ind w:firstLine="420" w:firstLineChars="200"/>
        <w:rPr>
          <w:rFonts w:hint="default" w:ascii="宋体" w:hAnsi="宋体" w:eastAsia="宋体"/>
          <w:szCs w:val="21"/>
          <w:lang w:val="en-US" w:eastAsia="zh-CN"/>
        </w:rPr>
      </w:pPr>
      <w:r>
        <w:rPr>
          <w:rFonts w:hint="eastAsia" w:ascii="宋体" w:hAnsi="宋体"/>
          <w:szCs w:val="21"/>
        </w:rPr>
        <w:t>项目编号：GXZC2026-G1-001869-YZLZ；政府采购计划编号：广西政采[2026]12258号</w:t>
      </w:r>
    </w:p>
    <w:p w14:paraId="1980A5E3">
      <w:pPr>
        <w:spacing w:line="360" w:lineRule="auto"/>
        <w:ind w:firstLine="420" w:firstLineChars="200"/>
        <w:rPr>
          <w:rFonts w:hint="eastAsia" w:ascii="宋体" w:hAnsi="宋体"/>
          <w:szCs w:val="21"/>
        </w:rPr>
      </w:pPr>
      <w:r>
        <w:rPr>
          <w:rFonts w:hint="eastAsia" w:ascii="宋体" w:hAnsi="宋体"/>
          <w:szCs w:val="21"/>
        </w:rPr>
        <w:t>项目名称：国家区域性公路交通应急装备物资（广西南宁）储备中心应急装备物资采购</w:t>
      </w:r>
    </w:p>
    <w:p w14:paraId="308E83DE">
      <w:pPr>
        <w:spacing w:line="360" w:lineRule="auto"/>
        <w:ind w:firstLine="420" w:firstLineChars="200"/>
        <w:rPr>
          <w:rFonts w:ascii="宋体" w:hAnsi="宋体"/>
          <w:szCs w:val="21"/>
          <w:u w:val="single"/>
        </w:rPr>
      </w:pPr>
      <w:r>
        <w:rPr>
          <w:rFonts w:hint="eastAsia" w:ascii="宋体" w:hAnsi="宋体"/>
          <w:szCs w:val="21"/>
        </w:rPr>
        <w:t>预算金额：总预算2178.00万元，其中分标1：</w:t>
      </w:r>
      <w:r>
        <w:rPr>
          <w:rFonts w:hint="eastAsia" w:ascii="宋体" w:hAnsi="宋体"/>
          <w:szCs w:val="21"/>
          <w:u w:val="single"/>
        </w:rPr>
        <w:t>412.00万元</w:t>
      </w:r>
      <w:r>
        <w:rPr>
          <w:rFonts w:hint="eastAsia" w:ascii="宋体" w:hAnsi="宋体"/>
          <w:szCs w:val="21"/>
        </w:rPr>
        <w:t>；分标2：</w:t>
      </w:r>
      <w:r>
        <w:rPr>
          <w:rFonts w:hint="eastAsia" w:ascii="宋体" w:hAnsi="宋体"/>
          <w:szCs w:val="21"/>
          <w:u w:val="single"/>
        </w:rPr>
        <w:t>224.00万元</w:t>
      </w:r>
      <w:r>
        <w:rPr>
          <w:rFonts w:hint="eastAsia" w:ascii="宋体" w:hAnsi="宋体"/>
          <w:szCs w:val="21"/>
        </w:rPr>
        <w:t>；分标3：</w:t>
      </w:r>
      <w:r>
        <w:rPr>
          <w:rFonts w:hint="eastAsia" w:ascii="宋体" w:hAnsi="宋体"/>
          <w:szCs w:val="21"/>
          <w:u w:val="single"/>
        </w:rPr>
        <w:t>645.27万元</w:t>
      </w:r>
      <w:r>
        <w:rPr>
          <w:rFonts w:hint="eastAsia" w:ascii="宋体" w:hAnsi="宋体"/>
          <w:szCs w:val="21"/>
        </w:rPr>
        <w:t>；分标4：</w:t>
      </w:r>
      <w:r>
        <w:rPr>
          <w:rFonts w:hint="eastAsia" w:ascii="宋体" w:hAnsi="宋体"/>
          <w:szCs w:val="21"/>
          <w:u w:val="single"/>
        </w:rPr>
        <w:t>553.85万元</w:t>
      </w:r>
      <w:r>
        <w:rPr>
          <w:rFonts w:hint="eastAsia" w:ascii="宋体" w:hAnsi="宋体"/>
          <w:szCs w:val="21"/>
        </w:rPr>
        <w:t>；分标5：</w:t>
      </w:r>
      <w:r>
        <w:rPr>
          <w:rFonts w:hint="eastAsia" w:ascii="宋体" w:hAnsi="宋体"/>
          <w:szCs w:val="21"/>
          <w:u w:val="single"/>
        </w:rPr>
        <w:t>342.88万元</w:t>
      </w:r>
      <w:r>
        <w:rPr>
          <w:rFonts w:hint="eastAsia" w:ascii="宋体" w:hAnsi="宋体"/>
          <w:szCs w:val="21"/>
        </w:rPr>
        <w:t>。</w:t>
      </w:r>
    </w:p>
    <w:p w14:paraId="6F20C875">
      <w:pPr>
        <w:spacing w:line="360" w:lineRule="auto"/>
        <w:ind w:firstLine="420" w:firstLineChars="200"/>
        <w:rPr>
          <w:rFonts w:hint="eastAsia" w:ascii="宋体" w:hAnsi="宋体"/>
          <w:color w:val="FF0000"/>
          <w:szCs w:val="21"/>
        </w:rPr>
      </w:pPr>
      <w:r>
        <w:rPr>
          <w:rFonts w:hint="eastAsia" w:ascii="宋体" w:hAnsi="宋体"/>
          <w:szCs w:val="21"/>
        </w:rPr>
        <w:t>最高限价：总最高限价2178.00万元，其中分标1：</w:t>
      </w:r>
      <w:r>
        <w:rPr>
          <w:rFonts w:hint="eastAsia" w:ascii="宋体" w:hAnsi="宋体"/>
          <w:szCs w:val="21"/>
          <w:u w:val="single"/>
        </w:rPr>
        <w:t>412.00万元</w:t>
      </w:r>
      <w:r>
        <w:rPr>
          <w:rFonts w:hint="eastAsia" w:ascii="宋体" w:hAnsi="宋体"/>
          <w:szCs w:val="21"/>
        </w:rPr>
        <w:t>；分标2：</w:t>
      </w:r>
      <w:r>
        <w:rPr>
          <w:rFonts w:hint="eastAsia" w:ascii="宋体" w:hAnsi="宋体"/>
          <w:szCs w:val="21"/>
          <w:u w:val="single"/>
        </w:rPr>
        <w:t>224.00万元</w:t>
      </w:r>
      <w:r>
        <w:rPr>
          <w:rFonts w:hint="eastAsia" w:ascii="宋体" w:hAnsi="宋体"/>
          <w:szCs w:val="21"/>
        </w:rPr>
        <w:t>；分标3：</w:t>
      </w:r>
      <w:r>
        <w:rPr>
          <w:rFonts w:hint="eastAsia" w:ascii="宋体" w:hAnsi="宋体"/>
          <w:szCs w:val="21"/>
          <w:u w:val="single"/>
        </w:rPr>
        <w:t>645.27万元</w:t>
      </w:r>
      <w:r>
        <w:rPr>
          <w:rFonts w:hint="eastAsia" w:ascii="宋体" w:hAnsi="宋体"/>
          <w:szCs w:val="21"/>
        </w:rPr>
        <w:t>；分标4：</w:t>
      </w:r>
      <w:r>
        <w:rPr>
          <w:rFonts w:hint="eastAsia" w:ascii="宋体" w:hAnsi="宋体"/>
          <w:szCs w:val="21"/>
          <w:u w:val="single"/>
        </w:rPr>
        <w:t>553.85万元</w:t>
      </w:r>
      <w:r>
        <w:rPr>
          <w:rFonts w:hint="eastAsia" w:ascii="宋体" w:hAnsi="宋体"/>
          <w:szCs w:val="21"/>
        </w:rPr>
        <w:t>；分标5：</w:t>
      </w:r>
      <w:r>
        <w:rPr>
          <w:rFonts w:hint="eastAsia" w:ascii="宋体" w:hAnsi="宋体"/>
          <w:szCs w:val="21"/>
          <w:u w:val="single"/>
        </w:rPr>
        <w:t>342.88万元</w:t>
      </w:r>
      <w:r>
        <w:rPr>
          <w:rFonts w:hint="eastAsia" w:ascii="宋体" w:hAnsi="宋体"/>
          <w:szCs w:val="21"/>
        </w:rPr>
        <w:t>。</w:t>
      </w:r>
    </w:p>
    <w:p w14:paraId="6DF5350C">
      <w:pPr>
        <w:spacing w:line="360" w:lineRule="auto"/>
        <w:ind w:firstLine="420" w:firstLineChars="200"/>
        <w:rPr>
          <w:rFonts w:hint="eastAsia" w:ascii="宋体" w:hAnsi="宋体"/>
          <w:szCs w:val="21"/>
        </w:rPr>
      </w:pPr>
      <w:r>
        <w:rPr>
          <w:rFonts w:hint="eastAsia" w:ascii="宋体" w:hAnsi="宋体"/>
          <w:szCs w:val="21"/>
        </w:rPr>
        <w:t xml:space="preserve">采购需求： </w:t>
      </w:r>
    </w:p>
    <w:tbl>
      <w:tblPr>
        <w:tblStyle w:val="50"/>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426"/>
        <w:gridCol w:w="676"/>
        <w:gridCol w:w="1014"/>
        <w:gridCol w:w="5350"/>
        <w:gridCol w:w="1480"/>
      </w:tblGrid>
      <w:tr w14:paraId="70F3460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2" w:hRule="atLeast"/>
        </w:trPr>
        <w:tc>
          <w:tcPr>
            <w:tcW w:w="5000" w:type="pct"/>
            <w:gridSpan w:val="5"/>
            <w:tcBorders>
              <w:top w:val="single" w:color="auto" w:sz="4" w:space="0"/>
              <w:left w:val="single" w:color="auto" w:sz="4" w:space="0"/>
              <w:bottom w:val="single" w:color="auto" w:sz="4" w:space="0"/>
              <w:right w:val="single" w:color="auto" w:sz="4" w:space="0"/>
            </w:tcBorders>
            <w:noWrap w:val="0"/>
            <w:vAlign w:val="center"/>
          </w:tcPr>
          <w:p w14:paraId="72F7B4BC">
            <w:pPr>
              <w:spacing w:line="360" w:lineRule="exact"/>
              <w:rPr>
                <w:rFonts w:hint="eastAsia" w:ascii="宋体" w:hAnsi="宋体"/>
              </w:rPr>
            </w:pPr>
            <w:r>
              <w:rPr>
                <w:rFonts w:hint="eastAsia" w:ascii="宋体" w:hAnsi="宋体"/>
              </w:rPr>
              <w:t>分标1；预算金额：</w:t>
            </w:r>
            <w:r>
              <w:rPr>
                <w:rFonts w:hint="eastAsia" w:ascii="宋体" w:hAnsi="宋体"/>
                <w:szCs w:val="21"/>
                <w:u w:val="single"/>
              </w:rPr>
              <w:t>412.00万元</w:t>
            </w:r>
          </w:p>
        </w:tc>
      </w:tr>
      <w:tr w14:paraId="682075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38" w:type="pct"/>
            <w:tcBorders>
              <w:top w:val="single" w:color="auto" w:sz="4" w:space="0"/>
              <w:left w:val="single" w:color="auto" w:sz="4" w:space="0"/>
              <w:bottom w:val="single" w:color="auto" w:sz="4" w:space="0"/>
              <w:right w:val="single" w:color="auto" w:sz="4" w:space="0"/>
            </w:tcBorders>
            <w:noWrap w:val="0"/>
            <w:vAlign w:val="center"/>
          </w:tcPr>
          <w:p w14:paraId="0277D3B2">
            <w:pPr>
              <w:widowControl/>
              <w:adjustRightInd w:val="0"/>
              <w:snapToGrid w:val="0"/>
              <w:spacing w:line="360" w:lineRule="exact"/>
              <w:jc w:val="center"/>
              <w:textAlignment w:val="top"/>
              <w:rPr>
                <w:rFonts w:ascii="宋体" w:hAnsi="宋体" w:cs="仿宋"/>
                <w:szCs w:val="21"/>
              </w:rPr>
            </w:pPr>
            <w:r>
              <w:rPr>
                <w:rFonts w:hint="eastAsia" w:ascii="宋体" w:hAnsi="宋体" w:cs="仿宋"/>
                <w:szCs w:val="21"/>
              </w:rPr>
              <w:t>序号</w:t>
            </w:r>
          </w:p>
        </w:tc>
        <w:tc>
          <w:tcPr>
            <w:tcW w:w="378" w:type="pct"/>
            <w:tcBorders>
              <w:top w:val="single" w:color="auto" w:sz="4" w:space="0"/>
              <w:left w:val="single" w:color="auto" w:sz="4" w:space="0"/>
              <w:bottom w:val="single" w:color="auto" w:sz="4" w:space="0"/>
              <w:right w:val="single" w:color="auto" w:sz="4" w:space="0"/>
            </w:tcBorders>
            <w:noWrap w:val="0"/>
            <w:vAlign w:val="center"/>
          </w:tcPr>
          <w:p w14:paraId="0F8AC44A">
            <w:pPr>
              <w:widowControl/>
              <w:adjustRightInd w:val="0"/>
              <w:snapToGrid w:val="0"/>
              <w:spacing w:line="360" w:lineRule="exact"/>
              <w:jc w:val="center"/>
              <w:textAlignment w:val="top"/>
              <w:rPr>
                <w:rFonts w:ascii="宋体" w:hAnsi="宋体" w:cs="仿宋"/>
                <w:szCs w:val="21"/>
              </w:rPr>
            </w:pPr>
            <w:r>
              <w:rPr>
                <w:rFonts w:hint="eastAsia" w:ascii="宋体" w:hAnsi="宋体" w:cs="仿宋"/>
                <w:szCs w:val="21"/>
              </w:rPr>
              <w:t>标的名称</w:t>
            </w:r>
          </w:p>
        </w:tc>
        <w:tc>
          <w:tcPr>
            <w:tcW w:w="567" w:type="pct"/>
            <w:tcBorders>
              <w:top w:val="single" w:color="auto" w:sz="4" w:space="0"/>
              <w:left w:val="single" w:color="auto" w:sz="4" w:space="0"/>
              <w:bottom w:val="single" w:color="auto" w:sz="4" w:space="0"/>
              <w:right w:val="single" w:color="auto" w:sz="4" w:space="0"/>
            </w:tcBorders>
            <w:noWrap w:val="0"/>
            <w:vAlign w:val="center"/>
          </w:tcPr>
          <w:p w14:paraId="616D5B58">
            <w:pPr>
              <w:widowControl/>
              <w:adjustRightInd w:val="0"/>
              <w:snapToGrid w:val="0"/>
              <w:spacing w:line="360" w:lineRule="exact"/>
              <w:jc w:val="center"/>
              <w:textAlignment w:val="top"/>
              <w:rPr>
                <w:rFonts w:ascii="宋体" w:hAnsi="宋体" w:cs="仿宋"/>
                <w:szCs w:val="21"/>
              </w:rPr>
            </w:pPr>
            <w:r>
              <w:rPr>
                <w:rFonts w:hint="eastAsia" w:ascii="宋体" w:hAnsi="宋体" w:cs="仿宋"/>
                <w:szCs w:val="21"/>
              </w:rPr>
              <w:t>数量及单位</w:t>
            </w:r>
          </w:p>
        </w:tc>
        <w:tc>
          <w:tcPr>
            <w:tcW w:w="2990" w:type="pct"/>
            <w:tcBorders>
              <w:top w:val="single" w:color="auto" w:sz="4" w:space="0"/>
              <w:left w:val="single" w:color="auto" w:sz="4" w:space="0"/>
              <w:bottom w:val="single" w:color="auto" w:sz="4" w:space="0"/>
              <w:right w:val="single" w:color="auto" w:sz="4" w:space="0"/>
            </w:tcBorders>
            <w:noWrap w:val="0"/>
            <w:vAlign w:val="center"/>
          </w:tcPr>
          <w:p w14:paraId="2CEE1C30">
            <w:pPr>
              <w:widowControl/>
              <w:adjustRightInd w:val="0"/>
              <w:snapToGrid w:val="0"/>
              <w:spacing w:line="360" w:lineRule="exact"/>
              <w:jc w:val="center"/>
              <w:textAlignment w:val="top"/>
              <w:rPr>
                <w:rFonts w:hint="eastAsia" w:ascii="宋体" w:hAnsi="宋体" w:cs="仿宋"/>
                <w:szCs w:val="21"/>
              </w:rPr>
            </w:pPr>
            <w:r>
              <w:rPr>
                <w:rFonts w:hint="eastAsia" w:ascii="宋体" w:hAnsi="宋体" w:cs="仿宋"/>
                <w:szCs w:val="21"/>
              </w:rPr>
              <w:t>简要技术需求或者服务要求</w:t>
            </w:r>
          </w:p>
        </w:tc>
        <w:tc>
          <w:tcPr>
            <w:tcW w:w="824" w:type="pct"/>
            <w:tcBorders>
              <w:top w:val="single" w:color="auto" w:sz="4" w:space="0"/>
              <w:left w:val="single" w:color="auto" w:sz="4" w:space="0"/>
              <w:bottom w:val="single" w:color="auto" w:sz="4" w:space="0"/>
              <w:right w:val="single" w:color="auto" w:sz="4" w:space="0"/>
            </w:tcBorders>
            <w:noWrap w:val="0"/>
            <w:vAlign w:val="center"/>
          </w:tcPr>
          <w:p w14:paraId="40EE75E5">
            <w:pPr>
              <w:widowControl/>
              <w:adjustRightInd w:val="0"/>
              <w:snapToGrid w:val="0"/>
              <w:spacing w:line="360" w:lineRule="exact"/>
              <w:jc w:val="center"/>
              <w:textAlignment w:val="top"/>
              <w:rPr>
                <w:rFonts w:hint="eastAsia" w:ascii="宋体" w:hAnsi="宋体" w:cs="仿宋"/>
                <w:szCs w:val="21"/>
              </w:rPr>
            </w:pPr>
            <w:r>
              <w:rPr>
                <w:rFonts w:hint="eastAsia" w:ascii="宋体" w:hAnsi="宋体"/>
                <w:b w:val="0"/>
                <w:bCs/>
                <w:szCs w:val="21"/>
              </w:rPr>
              <w:t>单价控制价（万元）</w:t>
            </w:r>
          </w:p>
        </w:tc>
      </w:tr>
      <w:tr w14:paraId="5F31A3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38" w:type="pct"/>
            <w:tcBorders>
              <w:top w:val="single" w:color="auto" w:sz="4" w:space="0"/>
              <w:left w:val="single" w:color="auto" w:sz="4" w:space="0"/>
              <w:bottom w:val="single" w:color="auto" w:sz="4" w:space="0"/>
              <w:right w:val="single" w:color="auto" w:sz="4" w:space="0"/>
            </w:tcBorders>
            <w:noWrap w:val="0"/>
            <w:vAlign w:val="center"/>
          </w:tcPr>
          <w:p w14:paraId="0286ECD1">
            <w:pPr>
              <w:spacing w:line="360" w:lineRule="exact"/>
              <w:jc w:val="center"/>
              <w:rPr>
                <w:rFonts w:ascii="宋体" w:hAnsi="宋体"/>
              </w:rPr>
            </w:pPr>
            <w:r>
              <w:rPr>
                <w:rFonts w:hint="eastAsia" w:ascii="宋体" w:hAnsi="宋体"/>
              </w:rPr>
              <w:t>1</w:t>
            </w:r>
          </w:p>
        </w:tc>
        <w:tc>
          <w:tcPr>
            <w:tcW w:w="378" w:type="pct"/>
            <w:tcBorders>
              <w:top w:val="single" w:color="auto" w:sz="4" w:space="0"/>
              <w:left w:val="single" w:color="auto" w:sz="4" w:space="0"/>
              <w:bottom w:val="single" w:color="auto" w:sz="4" w:space="0"/>
              <w:right w:val="single" w:color="auto" w:sz="4" w:space="0"/>
            </w:tcBorders>
            <w:noWrap w:val="0"/>
            <w:vAlign w:val="center"/>
          </w:tcPr>
          <w:p w14:paraId="513D2BD6">
            <w:pPr>
              <w:widowControl/>
              <w:spacing w:line="360" w:lineRule="exact"/>
              <w:jc w:val="center"/>
              <w:textAlignment w:val="center"/>
              <w:rPr>
                <w:rFonts w:ascii="宋体" w:hAnsi="宋体" w:cs="宋体"/>
                <w:szCs w:val="21"/>
              </w:rPr>
            </w:pPr>
            <w:r>
              <w:rPr>
                <w:rFonts w:hint="eastAsia" w:ascii="宋体" w:hAnsi="宋体"/>
                <w:szCs w:val="21"/>
              </w:rPr>
              <w:t>25米快速桥梁架设车</w:t>
            </w:r>
          </w:p>
        </w:tc>
        <w:tc>
          <w:tcPr>
            <w:tcW w:w="567" w:type="pct"/>
            <w:tcBorders>
              <w:top w:val="single" w:color="auto" w:sz="4" w:space="0"/>
              <w:left w:val="single" w:color="auto" w:sz="4" w:space="0"/>
              <w:bottom w:val="single" w:color="auto" w:sz="4" w:space="0"/>
              <w:right w:val="single" w:color="auto" w:sz="4" w:space="0"/>
            </w:tcBorders>
            <w:noWrap w:val="0"/>
            <w:vAlign w:val="center"/>
          </w:tcPr>
          <w:p w14:paraId="69BBA14F">
            <w:pPr>
              <w:widowControl/>
              <w:spacing w:line="360" w:lineRule="exact"/>
              <w:jc w:val="center"/>
              <w:textAlignment w:val="center"/>
              <w:rPr>
                <w:rFonts w:hint="eastAsia" w:ascii="宋体" w:hAnsi="宋体" w:cs="宋体"/>
                <w:szCs w:val="21"/>
              </w:rPr>
            </w:pPr>
            <w:r>
              <w:rPr>
                <w:rFonts w:hint="eastAsia" w:ascii="宋体" w:hAnsi="宋体" w:cs="宋体"/>
                <w:szCs w:val="21"/>
              </w:rPr>
              <w:t>1套</w:t>
            </w:r>
          </w:p>
        </w:tc>
        <w:tc>
          <w:tcPr>
            <w:tcW w:w="2990" w:type="pct"/>
            <w:tcBorders>
              <w:top w:val="single" w:color="auto" w:sz="4" w:space="0"/>
              <w:left w:val="single" w:color="auto" w:sz="4" w:space="0"/>
              <w:bottom w:val="single" w:color="auto" w:sz="4" w:space="0"/>
              <w:right w:val="single" w:color="auto" w:sz="4" w:space="0"/>
            </w:tcBorders>
            <w:noWrap w:val="0"/>
            <w:vAlign w:val="center"/>
          </w:tcPr>
          <w:p w14:paraId="19EF5D7E">
            <w:pPr>
              <w:widowControl/>
              <w:adjustRightInd w:val="0"/>
              <w:snapToGrid w:val="0"/>
              <w:spacing w:line="320" w:lineRule="exact"/>
              <w:textAlignment w:val="top"/>
              <w:rPr>
                <w:rFonts w:hint="eastAsia" w:ascii="宋体" w:hAnsi="宋体"/>
                <w:szCs w:val="21"/>
              </w:rPr>
            </w:pPr>
            <w:r>
              <w:rPr>
                <w:rFonts w:hint="eastAsia" w:ascii="宋体" w:hAnsi="宋体"/>
                <w:szCs w:val="21"/>
              </w:rPr>
              <w:t>▲1、桥梁承载能力：履带式荷载≥30t，轮式荷载轴压力≥13t；</w:t>
            </w:r>
          </w:p>
          <w:p w14:paraId="11B9B023">
            <w:pPr>
              <w:widowControl/>
              <w:adjustRightInd w:val="0"/>
              <w:snapToGrid w:val="0"/>
              <w:spacing w:line="320" w:lineRule="exact"/>
              <w:textAlignment w:val="top"/>
              <w:rPr>
                <w:rFonts w:hint="eastAsia" w:ascii="宋体" w:hAnsi="宋体"/>
                <w:szCs w:val="21"/>
              </w:rPr>
            </w:pPr>
            <w:r>
              <w:rPr>
                <w:rFonts w:hint="eastAsia" w:ascii="宋体" w:hAnsi="宋体"/>
                <w:szCs w:val="21"/>
              </w:rPr>
              <w:t>▲2、桥梁全长≥25m；克障宽度≥23m；</w:t>
            </w:r>
          </w:p>
          <w:p w14:paraId="15CE26B5">
            <w:pPr>
              <w:widowControl/>
              <w:adjustRightInd w:val="0"/>
              <w:snapToGrid w:val="0"/>
              <w:spacing w:line="320" w:lineRule="exact"/>
              <w:textAlignment w:val="top"/>
              <w:rPr>
                <w:rFonts w:hint="eastAsia" w:ascii="宋体" w:hAnsi="宋体"/>
                <w:szCs w:val="21"/>
              </w:rPr>
            </w:pPr>
            <w:r>
              <w:rPr>
                <w:rFonts w:hint="eastAsia" w:ascii="宋体" w:hAnsi="宋体"/>
                <w:szCs w:val="21"/>
              </w:rPr>
              <w:t>▲3、通行部宽≥3.2m；</w:t>
            </w:r>
          </w:p>
          <w:p w14:paraId="03E800E4">
            <w:pPr>
              <w:widowControl/>
              <w:adjustRightInd w:val="0"/>
              <w:snapToGrid w:val="0"/>
              <w:spacing w:line="320" w:lineRule="exact"/>
              <w:textAlignment w:val="top"/>
              <w:rPr>
                <w:rFonts w:hint="eastAsia" w:ascii="宋体" w:hAnsi="宋体"/>
                <w:szCs w:val="21"/>
              </w:rPr>
            </w:pPr>
            <w:r>
              <w:rPr>
                <w:rFonts w:hint="eastAsia" w:ascii="宋体" w:hAnsi="宋体"/>
                <w:szCs w:val="21"/>
              </w:rPr>
              <w:t>▲4、作业方式：车首机械化架设/撤收，车尾机械化架设/撤收；</w:t>
            </w:r>
          </w:p>
          <w:p w14:paraId="466BDF1E">
            <w:pPr>
              <w:widowControl/>
              <w:adjustRightInd w:val="0"/>
              <w:snapToGrid w:val="0"/>
              <w:spacing w:line="320" w:lineRule="exact"/>
              <w:textAlignment w:val="top"/>
              <w:rPr>
                <w:rFonts w:hint="eastAsia" w:ascii="宋体" w:hAnsi="宋体"/>
                <w:szCs w:val="21"/>
              </w:rPr>
            </w:pPr>
            <w:r>
              <w:rPr>
                <w:rFonts w:hint="eastAsia" w:ascii="宋体" w:hAnsi="宋体"/>
                <w:szCs w:val="21"/>
              </w:rPr>
              <w:t>5、最大岸差≥2m；</w:t>
            </w:r>
          </w:p>
          <w:p w14:paraId="11BF4D20">
            <w:pPr>
              <w:widowControl/>
              <w:adjustRightInd w:val="0"/>
              <w:snapToGrid w:val="0"/>
              <w:spacing w:line="320" w:lineRule="exact"/>
              <w:textAlignment w:val="top"/>
              <w:rPr>
                <w:rFonts w:hint="eastAsia" w:ascii="宋体" w:hAnsi="宋体"/>
                <w:szCs w:val="21"/>
              </w:rPr>
            </w:pPr>
            <w:r>
              <w:rPr>
                <w:rFonts w:hint="eastAsia" w:ascii="宋体" w:hAnsi="宋体"/>
                <w:szCs w:val="21"/>
              </w:rPr>
              <w:t>6、最高车速：≥80km/h；</w:t>
            </w:r>
          </w:p>
          <w:p w14:paraId="42099D87">
            <w:pPr>
              <w:widowControl/>
              <w:adjustRightInd w:val="0"/>
              <w:snapToGrid w:val="0"/>
              <w:spacing w:line="320" w:lineRule="exact"/>
              <w:textAlignment w:val="top"/>
              <w:rPr>
                <w:rFonts w:hint="eastAsia" w:ascii="宋体" w:hAnsi="宋体"/>
                <w:szCs w:val="21"/>
              </w:rPr>
            </w:pPr>
            <w:r>
              <w:rPr>
                <w:rFonts w:hint="eastAsia" w:ascii="宋体" w:hAnsi="宋体"/>
                <w:szCs w:val="21"/>
              </w:rPr>
              <w:t>7、最小离地间隙≥0.25m；</w:t>
            </w:r>
          </w:p>
          <w:p w14:paraId="063D18A6">
            <w:pPr>
              <w:widowControl/>
              <w:adjustRightInd w:val="0"/>
              <w:snapToGrid w:val="0"/>
              <w:spacing w:line="320" w:lineRule="exact"/>
              <w:textAlignment w:val="top"/>
              <w:rPr>
                <w:rFonts w:hint="eastAsia" w:ascii="宋体" w:hAnsi="宋体"/>
                <w:szCs w:val="21"/>
              </w:rPr>
            </w:pPr>
            <w:r>
              <w:rPr>
                <w:rFonts w:hint="eastAsia" w:ascii="宋体" w:hAnsi="宋体"/>
                <w:szCs w:val="21"/>
              </w:rPr>
              <w:t>8、整备质量：≤35t；</w:t>
            </w:r>
          </w:p>
          <w:p w14:paraId="0E2FDFD0">
            <w:pPr>
              <w:tabs>
                <w:tab w:val="left" w:pos="180"/>
                <w:tab w:val="left" w:pos="1620"/>
              </w:tabs>
              <w:spacing w:line="360" w:lineRule="exact"/>
              <w:rPr>
                <w:rFonts w:hint="eastAsia" w:ascii="宋体" w:hAnsi="宋体"/>
                <w:szCs w:val="21"/>
              </w:rPr>
            </w:pPr>
            <w:r>
              <w:rPr>
                <w:rFonts w:hint="eastAsia" w:ascii="宋体" w:hAnsi="宋体"/>
                <w:szCs w:val="21"/>
              </w:rPr>
              <w:t>9、桥梁展开时间：≤15min；</w:t>
            </w:r>
          </w:p>
          <w:p w14:paraId="35215243">
            <w:pPr>
              <w:tabs>
                <w:tab w:val="left" w:pos="180"/>
                <w:tab w:val="left" w:pos="1620"/>
              </w:tabs>
              <w:spacing w:line="360" w:lineRule="exact"/>
              <w:rPr>
                <w:rFonts w:hint="eastAsia" w:ascii="宋体" w:hAnsi="宋体"/>
              </w:rPr>
            </w:pPr>
            <w:r>
              <w:rPr>
                <w:rFonts w:ascii="宋体" w:hAnsi="宋体"/>
              </w:rPr>
              <w:t>……</w:t>
            </w:r>
            <w:r>
              <w:rPr>
                <w:rFonts w:hint="eastAsia" w:ascii="宋体" w:hAnsi="宋体"/>
              </w:rPr>
              <w:t>具体详见招标文件第二章</w:t>
            </w:r>
            <w:r>
              <w:rPr>
                <w:rFonts w:hint="eastAsia" w:ascii="宋体" w:hAnsi="宋体"/>
                <w:lang w:val="en-US" w:eastAsia="zh-CN"/>
              </w:rPr>
              <w:t xml:space="preserve"> 采购需求</w:t>
            </w:r>
            <w:r>
              <w:rPr>
                <w:rFonts w:hint="eastAsia" w:ascii="宋体" w:hAnsi="宋体"/>
              </w:rPr>
              <w:t>。</w:t>
            </w:r>
          </w:p>
        </w:tc>
        <w:tc>
          <w:tcPr>
            <w:tcW w:w="824" w:type="pct"/>
            <w:tcBorders>
              <w:top w:val="single" w:color="auto" w:sz="4" w:space="0"/>
              <w:left w:val="single" w:color="auto" w:sz="4" w:space="0"/>
              <w:bottom w:val="single" w:color="auto" w:sz="4" w:space="0"/>
              <w:right w:val="single" w:color="auto" w:sz="4" w:space="0"/>
            </w:tcBorders>
            <w:noWrap w:val="0"/>
            <w:vAlign w:val="center"/>
          </w:tcPr>
          <w:p w14:paraId="18619565">
            <w:pPr>
              <w:tabs>
                <w:tab w:val="left" w:pos="180"/>
                <w:tab w:val="left" w:pos="1620"/>
              </w:tabs>
              <w:spacing w:line="360" w:lineRule="exact"/>
              <w:jc w:val="center"/>
              <w:rPr>
                <w:rFonts w:ascii="宋体" w:hAnsi="宋体"/>
              </w:rPr>
            </w:pPr>
            <w:r>
              <w:rPr>
                <w:rFonts w:hint="eastAsia" w:ascii="宋体" w:hAnsi="宋体"/>
                <w:szCs w:val="21"/>
              </w:rPr>
              <w:t>412.00</w:t>
            </w:r>
          </w:p>
        </w:tc>
      </w:tr>
      <w:tr w14:paraId="1227A6C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5000" w:type="pct"/>
            <w:gridSpan w:val="5"/>
            <w:tcBorders>
              <w:top w:val="single" w:color="auto" w:sz="4" w:space="0"/>
              <w:left w:val="single" w:color="auto" w:sz="4" w:space="0"/>
              <w:bottom w:val="single" w:color="auto" w:sz="4" w:space="0"/>
              <w:right w:val="single" w:color="auto" w:sz="4" w:space="0"/>
            </w:tcBorders>
            <w:noWrap w:val="0"/>
            <w:vAlign w:val="center"/>
          </w:tcPr>
          <w:p w14:paraId="1B613063">
            <w:pPr>
              <w:spacing w:line="360" w:lineRule="auto"/>
              <w:jc w:val="left"/>
              <w:rPr>
                <w:rFonts w:hint="eastAsia" w:ascii="宋体" w:hAnsi="宋体"/>
                <w:szCs w:val="21"/>
                <w:u w:val="none"/>
              </w:rPr>
            </w:pPr>
            <w:r>
              <w:rPr>
                <w:rFonts w:hint="eastAsia" w:ascii="宋体" w:hAnsi="宋体"/>
                <w:szCs w:val="21"/>
                <w:u w:val="none"/>
              </w:rPr>
              <w:t>交货时间：自合同签订之日起6个月内交付。</w:t>
            </w:r>
          </w:p>
        </w:tc>
      </w:tr>
    </w:tbl>
    <w:p w14:paraId="10C3EFAF">
      <w:pPr>
        <w:spacing w:line="360" w:lineRule="auto"/>
        <w:ind w:firstLine="420" w:firstLineChars="200"/>
        <w:rPr>
          <w:rFonts w:hint="eastAsia" w:ascii="宋体" w:hAnsi="宋体"/>
          <w:szCs w:val="21"/>
        </w:rPr>
      </w:pPr>
    </w:p>
    <w:p w14:paraId="7B3229D1">
      <w:pPr>
        <w:spacing w:line="360" w:lineRule="auto"/>
        <w:ind w:firstLine="420" w:firstLineChars="200"/>
        <w:rPr>
          <w:rFonts w:hint="eastAsia" w:ascii="宋体" w:hAnsi="宋体"/>
          <w:szCs w:val="21"/>
        </w:rPr>
      </w:pPr>
    </w:p>
    <w:p w14:paraId="70030540">
      <w:pPr>
        <w:spacing w:line="360" w:lineRule="auto"/>
        <w:ind w:firstLine="420" w:firstLineChars="200"/>
        <w:rPr>
          <w:rFonts w:hint="eastAsia" w:ascii="宋体" w:hAnsi="宋体"/>
          <w:szCs w:val="21"/>
        </w:rPr>
      </w:pPr>
    </w:p>
    <w:p w14:paraId="05262D54">
      <w:pPr>
        <w:spacing w:line="360" w:lineRule="auto"/>
        <w:ind w:firstLine="420" w:firstLineChars="200"/>
        <w:rPr>
          <w:rFonts w:hint="eastAsia" w:ascii="宋体" w:hAnsi="宋体"/>
          <w:szCs w:val="21"/>
        </w:rPr>
      </w:pPr>
    </w:p>
    <w:tbl>
      <w:tblPr>
        <w:tblStyle w:val="50"/>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636"/>
        <w:gridCol w:w="1107"/>
        <w:gridCol w:w="1029"/>
        <w:gridCol w:w="4673"/>
        <w:gridCol w:w="1501"/>
      </w:tblGrid>
      <w:tr w14:paraId="1C09A2B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2" w:hRule="atLeast"/>
        </w:trPr>
        <w:tc>
          <w:tcPr>
            <w:tcW w:w="5000" w:type="pct"/>
            <w:gridSpan w:val="5"/>
            <w:tcBorders>
              <w:top w:val="single" w:color="auto" w:sz="4" w:space="0"/>
              <w:left w:val="single" w:color="auto" w:sz="4" w:space="0"/>
              <w:bottom w:val="single" w:color="auto" w:sz="4" w:space="0"/>
              <w:right w:val="single" w:color="auto" w:sz="4" w:space="0"/>
            </w:tcBorders>
            <w:noWrap w:val="0"/>
            <w:vAlign w:val="center"/>
          </w:tcPr>
          <w:p w14:paraId="6B100388">
            <w:pPr>
              <w:spacing w:line="360" w:lineRule="exact"/>
              <w:jc w:val="both"/>
              <w:rPr>
                <w:rFonts w:hint="eastAsia" w:ascii="宋体" w:hAnsi="宋体"/>
              </w:rPr>
            </w:pPr>
            <w:r>
              <w:rPr>
                <w:rFonts w:hint="eastAsia" w:ascii="宋体" w:hAnsi="宋体"/>
              </w:rPr>
              <w:t>分标2；预算金额：</w:t>
            </w:r>
            <w:r>
              <w:rPr>
                <w:rFonts w:hint="eastAsia" w:ascii="宋体" w:hAnsi="宋体"/>
                <w:szCs w:val="21"/>
                <w:u w:val="single"/>
              </w:rPr>
              <w:t>224.00万元</w:t>
            </w:r>
          </w:p>
        </w:tc>
      </w:tr>
      <w:tr w14:paraId="3F54E3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355" w:type="pct"/>
            <w:tcBorders>
              <w:top w:val="single" w:color="auto" w:sz="4" w:space="0"/>
              <w:left w:val="single" w:color="auto" w:sz="4" w:space="0"/>
              <w:bottom w:val="single" w:color="auto" w:sz="4" w:space="0"/>
              <w:right w:val="single" w:color="auto" w:sz="4" w:space="0"/>
            </w:tcBorders>
            <w:noWrap w:val="0"/>
            <w:vAlign w:val="center"/>
          </w:tcPr>
          <w:p w14:paraId="4E68EDA0">
            <w:pPr>
              <w:widowControl/>
              <w:adjustRightInd w:val="0"/>
              <w:snapToGrid w:val="0"/>
              <w:spacing w:line="360" w:lineRule="exact"/>
              <w:jc w:val="center"/>
              <w:textAlignment w:val="top"/>
              <w:rPr>
                <w:rFonts w:ascii="宋体" w:hAnsi="宋体" w:cs="仿宋"/>
                <w:szCs w:val="21"/>
              </w:rPr>
            </w:pPr>
            <w:r>
              <w:rPr>
                <w:rFonts w:hint="eastAsia" w:ascii="宋体" w:hAnsi="宋体" w:cs="仿宋"/>
                <w:szCs w:val="21"/>
              </w:rPr>
              <w:t>序号</w:t>
            </w:r>
          </w:p>
        </w:tc>
        <w:tc>
          <w:tcPr>
            <w:tcW w:w="619" w:type="pct"/>
            <w:tcBorders>
              <w:top w:val="single" w:color="auto" w:sz="4" w:space="0"/>
              <w:left w:val="single" w:color="auto" w:sz="4" w:space="0"/>
              <w:bottom w:val="single" w:color="auto" w:sz="4" w:space="0"/>
              <w:right w:val="single" w:color="auto" w:sz="4" w:space="0"/>
            </w:tcBorders>
            <w:noWrap w:val="0"/>
            <w:vAlign w:val="center"/>
          </w:tcPr>
          <w:p w14:paraId="27852518">
            <w:pPr>
              <w:widowControl/>
              <w:adjustRightInd w:val="0"/>
              <w:snapToGrid w:val="0"/>
              <w:spacing w:line="360" w:lineRule="exact"/>
              <w:jc w:val="center"/>
              <w:textAlignment w:val="top"/>
              <w:rPr>
                <w:rFonts w:ascii="宋体" w:hAnsi="宋体" w:cs="仿宋"/>
                <w:szCs w:val="21"/>
              </w:rPr>
            </w:pPr>
            <w:r>
              <w:rPr>
                <w:rFonts w:hint="eastAsia" w:ascii="宋体" w:hAnsi="宋体" w:cs="仿宋"/>
                <w:szCs w:val="21"/>
              </w:rPr>
              <w:t>标的名称</w:t>
            </w:r>
          </w:p>
        </w:tc>
        <w:tc>
          <w:tcPr>
            <w:tcW w:w="575" w:type="pct"/>
            <w:tcBorders>
              <w:top w:val="single" w:color="auto" w:sz="4" w:space="0"/>
              <w:left w:val="single" w:color="auto" w:sz="4" w:space="0"/>
              <w:bottom w:val="single" w:color="auto" w:sz="4" w:space="0"/>
              <w:right w:val="single" w:color="auto" w:sz="4" w:space="0"/>
            </w:tcBorders>
            <w:noWrap w:val="0"/>
            <w:vAlign w:val="center"/>
          </w:tcPr>
          <w:p w14:paraId="1DA8258C">
            <w:pPr>
              <w:widowControl/>
              <w:adjustRightInd w:val="0"/>
              <w:snapToGrid w:val="0"/>
              <w:spacing w:line="360" w:lineRule="exact"/>
              <w:jc w:val="center"/>
              <w:textAlignment w:val="top"/>
              <w:rPr>
                <w:rFonts w:ascii="宋体" w:hAnsi="宋体" w:cs="仿宋"/>
                <w:szCs w:val="21"/>
              </w:rPr>
            </w:pPr>
            <w:r>
              <w:rPr>
                <w:rFonts w:hint="eastAsia" w:ascii="宋体" w:hAnsi="宋体" w:cs="仿宋"/>
                <w:szCs w:val="21"/>
              </w:rPr>
              <w:t>数量及单位</w:t>
            </w:r>
          </w:p>
        </w:tc>
        <w:tc>
          <w:tcPr>
            <w:tcW w:w="2612" w:type="pct"/>
            <w:tcBorders>
              <w:top w:val="single" w:color="auto" w:sz="4" w:space="0"/>
              <w:left w:val="single" w:color="auto" w:sz="4" w:space="0"/>
              <w:bottom w:val="single" w:color="auto" w:sz="4" w:space="0"/>
              <w:right w:val="single" w:color="auto" w:sz="4" w:space="0"/>
            </w:tcBorders>
            <w:noWrap w:val="0"/>
            <w:vAlign w:val="center"/>
          </w:tcPr>
          <w:p w14:paraId="2E87737B">
            <w:pPr>
              <w:widowControl/>
              <w:adjustRightInd w:val="0"/>
              <w:snapToGrid w:val="0"/>
              <w:spacing w:line="360" w:lineRule="exact"/>
              <w:jc w:val="center"/>
              <w:textAlignment w:val="top"/>
              <w:rPr>
                <w:rFonts w:hint="eastAsia" w:ascii="宋体" w:hAnsi="宋体" w:cs="仿宋"/>
                <w:szCs w:val="21"/>
              </w:rPr>
            </w:pPr>
            <w:r>
              <w:rPr>
                <w:rFonts w:hint="eastAsia" w:ascii="宋体" w:hAnsi="宋体" w:cs="仿宋"/>
                <w:szCs w:val="21"/>
              </w:rPr>
              <w:t>简要技术需求或者服务要求</w:t>
            </w:r>
          </w:p>
        </w:tc>
        <w:tc>
          <w:tcPr>
            <w:tcW w:w="837" w:type="pct"/>
            <w:tcBorders>
              <w:top w:val="single" w:color="auto" w:sz="4" w:space="0"/>
              <w:left w:val="single" w:color="auto" w:sz="4" w:space="0"/>
              <w:bottom w:val="single" w:color="auto" w:sz="4" w:space="0"/>
              <w:right w:val="single" w:color="auto" w:sz="4" w:space="0"/>
            </w:tcBorders>
            <w:noWrap w:val="0"/>
            <w:vAlign w:val="center"/>
          </w:tcPr>
          <w:p w14:paraId="38BD281E">
            <w:pPr>
              <w:widowControl/>
              <w:adjustRightInd w:val="0"/>
              <w:snapToGrid w:val="0"/>
              <w:spacing w:line="360" w:lineRule="exact"/>
              <w:jc w:val="center"/>
              <w:textAlignment w:val="top"/>
              <w:rPr>
                <w:rFonts w:hint="eastAsia" w:ascii="宋体" w:hAnsi="宋体" w:cs="仿宋"/>
                <w:szCs w:val="21"/>
              </w:rPr>
            </w:pPr>
            <w:r>
              <w:rPr>
                <w:rFonts w:hint="eastAsia" w:ascii="宋体" w:hAnsi="宋体"/>
                <w:b w:val="0"/>
                <w:bCs/>
                <w:szCs w:val="21"/>
              </w:rPr>
              <w:t>单价控制价【万元/台（套）】</w:t>
            </w:r>
          </w:p>
        </w:tc>
      </w:tr>
      <w:tr w14:paraId="6DE8389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355" w:type="pct"/>
            <w:tcBorders>
              <w:top w:val="single" w:color="auto" w:sz="4" w:space="0"/>
              <w:left w:val="single" w:color="auto" w:sz="4" w:space="0"/>
              <w:bottom w:val="single" w:color="auto" w:sz="4" w:space="0"/>
              <w:right w:val="single" w:color="auto" w:sz="4" w:space="0"/>
            </w:tcBorders>
            <w:noWrap w:val="0"/>
            <w:vAlign w:val="center"/>
          </w:tcPr>
          <w:p w14:paraId="18709BA3">
            <w:pPr>
              <w:snapToGrid w:val="0"/>
              <w:spacing w:line="360" w:lineRule="exact"/>
              <w:ind w:left="440" w:leftChars="0" w:hanging="440" w:firstLineChars="0"/>
              <w:jc w:val="center"/>
              <w:rPr>
                <w:rFonts w:ascii="宋体" w:hAnsi="宋体"/>
              </w:rPr>
            </w:pPr>
            <w:r>
              <w:rPr>
                <w:rFonts w:hint="eastAsia" w:ascii="宋体" w:hAnsi="宋体"/>
                <w:szCs w:val="21"/>
              </w:rPr>
              <w:t>1</w:t>
            </w:r>
          </w:p>
        </w:tc>
        <w:tc>
          <w:tcPr>
            <w:tcW w:w="619" w:type="pct"/>
            <w:tcBorders>
              <w:top w:val="single" w:color="auto" w:sz="4" w:space="0"/>
              <w:left w:val="single" w:color="auto" w:sz="4" w:space="0"/>
              <w:bottom w:val="single" w:color="auto" w:sz="4" w:space="0"/>
              <w:right w:val="single" w:color="auto" w:sz="4" w:space="0"/>
            </w:tcBorders>
            <w:noWrap w:val="0"/>
            <w:vAlign w:val="center"/>
          </w:tcPr>
          <w:p w14:paraId="7A3F8B00">
            <w:pPr>
              <w:widowControl/>
              <w:spacing w:line="360" w:lineRule="exact"/>
              <w:jc w:val="center"/>
              <w:textAlignment w:val="center"/>
              <w:rPr>
                <w:rFonts w:ascii="宋体" w:hAnsi="宋体" w:cs="宋体"/>
                <w:szCs w:val="21"/>
              </w:rPr>
            </w:pPr>
            <w:r>
              <w:rPr>
                <w:rFonts w:hint="eastAsia" w:ascii="宋体" w:hAnsi="宋体"/>
                <w:color w:val="000000"/>
              </w:rPr>
              <w:t>重载型无人机</w:t>
            </w:r>
          </w:p>
        </w:tc>
        <w:tc>
          <w:tcPr>
            <w:tcW w:w="575" w:type="pct"/>
            <w:tcBorders>
              <w:top w:val="single" w:color="auto" w:sz="4" w:space="0"/>
              <w:left w:val="single" w:color="auto" w:sz="4" w:space="0"/>
              <w:bottom w:val="single" w:color="auto" w:sz="4" w:space="0"/>
              <w:right w:val="single" w:color="auto" w:sz="4" w:space="0"/>
            </w:tcBorders>
            <w:noWrap w:val="0"/>
            <w:vAlign w:val="center"/>
          </w:tcPr>
          <w:p w14:paraId="65AF372B">
            <w:pPr>
              <w:widowControl/>
              <w:spacing w:line="360" w:lineRule="exact"/>
              <w:jc w:val="center"/>
              <w:textAlignment w:val="center"/>
              <w:rPr>
                <w:rFonts w:hint="eastAsia" w:ascii="宋体" w:hAnsi="宋体" w:cs="宋体"/>
                <w:szCs w:val="21"/>
              </w:rPr>
            </w:pPr>
            <w:r>
              <w:rPr>
                <w:rFonts w:hint="eastAsia" w:ascii="宋体" w:hAnsi="宋体"/>
                <w:color w:val="000000"/>
              </w:rPr>
              <w:t>2套</w:t>
            </w:r>
          </w:p>
        </w:tc>
        <w:tc>
          <w:tcPr>
            <w:tcW w:w="2612" w:type="pct"/>
            <w:tcBorders>
              <w:top w:val="single" w:color="auto" w:sz="4" w:space="0"/>
              <w:left w:val="single" w:color="auto" w:sz="4" w:space="0"/>
              <w:bottom w:val="single" w:color="auto" w:sz="4" w:space="0"/>
              <w:right w:val="single" w:color="auto" w:sz="4" w:space="0"/>
            </w:tcBorders>
            <w:noWrap w:val="0"/>
            <w:vAlign w:val="center"/>
          </w:tcPr>
          <w:p w14:paraId="1DAA6D45">
            <w:pPr>
              <w:widowControl/>
              <w:spacing w:line="360" w:lineRule="exact"/>
              <w:textAlignment w:val="top"/>
              <w:rPr>
                <w:rFonts w:hint="eastAsia" w:ascii="宋体" w:hAnsi="宋体"/>
                <w:szCs w:val="21"/>
              </w:rPr>
            </w:pPr>
            <w:r>
              <w:rPr>
                <w:rFonts w:hint="eastAsia" w:ascii="宋体" w:hAnsi="宋体"/>
                <w:szCs w:val="21"/>
              </w:rPr>
              <w:t>1.无人机平台参数</w:t>
            </w:r>
          </w:p>
          <w:p w14:paraId="55C92987">
            <w:pPr>
              <w:widowControl/>
              <w:spacing w:line="360" w:lineRule="exact"/>
              <w:textAlignment w:val="top"/>
              <w:rPr>
                <w:rFonts w:hint="eastAsia" w:ascii="宋体" w:hAnsi="宋体"/>
                <w:szCs w:val="21"/>
              </w:rPr>
            </w:pPr>
            <w:r>
              <w:rPr>
                <w:rFonts w:hint="eastAsia" w:ascii="宋体" w:hAnsi="宋体"/>
                <w:szCs w:val="21"/>
              </w:rPr>
              <w:t>▲1.1 最大起飞重量：≥140Kg；</w:t>
            </w:r>
          </w:p>
          <w:p w14:paraId="2BA9A711">
            <w:pPr>
              <w:widowControl/>
              <w:spacing w:line="360" w:lineRule="exact"/>
              <w:textAlignment w:val="top"/>
              <w:rPr>
                <w:rFonts w:hint="eastAsia" w:ascii="宋体" w:hAnsi="宋体"/>
                <w:szCs w:val="21"/>
              </w:rPr>
            </w:pPr>
            <w:r>
              <w:rPr>
                <w:rFonts w:hint="eastAsia" w:ascii="宋体" w:hAnsi="宋体"/>
                <w:szCs w:val="21"/>
              </w:rPr>
              <w:t>1.2 机载电池：支持单电/双电双模式切换；</w:t>
            </w:r>
          </w:p>
          <w:p w14:paraId="7CDD3080">
            <w:pPr>
              <w:widowControl/>
              <w:spacing w:line="360" w:lineRule="exact"/>
              <w:textAlignment w:val="top"/>
              <w:rPr>
                <w:rFonts w:hint="eastAsia" w:ascii="宋体" w:hAnsi="宋体"/>
                <w:szCs w:val="21"/>
              </w:rPr>
            </w:pPr>
            <w:r>
              <w:rPr>
                <w:rFonts w:hint="eastAsia" w:ascii="宋体" w:hAnsi="宋体"/>
                <w:szCs w:val="21"/>
              </w:rPr>
              <w:t>1.3 整机防护：≥IP54（防尘防水）；</w:t>
            </w:r>
          </w:p>
          <w:p w14:paraId="087D3A41">
            <w:pPr>
              <w:widowControl/>
              <w:spacing w:line="360" w:lineRule="exact"/>
              <w:textAlignment w:val="top"/>
              <w:rPr>
                <w:rFonts w:hint="eastAsia" w:ascii="宋体" w:hAnsi="宋体"/>
                <w:szCs w:val="21"/>
              </w:rPr>
            </w:pPr>
            <w:r>
              <w:rPr>
                <w:rFonts w:hint="eastAsia" w:ascii="宋体" w:hAnsi="宋体"/>
                <w:szCs w:val="21"/>
              </w:rPr>
              <w:t>1.4 空机重量：≥55Kg；</w:t>
            </w:r>
          </w:p>
          <w:p w14:paraId="29A68DC4">
            <w:pPr>
              <w:tabs>
                <w:tab w:val="left" w:pos="180"/>
                <w:tab w:val="left" w:pos="1620"/>
              </w:tabs>
              <w:spacing w:line="360" w:lineRule="exact"/>
              <w:rPr>
                <w:rFonts w:hint="eastAsia" w:ascii="宋体" w:hAnsi="宋体"/>
                <w:szCs w:val="21"/>
              </w:rPr>
            </w:pPr>
            <w:r>
              <w:rPr>
                <w:rFonts w:hint="eastAsia" w:ascii="宋体" w:hAnsi="宋体"/>
                <w:szCs w:val="21"/>
              </w:rPr>
              <w:t>1.5 感知系统：前毫米波雷达、后视雷达、下视雷达、激光雷达、四目视觉（五目鱼眼视觉系统）；</w:t>
            </w:r>
          </w:p>
          <w:p w14:paraId="11DBCA70">
            <w:pPr>
              <w:tabs>
                <w:tab w:val="left" w:pos="180"/>
                <w:tab w:val="left" w:pos="1620"/>
              </w:tabs>
              <w:spacing w:line="360" w:lineRule="exact"/>
              <w:rPr>
                <w:rFonts w:hint="eastAsia" w:ascii="宋体" w:hAnsi="宋体"/>
              </w:rPr>
            </w:pPr>
            <w:r>
              <w:rPr>
                <w:rFonts w:ascii="宋体" w:hAnsi="宋体"/>
              </w:rPr>
              <w:t>……</w:t>
            </w:r>
            <w:r>
              <w:rPr>
                <w:rFonts w:hint="eastAsia" w:ascii="宋体" w:hAnsi="宋体"/>
              </w:rPr>
              <w:t>具体详见招标文件第二章</w:t>
            </w:r>
            <w:r>
              <w:rPr>
                <w:rFonts w:hint="eastAsia" w:ascii="宋体" w:hAnsi="宋体"/>
                <w:lang w:val="en-US" w:eastAsia="zh-CN"/>
              </w:rPr>
              <w:t xml:space="preserve"> 采购需求</w:t>
            </w:r>
            <w:r>
              <w:rPr>
                <w:rFonts w:hint="eastAsia" w:ascii="宋体" w:hAnsi="宋体"/>
              </w:rPr>
              <w:t>。</w:t>
            </w:r>
          </w:p>
        </w:tc>
        <w:tc>
          <w:tcPr>
            <w:tcW w:w="837" w:type="pct"/>
            <w:tcBorders>
              <w:top w:val="single" w:color="auto" w:sz="4" w:space="0"/>
              <w:left w:val="single" w:color="auto" w:sz="4" w:space="0"/>
              <w:bottom w:val="single" w:color="auto" w:sz="4" w:space="0"/>
              <w:right w:val="single" w:color="auto" w:sz="4" w:space="0"/>
            </w:tcBorders>
            <w:noWrap w:val="0"/>
            <w:vAlign w:val="center"/>
          </w:tcPr>
          <w:p w14:paraId="70CB909D">
            <w:pPr>
              <w:tabs>
                <w:tab w:val="left" w:pos="180"/>
                <w:tab w:val="left" w:pos="1620"/>
              </w:tabs>
              <w:spacing w:line="360" w:lineRule="exact"/>
              <w:jc w:val="center"/>
              <w:rPr>
                <w:rFonts w:ascii="宋体" w:hAnsi="宋体"/>
              </w:rPr>
            </w:pPr>
            <w:r>
              <w:rPr>
                <w:rFonts w:hint="eastAsia" w:ascii="宋体" w:hAnsi="宋体"/>
              </w:rPr>
              <w:t>22.50</w:t>
            </w:r>
          </w:p>
        </w:tc>
      </w:tr>
      <w:tr w14:paraId="07B8DD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355" w:type="pct"/>
            <w:tcBorders>
              <w:top w:val="single" w:color="auto" w:sz="4" w:space="0"/>
              <w:left w:val="single" w:color="auto" w:sz="4" w:space="0"/>
              <w:bottom w:val="single" w:color="auto" w:sz="4" w:space="0"/>
              <w:right w:val="single" w:color="auto" w:sz="4" w:space="0"/>
            </w:tcBorders>
            <w:noWrap w:val="0"/>
            <w:vAlign w:val="center"/>
          </w:tcPr>
          <w:p w14:paraId="22B374F4">
            <w:pPr>
              <w:snapToGrid w:val="0"/>
              <w:spacing w:line="360" w:lineRule="exact"/>
              <w:ind w:left="440" w:leftChars="0" w:hanging="440" w:firstLineChars="0"/>
              <w:jc w:val="center"/>
              <w:rPr>
                <w:rFonts w:hint="eastAsia" w:ascii="宋体" w:hAnsi="宋体"/>
              </w:rPr>
            </w:pPr>
            <w:r>
              <w:rPr>
                <w:rFonts w:hint="eastAsia" w:ascii="宋体" w:hAnsi="宋体"/>
                <w:szCs w:val="21"/>
              </w:rPr>
              <w:t>2</w:t>
            </w:r>
          </w:p>
        </w:tc>
        <w:tc>
          <w:tcPr>
            <w:tcW w:w="619" w:type="pct"/>
            <w:tcBorders>
              <w:top w:val="single" w:color="auto" w:sz="4" w:space="0"/>
              <w:left w:val="single" w:color="auto" w:sz="4" w:space="0"/>
              <w:bottom w:val="single" w:color="auto" w:sz="4" w:space="0"/>
              <w:right w:val="single" w:color="auto" w:sz="4" w:space="0"/>
            </w:tcBorders>
            <w:noWrap w:val="0"/>
            <w:vAlign w:val="center"/>
          </w:tcPr>
          <w:p w14:paraId="1D8C198F">
            <w:pPr>
              <w:widowControl/>
              <w:spacing w:line="360" w:lineRule="exact"/>
              <w:jc w:val="center"/>
              <w:textAlignment w:val="center"/>
              <w:rPr>
                <w:rFonts w:ascii="宋体" w:hAnsi="宋体" w:cs="宋体"/>
                <w:szCs w:val="21"/>
              </w:rPr>
            </w:pPr>
            <w:r>
              <w:rPr>
                <w:rFonts w:hint="eastAsia" w:ascii="宋体" w:hAnsi="宋体"/>
                <w:color w:val="000000"/>
              </w:rPr>
              <w:t>巡查无人机</w:t>
            </w:r>
          </w:p>
        </w:tc>
        <w:tc>
          <w:tcPr>
            <w:tcW w:w="575" w:type="pct"/>
            <w:tcBorders>
              <w:top w:val="single" w:color="auto" w:sz="4" w:space="0"/>
              <w:left w:val="single" w:color="auto" w:sz="4" w:space="0"/>
              <w:bottom w:val="single" w:color="auto" w:sz="4" w:space="0"/>
              <w:right w:val="single" w:color="auto" w:sz="4" w:space="0"/>
            </w:tcBorders>
            <w:noWrap w:val="0"/>
            <w:vAlign w:val="center"/>
          </w:tcPr>
          <w:p w14:paraId="5CE8960A">
            <w:pPr>
              <w:widowControl/>
              <w:spacing w:line="360" w:lineRule="exact"/>
              <w:jc w:val="center"/>
              <w:textAlignment w:val="center"/>
              <w:rPr>
                <w:rFonts w:hint="eastAsia" w:ascii="宋体" w:hAnsi="宋体" w:cs="宋体"/>
                <w:szCs w:val="21"/>
              </w:rPr>
            </w:pPr>
            <w:r>
              <w:rPr>
                <w:rFonts w:hint="eastAsia" w:ascii="宋体" w:hAnsi="宋体"/>
                <w:color w:val="000000"/>
              </w:rPr>
              <w:t>2套</w:t>
            </w:r>
          </w:p>
        </w:tc>
        <w:tc>
          <w:tcPr>
            <w:tcW w:w="2612" w:type="pct"/>
            <w:tcBorders>
              <w:top w:val="single" w:color="auto" w:sz="4" w:space="0"/>
              <w:left w:val="single" w:color="auto" w:sz="4" w:space="0"/>
              <w:bottom w:val="single" w:color="auto" w:sz="4" w:space="0"/>
              <w:right w:val="single" w:color="auto" w:sz="4" w:space="0"/>
            </w:tcBorders>
            <w:noWrap w:val="0"/>
            <w:vAlign w:val="center"/>
          </w:tcPr>
          <w:p w14:paraId="2AF51F19">
            <w:pPr>
              <w:widowControl/>
              <w:spacing w:line="360" w:lineRule="exact"/>
              <w:textAlignment w:val="top"/>
              <w:rPr>
                <w:rFonts w:hint="eastAsia" w:ascii="宋体" w:hAnsi="宋体"/>
                <w:szCs w:val="21"/>
              </w:rPr>
            </w:pPr>
            <w:r>
              <w:rPr>
                <w:rFonts w:hint="eastAsia" w:ascii="宋体" w:hAnsi="宋体"/>
                <w:szCs w:val="21"/>
              </w:rPr>
              <w:t>1. 无人机平台参数</w:t>
            </w:r>
          </w:p>
          <w:p w14:paraId="73F44088">
            <w:pPr>
              <w:widowControl/>
              <w:spacing w:line="360" w:lineRule="exact"/>
              <w:textAlignment w:val="top"/>
              <w:rPr>
                <w:rFonts w:hint="eastAsia" w:ascii="宋体" w:hAnsi="宋体"/>
                <w:szCs w:val="21"/>
              </w:rPr>
            </w:pPr>
            <w:r>
              <w:rPr>
                <w:rFonts w:hint="eastAsia" w:ascii="宋体" w:hAnsi="宋体"/>
                <w:szCs w:val="21"/>
              </w:rPr>
              <w:t>1.1机身重量：≤10Kg；</w:t>
            </w:r>
          </w:p>
          <w:p w14:paraId="2D24BC9F">
            <w:pPr>
              <w:widowControl/>
              <w:spacing w:line="360" w:lineRule="exact"/>
              <w:textAlignment w:val="top"/>
              <w:rPr>
                <w:rFonts w:hint="eastAsia" w:ascii="宋体" w:hAnsi="宋体"/>
                <w:szCs w:val="21"/>
              </w:rPr>
            </w:pPr>
            <w:r>
              <w:rPr>
                <w:rFonts w:hint="eastAsia" w:ascii="宋体" w:hAnsi="宋体"/>
                <w:szCs w:val="21"/>
              </w:rPr>
              <w:t>▲1.2最大起飞重量：≥15Kg；</w:t>
            </w:r>
          </w:p>
          <w:p w14:paraId="5755EAA5">
            <w:pPr>
              <w:widowControl/>
              <w:spacing w:line="360" w:lineRule="exact"/>
              <w:textAlignment w:val="top"/>
              <w:rPr>
                <w:rFonts w:hint="eastAsia" w:ascii="宋体" w:hAnsi="宋体"/>
                <w:szCs w:val="21"/>
              </w:rPr>
            </w:pPr>
            <w:r>
              <w:rPr>
                <w:rFonts w:hint="eastAsia" w:ascii="宋体" w:hAnsi="宋体"/>
                <w:szCs w:val="21"/>
              </w:rPr>
              <w:t>▲1.3最长飞行时间（挂载负载）：≥55分钟；</w:t>
            </w:r>
          </w:p>
          <w:p w14:paraId="7A818C66">
            <w:pPr>
              <w:widowControl/>
              <w:spacing w:line="360" w:lineRule="exact"/>
              <w:textAlignment w:val="top"/>
              <w:rPr>
                <w:rFonts w:hint="eastAsia" w:ascii="宋体" w:hAnsi="宋体"/>
                <w:szCs w:val="21"/>
              </w:rPr>
            </w:pPr>
            <w:r>
              <w:rPr>
                <w:rFonts w:hint="eastAsia" w:ascii="宋体" w:hAnsi="宋体"/>
                <w:szCs w:val="21"/>
              </w:rPr>
              <w:t>1.4图传天线数量：飞行器端≥10根天线；</w:t>
            </w:r>
          </w:p>
          <w:p w14:paraId="0D6D9247">
            <w:pPr>
              <w:tabs>
                <w:tab w:val="left" w:pos="180"/>
                <w:tab w:val="left" w:pos="1620"/>
              </w:tabs>
              <w:spacing w:line="360" w:lineRule="exact"/>
              <w:rPr>
                <w:rFonts w:ascii="宋体" w:hAnsi="宋体"/>
              </w:rPr>
            </w:pPr>
            <w:r>
              <w:rPr>
                <w:rFonts w:hint="eastAsia" w:ascii="宋体" w:hAnsi="宋体"/>
                <w:szCs w:val="21"/>
              </w:rPr>
              <w:t>1.5避障：六向双目视觉+下视雷达，全向感知避障；</w:t>
            </w:r>
          </w:p>
          <w:p w14:paraId="1EB72251">
            <w:pPr>
              <w:tabs>
                <w:tab w:val="left" w:pos="180"/>
                <w:tab w:val="left" w:pos="1620"/>
              </w:tabs>
              <w:spacing w:line="360" w:lineRule="exact"/>
              <w:rPr>
                <w:rFonts w:hint="eastAsia" w:ascii="宋体" w:hAnsi="宋体"/>
              </w:rPr>
            </w:pPr>
            <w:r>
              <w:rPr>
                <w:rFonts w:ascii="宋体" w:hAnsi="宋体"/>
              </w:rPr>
              <w:t>……</w:t>
            </w:r>
            <w:r>
              <w:rPr>
                <w:rFonts w:hint="eastAsia" w:ascii="宋体" w:hAnsi="宋体"/>
              </w:rPr>
              <w:t>具体详见招标文件第二章</w:t>
            </w:r>
            <w:r>
              <w:rPr>
                <w:rFonts w:hint="eastAsia" w:ascii="宋体" w:hAnsi="宋体"/>
                <w:lang w:val="en-US" w:eastAsia="zh-CN"/>
              </w:rPr>
              <w:t xml:space="preserve"> 采购需求</w:t>
            </w:r>
            <w:r>
              <w:rPr>
                <w:rFonts w:hint="eastAsia" w:ascii="宋体" w:hAnsi="宋体"/>
              </w:rPr>
              <w:t>。</w:t>
            </w:r>
          </w:p>
        </w:tc>
        <w:tc>
          <w:tcPr>
            <w:tcW w:w="837" w:type="pct"/>
            <w:tcBorders>
              <w:top w:val="single" w:color="auto" w:sz="4" w:space="0"/>
              <w:left w:val="single" w:color="auto" w:sz="4" w:space="0"/>
              <w:bottom w:val="single" w:color="auto" w:sz="4" w:space="0"/>
              <w:right w:val="single" w:color="auto" w:sz="4" w:space="0"/>
            </w:tcBorders>
            <w:noWrap w:val="0"/>
            <w:vAlign w:val="center"/>
          </w:tcPr>
          <w:p w14:paraId="62818AEA">
            <w:pPr>
              <w:tabs>
                <w:tab w:val="left" w:pos="180"/>
                <w:tab w:val="left" w:pos="1620"/>
              </w:tabs>
              <w:spacing w:line="360" w:lineRule="exact"/>
              <w:jc w:val="center"/>
              <w:rPr>
                <w:rFonts w:ascii="宋体" w:hAnsi="宋体"/>
              </w:rPr>
            </w:pPr>
            <w:r>
              <w:rPr>
                <w:rFonts w:hint="eastAsia" w:ascii="宋体" w:hAnsi="宋体"/>
                <w:color w:val="000000"/>
              </w:rPr>
              <w:t>30.00</w:t>
            </w:r>
          </w:p>
        </w:tc>
      </w:tr>
      <w:tr w14:paraId="5418A2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355" w:type="pct"/>
            <w:tcBorders>
              <w:top w:val="single" w:color="auto" w:sz="4" w:space="0"/>
              <w:left w:val="single" w:color="auto" w:sz="4" w:space="0"/>
              <w:bottom w:val="single" w:color="auto" w:sz="4" w:space="0"/>
              <w:right w:val="single" w:color="auto" w:sz="4" w:space="0"/>
            </w:tcBorders>
            <w:noWrap w:val="0"/>
            <w:vAlign w:val="center"/>
          </w:tcPr>
          <w:p w14:paraId="600F5D05">
            <w:pPr>
              <w:snapToGrid w:val="0"/>
              <w:spacing w:line="360" w:lineRule="exact"/>
              <w:ind w:left="440" w:leftChars="0" w:hanging="440" w:firstLineChars="0"/>
              <w:jc w:val="center"/>
              <w:rPr>
                <w:rFonts w:hint="eastAsia" w:ascii="宋体" w:hAnsi="宋体"/>
              </w:rPr>
            </w:pPr>
            <w:r>
              <w:rPr>
                <w:rFonts w:hint="eastAsia" w:ascii="宋体" w:hAnsi="宋体"/>
                <w:szCs w:val="21"/>
              </w:rPr>
              <w:t>3</w:t>
            </w:r>
          </w:p>
        </w:tc>
        <w:tc>
          <w:tcPr>
            <w:tcW w:w="619" w:type="pct"/>
            <w:tcBorders>
              <w:top w:val="single" w:color="auto" w:sz="4" w:space="0"/>
              <w:left w:val="single" w:color="auto" w:sz="4" w:space="0"/>
              <w:bottom w:val="single" w:color="auto" w:sz="4" w:space="0"/>
              <w:right w:val="single" w:color="auto" w:sz="4" w:space="0"/>
            </w:tcBorders>
            <w:noWrap w:val="0"/>
            <w:vAlign w:val="center"/>
          </w:tcPr>
          <w:p w14:paraId="6503A033">
            <w:pPr>
              <w:widowControl/>
              <w:spacing w:line="360" w:lineRule="exact"/>
              <w:jc w:val="center"/>
              <w:textAlignment w:val="center"/>
              <w:rPr>
                <w:rFonts w:ascii="宋体" w:hAnsi="宋体" w:cs="宋体"/>
                <w:szCs w:val="21"/>
              </w:rPr>
            </w:pPr>
            <w:r>
              <w:rPr>
                <w:rFonts w:hint="eastAsia" w:ascii="宋体" w:hAnsi="宋体"/>
                <w:color w:val="000000"/>
              </w:rPr>
              <w:t>长系留无人机（照明）</w:t>
            </w:r>
          </w:p>
        </w:tc>
        <w:tc>
          <w:tcPr>
            <w:tcW w:w="575" w:type="pct"/>
            <w:tcBorders>
              <w:top w:val="single" w:color="auto" w:sz="4" w:space="0"/>
              <w:left w:val="single" w:color="auto" w:sz="4" w:space="0"/>
              <w:bottom w:val="single" w:color="auto" w:sz="4" w:space="0"/>
              <w:right w:val="single" w:color="auto" w:sz="4" w:space="0"/>
            </w:tcBorders>
            <w:noWrap w:val="0"/>
            <w:vAlign w:val="center"/>
          </w:tcPr>
          <w:p w14:paraId="1930E2A4">
            <w:pPr>
              <w:widowControl/>
              <w:spacing w:line="360" w:lineRule="exact"/>
              <w:jc w:val="center"/>
              <w:textAlignment w:val="center"/>
              <w:rPr>
                <w:rFonts w:hint="eastAsia" w:ascii="宋体" w:hAnsi="宋体" w:cs="宋体"/>
                <w:szCs w:val="21"/>
              </w:rPr>
            </w:pPr>
            <w:r>
              <w:rPr>
                <w:rFonts w:hint="eastAsia" w:ascii="宋体" w:hAnsi="宋体"/>
                <w:color w:val="000000"/>
              </w:rPr>
              <w:t>4套</w:t>
            </w:r>
          </w:p>
        </w:tc>
        <w:tc>
          <w:tcPr>
            <w:tcW w:w="2612" w:type="pct"/>
            <w:tcBorders>
              <w:top w:val="single" w:color="auto" w:sz="4" w:space="0"/>
              <w:left w:val="single" w:color="auto" w:sz="4" w:space="0"/>
              <w:bottom w:val="single" w:color="auto" w:sz="4" w:space="0"/>
              <w:right w:val="single" w:color="auto" w:sz="4" w:space="0"/>
            </w:tcBorders>
            <w:noWrap w:val="0"/>
            <w:vAlign w:val="center"/>
          </w:tcPr>
          <w:p w14:paraId="0381A08E">
            <w:pPr>
              <w:widowControl/>
              <w:spacing w:line="360" w:lineRule="exact"/>
              <w:textAlignment w:val="top"/>
              <w:rPr>
                <w:rFonts w:hint="eastAsia" w:ascii="宋体" w:hAnsi="宋体"/>
                <w:szCs w:val="21"/>
              </w:rPr>
            </w:pPr>
            <w:r>
              <w:rPr>
                <w:rFonts w:hint="eastAsia" w:ascii="宋体" w:hAnsi="宋体"/>
                <w:szCs w:val="21"/>
              </w:rPr>
              <w:t>1、无人机参数</w:t>
            </w:r>
          </w:p>
          <w:p w14:paraId="0CD046B6">
            <w:pPr>
              <w:widowControl/>
              <w:spacing w:line="360" w:lineRule="exact"/>
              <w:textAlignment w:val="top"/>
              <w:rPr>
                <w:rFonts w:hint="eastAsia" w:ascii="宋体" w:hAnsi="宋体"/>
                <w:szCs w:val="21"/>
              </w:rPr>
            </w:pPr>
            <w:r>
              <w:rPr>
                <w:rFonts w:hint="eastAsia" w:ascii="宋体" w:hAnsi="宋体"/>
                <w:szCs w:val="21"/>
              </w:rPr>
              <w:t>1.1无人机重量≤10 Kg；</w:t>
            </w:r>
          </w:p>
          <w:p w14:paraId="163ED813">
            <w:pPr>
              <w:widowControl/>
              <w:spacing w:line="360" w:lineRule="exact"/>
              <w:textAlignment w:val="top"/>
              <w:rPr>
                <w:rFonts w:hint="eastAsia" w:ascii="宋体" w:hAnsi="宋体"/>
                <w:szCs w:val="21"/>
              </w:rPr>
            </w:pPr>
            <w:r>
              <w:rPr>
                <w:rFonts w:hint="eastAsia" w:ascii="宋体" w:hAnsi="宋体"/>
                <w:szCs w:val="21"/>
              </w:rPr>
              <w:t>1.2最大起飞重量≥15 Kg；</w:t>
            </w:r>
          </w:p>
          <w:p w14:paraId="1834D4EA">
            <w:pPr>
              <w:widowControl/>
              <w:spacing w:line="360" w:lineRule="exact"/>
              <w:textAlignment w:val="top"/>
              <w:rPr>
                <w:rFonts w:hint="eastAsia" w:ascii="宋体" w:hAnsi="宋体"/>
                <w:szCs w:val="21"/>
              </w:rPr>
            </w:pPr>
            <w:r>
              <w:rPr>
                <w:rFonts w:hint="eastAsia" w:ascii="宋体" w:hAnsi="宋体"/>
                <w:szCs w:val="21"/>
              </w:rPr>
              <w:t>1.</w:t>
            </w:r>
            <w:r>
              <w:rPr>
                <w:rFonts w:hint="eastAsia" w:ascii="宋体" w:hAnsi="宋体"/>
                <w:szCs w:val="21"/>
                <w:lang w:val="en-US" w:eastAsia="zh-CN"/>
              </w:rPr>
              <w:t>3</w:t>
            </w:r>
            <w:r>
              <w:rPr>
                <w:rFonts w:hint="eastAsia" w:ascii="宋体" w:hAnsi="宋体"/>
                <w:szCs w:val="21"/>
              </w:rPr>
              <w:t>图传天线数量≥10；</w:t>
            </w:r>
          </w:p>
          <w:p w14:paraId="5FE5C972">
            <w:pPr>
              <w:widowControl/>
              <w:spacing w:line="360" w:lineRule="exact"/>
              <w:textAlignment w:val="top"/>
              <w:rPr>
                <w:rFonts w:hint="eastAsia" w:ascii="宋体" w:hAnsi="宋体"/>
                <w:szCs w:val="21"/>
              </w:rPr>
            </w:pPr>
            <w:r>
              <w:rPr>
                <w:rFonts w:hint="eastAsia" w:ascii="宋体" w:hAnsi="宋体"/>
                <w:szCs w:val="21"/>
              </w:rPr>
              <w:t>1.</w:t>
            </w:r>
            <w:r>
              <w:rPr>
                <w:rFonts w:hint="eastAsia" w:ascii="宋体" w:hAnsi="宋体"/>
                <w:szCs w:val="21"/>
                <w:lang w:val="en-US" w:eastAsia="zh-CN"/>
              </w:rPr>
              <w:t>4</w:t>
            </w:r>
            <w:r>
              <w:rPr>
                <w:rFonts w:hint="eastAsia" w:ascii="宋体" w:hAnsi="宋体"/>
                <w:szCs w:val="21"/>
              </w:rPr>
              <w:t>支持多种避障；</w:t>
            </w:r>
          </w:p>
          <w:p w14:paraId="2DF473F2">
            <w:pPr>
              <w:widowControl/>
              <w:spacing w:line="360" w:lineRule="exact"/>
              <w:textAlignment w:val="top"/>
              <w:rPr>
                <w:rFonts w:hint="eastAsia" w:ascii="宋体" w:hAnsi="宋体"/>
                <w:szCs w:val="21"/>
              </w:rPr>
            </w:pPr>
            <w:r>
              <w:rPr>
                <w:rFonts w:hint="eastAsia" w:ascii="宋体" w:hAnsi="宋体"/>
                <w:szCs w:val="21"/>
              </w:rPr>
              <w:t>1.</w:t>
            </w:r>
            <w:r>
              <w:rPr>
                <w:rFonts w:hint="eastAsia" w:ascii="宋体" w:hAnsi="宋体"/>
                <w:szCs w:val="21"/>
                <w:lang w:val="en-US" w:eastAsia="zh-CN"/>
              </w:rPr>
              <w:t>5</w:t>
            </w:r>
            <w:r>
              <w:rPr>
                <w:rFonts w:hint="eastAsia" w:ascii="宋体" w:hAnsi="宋体"/>
                <w:szCs w:val="21"/>
              </w:rPr>
              <w:t>无人机最大载荷重量应≥6.0Kg；</w:t>
            </w:r>
          </w:p>
          <w:p w14:paraId="0DABF000">
            <w:pPr>
              <w:tabs>
                <w:tab w:val="left" w:pos="180"/>
                <w:tab w:val="left" w:pos="1620"/>
              </w:tabs>
              <w:spacing w:line="360" w:lineRule="exact"/>
              <w:rPr>
                <w:rFonts w:ascii="宋体" w:hAnsi="宋体"/>
              </w:rPr>
            </w:pPr>
            <w:r>
              <w:rPr>
                <w:rFonts w:hint="eastAsia" w:ascii="宋体" w:hAnsi="宋体"/>
                <w:szCs w:val="21"/>
              </w:rPr>
              <w:t>1.</w:t>
            </w:r>
            <w:r>
              <w:rPr>
                <w:rFonts w:hint="eastAsia" w:ascii="宋体" w:hAnsi="宋体"/>
                <w:szCs w:val="21"/>
                <w:lang w:val="en-US" w:eastAsia="zh-CN"/>
              </w:rPr>
              <w:t>6</w:t>
            </w:r>
            <w:r>
              <w:rPr>
                <w:rFonts w:hint="eastAsia" w:ascii="宋体" w:hAnsi="宋体"/>
                <w:szCs w:val="21"/>
              </w:rPr>
              <w:t>应能在风速范围11.5m/s～12.0m/s的环境条件下正常平飞以及悬停；</w:t>
            </w:r>
          </w:p>
          <w:p w14:paraId="203D7F03">
            <w:pPr>
              <w:tabs>
                <w:tab w:val="left" w:pos="180"/>
                <w:tab w:val="left" w:pos="1620"/>
              </w:tabs>
              <w:spacing w:line="360" w:lineRule="exact"/>
              <w:rPr>
                <w:rFonts w:hint="eastAsia" w:ascii="宋体" w:hAnsi="宋体"/>
              </w:rPr>
            </w:pPr>
            <w:r>
              <w:rPr>
                <w:rFonts w:ascii="宋体" w:hAnsi="宋体"/>
              </w:rPr>
              <w:t>……</w:t>
            </w:r>
            <w:r>
              <w:rPr>
                <w:rFonts w:hint="eastAsia" w:ascii="宋体" w:hAnsi="宋体"/>
              </w:rPr>
              <w:t>具体详见招标文件第二章</w:t>
            </w:r>
            <w:r>
              <w:rPr>
                <w:rFonts w:hint="eastAsia" w:ascii="宋体" w:hAnsi="宋体"/>
                <w:lang w:val="en-US" w:eastAsia="zh-CN"/>
              </w:rPr>
              <w:t xml:space="preserve"> 采购需求</w:t>
            </w:r>
            <w:r>
              <w:rPr>
                <w:rFonts w:hint="eastAsia" w:ascii="宋体" w:hAnsi="宋体"/>
              </w:rPr>
              <w:t>。</w:t>
            </w:r>
          </w:p>
        </w:tc>
        <w:tc>
          <w:tcPr>
            <w:tcW w:w="837" w:type="pct"/>
            <w:tcBorders>
              <w:top w:val="single" w:color="auto" w:sz="4" w:space="0"/>
              <w:left w:val="single" w:color="auto" w:sz="4" w:space="0"/>
              <w:bottom w:val="single" w:color="auto" w:sz="4" w:space="0"/>
              <w:right w:val="single" w:color="auto" w:sz="4" w:space="0"/>
            </w:tcBorders>
            <w:noWrap w:val="0"/>
            <w:vAlign w:val="center"/>
          </w:tcPr>
          <w:p w14:paraId="27933CEB">
            <w:pPr>
              <w:tabs>
                <w:tab w:val="left" w:pos="180"/>
                <w:tab w:val="left" w:pos="1620"/>
              </w:tabs>
              <w:spacing w:line="360" w:lineRule="exact"/>
              <w:jc w:val="center"/>
              <w:rPr>
                <w:rFonts w:ascii="宋体" w:hAnsi="宋体"/>
              </w:rPr>
            </w:pPr>
            <w:r>
              <w:rPr>
                <w:rFonts w:hint="eastAsia" w:ascii="宋体" w:hAnsi="宋体"/>
                <w:szCs w:val="21"/>
              </w:rPr>
              <w:t>20.00</w:t>
            </w:r>
          </w:p>
        </w:tc>
      </w:tr>
      <w:tr w14:paraId="6C1DA1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355" w:type="pct"/>
            <w:tcBorders>
              <w:top w:val="single" w:color="auto" w:sz="4" w:space="0"/>
              <w:left w:val="single" w:color="auto" w:sz="4" w:space="0"/>
              <w:bottom w:val="single" w:color="auto" w:sz="4" w:space="0"/>
              <w:right w:val="single" w:color="auto" w:sz="4" w:space="0"/>
            </w:tcBorders>
            <w:noWrap w:val="0"/>
            <w:vAlign w:val="center"/>
          </w:tcPr>
          <w:p w14:paraId="0B6B0C4F">
            <w:pPr>
              <w:snapToGrid w:val="0"/>
              <w:spacing w:line="360" w:lineRule="exact"/>
              <w:ind w:left="440" w:leftChars="0" w:hanging="440" w:firstLineChars="0"/>
              <w:jc w:val="center"/>
              <w:rPr>
                <w:rFonts w:hint="eastAsia" w:ascii="宋体" w:hAnsi="宋体"/>
              </w:rPr>
            </w:pPr>
            <w:r>
              <w:rPr>
                <w:rFonts w:hint="eastAsia" w:ascii="宋体" w:hAnsi="宋体"/>
                <w:szCs w:val="21"/>
              </w:rPr>
              <w:t>4</w:t>
            </w:r>
          </w:p>
        </w:tc>
        <w:tc>
          <w:tcPr>
            <w:tcW w:w="619" w:type="pct"/>
            <w:tcBorders>
              <w:top w:val="single" w:color="auto" w:sz="4" w:space="0"/>
              <w:left w:val="single" w:color="auto" w:sz="4" w:space="0"/>
              <w:bottom w:val="single" w:color="auto" w:sz="4" w:space="0"/>
              <w:right w:val="single" w:color="auto" w:sz="4" w:space="0"/>
            </w:tcBorders>
            <w:noWrap w:val="0"/>
            <w:vAlign w:val="center"/>
          </w:tcPr>
          <w:p w14:paraId="38E79791">
            <w:pPr>
              <w:widowControl/>
              <w:spacing w:line="360" w:lineRule="exact"/>
              <w:jc w:val="center"/>
              <w:textAlignment w:val="center"/>
              <w:rPr>
                <w:rFonts w:ascii="宋体" w:hAnsi="宋体" w:cs="宋体"/>
                <w:szCs w:val="21"/>
              </w:rPr>
            </w:pPr>
            <w:r>
              <w:rPr>
                <w:rFonts w:hint="eastAsia" w:ascii="宋体" w:hAnsi="宋体"/>
                <w:szCs w:val="21"/>
              </w:rPr>
              <w:t>冲锋舟</w:t>
            </w:r>
          </w:p>
        </w:tc>
        <w:tc>
          <w:tcPr>
            <w:tcW w:w="575" w:type="pct"/>
            <w:tcBorders>
              <w:top w:val="single" w:color="auto" w:sz="4" w:space="0"/>
              <w:left w:val="single" w:color="auto" w:sz="4" w:space="0"/>
              <w:bottom w:val="single" w:color="auto" w:sz="4" w:space="0"/>
              <w:right w:val="single" w:color="auto" w:sz="4" w:space="0"/>
            </w:tcBorders>
            <w:noWrap w:val="0"/>
            <w:vAlign w:val="center"/>
          </w:tcPr>
          <w:p w14:paraId="1DA2C2E6">
            <w:pPr>
              <w:widowControl/>
              <w:spacing w:line="360" w:lineRule="exact"/>
              <w:jc w:val="center"/>
              <w:textAlignment w:val="center"/>
              <w:rPr>
                <w:rFonts w:hint="eastAsia" w:ascii="宋体" w:hAnsi="宋体" w:cs="宋体"/>
                <w:szCs w:val="21"/>
              </w:rPr>
            </w:pPr>
            <w:r>
              <w:rPr>
                <w:rFonts w:hint="eastAsia" w:ascii="宋体" w:hAnsi="宋体"/>
                <w:szCs w:val="21"/>
              </w:rPr>
              <w:t>2</w:t>
            </w:r>
            <w:r>
              <w:rPr>
                <w:rFonts w:hint="eastAsia" w:ascii="宋体" w:hAnsi="宋体"/>
                <w:color w:val="000000"/>
              </w:rPr>
              <w:t>套</w:t>
            </w:r>
          </w:p>
        </w:tc>
        <w:tc>
          <w:tcPr>
            <w:tcW w:w="2612" w:type="pct"/>
            <w:tcBorders>
              <w:top w:val="single" w:color="auto" w:sz="4" w:space="0"/>
              <w:left w:val="single" w:color="auto" w:sz="4" w:space="0"/>
              <w:bottom w:val="single" w:color="auto" w:sz="4" w:space="0"/>
              <w:right w:val="single" w:color="auto" w:sz="4" w:space="0"/>
            </w:tcBorders>
            <w:noWrap w:val="0"/>
            <w:vAlign w:val="center"/>
          </w:tcPr>
          <w:p w14:paraId="7FE3E868">
            <w:pPr>
              <w:widowControl/>
              <w:spacing w:line="360" w:lineRule="exact"/>
              <w:textAlignment w:val="top"/>
              <w:rPr>
                <w:rFonts w:hint="eastAsia" w:ascii="宋体" w:hAnsi="宋体"/>
                <w:szCs w:val="21"/>
              </w:rPr>
            </w:pPr>
            <w:r>
              <w:rPr>
                <w:rFonts w:hint="eastAsia" w:ascii="宋体" w:hAnsi="宋体"/>
                <w:szCs w:val="21"/>
              </w:rPr>
              <w:t>1.设备符合相关标准要求，主机功率不低于四冲程60马力，乘员≥12人，航速≥25节；</w:t>
            </w:r>
          </w:p>
          <w:p w14:paraId="118AF45B">
            <w:pPr>
              <w:widowControl/>
              <w:spacing w:line="360" w:lineRule="exact"/>
              <w:textAlignment w:val="top"/>
              <w:rPr>
                <w:rFonts w:hint="eastAsia" w:ascii="宋体" w:hAnsi="宋体"/>
                <w:szCs w:val="21"/>
              </w:rPr>
            </w:pPr>
            <w:r>
              <w:rPr>
                <w:rFonts w:hint="eastAsia" w:ascii="宋体" w:hAnsi="宋体"/>
                <w:szCs w:val="21"/>
              </w:rPr>
              <w:t>2.具有快速排水功能，快速单向排水口≥1个。具有耐油、耐盐碱、耐腐蚀、耐高温、耐紫外线，同时船身具有反光标志；</w:t>
            </w:r>
          </w:p>
          <w:p w14:paraId="770DF97A">
            <w:pPr>
              <w:tabs>
                <w:tab w:val="left" w:pos="180"/>
                <w:tab w:val="left" w:pos="1620"/>
              </w:tabs>
              <w:spacing w:line="360" w:lineRule="exact"/>
              <w:rPr>
                <w:rFonts w:hint="eastAsia" w:ascii="宋体" w:hAnsi="宋体"/>
                <w:szCs w:val="21"/>
              </w:rPr>
            </w:pPr>
            <w:r>
              <w:rPr>
                <w:rFonts w:hint="eastAsia" w:ascii="宋体" w:hAnsi="宋体"/>
                <w:szCs w:val="21"/>
              </w:rPr>
              <w:t>3.尾板设置旗杆插孔。设置吃水深度刻度线及最大吃水深度刻度线。设置可粘贴式示廓灯具、灯带；</w:t>
            </w:r>
          </w:p>
          <w:p w14:paraId="0975F0A3">
            <w:pPr>
              <w:tabs>
                <w:tab w:val="left" w:pos="180"/>
                <w:tab w:val="left" w:pos="1620"/>
              </w:tabs>
              <w:spacing w:line="360" w:lineRule="exact"/>
              <w:rPr>
                <w:rFonts w:hint="eastAsia" w:ascii="宋体" w:hAnsi="宋体"/>
              </w:rPr>
            </w:pPr>
            <w:r>
              <w:rPr>
                <w:rFonts w:ascii="宋体" w:hAnsi="宋体"/>
              </w:rPr>
              <w:t>……</w:t>
            </w:r>
            <w:r>
              <w:rPr>
                <w:rFonts w:hint="eastAsia" w:ascii="宋体" w:hAnsi="宋体"/>
              </w:rPr>
              <w:t>具体详见招标文件第二章</w:t>
            </w:r>
            <w:r>
              <w:rPr>
                <w:rFonts w:hint="eastAsia" w:ascii="宋体" w:hAnsi="宋体"/>
                <w:lang w:val="en-US" w:eastAsia="zh-CN"/>
              </w:rPr>
              <w:t xml:space="preserve"> 采购需求</w:t>
            </w:r>
            <w:r>
              <w:rPr>
                <w:rFonts w:hint="eastAsia" w:ascii="宋体" w:hAnsi="宋体"/>
              </w:rPr>
              <w:t>。</w:t>
            </w:r>
          </w:p>
        </w:tc>
        <w:tc>
          <w:tcPr>
            <w:tcW w:w="837" w:type="pct"/>
            <w:tcBorders>
              <w:top w:val="single" w:color="auto" w:sz="4" w:space="0"/>
              <w:left w:val="single" w:color="auto" w:sz="4" w:space="0"/>
              <w:bottom w:val="single" w:color="auto" w:sz="4" w:space="0"/>
              <w:right w:val="single" w:color="auto" w:sz="4" w:space="0"/>
            </w:tcBorders>
            <w:noWrap w:val="0"/>
            <w:vAlign w:val="center"/>
          </w:tcPr>
          <w:p w14:paraId="019A76D7">
            <w:pPr>
              <w:tabs>
                <w:tab w:val="left" w:pos="180"/>
                <w:tab w:val="left" w:pos="1620"/>
              </w:tabs>
              <w:spacing w:line="360" w:lineRule="exact"/>
              <w:jc w:val="center"/>
              <w:rPr>
                <w:rFonts w:ascii="宋体" w:hAnsi="宋体"/>
              </w:rPr>
            </w:pPr>
            <w:r>
              <w:rPr>
                <w:rFonts w:hint="eastAsia" w:ascii="宋体" w:hAnsi="宋体"/>
                <w:szCs w:val="21"/>
              </w:rPr>
              <w:t>5.50</w:t>
            </w:r>
          </w:p>
        </w:tc>
      </w:tr>
      <w:tr w14:paraId="50B65D3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355" w:type="pct"/>
            <w:tcBorders>
              <w:top w:val="single" w:color="auto" w:sz="4" w:space="0"/>
              <w:left w:val="single" w:color="auto" w:sz="4" w:space="0"/>
              <w:bottom w:val="single" w:color="auto" w:sz="4" w:space="0"/>
              <w:right w:val="single" w:color="auto" w:sz="4" w:space="0"/>
            </w:tcBorders>
            <w:noWrap w:val="0"/>
            <w:vAlign w:val="center"/>
          </w:tcPr>
          <w:p w14:paraId="4FBA02C2">
            <w:pPr>
              <w:spacing w:line="360" w:lineRule="exact"/>
              <w:jc w:val="center"/>
              <w:rPr>
                <w:rFonts w:hint="eastAsia" w:ascii="宋体" w:hAnsi="宋体"/>
              </w:rPr>
            </w:pPr>
            <w:r>
              <w:rPr>
                <w:rFonts w:ascii="宋体" w:hAnsi="宋体"/>
              </w:rPr>
              <w:t>……</w:t>
            </w:r>
          </w:p>
        </w:tc>
        <w:tc>
          <w:tcPr>
            <w:tcW w:w="619" w:type="pct"/>
            <w:tcBorders>
              <w:top w:val="single" w:color="auto" w:sz="4" w:space="0"/>
              <w:left w:val="single" w:color="auto" w:sz="4" w:space="0"/>
              <w:bottom w:val="single" w:color="auto" w:sz="4" w:space="0"/>
              <w:right w:val="single" w:color="auto" w:sz="4" w:space="0"/>
            </w:tcBorders>
            <w:noWrap w:val="0"/>
            <w:vAlign w:val="center"/>
          </w:tcPr>
          <w:p w14:paraId="3B77778D">
            <w:pPr>
              <w:widowControl/>
              <w:spacing w:line="360" w:lineRule="exact"/>
              <w:jc w:val="center"/>
              <w:textAlignment w:val="center"/>
              <w:rPr>
                <w:rFonts w:hint="eastAsia" w:ascii="宋体" w:hAnsi="宋体" w:cs="宋体"/>
                <w:szCs w:val="21"/>
              </w:rPr>
            </w:pPr>
            <w:r>
              <w:rPr>
                <w:rFonts w:ascii="宋体" w:hAnsi="宋体" w:cs="宋体"/>
                <w:szCs w:val="21"/>
              </w:rPr>
              <w:t>……</w:t>
            </w:r>
          </w:p>
        </w:tc>
        <w:tc>
          <w:tcPr>
            <w:tcW w:w="575" w:type="pct"/>
            <w:tcBorders>
              <w:top w:val="single" w:color="auto" w:sz="4" w:space="0"/>
              <w:left w:val="single" w:color="auto" w:sz="4" w:space="0"/>
              <w:bottom w:val="single" w:color="auto" w:sz="4" w:space="0"/>
              <w:right w:val="single" w:color="auto" w:sz="4" w:space="0"/>
            </w:tcBorders>
            <w:noWrap w:val="0"/>
            <w:vAlign w:val="center"/>
          </w:tcPr>
          <w:p w14:paraId="5DD961B0">
            <w:pPr>
              <w:widowControl/>
              <w:spacing w:line="360" w:lineRule="exact"/>
              <w:jc w:val="center"/>
              <w:textAlignment w:val="center"/>
              <w:rPr>
                <w:rFonts w:hint="eastAsia" w:ascii="宋体" w:hAnsi="宋体" w:cs="宋体"/>
                <w:szCs w:val="21"/>
              </w:rPr>
            </w:pPr>
            <w:r>
              <w:rPr>
                <w:rFonts w:ascii="宋体" w:hAnsi="宋体" w:cs="宋体"/>
                <w:szCs w:val="21"/>
              </w:rPr>
              <w:t>……</w:t>
            </w:r>
          </w:p>
        </w:tc>
        <w:tc>
          <w:tcPr>
            <w:tcW w:w="2612" w:type="pct"/>
            <w:tcBorders>
              <w:top w:val="single" w:color="auto" w:sz="4" w:space="0"/>
              <w:left w:val="single" w:color="auto" w:sz="4" w:space="0"/>
              <w:bottom w:val="single" w:color="auto" w:sz="4" w:space="0"/>
              <w:right w:val="single" w:color="auto" w:sz="4" w:space="0"/>
            </w:tcBorders>
            <w:noWrap w:val="0"/>
            <w:vAlign w:val="center"/>
          </w:tcPr>
          <w:p w14:paraId="0EB94BB0">
            <w:pPr>
              <w:tabs>
                <w:tab w:val="left" w:pos="180"/>
                <w:tab w:val="left" w:pos="1620"/>
              </w:tabs>
              <w:spacing w:line="360" w:lineRule="exact"/>
              <w:rPr>
                <w:rFonts w:hint="eastAsia" w:ascii="宋体" w:hAnsi="宋体"/>
              </w:rPr>
            </w:pPr>
            <w:r>
              <w:rPr>
                <w:rFonts w:ascii="宋体" w:hAnsi="宋体"/>
              </w:rPr>
              <w:t>……</w:t>
            </w:r>
            <w:r>
              <w:rPr>
                <w:rFonts w:hint="eastAsia" w:ascii="宋体" w:hAnsi="宋体"/>
              </w:rPr>
              <w:t>具体详见招标文件第二章</w:t>
            </w:r>
            <w:r>
              <w:rPr>
                <w:rFonts w:hint="eastAsia" w:ascii="宋体" w:hAnsi="宋体"/>
                <w:lang w:val="en-US" w:eastAsia="zh-CN"/>
              </w:rPr>
              <w:t xml:space="preserve"> 采购需求</w:t>
            </w:r>
            <w:r>
              <w:rPr>
                <w:rFonts w:hint="eastAsia" w:ascii="宋体" w:hAnsi="宋体"/>
              </w:rPr>
              <w:t>。</w:t>
            </w:r>
          </w:p>
        </w:tc>
        <w:tc>
          <w:tcPr>
            <w:tcW w:w="837" w:type="pct"/>
            <w:tcBorders>
              <w:top w:val="single" w:color="auto" w:sz="4" w:space="0"/>
              <w:left w:val="single" w:color="auto" w:sz="4" w:space="0"/>
              <w:bottom w:val="single" w:color="auto" w:sz="4" w:space="0"/>
              <w:right w:val="single" w:color="auto" w:sz="4" w:space="0"/>
            </w:tcBorders>
            <w:noWrap w:val="0"/>
            <w:vAlign w:val="center"/>
          </w:tcPr>
          <w:p w14:paraId="01242A16">
            <w:pPr>
              <w:tabs>
                <w:tab w:val="left" w:pos="180"/>
                <w:tab w:val="left" w:pos="1620"/>
              </w:tabs>
              <w:spacing w:line="360" w:lineRule="exact"/>
              <w:jc w:val="center"/>
              <w:rPr>
                <w:rFonts w:hint="default" w:ascii="宋体" w:hAnsi="宋体" w:eastAsia="宋体"/>
                <w:lang w:val="en-US" w:eastAsia="zh-CN"/>
              </w:rPr>
            </w:pPr>
            <w:r>
              <w:rPr>
                <w:rFonts w:hint="eastAsia" w:ascii="宋体" w:hAnsi="宋体"/>
                <w:lang w:val="en-US" w:eastAsia="zh-CN"/>
              </w:rPr>
              <w:t>......</w:t>
            </w:r>
          </w:p>
        </w:tc>
      </w:tr>
      <w:tr w14:paraId="6911DD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5000" w:type="pct"/>
            <w:gridSpan w:val="5"/>
            <w:tcBorders>
              <w:top w:val="single" w:color="auto" w:sz="4" w:space="0"/>
              <w:left w:val="single" w:color="auto" w:sz="4" w:space="0"/>
              <w:bottom w:val="single" w:color="auto" w:sz="4" w:space="0"/>
              <w:right w:val="single" w:color="auto" w:sz="4" w:space="0"/>
            </w:tcBorders>
            <w:noWrap w:val="0"/>
            <w:vAlign w:val="center"/>
          </w:tcPr>
          <w:p w14:paraId="67FDC2AE">
            <w:pPr>
              <w:spacing w:line="360" w:lineRule="auto"/>
              <w:jc w:val="both"/>
              <w:rPr>
                <w:rFonts w:hint="eastAsia" w:ascii="宋体" w:hAnsi="宋体"/>
                <w:szCs w:val="21"/>
              </w:rPr>
            </w:pPr>
            <w:r>
              <w:rPr>
                <w:rFonts w:hint="eastAsia" w:ascii="宋体" w:hAnsi="宋体"/>
                <w:szCs w:val="21"/>
              </w:rPr>
              <w:t>交货时间：自合同签订之日起60日内交付。</w:t>
            </w:r>
          </w:p>
        </w:tc>
      </w:tr>
    </w:tbl>
    <w:p w14:paraId="1F4E381D">
      <w:pPr>
        <w:spacing w:line="360" w:lineRule="auto"/>
        <w:ind w:firstLine="420" w:firstLineChars="200"/>
        <w:rPr>
          <w:rFonts w:hint="eastAsia" w:ascii="宋体" w:hAnsi="宋体"/>
          <w:szCs w:val="21"/>
        </w:rPr>
      </w:pPr>
    </w:p>
    <w:tbl>
      <w:tblPr>
        <w:tblStyle w:val="50"/>
        <w:tblW w:w="4997"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34"/>
        <w:gridCol w:w="816"/>
        <w:gridCol w:w="825"/>
        <w:gridCol w:w="3771"/>
        <w:gridCol w:w="1848"/>
        <w:gridCol w:w="1047"/>
      </w:tblGrid>
      <w:tr w14:paraId="7D6D26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2" w:hRule="atLeast"/>
        </w:trPr>
        <w:tc>
          <w:tcPr>
            <w:tcW w:w="5000" w:type="pct"/>
            <w:gridSpan w:val="6"/>
            <w:tcBorders>
              <w:top w:val="single" w:color="auto" w:sz="4" w:space="0"/>
              <w:left w:val="single" w:color="auto" w:sz="4" w:space="0"/>
              <w:bottom w:val="single" w:color="auto" w:sz="4" w:space="0"/>
              <w:right w:val="single" w:color="auto" w:sz="4" w:space="0"/>
            </w:tcBorders>
            <w:noWrap w:val="0"/>
            <w:vAlign w:val="center"/>
          </w:tcPr>
          <w:p w14:paraId="7C5526F0">
            <w:pPr>
              <w:spacing w:line="360" w:lineRule="exact"/>
              <w:jc w:val="both"/>
              <w:rPr>
                <w:rFonts w:hint="eastAsia" w:ascii="宋体" w:hAnsi="宋体"/>
              </w:rPr>
            </w:pPr>
            <w:r>
              <w:rPr>
                <w:rFonts w:hint="eastAsia" w:ascii="宋体" w:hAnsi="宋体"/>
              </w:rPr>
              <w:t>分标3；预算金额：</w:t>
            </w:r>
            <w:r>
              <w:rPr>
                <w:rFonts w:hint="eastAsia" w:ascii="宋体" w:hAnsi="宋体"/>
                <w:szCs w:val="21"/>
                <w:u w:val="single"/>
              </w:rPr>
              <w:t>645.27万元</w:t>
            </w:r>
          </w:p>
        </w:tc>
      </w:tr>
      <w:tr w14:paraId="52B7B12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354" w:type="pct"/>
            <w:tcBorders>
              <w:top w:val="single" w:color="auto" w:sz="4" w:space="0"/>
              <w:left w:val="single" w:color="auto" w:sz="4" w:space="0"/>
              <w:bottom w:val="single" w:color="auto" w:sz="4" w:space="0"/>
              <w:right w:val="single" w:color="auto" w:sz="4" w:space="0"/>
            </w:tcBorders>
            <w:noWrap w:val="0"/>
            <w:vAlign w:val="center"/>
          </w:tcPr>
          <w:p w14:paraId="21164B25">
            <w:pPr>
              <w:widowControl/>
              <w:adjustRightInd w:val="0"/>
              <w:snapToGrid w:val="0"/>
              <w:spacing w:line="360" w:lineRule="exact"/>
              <w:jc w:val="center"/>
              <w:textAlignment w:val="top"/>
              <w:rPr>
                <w:rFonts w:ascii="宋体" w:hAnsi="宋体" w:cs="仿宋"/>
                <w:szCs w:val="21"/>
              </w:rPr>
            </w:pPr>
            <w:r>
              <w:rPr>
                <w:rFonts w:hint="eastAsia" w:ascii="宋体" w:hAnsi="宋体" w:cs="仿宋"/>
                <w:szCs w:val="21"/>
              </w:rPr>
              <w:t>序号</w:t>
            </w:r>
          </w:p>
        </w:tc>
        <w:tc>
          <w:tcPr>
            <w:tcW w:w="456" w:type="pct"/>
            <w:tcBorders>
              <w:top w:val="single" w:color="auto" w:sz="4" w:space="0"/>
              <w:left w:val="single" w:color="auto" w:sz="4" w:space="0"/>
              <w:bottom w:val="single" w:color="auto" w:sz="4" w:space="0"/>
              <w:right w:val="single" w:color="auto" w:sz="4" w:space="0"/>
            </w:tcBorders>
            <w:noWrap w:val="0"/>
            <w:vAlign w:val="center"/>
          </w:tcPr>
          <w:p w14:paraId="57FD5E26">
            <w:pPr>
              <w:widowControl/>
              <w:adjustRightInd w:val="0"/>
              <w:snapToGrid w:val="0"/>
              <w:spacing w:line="360" w:lineRule="exact"/>
              <w:jc w:val="center"/>
              <w:textAlignment w:val="top"/>
              <w:rPr>
                <w:rFonts w:ascii="宋体" w:hAnsi="宋体" w:cs="仿宋"/>
                <w:szCs w:val="21"/>
              </w:rPr>
            </w:pPr>
            <w:r>
              <w:rPr>
                <w:rFonts w:hint="eastAsia" w:ascii="宋体" w:hAnsi="宋体" w:cs="仿宋"/>
                <w:szCs w:val="21"/>
              </w:rPr>
              <w:t>标的名称</w:t>
            </w:r>
          </w:p>
        </w:tc>
        <w:tc>
          <w:tcPr>
            <w:tcW w:w="461" w:type="pct"/>
            <w:tcBorders>
              <w:top w:val="single" w:color="auto" w:sz="4" w:space="0"/>
              <w:left w:val="single" w:color="auto" w:sz="4" w:space="0"/>
              <w:bottom w:val="single" w:color="auto" w:sz="4" w:space="0"/>
              <w:right w:val="single" w:color="auto" w:sz="4" w:space="0"/>
            </w:tcBorders>
            <w:noWrap w:val="0"/>
            <w:vAlign w:val="center"/>
          </w:tcPr>
          <w:p w14:paraId="3A9CD8AB">
            <w:pPr>
              <w:widowControl/>
              <w:adjustRightInd w:val="0"/>
              <w:snapToGrid w:val="0"/>
              <w:spacing w:line="360" w:lineRule="exact"/>
              <w:jc w:val="center"/>
              <w:textAlignment w:val="top"/>
              <w:rPr>
                <w:rFonts w:ascii="宋体" w:hAnsi="宋体" w:cs="仿宋"/>
                <w:szCs w:val="21"/>
              </w:rPr>
            </w:pPr>
            <w:r>
              <w:rPr>
                <w:rFonts w:hint="eastAsia" w:ascii="宋体" w:hAnsi="宋体" w:cs="仿宋"/>
                <w:szCs w:val="21"/>
              </w:rPr>
              <w:t>数量及单位</w:t>
            </w:r>
          </w:p>
        </w:tc>
        <w:tc>
          <w:tcPr>
            <w:tcW w:w="2108" w:type="pct"/>
            <w:tcBorders>
              <w:top w:val="single" w:color="auto" w:sz="4" w:space="0"/>
              <w:left w:val="single" w:color="auto" w:sz="4" w:space="0"/>
              <w:bottom w:val="single" w:color="auto" w:sz="4" w:space="0"/>
              <w:right w:val="single" w:color="auto" w:sz="4" w:space="0"/>
            </w:tcBorders>
            <w:noWrap w:val="0"/>
            <w:vAlign w:val="center"/>
          </w:tcPr>
          <w:p w14:paraId="22A4017B">
            <w:pPr>
              <w:widowControl/>
              <w:adjustRightInd w:val="0"/>
              <w:snapToGrid w:val="0"/>
              <w:spacing w:line="360" w:lineRule="exact"/>
              <w:jc w:val="center"/>
              <w:textAlignment w:val="top"/>
              <w:rPr>
                <w:rFonts w:hint="eastAsia" w:ascii="宋体" w:hAnsi="宋体" w:cs="仿宋"/>
                <w:szCs w:val="21"/>
              </w:rPr>
            </w:pPr>
            <w:r>
              <w:rPr>
                <w:rFonts w:hint="eastAsia" w:ascii="宋体" w:hAnsi="宋体" w:cs="仿宋"/>
                <w:szCs w:val="21"/>
              </w:rPr>
              <w:t>简要技术需求或者服务要求</w:t>
            </w:r>
          </w:p>
        </w:tc>
        <w:tc>
          <w:tcPr>
            <w:tcW w:w="1033" w:type="pct"/>
            <w:tcBorders>
              <w:top w:val="single" w:color="auto" w:sz="4" w:space="0"/>
              <w:left w:val="single" w:color="auto" w:sz="4" w:space="0"/>
              <w:bottom w:val="single" w:color="auto" w:sz="4" w:space="0"/>
              <w:right w:val="single" w:color="auto" w:sz="4" w:space="0"/>
            </w:tcBorders>
            <w:noWrap w:val="0"/>
            <w:vAlign w:val="center"/>
          </w:tcPr>
          <w:p w14:paraId="45793F54">
            <w:pPr>
              <w:widowControl/>
              <w:adjustRightInd w:val="0"/>
              <w:snapToGrid w:val="0"/>
              <w:spacing w:line="360" w:lineRule="exact"/>
              <w:jc w:val="center"/>
              <w:textAlignment w:val="top"/>
              <w:rPr>
                <w:rFonts w:hint="eastAsia" w:ascii="宋体" w:hAnsi="宋体" w:cs="仿宋"/>
                <w:b w:val="0"/>
                <w:bCs/>
                <w:szCs w:val="21"/>
              </w:rPr>
            </w:pPr>
            <w:r>
              <w:rPr>
                <w:rFonts w:hint="eastAsia" w:ascii="宋体" w:hAnsi="宋体"/>
                <w:b w:val="0"/>
                <w:bCs/>
                <w:szCs w:val="21"/>
              </w:rPr>
              <w:t>车辆名称【工信部（工业和信息化部装备工业发展中心）“道路机动车辆生产企业及产品信息查询系统”公告】</w:t>
            </w:r>
          </w:p>
        </w:tc>
        <w:tc>
          <w:tcPr>
            <w:tcW w:w="585" w:type="pct"/>
            <w:tcBorders>
              <w:top w:val="single" w:color="auto" w:sz="4" w:space="0"/>
              <w:left w:val="single" w:color="auto" w:sz="4" w:space="0"/>
              <w:bottom w:val="single" w:color="auto" w:sz="4" w:space="0"/>
              <w:right w:val="single" w:color="auto" w:sz="4" w:space="0"/>
            </w:tcBorders>
            <w:noWrap w:val="0"/>
            <w:vAlign w:val="center"/>
          </w:tcPr>
          <w:p w14:paraId="1BAD9333">
            <w:pPr>
              <w:widowControl/>
              <w:adjustRightInd w:val="0"/>
              <w:snapToGrid w:val="0"/>
              <w:spacing w:line="360" w:lineRule="exact"/>
              <w:jc w:val="center"/>
              <w:textAlignment w:val="top"/>
              <w:rPr>
                <w:rFonts w:hint="eastAsia" w:ascii="宋体" w:hAnsi="宋体"/>
                <w:b w:val="0"/>
                <w:bCs/>
                <w:szCs w:val="21"/>
              </w:rPr>
            </w:pPr>
            <w:r>
              <w:rPr>
                <w:rFonts w:hint="eastAsia" w:ascii="宋体" w:hAnsi="宋体"/>
                <w:b w:val="0"/>
                <w:bCs/>
                <w:szCs w:val="21"/>
              </w:rPr>
              <w:t>单价控制价【万元/台（套）】</w:t>
            </w:r>
          </w:p>
        </w:tc>
      </w:tr>
      <w:tr w14:paraId="4AFDF65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354" w:type="pct"/>
            <w:tcBorders>
              <w:top w:val="single" w:color="auto" w:sz="4" w:space="0"/>
              <w:left w:val="single" w:color="auto" w:sz="4" w:space="0"/>
              <w:bottom w:val="single" w:color="auto" w:sz="4" w:space="0"/>
              <w:right w:val="single" w:color="auto" w:sz="4" w:space="0"/>
            </w:tcBorders>
            <w:noWrap w:val="0"/>
            <w:vAlign w:val="center"/>
          </w:tcPr>
          <w:p w14:paraId="31E5894B">
            <w:pPr>
              <w:spacing w:line="360" w:lineRule="exact"/>
              <w:jc w:val="center"/>
              <w:rPr>
                <w:rFonts w:ascii="宋体" w:hAnsi="宋体"/>
              </w:rPr>
            </w:pPr>
            <w:r>
              <w:rPr>
                <w:rFonts w:hint="eastAsia" w:ascii="宋体" w:hAnsi="宋体"/>
              </w:rPr>
              <w:t>1</w:t>
            </w:r>
          </w:p>
        </w:tc>
        <w:tc>
          <w:tcPr>
            <w:tcW w:w="456" w:type="pct"/>
            <w:tcBorders>
              <w:top w:val="single" w:color="auto" w:sz="4" w:space="0"/>
              <w:left w:val="single" w:color="auto" w:sz="4" w:space="0"/>
              <w:bottom w:val="single" w:color="auto" w:sz="4" w:space="0"/>
              <w:right w:val="single" w:color="auto" w:sz="4" w:space="0"/>
            </w:tcBorders>
            <w:noWrap w:val="0"/>
            <w:vAlign w:val="center"/>
          </w:tcPr>
          <w:p w14:paraId="32A0FEB4">
            <w:pPr>
              <w:tabs>
                <w:tab w:val="left" w:pos="180"/>
                <w:tab w:val="left" w:pos="1620"/>
              </w:tabs>
              <w:spacing w:line="360" w:lineRule="exact"/>
              <w:jc w:val="center"/>
              <w:rPr>
                <w:rFonts w:ascii="宋体" w:hAnsi="宋体" w:cs="宋体"/>
                <w:szCs w:val="21"/>
              </w:rPr>
            </w:pPr>
            <w:r>
              <w:rPr>
                <w:rFonts w:hint="eastAsia" w:ascii="宋体" w:hAnsi="宋体"/>
                <w:color w:val="000000"/>
              </w:rPr>
              <w:t>皮卡排涝车</w:t>
            </w:r>
          </w:p>
        </w:tc>
        <w:tc>
          <w:tcPr>
            <w:tcW w:w="461" w:type="pct"/>
            <w:tcBorders>
              <w:top w:val="single" w:color="auto" w:sz="4" w:space="0"/>
              <w:left w:val="single" w:color="auto" w:sz="4" w:space="0"/>
              <w:bottom w:val="single" w:color="auto" w:sz="4" w:space="0"/>
              <w:right w:val="single" w:color="auto" w:sz="4" w:space="0"/>
            </w:tcBorders>
            <w:noWrap w:val="0"/>
            <w:vAlign w:val="center"/>
          </w:tcPr>
          <w:p w14:paraId="620A220B">
            <w:pPr>
              <w:tabs>
                <w:tab w:val="left" w:pos="180"/>
                <w:tab w:val="left" w:pos="1620"/>
              </w:tabs>
              <w:spacing w:line="360" w:lineRule="exact"/>
              <w:jc w:val="center"/>
              <w:rPr>
                <w:rFonts w:hint="eastAsia" w:ascii="宋体" w:hAnsi="宋体" w:cs="宋体"/>
                <w:szCs w:val="21"/>
              </w:rPr>
            </w:pPr>
            <w:r>
              <w:rPr>
                <w:rFonts w:hint="eastAsia" w:ascii="宋体" w:hAnsi="宋体"/>
                <w:szCs w:val="21"/>
              </w:rPr>
              <w:t>1台</w:t>
            </w:r>
          </w:p>
        </w:tc>
        <w:tc>
          <w:tcPr>
            <w:tcW w:w="2108" w:type="pct"/>
            <w:tcBorders>
              <w:top w:val="single" w:color="auto" w:sz="4" w:space="0"/>
              <w:left w:val="single" w:color="auto" w:sz="4" w:space="0"/>
              <w:bottom w:val="single" w:color="auto" w:sz="4" w:space="0"/>
              <w:right w:val="single" w:color="auto" w:sz="4" w:space="0"/>
            </w:tcBorders>
            <w:noWrap w:val="0"/>
            <w:vAlign w:val="center"/>
          </w:tcPr>
          <w:p w14:paraId="155F0AFC">
            <w:pPr>
              <w:tabs>
                <w:tab w:val="left" w:pos="180"/>
                <w:tab w:val="left" w:pos="1620"/>
              </w:tabs>
              <w:spacing w:line="360" w:lineRule="exact"/>
              <w:rPr>
                <w:rFonts w:hint="eastAsia" w:ascii="宋体" w:hAnsi="宋体"/>
                <w:szCs w:val="21"/>
              </w:rPr>
            </w:pPr>
            <w:r>
              <w:rPr>
                <w:rFonts w:hint="eastAsia" w:ascii="宋体" w:hAnsi="宋体"/>
                <w:szCs w:val="21"/>
              </w:rPr>
              <w:t>1.底盘部分</w:t>
            </w:r>
          </w:p>
          <w:p w14:paraId="3A4FD2B5">
            <w:pPr>
              <w:tabs>
                <w:tab w:val="left" w:pos="180"/>
                <w:tab w:val="left" w:pos="1620"/>
              </w:tabs>
              <w:spacing w:line="360" w:lineRule="exact"/>
              <w:rPr>
                <w:rFonts w:hint="eastAsia" w:ascii="宋体" w:hAnsi="宋体"/>
                <w:szCs w:val="21"/>
              </w:rPr>
            </w:pPr>
            <w:r>
              <w:rPr>
                <w:rFonts w:hint="eastAsia" w:ascii="宋体" w:hAnsi="宋体"/>
                <w:szCs w:val="21"/>
              </w:rPr>
              <w:t>▲1.1发动机额定功率：≥120kW；</w:t>
            </w:r>
          </w:p>
          <w:p w14:paraId="41BF2A61">
            <w:pPr>
              <w:tabs>
                <w:tab w:val="left" w:pos="180"/>
                <w:tab w:val="left" w:pos="1620"/>
              </w:tabs>
              <w:spacing w:line="360" w:lineRule="exact"/>
              <w:rPr>
                <w:rFonts w:hint="eastAsia" w:ascii="宋体" w:hAnsi="宋体"/>
                <w:szCs w:val="21"/>
              </w:rPr>
            </w:pPr>
            <w:r>
              <w:rPr>
                <w:rFonts w:hint="eastAsia" w:ascii="宋体" w:hAnsi="宋体"/>
                <w:szCs w:val="21"/>
              </w:rPr>
              <w:t>1.2排放标准：满足国Ⅵ排放标准；</w:t>
            </w:r>
          </w:p>
          <w:p w14:paraId="2B33A57C">
            <w:pPr>
              <w:tabs>
                <w:tab w:val="left" w:pos="180"/>
                <w:tab w:val="left" w:pos="1620"/>
              </w:tabs>
              <w:spacing w:line="360" w:lineRule="exact"/>
              <w:rPr>
                <w:rFonts w:hint="eastAsia" w:ascii="宋体" w:hAnsi="宋体"/>
                <w:szCs w:val="21"/>
              </w:rPr>
            </w:pPr>
            <w:r>
              <w:rPr>
                <w:rFonts w:hint="eastAsia" w:ascii="宋体" w:hAnsi="宋体"/>
                <w:szCs w:val="21"/>
              </w:rPr>
              <w:t>▲1.3安全涉水深度：≥0.40米；</w:t>
            </w:r>
          </w:p>
          <w:p w14:paraId="43069D1D">
            <w:pPr>
              <w:tabs>
                <w:tab w:val="left" w:pos="180"/>
                <w:tab w:val="left" w:pos="1620"/>
              </w:tabs>
              <w:spacing w:line="360" w:lineRule="exact"/>
              <w:rPr>
                <w:rFonts w:hint="eastAsia" w:ascii="宋体" w:hAnsi="宋体"/>
                <w:szCs w:val="21"/>
              </w:rPr>
            </w:pPr>
            <w:r>
              <w:rPr>
                <w:rFonts w:hint="eastAsia" w:ascii="宋体" w:hAnsi="宋体"/>
                <w:szCs w:val="21"/>
              </w:rPr>
              <w:t>1.4最高车速：≥120km/h；</w:t>
            </w:r>
          </w:p>
          <w:p w14:paraId="3E4CCAFF">
            <w:pPr>
              <w:tabs>
                <w:tab w:val="left" w:pos="180"/>
                <w:tab w:val="left" w:pos="1620"/>
              </w:tabs>
              <w:spacing w:line="360" w:lineRule="exact"/>
              <w:rPr>
                <w:rFonts w:hint="eastAsia" w:ascii="宋体" w:hAnsi="宋体"/>
                <w:szCs w:val="21"/>
              </w:rPr>
            </w:pPr>
            <w:r>
              <w:rPr>
                <w:rFonts w:hint="eastAsia" w:ascii="宋体" w:hAnsi="宋体"/>
                <w:szCs w:val="21"/>
              </w:rPr>
              <w:t>1.5驱动方式：4×4；</w:t>
            </w:r>
          </w:p>
          <w:p w14:paraId="2C0A0486">
            <w:pPr>
              <w:tabs>
                <w:tab w:val="left" w:pos="180"/>
                <w:tab w:val="left" w:pos="1620"/>
              </w:tabs>
              <w:spacing w:line="360" w:lineRule="exact"/>
              <w:rPr>
                <w:rFonts w:hint="eastAsia" w:ascii="宋体" w:hAnsi="宋体"/>
                <w:szCs w:val="21"/>
              </w:rPr>
            </w:pPr>
            <w:r>
              <w:rPr>
                <w:rFonts w:hint="eastAsia" w:ascii="宋体" w:hAnsi="宋体"/>
                <w:szCs w:val="21"/>
              </w:rPr>
              <w:t>1.6燃油类型：柴油；</w:t>
            </w:r>
          </w:p>
          <w:p w14:paraId="7E4FB075">
            <w:pPr>
              <w:tabs>
                <w:tab w:val="left" w:pos="180"/>
                <w:tab w:val="left" w:pos="1620"/>
              </w:tabs>
              <w:spacing w:line="360" w:lineRule="exact"/>
              <w:rPr>
                <w:rFonts w:ascii="宋体" w:hAnsi="宋体"/>
              </w:rPr>
            </w:pPr>
            <w:r>
              <w:rPr>
                <w:rFonts w:hint="eastAsia" w:ascii="宋体" w:hAnsi="宋体"/>
                <w:szCs w:val="21"/>
              </w:rPr>
              <w:t>1.7驾驶室准乘人数：2+3；</w:t>
            </w:r>
          </w:p>
          <w:p w14:paraId="1557721F">
            <w:pPr>
              <w:tabs>
                <w:tab w:val="left" w:pos="180"/>
                <w:tab w:val="left" w:pos="1620"/>
              </w:tabs>
              <w:spacing w:line="360" w:lineRule="exact"/>
              <w:rPr>
                <w:rFonts w:hint="eastAsia" w:ascii="宋体" w:hAnsi="宋体"/>
              </w:rPr>
            </w:pPr>
            <w:r>
              <w:rPr>
                <w:rFonts w:ascii="宋体" w:hAnsi="宋体"/>
              </w:rPr>
              <w:t>……</w:t>
            </w:r>
            <w:r>
              <w:rPr>
                <w:rFonts w:hint="eastAsia" w:ascii="宋体" w:hAnsi="宋体"/>
              </w:rPr>
              <w:t>具体详见招标文件第二章</w:t>
            </w:r>
            <w:r>
              <w:rPr>
                <w:rFonts w:hint="eastAsia" w:ascii="宋体" w:hAnsi="宋体"/>
                <w:lang w:val="en-US" w:eastAsia="zh-CN"/>
              </w:rPr>
              <w:t xml:space="preserve"> 采购需求</w:t>
            </w:r>
            <w:r>
              <w:rPr>
                <w:rFonts w:hint="eastAsia" w:ascii="宋体" w:hAnsi="宋体"/>
              </w:rPr>
              <w:t>。</w:t>
            </w:r>
          </w:p>
        </w:tc>
        <w:tc>
          <w:tcPr>
            <w:tcW w:w="1033" w:type="pct"/>
            <w:tcBorders>
              <w:top w:val="single" w:color="auto" w:sz="4" w:space="0"/>
              <w:left w:val="single" w:color="auto" w:sz="4" w:space="0"/>
              <w:bottom w:val="single" w:color="auto" w:sz="4" w:space="0"/>
              <w:right w:val="single" w:color="auto" w:sz="4" w:space="0"/>
            </w:tcBorders>
            <w:noWrap w:val="0"/>
            <w:vAlign w:val="center"/>
          </w:tcPr>
          <w:p w14:paraId="23EE567F">
            <w:pPr>
              <w:tabs>
                <w:tab w:val="left" w:pos="180"/>
                <w:tab w:val="left" w:pos="1620"/>
              </w:tabs>
              <w:spacing w:line="360" w:lineRule="exact"/>
              <w:jc w:val="center"/>
              <w:rPr>
                <w:rFonts w:ascii="宋体" w:hAnsi="宋体"/>
              </w:rPr>
            </w:pPr>
            <w:r>
              <w:rPr>
                <w:rFonts w:hint="eastAsia" w:ascii="宋体" w:hAnsi="宋体"/>
                <w:szCs w:val="21"/>
              </w:rPr>
              <w:t>排水抢险车/大流量排水抢险车</w:t>
            </w:r>
          </w:p>
        </w:tc>
        <w:tc>
          <w:tcPr>
            <w:tcW w:w="585" w:type="pct"/>
            <w:tcBorders>
              <w:top w:val="single" w:color="auto" w:sz="4" w:space="0"/>
              <w:left w:val="single" w:color="auto" w:sz="4" w:space="0"/>
              <w:bottom w:val="single" w:color="auto" w:sz="4" w:space="0"/>
              <w:right w:val="single" w:color="auto" w:sz="4" w:space="0"/>
            </w:tcBorders>
            <w:noWrap w:val="0"/>
            <w:vAlign w:val="center"/>
          </w:tcPr>
          <w:p w14:paraId="615A41B4">
            <w:pPr>
              <w:tabs>
                <w:tab w:val="left" w:pos="180"/>
                <w:tab w:val="left" w:pos="1620"/>
              </w:tabs>
              <w:spacing w:line="360" w:lineRule="exact"/>
              <w:jc w:val="center"/>
              <w:rPr>
                <w:rFonts w:hint="eastAsia" w:ascii="宋体" w:hAnsi="宋体"/>
                <w:szCs w:val="21"/>
              </w:rPr>
            </w:pPr>
            <w:r>
              <w:rPr>
                <w:rFonts w:hint="eastAsia" w:ascii="宋体" w:hAnsi="宋体"/>
                <w:szCs w:val="21"/>
              </w:rPr>
              <w:t>41.30</w:t>
            </w:r>
          </w:p>
        </w:tc>
      </w:tr>
      <w:tr w14:paraId="6BCC24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354" w:type="pct"/>
            <w:tcBorders>
              <w:top w:val="single" w:color="auto" w:sz="4" w:space="0"/>
              <w:left w:val="single" w:color="auto" w:sz="4" w:space="0"/>
              <w:bottom w:val="single" w:color="auto" w:sz="4" w:space="0"/>
              <w:right w:val="single" w:color="auto" w:sz="4" w:space="0"/>
            </w:tcBorders>
            <w:noWrap w:val="0"/>
            <w:vAlign w:val="center"/>
          </w:tcPr>
          <w:p w14:paraId="0BDC328A">
            <w:pPr>
              <w:spacing w:line="360" w:lineRule="exact"/>
              <w:jc w:val="center"/>
              <w:rPr>
                <w:rFonts w:hint="eastAsia" w:ascii="宋体" w:hAnsi="宋体"/>
              </w:rPr>
            </w:pPr>
            <w:r>
              <w:rPr>
                <w:rFonts w:hint="eastAsia" w:ascii="宋体" w:hAnsi="宋体"/>
              </w:rPr>
              <w:t>2</w:t>
            </w:r>
          </w:p>
        </w:tc>
        <w:tc>
          <w:tcPr>
            <w:tcW w:w="456" w:type="pct"/>
            <w:tcBorders>
              <w:top w:val="single" w:color="auto" w:sz="4" w:space="0"/>
              <w:left w:val="single" w:color="auto" w:sz="4" w:space="0"/>
              <w:bottom w:val="single" w:color="auto" w:sz="4" w:space="0"/>
              <w:right w:val="single" w:color="auto" w:sz="4" w:space="0"/>
            </w:tcBorders>
            <w:noWrap w:val="0"/>
            <w:vAlign w:val="center"/>
          </w:tcPr>
          <w:p w14:paraId="09840037">
            <w:pPr>
              <w:tabs>
                <w:tab w:val="left" w:pos="180"/>
                <w:tab w:val="left" w:pos="1620"/>
              </w:tabs>
              <w:spacing w:line="360" w:lineRule="exact"/>
              <w:jc w:val="center"/>
              <w:rPr>
                <w:rFonts w:ascii="宋体" w:hAnsi="宋体" w:cs="宋体"/>
                <w:szCs w:val="21"/>
              </w:rPr>
            </w:pPr>
            <w:r>
              <w:rPr>
                <w:rFonts w:hint="eastAsia" w:ascii="宋体" w:hAnsi="宋体"/>
                <w:color w:val="000000"/>
              </w:rPr>
              <w:t>小型工具装备车</w:t>
            </w:r>
          </w:p>
        </w:tc>
        <w:tc>
          <w:tcPr>
            <w:tcW w:w="461" w:type="pct"/>
            <w:tcBorders>
              <w:top w:val="single" w:color="auto" w:sz="4" w:space="0"/>
              <w:left w:val="single" w:color="auto" w:sz="4" w:space="0"/>
              <w:bottom w:val="single" w:color="auto" w:sz="4" w:space="0"/>
              <w:right w:val="single" w:color="auto" w:sz="4" w:space="0"/>
            </w:tcBorders>
            <w:noWrap w:val="0"/>
            <w:vAlign w:val="center"/>
          </w:tcPr>
          <w:p w14:paraId="191882AE">
            <w:pPr>
              <w:tabs>
                <w:tab w:val="left" w:pos="180"/>
                <w:tab w:val="left" w:pos="1620"/>
              </w:tabs>
              <w:spacing w:line="360" w:lineRule="exact"/>
              <w:jc w:val="center"/>
              <w:rPr>
                <w:rFonts w:hint="eastAsia" w:ascii="宋体" w:hAnsi="宋体" w:cs="宋体"/>
                <w:szCs w:val="21"/>
              </w:rPr>
            </w:pPr>
            <w:r>
              <w:rPr>
                <w:rFonts w:hint="eastAsia" w:ascii="宋体" w:hAnsi="宋体"/>
                <w:szCs w:val="21"/>
              </w:rPr>
              <w:t>1台</w:t>
            </w:r>
          </w:p>
        </w:tc>
        <w:tc>
          <w:tcPr>
            <w:tcW w:w="2108" w:type="pct"/>
            <w:tcBorders>
              <w:top w:val="single" w:color="auto" w:sz="4" w:space="0"/>
              <w:left w:val="single" w:color="auto" w:sz="4" w:space="0"/>
              <w:bottom w:val="single" w:color="auto" w:sz="4" w:space="0"/>
              <w:right w:val="single" w:color="auto" w:sz="4" w:space="0"/>
            </w:tcBorders>
            <w:noWrap w:val="0"/>
            <w:vAlign w:val="center"/>
          </w:tcPr>
          <w:p w14:paraId="21A9E1DA">
            <w:pPr>
              <w:tabs>
                <w:tab w:val="left" w:pos="180"/>
                <w:tab w:val="left" w:pos="1620"/>
              </w:tabs>
              <w:spacing w:line="360" w:lineRule="exact"/>
              <w:rPr>
                <w:rFonts w:hint="eastAsia" w:ascii="宋体" w:hAnsi="宋体"/>
                <w:szCs w:val="21"/>
              </w:rPr>
            </w:pPr>
            <w:r>
              <w:rPr>
                <w:rFonts w:hint="eastAsia" w:ascii="宋体" w:hAnsi="宋体"/>
                <w:szCs w:val="21"/>
              </w:rPr>
              <w:t>1.总质量≥4400Kg；</w:t>
            </w:r>
          </w:p>
          <w:p w14:paraId="6F10330A">
            <w:pPr>
              <w:tabs>
                <w:tab w:val="left" w:pos="180"/>
                <w:tab w:val="left" w:pos="1620"/>
              </w:tabs>
              <w:spacing w:line="360" w:lineRule="exact"/>
              <w:rPr>
                <w:rFonts w:hint="eastAsia" w:ascii="宋体" w:hAnsi="宋体"/>
                <w:szCs w:val="21"/>
              </w:rPr>
            </w:pPr>
            <w:r>
              <w:rPr>
                <w:rFonts w:hint="eastAsia" w:ascii="宋体" w:hAnsi="宋体"/>
                <w:szCs w:val="21"/>
              </w:rPr>
              <w:t>2.整备质量≥2800Kg；</w:t>
            </w:r>
          </w:p>
          <w:p w14:paraId="1A45655A">
            <w:pPr>
              <w:tabs>
                <w:tab w:val="left" w:pos="180"/>
                <w:tab w:val="left" w:pos="1620"/>
              </w:tabs>
              <w:spacing w:line="360" w:lineRule="exact"/>
              <w:rPr>
                <w:rFonts w:hint="eastAsia" w:ascii="宋体" w:hAnsi="宋体"/>
                <w:szCs w:val="21"/>
              </w:rPr>
            </w:pPr>
            <w:r>
              <w:rPr>
                <w:rFonts w:hint="eastAsia" w:ascii="宋体" w:hAnsi="宋体"/>
                <w:szCs w:val="21"/>
              </w:rPr>
              <w:t>3.额定载质量≥1400Kg；</w:t>
            </w:r>
          </w:p>
          <w:p w14:paraId="7FF9E974">
            <w:pPr>
              <w:tabs>
                <w:tab w:val="left" w:pos="180"/>
                <w:tab w:val="left" w:pos="1620"/>
              </w:tabs>
              <w:spacing w:line="360" w:lineRule="exact"/>
              <w:rPr>
                <w:rFonts w:hint="eastAsia" w:ascii="宋体" w:hAnsi="宋体"/>
                <w:szCs w:val="21"/>
              </w:rPr>
            </w:pPr>
            <w:r>
              <w:rPr>
                <w:rFonts w:hint="eastAsia" w:ascii="宋体" w:hAnsi="宋体"/>
                <w:szCs w:val="21"/>
              </w:rPr>
              <w:t>4.整车尺寸≥5995mm×2180mm×3150mm；</w:t>
            </w:r>
          </w:p>
          <w:p w14:paraId="5CF7CDFE">
            <w:pPr>
              <w:tabs>
                <w:tab w:val="left" w:pos="180"/>
                <w:tab w:val="left" w:pos="1620"/>
              </w:tabs>
              <w:spacing w:line="360" w:lineRule="exact"/>
              <w:rPr>
                <w:rFonts w:hint="eastAsia" w:ascii="宋体" w:hAnsi="宋体"/>
                <w:szCs w:val="21"/>
              </w:rPr>
            </w:pPr>
            <w:r>
              <w:rPr>
                <w:rFonts w:hint="eastAsia" w:ascii="宋体" w:hAnsi="宋体"/>
                <w:szCs w:val="21"/>
              </w:rPr>
              <w:t>5.货厢尺寸≥4150×2100×2150mm；</w:t>
            </w:r>
          </w:p>
          <w:p w14:paraId="26D69A61">
            <w:pPr>
              <w:tabs>
                <w:tab w:val="left" w:pos="180"/>
                <w:tab w:val="left" w:pos="1620"/>
              </w:tabs>
              <w:spacing w:line="360" w:lineRule="exact"/>
              <w:rPr>
                <w:rFonts w:hint="eastAsia" w:ascii="宋体" w:hAnsi="宋体"/>
                <w:szCs w:val="21"/>
              </w:rPr>
            </w:pPr>
            <w:r>
              <w:rPr>
                <w:rFonts w:hint="eastAsia" w:ascii="宋体" w:hAnsi="宋体"/>
                <w:szCs w:val="21"/>
              </w:rPr>
              <w:t>6.驾驶室翻转；</w:t>
            </w:r>
          </w:p>
          <w:p w14:paraId="079569DE">
            <w:pPr>
              <w:tabs>
                <w:tab w:val="left" w:pos="180"/>
                <w:tab w:val="left" w:pos="1620"/>
              </w:tabs>
              <w:spacing w:line="360" w:lineRule="exact"/>
              <w:rPr>
                <w:rFonts w:ascii="宋体" w:hAnsi="宋体"/>
              </w:rPr>
            </w:pPr>
            <w:r>
              <w:rPr>
                <w:rFonts w:hint="eastAsia" w:ascii="宋体" w:hAnsi="宋体"/>
                <w:szCs w:val="21"/>
              </w:rPr>
              <w:t>▲7.配备发动机，≥160马力，≥2.4排量；</w:t>
            </w:r>
          </w:p>
          <w:p w14:paraId="0CE1A077">
            <w:pPr>
              <w:tabs>
                <w:tab w:val="left" w:pos="180"/>
                <w:tab w:val="left" w:pos="1620"/>
              </w:tabs>
              <w:spacing w:line="360" w:lineRule="exact"/>
              <w:rPr>
                <w:rFonts w:hint="eastAsia" w:ascii="宋体" w:hAnsi="宋体"/>
              </w:rPr>
            </w:pPr>
            <w:r>
              <w:rPr>
                <w:rFonts w:ascii="宋体" w:hAnsi="宋体"/>
              </w:rPr>
              <w:t>……</w:t>
            </w:r>
            <w:r>
              <w:rPr>
                <w:rFonts w:hint="eastAsia" w:ascii="宋体" w:hAnsi="宋体"/>
              </w:rPr>
              <w:t>具体详见招标文件第二章</w:t>
            </w:r>
            <w:r>
              <w:rPr>
                <w:rFonts w:hint="eastAsia" w:ascii="宋体" w:hAnsi="宋体"/>
                <w:lang w:val="en-US" w:eastAsia="zh-CN"/>
              </w:rPr>
              <w:t xml:space="preserve"> 采购需求</w:t>
            </w:r>
            <w:r>
              <w:rPr>
                <w:rFonts w:hint="eastAsia" w:ascii="宋体" w:hAnsi="宋体"/>
              </w:rPr>
              <w:t>。</w:t>
            </w:r>
          </w:p>
        </w:tc>
        <w:tc>
          <w:tcPr>
            <w:tcW w:w="1033" w:type="pct"/>
            <w:tcBorders>
              <w:top w:val="single" w:color="auto" w:sz="4" w:space="0"/>
              <w:left w:val="single" w:color="auto" w:sz="4" w:space="0"/>
              <w:bottom w:val="single" w:color="auto" w:sz="4" w:space="0"/>
              <w:right w:val="single" w:color="auto" w:sz="4" w:space="0"/>
            </w:tcBorders>
            <w:noWrap w:val="0"/>
            <w:vAlign w:val="center"/>
          </w:tcPr>
          <w:p w14:paraId="3E8D0AF5">
            <w:pPr>
              <w:tabs>
                <w:tab w:val="left" w:pos="180"/>
                <w:tab w:val="left" w:pos="1620"/>
              </w:tabs>
              <w:spacing w:line="360" w:lineRule="exact"/>
              <w:jc w:val="center"/>
              <w:rPr>
                <w:rFonts w:hint="eastAsia" w:ascii="宋体" w:hAnsi="宋体"/>
                <w:szCs w:val="21"/>
              </w:rPr>
            </w:pPr>
            <w:r>
              <w:rPr>
                <w:rFonts w:hint="eastAsia" w:ascii="宋体" w:hAnsi="宋体" w:eastAsia="宋体" w:cs="Times New Roman"/>
                <w:b w:val="0"/>
                <w:bCs w:val="0"/>
                <w:i w:val="0"/>
                <w:iCs w:val="0"/>
                <w:spacing w:val="0"/>
                <w:w w:val="100"/>
                <w:kern w:val="2"/>
                <w:sz w:val="21"/>
                <w:szCs w:val="21"/>
                <w:vertAlign w:val="baseline"/>
                <w:lang w:val="en-US" w:eastAsia="zh-CN" w:bidi="ar"/>
              </w:rPr>
              <w:t>厢式运输车/工具车</w:t>
            </w:r>
          </w:p>
        </w:tc>
        <w:tc>
          <w:tcPr>
            <w:tcW w:w="585" w:type="pct"/>
            <w:tcBorders>
              <w:top w:val="single" w:color="auto" w:sz="4" w:space="0"/>
              <w:left w:val="single" w:color="auto" w:sz="4" w:space="0"/>
              <w:bottom w:val="single" w:color="auto" w:sz="4" w:space="0"/>
              <w:right w:val="single" w:color="auto" w:sz="4" w:space="0"/>
            </w:tcBorders>
            <w:noWrap w:val="0"/>
            <w:vAlign w:val="center"/>
          </w:tcPr>
          <w:p w14:paraId="61D78D2F">
            <w:pPr>
              <w:tabs>
                <w:tab w:val="left" w:pos="180"/>
                <w:tab w:val="left" w:pos="1620"/>
              </w:tabs>
              <w:spacing w:line="360" w:lineRule="exact"/>
              <w:jc w:val="center"/>
              <w:rPr>
                <w:rFonts w:hint="eastAsia" w:ascii="宋体" w:hAnsi="宋体"/>
                <w:szCs w:val="21"/>
              </w:rPr>
            </w:pPr>
            <w:r>
              <w:rPr>
                <w:rFonts w:hint="eastAsia" w:ascii="宋体" w:hAnsi="宋体"/>
                <w:szCs w:val="21"/>
              </w:rPr>
              <w:t>25.20</w:t>
            </w:r>
          </w:p>
        </w:tc>
      </w:tr>
      <w:tr w14:paraId="52C1F3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354" w:type="pct"/>
            <w:tcBorders>
              <w:top w:val="single" w:color="auto" w:sz="4" w:space="0"/>
              <w:left w:val="single" w:color="auto" w:sz="4" w:space="0"/>
              <w:bottom w:val="single" w:color="auto" w:sz="4" w:space="0"/>
              <w:right w:val="single" w:color="auto" w:sz="4" w:space="0"/>
            </w:tcBorders>
            <w:noWrap w:val="0"/>
            <w:vAlign w:val="center"/>
          </w:tcPr>
          <w:p w14:paraId="49A45943">
            <w:pPr>
              <w:spacing w:line="360" w:lineRule="exact"/>
              <w:jc w:val="center"/>
              <w:rPr>
                <w:rFonts w:hint="eastAsia" w:ascii="宋体" w:hAnsi="宋体"/>
              </w:rPr>
            </w:pPr>
            <w:r>
              <w:rPr>
                <w:rFonts w:hint="eastAsia" w:ascii="宋体" w:hAnsi="宋体"/>
              </w:rPr>
              <w:t>3</w:t>
            </w:r>
          </w:p>
        </w:tc>
        <w:tc>
          <w:tcPr>
            <w:tcW w:w="456" w:type="pct"/>
            <w:tcBorders>
              <w:top w:val="single" w:color="auto" w:sz="4" w:space="0"/>
              <w:left w:val="single" w:color="auto" w:sz="4" w:space="0"/>
              <w:bottom w:val="single" w:color="auto" w:sz="4" w:space="0"/>
              <w:right w:val="single" w:color="auto" w:sz="4" w:space="0"/>
            </w:tcBorders>
            <w:noWrap w:val="0"/>
            <w:vAlign w:val="center"/>
          </w:tcPr>
          <w:p w14:paraId="0FBB44B5">
            <w:pPr>
              <w:widowControl/>
              <w:spacing w:line="360" w:lineRule="exact"/>
              <w:jc w:val="center"/>
              <w:textAlignment w:val="center"/>
              <w:rPr>
                <w:rFonts w:ascii="宋体" w:hAnsi="宋体" w:cs="宋体"/>
                <w:szCs w:val="21"/>
              </w:rPr>
            </w:pPr>
            <w:r>
              <w:rPr>
                <w:rFonts w:hint="eastAsia" w:ascii="宋体" w:hAnsi="宋体"/>
                <w:color w:val="000000"/>
              </w:rPr>
              <w:t>平板运输车</w:t>
            </w:r>
          </w:p>
        </w:tc>
        <w:tc>
          <w:tcPr>
            <w:tcW w:w="461" w:type="pct"/>
            <w:tcBorders>
              <w:top w:val="single" w:color="auto" w:sz="4" w:space="0"/>
              <w:left w:val="single" w:color="auto" w:sz="4" w:space="0"/>
              <w:bottom w:val="single" w:color="auto" w:sz="4" w:space="0"/>
              <w:right w:val="single" w:color="auto" w:sz="4" w:space="0"/>
            </w:tcBorders>
            <w:noWrap w:val="0"/>
            <w:vAlign w:val="center"/>
          </w:tcPr>
          <w:p w14:paraId="52CD7717">
            <w:pPr>
              <w:widowControl/>
              <w:spacing w:line="360" w:lineRule="exact"/>
              <w:jc w:val="center"/>
              <w:textAlignment w:val="center"/>
              <w:rPr>
                <w:rFonts w:hint="eastAsia" w:ascii="宋体" w:hAnsi="宋体" w:cs="宋体"/>
                <w:szCs w:val="21"/>
              </w:rPr>
            </w:pPr>
            <w:r>
              <w:rPr>
                <w:rFonts w:hint="eastAsia" w:ascii="宋体" w:hAnsi="宋体"/>
                <w:szCs w:val="21"/>
              </w:rPr>
              <w:t>2台</w:t>
            </w:r>
          </w:p>
        </w:tc>
        <w:tc>
          <w:tcPr>
            <w:tcW w:w="2108" w:type="pct"/>
            <w:tcBorders>
              <w:top w:val="single" w:color="auto" w:sz="4" w:space="0"/>
              <w:left w:val="single" w:color="auto" w:sz="4" w:space="0"/>
              <w:bottom w:val="single" w:color="auto" w:sz="4" w:space="0"/>
              <w:right w:val="single" w:color="auto" w:sz="4" w:space="0"/>
            </w:tcBorders>
            <w:noWrap w:val="0"/>
            <w:vAlign w:val="center"/>
          </w:tcPr>
          <w:p w14:paraId="704D80A8">
            <w:pPr>
              <w:widowControl/>
              <w:spacing w:line="360" w:lineRule="exact"/>
              <w:textAlignment w:val="top"/>
              <w:rPr>
                <w:rFonts w:hint="eastAsia" w:ascii="宋体" w:hAnsi="宋体"/>
                <w:szCs w:val="21"/>
              </w:rPr>
            </w:pPr>
            <w:r>
              <w:rPr>
                <w:rFonts w:hint="eastAsia" w:ascii="宋体" w:hAnsi="宋体"/>
                <w:szCs w:val="21"/>
              </w:rPr>
              <w:t>（一）牵引车</w:t>
            </w:r>
          </w:p>
          <w:p w14:paraId="3084FA2A">
            <w:pPr>
              <w:widowControl/>
              <w:spacing w:line="360" w:lineRule="exact"/>
              <w:textAlignment w:val="top"/>
              <w:rPr>
                <w:rFonts w:hint="eastAsia" w:ascii="宋体" w:hAnsi="宋体"/>
                <w:szCs w:val="21"/>
              </w:rPr>
            </w:pPr>
            <w:r>
              <w:rPr>
                <w:rFonts w:hint="eastAsia" w:ascii="宋体" w:hAnsi="宋体"/>
                <w:szCs w:val="21"/>
              </w:rPr>
              <w:t>▲1.发动机功率≥405kW；</w:t>
            </w:r>
          </w:p>
          <w:p w14:paraId="65FE2B2C">
            <w:pPr>
              <w:widowControl/>
              <w:spacing w:line="360" w:lineRule="exact"/>
              <w:textAlignment w:val="top"/>
              <w:rPr>
                <w:rFonts w:hint="eastAsia" w:ascii="宋体" w:hAnsi="宋体"/>
                <w:szCs w:val="21"/>
              </w:rPr>
            </w:pPr>
            <w:r>
              <w:rPr>
                <w:rFonts w:hint="eastAsia" w:ascii="宋体" w:hAnsi="宋体"/>
                <w:szCs w:val="21"/>
              </w:rPr>
              <w:t>2.排放符合国Ⅵ标准；</w:t>
            </w:r>
          </w:p>
          <w:p w14:paraId="66A6922E">
            <w:pPr>
              <w:widowControl/>
              <w:spacing w:line="360" w:lineRule="exact"/>
              <w:textAlignment w:val="top"/>
              <w:rPr>
                <w:rFonts w:hint="eastAsia" w:ascii="宋体" w:hAnsi="宋体"/>
                <w:szCs w:val="21"/>
              </w:rPr>
            </w:pPr>
            <w:r>
              <w:rPr>
                <w:rFonts w:hint="eastAsia" w:ascii="宋体" w:hAnsi="宋体"/>
                <w:szCs w:val="21"/>
              </w:rPr>
              <w:t>▲3.驱动形式配置≥6×4驱动；</w:t>
            </w:r>
          </w:p>
          <w:p w14:paraId="4EB220F1">
            <w:pPr>
              <w:widowControl/>
              <w:spacing w:line="360" w:lineRule="exact"/>
              <w:textAlignment w:val="top"/>
              <w:rPr>
                <w:rFonts w:hint="eastAsia" w:ascii="宋体" w:hAnsi="宋体"/>
                <w:szCs w:val="21"/>
              </w:rPr>
            </w:pPr>
            <w:r>
              <w:rPr>
                <w:rFonts w:hint="eastAsia" w:ascii="宋体" w:hAnsi="宋体"/>
                <w:szCs w:val="21"/>
              </w:rPr>
              <w:t>▲4.牵引总质量≥40t；</w:t>
            </w:r>
          </w:p>
          <w:p w14:paraId="46A0B1E8">
            <w:pPr>
              <w:widowControl/>
              <w:spacing w:line="360" w:lineRule="exact"/>
              <w:textAlignment w:val="top"/>
              <w:rPr>
                <w:rFonts w:hint="eastAsia" w:ascii="宋体" w:hAnsi="宋体"/>
                <w:szCs w:val="21"/>
              </w:rPr>
            </w:pPr>
            <w:r>
              <w:rPr>
                <w:rFonts w:hint="eastAsia" w:ascii="宋体" w:hAnsi="宋体"/>
                <w:szCs w:val="21"/>
              </w:rPr>
              <w:t>5.最高车速≥85km/h；</w:t>
            </w:r>
          </w:p>
          <w:p w14:paraId="0274E2EE">
            <w:pPr>
              <w:tabs>
                <w:tab w:val="left" w:pos="180"/>
                <w:tab w:val="left" w:pos="1620"/>
              </w:tabs>
              <w:spacing w:line="360" w:lineRule="exact"/>
              <w:rPr>
                <w:rFonts w:ascii="宋体" w:hAnsi="宋体"/>
              </w:rPr>
            </w:pPr>
            <w:r>
              <w:rPr>
                <w:rFonts w:hint="eastAsia" w:ascii="宋体" w:hAnsi="宋体"/>
                <w:szCs w:val="21"/>
              </w:rPr>
              <w:t>6.前桥允许荷载≥7000Kg；</w:t>
            </w:r>
          </w:p>
          <w:p w14:paraId="44F9DB13">
            <w:pPr>
              <w:tabs>
                <w:tab w:val="left" w:pos="180"/>
                <w:tab w:val="left" w:pos="1620"/>
              </w:tabs>
              <w:spacing w:line="360" w:lineRule="exact"/>
              <w:rPr>
                <w:rFonts w:hint="eastAsia" w:ascii="宋体" w:hAnsi="宋体"/>
              </w:rPr>
            </w:pPr>
            <w:r>
              <w:rPr>
                <w:rFonts w:ascii="宋体" w:hAnsi="宋体"/>
              </w:rPr>
              <w:t>……</w:t>
            </w:r>
            <w:r>
              <w:rPr>
                <w:rFonts w:hint="eastAsia" w:ascii="宋体" w:hAnsi="宋体"/>
              </w:rPr>
              <w:t>具体详见招标文件第二章</w:t>
            </w:r>
            <w:r>
              <w:rPr>
                <w:rFonts w:hint="eastAsia" w:ascii="宋体" w:hAnsi="宋体"/>
                <w:lang w:val="en-US" w:eastAsia="zh-CN"/>
              </w:rPr>
              <w:t xml:space="preserve"> 采购需求</w:t>
            </w:r>
            <w:r>
              <w:rPr>
                <w:rFonts w:hint="eastAsia" w:ascii="宋体" w:hAnsi="宋体"/>
              </w:rPr>
              <w:t>。</w:t>
            </w:r>
          </w:p>
        </w:tc>
        <w:tc>
          <w:tcPr>
            <w:tcW w:w="1033" w:type="pct"/>
            <w:tcBorders>
              <w:top w:val="single" w:color="auto" w:sz="4" w:space="0"/>
              <w:left w:val="single" w:color="auto" w:sz="4" w:space="0"/>
              <w:bottom w:val="single" w:color="auto" w:sz="4" w:space="0"/>
              <w:right w:val="single" w:color="auto" w:sz="4" w:space="0"/>
            </w:tcBorders>
            <w:noWrap w:val="0"/>
            <w:vAlign w:val="center"/>
          </w:tcPr>
          <w:p w14:paraId="7CD8D277">
            <w:pPr>
              <w:tabs>
                <w:tab w:val="left" w:pos="180"/>
                <w:tab w:val="left" w:pos="1620"/>
              </w:tabs>
              <w:spacing w:line="360" w:lineRule="exact"/>
              <w:jc w:val="center"/>
              <w:rPr>
                <w:rFonts w:ascii="宋体" w:hAnsi="宋体"/>
              </w:rPr>
            </w:pPr>
            <w:r>
              <w:rPr>
                <w:rFonts w:hint="eastAsia" w:ascii="宋体" w:hAnsi="宋体" w:eastAsia="宋体" w:cs="Times New Roman"/>
                <w:b w:val="0"/>
                <w:bCs w:val="0"/>
                <w:i w:val="0"/>
                <w:iCs w:val="0"/>
                <w:spacing w:val="0"/>
                <w:w w:val="100"/>
                <w:kern w:val="2"/>
                <w:sz w:val="21"/>
                <w:szCs w:val="21"/>
                <w:vertAlign w:val="baseline"/>
                <w:lang w:val="en-US" w:eastAsia="zh-CN" w:bidi="ar"/>
              </w:rPr>
              <w:t>牵引车+低平板半挂车</w:t>
            </w:r>
          </w:p>
        </w:tc>
        <w:tc>
          <w:tcPr>
            <w:tcW w:w="585" w:type="pct"/>
            <w:tcBorders>
              <w:top w:val="single" w:color="auto" w:sz="4" w:space="0"/>
              <w:left w:val="single" w:color="auto" w:sz="4" w:space="0"/>
              <w:bottom w:val="single" w:color="auto" w:sz="4" w:space="0"/>
              <w:right w:val="single" w:color="auto" w:sz="4" w:space="0"/>
            </w:tcBorders>
            <w:noWrap w:val="0"/>
            <w:vAlign w:val="center"/>
          </w:tcPr>
          <w:p w14:paraId="60155E64">
            <w:pPr>
              <w:tabs>
                <w:tab w:val="left" w:pos="180"/>
                <w:tab w:val="left" w:pos="1620"/>
              </w:tabs>
              <w:spacing w:line="360" w:lineRule="exact"/>
              <w:jc w:val="center"/>
              <w:rPr>
                <w:rFonts w:hint="eastAsia" w:ascii="宋体" w:hAnsi="宋体"/>
                <w:color w:val="000000"/>
              </w:rPr>
            </w:pPr>
            <w:r>
              <w:rPr>
                <w:rFonts w:hint="eastAsia" w:ascii="宋体" w:hAnsi="宋体"/>
                <w:color w:val="000000"/>
              </w:rPr>
              <w:t>80.47</w:t>
            </w:r>
          </w:p>
        </w:tc>
      </w:tr>
      <w:tr w14:paraId="61DBED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354" w:type="pct"/>
            <w:tcBorders>
              <w:top w:val="single" w:color="auto" w:sz="4" w:space="0"/>
              <w:left w:val="single" w:color="auto" w:sz="4" w:space="0"/>
              <w:bottom w:val="single" w:color="auto" w:sz="4" w:space="0"/>
              <w:right w:val="single" w:color="auto" w:sz="4" w:space="0"/>
            </w:tcBorders>
            <w:noWrap w:val="0"/>
            <w:vAlign w:val="center"/>
          </w:tcPr>
          <w:p w14:paraId="26071D9F">
            <w:pPr>
              <w:spacing w:line="360" w:lineRule="exact"/>
              <w:jc w:val="center"/>
              <w:rPr>
                <w:rFonts w:hint="eastAsia" w:ascii="宋体" w:hAnsi="宋体"/>
              </w:rPr>
            </w:pPr>
            <w:r>
              <w:rPr>
                <w:rFonts w:hint="eastAsia" w:ascii="宋体" w:hAnsi="宋体"/>
              </w:rPr>
              <w:t>4</w:t>
            </w:r>
          </w:p>
        </w:tc>
        <w:tc>
          <w:tcPr>
            <w:tcW w:w="456" w:type="pct"/>
            <w:tcBorders>
              <w:top w:val="single" w:color="auto" w:sz="4" w:space="0"/>
              <w:left w:val="single" w:color="auto" w:sz="4" w:space="0"/>
              <w:bottom w:val="single" w:color="auto" w:sz="4" w:space="0"/>
              <w:right w:val="single" w:color="auto" w:sz="4" w:space="0"/>
            </w:tcBorders>
            <w:noWrap w:val="0"/>
            <w:vAlign w:val="center"/>
          </w:tcPr>
          <w:p w14:paraId="685D1421">
            <w:pPr>
              <w:widowControl/>
              <w:spacing w:line="360" w:lineRule="exact"/>
              <w:jc w:val="center"/>
              <w:textAlignment w:val="center"/>
              <w:rPr>
                <w:rFonts w:ascii="宋体" w:hAnsi="宋体" w:cs="宋体"/>
                <w:szCs w:val="21"/>
              </w:rPr>
            </w:pPr>
            <w:r>
              <w:rPr>
                <w:rFonts w:hint="eastAsia" w:ascii="宋体" w:hAnsi="宋体"/>
                <w:szCs w:val="21"/>
              </w:rPr>
              <w:t>12吨随车吊</w:t>
            </w:r>
          </w:p>
        </w:tc>
        <w:tc>
          <w:tcPr>
            <w:tcW w:w="461" w:type="pct"/>
            <w:tcBorders>
              <w:top w:val="single" w:color="auto" w:sz="4" w:space="0"/>
              <w:left w:val="single" w:color="auto" w:sz="4" w:space="0"/>
              <w:bottom w:val="single" w:color="auto" w:sz="4" w:space="0"/>
              <w:right w:val="single" w:color="auto" w:sz="4" w:space="0"/>
            </w:tcBorders>
            <w:noWrap w:val="0"/>
            <w:vAlign w:val="center"/>
          </w:tcPr>
          <w:p w14:paraId="2B032BB3">
            <w:pPr>
              <w:widowControl/>
              <w:spacing w:line="360" w:lineRule="exact"/>
              <w:jc w:val="center"/>
              <w:textAlignment w:val="center"/>
              <w:rPr>
                <w:rFonts w:hint="eastAsia" w:ascii="宋体" w:hAnsi="宋体" w:cs="宋体"/>
                <w:szCs w:val="21"/>
              </w:rPr>
            </w:pPr>
            <w:r>
              <w:rPr>
                <w:rFonts w:hint="eastAsia" w:ascii="宋体" w:hAnsi="宋体"/>
                <w:szCs w:val="21"/>
              </w:rPr>
              <w:t>2台</w:t>
            </w:r>
          </w:p>
        </w:tc>
        <w:tc>
          <w:tcPr>
            <w:tcW w:w="2108" w:type="pct"/>
            <w:tcBorders>
              <w:top w:val="single" w:color="auto" w:sz="4" w:space="0"/>
              <w:left w:val="single" w:color="auto" w:sz="4" w:space="0"/>
              <w:bottom w:val="single" w:color="auto" w:sz="4" w:space="0"/>
              <w:right w:val="single" w:color="auto" w:sz="4" w:space="0"/>
            </w:tcBorders>
            <w:noWrap w:val="0"/>
            <w:vAlign w:val="center"/>
          </w:tcPr>
          <w:p w14:paraId="2319C351">
            <w:pPr>
              <w:widowControl/>
              <w:spacing w:line="360" w:lineRule="exact"/>
              <w:textAlignment w:val="top"/>
              <w:rPr>
                <w:rFonts w:hint="eastAsia" w:ascii="宋体" w:hAnsi="宋体"/>
                <w:szCs w:val="21"/>
              </w:rPr>
            </w:pPr>
            <w:r>
              <w:rPr>
                <w:rFonts w:hint="eastAsia" w:ascii="宋体" w:hAnsi="宋体"/>
                <w:szCs w:val="21"/>
              </w:rPr>
              <w:t>1.底盘部分</w:t>
            </w:r>
          </w:p>
          <w:p w14:paraId="3661984C">
            <w:pPr>
              <w:widowControl/>
              <w:spacing w:line="360" w:lineRule="exact"/>
              <w:textAlignment w:val="top"/>
              <w:rPr>
                <w:rFonts w:hint="eastAsia" w:ascii="宋体" w:hAnsi="宋体"/>
                <w:szCs w:val="21"/>
              </w:rPr>
            </w:pPr>
            <w:r>
              <w:rPr>
                <w:rFonts w:hint="eastAsia" w:ascii="宋体" w:hAnsi="宋体"/>
                <w:szCs w:val="21"/>
              </w:rPr>
              <w:t>▲1.1发动机额定功率≥180kW；</w:t>
            </w:r>
          </w:p>
          <w:p w14:paraId="4EB3BE47">
            <w:pPr>
              <w:widowControl/>
              <w:spacing w:line="360" w:lineRule="exact"/>
              <w:textAlignment w:val="top"/>
              <w:rPr>
                <w:rFonts w:hint="eastAsia" w:ascii="宋体" w:hAnsi="宋体"/>
                <w:szCs w:val="21"/>
              </w:rPr>
            </w:pPr>
            <w:r>
              <w:rPr>
                <w:rFonts w:hint="eastAsia" w:ascii="宋体" w:hAnsi="宋体"/>
                <w:szCs w:val="21"/>
              </w:rPr>
              <w:t>1.2驱动型式：6×4；</w:t>
            </w:r>
          </w:p>
          <w:p w14:paraId="2390B70A">
            <w:pPr>
              <w:widowControl/>
              <w:spacing w:line="360" w:lineRule="exact"/>
              <w:textAlignment w:val="top"/>
              <w:rPr>
                <w:rFonts w:hint="eastAsia" w:ascii="宋体" w:hAnsi="宋体"/>
                <w:szCs w:val="21"/>
              </w:rPr>
            </w:pPr>
            <w:r>
              <w:rPr>
                <w:rFonts w:hint="eastAsia" w:ascii="宋体" w:hAnsi="宋体"/>
                <w:szCs w:val="21"/>
              </w:rPr>
              <w:t>1.3排放等级：满足国Ⅵ排放标准；</w:t>
            </w:r>
          </w:p>
          <w:p w14:paraId="314CA29F">
            <w:pPr>
              <w:widowControl/>
              <w:spacing w:line="360" w:lineRule="exact"/>
              <w:textAlignment w:val="top"/>
              <w:rPr>
                <w:rFonts w:hint="eastAsia" w:ascii="宋体" w:hAnsi="宋体"/>
                <w:szCs w:val="21"/>
              </w:rPr>
            </w:pPr>
            <w:r>
              <w:rPr>
                <w:rFonts w:hint="eastAsia" w:ascii="宋体" w:hAnsi="宋体"/>
                <w:szCs w:val="21"/>
              </w:rPr>
              <w:t>1.4空载最高行驶速度≥85km/h；</w:t>
            </w:r>
          </w:p>
          <w:p w14:paraId="7567B7AA">
            <w:pPr>
              <w:widowControl/>
              <w:spacing w:line="360" w:lineRule="exact"/>
              <w:textAlignment w:val="top"/>
              <w:rPr>
                <w:rFonts w:hint="eastAsia" w:ascii="宋体" w:hAnsi="宋体"/>
                <w:szCs w:val="21"/>
              </w:rPr>
            </w:pPr>
            <w:r>
              <w:rPr>
                <w:rFonts w:hint="eastAsia" w:ascii="宋体" w:hAnsi="宋体"/>
                <w:szCs w:val="21"/>
              </w:rPr>
              <w:t>1.5轴距：≥5850+1350；</w:t>
            </w:r>
          </w:p>
          <w:p w14:paraId="1B126EB4">
            <w:pPr>
              <w:widowControl/>
              <w:spacing w:line="360" w:lineRule="exact"/>
              <w:textAlignment w:val="top"/>
              <w:rPr>
                <w:rFonts w:hint="eastAsia" w:ascii="宋体" w:hAnsi="宋体"/>
                <w:szCs w:val="21"/>
              </w:rPr>
            </w:pPr>
            <w:r>
              <w:rPr>
                <w:rFonts w:hint="eastAsia" w:ascii="宋体" w:hAnsi="宋体"/>
                <w:szCs w:val="21"/>
              </w:rPr>
              <w:t>2.起重部分</w:t>
            </w:r>
          </w:p>
          <w:p w14:paraId="5B6B9B5D">
            <w:pPr>
              <w:widowControl/>
              <w:spacing w:line="360" w:lineRule="exact"/>
              <w:textAlignment w:val="top"/>
              <w:rPr>
                <w:rFonts w:hint="eastAsia" w:ascii="宋体" w:hAnsi="宋体"/>
                <w:szCs w:val="21"/>
              </w:rPr>
            </w:pPr>
            <w:r>
              <w:rPr>
                <w:rFonts w:hint="eastAsia" w:ascii="宋体" w:hAnsi="宋体"/>
                <w:szCs w:val="21"/>
              </w:rPr>
              <w:t>▲2.1最大额定起重量≥12t；</w:t>
            </w:r>
          </w:p>
          <w:p w14:paraId="23AA4254">
            <w:pPr>
              <w:tabs>
                <w:tab w:val="left" w:pos="180"/>
                <w:tab w:val="left" w:pos="1620"/>
              </w:tabs>
              <w:spacing w:line="360" w:lineRule="exact"/>
              <w:rPr>
                <w:rFonts w:ascii="宋体" w:hAnsi="宋体"/>
              </w:rPr>
            </w:pPr>
            <w:r>
              <w:rPr>
                <w:rFonts w:hint="eastAsia" w:ascii="宋体" w:hAnsi="宋体"/>
                <w:szCs w:val="21"/>
              </w:rPr>
              <w:t>2.2 最大液压伸臂长度≥18m；</w:t>
            </w:r>
          </w:p>
          <w:p w14:paraId="629AA3EB">
            <w:pPr>
              <w:tabs>
                <w:tab w:val="left" w:pos="180"/>
                <w:tab w:val="left" w:pos="1620"/>
              </w:tabs>
              <w:spacing w:line="360" w:lineRule="exact"/>
              <w:rPr>
                <w:rFonts w:hint="eastAsia" w:ascii="宋体" w:hAnsi="宋体"/>
              </w:rPr>
            </w:pPr>
            <w:r>
              <w:rPr>
                <w:rFonts w:ascii="宋体" w:hAnsi="宋体"/>
              </w:rPr>
              <w:t>……</w:t>
            </w:r>
            <w:r>
              <w:rPr>
                <w:rFonts w:hint="eastAsia" w:ascii="宋体" w:hAnsi="宋体"/>
              </w:rPr>
              <w:t>具体详见招标文件第二章</w:t>
            </w:r>
            <w:r>
              <w:rPr>
                <w:rFonts w:hint="eastAsia" w:ascii="宋体" w:hAnsi="宋体"/>
                <w:lang w:val="en-US" w:eastAsia="zh-CN"/>
              </w:rPr>
              <w:t xml:space="preserve"> 采购需求</w:t>
            </w:r>
            <w:r>
              <w:rPr>
                <w:rFonts w:hint="eastAsia" w:ascii="宋体" w:hAnsi="宋体"/>
              </w:rPr>
              <w:t>。</w:t>
            </w:r>
          </w:p>
        </w:tc>
        <w:tc>
          <w:tcPr>
            <w:tcW w:w="1033" w:type="pct"/>
            <w:tcBorders>
              <w:top w:val="single" w:color="auto" w:sz="4" w:space="0"/>
              <w:left w:val="single" w:color="auto" w:sz="4" w:space="0"/>
              <w:bottom w:val="single" w:color="auto" w:sz="4" w:space="0"/>
              <w:right w:val="single" w:color="auto" w:sz="4" w:space="0"/>
            </w:tcBorders>
            <w:noWrap w:val="0"/>
            <w:vAlign w:val="center"/>
          </w:tcPr>
          <w:p w14:paraId="00A0BD7A">
            <w:pPr>
              <w:tabs>
                <w:tab w:val="left" w:pos="180"/>
                <w:tab w:val="left" w:pos="1620"/>
              </w:tabs>
              <w:spacing w:line="360" w:lineRule="exact"/>
              <w:jc w:val="center"/>
              <w:rPr>
                <w:rFonts w:ascii="宋体" w:hAnsi="宋体"/>
              </w:rPr>
            </w:pPr>
            <w:r>
              <w:rPr>
                <w:rFonts w:hint="eastAsia" w:ascii="宋体" w:hAnsi="宋体"/>
              </w:rPr>
              <w:t>随车起重运输车</w:t>
            </w:r>
          </w:p>
        </w:tc>
        <w:tc>
          <w:tcPr>
            <w:tcW w:w="585" w:type="pct"/>
            <w:tcBorders>
              <w:top w:val="single" w:color="auto" w:sz="4" w:space="0"/>
              <w:left w:val="single" w:color="auto" w:sz="4" w:space="0"/>
              <w:bottom w:val="single" w:color="auto" w:sz="4" w:space="0"/>
              <w:right w:val="single" w:color="auto" w:sz="4" w:space="0"/>
            </w:tcBorders>
            <w:noWrap w:val="0"/>
            <w:vAlign w:val="center"/>
          </w:tcPr>
          <w:p w14:paraId="275A7B06">
            <w:pPr>
              <w:tabs>
                <w:tab w:val="left" w:pos="180"/>
                <w:tab w:val="left" w:pos="1620"/>
              </w:tabs>
              <w:spacing w:line="360" w:lineRule="exact"/>
              <w:jc w:val="center"/>
              <w:rPr>
                <w:rFonts w:hint="eastAsia" w:ascii="宋体" w:hAnsi="宋体"/>
              </w:rPr>
            </w:pPr>
            <w:r>
              <w:rPr>
                <w:rFonts w:hint="eastAsia" w:ascii="宋体" w:hAnsi="宋体"/>
              </w:rPr>
              <w:t>61.67</w:t>
            </w:r>
          </w:p>
        </w:tc>
      </w:tr>
      <w:tr w14:paraId="75F79D5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354" w:type="pct"/>
            <w:tcBorders>
              <w:top w:val="single" w:color="auto" w:sz="4" w:space="0"/>
              <w:left w:val="single" w:color="auto" w:sz="4" w:space="0"/>
              <w:bottom w:val="single" w:color="auto" w:sz="4" w:space="0"/>
              <w:right w:val="single" w:color="auto" w:sz="4" w:space="0"/>
            </w:tcBorders>
            <w:noWrap w:val="0"/>
            <w:vAlign w:val="center"/>
          </w:tcPr>
          <w:p w14:paraId="2D23B956">
            <w:pPr>
              <w:spacing w:line="360" w:lineRule="exact"/>
              <w:jc w:val="center"/>
              <w:rPr>
                <w:rFonts w:hint="eastAsia" w:ascii="宋体" w:hAnsi="宋体"/>
              </w:rPr>
            </w:pPr>
            <w:r>
              <w:rPr>
                <w:rFonts w:ascii="宋体" w:hAnsi="宋体"/>
              </w:rPr>
              <w:t>……</w:t>
            </w:r>
          </w:p>
        </w:tc>
        <w:tc>
          <w:tcPr>
            <w:tcW w:w="456" w:type="pct"/>
            <w:tcBorders>
              <w:top w:val="single" w:color="auto" w:sz="4" w:space="0"/>
              <w:left w:val="single" w:color="auto" w:sz="4" w:space="0"/>
              <w:bottom w:val="single" w:color="auto" w:sz="4" w:space="0"/>
              <w:right w:val="single" w:color="auto" w:sz="4" w:space="0"/>
            </w:tcBorders>
            <w:noWrap w:val="0"/>
            <w:vAlign w:val="center"/>
          </w:tcPr>
          <w:p w14:paraId="324D61B3">
            <w:pPr>
              <w:widowControl/>
              <w:spacing w:line="360" w:lineRule="exact"/>
              <w:jc w:val="center"/>
              <w:textAlignment w:val="center"/>
              <w:rPr>
                <w:rFonts w:hint="eastAsia" w:ascii="宋体" w:hAnsi="宋体" w:cs="宋体"/>
                <w:szCs w:val="21"/>
              </w:rPr>
            </w:pPr>
            <w:r>
              <w:rPr>
                <w:rFonts w:ascii="宋体" w:hAnsi="宋体" w:cs="宋体"/>
                <w:szCs w:val="21"/>
              </w:rPr>
              <w:t>……</w:t>
            </w:r>
          </w:p>
        </w:tc>
        <w:tc>
          <w:tcPr>
            <w:tcW w:w="461" w:type="pct"/>
            <w:tcBorders>
              <w:top w:val="single" w:color="auto" w:sz="4" w:space="0"/>
              <w:left w:val="single" w:color="auto" w:sz="4" w:space="0"/>
              <w:bottom w:val="single" w:color="auto" w:sz="4" w:space="0"/>
              <w:right w:val="single" w:color="auto" w:sz="4" w:space="0"/>
            </w:tcBorders>
            <w:noWrap w:val="0"/>
            <w:vAlign w:val="center"/>
          </w:tcPr>
          <w:p w14:paraId="7C12C79D">
            <w:pPr>
              <w:widowControl/>
              <w:spacing w:line="360" w:lineRule="exact"/>
              <w:jc w:val="center"/>
              <w:textAlignment w:val="center"/>
              <w:rPr>
                <w:rFonts w:hint="eastAsia" w:ascii="宋体" w:hAnsi="宋体" w:cs="宋体"/>
                <w:szCs w:val="21"/>
              </w:rPr>
            </w:pPr>
            <w:r>
              <w:rPr>
                <w:rFonts w:ascii="宋体" w:hAnsi="宋体" w:cs="宋体"/>
                <w:szCs w:val="21"/>
              </w:rPr>
              <w:t>……</w:t>
            </w:r>
          </w:p>
        </w:tc>
        <w:tc>
          <w:tcPr>
            <w:tcW w:w="2108" w:type="pct"/>
            <w:tcBorders>
              <w:top w:val="single" w:color="auto" w:sz="4" w:space="0"/>
              <w:left w:val="single" w:color="auto" w:sz="4" w:space="0"/>
              <w:bottom w:val="single" w:color="auto" w:sz="4" w:space="0"/>
              <w:right w:val="single" w:color="auto" w:sz="4" w:space="0"/>
            </w:tcBorders>
            <w:noWrap w:val="0"/>
            <w:vAlign w:val="center"/>
          </w:tcPr>
          <w:p w14:paraId="03CD81A7">
            <w:pPr>
              <w:tabs>
                <w:tab w:val="left" w:pos="180"/>
                <w:tab w:val="left" w:pos="1620"/>
              </w:tabs>
              <w:spacing w:line="360" w:lineRule="exact"/>
              <w:rPr>
                <w:rFonts w:hint="eastAsia" w:ascii="宋体" w:hAnsi="宋体"/>
              </w:rPr>
            </w:pPr>
            <w:r>
              <w:rPr>
                <w:rFonts w:ascii="宋体" w:hAnsi="宋体"/>
              </w:rPr>
              <w:t>……</w:t>
            </w:r>
            <w:r>
              <w:rPr>
                <w:rFonts w:hint="eastAsia" w:ascii="宋体" w:hAnsi="宋体"/>
              </w:rPr>
              <w:t>具体详见招标文件第二章</w:t>
            </w:r>
            <w:r>
              <w:rPr>
                <w:rFonts w:hint="eastAsia" w:ascii="宋体" w:hAnsi="宋体"/>
                <w:lang w:val="en-US" w:eastAsia="zh-CN"/>
              </w:rPr>
              <w:t xml:space="preserve"> 采购需求</w:t>
            </w:r>
            <w:r>
              <w:rPr>
                <w:rFonts w:hint="eastAsia" w:ascii="宋体" w:hAnsi="宋体"/>
              </w:rPr>
              <w:t>。</w:t>
            </w:r>
          </w:p>
        </w:tc>
        <w:tc>
          <w:tcPr>
            <w:tcW w:w="1033" w:type="pct"/>
            <w:tcBorders>
              <w:top w:val="single" w:color="auto" w:sz="4" w:space="0"/>
              <w:left w:val="single" w:color="auto" w:sz="4" w:space="0"/>
              <w:bottom w:val="single" w:color="auto" w:sz="4" w:space="0"/>
              <w:right w:val="single" w:color="auto" w:sz="4" w:space="0"/>
            </w:tcBorders>
            <w:noWrap w:val="0"/>
            <w:vAlign w:val="center"/>
          </w:tcPr>
          <w:p w14:paraId="685D5E97">
            <w:pPr>
              <w:tabs>
                <w:tab w:val="left" w:pos="180"/>
                <w:tab w:val="left" w:pos="1620"/>
              </w:tabs>
              <w:spacing w:line="360" w:lineRule="exact"/>
              <w:jc w:val="center"/>
              <w:rPr>
                <w:rFonts w:ascii="宋体" w:hAnsi="宋体"/>
              </w:rPr>
            </w:pPr>
            <w:r>
              <w:rPr>
                <w:rFonts w:ascii="宋体" w:hAnsi="宋体"/>
              </w:rPr>
              <w:t>……</w:t>
            </w:r>
          </w:p>
        </w:tc>
        <w:tc>
          <w:tcPr>
            <w:tcW w:w="585" w:type="pct"/>
            <w:tcBorders>
              <w:top w:val="single" w:color="auto" w:sz="4" w:space="0"/>
              <w:left w:val="single" w:color="auto" w:sz="4" w:space="0"/>
              <w:bottom w:val="single" w:color="auto" w:sz="4" w:space="0"/>
              <w:right w:val="single" w:color="auto" w:sz="4" w:space="0"/>
            </w:tcBorders>
            <w:noWrap w:val="0"/>
            <w:vAlign w:val="center"/>
          </w:tcPr>
          <w:p w14:paraId="47337863">
            <w:pPr>
              <w:tabs>
                <w:tab w:val="left" w:pos="180"/>
                <w:tab w:val="left" w:pos="1620"/>
              </w:tabs>
              <w:spacing w:line="360" w:lineRule="exact"/>
              <w:jc w:val="center"/>
              <w:rPr>
                <w:rFonts w:ascii="宋体" w:hAnsi="宋体"/>
              </w:rPr>
            </w:pPr>
            <w:r>
              <w:rPr>
                <w:rFonts w:ascii="宋体" w:hAnsi="宋体"/>
              </w:rPr>
              <w:t>……</w:t>
            </w:r>
          </w:p>
        </w:tc>
      </w:tr>
      <w:tr w14:paraId="20A7AF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5000" w:type="pct"/>
            <w:gridSpan w:val="6"/>
            <w:tcBorders>
              <w:top w:val="single" w:color="auto" w:sz="4" w:space="0"/>
              <w:left w:val="single" w:color="auto" w:sz="4" w:space="0"/>
              <w:bottom w:val="single" w:color="auto" w:sz="4" w:space="0"/>
              <w:right w:val="single" w:color="auto" w:sz="4" w:space="0"/>
            </w:tcBorders>
            <w:noWrap w:val="0"/>
            <w:vAlign w:val="center"/>
          </w:tcPr>
          <w:p w14:paraId="303D39EC">
            <w:pPr>
              <w:tabs>
                <w:tab w:val="left" w:pos="180"/>
                <w:tab w:val="left" w:pos="1620"/>
              </w:tabs>
              <w:spacing w:line="360" w:lineRule="exact"/>
              <w:jc w:val="both"/>
              <w:rPr>
                <w:rFonts w:ascii="宋体" w:hAnsi="宋体"/>
              </w:rPr>
            </w:pPr>
            <w:r>
              <w:rPr>
                <w:rFonts w:hint="eastAsia" w:ascii="宋体" w:hAnsi="宋体"/>
                <w:szCs w:val="21"/>
              </w:rPr>
              <w:t>交货时间：自合同签订之日起90日内交付。</w:t>
            </w:r>
          </w:p>
        </w:tc>
      </w:tr>
    </w:tbl>
    <w:p w14:paraId="263367CC">
      <w:pPr>
        <w:spacing w:line="360" w:lineRule="auto"/>
        <w:ind w:firstLine="420" w:firstLineChars="200"/>
        <w:rPr>
          <w:rFonts w:ascii="宋体" w:hAnsi="宋体"/>
          <w:szCs w:val="21"/>
          <w:u w:val="single"/>
        </w:rPr>
      </w:pPr>
    </w:p>
    <w:p w14:paraId="6130C60F">
      <w:pPr>
        <w:spacing w:line="360" w:lineRule="auto"/>
        <w:ind w:firstLine="420" w:firstLineChars="200"/>
        <w:rPr>
          <w:rFonts w:ascii="宋体" w:hAnsi="宋体"/>
          <w:szCs w:val="21"/>
          <w:u w:val="single"/>
        </w:rPr>
      </w:pPr>
    </w:p>
    <w:tbl>
      <w:tblPr>
        <w:tblStyle w:val="50"/>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426"/>
        <w:gridCol w:w="1438"/>
        <w:gridCol w:w="894"/>
        <w:gridCol w:w="4350"/>
        <w:gridCol w:w="1838"/>
      </w:tblGrid>
      <w:tr w14:paraId="42C1A3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2" w:hRule="atLeast"/>
        </w:trPr>
        <w:tc>
          <w:tcPr>
            <w:tcW w:w="5000" w:type="pct"/>
            <w:gridSpan w:val="5"/>
            <w:tcBorders>
              <w:top w:val="single" w:color="auto" w:sz="4" w:space="0"/>
              <w:left w:val="single" w:color="auto" w:sz="4" w:space="0"/>
              <w:bottom w:val="single" w:color="auto" w:sz="4" w:space="0"/>
              <w:right w:val="single" w:color="auto" w:sz="4" w:space="0"/>
            </w:tcBorders>
            <w:noWrap w:val="0"/>
            <w:vAlign w:val="center"/>
          </w:tcPr>
          <w:p w14:paraId="3E8FD37A">
            <w:pPr>
              <w:spacing w:line="360" w:lineRule="exact"/>
              <w:rPr>
                <w:rFonts w:hint="eastAsia" w:ascii="宋体" w:hAnsi="宋体"/>
              </w:rPr>
            </w:pPr>
            <w:r>
              <w:rPr>
                <w:rFonts w:hint="eastAsia" w:ascii="宋体" w:hAnsi="宋体"/>
              </w:rPr>
              <w:t>分标4；预算金额：</w:t>
            </w:r>
            <w:r>
              <w:rPr>
                <w:rFonts w:hint="eastAsia" w:ascii="宋体" w:hAnsi="宋体"/>
                <w:szCs w:val="21"/>
                <w:u w:val="single"/>
              </w:rPr>
              <w:t>553.85万元</w:t>
            </w:r>
          </w:p>
        </w:tc>
      </w:tr>
      <w:tr w14:paraId="16DD052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38" w:type="pct"/>
            <w:tcBorders>
              <w:top w:val="single" w:color="auto" w:sz="4" w:space="0"/>
              <w:left w:val="single" w:color="auto" w:sz="4" w:space="0"/>
              <w:bottom w:val="single" w:color="auto" w:sz="4" w:space="0"/>
              <w:right w:val="single" w:color="auto" w:sz="4" w:space="0"/>
            </w:tcBorders>
            <w:noWrap w:val="0"/>
            <w:vAlign w:val="center"/>
          </w:tcPr>
          <w:p w14:paraId="7597AEA8">
            <w:pPr>
              <w:widowControl/>
              <w:adjustRightInd w:val="0"/>
              <w:snapToGrid w:val="0"/>
              <w:spacing w:line="360" w:lineRule="exact"/>
              <w:jc w:val="center"/>
              <w:textAlignment w:val="top"/>
              <w:rPr>
                <w:rFonts w:ascii="宋体" w:hAnsi="宋体" w:cs="仿宋"/>
                <w:szCs w:val="21"/>
              </w:rPr>
            </w:pPr>
            <w:r>
              <w:rPr>
                <w:rFonts w:hint="eastAsia" w:ascii="宋体" w:hAnsi="宋体" w:cs="仿宋"/>
                <w:szCs w:val="21"/>
              </w:rPr>
              <w:t>序号</w:t>
            </w:r>
          </w:p>
        </w:tc>
        <w:tc>
          <w:tcPr>
            <w:tcW w:w="804" w:type="pct"/>
            <w:tcBorders>
              <w:top w:val="single" w:color="auto" w:sz="4" w:space="0"/>
              <w:left w:val="single" w:color="auto" w:sz="4" w:space="0"/>
              <w:bottom w:val="single" w:color="auto" w:sz="4" w:space="0"/>
              <w:right w:val="single" w:color="auto" w:sz="4" w:space="0"/>
            </w:tcBorders>
            <w:noWrap w:val="0"/>
            <w:vAlign w:val="center"/>
          </w:tcPr>
          <w:p w14:paraId="26F5C4DB">
            <w:pPr>
              <w:widowControl/>
              <w:adjustRightInd w:val="0"/>
              <w:snapToGrid w:val="0"/>
              <w:spacing w:line="360" w:lineRule="exact"/>
              <w:jc w:val="center"/>
              <w:textAlignment w:val="top"/>
              <w:rPr>
                <w:rFonts w:ascii="宋体" w:hAnsi="宋体" w:cs="仿宋"/>
                <w:szCs w:val="21"/>
              </w:rPr>
            </w:pPr>
            <w:r>
              <w:rPr>
                <w:rFonts w:hint="eastAsia" w:ascii="宋体" w:hAnsi="宋体" w:cs="仿宋"/>
                <w:szCs w:val="21"/>
              </w:rPr>
              <w:t>标的名称</w:t>
            </w:r>
          </w:p>
        </w:tc>
        <w:tc>
          <w:tcPr>
            <w:tcW w:w="500" w:type="pct"/>
            <w:tcBorders>
              <w:top w:val="single" w:color="auto" w:sz="4" w:space="0"/>
              <w:left w:val="single" w:color="auto" w:sz="4" w:space="0"/>
              <w:bottom w:val="single" w:color="auto" w:sz="4" w:space="0"/>
              <w:right w:val="single" w:color="auto" w:sz="4" w:space="0"/>
            </w:tcBorders>
            <w:noWrap w:val="0"/>
            <w:vAlign w:val="center"/>
          </w:tcPr>
          <w:p w14:paraId="1B46D204">
            <w:pPr>
              <w:widowControl/>
              <w:adjustRightInd w:val="0"/>
              <w:snapToGrid w:val="0"/>
              <w:spacing w:line="360" w:lineRule="exact"/>
              <w:jc w:val="center"/>
              <w:textAlignment w:val="top"/>
              <w:rPr>
                <w:rFonts w:ascii="宋体" w:hAnsi="宋体" w:cs="仿宋"/>
                <w:szCs w:val="21"/>
              </w:rPr>
            </w:pPr>
            <w:r>
              <w:rPr>
                <w:rFonts w:hint="eastAsia" w:ascii="宋体" w:hAnsi="宋体" w:cs="仿宋"/>
                <w:szCs w:val="21"/>
              </w:rPr>
              <w:t>数量及单位</w:t>
            </w:r>
          </w:p>
        </w:tc>
        <w:tc>
          <w:tcPr>
            <w:tcW w:w="2431" w:type="pct"/>
            <w:tcBorders>
              <w:top w:val="single" w:color="auto" w:sz="4" w:space="0"/>
              <w:left w:val="single" w:color="auto" w:sz="4" w:space="0"/>
              <w:bottom w:val="single" w:color="auto" w:sz="4" w:space="0"/>
              <w:right w:val="single" w:color="auto" w:sz="4" w:space="0"/>
            </w:tcBorders>
            <w:noWrap w:val="0"/>
            <w:vAlign w:val="center"/>
          </w:tcPr>
          <w:p w14:paraId="6B048B3A">
            <w:pPr>
              <w:widowControl/>
              <w:adjustRightInd w:val="0"/>
              <w:snapToGrid w:val="0"/>
              <w:spacing w:line="360" w:lineRule="exact"/>
              <w:jc w:val="center"/>
              <w:textAlignment w:val="top"/>
              <w:rPr>
                <w:rFonts w:hint="eastAsia" w:ascii="宋体" w:hAnsi="宋体" w:cs="仿宋"/>
                <w:szCs w:val="21"/>
              </w:rPr>
            </w:pPr>
            <w:r>
              <w:rPr>
                <w:rFonts w:hint="eastAsia" w:ascii="宋体" w:hAnsi="宋体" w:cs="仿宋"/>
                <w:szCs w:val="21"/>
              </w:rPr>
              <w:t>简要技术需求或者服务要求</w:t>
            </w:r>
          </w:p>
        </w:tc>
        <w:tc>
          <w:tcPr>
            <w:tcW w:w="1025" w:type="pct"/>
            <w:tcBorders>
              <w:top w:val="single" w:color="auto" w:sz="4" w:space="0"/>
              <w:left w:val="single" w:color="auto" w:sz="4" w:space="0"/>
              <w:bottom w:val="single" w:color="auto" w:sz="4" w:space="0"/>
              <w:right w:val="single" w:color="auto" w:sz="4" w:space="0"/>
            </w:tcBorders>
            <w:noWrap w:val="0"/>
            <w:vAlign w:val="center"/>
          </w:tcPr>
          <w:p w14:paraId="092BC0B5">
            <w:pPr>
              <w:widowControl/>
              <w:adjustRightInd w:val="0"/>
              <w:snapToGrid w:val="0"/>
              <w:spacing w:line="360" w:lineRule="exact"/>
              <w:jc w:val="center"/>
              <w:textAlignment w:val="top"/>
              <w:rPr>
                <w:rFonts w:hint="eastAsia" w:ascii="宋体" w:hAnsi="宋体" w:cs="仿宋"/>
                <w:szCs w:val="21"/>
              </w:rPr>
            </w:pPr>
            <w:r>
              <w:rPr>
                <w:rFonts w:hint="eastAsia" w:ascii="宋体" w:hAnsi="宋体"/>
                <w:b w:val="0"/>
                <w:bCs/>
                <w:szCs w:val="21"/>
              </w:rPr>
              <w:t>单价控制价【万元/台（套）】</w:t>
            </w:r>
          </w:p>
        </w:tc>
      </w:tr>
      <w:tr w14:paraId="72E450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38" w:type="pct"/>
            <w:tcBorders>
              <w:top w:val="single" w:color="auto" w:sz="4" w:space="0"/>
              <w:left w:val="single" w:color="auto" w:sz="4" w:space="0"/>
              <w:bottom w:val="single" w:color="auto" w:sz="4" w:space="0"/>
              <w:right w:val="single" w:color="auto" w:sz="4" w:space="0"/>
            </w:tcBorders>
            <w:noWrap w:val="0"/>
            <w:vAlign w:val="center"/>
          </w:tcPr>
          <w:p w14:paraId="6F7F886E">
            <w:pPr>
              <w:spacing w:line="360" w:lineRule="exact"/>
              <w:jc w:val="center"/>
              <w:rPr>
                <w:rFonts w:ascii="宋体" w:hAnsi="宋体"/>
              </w:rPr>
            </w:pPr>
            <w:r>
              <w:rPr>
                <w:rFonts w:hint="eastAsia" w:ascii="宋体" w:hAnsi="宋体"/>
              </w:rPr>
              <w:t>1</w:t>
            </w:r>
          </w:p>
        </w:tc>
        <w:tc>
          <w:tcPr>
            <w:tcW w:w="804" w:type="pct"/>
            <w:tcBorders>
              <w:top w:val="single" w:color="auto" w:sz="4" w:space="0"/>
              <w:left w:val="single" w:color="auto" w:sz="4" w:space="0"/>
              <w:bottom w:val="single" w:color="auto" w:sz="4" w:space="0"/>
              <w:right w:val="single" w:color="auto" w:sz="4" w:space="0"/>
            </w:tcBorders>
            <w:noWrap w:val="0"/>
            <w:vAlign w:val="center"/>
          </w:tcPr>
          <w:p w14:paraId="69913A0E">
            <w:pPr>
              <w:widowControl/>
              <w:spacing w:line="360" w:lineRule="exact"/>
              <w:jc w:val="center"/>
              <w:textAlignment w:val="center"/>
              <w:rPr>
                <w:rFonts w:ascii="宋体" w:hAnsi="宋体" w:cs="宋体"/>
                <w:szCs w:val="21"/>
              </w:rPr>
            </w:pPr>
            <w:r>
              <w:rPr>
                <w:rFonts w:hint="eastAsia" w:ascii="宋体" w:hAnsi="宋体"/>
                <w:szCs w:val="21"/>
              </w:rPr>
              <w:t>加长臂挖掘机</w:t>
            </w:r>
          </w:p>
        </w:tc>
        <w:tc>
          <w:tcPr>
            <w:tcW w:w="500" w:type="pct"/>
            <w:tcBorders>
              <w:top w:val="single" w:color="auto" w:sz="4" w:space="0"/>
              <w:left w:val="single" w:color="auto" w:sz="4" w:space="0"/>
              <w:bottom w:val="single" w:color="auto" w:sz="4" w:space="0"/>
              <w:right w:val="single" w:color="auto" w:sz="4" w:space="0"/>
            </w:tcBorders>
            <w:noWrap w:val="0"/>
            <w:vAlign w:val="center"/>
          </w:tcPr>
          <w:p w14:paraId="2296A4CD">
            <w:pPr>
              <w:widowControl/>
              <w:spacing w:line="360" w:lineRule="exact"/>
              <w:jc w:val="center"/>
              <w:textAlignment w:val="center"/>
              <w:rPr>
                <w:rFonts w:hint="eastAsia" w:ascii="宋体" w:hAnsi="宋体" w:cs="宋体"/>
                <w:szCs w:val="21"/>
              </w:rPr>
            </w:pPr>
            <w:r>
              <w:rPr>
                <w:rFonts w:hint="eastAsia" w:ascii="宋体" w:hAnsi="宋体"/>
                <w:szCs w:val="21"/>
              </w:rPr>
              <w:t>1台</w:t>
            </w:r>
          </w:p>
        </w:tc>
        <w:tc>
          <w:tcPr>
            <w:tcW w:w="2431" w:type="pct"/>
            <w:tcBorders>
              <w:top w:val="single" w:color="auto" w:sz="4" w:space="0"/>
              <w:left w:val="single" w:color="auto" w:sz="4" w:space="0"/>
              <w:bottom w:val="single" w:color="auto" w:sz="4" w:space="0"/>
              <w:right w:val="single" w:color="auto" w:sz="4" w:space="0"/>
            </w:tcBorders>
            <w:noWrap w:val="0"/>
            <w:vAlign w:val="center"/>
          </w:tcPr>
          <w:p w14:paraId="30DA9D2F">
            <w:pPr>
              <w:widowControl/>
              <w:spacing w:line="360" w:lineRule="exact"/>
              <w:textAlignment w:val="top"/>
              <w:rPr>
                <w:rFonts w:hint="eastAsia" w:ascii="宋体" w:hAnsi="宋体"/>
                <w:szCs w:val="21"/>
              </w:rPr>
            </w:pPr>
            <w:r>
              <w:rPr>
                <w:rFonts w:hint="eastAsia" w:ascii="宋体" w:hAnsi="宋体"/>
                <w:szCs w:val="21"/>
              </w:rPr>
              <w:t>1.整机工作质量≥40t；</w:t>
            </w:r>
          </w:p>
          <w:p w14:paraId="407E7C76">
            <w:pPr>
              <w:widowControl/>
              <w:spacing w:line="360" w:lineRule="exact"/>
              <w:textAlignment w:val="top"/>
              <w:rPr>
                <w:rFonts w:hint="eastAsia" w:ascii="宋体" w:hAnsi="宋体"/>
                <w:szCs w:val="21"/>
              </w:rPr>
            </w:pPr>
            <w:r>
              <w:rPr>
                <w:rFonts w:hint="eastAsia" w:ascii="宋体" w:hAnsi="宋体"/>
                <w:szCs w:val="21"/>
              </w:rPr>
              <w:t>▲2.标准臂斗容≥2m³；</w:t>
            </w:r>
          </w:p>
          <w:p w14:paraId="46A5862C">
            <w:pPr>
              <w:widowControl/>
              <w:spacing w:line="360" w:lineRule="exact"/>
              <w:textAlignment w:val="top"/>
              <w:rPr>
                <w:rFonts w:hint="eastAsia" w:ascii="宋体" w:hAnsi="宋体"/>
                <w:szCs w:val="21"/>
              </w:rPr>
            </w:pPr>
            <w:r>
              <w:rPr>
                <w:rFonts w:hint="eastAsia" w:ascii="宋体" w:hAnsi="宋体"/>
                <w:szCs w:val="21"/>
              </w:rPr>
              <w:t>▲3.铲斗类型：岩石斗；</w:t>
            </w:r>
          </w:p>
          <w:p w14:paraId="7FF46ADC">
            <w:pPr>
              <w:widowControl/>
              <w:spacing w:line="360" w:lineRule="exact"/>
              <w:textAlignment w:val="top"/>
              <w:rPr>
                <w:rFonts w:hint="eastAsia" w:ascii="宋体" w:hAnsi="宋体"/>
                <w:szCs w:val="21"/>
              </w:rPr>
            </w:pPr>
            <w:r>
              <w:rPr>
                <w:rFonts w:hint="eastAsia" w:ascii="宋体" w:hAnsi="宋体"/>
                <w:szCs w:val="21"/>
              </w:rPr>
              <w:t>▲4.发动机功率≥210kW；</w:t>
            </w:r>
          </w:p>
          <w:p w14:paraId="496B8684">
            <w:pPr>
              <w:widowControl/>
              <w:spacing w:line="360" w:lineRule="exact"/>
              <w:textAlignment w:val="top"/>
              <w:rPr>
                <w:rFonts w:hint="eastAsia" w:ascii="宋体" w:hAnsi="宋体"/>
                <w:szCs w:val="21"/>
              </w:rPr>
            </w:pPr>
            <w:r>
              <w:rPr>
                <w:rFonts w:hint="eastAsia" w:ascii="宋体" w:hAnsi="宋体"/>
                <w:szCs w:val="21"/>
              </w:rPr>
              <w:t>5.排放标准：满足非道路国IV排放标准；</w:t>
            </w:r>
          </w:p>
          <w:p w14:paraId="6726C8CF">
            <w:pPr>
              <w:widowControl/>
              <w:spacing w:line="360" w:lineRule="exact"/>
              <w:textAlignment w:val="top"/>
              <w:rPr>
                <w:rFonts w:hint="eastAsia" w:ascii="宋体" w:hAnsi="宋体"/>
                <w:szCs w:val="21"/>
              </w:rPr>
            </w:pPr>
            <w:r>
              <w:rPr>
                <w:rFonts w:hint="eastAsia" w:ascii="宋体" w:hAnsi="宋体"/>
                <w:szCs w:val="21"/>
              </w:rPr>
              <w:t>6.行走速度（高/低）≥5.0/2.5(km/h)；</w:t>
            </w:r>
          </w:p>
          <w:p w14:paraId="6A1C2F5E">
            <w:pPr>
              <w:widowControl/>
              <w:spacing w:line="360" w:lineRule="exact"/>
              <w:textAlignment w:val="top"/>
              <w:rPr>
                <w:rFonts w:ascii="宋体" w:hAnsi="宋体"/>
              </w:rPr>
            </w:pPr>
            <w:r>
              <w:rPr>
                <w:rFonts w:hint="eastAsia" w:ascii="宋体" w:hAnsi="宋体"/>
                <w:szCs w:val="21"/>
              </w:rPr>
              <w:t>7.爬坡能力≥35°；</w:t>
            </w:r>
          </w:p>
          <w:p w14:paraId="4F6DAB31">
            <w:pPr>
              <w:tabs>
                <w:tab w:val="left" w:pos="180"/>
                <w:tab w:val="left" w:pos="1620"/>
              </w:tabs>
              <w:spacing w:line="360" w:lineRule="exact"/>
              <w:rPr>
                <w:rFonts w:hint="eastAsia" w:ascii="宋体" w:hAnsi="宋体"/>
              </w:rPr>
            </w:pPr>
            <w:r>
              <w:rPr>
                <w:rFonts w:ascii="宋体" w:hAnsi="宋体"/>
              </w:rPr>
              <w:t>……</w:t>
            </w:r>
            <w:r>
              <w:rPr>
                <w:rFonts w:hint="eastAsia" w:ascii="宋体" w:hAnsi="宋体"/>
              </w:rPr>
              <w:t>具体详见招标文件第二章</w:t>
            </w:r>
            <w:r>
              <w:rPr>
                <w:rFonts w:hint="eastAsia" w:ascii="宋体" w:hAnsi="宋体"/>
                <w:lang w:val="en-US" w:eastAsia="zh-CN"/>
              </w:rPr>
              <w:t xml:space="preserve"> 采购需求</w:t>
            </w:r>
            <w:r>
              <w:rPr>
                <w:rFonts w:hint="eastAsia" w:ascii="宋体" w:hAnsi="宋体"/>
              </w:rPr>
              <w:t>。</w:t>
            </w:r>
          </w:p>
        </w:tc>
        <w:tc>
          <w:tcPr>
            <w:tcW w:w="1025" w:type="pct"/>
            <w:tcBorders>
              <w:top w:val="single" w:color="auto" w:sz="4" w:space="0"/>
              <w:left w:val="single" w:color="auto" w:sz="4" w:space="0"/>
              <w:bottom w:val="single" w:color="auto" w:sz="4" w:space="0"/>
              <w:right w:val="single" w:color="auto" w:sz="4" w:space="0"/>
            </w:tcBorders>
            <w:noWrap w:val="0"/>
            <w:vAlign w:val="center"/>
          </w:tcPr>
          <w:p w14:paraId="10EC64DA">
            <w:pPr>
              <w:tabs>
                <w:tab w:val="left" w:pos="180"/>
                <w:tab w:val="left" w:pos="1620"/>
              </w:tabs>
              <w:spacing w:line="360" w:lineRule="exact"/>
              <w:jc w:val="center"/>
              <w:rPr>
                <w:rFonts w:ascii="宋体" w:hAnsi="宋体"/>
              </w:rPr>
            </w:pPr>
            <w:r>
              <w:rPr>
                <w:rFonts w:hint="eastAsia" w:ascii="仿宋" w:hAnsi="仿宋" w:eastAsia="仿宋" w:cs="仿宋"/>
                <w:szCs w:val="21"/>
              </w:rPr>
              <w:t>191.50</w:t>
            </w:r>
          </w:p>
        </w:tc>
      </w:tr>
      <w:tr w14:paraId="019E7C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38" w:type="pct"/>
            <w:tcBorders>
              <w:top w:val="single" w:color="auto" w:sz="4" w:space="0"/>
              <w:left w:val="single" w:color="auto" w:sz="4" w:space="0"/>
              <w:bottom w:val="single" w:color="auto" w:sz="4" w:space="0"/>
              <w:right w:val="single" w:color="auto" w:sz="4" w:space="0"/>
            </w:tcBorders>
            <w:noWrap w:val="0"/>
            <w:vAlign w:val="center"/>
          </w:tcPr>
          <w:p w14:paraId="67F4F65A">
            <w:pPr>
              <w:spacing w:line="360" w:lineRule="exact"/>
              <w:jc w:val="center"/>
              <w:rPr>
                <w:rFonts w:hint="eastAsia" w:ascii="宋体" w:hAnsi="宋体"/>
              </w:rPr>
            </w:pPr>
            <w:r>
              <w:rPr>
                <w:rFonts w:hint="eastAsia" w:ascii="宋体" w:hAnsi="宋体"/>
              </w:rPr>
              <w:t>2</w:t>
            </w:r>
          </w:p>
        </w:tc>
        <w:tc>
          <w:tcPr>
            <w:tcW w:w="804" w:type="pct"/>
            <w:tcBorders>
              <w:top w:val="single" w:color="auto" w:sz="4" w:space="0"/>
              <w:left w:val="single" w:color="auto" w:sz="4" w:space="0"/>
              <w:bottom w:val="single" w:color="auto" w:sz="4" w:space="0"/>
              <w:right w:val="single" w:color="auto" w:sz="4" w:space="0"/>
            </w:tcBorders>
            <w:noWrap w:val="0"/>
            <w:vAlign w:val="center"/>
          </w:tcPr>
          <w:p w14:paraId="738C5079">
            <w:pPr>
              <w:widowControl/>
              <w:spacing w:line="360" w:lineRule="exact"/>
              <w:jc w:val="center"/>
              <w:textAlignment w:val="center"/>
              <w:rPr>
                <w:rFonts w:ascii="宋体" w:hAnsi="宋体" w:cs="宋体"/>
                <w:szCs w:val="21"/>
              </w:rPr>
            </w:pPr>
            <w:r>
              <w:rPr>
                <w:rFonts w:hint="eastAsia" w:ascii="宋体" w:hAnsi="宋体"/>
                <w:szCs w:val="21"/>
              </w:rPr>
              <w:t>无人驾驶履带挖掘机</w:t>
            </w:r>
          </w:p>
        </w:tc>
        <w:tc>
          <w:tcPr>
            <w:tcW w:w="500" w:type="pct"/>
            <w:tcBorders>
              <w:top w:val="single" w:color="auto" w:sz="4" w:space="0"/>
              <w:left w:val="single" w:color="auto" w:sz="4" w:space="0"/>
              <w:bottom w:val="single" w:color="auto" w:sz="4" w:space="0"/>
              <w:right w:val="single" w:color="auto" w:sz="4" w:space="0"/>
            </w:tcBorders>
            <w:noWrap w:val="0"/>
            <w:vAlign w:val="center"/>
          </w:tcPr>
          <w:p w14:paraId="7D94A5C7">
            <w:pPr>
              <w:widowControl/>
              <w:spacing w:line="360" w:lineRule="exact"/>
              <w:jc w:val="center"/>
              <w:textAlignment w:val="center"/>
              <w:rPr>
                <w:rFonts w:hint="eastAsia" w:ascii="宋体" w:hAnsi="宋体" w:cs="宋体"/>
                <w:szCs w:val="21"/>
              </w:rPr>
            </w:pPr>
            <w:r>
              <w:rPr>
                <w:rFonts w:hint="eastAsia" w:ascii="宋体" w:hAnsi="宋体"/>
                <w:szCs w:val="21"/>
              </w:rPr>
              <w:t>1台</w:t>
            </w:r>
          </w:p>
        </w:tc>
        <w:tc>
          <w:tcPr>
            <w:tcW w:w="2431" w:type="pct"/>
            <w:tcBorders>
              <w:top w:val="single" w:color="auto" w:sz="4" w:space="0"/>
              <w:left w:val="single" w:color="auto" w:sz="4" w:space="0"/>
              <w:bottom w:val="single" w:color="auto" w:sz="4" w:space="0"/>
              <w:right w:val="single" w:color="auto" w:sz="4" w:space="0"/>
            </w:tcBorders>
            <w:noWrap w:val="0"/>
            <w:vAlign w:val="center"/>
          </w:tcPr>
          <w:p w14:paraId="436C88A1">
            <w:pPr>
              <w:widowControl/>
              <w:spacing w:line="360" w:lineRule="exact"/>
              <w:textAlignment w:val="top"/>
              <w:rPr>
                <w:rFonts w:hint="eastAsia" w:ascii="宋体" w:hAnsi="宋体"/>
                <w:szCs w:val="21"/>
              </w:rPr>
            </w:pPr>
            <w:r>
              <w:rPr>
                <w:rFonts w:hint="eastAsia" w:ascii="宋体" w:hAnsi="宋体"/>
                <w:szCs w:val="21"/>
              </w:rPr>
              <w:t>1.整机工作质量≥25t；</w:t>
            </w:r>
          </w:p>
          <w:p w14:paraId="69DF54EA">
            <w:pPr>
              <w:widowControl/>
              <w:spacing w:line="360" w:lineRule="exact"/>
              <w:textAlignment w:val="top"/>
              <w:rPr>
                <w:rFonts w:hint="eastAsia" w:ascii="宋体" w:hAnsi="宋体"/>
                <w:szCs w:val="21"/>
              </w:rPr>
            </w:pPr>
            <w:r>
              <w:rPr>
                <w:rFonts w:hint="eastAsia" w:ascii="宋体" w:hAnsi="宋体"/>
                <w:szCs w:val="21"/>
              </w:rPr>
              <w:t>▲2.标准斗容≥1m³；</w:t>
            </w:r>
          </w:p>
          <w:p w14:paraId="10389545">
            <w:pPr>
              <w:widowControl/>
              <w:spacing w:line="360" w:lineRule="exact"/>
              <w:textAlignment w:val="top"/>
              <w:rPr>
                <w:rFonts w:hint="eastAsia" w:ascii="宋体" w:hAnsi="宋体"/>
                <w:szCs w:val="21"/>
              </w:rPr>
            </w:pPr>
            <w:r>
              <w:rPr>
                <w:rFonts w:hint="eastAsia" w:ascii="宋体" w:hAnsi="宋体"/>
                <w:szCs w:val="21"/>
              </w:rPr>
              <w:t>3.铲斗类型：岩石斗；</w:t>
            </w:r>
          </w:p>
          <w:p w14:paraId="3606584B">
            <w:pPr>
              <w:widowControl/>
              <w:spacing w:line="360" w:lineRule="exact"/>
              <w:textAlignment w:val="top"/>
              <w:rPr>
                <w:rFonts w:hint="eastAsia" w:ascii="宋体" w:hAnsi="宋体"/>
                <w:szCs w:val="21"/>
              </w:rPr>
            </w:pPr>
            <w:r>
              <w:rPr>
                <w:rFonts w:hint="eastAsia" w:ascii="宋体" w:hAnsi="宋体"/>
                <w:szCs w:val="21"/>
              </w:rPr>
              <w:t>▲4.发动机功率≥150kw；</w:t>
            </w:r>
          </w:p>
          <w:p w14:paraId="3DFDF6EE">
            <w:pPr>
              <w:widowControl/>
              <w:spacing w:line="360" w:lineRule="exact"/>
              <w:textAlignment w:val="top"/>
              <w:rPr>
                <w:rFonts w:hint="eastAsia" w:ascii="宋体" w:hAnsi="宋体"/>
                <w:szCs w:val="21"/>
              </w:rPr>
            </w:pPr>
            <w:r>
              <w:rPr>
                <w:rFonts w:hint="eastAsia" w:ascii="宋体" w:hAnsi="宋体"/>
                <w:szCs w:val="21"/>
              </w:rPr>
              <w:t>5.排放标准：不低于非道路国四标准；</w:t>
            </w:r>
          </w:p>
          <w:p w14:paraId="6451F8E6">
            <w:pPr>
              <w:widowControl/>
              <w:spacing w:line="360" w:lineRule="exact"/>
              <w:textAlignment w:val="top"/>
              <w:rPr>
                <w:rFonts w:hint="eastAsia" w:ascii="宋体" w:hAnsi="宋体"/>
                <w:szCs w:val="21"/>
              </w:rPr>
            </w:pPr>
            <w:r>
              <w:rPr>
                <w:rFonts w:hint="eastAsia" w:ascii="宋体" w:hAnsi="宋体"/>
                <w:szCs w:val="21"/>
              </w:rPr>
              <w:t>6.行走速度(高/低)：≥5/3(km/h)；</w:t>
            </w:r>
          </w:p>
          <w:p w14:paraId="3F086599">
            <w:pPr>
              <w:tabs>
                <w:tab w:val="left" w:pos="180"/>
                <w:tab w:val="left" w:pos="1620"/>
              </w:tabs>
              <w:spacing w:line="360" w:lineRule="exact"/>
              <w:rPr>
                <w:rFonts w:ascii="宋体" w:hAnsi="宋体"/>
              </w:rPr>
            </w:pPr>
            <w:r>
              <w:rPr>
                <w:rFonts w:hint="eastAsia" w:ascii="宋体" w:hAnsi="宋体"/>
                <w:szCs w:val="21"/>
              </w:rPr>
              <w:t>7.爬坡能力≥35°；</w:t>
            </w:r>
          </w:p>
          <w:p w14:paraId="5D275359">
            <w:pPr>
              <w:tabs>
                <w:tab w:val="left" w:pos="180"/>
                <w:tab w:val="left" w:pos="1620"/>
              </w:tabs>
              <w:spacing w:line="360" w:lineRule="exact"/>
              <w:rPr>
                <w:rFonts w:hint="eastAsia" w:ascii="宋体" w:hAnsi="宋体"/>
              </w:rPr>
            </w:pPr>
            <w:r>
              <w:rPr>
                <w:rFonts w:ascii="宋体" w:hAnsi="宋体"/>
              </w:rPr>
              <w:t>……</w:t>
            </w:r>
            <w:r>
              <w:rPr>
                <w:rFonts w:hint="eastAsia" w:ascii="宋体" w:hAnsi="宋体"/>
              </w:rPr>
              <w:t>具体详见招标文件第二章</w:t>
            </w:r>
            <w:r>
              <w:rPr>
                <w:rFonts w:hint="eastAsia" w:ascii="宋体" w:hAnsi="宋体"/>
                <w:lang w:val="en-US" w:eastAsia="zh-CN"/>
              </w:rPr>
              <w:t xml:space="preserve"> 采购需求</w:t>
            </w:r>
            <w:r>
              <w:rPr>
                <w:rFonts w:hint="eastAsia" w:ascii="宋体" w:hAnsi="宋体"/>
              </w:rPr>
              <w:t>。</w:t>
            </w:r>
          </w:p>
        </w:tc>
        <w:tc>
          <w:tcPr>
            <w:tcW w:w="1025" w:type="pct"/>
            <w:tcBorders>
              <w:top w:val="single" w:color="auto" w:sz="4" w:space="0"/>
              <w:left w:val="single" w:color="auto" w:sz="4" w:space="0"/>
              <w:bottom w:val="single" w:color="auto" w:sz="4" w:space="0"/>
              <w:right w:val="single" w:color="auto" w:sz="4" w:space="0"/>
            </w:tcBorders>
            <w:noWrap w:val="0"/>
            <w:vAlign w:val="center"/>
          </w:tcPr>
          <w:p w14:paraId="0EEB318D">
            <w:pPr>
              <w:tabs>
                <w:tab w:val="left" w:pos="180"/>
                <w:tab w:val="left" w:pos="1620"/>
              </w:tabs>
              <w:spacing w:line="360" w:lineRule="exact"/>
              <w:jc w:val="center"/>
              <w:rPr>
                <w:rFonts w:ascii="宋体" w:hAnsi="宋体"/>
              </w:rPr>
            </w:pPr>
            <w:r>
              <w:rPr>
                <w:rStyle w:val="194"/>
                <w:rFonts w:hint="default" w:ascii="宋体" w:hAnsi="宋体"/>
                <w:sz w:val="21"/>
                <w:szCs w:val="21"/>
              </w:rPr>
              <w:t>232.00</w:t>
            </w:r>
          </w:p>
        </w:tc>
      </w:tr>
      <w:tr w14:paraId="266D4E2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38" w:type="pct"/>
            <w:tcBorders>
              <w:top w:val="single" w:color="auto" w:sz="4" w:space="0"/>
              <w:left w:val="single" w:color="auto" w:sz="4" w:space="0"/>
              <w:bottom w:val="single" w:color="auto" w:sz="4" w:space="0"/>
              <w:right w:val="single" w:color="auto" w:sz="4" w:space="0"/>
            </w:tcBorders>
            <w:noWrap w:val="0"/>
            <w:vAlign w:val="center"/>
          </w:tcPr>
          <w:p w14:paraId="6EF2F9DB">
            <w:pPr>
              <w:spacing w:line="360" w:lineRule="exact"/>
              <w:jc w:val="center"/>
              <w:rPr>
                <w:rFonts w:hint="eastAsia" w:ascii="宋体" w:hAnsi="宋体"/>
              </w:rPr>
            </w:pPr>
            <w:r>
              <w:rPr>
                <w:rFonts w:hint="eastAsia" w:ascii="宋体" w:hAnsi="宋体"/>
              </w:rPr>
              <w:t>3</w:t>
            </w:r>
          </w:p>
        </w:tc>
        <w:tc>
          <w:tcPr>
            <w:tcW w:w="804" w:type="pct"/>
            <w:tcBorders>
              <w:top w:val="single" w:color="auto" w:sz="4" w:space="0"/>
              <w:left w:val="single" w:color="auto" w:sz="4" w:space="0"/>
              <w:bottom w:val="single" w:color="auto" w:sz="4" w:space="0"/>
              <w:right w:val="single" w:color="auto" w:sz="4" w:space="0"/>
            </w:tcBorders>
            <w:noWrap w:val="0"/>
            <w:vAlign w:val="center"/>
          </w:tcPr>
          <w:p w14:paraId="403C3C55">
            <w:pPr>
              <w:widowControl/>
              <w:spacing w:line="360" w:lineRule="exact"/>
              <w:jc w:val="center"/>
              <w:textAlignment w:val="center"/>
              <w:rPr>
                <w:rFonts w:ascii="宋体" w:hAnsi="宋体" w:cs="宋体"/>
                <w:szCs w:val="21"/>
              </w:rPr>
            </w:pPr>
            <w:r>
              <w:rPr>
                <w:rFonts w:hint="eastAsia" w:ascii="宋体" w:hAnsi="宋体"/>
                <w:color w:val="000000"/>
                <w:szCs w:val="21"/>
              </w:rPr>
              <w:t>滑移装载机</w:t>
            </w:r>
          </w:p>
        </w:tc>
        <w:tc>
          <w:tcPr>
            <w:tcW w:w="500" w:type="pct"/>
            <w:tcBorders>
              <w:top w:val="single" w:color="auto" w:sz="4" w:space="0"/>
              <w:left w:val="single" w:color="auto" w:sz="4" w:space="0"/>
              <w:bottom w:val="single" w:color="auto" w:sz="4" w:space="0"/>
              <w:right w:val="single" w:color="auto" w:sz="4" w:space="0"/>
            </w:tcBorders>
            <w:noWrap w:val="0"/>
            <w:vAlign w:val="center"/>
          </w:tcPr>
          <w:p w14:paraId="7715EA16">
            <w:pPr>
              <w:widowControl/>
              <w:spacing w:line="360" w:lineRule="exact"/>
              <w:jc w:val="center"/>
              <w:textAlignment w:val="center"/>
              <w:rPr>
                <w:rFonts w:hint="eastAsia" w:ascii="宋体" w:hAnsi="宋体" w:cs="宋体"/>
                <w:szCs w:val="21"/>
              </w:rPr>
            </w:pPr>
            <w:r>
              <w:rPr>
                <w:rFonts w:hint="eastAsia" w:ascii="宋体" w:hAnsi="宋体"/>
                <w:szCs w:val="21"/>
              </w:rPr>
              <w:t>1台</w:t>
            </w:r>
          </w:p>
        </w:tc>
        <w:tc>
          <w:tcPr>
            <w:tcW w:w="2431" w:type="pct"/>
            <w:tcBorders>
              <w:top w:val="single" w:color="auto" w:sz="4" w:space="0"/>
              <w:left w:val="single" w:color="auto" w:sz="4" w:space="0"/>
              <w:bottom w:val="single" w:color="auto" w:sz="4" w:space="0"/>
              <w:right w:val="single" w:color="auto" w:sz="4" w:space="0"/>
            </w:tcBorders>
            <w:noWrap w:val="0"/>
            <w:vAlign w:val="center"/>
          </w:tcPr>
          <w:p w14:paraId="38D9B8D6">
            <w:pPr>
              <w:widowControl/>
              <w:spacing w:line="360" w:lineRule="exact"/>
              <w:textAlignment w:val="top"/>
              <w:rPr>
                <w:rFonts w:hint="eastAsia" w:ascii="宋体" w:hAnsi="宋体"/>
                <w:szCs w:val="21"/>
              </w:rPr>
            </w:pPr>
            <w:r>
              <w:rPr>
                <w:rFonts w:hint="eastAsia" w:ascii="宋体" w:hAnsi="宋体"/>
                <w:szCs w:val="21"/>
              </w:rPr>
              <w:t>1.操作质量 ≥3750Kg；</w:t>
            </w:r>
          </w:p>
          <w:p w14:paraId="6FF88B53">
            <w:pPr>
              <w:widowControl/>
              <w:spacing w:line="360" w:lineRule="exact"/>
              <w:textAlignment w:val="top"/>
              <w:rPr>
                <w:rFonts w:hint="eastAsia" w:ascii="宋体" w:hAnsi="宋体"/>
                <w:szCs w:val="21"/>
              </w:rPr>
            </w:pPr>
            <w:r>
              <w:rPr>
                <w:rFonts w:hint="eastAsia" w:ascii="宋体" w:hAnsi="宋体"/>
                <w:szCs w:val="21"/>
              </w:rPr>
              <w:t>2.额定载荷 ≥1180Kg；</w:t>
            </w:r>
          </w:p>
          <w:p w14:paraId="62410251">
            <w:pPr>
              <w:widowControl/>
              <w:spacing w:line="360" w:lineRule="exact"/>
              <w:textAlignment w:val="top"/>
              <w:rPr>
                <w:rFonts w:hint="eastAsia" w:ascii="宋体" w:hAnsi="宋体"/>
                <w:szCs w:val="21"/>
              </w:rPr>
            </w:pPr>
            <w:r>
              <w:rPr>
                <w:rFonts w:hint="eastAsia" w:ascii="宋体" w:hAnsi="宋体"/>
                <w:szCs w:val="21"/>
              </w:rPr>
              <w:t>3.倾翻载荷 ≥2360Kg；</w:t>
            </w:r>
          </w:p>
          <w:p w14:paraId="56EC9FF0">
            <w:pPr>
              <w:widowControl/>
              <w:spacing w:line="360" w:lineRule="exact"/>
              <w:textAlignment w:val="top"/>
              <w:rPr>
                <w:rFonts w:hint="eastAsia" w:ascii="宋体" w:hAnsi="宋体"/>
                <w:szCs w:val="21"/>
              </w:rPr>
            </w:pPr>
            <w:r>
              <w:rPr>
                <w:rFonts w:hint="eastAsia" w:ascii="宋体" w:hAnsi="宋体"/>
                <w:szCs w:val="21"/>
              </w:rPr>
              <w:t>▲4.发动机额定功率/转速≥53kw/2500rpm；</w:t>
            </w:r>
          </w:p>
          <w:p w14:paraId="585673CA">
            <w:pPr>
              <w:widowControl/>
              <w:spacing w:line="360" w:lineRule="exact"/>
              <w:textAlignment w:val="top"/>
              <w:rPr>
                <w:rFonts w:hint="eastAsia" w:ascii="宋体" w:hAnsi="宋体"/>
                <w:szCs w:val="21"/>
              </w:rPr>
            </w:pPr>
            <w:r>
              <w:rPr>
                <w:rFonts w:hint="eastAsia" w:ascii="宋体" w:hAnsi="宋体"/>
                <w:szCs w:val="21"/>
              </w:rPr>
              <w:t>5.发动机最大扭矩≥291Nm；</w:t>
            </w:r>
          </w:p>
          <w:p w14:paraId="3F05652B">
            <w:pPr>
              <w:widowControl/>
              <w:spacing w:line="360" w:lineRule="exact"/>
              <w:textAlignment w:val="top"/>
              <w:rPr>
                <w:rFonts w:ascii="宋体" w:hAnsi="宋体"/>
              </w:rPr>
            </w:pPr>
            <w:r>
              <w:rPr>
                <w:rFonts w:hint="eastAsia" w:ascii="宋体" w:hAnsi="宋体"/>
                <w:szCs w:val="21"/>
              </w:rPr>
              <w:t>6.排放标准：国四；</w:t>
            </w:r>
          </w:p>
          <w:p w14:paraId="2C47C559">
            <w:pPr>
              <w:tabs>
                <w:tab w:val="left" w:pos="180"/>
                <w:tab w:val="left" w:pos="1620"/>
              </w:tabs>
              <w:spacing w:line="360" w:lineRule="exact"/>
              <w:rPr>
                <w:rFonts w:hint="eastAsia" w:ascii="宋体" w:hAnsi="宋体"/>
              </w:rPr>
            </w:pPr>
            <w:r>
              <w:rPr>
                <w:rFonts w:ascii="宋体" w:hAnsi="宋体"/>
              </w:rPr>
              <w:t>……</w:t>
            </w:r>
            <w:r>
              <w:rPr>
                <w:rFonts w:hint="eastAsia" w:ascii="宋体" w:hAnsi="宋体"/>
              </w:rPr>
              <w:t>具体详见招标文件第二章</w:t>
            </w:r>
            <w:r>
              <w:rPr>
                <w:rFonts w:hint="eastAsia" w:ascii="宋体" w:hAnsi="宋体"/>
                <w:lang w:val="en-US" w:eastAsia="zh-CN"/>
              </w:rPr>
              <w:t xml:space="preserve"> 采购需求</w:t>
            </w:r>
            <w:r>
              <w:rPr>
                <w:rFonts w:hint="eastAsia" w:ascii="宋体" w:hAnsi="宋体"/>
              </w:rPr>
              <w:t>。</w:t>
            </w:r>
          </w:p>
        </w:tc>
        <w:tc>
          <w:tcPr>
            <w:tcW w:w="1025" w:type="pct"/>
            <w:tcBorders>
              <w:top w:val="single" w:color="auto" w:sz="4" w:space="0"/>
              <w:left w:val="single" w:color="auto" w:sz="4" w:space="0"/>
              <w:bottom w:val="single" w:color="auto" w:sz="4" w:space="0"/>
              <w:right w:val="single" w:color="auto" w:sz="4" w:space="0"/>
            </w:tcBorders>
            <w:noWrap w:val="0"/>
            <w:vAlign w:val="center"/>
          </w:tcPr>
          <w:p w14:paraId="43FC0D25">
            <w:pPr>
              <w:tabs>
                <w:tab w:val="left" w:pos="180"/>
                <w:tab w:val="left" w:pos="1620"/>
              </w:tabs>
              <w:spacing w:line="360" w:lineRule="exact"/>
              <w:jc w:val="center"/>
              <w:rPr>
                <w:rFonts w:ascii="宋体" w:hAnsi="宋体"/>
              </w:rPr>
            </w:pPr>
            <w:r>
              <w:rPr>
                <w:rFonts w:hint="eastAsia" w:ascii="宋体" w:hAnsi="宋体"/>
                <w:color w:val="000000"/>
                <w:szCs w:val="21"/>
              </w:rPr>
              <w:t>55.55</w:t>
            </w:r>
          </w:p>
        </w:tc>
      </w:tr>
      <w:tr w14:paraId="6F632F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38" w:type="pct"/>
            <w:tcBorders>
              <w:top w:val="single" w:color="auto" w:sz="4" w:space="0"/>
              <w:left w:val="single" w:color="auto" w:sz="4" w:space="0"/>
              <w:bottom w:val="single" w:color="auto" w:sz="4" w:space="0"/>
              <w:right w:val="single" w:color="auto" w:sz="4" w:space="0"/>
            </w:tcBorders>
            <w:noWrap w:val="0"/>
            <w:vAlign w:val="center"/>
          </w:tcPr>
          <w:p w14:paraId="256C7229">
            <w:pPr>
              <w:spacing w:line="360" w:lineRule="exact"/>
              <w:jc w:val="center"/>
              <w:rPr>
                <w:rFonts w:hint="eastAsia" w:ascii="宋体" w:hAnsi="宋体"/>
              </w:rPr>
            </w:pPr>
            <w:r>
              <w:rPr>
                <w:rFonts w:hint="eastAsia" w:ascii="宋体" w:hAnsi="宋体"/>
              </w:rPr>
              <w:t>4</w:t>
            </w:r>
          </w:p>
        </w:tc>
        <w:tc>
          <w:tcPr>
            <w:tcW w:w="804" w:type="pct"/>
            <w:tcBorders>
              <w:top w:val="single" w:color="auto" w:sz="4" w:space="0"/>
              <w:left w:val="single" w:color="auto" w:sz="4" w:space="0"/>
              <w:bottom w:val="single" w:color="auto" w:sz="4" w:space="0"/>
              <w:right w:val="single" w:color="auto" w:sz="4" w:space="0"/>
            </w:tcBorders>
            <w:noWrap w:val="0"/>
            <w:vAlign w:val="center"/>
          </w:tcPr>
          <w:p w14:paraId="3F95A319">
            <w:pPr>
              <w:widowControl/>
              <w:spacing w:line="360" w:lineRule="exact"/>
              <w:jc w:val="center"/>
              <w:textAlignment w:val="center"/>
              <w:rPr>
                <w:rFonts w:ascii="宋体" w:hAnsi="宋体" w:cs="宋体"/>
                <w:szCs w:val="21"/>
              </w:rPr>
            </w:pPr>
            <w:r>
              <w:rPr>
                <w:rFonts w:hint="eastAsia" w:ascii="宋体" w:hAnsi="宋体"/>
                <w:szCs w:val="21"/>
              </w:rPr>
              <w:t>装卸叉车</w:t>
            </w:r>
          </w:p>
        </w:tc>
        <w:tc>
          <w:tcPr>
            <w:tcW w:w="500" w:type="pct"/>
            <w:tcBorders>
              <w:top w:val="single" w:color="auto" w:sz="4" w:space="0"/>
              <w:left w:val="single" w:color="auto" w:sz="4" w:space="0"/>
              <w:bottom w:val="single" w:color="auto" w:sz="4" w:space="0"/>
              <w:right w:val="single" w:color="auto" w:sz="4" w:space="0"/>
            </w:tcBorders>
            <w:noWrap w:val="0"/>
            <w:vAlign w:val="center"/>
          </w:tcPr>
          <w:p w14:paraId="16B761C7">
            <w:pPr>
              <w:widowControl/>
              <w:spacing w:line="360" w:lineRule="exact"/>
              <w:jc w:val="center"/>
              <w:textAlignment w:val="center"/>
              <w:rPr>
                <w:rFonts w:hint="eastAsia" w:ascii="宋体" w:hAnsi="宋体" w:cs="宋体"/>
                <w:szCs w:val="21"/>
              </w:rPr>
            </w:pPr>
            <w:r>
              <w:rPr>
                <w:rFonts w:hint="eastAsia" w:ascii="宋体" w:hAnsi="宋体"/>
                <w:szCs w:val="21"/>
              </w:rPr>
              <w:t>2台</w:t>
            </w:r>
          </w:p>
        </w:tc>
        <w:tc>
          <w:tcPr>
            <w:tcW w:w="2431" w:type="pct"/>
            <w:tcBorders>
              <w:top w:val="single" w:color="auto" w:sz="4" w:space="0"/>
              <w:left w:val="single" w:color="auto" w:sz="4" w:space="0"/>
              <w:bottom w:val="single" w:color="auto" w:sz="4" w:space="0"/>
              <w:right w:val="single" w:color="auto" w:sz="4" w:space="0"/>
            </w:tcBorders>
            <w:noWrap w:val="0"/>
            <w:vAlign w:val="center"/>
          </w:tcPr>
          <w:p w14:paraId="484447FA">
            <w:pPr>
              <w:widowControl/>
              <w:spacing w:line="360" w:lineRule="exact"/>
              <w:textAlignment w:val="top"/>
              <w:rPr>
                <w:rFonts w:hint="eastAsia" w:ascii="宋体" w:hAnsi="宋体"/>
                <w:szCs w:val="21"/>
              </w:rPr>
            </w:pPr>
            <w:r>
              <w:rPr>
                <w:rFonts w:hint="eastAsia" w:ascii="宋体" w:hAnsi="宋体"/>
                <w:szCs w:val="21"/>
              </w:rPr>
              <w:t>一、主要技术参数</w:t>
            </w:r>
          </w:p>
          <w:p w14:paraId="61BD8B59">
            <w:pPr>
              <w:widowControl/>
              <w:spacing w:line="360" w:lineRule="exact"/>
              <w:textAlignment w:val="top"/>
              <w:rPr>
                <w:rFonts w:hint="eastAsia" w:ascii="宋体" w:hAnsi="宋体"/>
                <w:szCs w:val="21"/>
              </w:rPr>
            </w:pPr>
            <w:r>
              <w:rPr>
                <w:rFonts w:hint="eastAsia" w:ascii="宋体" w:hAnsi="宋体"/>
                <w:szCs w:val="21"/>
              </w:rPr>
              <w:t xml:space="preserve">▲1.额定起升能力：5000Kg；                                                           </w:t>
            </w:r>
          </w:p>
          <w:p w14:paraId="5DD9886E">
            <w:pPr>
              <w:widowControl/>
              <w:spacing w:line="360" w:lineRule="exact"/>
              <w:textAlignment w:val="top"/>
              <w:rPr>
                <w:rFonts w:hint="eastAsia" w:ascii="宋体" w:hAnsi="宋体"/>
                <w:szCs w:val="21"/>
              </w:rPr>
            </w:pPr>
            <w:r>
              <w:rPr>
                <w:rFonts w:hint="eastAsia" w:ascii="宋体" w:hAnsi="宋体"/>
                <w:szCs w:val="21"/>
              </w:rPr>
              <w:t>▲2.最大起升高度6000mm（三级全自由提升门架）；</w:t>
            </w:r>
          </w:p>
          <w:p w14:paraId="4D839D5B">
            <w:pPr>
              <w:widowControl/>
              <w:spacing w:line="360" w:lineRule="exact"/>
              <w:textAlignment w:val="top"/>
              <w:rPr>
                <w:rFonts w:hint="eastAsia" w:ascii="宋体" w:hAnsi="宋体"/>
                <w:szCs w:val="21"/>
              </w:rPr>
            </w:pPr>
            <w:r>
              <w:rPr>
                <w:rFonts w:hint="eastAsia" w:ascii="宋体" w:hAnsi="宋体"/>
                <w:szCs w:val="21"/>
              </w:rPr>
              <w:t xml:space="preserve">▲3.载荷中心距：600mm ；                                                              </w:t>
            </w:r>
          </w:p>
          <w:p w14:paraId="0452F949">
            <w:pPr>
              <w:widowControl/>
              <w:spacing w:line="360" w:lineRule="exact"/>
              <w:textAlignment w:val="top"/>
              <w:rPr>
                <w:rFonts w:hint="eastAsia" w:ascii="宋体" w:hAnsi="宋体"/>
                <w:szCs w:val="21"/>
              </w:rPr>
            </w:pPr>
            <w:r>
              <w:rPr>
                <w:rFonts w:hint="eastAsia" w:ascii="宋体" w:hAnsi="宋体"/>
                <w:szCs w:val="21"/>
              </w:rPr>
              <w:t xml:space="preserve">4.货叉尺寸（长×宽×厚）：≥1520mm×150mm×60mm；                                         </w:t>
            </w:r>
          </w:p>
          <w:p w14:paraId="2227054A">
            <w:pPr>
              <w:tabs>
                <w:tab w:val="left" w:pos="180"/>
                <w:tab w:val="left" w:pos="1620"/>
              </w:tabs>
              <w:spacing w:line="360" w:lineRule="exact"/>
              <w:rPr>
                <w:rFonts w:ascii="宋体" w:hAnsi="宋体"/>
              </w:rPr>
            </w:pPr>
            <w:r>
              <w:rPr>
                <w:rFonts w:hint="eastAsia" w:ascii="宋体" w:hAnsi="宋体"/>
                <w:szCs w:val="21"/>
              </w:rPr>
              <w:t>▲5.发动机功率：≥50kW；</w:t>
            </w:r>
          </w:p>
          <w:p w14:paraId="2649838A">
            <w:pPr>
              <w:tabs>
                <w:tab w:val="left" w:pos="180"/>
                <w:tab w:val="left" w:pos="1620"/>
              </w:tabs>
              <w:spacing w:line="360" w:lineRule="exact"/>
              <w:rPr>
                <w:rFonts w:hint="eastAsia" w:ascii="宋体" w:hAnsi="宋体"/>
              </w:rPr>
            </w:pPr>
            <w:r>
              <w:rPr>
                <w:rFonts w:ascii="宋体" w:hAnsi="宋体"/>
              </w:rPr>
              <w:t>……</w:t>
            </w:r>
            <w:r>
              <w:rPr>
                <w:rFonts w:hint="eastAsia" w:ascii="宋体" w:hAnsi="宋体"/>
              </w:rPr>
              <w:t>具体详见招标文件第二章</w:t>
            </w:r>
            <w:r>
              <w:rPr>
                <w:rFonts w:hint="eastAsia" w:ascii="宋体" w:hAnsi="宋体"/>
                <w:lang w:val="en-US" w:eastAsia="zh-CN"/>
              </w:rPr>
              <w:t xml:space="preserve"> 采购需求</w:t>
            </w:r>
            <w:r>
              <w:rPr>
                <w:rFonts w:hint="eastAsia" w:ascii="宋体" w:hAnsi="宋体"/>
              </w:rPr>
              <w:t>。</w:t>
            </w:r>
          </w:p>
        </w:tc>
        <w:tc>
          <w:tcPr>
            <w:tcW w:w="1025" w:type="pct"/>
            <w:tcBorders>
              <w:top w:val="single" w:color="auto" w:sz="4" w:space="0"/>
              <w:left w:val="single" w:color="auto" w:sz="4" w:space="0"/>
              <w:bottom w:val="single" w:color="auto" w:sz="4" w:space="0"/>
              <w:right w:val="single" w:color="auto" w:sz="4" w:space="0"/>
            </w:tcBorders>
            <w:noWrap w:val="0"/>
            <w:vAlign w:val="center"/>
          </w:tcPr>
          <w:p w14:paraId="2BA5FA6E">
            <w:pPr>
              <w:tabs>
                <w:tab w:val="left" w:pos="180"/>
                <w:tab w:val="left" w:pos="1620"/>
              </w:tabs>
              <w:spacing w:line="360" w:lineRule="exact"/>
              <w:jc w:val="center"/>
              <w:rPr>
                <w:rFonts w:ascii="宋体" w:hAnsi="宋体"/>
              </w:rPr>
            </w:pPr>
            <w:r>
              <w:rPr>
                <w:rFonts w:hint="eastAsia" w:ascii="宋体" w:hAnsi="宋体"/>
                <w:color w:val="000000"/>
                <w:szCs w:val="21"/>
              </w:rPr>
              <w:t>37.40</w:t>
            </w:r>
          </w:p>
        </w:tc>
      </w:tr>
      <w:tr w14:paraId="4B0B113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5000" w:type="pct"/>
            <w:gridSpan w:val="5"/>
            <w:tcBorders>
              <w:top w:val="single" w:color="auto" w:sz="4" w:space="0"/>
              <w:left w:val="single" w:color="auto" w:sz="4" w:space="0"/>
              <w:bottom w:val="single" w:color="auto" w:sz="4" w:space="0"/>
              <w:right w:val="single" w:color="auto" w:sz="4" w:space="0"/>
            </w:tcBorders>
            <w:noWrap w:val="0"/>
            <w:vAlign w:val="center"/>
          </w:tcPr>
          <w:p w14:paraId="047FD6B8">
            <w:pPr>
              <w:tabs>
                <w:tab w:val="left" w:pos="180"/>
                <w:tab w:val="left" w:pos="1620"/>
              </w:tabs>
              <w:spacing w:line="360" w:lineRule="exact"/>
              <w:rPr>
                <w:rFonts w:hint="eastAsia" w:ascii="宋体" w:hAnsi="宋体"/>
                <w:color w:val="000000"/>
                <w:szCs w:val="21"/>
              </w:rPr>
            </w:pPr>
            <w:r>
              <w:rPr>
                <w:rFonts w:hint="eastAsia" w:ascii="宋体" w:hAnsi="宋体"/>
                <w:szCs w:val="21"/>
              </w:rPr>
              <w:t>交货时间：自合同签订之日起90日内交付。</w:t>
            </w:r>
          </w:p>
        </w:tc>
      </w:tr>
    </w:tbl>
    <w:p w14:paraId="57685811">
      <w:pPr>
        <w:spacing w:line="360" w:lineRule="auto"/>
        <w:ind w:firstLine="420" w:firstLineChars="200"/>
        <w:rPr>
          <w:rFonts w:hint="eastAsia" w:ascii="宋体" w:hAnsi="宋体"/>
          <w:szCs w:val="21"/>
        </w:rPr>
      </w:pPr>
    </w:p>
    <w:p w14:paraId="1B7D67F1">
      <w:pPr>
        <w:spacing w:line="360" w:lineRule="auto"/>
        <w:ind w:firstLine="420" w:firstLineChars="200"/>
        <w:rPr>
          <w:rFonts w:hint="eastAsia" w:ascii="宋体" w:hAnsi="宋体"/>
          <w:szCs w:val="21"/>
        </w:rPr>
      </w:pPr>
    </w:p>
    <w:tbl>
      <w:tblPr>
        <w:tblStyle w:val="50"/>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426"/>
        <w:gridCol w:w="1055"/>
        <w:gridCol w:w="1138"/>
        <w:gridCol w:w="4706"/>
        <w:gridCol w:w="1621"/>
      </w:tblGrid>
      <w:tr w14:paraId="2768B2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2" w:hRule="atLeast"/>
        </w:trPr>
        <w:tc>
          <w:tcPr>
            <w:tcW w:w="5000" w:type="pct"/>
            <w:gridSpan w:val="5"/>
            <w:tcBorders>
              <w:top w:val="single" w:color="auto" w:sz="4" w:space="0"/>
              <w:left w:val="single" w:color="auto" w:sz="4" w:space="0"/>
              <w:bottom w:val="single" w:color="auto" w:sz="4" w:space="0"/>
              <w:right w:val="single" w:color="auto" w:sz="4" w:space="0"/>
            </w:tcBorders>
            <w:noWrap w:val="0"/>
            <w:vAlign w:val="center"/>
          </w:tcPr>
          <w:p w14:paraId="39288EB9">
            <w:pPr>
              <w:spacing w:line="360" w:lineRule="exact"/>
              <w:rPr>
                <w:rFonts w:hint="eastAsia" w:ascii="宋体" w:hAnsi="宋体"/>
              </w:rPr>
            </w:pPr>
            <w:r>
              <w:rPr>
                <w:rFonts w:hint="eastAsia" w:ascii="宋体" w:hAnsi="宋体"/>
              </w:rPr>
              <w:t>分标5；预算金额：</w:t>
            </w:r>
            <w:r>
              <w:rPr>
                <w:rFonts w:hint="eastAsia" w:ascii="宋体" w:hAnsi="宋体"/>
                <w:u w:val="single"/>
              </w:rPr>
              <w:t>342.88万元</w:t>
            </w:r>
          </w:p>
        </w:tc>
      </w:tr>
      <w:tr w14:paraId="6A0CC6F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38" w:type="pct"/>
            <w:tcBorders>
              <w:top w:val="single" w:color="auto" w:sz="4" w:space="0"/>
              <w:left w:val="single" w:color="auto" w:sz="4" w:space="0"/>
              <w:bottom w:val="single" w:color="auto" w:sz="4" w:space="0"/>
              <w:right w:val="single" w:color="auto" w:sz="4" w:space="0"/>
            </w:tcBorders>
            <w:noWrap w:val="0"/>
            <w:vAlign w:val="center"/>
          </w:tcPr>
          <w:p w14:paraId="498FE097">
            <w:pPr>
              <w:widowControl/>
              <w:adjustRightInd w:val="0"/>
              <w:snapToGrid w:val="0"/>
              <w:spacing w:line="360" w:lineRule="exact"/>
              <w:jc w:val="center"/>
              <w:textAlignment w:val="top"/>
              <w:rPr>
                <w:rFonts w:ascii="宋体" w:hAnsi="宋体" w:cs="仿宋"/>
                <w:szCs w:val="21"/>
              </w:rPr>
            </w:pPr>
            <w:r>
              <w:rPr>
                <w:rFonts w:hint="eastAsia" w:ascii="宋体" w:hAnsi="宋体" w:cs="仿宋"/>
                <w:szCs w:val="21"/>
              </w:rPr>
              <w:t>序号</w:t>
            </w:r>
          </w:p>
        </w:tc>
        <w:tc>
          <w:tcPr>
            <w:tcW w:w="590" w:type="pct"/>
            <w:tcBorders>
              <w:top w:val="single" w:color="auto" w:sz="4" w:space="0"/>
              <w:left w:val="single" w:color="auto" w:sz="4" w:space="0"/>
              <w:bottom w:val="single" w:color="auto" w:sz="4" w:space="0"/>
              <w:right w:val="single" w:color="auto" w:sz="4" w:space="0"/>
            </w:tcBorders>
            <w:noWrap w:val="0"/>
            <w:vAlign w:val="center"/>
          </w:tcPr>
          <w:p w14:paraId="7AAEE1FE">
            <w:pPr>
              <w:widowControl/>
              <w:adjustRightInd w:val="0"/>
              <w:snapToGrid w:val="0"/>
              <w:spacing w:line="360" w:lineRule="exact"/>
              <w:jc w:val="center"/>
              <w:textAlignment w:val="top"/>
              <w:rPr>
                <w:rFonts w:ascii="宋体" w:hAnsi="宋体" w:cs="仿宋"/>
                <w:szCs w:val="21"/>
              </w:rPr>
            </w:pPr>
            <w:r>
              <w:rPr>
                <w:rFonts w:hint="eastAsia" w:ascii="宋体" w:hAnsi="宋体" w:cs="仿宋"/>
                <w:szCs w:val="21"/>
              </w:rPr>
              <w:t>标的名称</w:t>
            </w:r>
          </w:p>
        </w:tc>
        <w:tc>
          <w:tcPr>
            <w:tcW w:w="636" w:type="pct"/>
            <w:tcBorders>
              <w:top w:val="single" w:color="auto" w:sz="4" w:space="0"/>
              <w:left w:val="single" w:color="auto" w:sz="4" w:space="0"/>
              <w:bottom w:val="single" w:color="auto" w:sz="4" w:space="0"/>
              <w:right w:val="single" w:color="auto" w:sz="4" w:space="0"/>
            </w:tcBorders>
            <w:noWrap w:val="0"/>
            <w:vAlign w:val="center"/>
          </w:tcPr>
          <w:p w14:paraId="18AE5359">
            <w:pPr>
              <w:widowControl/>
              <w:adjustRightInd w:val="0"/>
              <w:snapToGrid w:val="0"/>
              <w:spacing w:line="360" w:lineRule="exact"/>
              <w:jc w:val="center"/>
              <w:textAlignment w:val="top"/>
              <w:rPr>
                <w:rFonts w:ascii="宋体" w:hAnsi="宋体" w:cs="仿宋"/>
                <w:szCs w:val="21"/>
              </w:rPr>
            </w:pPr>
            <w:r>
              <w:rPr>
                <w:rFonts w:hint="eastAsia" w:ascii="宋体" w:hAnsi="宋体" w:cs="仿宋"/>
                <w:szCs w:val="21"/>
              </w:rPr>
              <w:t>数量及单位</w:t>
            </w:r>
          </w:p>
        </w:tc>
        <w:tc>
          <w:tcPr>
            <w:tcW w:w="2630" w:type="pct"/>
            <w:tcBorders>
              <w:top w:val="single" w:color="auto" w:sz="4" w:space="0"/>
              <w:left w:val="single" w:color="auto" w:sz="4" w:space="0"/>
              <w:bottom w:val="single" w:color="auto" w:sz="4" w:space="0"/>
              <w:right w:val="single" w:color="auto" w:sz="4" w:space="0"/>
            </w:tcBorders>
            <w:noWrap w:val="0"/>
            <w:vAlign w:val="center"/>
          </w:tcPr>
          <w:p w14:paraId="6EC14299">
            <w:pPr>
              <w:widowControl/>
              <w:adjustRightInd w:val="0"/>
              <w:snapToGrid w:val="0"/>
              <w:spacing w:line="360" w:lineRule="exact"/>
              <w:jc w:val="center"/>
              <w:textAlignment w:val="top"/>
              <w:rPr>
                <w:rFonts w:hint="eastAsia" w:ascii="宋体" w:hAnsi="宋体" w:cs="仿宋"/>
                <w:szCs w:val="21"/>
              </w:rPr>
            </w:pPr>
            <w:r>
              <w:rPr>
                <w:rFonts w:hint="eastAsia" w:ascii="宋体" w:hAnsi="宋体" w:cs="仿宋"/>
                <w:szCs w:val="21"/>
              </w:rPr>
              <w:t>简要技术需求或者服务要求</w:t>
            </w:r>
          </w:p>
        </w:tc>
        <w:tc>
          <w:tcPr>
            <w:tcW w:w="904" w:type="pct"/>
            <w:tcBorders>
              <w:top w:val="single" w:color="auto" w:sz="4" w:space="0"/>
              <w:left w:val="single" w:color="auto" w:sz="4" w:space="0"/>
              <w:bottom w:val="single" w:color="auto" w:sz="4" w:space="0"/>
              <w:right w:val="single" w:color="auto" w:sz="4" w:space="0"/>
            </w:tcBorders>
            <w:noWrap w:val="0"/>
            <w:vAlign w:val="center"/>
          </w:tcPr>
          <w:p w14:paraId="3F395C41">
            <w:pPr>
              <w:widowControl/>
              <w:adjustRightInd w:val="0"/>
              <w:snapToGrid w:val="0"/>
              <w:spacing w:line="360" w:lineRule="exact"/>
              <w:jc w:val="center"/>
              <w:textAlignment w:val="top"/>
              <w:rPr>
                <w:rFonts w:hint="eastAsia" w:ascii="宋体" w:hAnsi="宋体" w:cs="仿宋"/>
                <w:szCs w:val="21"/>
              </w:rPr>
            </w:pPr>
            <w:r>
              <w:rPr>
                <w:rFonts w:hint="eastAsia" w:ascii="宋体" w:hAnsi="宋体"/>
                <w:b w:val="0"/>
                <w:bCs/>
                <w:szCs w:val="21"/>
              </w:rPr>
              <w:t>单价控制价（万元）</w:t>
            </w:r>
          </w:p>
        </w:tc>
      </w:tr>
      <w:tr w14:paraId="58D08E7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38" w:type="pct"/>
            <w:tcBorders>
              <w:top w:val="single" w:color="auto" w:sz="4" w:space="0"/>
              <w:left w:val="single" w:color="auto" w:sz="4" w:space="0"/>
              <w:bottom w:val="single" w:color="auto" w:sz="4" w:space="0"/>
              <w:right w:val="single" w:color="auto" w:sz="4" w:space="0"/>
            </w:tcBorders>
            <w:noWrap w:val="0"/>
            <w:vAlign w:val="center"/>
          </w:tcPr>
          <w:p w14:paraId="55EA89AC">
            <w:pPr>
              <w:spacing w:line="360" w:lineRule="exact"/>
              <w:jc w:val="center"/>
              <w:rPr>
                <w:rFonts w:ascii="宋体" w:hAnsi="宋体"/>
              </w:rPr>
            </w:pPr>
            <w:r>
              <w:rPr>
                <w:rFonts w:hint="eastAsia" w:ascii="宋体" w:hAnsi="宋体"/>
              </w:rPr>
              <w:t>1</w:t>
            </w:r>
          </w:p>
        </w:tc>
        <w:tc>
          <w:tcPr>
            <w:tcW w:w="590" w:type="pct"/>
            <w:tcBorders>
              <w:top w:val="single" w:color="auto" w:sz="4" w:space="0"/>
              <w:left w:val="single" w:color="auto" w:sz="4" w:space="0"/>
              <w:bottom w:val="single" w:color="auto" w:sz="4" w:space="0"/>
              <w:right w:val="single" w:color="auto" w:sz="4" w:space="0"/>
            </w:tcBorders>
            <w:noWrap w:val="0"/>
            <w:vAlign w:val="center"/>
          </w:tcPr>
          <w:p w14:paraId="23D317AF">
            <w:pPr>
              <w:widowControl/>
              <w:spacing w:line="360" w:lineRule="exact"/>
              <w:jc w:val="center"/>
              <w:textAlignment w:val="center"/>
              <w:rPr>
                <w:rFonts w:ascii="宋体" w:hAnsi="宋体" w:cs="宋体"/>
                <w:szCs w:val="21"/>
              </w:rPr>
            </w:pPr>
            <w:r>
              <w:rPr>
                <w:rFonts w:hint="eastAsia" w:ascii="宋体" w:hAnsi="宋体"/>
                <w:szCs w:val="21"/>
              </w:rPr>
              <w:t>步履式挖掘机</w:t>
            </w:r>
          </w:p>
        </w:tc>
        <w:tc>
          <w:tcPr>
            <w:tcW w:w="636" w:type="pct"/>
            <w:tcBorders>
              <w:top w:val="single" w:color="auto" w:sz="4" w:space="0"/>
              <w:left w:val="single" w:color="auto" w:sz="4" w:space="0"/>
              <w:bottom w:val="single" w:color="auto" w:sz="4" w:space="0"/>
              <w:right w:val="single" w:color="auto" w:sz="4" w:space="0"/>
            </w:tcBorders>
            <w:noWrap w:val="0"/>
            <w:vAlign w:val="center"/>
          </w:tcPr>
          <w:p w14:paraId="63FD10E5">
            <w:pPr>
              <w:widowControl/>
              <w:spacing w:line="360" w:lineRule="exact"/>
              <w:jc w:val="center"/>
              <w:textAlignment w:val="center"/>
              <w:rPr>
                <w:rFonts w:hint="eastAsia" w:ascii="宋体" w:hAnsi="宋体" w:cs="宋体"/>
                <w:szCs w:val="21"/>
              </w:rPr>
            </w:pPr>
            <w:r>
              <w:rPr>
                <w:rFonts w:hint="eastAsia" w:ascii="宋体" w:hAnsi="宋体"/>
                <w:szCs w:val="21"/>
              </w:rPr>
              <w:t>1台</w:t>
            </w:r>
          </w:p>
        </w:tc>
        <w:tc>
          <w:tcPr>
            <w:tcW w:w="2630" w:type="pct"/>
            <w:tcBorders>
              <w:top w:val="single" w:color="auto" w:sz="4" w:space="0"/>
              <w:left w:val="single" w:color="auto" w:sz="4" w:space="0"/>
              <w:bottom w:val="single" w:color="auto" w:sz="4" w:space="0"/>
              <w:right w:val="single" w:color="auto" w:sz="4" w:space="0"/>
            </w:tcBorders>
            <w:noWrap w:val="0"/>
            <w:vAlign w:val="center"/>
          </w:tcPr>
          <w:p w14:paraId="7078156C">
            <w:pPr>
              <w:widowControl/>
              <w:spacing w:line="360" w:lineRule="exact"/>
              <w:textAlignment w:val="top"/>
              <w:rPr>
                <w:rFonts w:hint="eastAsia" w:ascii="宋体" w:hAnsi="宋体"/>
                <w:szCs w:val="21"/>
              </w:rPr>
            </w:pPr>
            <w:r>
              <w:rPr>
                <w:rFonts w:hint="eastAsia" w:ascii="宋体" w:hAnsi="宋体"/>
                <w:szCs w:val="21"/>
              </w:rPr>
              <w:t>1.整机工作质量≥20t；</w:t>
            </w:r>
          </w:p>
          <w:p w14:paraId="366D4B6B">
            <w:pPr>
              <w:widowControl/>
              <w:spacing w:line="360" w:lineRule="exact"/>
              <w:textAlignment w:val="top"/>
              <w:rPr>
                <w:rFonts w:hint="eastAsia" w:ascii="宋体" w:hAnsi="宋体"/>
                <w:szCs w:val="21"/>
              </w:rPr>
            </w:pPr>
            <w:r>
              <w:rPr>
                <w:rFonts w:hint="eastAsia" w:ascii="宋体" w:hAnsi="宋体"/>
                <w:szCs w:val="21"/>
              </w:rPr>
              <w:t>▲2.斗容≥0.8m³；</w:t>
            </w:r>
          </w:p>
          <w:p w14:paraId="3B853A61">
            <w:pPr>
              <w:widowControl/>
              <w:spacing w:line="360" w:lineRule="exact"/>
              <w:textAlignment w:val="top"/>
              <w:rPr>
                <w:rFonts w:hint="eastAsia" w:ascii="宋体" w:hAnsi="宋体"/>
                <w:szCs w:val="21"/>
              </w:rPr>
            </w:pPr>
            <w:r>
              <w:rPr>
                <w:rFonts w:hint="eastAsia" w:ascii="宋体" w:hAnsi="宋体"/>
                <w:szCs w:val="21"/>
              </w:rPr>
              <w:t>▲3.发动机额定功率≥210kW；</w:t>
            </w:r>
          </w:p>
          <w:p w14:paraId="665BE387">
            <w:pPr>
              <w:widowControl/>
              <w:spacing w:line="360" w:lineRule="exact"/>
              <w:textAlignment w:val="top"/>
              <w:rPr>
                <w:rFonts w:hint="eastAsia" w:ascii="宋体" w:hAnsi="宋体"/>
                <w:szCs w:val="21"/>
              </w:rPr>
            </w:pPr>
            <w:r>
              <w:rPr>
                <w:rFonts w:hint="eastAsia" w:ascii="宋体" w:hAnsi="宋体"/>
                <w:szCs w:val="21"/>
              </w:rPr>
              <w:t>4.满足非道路国Ⅳ排放标准及以上；</w:t>
            </w:r>
          </w:p>
          <w:p w14:paraId="7A8A1513">
            <w:pPr>
              <w:widowControl/>
              <w:spacing w:line="360" w:lineRule="exact"/>
              <w:textAlignment w:val="top"/>
              <w:rPr>
                <w:rFonts w:hint="eastAsia" w:ascii="宋体" w:hAnsi="宋体"/>
                <w:szCs w:val="21"/>
              </w:rPr>
            </w:pPr>
            <w:r>
              <w:rPr>
                <w:rFonts w:hint="eastAsia" w:ascii="宋体" w:hAnsi="宋体"/>
                <w:szCs w:val="21"/>
              </w:rPr>
              <w:t>5.行走速度≥15km/h；</w:t>
            </w:r>
          </w:p>
          <w:p w14:paraId="54111C07">
            <w:pPr>
              <w:widowControl/>
              <w:spacing w:line="360" w:lineRule="exact"/>
              <w:textAlignment w:val="top"/>
              <w:rPr>
                <w:rFonts w:hint="eastAsia" w:ascii="宋体" w:hAnsi="宋体"/>
                <w:szCs w:val="21"/>
              </w:rPr>
            </w:pPr>
            <w:r>
              <w:rPr>
                <w:rFonts w:hint="eastAsia" w:ascii="宋体" w:hAnsi="宋体"/>
                <w:szCs w:val="21"/>
              </w:rPr>
              <w:t>6.回转速度≥10rpm；</w:t>
            </w:r>
          </w:p>
          <w:p w14:paraId="1DCAF43C">
            <w:pPr>
              <w:widowControl/>
              <w:spacing w:line="360" w:lineRule="exact"/>
              <w:textAlignment w:val="top"/>
              <w:rPr>
                <w:rFonts w:hint="eastAsia" w:ascii="宋体" w:hAnsi="宋体"/>
                <w:szCs w:val="21"/>
              </w:rPr>
            </w:pPr>
            <w:r>
              <w:rPr>
                <w:rFonts w:hint="eastAsia" w:ascii="宋体" w:hAnsi="宋体"/>
                <w:szCs w:val="21"/>
              </w:rPr>
              <w:t>▲7.最大步履爬坡能力≥45°；</w:t>
            </w:r>
          </w:p>
          <w:p w14:paraId="5746A147">
            <w:pPr>
              <w:widowControl/>
              <w:spacing w:line="360" w:lineRule="exact"/>
              <w:textAlignment w:val="top"/>
              <w:rPr>
                <w:rFonts w:hint="eastAsia" w:ascii="宋体" w:hAnsi="宋体"/>
                <w:szCs w:val="21"/>
              </w:rPr>
            </w:pPr>
            <w:r>
              <w:rPr>
                <w:rFonts w:hint="eastAsia" w:ascii="宋体" w:hAnsi="宋体"/>
                <w:szCs w:val="21"/>
              </w:rPr>
              <w:t>8.最大适用作业坡度≥30°；</w:t>
            </w:r>
          </w:p>
          <w:p w14:paraId="72CA32F7">
            <w:pPr>
              <w:tabs>
                <w:tab w:val="left" w:pos="180"/>
                <w:tab w:val="left" w:pos="1620"/>
              </w:tabs>
              <w:spacing w:line="360" w:lineRule="exact"/>
              <w:rPr>
                <w:rFonts w:ascii="宋体" w:hAnsi="宋体"/>
              </w:rPr>
            </w:pPr>
            <w:r>
              <w:rPr>
                <w:rFonts w:hint="eastAsia" w:ascii="宋体" w:hAnsi="宋体"/>
                <w:szCs w:val="21"/>
              </w:rPr>
              <w:t>9.最大适用作业横向坡度≥30°；</w:t>
            </w:r>
          </w:p>
          <w:p w14:paraId="3FC77FEA">
            <w:pPr>
              <w:tabs>
                <w:tab w:val="left" w:pos="180"/>
                <w:tab w:val="left" w:pos="1620"/>
              </w:tabs>
              <w:spacing w:line="360" w:lineRule="exact"/>
              <w:rPr>
                <w:rFonts w:hint="eastAsia" w:ascii="宋体" w:hAnsi="宋体"/>
              </w:rPr>
            </w:pPr>
            <w:r>
              <w:rPr>
                <w:rFonts w:ascii="宋体" w:hAnsi="宋体"/>
              </w:rPr>
              <w:t>……</w:t>
            </w:r>
            <w:r>
              <w:rPr>
                <w:rFonts w:hint="eastAsia" w:ascii="宋体" w:hAnsi="宋体"/>
              </w:rPr>
              <w:t>具体详见招标文件第二章</w:t>
            </w:r>
            <w:r>
              <w:rPr>
                <w:rFonts w:hint="eastAsia" w:ascii="宋体" w:hAnsi="宋体"/>
                <w:lang w:val="en-US" w:eastAsia="zh-CN"/>
              </w:rPr>
              <w:t xml:space="preserve"> 采购需求</w:t>
            </w:r>
            <w:r>
              <w:rPr>
                <w:rFonts w:hint="eastAsia" w:ascii="宋体" w:hAnsi="宋体"/>
              </w:rPr>
              <w:t>。</w:t>
            </w:r>
          </w:p>
        </w:tc>
        <w:tc>
          <w:tcPr>
            <w:tcW w:w="904" w:type="pct"/>
            <w:tcBorders>
              <w:top w:val="single" w:color="auto" w:sz="4" w:space="0"/>
              <w:left w:val="single" w:color="auto" w:sz="4" w:space="0"/>
              <w:bottom w:val="single" w:color="auto" w:sz="4" w:space="0"/>
              <w:right w:val="single" w:color="auto" w:sz="4" w:space="0"/>
            </w:tcBorders>
            <w:noWrap w:val="0"/>
            <w:vAlign w:val="center"/>
          </w:tcPr>
          <w:p w14:paraId="32D6FB01">
            <w:pPr>
              <w:tabs>
                <w:tab w:val="left" w:pos="180"/>
                <w:tab w:val="left" w:pos="1620"/>
              </w:tabs>
              <w:spacing w:line="360" w:lineRule="exact"/>
              <w:jc w:val="center"/>
              <w:rPr>
                <w:rFonts w:ascii="宋体" w:hAnsi="宋体"/>
              </w:rPr>
            </w:pPr>
            <w:r>
              <w:rPr>
                <w:rFonts w:hint="eastAsia" w:ascii="仿宋" w:hAnsi="仿宋" w:eastAsia="仿宋" w:cs="仿宋"/>
                <w:szCs w:val="21"/>
              </w:rPr>
              <w:t>342.88</w:t>
            </w:r>
          </w:p>
        </w:tc>
      </w:tr>
      <w:tr w14:paraId="6C55EE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5000" w:type="pct"/>
            <w:gridSpan w:val="5"/>
            <w:tcBorders>
              <w:top w:val="single" w:color="auto" w:sz="4" w:space="0"/>
              <w:left w:val="single" w:color="auto" w:sz="4" w:space="0"/>
              <w:bottom w:val="single" w:color="auto" w:sz="4" w:space="0"/>
              <w:right w:val="single" w:color="auto" w:sz="4" w:space="0"/>
            </w:tcBorders>
            <w:noWrap w:val="0"/>
            <w:vAlign w:val="center"/>
          </w:tcPr>
          <w:p w14:paraId="12847A83">
            <w:pPr>
              <w:tabs>
                <w:tab w:val="left" w:pos="180"/>
                <w:tab w:val="left" w:pos="1620"/>
              </w:tabs>
              <w:spacing w:line="360" w:lineRule="exact"/>
              <w:jc w:val="both"/>
              <w:rPr>
                <w:rFonts w:hint="eastAsia" w:ascii="仿宋" w:hAnsi="仿宋" w:eastAsia="仿宋" w:cs="仿宋"/>
                <w:szCs w:val="21"/>
              </w:rPr>
            </w:pPr>
            <w:r>
              <w:rPr>
                <w:rFonts w:hint="eastAsia" w:ascii="宋体" w:hAnsi="宋体"/>
                <w:szCs w:val="21"/>
              </w:rPr>
              <w:t>交货时间：自合同签订之日起90日内交付。</w:t>
            </w:r>
          </w:p>
        </w:tc>
      </w:tr>
    </w:tbl>
    <w:p w14:paraId="559B279A">
      <w:pPr>
        <w:spacing w:line="360" w:lineRule="auto"/>
        <w:ind w:firstLine="422" w:firstLineChars="200"/>
        <w:rPr>
          <w:rFonts w:hint="eastAsia" w:ascii="宋体" w:hAnsi="宋体"/>
          <w:b/>
          <w:szCs w:val="21"/>
          <w:u w:val="single"/>
        </w:rPr>
      </w:pPr>
    </w:p>
    <w:p w14:paraId="6EE52FE9">
      <w:pPr>
        <w:spacing w:line="360" w:lineRule="auto"/>
        <w:ind w:firstLine="422" w:firstLineChars="200"/>
        <w:rPr>
          <w:rFonts w:hint="eastAsia" w:ascii="宋体" w:hAnsi="宋体"/>
          <w:szCs w:val="21"/>
        </w:rPr>
      </w:pPr>
      <w:r>
        <w:rPr>
          <w:rFonts w:hint="eastAsia" w:ascii="宋体" w:hAnsi="宋体"/>
          <w:b/>
          <w:szCs w:val="21"/>
          <w:u w:val="single"/>
        </w:rPr>
        <w:t>本项目不接受联合体投标</w:t>
      </w:r>
      <w:r>
        <w:rPr>
          <w:rFonts w:hint="eastAsia" w:ascii="宋体" w:hAnsi="宋体"/>
          <w:szCs w:val="21"/>
        </w:rPr>
        <w:t>。</w:t>
      </w:r>
    </w:p>
    <w:p w14:paraId="6C1756AD">
      <w:pPr>
        <w:spacing w:line="360" w:lineRule="auto"/>
        <w:rPr>
          <w:rFonts w:ascii="黑体" w:hAnsi="黑体" w:eastAsia="黑体"/>
          <w:b/>
          <w:bCs/>
          <w:sz w:val="24"/>
        </w:rPr>
      </w:pPr>
      <w:bookmarkStart w:id="43" w:name="_Toc35393622"/>
      <w:bookmarkStart w:id="44" w:name="_Toc28359003"/>
      <w:bookmarkStart w:id="45" w:name="_Toc28359080"/>
      <w:bookmarkStart w:id="46" w:name="_Toc35393791"/>
      <w:r>
        <w:rPr>
          <w:rFonts w:hint="eastAsia" w:ascii="黑体" w:hAnsi="黑体" w:eastAsia="黑体"/>
          <w:b/>
          <w:bCs/>
          <w:sz w:val="24"/>
        </w:rPr>
        <w:t>二、申请人的资格要求：</w:t>
      </w:r>
      <w:bookmarkEnd w:id="43"/>
      <w:bookmarkEnd w:id="44"/>
      <w:bookmarkEnd w:id="45"/>
      <w:bookmarkEnd w:id="46"/>
    </w:p>
    <w:p w14:paraId="29C8C6BC">
      <w:pPr>
        <w:spacing w:line="360" w:lineRule="auto"/>
        <w:ind w:firstLine="420" w:firstLineChars="200"/>
        <w:rPr>
          <w:rFonts w:hint="eastAsia" w:ascii="宋体" w:hAnsi="宋体"/>
          <w:szCs w:val="21"/>
        </w:rPr>
      </w:pPr>
      <w:bookmarkStart w:id="47" w:name="_Hlk51746371"/>
      <w:bookmarkStart w:id="48" w:name="_Toc35393623"/>
      <w:bookmarkStart w:id="49" w:name="_Toc35393792"/>
      <w:bookmarkStart w:id="50" w:name="_Toc28359004"/>
      <w:bookmarkStart w:id="51" w:name="_Toc28359081"/>
      <w:r>
        <w:rPr>
          <w:rFonts w:hint="eastAsia" w:ascii="宋体" w:hAnsi="宋体"/>
          <w:szCs w:val="21"/>
        </w:rPr>
        <w:t>1.满足《中华人民共和国政府采购法》第二十二条规定；</w:t>
      </w:r>
    </w:p>
    <w:p w14:paraId="20BABF79">
      <w:pPr>
        <w:spacing w:line="360" w:lineRule="auto"/>
        <w:ind w:firstLine="420" w:firstLineChars="200"/>
        <w:rPr>
          <w:rFonts w:hint="eastAsia" w:ascii="宋体" w:hAnsi="宋体"/>
          <w:szCs w:val="21"/>
        </w:rPr>
      </w:pPr>
      <w:r>
        <w:rPr>
          <w:rFonts w:hint="eastAsia" w:ascii="宋体" w:hAnsi="宋体"/>
          <w:szCs w:val="21"/>
        </w:rPr>
        <w:t>2.落实政府采购政策需满足的资格要求：无；</w:t>
      </w:r>
    </w:p>
    <w:p w14:paraId="7895CB1A">
      <w:pPr>
        <w:spacing w:line="360" w:lineRule="auto"/>
        <w:ind w:firstLine="420" w:firstLineChars="200"/>
        <w:rPr>
          <w:rFonts w:hint="eastAsia" w:ascii="宋体" w:hAnsi="宋体"/>
          <w:szCs w:val="21"/>
        </w:rPr>
      </w:pPr>
      <w:r>
        <w:rPr>
          <w:rFonts w:hint="eastAsia" w:ascii="宋体" w:hAnsi="宋体"/>
          <w:szCs w:val="21"/>
        </w:rPr>
        <w:t>3.本项目的特定资格要求：</w:t>
      </w:r>
    </w:p>
    <w:p w14:paraId="701B180F">
      <w:pPr>
        <w:spacing w:line="360" w:lineRule="auto"/>
        <w:ind w:firstLine="420" w:firstLineChars="200"/>
        <w:rPr>
          <w:rFonts w:hint="eastAsia" w:ascii="宋体" w:hAnsi="宋体"/>
          <w:szCs w:val="21"/>
        </w:rPr>
      </w:pPr>
      <w:r>
        <w:rPr>
          <w:rFonts w:hint="eastAsia" w:ascii="宋体" w:hAnsi="宋体"/>
          <w:szCs w:val="21"/>
        </w:rPr>
        <w:t>（1）单位负责人为同一人或者存在直接控股、管理关系的不同供应商，不得参加本项目同一合同项下的政府采购活动。为本项目提供整体设计、规范编制或者项目管理等服务的供应商，不得再参加本项目的采购活动。</w:t>
      </w:r>
    </w:p>
    <w:bookmarkEnd w:id="47"/>
    <w:p w14:paraId="144BFF9C">
      <w:pPr>
        <w:spacing w:line="360" w:lineRule="auto"/>
        <w:ind w:firstLine="420" w:firstLineChars="200"/>
        <w:rPr>
          <w:rFonts w:hint="eastAsia" w:ascii="宋体" w:hAnsi="宋体"/>
          <w:szCs w:val="21"/>
        </w:rPr>
      </w:pPr>
      <w:r>
        <w:rPr>
          <w:rFonts w:hint="eastAsia" w:ascii="宋体" w:hAnsi="宋体"/>
          <w:szCs w:val="21"/>
        </w:rPr>
        <w:t>（2）不存在不良信用记录（在“信用中国”网站&lt;www.creditchina.gov.cn&gt;、中国政府采购网&lt;www.ccgp.gov.cn&gt;等渠道被列入失信被执行人、重大税收违法失信主体名单、政府采购严重违法失信行为记录名单的供应商拒绝其参与本次采购活动）。</w:t>
      </w:r>
    </w:p>
    <w:p w14:paraId="6CE44E52">
      <w:pPr>
        <w:spacing w:line="360" w:lineRule="auto"/>
        <w:ind w:firstLine="420" w:firstLineChars="200"/>
        <w:rPr>
          <w:rFonts w:hint="eastAsia" w:ascii="宋体" w:hAnsi="宋体"/>
          <w:szCs w:val="21"/>
        </w:rPr>
      </w:pPr>
      <w:r>
        <w:rPr>
          <w:rFonts w:hint="eastAsia" w:ascii="宋体" w:hAnsi="宋体"/>
          <w:szCs w:val="21"/>
        </w:rPr>
        <w:t>（3）本项目不接受联合体投标。</w:t>
      </w:r>
    </w:p>
    <w:p w14:paraId="1E88DB73">
      <w:pPr>
        <w:spacing w:line="360" w:lineRule="auto"/>
        <w:rPr>
          <w:rFonts w:ascii="黑体" w:hAnsi="黑体" w:eastAsia="黑体"/>
          <w:b/>
          <w:bCs/>
          <w:sz w:val="24"/>
        </w:rPr>
      </w:pPr>
      <w:r>
        <w:rPr>
          <w:rFonts w:hint="eastAsia" w:ascii="黑体" w:hAnsi="黑体" w:eastAsia="黑体"/>
          <w:b/>
          <w:bCs/>
          <w:sz w:val="24"/>
        </w:rPr>
        <w:t>三、获取招标文件</w:t>
      </w:r>
      <w:bookmarkEnd w:id="48"/>
      <w:bookmarkEnd w:id="49"/>
      <w:bookmarkEnd w:id="50"/>
      <w:bookmarkEnd w:id="51"/>
    </w:p>
    <w:p w14:paraId="04D77ADC">
      <w:pPr>
        <w:spacing w:line="360" w:lineRule="auto"/>
        <w:ind w:firstLine="540"/>
        <w:rPr>
          <w:rFonts w:hint="eastAsia" w:ascii="宋体" w:hAnsi="宋体" w:cs="宋体"/>
          <w:bCs/>
          <w:kern w:val="0"/>
          <w:szCs w:val="21"/>
        </w:rPr>
      </w:pPr>
      <w:r>
        <w:rPr>
          <w:rFonts w:hint="eastAsia" w:ascii="宋体" w:hAnsi="宋体" w:cs="宋体"/>
          <w:bCs/>
          <w:kern w:val="0"/>
          <w:szCs w:val="21"/>
        </w:rPr>
        <w:t>时间：</w:t>
      </w:r>
      <w:r>
        <w:rPr>
          <w:rFonts w:ascii="宋体" w:hAnsi="宋体" w:cs="宋体"/>
          <w:bCs/>
          <w:kern w:val="0"/>
          <w:szCs w:val="21"/>
          <w:u w:val="single"/>
        </w:rPr>
        <w:t>2026</w:t>
      </w:r>
      <w:r>
        <w:rPr>
          <w:rFonts w:hint="eastAsia" w:ascii="宋体" w:hAnsi="宋体" w:cs="宋体"/>
          <w:bCs/>
          <w:kern w:val="0"/>
          <w:szCs w:val="21"/>
          <w:u w:val="single"/>
        </w:rPr>
        <w:t>年</w:t>
      </w:r>
      <w:r>
        <w:rPr>
          <w:rFonts w:hint="eastAsia" w:ascii="宋体" w:hAnsi="宋体" w:cs="宋体"/>
          <w:bCs/>
          <w:kern w:val="0"/>
          <w:szCs w:val="21"/>
          <w:u w:val="single"/>
          <w:lang w:val="en-US" w:eastAsia="zh-CN"/>
        </w:rPr>
        <w:t>6</w:t>
      </w:r>
      <w:r>
        <w:rPr>
          <w:rFonts w:hint="eastAsia" w:ascii="宋体" w:hAnsi="宋体" w:cs="宋体"/>
          <w:bCs/>
          <w:kern w:val="0"/>
          <w:szCs w:val="21"/>
          <w:u w:val="single"/>
        </w:rPr>
        <w:t>月</w:t>
      </w:r>
      <w:r>
        <w:rPr>
          <w:rFonts w:hint="eastAsia" w:ascii="宋体" w:hAnsi="宋体" w:cs="宋体"/>
          <w:bCs/>
          <w:kern w:val="0"/>
          <w:szCs w:val="21"/>
          <w:u w:val="single"/>
          <w:lang w:val="en-US" w:eastAsia="zh-CN"/>
        </w:rPr>
        <w:t>29</w:t>
      </w:r>
      <w:r>
        <w:rPr>
          <w:rFonts w:hint="eastAsia" w:ascii="宋体" w:hAnsi="宋体" w:cs="宋体"/>
          <w:bCs/>
          <w:kern w:val="0"/>
          <w:szCs w:val="21"/>
          <w:u w:val="single"/>
        </w:rPr>
        <w:t>日</w:t>
      </w:r>
      <w:r>
        <w:rPr>
          <w:rFonts w:hint="eastAsia" w:ascii="宋体" w:hAnsi="宋体" w:cs="宋体"/>
          <w:bCs/>
          <w:kern w:val="0"/>
          <w:szCs w:val="21"/>
        </w:rPr>
        <w:t>至</w:t>
      </w:r>
      <w:r>
        <w:rPr>
          <w:rFonts w:ascii="宋体" w:hAnsi="宋体" w:cs="宋体"/>
          <w:bCs/>
          <w:kern w:val="0"/>
          <w:szCs w:val="21"/>
          <w:u w:val="single"/>
        </w:rPr>
        <w:t>2026</w:t>
      </w:r>
      <w:r>
        <w:rPr>
          <w:rFonts w:hint="eastAsia" w:ascii="宋体" w:hAnsi="宋体" w:cs="宋体"/>
          <w:bCs/>
          <w:kern w:val="0"/>
          <w:szCs w:val="21"/>
          <w:u w:val="single"/>
        </w:rPr>
        <w:t>年</w:t>
      </w:r>
      <w:r>
        <w:rPr>
          <w:rFonts w:hint="eastAsia" w:ascii="宋体" w:hAnsi="宋体" w:cs="宋体"/>
          <w:bCs/>
          <w:kern w:val="0"/>
          <w:szCs w:val="21"/>
          <w:u w:val="single"/>
          <w:lang w:val="en-US" w:eastAsia="zh-CN"/>
        </w:rPr>
        <w:t>7</w:t>
      </w:r>
      <w:r>
        <w:rPr>
          <w:rFonts w:hint="eastAsia" w:ascii="宋体" w:hAnsi="宋体" w:cs="宋体"/>
          <w:bCs/>
          <w:kern w:val="0"/>
          <w:szCs w:val="21"/>
          <w:u w:val="single"/>
        </w:rPr>
        <w:t>月</w:t>
      </w:r>
      <w:r>
        <w:rPr>
          <w:rFonts w:hint="eastAsia" w:ascii="宋体" w:hAnsi="宋体" w:cs="宋体"/>
          <w:bCs/>
          <w:kern w:val="0"/>
          <w:szCs w:val="21"/>
          <w:u w:val="single"/>
          <w:lang w:val="en-US" w:eastAsia="zh-CN"/>
        </w:rPr>
        <w:t>6</w:t>
      </w:r>
      <w:r>
        <w:rPr>
          <w:rFonts w:hint="eastAsia" w:ascii="宋体" w:hAnsi="宋体" w:cs="宋体"/>
          <w:bCs/>
          <w:kern w:val="0"/>
          <w:szCs w:val="21"/>
          <w:u w:val="single"/>
        </w:rPr>
        <w:t>日</w:t>
      </w:r>
      <w:r>
        <w:rPr>
          <w:rFonts w:hint="eastAsia" w:ascii="宋体" w:hAnsi="宋体" w:cs="宋体"/>
          <w:bCs/>
          <w:kern w:val="0"/>
          <w:szCs w:val="21"/>
        </w:rPr>
        <w:t>，每天</w:t>
      </w:r>
      <w:r>
        <w:rPr>
          <w:rFonts w:hint="eastAsia" w:ascii="宋体" w:hAnsi="宋体" w:cs="宋体"/>
          <w:bCs/>
          <w:kern w:val="0"/>
          <w:szCs w:val="21"/>
          <w:u w:val="single"/>
        </w:rPr>
        <w:t>0:00至23:59</w:t>
      </w:r>
      <w:r>
        <w:rPr>
          <w:rFonts w:hint="eastAsia" w:ascii="宋体" w:hAnsi="宋体" w:cs="宋体"/>
          <w:bCs/>
          <w:kern w:val="0"/>
          <w:szCs w:val="21"/>
        </w:rPr>
        <w:t>（北京时间）</w:t>
      </w:r>
    </w:p>
    <w:p w14:paraId="222F58EE">
      <w:pPr>
        <w:spacing w:line="360" w:lineRule="auto"/>
        <w:ind w:firstLine="540"/>
        <w:rPr>
          <w:rFonts w:hint="eastAsia" w:ascii="宋体" w:hAnsi="宋体" w:cs="宋体"/>
          <w:bCs/>
          <w:kern w:val="0"/>
          <w:szCs w:val="21"/>
        </w:rPr>
      </w:pPr>
      <w:r>
        <w:rPr>
          <w:rFonts w:hint="eastAsia" w:ascii="宋体" w:hAnsi="宋体" w:cs="宋体"/>
          <w:bCs/>
          <w:kern w:val="0"/>
          <w:szCs w:val="21"/>
        </w:rPr>
        <w:t>地点：广西政府采购云平台（https://www.gcy.zfcg.gxzf.gov.cn/）</w:t>
      </w:r>
    </w:p>
    <w:p w14:paraId="7ED41076">
      <w:pPr>
        <w:spacing w:line="360" w:lineRule="auto"/>
        <w:ind w:firstLine="540"/>
        <w:rPr>
          <w:rFonts w:hint="eastAsia" w:ascii="宋体" w:hAnsi="宋体" w:cs="宋体"/>
          <w:bCs/>
          <w:kern w:val="0"/>
          <w:szCs w:val="21"/>
        </w:rPr>
      </w:pPr>
      <w:r>
        <w:rPr>
          <w:rFonts w:hint="eastAsia" w:ascii="宋体" w:hAnsi="宋体" w:cs="宋体"/>
          <w:bCs/>
          <w:kern w:val="0"/>
          <w:szCs w:val="21"/>
        </w:rPr>
        <w:t>方式：网上下载。本项目不提供纸质文件，潜在供应商需使用账号登录或者使用CA登录广西政府采购云平台（https://www.gcy.zfcg.gxzf.gov.cn/）-进入“项目采购”应用，在获取采购文件菜单中选择项目，并按系统操作获取招标文件（或在“广西政府采购云平台电子投标客户端-获取采购文件”跳转到</w:t>
      </w:r>
      <w:r>
        <w:rPr>
          <w:rFonts w:hint="eastAsia" w:ascii="宋体" w:hAnsi="宋体"/>
          <w:szCs w:val="21"/>
        </w:rPr>
        <w:t>广西政府采购云平台</w:t>
      </w:r>
      <w:r>
        <w:rPr>
          <w:rFonts w:hint="eastAsia" w:ascii="宋体" w:hAnsi="宋体" w:cs="宋体"/>
          <w:bCs/>
          <w:kern w:val="0"/>
          <w:szCs w:val="21"/>
        </w:rPr>
        <w:t>系统获取）。</w:t>
      </w:r>
      <w:r>
        <w:rPr>
          <w:rFonts w:hint="eastAsia" w:ascii="宋体" w:hAnsi="宋体"/>
          <w:szCs w:val="21"/>
        </w:rPr>
        <w:t>电子投标文件制作需要基于广西政府采购云平台获取的招标文件编制，</w:t>
      </w:r>
      <w:r>
        <w:rPr>
          <w:rFonts w:hint="eastAsia" w:ascii="宋体" w:hAnsi="宋体" w:cs="宋体"/>
          <w:bCs/>
          <w:kern w:val="0"/>
          <w:szCs w:val="21"/>
        </w:rPr>
        <w:t>通过其他方式获取招标文件的，将有可能导致供应商无法在</w:t>
      </w:r>
      <w:r>
        <w:rPr>
          <w:rFonts w:hint="eastAsia" w:ascii="宋体" w:hAnsi="宋体"/>
          <w:szCs w:val="21"/>
        </w:rPr>
        <w:t>广西政府采购云平台</w:t>
      </w:r>
      <w:r>
        <w:rPr>
          <w:rFonts w:hint="eastAsia" w:ascii="宋体" w:hAnsi="宋体" w:cs="宋体"/>
          <w:bCs/>
          <w:kern w:val="0"/>
          <w:szCs w:val="21"/>
        </w:rPr>
        <w:t>编制及上传投标文件。</w:t>
      </w:r>
    </w:p>
    <w:p w14:paraId="3DF4787F">
      <w:pPr>
        <w:spacing w:line="360" w:lineRule="auto"/>
        <w:ind w:firstLine="420" w:firstLineChars="200"/>
        <w:rPr>
          <w:rFonts w:ascii="宋体" w:hAnsi="宋体" w:cs="宋体"/>
          <w:szCs w:val="21"/>
        </w:rPr>
      </w:pPr>
      <w:r>
        <w:rPr>
          <w:rFonts w:hint="eastAsia" w:ascii="宋体" w:hAnsi="宋体" w:cs="宋体"/>
          <w:bCs/>
          <w:kern w:val="0"/>
          <w:szCs w:val="21"/>
        </w:rPr>
        <w:t>售价：</w:t>
      </w:r>
      <w:r>
        <w:rPr>
          <w:rFonts w:hint="eastAsia" w:ascii="宋体" w:hAnsi="宋体" w:cs="宋体"/>
          <w:szCs w:val="21"/>
          <w:u w:val="single"/>
        </w:rPr>
        <w:t>0</w:t>
      </w:r>
      <w:r>
        <w:rPr>
          <w:rFonts w:hint="eastAsia" w:ascii="宋体" w:hAnsi="宋体" w:cs="宋体"/>
          <w:szCs w:val="21"/>
        </w:rPr>
        <w:t>元。</w:t>
      </w:r>
    </w:p>
    <w:p w14:paraId="0DF608E8">
      <w:pPr>
        <w:spacing w:line="360" w:lineRule="auto"/>
        <w:rPr>
          <w:rFonts w:ascii="黑体" w:hAnsi="黑体" w:eastAsia="黑体"/>
          <w:b/>
          <w:bCs/>
          <w:sz w:val="24"/>
        </w:rPr>
      </w:pPr>
      <w:bookmarkStart w:id="52" w:name="_Toc28359082"/>
      <w:bookmarkStart w:id="53" w:name="_Toc28359005"/>
      <w:bookmarkStart w:id="54" w:name="_Toc35393793"/>
      <w:bookmarkStart w:id="55" w:name="_Toc35393624"/>
      <w:r>
        <w:rPr>
          <w:rFonts w:hint="eastAsia" w:ascii="黑体" w:hAnsi="黑体" w:eastAsia="黑体"/>
          <w:b/>
          <w:bCs/>
          <w:sz w:val="24"/>
        </w:rPr>
        <w:t>四、提交投标文件</w:t>
      </w:r>
      <w:bookmarkEnd w:id="52"/>
      <w:bookmarkEnd w:id="53"/>
      <w:r>
        <w:rPr>
          <w:rFonts w:hint="eastAsia" w:ascii="黑体" w:hAnsi="黑体" w:eastAsia="黑体"/>
          <w:b/>
          <w:bCs/>
          <w:sz w:val="24"/>
        </w:rPr>
        <w:t>截止时间、开标时间和地点</w:t>
      </w:r>
      <w:bookmarkEnd w:id="54"/>
      <w:bookmarkEnd w:id="55"/>
    </w:p>
    <w:p w14:paraId="3AD91796">
      <w:pPr>
        <w:spacing w:line="360" w:lineRule="auto"/>
        <w:ind w:firstLine="420" w:firstLineChars="200"/>
        <w:rPr>
          <w:rFonts w:ascii="宋体" w:hAnsi="宋体" w:cs="宋体"/>
          <w:szCs w:val="21"/>
          <w:u w:val="single"/>
        </w:rPr>
      </w:pPr>
      <w:bookmarkStart w:id="56" w:name="_Toc35393625"/>
      <w:bookmarkStart w:id="57" w:name="_Toc28359084"/>
      <w:bookmarkStart w:id="58" w:name="_Toc28359007"/>
      <w:bookmarkStart w:id="59" w:name="_Toc35393794"/>
      <w:r>
        <w:rPr>
          <w:rFonts w:ascii="宋体" w:hAnsi="宋体"/>
          <w:bCs/>
          <w:szCs w:val="21"/>
          <w:u w:val="single"/>
        </w:rPr>
        <w:t>2026</w:t>
      </w:r>
      <w:r>
        <w:rPr>
          <w:rFonts w:hint="eastAsia" w:ascii="宋体" w:hAnsi="宋体"/>
          <w:bCs/>
          <w:szCs w:val="21"/>
          <w:u w:val="single"/>
        </w:rPr>
        <w:t>年</w:t>
      </w:r>
      <w:r>
        <w:rPr>
          <w:rFonts w:hint="eastAsia" w:ascii="宋体" w:hAnsi="宋体"/>
          <w:bCs/>
          <w:szCs w:val="21"/>
          <w:u w:val="single"/>
          <w:lang w:val="en-US" w:eastAsia="zh-CN"/>
        </w:rPr>
        <w:t>7</w:t>
      </w:r>
      <w:r>
        <w:rPr>
          <w:rFonts w:hint="eastAsia" w:ascii="宋体" w:hAnsi="宋体"/>
          <w:bCs/>
          <w:szCs w:val="21"/>
          <w:u w:val="single"/>
        </w:rPr>
        <w:t>月</w:t>
      </w:r>
      <w:r>
        <w:rPr>
          <w:rFonts w:hint="eastAsia" w:ascii="宋体" w:hAnsi="宋体"/>
          <w:bCs/>
          <w:szCs w:val="21"/>
          <w:u w:val="single"/>
          <w:lang w:val="en-US" w:eastAsia="zh-CN"/>
        </w:rPr>
        <w:t>22</w:t>
      </w:r>
      <w:r>
        <w:rPr>
          <w:rFonts w:hint="eastAsia" w:ascii="宋体" w:hAnsi="宋体"/>
          <w:bCs/>
          <w:szCs w:val="21"/>
          <w:u w:val="single"/>
        </w:rPr>
        <w:t>日上午9时30分</w:t>
      </w:r>
      <w:r>
        <w:rPr>
          <w:rFonts w:hint="eastAsia" w:ascii="宋体" w:hAnsi="宋体"/>
          <w:bCs/>
          <w:szCs w:val="21"/>
        </w:rPr>
        <w:t>（北京时间）</w:t>
      </w:r>
    </w:p>
    <w:p w14:paraId="2E2F6322">
      <w:pPr>
        <w:spacing w:line="360" w:lineRule="auto"/>
        <w:ind w:firstLine="420" w:firstLineChars="200"/>
        <w:rPr>
          <w:rFonts w:hint="eastAsia" w:ascii="宋体" w:hAnsi="宋体"/>
          <w:szCs w:val="21"/>
        </w:rPr>
      </w:pPr>
      <w:r>
        <w:rPr>
          <w:rFonts w:hint="eastAsia" w:ascii="宋体" w:hAnsi="宋体"/>
          <w:szCs w:val="21"/>
        </w:rPr>
        <w:t>投标地点：广西政府采购云平台（https://www.gcy.zfcg.gxzf.gov.cn/）</w:t>
      </w:r>
    </w:p>
    <w:p w14:paraId="16DDCDED">
      <w:pPr>
        <w:spacing w:line="360" w:lineRule="auto"/>
        <w:ind w:firstLine="420" w:firstLineChars="200"/>
        <w:rPr>
          <w:rFonts w:hint="eastAsia" w:ascii="宋体" w:hAnsi="宋体"/>
          <w:szCs w:val="21"/>
        </w:rPr>
      </w:pPr>
      <w:r>
        <w:rPr>
          <w:rFonts w:hint="eastAsia" w:ascii="宋体" w:hAnsi="宋体"/>
          <w:szCs w:val="21"/>
        </w:rPr>
        <w:t>开标地点：广西政府采购云平台电子开标大厅</w:t>
      </w:r>
    </w:p>
    <w:p w14:paraId="506FAD4A">
      <w:pPr>
        <w:spacing w:line="360" w:lineRule="auto"/>
        <w:rPr>
          <w:rFonts w:ascii="黑体" w:hAnsi="黑体" w:eastAsia="黑体"/>
          <w:b/>
          <w:bCs/>
          <w:sz w:val="24"/>
        </w:rPr>
      </w:pPr>
      <w:r>
        <w:rPr>
          <w:rFonts w:hint="eastAsia" w:ascii="黑体" w:hAnsi="黑体" w:eastAsia="黑体"/>
          <w:b/>
          <w:bCs/>
          <w:sz w:val="24"/>
        </w:rPr>
        <w:t>五、公告期限</w:t>
      </w:r>
      <w:bookmarkEnd w:id="56"/>
      <w:bookmarkEnd w:id="57"/>
      <w:bookmarkEnd w:id="58"/>
      <w:bookmarkEnd w:id="59"/>
    </w:p>
    <w:p w14:paraId="4F58727F">
      <w:pPr>
        <w:spacing w:line="360" w:lineRule="auto"/>
        <w:ind w:firstLine="420" w:firstLineChars="200"/>
        <w:rPr>
          <w:rFonts w:ascii="宋体" w:hAnsi="宋体" w:cs="宋体"/>
          <w:kern w:val="0"/>
          <w:szCs w:val="21"/>
        </w:rPr>
      </w:pPr>
      <w:r>
        <w:rPr>
          <w:rFonts w:hint="eastAsia" w:ascii="宋体" w:hAnsi="宋体" w:cs="宋体"/>
          <w:kern w:val="0"/>
          <w:szCs w:val="21"/>
        </w:rPr>
        <w:t>自本公告发布之日起5个工作日。</w:t>
      </w:r>
    </w:p>
    <w:p w14:paraId="60A461AB">
      <w:pPr>
        <w:spacing w:line="360" w:lineRule="auto"/>
        <w:rPr>
          <w:rFonts w:ascii="黑体" w:hAnsi="黑体" w:eastAsia="黑体"/>
          <w:b/>
          <w:bCs/>
          <w:sz w:val="24"/>
        </w:rPr>
      </w:pPr>
      <w:bookmarkStart w:id="60" w:name="_Toc35393626"/>
      <w:bookmarkStart w:id="61" w:name="_Toc35393795"/>
      <w:r>
        <w:rPr>
          <w:rFonts w:hint="eastAsia" w:ascii="黑体" w:hAnsi="黑体" w:eastAsia="黑体"/>
          <w:b/>
          <w:bCs/>
          <w:sz w:val="24"/>
        </w:rPr>
        <w:t>六、其他补充事宜</w:t>
      </w:r>
      <w:bookmarkEnd w:id="60"/>
      <w:bookmarkEnd w:id="61"/>
    </w:p>
    <w:p w14:paraId="1C896637">
      <w:pPr>
        <w:spacing w:line="360" w:lineRule="auto"/>
        <w:ind w:firstLine="420" w:firstLineChars="200"/>
        <w:rPr>
          <w:rFonts w:ascii="宋体" w:hAnsi="宋体" w:cs="宋体"/>
          <w:kern w:val="0"/>
          <w:szCs w:val="21"/>
        </w:rPr>
      </w:pPr>
      <w:bookmarkStart w:id="62" w:name="_Hlk37429585"/>
      <w:bookmarkStart w:id="63" w:name="_Hlk37429595"/>
      <w:bookmarkStart w:id="64" w:name="_Toc35393627"/>
      <w:bookmarkStart w:id="65" w:name="_Toc28359085"/>
      <w:bookmarkStart w:id="66" w:name="_Toc28359008"/>
      <w:bookmarkStart w:id="67" w:name="_Toc35393796"/>
      <w:r>
        <w:rPr>
          <w:rFonts w:hint="eastAsia" w:ascii="宋体" w:hAnsi="宋体" w:cs="宋体"/>
          <w:kern w:val="0"/>
          <w:szCs w:val="21"/>
        </w:rPr>
        <w:t>1.网上查询地址</w:t>
      </w:r>
    </w:p>
    <w:p w14:paraId="05CE6D92">
      <w:pPr>
        <w:spacing w:line="360" w:lineRule="auto"/>
        <w:ind w:firstLine="420" w:firstLineChars="200"/>
        <w:rPr>
          <w:rFonts w:hint="eastAsia" w:ascii="宋体" w:hAnsi="宋体" w:cs="宋体"/>
          <w:i/>
          <w:kern w:val="0"/>
          <w:szCs w:val="21"/>
        </w:rPr>
      </w:pPr>
      <w:r>
        <w:rPr>
          <w:rFonts w:hint="eastAsia" w:ascii="宋体" w:hAnsi="宋体" w:cs="宋体"/>
          <w:kern w:val="0"/>
          <w:szCs w:val="21"/>
        </w:rPr>
        <w:t>中国政府采购网（http://www.ccgp.gov.cn）、广西壮族自治区政府采购网（http://zfcg.gxzf.gov.cn）、广西壮族自治区公共资源交易中心（http://gxggzy.gxzf.gov.cn/）</w:t>
      </w:r>
    </w:p>
    <w:bookmarkEnd w:id="62"/>
    <w:bookmarkEnd w:id="63"/>
    <w:p w14:paraId="054CA3C7">
      <w:pPr>
        <w:spacing w:line="360" w:lineRule="auto"/>
        <w:ind w:firstLine="424" w:firstLineChars="202"/>
        <w:rPr>
          <w:rFonts w:hint="eastAsia" w:ascii="宋体" w:hAnsi="宋体" w:cs="宋体"/>
          <w:kern w:val="0"/>
          <w:szCs w:val="21"/>
        </w:rPr>
      </w:pPr>
      <w:bookmarkStart w:id="68" w:name="_Hlk37429674"/>
      <w:r>
        <w:rPr>
          <w:rFonts w:hint="eastAsia" w:ascii="宋体" w:hAnsi="宋体"/>
          <w:szCs w:val="21"/>
        </w:rPr>
        <w:t>2</w:t>
      </w:r>
      <w:r>
        <w:rPr>
          <w:rFonts w:ascii="宋体" w:hAnsi="宋体"/>
          <w:szCs w:val="21"/>
        </w:rPr>
        <w:t>.</w:t>
      </w:r>
      <w:r>
        <w:rPr>
          <w:rFonts w:hint="eastAsia" w:ascii="宋体" w:hAnsi="宋体" w:cs="宋体"/>
          <w:kern w:val="0"/>
          <w:szCs w:val="21"/>
        </w:rPr>
        <w:t>本项目需要落实的政府采购政策</w:t>
      </w:r>
    </w:p>
    <w:p w14:paraId="5625C26C">
      <w:pPr>
        <w:spacing w:line="360" w:lineRule="auto"/>
        <w:ind w:firstLine="420" w:firstLineChars="200"/>
        <w:rPr>
          <w:rFonts w:ascii="宋体" w:hAnsi="宋体" w:cs="宋体"/>
          <w:iCs/>
          <w:kern w:val="0"/>
          <w:szCs w:val="21"/>
        </w:rPr>
      </w:pPr>
      <w:r>
        <w:rPr>
          <w:rFonts w:hint="eastAsia" w:ascii="宋体" w:hAnsi="宋体" w:cs="宋体"/>
          <w:iCs/>
          <w:kern w:val="0"/>
          <w:szCs w:val="21"/>
        </w:rPr>
        <w:t>（1）政府采购促进中小企业发展。</w:t>
      </w:r>
    </w:p>
    <w:p w14:paraId="4EE47F95">
      <w:pPr>
        <w:spacing w:line="360" w:lineRule="auto"/>
        <w:ind w:firstLine="420" w:firstLineChars="200"/>
        <w:rPr>
          <w:rFonts w:ascii="宋体" w:hAnsi="宋体" w:cs="宋体"/>
          <w:iCs/>
          <w:kern w:val="0"/>
          <w:szCs w:val="21"/>
        </w:rPr>
      </w:pPr>
      <w:r>
        <w:rPr>
          <w:rFonts w:hint="eastAsia" w:ascii="宋体" w:hAnsi="宋体" w:cs="宋体"/>
          <w:iCs/>
          <w:kern w:val="0"/>
          <w:szCs w:val="21"/>
        </w:rPr>
        <w:t>（2）政府采购支持采用本国产品的政策。</w:t>
      </w:r>
    </w:p>
    <w:p w14:paraId="2A92F782">
      <w:pPr>
        <w:spacing w:line="360" w:lineRule="auto"/>
        <w:ind w:firstLine="420" w:firstLineChars="200"/>
        <w:rPr>
          <w:rFonts w:ascii="宋体" w:hAnsi="宋体" w:cs="宋体"/>
          <w:iCs/>
          <w:kern w:val="0"/>
          <w:szCs w:val="21"/>
        </w:rPr>
      </w:pPr>
      <w:r>
        <w:rPr>
          <w:rFonts w:hint="eastAsia" w:ascii="宋体" w:hAnsi="宋体" w:cs="宋体"/>
          <w:iCs/>
          <w:kern w:val="0"/>
          <w:szCs w:val="21"/>
        </w:rPr>
        <w:t>（3）强制采购节能产品；优先采购节能产品、环境标志产品。</w:t>
      </w:r>
    </w:p>
    <w:p w14:paraId="0B75CD89">
      <w:pPr>
        <w:spacing w:line="360" w:lineRule="auto"/>
        <w:ind w:firstLine="420" w:firstLineChars="200"/>
        <w:rPr>
          <w:rFonts w:ascii="宋体" w:hAnsi="宋体" w:cs="宋体"/>
          <w:iCs/>
          <w:kern w:val="0"/>
          <w:szCs w:val="21"/>
        </w:rPr>
      </w:pPr>
      <w:r>
        <w:rPr>
          <w:rFonts w:hint="eastAsia" w:ascii="宋体" w:hAnsi="宋体" w:cs="宋体"/>
          <w:iCs/>
          <w:kern w:val="0"/>
          <w:szCs w:val="21"/>
        </w:rPr>
        <w:t>（4）政府采购促进残疾人就业政策。</w:t>
      </w:r>
    </w:p>
    <w:p w14:paraId="63F324C5">
      <w:pPr>
        <w:spacing w:line="360" w:lineRule="auto"/>
        <w:ind w:firstLine="420" w:firstLineChars="200"/>
        <w:rPr>
          <w:rFonts w:hint="eastAsia" w:ascii="宋体" w:hAnsi="宋体" w:cs="宋体"/>
          <w:i/>
          <w:iCs/>
          <w:kern w:val="0"/>
          <w:szCs w:val="21"/>
        </w:rPr>
      </w:pPr>
      <w:r>
        <w:rPr>
          <w:rFonts w:hint="eastAsia" w:ascii="宋体" w:hAnsi="宋体" w:cs="宋体"/>
          <w:iCs/>
          <w:kern w:val="0"/>
          <w:szCs w:val="21"/>
        </w:rPr>
        <w:t>（5）政府采购支持监狱企业发展。</w:t>
      </w:r>
    </w:p>
    <w:bookmarkEnd w:id="68"/>
    <w:p w14:paraId="3D6DF653">
      <w:pPr>
        <w:widowControl/>
        <w:spacing w:line="360" w:lineRule="auto"/>
        <w:ind w:firstLine="422" w:firstLineChars="200"/>
        <w:jc w:val="left"/>
        <w:rPr>
          <w:rFonts w:hint="eastAsia" w:ascii="宋体" w:hAnsi="宋体"/>
          <w:b/>
          <w:szCs w:val="21"/>
        </w:rPr>
      </w:pPr>
      <w:r>
        <w:rPr>
          <w:rFonts w:hint="eastAsia" w:ascii="宋体" w:hAnsi="宋体" w:cs="宋体"/>
          <w:b/>
          <w:kern w:val="0"/>
          <w:szCs w:val="21"/>
        </w:rPr>
        <w:t>3.投标人</w:t>
      </w:r>
      <w:r>
        <w:rPr>
          <w:rFonts w:hint="eastAsia" w:ascii="宋体" w:hAnsi="宋体"/>
          <w:b/>
          <w:szCs w:val="21"/>
        </w:rPr>
        <w:t>投标注意事项</w:t>
      </w:r>
    </w:p>
    <w:p w14:paraId="59E1DDE8">
      <w:pPr>
        <w:widowControl/>
        <w:spacing w:line="360" w:lineRule="auto"/>
        <w:ind w:firstLine="422" w:firstLineChars="200"/>
        <w:jc w:val="left"/>
        <w:rPr>
          <w:rFonts w:hint="eastAsia" w:ascii="宋体" w:hAnsi="宋体"/>
          <w:b/>
          <w:szCs w:val="21"/>
        </w:rPr>
      </w:pPr>
      <w:r>
        <w:rPr>
          <w:rFonts w:hint="eastAsia" w:ascii="宋体" w:hAnsi="宋体"/>
          <w:b/>
          <w:szCs w:val="21"/>
        </w:rPr>
        <w:t>（1）本项目为全流程电子化采购项目，通过广西政府采购云平台（https://www.gcy.zfcg.gxzf.gov.cn/）实行在线电子投标，投标人应先安装“广西政府采购云平台电子投标客户端”（请自行前往广西政府采购云平台进行下载），并按照本项目招标文件和广西政府采购云平台的要求编制、加密后在投标截止时间前通过网络上传至 广西政府采购云平台（</w:t>
      </w:r>
      <w:r>
        <w:rPr>
          <w:rFonts w:hint="eastAsia" w:ascii="宋体" w:hAnsi="宋体"/>
          <w:b/>
          <w:szCs w:val="21"/>
          <w:u w:val="single"/>
        </w:rPr>
        <w:t>加密的电子投标文件是指</w:t>
      </w:r>
      <w:r>
        <w:rPr>
          <w:rFonts w:hint="eastAsia"/>
          <w:b/>
          <w:u w:val="single"/>
        </w:rPr>
        <w:t>后缀名为“jm</w:t>
      </w:r>
      <w:r>
        <w:rPr>
          <w:b/>
          <w:u w:val="single"/>
        </w:rPr>
        <w:t>bs</w:t>
      </w:r>
      <w:r>
        <w:rPr>
          <w:rFonts w:hint="eastAsia"/>
          <w:b/>
          <w:u w:val="single"/>
        </w:rPr>
        <w:t>”的文件</w:t>
      </w:r>
      <w:r>
        <w:rPr>
          <w:rFonts w:hint="eastAsia" w:ascii="宋体" w:hAnsi="宋体"/>
          <w:b/>
          <w:szCs w:val="21"/>
        </w:rPr>
        <w:t>），投标人在广西政府采购云平台提交电子投标文件时，请填写参加远程开标活动经办人联系方式。投标人登录广西政府采购云平台，依次进入“服务中心-项目采购-操作流程-电子招投标-</w:t>
      </w:r>
      <w:r>
        <w:rPr>
          <w:b/>
        </w:rPr>
        <w:t>政府采购项目电子交易管理操作指南-供应商</w:t>
      </w:r>
      <w:r>
        <w:rPr>
          <w:rFonts w:hint="eastAsia" w:ascii="宋体" w:hAnsi="宋体"/>
          <w:b/>
          <w:szCs w:val="21"/>
        </w:rPr>
        <w:t>”查看电子投标具体操作流程。</w:t>
      </w:r>
    </w:p>
    <w:p w14:paraId="7E303313">
      <w:pPr>
        <w:widowControl/>
        <w:spacing w:line="360" w:lineRule="auto"/>
        <w:ind w:firstLine="422" w:firstLineChars="200"/>
        <w:jc w:val="left"/>
        <w:rPr>
          <w:rFonts w:ascii="宋体" w:hAnsi="宋体"/>
          <w:b/>
          <w:szCs w:val="21"/>
        </w:rPr>
      </w:pPr>
      <w:r>
        <w:rPr>
          <w:rFonts w:hint="eastAsia" w:ascii="宋体" w:hAnsi="宋体"/>
          <w:b/>
          <w:szCs w:val="21"/>
        </w:rPr>
        <w:t>（2）未进行网上注册并办理数字证书（CA认证）的投标人将无法参与本项目政府采购活动，投标人应当在投标截止时间前，完成电子交易平台上的CA数字证书办理及投标文件的提交（投标人可登录“广西政府采购网”，依次进入“办事服务-下载专区”或者登录</w:t>
      </w:r>
      <w:r>
        <w:rPr>
          <w:rFonts w:hint="eastAsia" w:ascii="宋体" w:hAnsi="宋体" w:cs="宋体"/>
          <w:b/>
          <w:kern w:val="0"/>
          <w:szCs w:val="21"/>
        </w:rPr>
        <w:t>广西政府采购云平台，</w:t>
      </w:r>
      <w:r>
        <w:rPr>
          <w:rFonts w:hint="eastAsia" w:ascii="宋体" w:hAnsi="宋体"/>
          <w:b/>
          <w:szCs w:val="21"/>
        </w:rPr>
        <w:t>依次进入“服务中心-入驻与配置”中查看CA数字证书办理操作流程。</w:t>
      </w:r>
      <w:r>
        <w:rPr>
          <w:rFonts w:hint="eastAsia" w:ascii="宋体" w:hAnsi="宋体" w:cs="宋体"/>
          <w:b/>
          <w:bCs/>
          <w:kern w:val="0"/>
          <w:szCs w:val="21"/>
        </w:rPr>
        <w:t>如在操作过程中遇到问题或者需要技术支持，请致电广西政府采购云平台客服热线：</w:t>
      </w:r>
      <w:r>
        <w:rPr>
          <w:rFonts w:hint="eastAsia" w:ascii="宋体" w:hAnsi="宋体"/>
          <w:b/>
          <w:szCs w:val="21"/>
        </w:rPr>
        <w:t>95763或0771-3381253）。</w:t>
      </w:r>
    </w:p>
    <w:p w14:paraId="7B6442EB">
      <w:pPr>
        <w:snapToGrid w:val="0"/>
        <w:spacing w:line="360" w:lineRule="auto"/>
        <w:ind w:firstLine="422" w:firstLineChars="200"/>
        <w:rPr>
          <w:rFonts w:hint="eastAsia" w:ascii="宋体" w:hAnsi="宋体" w:cs="宋体"/>
          <w:b/>
          <w:kern w:val="0"/>
          <w:szCs w:val="21"/>
        </w:rPr>
      </w:pPr>
      <w:r>
        <w:rPr>
          <w:rFonts w:hint="eastAsia" w:ascii="宋体" w:hAnsi="宋体" w:cs="宋体"/>
          <w:b/>
          <w:kern w:val="0"/>
          <w:szCs w:val="21"/>
        </w:rPr>
        <w:t>（3）CA证书在线解密：投标人投标时，需凭制作投标文件时用来加密的有效数字证书（CA认证）登录广西政府采购云平台电子开标大厅现场按规定时间对加密的投标文件进行解密，否则后果自负。</w:t>
      </w:r>
    </w:p>
    <w:p w14:paraId="3F51A7C4">
      <w:pPr>
        <w:spacing w:line="360" w:lineRule="auto"/>
        <w:ind w:firstLine="426" w:firstLineChars="202"/>
        <w:rPr>
          <w:rFonts w:ascii="宋体" w:hAnsi="宋体"/>
          <w:b/>
          <w:szCs w:val="21"/>
        </w:rPr>
      </w:pPr>
      <w:r>
        <w:rPr>
          <w:rFonts w:hint="eastAsia" w:ascii="宋体" w:hAnsi="宋体"/>
          <w:b/>
          <w:szCs w:val="21"/>
        </w:rPr>
        <w:t>注：</w:t>
      </w:r>
    </w:p>
    <w:p w14:paraId="6B038216">
      <w:pPr>
        <w:spacing w:line="360" w:lineRule="auto"/>
        <w:ind w:firstLine="426" w:firstLineChars="202"/>
        <w:rPr>
          <w:rFonts w:ascii="宋体" w:hAnsi="宋体"/>
          <w:b/>
          <w:szCs w:val="21"/>
        </w:rPr>
      </w:pPr>
      <w:r>
        <w:rPr>
          <w:rFonts w:ascii="宋体" w:hAnsi="宋体"/>
          <w:b/>
          <w:szCs w:val="21"/>
        </w:rPr>
        <w:fldChar w:fldCharType="begin"/>
      </w:r>
      <w:r>
        <w:rPr>
          <w:rFonts w:ascii="宋体" w:hAnsi="宋体"/>
          <w:b/>
          <w:szCs w:val="21"/>
        </w:rPr>
        <w:instrText xml:space="preserve"> </w:instrText>
      </w:r>
      <w:r>
        <w:rPr>
          <w:rFonts w:hint="eastAsia" w:ascii="宋体" w:hAnsi="宋体"/>
          <w:b/>
          <w:szCs w:val="21"/>
        </w:rPr>
        <w:instrText xml:space="preserve">= 1 \* GB3</w:instrText>
      </w:r>
      <w:r>
        <w:rPr>
          <w:rFonts w:ascii="宋体" w:hAnsi="宋体"/>
          <w:b/>
          <w:szCs w:val="21"/>
        </w:rPr>
        <w:instrText xml:space="preserve"> </w:instrText>
      </w:r>
      <w:r>
        <w:rPr>
          <w:rFonts w:ascii="宋体" w:hAnsi="宋体"/>
          <w:b/>
          <w:szCs w:val="21"/>
        </w:rPr>
        <w:fldChar w:fldCharType="separate"/>
      </w:r>
      <w:r>
        <w:rPr>
          <w:rFonts w:hint="eastAsia" w:ascii="宋体" w:hAnsi="宋体"/>
          <w:b/>
          <w:szCs w:val="21"/>
        </w:rPr>
        <w:t>①</w:t>
      </w:r>
      <w:r>
        <w:rPr>
          <w:rFonts w:ascii="宋体" w:hAnsi="宋体"/>
          <w:b/>
          <w:szCs w:val="21"/>
        </w:rPr>
        <w:fldChar w:fldCharType="end"/>
      </w:r>
      <w:r>
        <w:rPr>
          <w:rFonts w:hint="eastAsia" w:ascii="宋体" w:hAnsi="宋体"/>
          <w:b/>
          <w:szCs w:val="21"/>
        </w:rPr>
        <w:t>为确保网上操作合法、有效和安全，请投标人确保在电子投标过程中能够对相关数据电文进行加密和使用电子签章，妥善保管C</w:t>
      </w:r>
      <w:r>
        <w:rPr>
          <w:rFonts w:ascii="宋体" w:hAnsi="宋体"/>
          <w:b/>
          <w:szCs w:val="21"/>
        </w:rPr>
        <w:t>A</w:t>
      </w:r>
      <w:r>
        <w:rPr>
          <w:rFonts w:hint="eastAsia" w:ascii="宋体" w:hAnsi="宋体"/>
          <w:b/>
          <w:szCs w:val="21"/>
        </w:rPr>
        <w:t>数字证书并使用有效的CA数字证书参与整个招标活动。</w:t>
      </w:r>
    </w:p>
    <w:p w14:paraId="120185D7">
      <w:pPr>
        <w:spacing w:line="360" w:lineRule="auto"/>
        <w:ind w:firstLine="426" w:firstLineChars="202"/>
        <w:rPr>
          <w:rFonts w:ascii="宋体" w:hAnsi="宋体"/>
          <w:b/>
          <w:bCs/>
          <w:szCs w:val="21"/>
        </w:rPr>
      </w:pPr>
      <w:r>
        <w:rPr>
          <w:rFonts w:ascii="宋体" w:hAnsi="宋体"/>
          <w:b/>
          <w:szCs w:val="21"/>
        </w:rPr>
        <w:fldChar w:fldCharType="begin"/>
      </w:r>
      <w:r>
        <w:rPr>
          <w:rFonts w:ascii="宋体" w:hAnsi="宋体"/>
          <w:b/>
          <w:szCs w:val="21"/>
        </w:rPr>
        <w:instrText xml:space="preserve"> </w:instrText>
      </w:r>
      <w:r>
        <w:rPr>
          <w:rFonts w:hint="eastAsia" w:ascii="宋体" w:hAnsi="宋体"/>
          <w:b/>
          <w:szCs w:val="21"/>
        </w:rPr>
        <w:instrText xml:space="preserve">= 2 \* GB3</w:instrText>
      </w:r>
      <w:r>
        <w:rPr>
          <w:rFonts w:ascii="宋体" w:hAnsi="宋体"/>
          <w:b/>
          <w:szCs w:val="21"/>
        </w:rPr>
        <w:instrText xml:space="preserve"> </w:instrText>
      </w:r>
      <w:r>
        <w:rPr>
          <w:rFonts w:ascii="宋体" w:hAnsi="宋体"/>
          <w:b/>
          <w:szCs w:val="21"/>
        </w:rPr>
        <w:fldChar w:fldCharType="separate"/>
      </w:r>
      <w:r>
        <w:rPr>
          <w:rFonts w:hint="eastAsia" w:ascii="宋体" w:hAnsi="宋体"/>
          <w:b/>
          <w:szCs w:val="21"/>
        </w:rPr>
        <w:t>②</w:t>
      </w:r>
      <w:r>
        <w:rPr>
          <w:rFonts w:ascii="宋体" w:hAnsi="宋体"/>
          <w:b/>
          <w:szCs w:val="21"/>
        </w:rPr>
        <w:fldChar w:fldCharType="end"/>
      </w:r>
      <w:r>
        <w:rPr>
          <w:rFonts w:hint="eastAsia" w:ascii="宋体" w:hAnsi="宋体"/>
          <w:b/>
          <w:bCs/>
          <w:szCs w:val="21"/>
        </w:rPr>
        <w:t>投标人应当在投标截止时间前完成电子投标文件的上传、提交，投标截止时间前可以补充、修改或者撤回投标文件。补充或者修改投标文件的，应当先行撤回原投标文件，补充、修改后重新上传、提交，投标截止时间前未完成上传、提交的，视为撤回投标文件。投标截止时间以后上传递交的投标文件，广西政府采购云平台将予以拒收。</w:t>
      </w:r>
    </w:p>
    <w:p w14:paraId="01A0C85C">
      <w:pPr>
        <w:spacing w:line="360" w:lineRule="auto"/>
        <w:rPr>
          <w:rFonts w:ascii="黑体" w:hAnsi="黑体" w:eastAsia="黑体"/>
          <w:b/>
          <w:bCs/>
          <w:sz w:val="24"/>
        </w:rPr>
      </w:pPr>
      <w:r>
        <w:rPr>
          <w:rFonts w:hint="eastAsia" w:ascii="黑体" w:hAnsi="黑体" w:eastAsia="黑体"/>
          <w:b/>
          <w:bCs/>
          <w:sz w:val="24"/>
        </w:rPr>
        <w:t>七、对本次招标提出询问，请按</w:t>
      </w:r>
      <w:r>
        <w:rPr>
          <w:rFonts w:ascii="黑体" w:hAnsi="黑体" w:eastAsia="黑体"/>
          <w:b/>
          <w:bCs/>
          <w:sz w:val="24"/>
        </w:rPr>
        <w:t>以下方式</w:t>
      </w:r>
      <w:r>
        <w:rPr>
          <w:rFonts w:hint="eastAsia" w:ascii="黑体" w:hAnsi="黑体" w:eastAsia="黑体"/>
          <w:b/>
          <w:bCs/>
          <w:sz w:val="24"/>
        </w:rPr>
        <w:t>联系。</w:t>
      </w:r>
      <w:bookmarkEnd w:id="64"/>
      <w:bookmarkEnd w:id="65"/>
      <w:bookmarkEnd w:id="66"/>
      <w:bookmarkEnd w:id="67"/>
    </w:p>
    <w:p w14:paraId="09940EA7">
      <w:pPr>
        <w:spacing w:line="360" w:lineRule="auto"/>
        <w:ind w:firstLine="424" w:firstLineChars="202"/>
        <w:jc w:val="left"/>
        <w:rPr>
          <w:rFonts w:hint="eastAsia" w:ascii="宋体" w:hAnsi="宋体"/>
          <w:szCs w:val="21"/>
        </w:rPr>
      </w:pPr>
      <w:r>
        <w:rPr>
          <w:rFonts w:hint="eastAsia" w:ascii="宋体" w:hAnsi="宋体" w:cs="宋体"/>
          <w:szCs w:val="21"/>
        </w:rPr>
        <w:t>1.采购人信息</w:t>
      </w:r>
    </w:p>
    <w:p w14:paraId="50244805">
      <w:pPr>
        <w:spacing w:line="360" w:lineRule="auto"/>
        <w:ind w:firstLine="424" w:firstLineChars="202"/>
        <w:jc w:val="left"/>
        <w:rPr>
          <w:rFonts w:ascii="宋体" w:hAnsi="宋体"/>
          <w:szCs w:val="21"/>
        </w:rPr>
      </w:pPr>
      <w:bookmarkStart w:id="69" w:name="_Toc28359009"/>
      <w:bookmarkStart w:id="70" w:name="_Toc28359086"/>
      <w:r>
        <w:rPr>
          <w:rFonts w:hint="eastAsia" w:ascii="宋体" w:hAnsi="宋体"/>
          <w:szCs w:val="21"/>
        </w:rPr>
        <w:t>名称：</w:t>
      </w:r>
      <w:bookmarkStart w:id="71" w:name="OLE_LINK1"/>
      <w:r>
        <w:rPr>
          <w:rFonts w:hint="eastAsia" w:ascii="宋体" w:hAnsi="宋体"/>
          <w:szCs w:val="21"/>
          <w:u w:val="single"/>
        </w:rPr>
        <w:t>广西壮族自治区公路发展中心</w:t>
      </w:r>
      <w:bookmarkEnd w:id="71"/>
    </w:p>
    <w:p w14:paraId="03B477AC">
      <w:pPr>
        <w:spacing w:line="360" w:lineRule="auto"/>
        <w:ind w:firstLine="424" w:firstLineChars="202"/>
        <w:jc w:val="left"/>
        <w:rPr>
          <w:rFonts w:ascii="宋体" w:hAnsi="宋体"/>
          <w:szCs w:val="21"/>
        </w:rPr>
      </w:pPr>
      <w:r>
        <w:rPr>
          <w:rFonts w:hint="eastAsia" w:ascii="宋体" w:hAnsi="宋体"/>
          <w:szCs w:val="21"/>
        </w:rPr>
        <w:t>地址：</w:t>
      </w:r>
      <w:r>
        <w:rPr>
          <w:rFonts w:hint="eastAsia" w:ascii="宋体" w:hAnsi="宋体" w:cs="Arial"/>
          <w:szCs w:val="21"/>
          <w:u w:val="single"/>
        </w:rPr>
        <w:t>南宁市青秀区云景路3号</w:t>
      </w:r>
    </w:p>
    <w:p w14:paraId="095F630C">
      <w:pPr>
        <w:spacing w:line="360" w:lineRule="auto"/>
        <w:ind w:firstLine="424" w:firstLineChars="202"/>
        <w:jc w:val="left"/>
        <w:rPr>
          <w:rFonts w:ascii="宋体" w:hAnsi="宋体"/>
          <w:szCs w:val="21"/>
          <w:u w:val="single"/>
        </w:rPr>
      </w:pPr>
      <w:r>
        <w:rPr>
          <w:rFonts w:hint="eastAsia" w:ascii="宋体" w:hAnsi="宋体"/>
          <w:szCs w:val="21"/>
        </w:rPr>
        <w:t>联系方式：</w:t>
      </w:r>
      <w:r>
        <w:rPr>
          <w:rFonts w:hint="eastAsia" w:ascii="宋体" w:hAnsi="宋体" w:cs="Arial"/>
          <w:szCs w:val="21"/>
          <w:u w:val="single"/>
        </w:rPr>
        <w:t>姚劲、周慧丹，0771-2115752、3198108</w:t>
      </w:r>
    </w:p>
    <w:p w14:paraId="218E5E5C">
      <w:pPr>
        <w:spacing w:line="360" w:lineRule="auto"/>
        <w:ind w:firstLine="424" w:firstLineChars="202"/>
        <w:jc w:val="left"/>
        <w:rPr>
          <w:rFonts w:ascii="宋体" w:hAnsi="宋体"/>
          <w:szCs w:val="21"/>
        </w:rPr>
      </w:pPr>
      <w:r>
        <w:rPr>
          <w:rFonts w:hint="eastAsia" w:ascii="宋体" w:hAnsi="宋体" w:cs="宋体"/>
          <w:szCs w:val="21"/>
        </w:rPr>
        <w:t>2.采购代理机构信息</w:t>
      </w:r>
      <w:bookmarkEnd w:id="69"/>
      <w:bookmarkEnd w:id="70"/>
    </w:p>
    <w:p w14:paraId="0B6FD637">
      <w:pPr>
        <w:spacing w:line="360" w:lineRule="auto"/>
        <w:ind w:firstLine="424" w:firstLineChars="202"/>
        <w:rPr>
          <w:rFonts w:ascii="宋体" w:hAnsi="宋体"/>
          <w:szCs w:val="21"/>
        </w:rPr>
      </w:pPr>
      <w:r>
        <w:rPr>
          <w:rFonts w:hint="eastAsia" w:ascii="宋体" w:hAnsi="宋体"/>
          <w:szCs w:val="21"/>
        </w:rPr>
        <w:t>名称：</w:t>
      </w:r>
      <w:bookmarkStart w:id="72" w:name="OLE_LINK22"/>
      <w:r>
        <w:rPr>
          <w:rFonts w:hint="eastAsia" w:ascii="宋体" w:hAnsi="宋体"/>
          <w:szCs w:val="21"/>
          <w:u w:val="single"/>
        </w:rPr>
        <w:t>云之龙咨询集团有限公司</w:t>
      </w:r>
    </w:p>
    <w:p w14:paraId="0C17667E">
      <w:pPr>
        <w:spacing w:line="360" w:lineRule="auto"/>
        <w:ind w:firstLine="424" w:firstLineChars="202"/>
        <w:rPr>
          <w:rFonts w:ascii="宋体" w:hAnsi="宋体"/>
          <w:szCs w:val="21"/>
        </w:rPr>
      </w:pPr>
      <w:r>
        <w:rPr>
          <w:rFonts w:hint="eastAsia" w:ascii="宋体" w:hAnsi="宋体"/>
          <w:szCs w:val="21"/>
        </w:rPr>
        <w:t>地址：</w:t>
      </w:r>
      <w:r>
        <w:rPr>
          <w:rFonts w:hint="eastAsia" w:ascii="宋体" w:hAnsi="宋体"/>
          <w:szCs w:val="21"/>
          <w:u w:val="single"/>
        </w:rPr>
        <w:t>广西南宁市良庆区云英路15号3号楼云之龙咨询集团大厦6楼</w:t>
      </w:r>
    </w:p>
    <w:p w14:paraId="21970EBD">
      <w:pPr>
        <w:spacing w:line="360" w:lineRule="auto"/>
        <w:ind w:firstLine="424" w:firstLineChars="202"/>
        <w:rPr>
          <w:rFonts w:ascii="宋体" w:hAnsi="宋体"/>
          <w:szCs w:val="21"/>
        </w:rPr>
      </w:pPr>
      <w:r>
        <w:rPr>
          <w:rFonts w:hint="eastAsia" w:ascii="宋体" w:hAnsi="宋体"/>
          <w:szCs w:val="21"/>
        </w:rPr>
        <w:t>联系方式：</w:t>
      </w:r>
      <w:bookmarkStart w:id="73" w:name="_Toc28359010"/>
      <w:bookmarkStart w:id="74" w:name="_Toc28359087"/>
      <w:r>
        <w:rPr>
          <w:rFonts w:hint="eastAsia" w:hAnsi="宋体"/>
          <w:u w:val="single"/>
        </w:rPr>
        <w:t>陈柠、黎翠莹、岑昌桦</w:t>
      </w:r>
      <w:r>
        <w:rPr>
          <w:rFonts w:hint="eastAsia" w:ascii="宋体" w:hAnsi="宋体"/>
          <w:szCs w:val="21"/>
          <w:u w:val="single"/>
        </w:rPr>
        <w:t>，0771-2618118、2611889、2611898</w:t>
      </w:r>
    </w:p>
    <w:bookmarkEnd w:id="72"/>
    <w:p w14:paraId="3645E6F0">
      <w:pPr>
        <w:spacing w:line="360" w:lineRule="auto"/>
        <w:ind w:firstLine="424" w:firstLineChars="202"/>
        <w:rPr>
          <w:rFonts w:ascii="宋体" w:hAnsi="宋体"/>
          <w:szCs w:val="21"/>
          <w:u w:val="single"/>
        </w:rPr>
      </w:pPr>
      <w:r>
        <w:rPr>
          <w:rFonts w:hint="eastAsia" w:ascii="宋体" w:hAnsi="宋体" w:cs="宋体"/>
          <w:szCs w:val="21"/>
        </w:rPr>
        <w:t>3.项目</w:t>
      </w:r>
      <w:r>
        <w:rPr>
          <w:rFonts w:ascii="宋体" w:hAnsi="宋体" w:cs="宋体"/>
          <w:szCs w:val="21"/>
        </w:rPr>
        <w:t>联系方式</w:t>
      </w:r>
      <w:bookmarkEnd w:id="73"/>
      <w:bookmarkEnd w:id="74"/>
    </w:p>
    <w:p w14:paraId="193B7801">
      <w:pPr>
        <w:pStyle w:val="25"/>
        <w:spacing w:line="360" w:lineRule="auto"/>
        <w:ind w:firstLine="424" w:firstLineChars="202"/>
        <w:rPr>
          <w:rFonts w:hAnsi="宋体"/>
          <w:sz w:val="21"/>
        </w:rPr>
      </w:pPr>
      <w:r>
        <w:rPr>
          <w:rFonts w:hint="eastAsia" w:hAnsi="宋体"/>
          <w:sz w:val="21"/>
        </w:rPr>
        <w:t>项目联系人：</w:t>
      </w:r>
      <w:r>
        <w:rPr>
          <w:rFonts w:hint="eastAsia" w:hAnsi="宋体"/>
          <w:sz w:val="21"/>
          <w:u w:val="single"/>
        </w:rPr>
        <w:t>陈柠、</w:t>
      </w:r>
      <w:r>
        <w:rPr>
          <w:rFonts w:hint="eastAsia" w:hAnsi="宋体"/>
          <w:sz w:val="21"/>
          <w:u w:val="single"/>
          <w:lang w:val="en-US" w:eastAsia="zh-CN"/>
        </w:rPr>
        <w:t>黎翠莹、</w:t>
      </w:r>
      <w:r>
        <w:rPr>
          <w:rFonts w:hint="eastAsia" w:hAnsi="宋体"/>
          <w:sz w:val="21"/>
          <w:u w:val="single"/>
        </w:rPr>
        <w:t>岑昌桦</w:t>
      </w:r>
    </w:p>
    <w:p w14:paraId="287BD657">
      <w:pPr>
        <w:spacing w:line="360" w:lineRule="auto"/>
        <w:ind w:firstLine="424" w:firstLineChars="202"/>
        <w:rPr>
          <w:rFonts w:ascii="宋体" w:hAnsi="宋体"/>
          <w:szCs w:val="21"/>
          <w:u w:val="single"/>
        </w:rPr>
      </w:pPr>
      <w:r>
        <w:rPr>
          <w:rFonts w:hint="eastAsia" w:ascii="宋体" w:hAnsi="宋体"/>
          <w:szCs w:val="21"/>
        </w:rPr>
        <w:t>电话：</w:t>
      </w:r>
      <w:r>
        <w:rPr>
          <w:rFonts w:hint="eastAsia" w:ascii="宋体" w:hAnsi="宋体"/>
          <w:szCs w:val="21"/>
          <w:u w:val="single"/>
        </w:rPr>
        <w:t>0771-2618118、2611889、2611898</w:t>
      </w:r>
    </w:p>
    <w:p w14:paraId="4202F928">
      <w:pPr>
        <w:pStyle w:val="2"/>
        <w:keepNext w:val="0"/>
        <w:keepLines w:val="0"/>
        <w:tabs>
          <w:tab w:val="left" w:pos="0"/>
          <w:tab w:val="left" w:pos="3165"/>
          <w:tab w:val="center" w:pos="4153"/>
        </w:tabs>
        <w:autoSpaceDE w:val="0"/>
        <w:autoSpaceDN w:val="0"/>
        <w:adjustRightInd w:val="0"/>
        <w:spacing w:before="0" w:after="0" w:line="360" w:lineRule="auto"/>
        <w:jc w:val="center"/>
        <w:rPr>
          <w:rFonts w:hint="eastAsia"/>
        </w:rPr>
      </w:pPr>
      <w:r>
        <w:rPr>
          <w:rFonts w:ascii="仿宋_GB2312" w:hAnsi="宋体" w:eastAsia="仿宋_GB2312"/>
          <w:sz w:val="24"/>
          <w:szCs w:val="20"/>
        </w:rPr>
        <w:br w:type="page"/>
      </w:r>
      <w:bookmarkStart w:id="75" w:name="_Toc27979"/>
      <w:r>
        <w:rPr>
          <w:rFonts w:hint="eastAsia"/>
        </w:rPr>
        <w:t>第二章  采购需求</w:t>
      </w:r>
      <w:bookmarkEnd w:id="75"/>
    </w:p>
    <w:p w14:paraId="4625C23A">
      <w:pPr>
        <w:spacing w:line="360" w:lineRule="auto"/>
        <w:jc w:val="left"/>
        <w:rPr>
          <w:rFonts w:hint="eastAsia" w:ascii="宋体" w:hAnsi="宋体" w:cs="宋体"/>
          <w:szCs w:val="21"/>
        </w:rPr>
      </w:pPr>
      <w:bookmarkStart w:id="76" w:name="_Toc254970490"/>
      <w:bookmarkStart w:id="77" w:name="_Toc254970631"/>
    </w:p>
    <w:p w14:paraId="273F0AF5">
      <w:pPr>
        <w:spacing w:line="400" w:lineRule="exact"/>
        <w:jc w:val="left"/>
        <w:rPr>
          <w:rFonts w:hint="eastAsia" w:ascii="宋体" w:hAnsi="宋体" w:cs="宋体"/>
          <w:szCs w:val="21"/>
        </w:rPr>
      </w:pPr>
      <w:r>
        <w:rPr>
          <w:rFonts w:hint="eastAsia" w:ascii="宋体" w:hAnsi="宋体" w:cs="宋体"/>
          <w:szCs w:val="21"/>
        </w:rPr>
        <w:t>说明：</w:t>
      </w:r>
    </w:p>
    <w:p w14:paraId="46107576">
      <w:pPr>
        <w:spacing w:line="400" w:lineRule="exact"/>
        <w:ind w:firstLine="420" w:firstLineChars="200"/>
        <w:jc w:val="left"/>
        <w:rPr>
          <w:rFonts w:hint="eastAsia" w:ascii="宋体" w:hAnsi="宋体" w:cs="宋体"/>
          <w:szCs w:val="21"/>
        </w:rPr>
      </w:pPr>
      <w:r>
        <w:rPr>
          <w:rFonts w:hint="eastAsia" w:ascii="宋体" w:hAnsi="宋体"/>
          <w:szCs w:val="21"/>
        </w:rPr>
        <w:t>1.为落实政府采购政策需满足的要求</w:t>
      </w:r>
    </w:p>
    <w:p w14:paraId="2DC778F6">
      <w:pPr>
        <w:spacing w:line="400" w:lineRule="exact"/>
        <w:ind w:firstLine="420" w:firstLineChars="200"/>
        <w:jc w:val="left"/>
        <w:rPr>
          <w:rFonts w:ascii="宋体" w:hAnsi="宋体" w:cs="宋体"/>
          <w:szCs w:val="21"/>
        </w:rPr>
      </w:pPr>
      <w:r>
        <w:rPr>
          <w:rFonts w:hint="eastAsia" w:ascii="宋体" w:hAnsi="宋体" w:cs="宋体"/>
          <w:szCs w:val="21"/>
        </w:rPr>
        <w:t>（1）本招标文件（以下或简称为“采购文件”）所称中小企业必须符合《政府采购促进中小企业发展管理办法》（财库〔2020〕46号）的规定。</w:t>
      </w:r>
    </w:p>
    <w:p w14:paraId="0B6670EB">
      <w:pPr>
        <w:spacing w:line="400" w:lineRule="exact"/>
        <w:ind w:firstLine="420" w:firstLineChars="200"/>
        <w:jc w:val="left"/>
        <w:rPr>
          <w:rFonts w:ascii="宋体" w:hAnsi="宋体" w:cs="宋体"/>
          <w:szCs w:val="21"/>
        </w:rPr>
      </w:pPr>
      <w:r>
        <w:rPr>
          <w:rFonts w:hint="eastAsia" w:ascii="宋体" w:hAnsi="宋体" w:cs="宋体"/>
          <w:szCs w:val="21"/>
        </w:rPr>
        <w:t>（2）根据《财政部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详见本章后附的节能产品政府采购品目清单），投标人的投标货物必须使用政府强制采购的节能产品，投标人必须在投标文件（商务及技术文件）中提供所投标产品的节能产品认证证书复印件（加盖投标人电子签章），</w:t>
      </w:r>
      <w:r>
        <w:rPr>
          <w:rFonts w:hint="eastAsia" w:ascii="宋体" w:hAnsi="宋体" w:cs="宋体"/>
          <w:b/>
          <w:bCs/>
          <w:szCs w:val="21"/>
        </w:rPr>
        <w:t>否则按无效投标处理</w:t>
      </w:r>
      <w:r>
        <w:rPr>
          <w:rFonts w:hint="eastAsia" w:ascii="宋体" w:hAnsi="宋体" w:cs="宋体"/>
          <w:szCs w:val="21"/>
        </w:rPr>
        <w:t>。如本项目包含的货物属于品目清单内非标注“★”的产品时，应优先采购，具体详见“第四章 评标方法及评标标准”。</w:t>
      </w:r>
    </w:p>
    <w:p w14:paraId="6F36AB40">
      <w:pPr>
        <w:spacing w:line="400" w:lineRule="exact"/>
        <w:ind w:firstLine="420" w:firstLineChars="200"/>
        <w:jc w:val="left"/>
        <w:rPr>
          <w:rFonts w:hint="eastAsia" w:ascii="宋体" w:hAnsi="宋体" w:cs="宋体"/>
          <w:szCs w:val="21"/>
        </w:rPr>
      </w:pPr>
      <w:r>
        <w:rPr>
          <w:rFonts w:hint="eastAsia" w:ascii="宋体" w:hAnsi="宋体" w:cs="宋体"/>
          <w:szCs w:val="21"/>
        </w:rPr>
        <w:t>（3）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381931E4">
      <w:pPr>
        <w:spacing w:line="400" w:lineRule="exact"/>
        <w:ind w:firstLine="420" w:firstLineChars="200"/>
        <w:jc w:val="left"/>
        <w:rPr>
          <w:rFonts w:hint="eastAsia" w:ascii="宋体" w:hAnsi="宋体" w:cs="宋体"/>
          <w:szCs w:val="21"/>
        </w:rPr>
      </w:pPr>
      <w:r>
        <w:rPr>
          <w:rFonts w:hint="eastAsia" w:ascii="宋体" w:hAnsi="宋体" w:cs="宋体"/>
          <w:szCs w:val="21"/>
        </w:rPr>
        <w:t>（4）根据《关于调整网络安全专用产品安全管理有关事项的公告》（2023年1号）规定，本项目采购需求中的产品如果包括《网络关键设备和网络安全专用产品目录》的网络安全专用产品，供应商在投标文件中应主动列明供货范围中属于网络安全专用产品的投标产品，并在投标文件（商务及技术文件）中提供由中国网信网（http://www.cac.gov.cn/index.htm）最新发布的《网络关键设备和网络安全专用产品安全认证和安全检测结果》截图证明材料，</w:t>
      </w:r>
      <w:r>
        <w:rPr>
          <w:rFonts w:hint="eastAsia" w:ascii="宋体" w:hAnsi="宋体" w:cs="宋体"/>
          <w:b/>
          <w:szCs w:val="21"/>
        </w:rPr>
        <w:t>不在《网络关键设备和网络安全专用产品安全认证和安全检测结果》中或不在有效期内的，按无效投标处理</w:t>
      </w:r>
      <w:r>
        <w:rPr>
          <w:rFonts w:hint="eastAsia" w:ascii="宋体" w:hAnsi="宋体" w:cs="宋体"/>
          <w:szCs w:val="21"/>
        </w:rPr>
        <w:t>。如属于《网络关键设备和网络安全专用产品目录》中“二、网络安全专用产品”内“产品类别”所描述的产品，但不属于所列“产品描述”情形的，应提供相应的说明及证明材料。</w:t>
      </w:r>
    </w:p>
    <w:p w14:paraId="29841C32">
      <w:pPr>
        <w:spacing w:line="400" w:lineRule="exact"/>
        <w:ind w:firstLine="424" w:firstLineChars="202"/>
        <w:jc w:val="left"/>
        <w:rPr>
          <w:rFonts w:ascii="宋体" w:hAnsi="宋体" w:cs="宋体"/>
          <w:szCs w:val="21"/>
        </w:rPr>
      </w:pPr>
      <w:r>
        <w:rPr>
          <w:rFonts w:hint="eastAsia" w:ascii="宋体" w:hAnsi="宋体" w:cs="宋体"/>
          <w:szCs w:val="21"/>
        </w:rPr>
        <w:t>2.“实质性要求”是指招标文件中已经指明不满足则投标无效的条款，或者不能负偏离的条款，或者采购需求中带“▲”的条款。</w:t>
      </w:r>
    </w:p>
    <w:p w14:paraId="46D850EF">
      <w:pPr>
        <w:spacing w:line="400" w:lineRule="exact"/>
        <w:ind w:firstLine="402" w:firstLineChars="202"/>
        <w:jc w:val="left"/>
        <w:rPr>
          <w:rFonts w:ascii="宋体" w:hAnsi="宋体" w:cs="宋体"/>
          <w:b/>
          <w:spacing w:val="-6"/>
          <w:szCs w:val="21"/>
        </w:rPr>
      </w:pPr>
      <w:r>
        <w:rPr>
          <w:rFonts w:hint="eastAsia" w:ascii="宋体" w:hAnsi="宋体" w:cs="宋体"/>
          <w:b/>
          <w:spacing w:val="-6"/>
          <w:szCs w:val="21"/>
        </w:rPr>
        <w:t>本项目“技术需求及要求”及“商务要求”中凡标注“▲”的条款或要求，投标人不响应或不满足的，投标文件即作无效处理；其他标注“▲”的事项或说明，投标人投标文件不符合要求的即作无效处理。</w:t>
      </w:r>
    </w:p>
    <w:p w14:paraId="4870CBB3">
      <w:pPr>
        <w:spacing w:line="400" w:lineRule="exact"/>
        <w:ind w:firstLine="424" w:firstLineChars="202"/>
        <w:jc w:val="left"/>
        <w:rPr>
          <w:rFonts w:ascii="宋体" w:hAnsi="宋体" w:cs="宋体"/>
          <w:szCs w:val="21"/>
        </w:rPr>
      </w:pPr>
      <w:r>
        <w:rPr>
          <w:rFonts w:hint="eastAsia" w:ascii="宋体" w:hAnsi="宋体" w:cs="宋体"/>
          <w:szCs w:val="21"/>
        </w:rPr>
        <w:t>3.采购需求中如出现的品牌、型号或者生产厂家仅起参考作用，不属于指定品牌、型号或者生产厂家的情形。投标人可参照或者选用其他相当的品牌、型号或者生产厂家替代，但选用的投标产品参数性能必须满足实质性要求。</w:t>
      </w:r>
    </w:p>
    <w:p w14:paraId="0EA4BFE6">
      <w:pPr>
        <w:spacing w:line="400" w:lineRule="exact"/>
        <w:ind w:firstLine="424" w:firstLineChars="202"/>
        <w:jc w:val="left"/>
        <w:rPr>
          <w:rFonts w:ascii="宋体" w:hAnsi="宋体"/>
          <w:szCs w:val="21"/>
        </w:rPr>
      </w:pPr>
      <w:r>
        <w:rPr>
          <w:rFonts w:hint="eastAsia" w:ascii="宋体" w:hAnsi="宋体" w:cs="宋体"/>
          <w:szCs w:val="21"/>
        </w:rPr>
        <w:t>4.</w:t>
      </w:r>
      <w:r>
        <w:rPr>
          <w:rFonts w:hint="eastAsia" w:ascii="宋体" w:hAnsi="宋体"/>
          <w:szCs w:val="21"/>
        </w:rPr>
        <w:t>投标人必须自行为其投标产品侵犯他人的知识产权或者专利成果的行为承担相应法律责任。</w:t>
      </w:r>
    </w:p>
    <w:p w14:paraId="00C3BBE9">
      <w:pPr>
        <w:spacing w:line="400" w:lineRule="exact"/>
        <w:ind w:firstLine="424" w:firstLineChars="202"/>
        <w:jc w:val="left"/>
        <w:rPr>
          <w:rFonts w:hint="eastAsia" w:ascii="宋体" w:hAnsi="宋体"/>
          <w:szCs w:val="21"/>
        </w:rPr>
      </w:pPr>
      <w:r>
        <w:rPr>
          <w:rFonts w:hint="eastAsia" w:ascii="宋体" w:hAnsi="宋体"/>
          <w:szCs w:val="21"/>
        </w:rPr>
        <w:t>5.评标委员会认为投标人的报价明显低于其他通过符合性审查投标人的报价，有可能影响其服务或产品质量或者不能诚信履约的，应当要求其在评标现场合理的时间内提供书面说明，必要时提交相关证明材料；投标人不能证明其报价合理性的，评标委员会应当</w:t>
      </w:r>
      <w:r>
        <w:rPr>
          <w:rFonts w:hint="eastAsia" w:ascii="宋体" w:hAnsi="宋体"/>
          <w:b/>
          <w:bCs/>
          <w:szCs w:val="21"/>
        </w:rPr>
        <w:t>将其作为无效投标处理</w:t>
      </w:r>
      <w:r>
        <w:rPr>
          <w:rFonts w:hint="eastAsia" w:ascii="宋体" w:hAnsi="宋体"/>
          <w:szCs w:val="21"/>
        </w:rPr>
        <w:t>。</w:t>
      </w:r>
    </w:p>
    <w:p w14:paraId="1BB5AD0E">
      <w:pPr>
        <w:pStyle w:val="18"/>
        <w:spacing w:line="400" w:lineRule="exact"/>
        <w:ind w:firstLine="420" w:firstLineChars="200"/>
        <w:rPr>
          <w:rFonts w:ascii="宋体" w:hAnsi="宋体"/>
          <w:kern w:val="2"/>
          <w:sz w:val="21"/>
          <w:szCs w:val="21"/>
        </w:rPr>
      </w:pPr>
      <w:r>
        <w:rPr>
          <w:rFonts w:hint="eastAsia" w:ascii="宋体" w:hAnsi="宋体"/>
          <w:kern w:val="2"/>
          <w:sz w:val="21"/>
          <w:szCs w:val="21"/>
        </w:rPr>
        <w:t>6.本项目下列采购需求表中，若有要求提供的证明文件材料或承诺书的，在《技术要求偏离表》或《商务要求偏离表》中应答时，请同时注明相关文件材料或承诺书在投标文件中放置的所在页码。</w:t>
      </w:r>
    </w:p>
    <w:p w14:paraId="1571CFF2">
      <w:pPr>
        <w:pStyle w:val="18"/>
        <w:spacing w:line="400" w:lineRule="exact"/>
        <w:ind w:firstLine="420" w:firstLineChars="200"/>
        <w:rPr>
          <w:rFonts w:hint="eastAsia" w:ascii="宋体" w:hAnsi="宋体"/>
          <w:kern w:val="2"/>
          <w:sz w:val="21"/>
          <w:szCs w:val="21"/>
        </w:rPr>
      </w:pPr>
      <w:r>
        <w:rPr>
          <w:rFonts w:hint="eastAsia" w:ascii="宋体" w:hAnsi="宋体"/>
          <w:kern w:val="2"/>
          <w:sz w:val="21"/>
          <w:szCs w:val="21"/>
        </w:rPr>
        <w:t>7.投标人对所投产品的技术指标应做到真实响应，如发现有虚假应标情形的，除投标无效外，还将报财政监管部门处理。投标人提供假冒伪劣产品的，将依照政府采购法第七十七条第一款的规定追究法律责任。</w:t>
      </w:r>
    </w:p>
    <w:p w14:paraId="4A57BE73">
      <w:pPr>
        <w:pStyle w:val="18"/>
        <w:spacing w:line="400" w:lineRule="exact"/>
        <w:ind w:firstLine="420" w:firstLineChars="200"/>
        <w:rPr>
          <w:rFonts w:ascii="宋体" w:hAnsi="宋体"/>
          <w:sz w:val="21"/>
          <w:szCs w:val="21"/>
        </w:rPr>
      </w:pPr>
      <w:r>
        <w:rPr>
          <w:rFonts w:hint="eastAsia" w:ascii="宋体" w:hAnsi="宋体"/>
          <w:sz w:val="21"/>
          <w:szCs w:val="21"/>
        </w:rPr>
        <w:t>8.所属行业依照《中小企业划型标准规定》（工信部联企业〔2011〕300号）及《国民经济行业分类》（GB/T4754-2017）的有关规定执行。</w:t>
      </w:r>
    </w:p>
    <w:p w14:paraId="14273B93">
      <w:pPr>
        <w:spacing w:line="360" w:lineRule="auto"/>
        <w:ind w:firstLine="308" w:firstLineChars="147"/>
        <w:jc w:val="left"/>
        <w:rPr>
          <w:rFonts w:hint="eastAsia" w:ascii="宋体" w:hAnsi="宋体"/>
        </w:rPr>
      </w:pPr>
    </w:p>
    <w:p w14:paraId="1E57E8E8">
      <w:pPr>
        <w:spacing w:line="360" w:lineRule="exact"/>
        <w:ind w:firstLine="472" w:firstLineChars="147"/>
        <w:jc w:val="left"/>
        <w:rPr>
          <w:rFonts w:ascii="宋体" w:hAnsi="宋体"/>
          <w:b/>
          <w:szCs w:val="21"/>
        </w:rPr>
      </w:pPr>
      <w:r>
        <w:rPr>
          <w:rFonts w:hint="eastAsia" w:ascii="宋体" w:hAnsi="宋体"/>
          <w:b/>
          <w:sz w:val="32"/>
          <w:szCs w:val="32"/>
          <w:u w:val="single"/>
        </w:rPr>
        <w:t>分标1</w:t>
      </w:r>
      <w:r>
        <w:rPr>
          <w:rFonts w:hint="eastAsia" w:ascii="宋体" w:hAnsi="宋体"/>
          <w:b/>
          <w:sz w:val="32"/>
          <w:szCs w:val="32"/>
        </w:rPr>
        <w:t xml:space="preserve">   </w:t>
      </w:r>
      <w:r>
        <w:rPr>
          <w:rFonts w:hint="eastAsia" w:ascii="宋体" w:hAnsi="宋体"/>
          <w:b/>
          <w:szCs w:val="21"/>
        </w:rPr>
        <w:t xml:space="preserve"> 采购预算：</w:t>
      </w:r>
      <w:r>
        <w:rPr>
          <w:rFonts w:ascii="宋体" w:hAnsi="宋体"/>
          <w:b/>
          <w:szCs w:val="21"/>
          <w:u w:val="single"/>
        </w:rPr>
        <w:t>4</w:t>
      </w:r>
      <w:r>
        <w:rPr>
          <w:rFonts w:hint="eastAsia" w:ascii="宋体" w:hAnsi="宋体"/>
          <w:b/>
          <w:szCs w:val="21"/>
          <w:u w:val="single"/>
        </w:rPr>
        <w:t>12.00</w:t>
      </w:r>
      <w:r>
        <w:rPr>
          <w:rFonts w:hint="eastAsia" w:ascii="宋体" w:hAnsi="宋体"/>
          <w:b/>
          <w:szCs w:val="21"/>
        </w:rPr>
        <w:t>万元</w:t>
      </w:r>
    </w:p>
    <w:p w14:paraId="15652A21">
      <w:pPr>
        <w:spacing w:line="360" w:lineRule="exact"/>
        <w:ind w:firstLine="310" w:firstLineChars="147"/>
        <w:jc w:val="left"/>
        <w:rPr>
          <w:rFonts w:ascii="宋体" w:hAnsi="宋体"/>
          <w:b/>
          <w:szCs w:val="21"/>
        </w:rPr>
      </w:pPr>
      <w:r>
        <w:rPr>
          <w:rFonts w:hint="eastAsia" w:ascii="宋体" w:hAnsi="宋体"/>
          <w:b/>
          <w:szCs w:val="21"/>
        </w:rPr>
        <w:t>本分标货物即为核心产品。</w:t>
      </w:r>
    </w:p>
    <w:p w14:paraId="72A12749"/>
    <w:tbl>
      <w:tblPr>
        <w:tblStyle w:val="50"/>
        <w:tblW w:w="4997"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40"/>
        <w:gridCol w:w="644"/>
        <w:gridCol w:w="681"/>
        <w:gridCol w:w="23"/>
        <w:gridCol w:w="823"/>
        <w:gridCol w:w="5152"/>
        <w:gridCol w:w="1178"/>
      </w:tblGrid>
      <w:tr w14:paraId="3C8A8C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46" w:type="pct"/>
            <w:tcBorders>
              <w:top w:val="single" w:color="000000" w:sz="4" w:space="0"/>
              <w:left w:val="single" w:color="000000" w:sz="4" w:space="0"/>
              <w:bottom w:val="single" w:color="000000" w:sz="4" w:space="0"/>
              <w:right w:val="single" w:color="000000" w:sz="4" w:space="0"/>
            </w:tcBorders>
            <w:noWrap w:val="0"/>
            <w:vAlign w:val="center"/>
          </w:tcPr>
          <w:p w14:paraId="31800121">
            <w:pPr>
              <w:tabs>
                <w:tab w:val="left" w:pos="180"/>
                <w:tab w:val="left" w:pos="1620"/>
              </w:tabs>
              <w:spacing w:line="360" w:lineRule="exact"/>
              <w:jc w:val="center"/>
              <w:rPr>
                <w:rFonts w:ascii="宋体" w:hAnsi="宋体"/>
                <w:b/>
                <w:szCs w:val="21"/>
              </w:rPr>
            </w:pPr>
            <w:r>
              <w:rPr>
                <w:rFonts w:hint="eastAsia" w:ascii="宋体" w:hAnsi="宋体"/>
                <w:b/>
                <w:szCs w:val="21"/>
              </w:rPr>
              <w:t>序号</w:t>
            </w:r>
          </w:p>
        </w:tc>
        <w:tc>
          <w:tcPr>
            <w:tcW w:w="360" w:type="pct"/>
            <w:tcBorders>
              <w:top w:val="single" w:color="000000" w:sz="4" w:space="0"/>
              <w:left w:val="single" w:color="000000" w:sz="4" w:space="0"/>
              <w:bottom w:val="single" w:color="000000" w:sz="4" w:space="0"/>
              <w:right w:val="single" w:color="000000" w:sz="4" w:space="0"/>
            </w:tcBorders>
            <w:noWrap w:val="0"/>
            <w:vAlign w:val="center"/>
          </w:tcPr>
          <w:p w14:paraId="6E1E7EA3">
            <w:pPr>
              <w:tabs>
                <w:tab w:val="left" w:pos="180"/>
                <w:tab w:val="left" w:pos="1620"/>
              </w:tabs>
              <w:spacing w:line="360" w:lineRule="exact"/>
              <w:jc w:val="center"/>
              <w:rPr>
                <w:rFonts w:hint="eastAsia" w:ascii="宋体" w:hAnsi="宋体"/>
                <w:b/>
                <w:szCs w:val="21"/>
              </w:rPr>
            </w:pPr>
            <w:r>
              <w:rPr>
                <w:rFonts w:hint="eastAsia" w:ascii="宋体" w:hAnsi="宋体"/>
                <w:b/>
                <w:szCs w:val="21"/>
              </w:rPr>
              <w:t>标的名称</w:t>
            </w:r>
          </w:p>
        </w:tc>
        <w:tc>
          <w:tcPr>
            <w:tcW w:w="394" w:type="pct"/>
            <w:gridSpan w:val="2"/>
            <w:tcBorders>
              <w:top w:val="single" w:color="000000" w:sz="4" w:space="0"/>
              <w:left w:val="single" w:color="000000" w:sz="4" w:space="0"/>
              <w:bottom w:val="single" w:color="000000" w:sz="4" w:space="0"/>
              <w:right w:val="single" w:color="000000" w:sz="4" w:space="0"/>
            </w:tcBorders>
            <w:noWrap w:val="0"/>
            <w:vAlign w:val="center"/>
          </w:tcPr>
          <w:p w14:paraId="3EF05073">
            <w:pPr>
              <w:tabs>
                <w:tab w:val="left" w:pos="180"/>
                <w:tab w:val="left" w:pos="1620"/>
              </w:tabs>
              <w:spacing w:line="360" w:lineRule="exact"/>
              <w:jc w:val="center"/>
              <w:rPr>
                <w:rFonts w:hint="eastAsia" w:ascii="宋体" w:hAnsi="宋体"/>
                <w:b/>
                <w:szCs w:val="21"/>
              </w:rPr>
            </w:pPr>
            <w:r>
              <w:rPr>
                <w:rFonts w:hint="eastAsia" w:ascii="宋体" w:hAnsi="宋体"/>
                <w:b/>
                <w:szCs w:val="21"/>
              </w:rPr>
              <w:t>数量及单位</w:t>
            </w:r>
          </w:p>
        </w:tc>
        <w:tc>
          <w:tcPr>
            <w:tcW w:w="460" w:type="pct"/>
            <w:tcBorders>
              <w:top w:val="single" w:color="000000" w:sz="4" w:space="0"/>
              <w:left w:val="single" w:color="000000" w:sz="4" w:space="0"/>
              <w:bottom w:val="single" w:color="000000" w:sz="4" w:space="0"/>
              <w:right w:val="single" w:color="000000" w:sz="4" w:space="0"/>
            </w:tcBorders>
            <w:noWrap w:val="0"/>
            <w:vAlign w:val="center"/>
          </w:tcPr>
          <w:p w14:paraId="07102CF8">
            <w:pPr>
              <w:tabs>
                <w:tab w:val="left" w:pos="180"/>
                <w:tab w:val="left" w:pos="1620"/>
              </w:tabs>
              <w:spacing w:line="360" w:lineRule="exact"/>
              <w:jc w:val="center"/>
              <w:rPr>
                <w:rFonts w:hint="eastAsia" w:ascii="宋体" w:hAnsi="宋体" w:cs="Arial"/>
                <w:b/>
                <w:szCs w:val="21"/>
              </w:rPr>
            </w:pPr>
            <w:r>
              <w:rPr>
                <w:rFonts w:hint="eastAsia" w:ascii="宋体" w:hAnsi="宋体" w:cs="Arial"/>
                <w:b/>
                <w:szCs w:val="21"/>
              </w:rPr>
              <w:t>所属</w:t>
            </w:r>
          </w:p>
          <w:p w14:paraId="131D9529">
            <w:pPr>
              <w:tabs>
                <w:tab w:val="left" w:pos="180"/>
                <w:tab w:val="left" w:pos="1620"/>
              </w:tabs>
              <w:spacing w:line="360" w:lineRule="exact"/>
              <w:jc w:val="center"/>
              <w:rPr>
                <w:rFonts w:hint="eastAsia" w:ascii="宋体" w:hAnsi="宋体"/>
                <w:b/>
                <w:szCs w:val="21"/>
              </w:rPr>
            </w:pPr>
            <w:r>
              <w:rPr>
                <w:rFonts w:hint="eastAsia" w:ascii="宋体" w:hAnsi="宋体" w:cs="Arial"/>
                <w:b/>
                <w:szCs w:val="21"/>
              </w:rPr>
              <w:t>行业</w:t>
            </w:r>
          </w:p>
        </w:tc>
        <w:tc>
          <w:tcPr>
            <w:tcW w:w="2879" w:type="pct"/>
            <w:tcBorders>
              <w:top w:val="single" w:color="000000" w:sz="4" w:space="0"/>
              <w:left w:val="single" w:color="000000" w:sz="4" w:space="0"/>
              <w:bottom w:val="single" w:color="000000" w:sz="4" w:space="0"/>
              <w:right w:val="single" w:color="000000" w:sz="4" w:space="0"/>
            </w:tcBorders>
            <w:noWrap w:val="0"/>
            <w:vAlign w:val="center"/>
          </w:tcPr>
          <w:p w14:paraId="5323554F">
            <w:pPr>
              <w:tabs>
                <w:tab w:val="left" w:pos="180"/>
                <w:tab w:val="left" w:pos="1620"/>
              </w:tabs>
              <w:spacing w:line="360" w:lineRule="exact"/>
              <w:jc w:val="center"/>
              <w:rPr>
                <w:rFonts w:hint="eastAsia" w:ascii="宋体" w:hAnsi="宋体"/>
                <w:b/>
                <w:szCs w:val="21"/>
              </w:rPr>
            </w:pPr>
            <w:r>
              <w:rPr>
                <w:rFonts w:hint="eastAsia" w:ascii="宋体" w:hAnsi="宋体"/>
                <w:b/>
                <w:szCs w:val="21"/>
              </w:rPr>
              <w:t>技术需求及要求</w:t>
            </w:r>
          </w:p>
        </w:tc>
        <w:tc>
          <w:tcPr>
            <w:tcW w:w="658" w:type="pct"/>
            <w:tcBorders>
              <w:top w:val="single" w:color="000000" w:sz="4" w:space="0"/>
              <w:left w:val="single" w:color="000000" w:sz="4" w:space="0"/>
              <w:bottom w:val="single" w:color="000000" w:sz="4" w:space="0"/>
              <w:right w:val="single" w:color="000000" w:sz="4" w:space="0"/>
            </w:tcBorders>
            <w:noWrap w:val="0"/>
            <w:vAlign w:val="center"/>
          </w:tcPr>
          <w:p w14:paraId="7D67D222">
            <w:pPr>
              <w:tabs>
                <w:tab w:val="left" w:pos="180"/>
                <w:tab w:val="left" w:pos="1620"/>
              </w:tabs>
              <w:spacing w:line="360" w:lineRule="exact"/>
              <w:jc w:val="center"/>
              <w:rPr>
                <w:rFonts w:ascii="宋体" w:hAnsi="宋体"/>
                <w:b/>
                <w:szCs w:val="21"/>
              </w:rPr>
            </w:pPr>
            <w:r>
              <w:rPr>
                <w:rFonts w:hint="eastAsia" w:ascii="宋体" w:hAnsi="宋体"/>
                <w:b/>
                <w:szCs w:val="21"/>
              </w:rPr>
              <w:t>单价控制价（万元）</w:t>
            </w:r>
          </w:p>
        </w:tc>
      </w:tr>
      <w:tr w14:paraId="5883EB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46" w:type="pct"/>
            <w:tcBorders>
              <w:top w:val="single" w:color="000000" w:sz="4" w:space="0"/>
              <w:left w:val="single" w:color="000000" w:sz="4" w:space="0"/>
              <w:bottom w:val="single" w:color="000000" w:sz="4" w:space="0"/>
              <w:right w:val="single" w:color="000000" w:sz="4" w:space="0"/>
            </w:tcBorders>
            <w:noWrap w:val="0"/>
            <w:vAlign w:val="center"/>
          </w:tcPr>
          <w:p w14:paraId="1ABE545F">
            <w:pPr>
              <w:snapToGrid w:val="0"/>
              <w:spacing w:line="360" w:lineRule="exact"/>
              <w:jc w:val="center"/>
              <w:rPr>
                <w:rFonts w:hint="eastAsia" w:ascii="宋体" w:hAnsi="宋体"/>
                <w:szCs w:val="21"/>
              </w:rPr>
            </w:pPr>
            <w:r>
              <w:rPr>
                <w:rFonts w:hint="eastAsia" w:ascii="宋体" w:hAnsi="宋体"/>
                <w:szCs w:val="21"/>
              </w:rPr>
              <w:t>1</w:t>
            </w:r>
          </w:p>
        </w:tc>
        <w:tc>
          <w:tcPr>
            <w:tcW w:w="360" w:type="pct"/>
            <w:tcBorders>
              <w:top w:val="single" w:color="000000" w:sz="4" w:space="0"/>
              <w:left w:val="single" w:color="000000" w:sz="4" w:space="0"/>
              <w:bottom w:val="single" w:color="auto" w:sz="4" w:space="0"/>
              <w:right w:val="single" w:color="000000" w:sz="4" w:space="0"/>
            </w:tcBorders>
            <w:noWrap w:val="0"/>
            <w:vAlign w:val="center"/>
          </w:tcPr>
          <w:p w14:paraId="35071B70">
            <w:pPr>
              <w:widowControl/>
              <w:spacing w:line="360" w:lineRule="exact"/>
              <w:jc w:val="center"/>
              <w:textAlignment w:val="center"/>
              <w:rPr>
                <w:rFonts w:hint="eastAsia" w:ascii="宋体" w:hAnsi="宋体"/>
                <w:szCs w:val="21"/>
              </w:rPr>
            </w:pPr>
            <w:r>
              <w:rPr>
                <w:rFonts w:hint="eastAsia" w:ascii="宋体" w:hAnsi="宋体"/>
                <w:szCs w:val="21"/>
              </w:rPr>
              <w:t>25米快速桥梁架设车</w:t>
            </w:r>
          </w:p>
        </w:tc>
        <w:tc>
          <w:tcPr>
            <w:tcW w:w="394" w:type="pct"/>
            <w:gridSpan w:val="2"/>
            <w:tcBorders>
              <w:top w:val="single" w:color="000000" w:sz="4" w:space="0"/>
              <w:left w:val="single" w:color="000000" w:sz="4" w:space="0"/>
              <w:bottom w:val="single" w:color="auto" w:sz="4" w:space="0"/>
              <w:right w:val="single" w:color="000000" w:sz="4" w:space="0"/>
            </w:tcBorders>
            <w:noWrap w:val="0"/>
            <w:vAlign w:val="center"/>
          </w:tcPr>
          <w:p w14:paraId="53203F70">
            <w:pPr>
              <w:widowControl/>
              <w:spacing w:line="360" w:lineRule="exact"/>
              <w:jc w:val="center"/>
              <w:textAlignment w:val="center"/>
              <w:rPr>
                <w:rFonts w:hint="eastAsia" w:ascii="宋体" w:hAnsi="宋体"/>
                <w:szCs w:val="21"/>
              </w:rPr>
            </w:pPr>
            <w:r>
              <w:rPr>
                <w:rFonts w:hint="eastAsia" w:ascii="宋体" w:hAnsi="宋体"/>
                <w:szCs w:val="21"/>
              </w:rPr>
              <w:t>1套</w:t>
            </w:r>
          </w:p>
        </w:tc>
        <w:tc>
          <w:tcPr>
            <w:tcW w:w="460" w:type="pct"/>
            <w:tcBorders>
              <w:top w:val="single" w:color="000000" w:sz="4" w:space="0"/>
              <w:left w:val="single" w:color="000000" w:sz="4" w:space="0"/>
              <w:bottom w:val="single" w:color="auto" w:sz="4" w:space="0"/>
              <w:right w:val="single" w:color="000000" w:sz="4" w:space="0"/>
            </w:tcBorders>
            <w:noWrap w:val="0"/>
            <w:vAlign w:val="center"/>
          </w:tcPr>
          <w:p w14:paraId="7B7E9CCE">
            <w:pPr>
              <w:widowControl/>
              <w:spacing w:line="360" w:lineRule="exact"/>
              <w:jc w:val="center"/>
              <w:textAlignment w:val="center"/>
              <w:rPr>
                <w:rFonts w:hint="eastAsia" w:ascii="宋体" w:hAnsi="宋体"/>
                <w:szCs w:val="21"/>
              </w:rPr>
            </w:pPr>
            <w:r>
              <w:rPr>
                <w:rFonts w:hint="eastAsia" w:ascii="宋体" w:hAnsi="宋体"/>
                <w:szCs w:val="21"/>
              </w:rPr>
              <w:t>工业</w:t>
            </w:r>
          </w:p>
        </w:tc>
        <w:tc>
          <w:tcPr>
            <w:tcW w:w="2879" w:type="pct"/>
            <w:tcBorders>
              <w:top w:val="single" w:color="000000" w:sz="4" w:space="0"/>
              <w:left w:val="single" w:color="000000" w:sz="4" w:space="0"/>
              <w:bottom w:val="single" w:color="000000" w:sz="4" w:space="0"/>
              <w:right w:val="single" w:color="000000" w:sz="4" w:space="0"/>
            </w:tcBorders>
            <w:noWrap w:val="0"/>
            <w:vAlign w:val="center"/>
          </w:tcPr>
          <w:p w14:paraId="751B3647">
            <w:pPr>
              <w:widowControl/>
              <w:adjustRightInd w:val="0"/>
              <w:snapToGrid w:val="0"/>
              <w:spacing w:line="320" w:lineRule="exact"/>
              <w:textAlignment w:val="top"/>
              <w:rPr>
                <w:rFonts w:hint="eastAsia" w:ascii="宋体" w:hAnsi="宋体"/>
                <w:szCs w:val="21"/>
              </w:rPr>
            </w:pPr>
            <w:r>
              <w:rPr>
                <w:rFonts w:hint="eastAsia" w:ascii="宋体" w:hAnsi="宋体"/>
                <w:szCs w:val="21"/>
              </w:rPr>
              <w:t>▲1、桥梁承载能力：履带式荷载≥30t，轮式荷载轴压力≥13t；</w:t>
            </w:r>
          </w:p>
          <w:p w14:paraId="0667D21D">
            <w:pPr>
              <w:widowControl/>
              <w:adjustRightInd w:val="0"/>
              <w:snapToGrid w:val="0"/>
              <w:spacing w:line="320" w:lineRule="exact"/>
              <w:textAlignment w:val="top"/>
              <w:rPr>
                <w:rFonts w:hint="eastAsia" w:ascii="宋体" w:hAnsi="宋体"/>
                <w:szCs w:val="21"/>
              </w:rPr>
            </w:pPr>
            <w:r>
              <w:rPr>
                <w:rFonts w:hint="eastAsia" w:ascii="宋体" w:hAnsi="宋体"/>
                <w:szCs w:val="21"/>
              </w:rPr>
              <w:t>▲2、桥梁全长≥25m；克障宽度≥23m；</w:t>
            </w:r>
          </w:p>
          <w:p w14:paraId="08873276">
            <w:pPr>
              <w:widowControl/>
              <w:adjustRightInd w:val="0"/>
              <w:snapToGrid w:val="0"/>
              <w:spacing w:line="320" w:lineRule="exact"/>
              <w:textAlignment w:val="top"/>
              <w:rPr>
                <w:rFonts w:hint="eastAsia" w:ascii="宋体" w:hAnsi="宋体"/>
                <w:szCs w:val="21"/>
              </w:rPr>
            </w:pPr>
            <w:r>
              <w:rPr>
                <w:rFonts w:hint="eastAsia" w:ascii="宋体" w:hAnsi="宋体"/>
                <w:szCs w:val="21"/>
              </w:rPr>
              <w:t>▲3、通行部宽≥3.2m；</w:t>
            </w:r>
          </w:p>
          <w:p w14:paraId="47B0FE89">
            <w:pPr>
              <w:widowControl/>
              <w:adjustRightInd w:val="0"/>
              <w:snapToGrid w:val="0"/>
              <w:spacing w:line="320" w:lineRule="exact"/>
              <w:textAlignment w:val="top"/>
              <w:rPr>
                <w:rFonts w:hint="eastAsia" w:ascii="宋体" w:hAnsi="宋体"/>
                <w:szCs w:val="21"/>
              </w:rPr>
            </w:pPr>
            <w:r>
              <w:rPr>
                <w:rFonts w:hint="eastAsia" w:ascii="宋体" w:hAnsi="宋体"/>
                <w:szCs w:val="21"/>
              </w:rPr>
              <w:t>▲4、作业方式：车首机械化架设/撤收，车尾机械化架设/撤收；</w:t>
            </w:r>
          </w:p>
          <w:p w14:paraId="72286D05">
            <w:pPr>
              <w:widowControl/>
              <w:adjustRightInd w:val="0"/>
              <w:snapToGrid w:val="0"/>
              <w:spacing w:line="320" w:lineRule="exact"/>
              <w:textAlignment w:val="top"/>
              <w:rPr>
                <w:rFonts w:hint="eastAsia" w:ascii="宋体" w:hAnsi="宋体"/>
                <w:szCs w:val="21"/>
              </w:rPr>
            </w:pPr>
            <w:r>
              <w:rPr>
                <w:rFonts w:hint="eastAsia" w:ascii="宋体" w:hAnsi="宋体"/>
                <w:szCs w:val="21"/>
              </w:rPr>
              <w:t>5、最大岸差≥2m；</w:t>
            </w:r>
          </w:p>
          <w:p w14:paraId="595E7DCA">
            <w:pPr>
              <w:widowControl/>
              <w:adjustRightInd w:val="0"/>
              <w:snapToGrid w:val="0"/>
              <w:spacing w:line="320" w:lineRule="exact"/>
              <w:textAlignment w:val="top"/>
              <w:rPr>
                <w:rFonts w:hint="eastAsia" w:ascii="宋体" w:hAnsi="宋体"/>
                <w:szCs w:val="21"/>
              </w:rPr>
            </w:pPr>
            <w:r>
              <w:rPr>
                <w:rFonts w:hint="eastAsia" w:ascii="宋体" w:hAnsi="宋体"/>
                <w:szCs w:val="21"/>
              </w:rPr>
              <w:t>6、最高车速：≥80km/h；</w:t>
            </w:r>
          </w:p>
          <w:p w14:paraId="4C966CE5">
            <w:pPr>
              <w:widowControl/>
              <w:adjustRightInd w:val="0"/>
              <w:snapToGrid w:val="0"/>
              <w:spacing w:line="320" w:lineRule="exact"/>
              <w:textAlignment w:val="top"/>
              <w:rPr>
                <w:rFonts w:hint="eastAsia" w:ascii="宋体" w:hAnsi="宋体"/>
                <w:szCs w:val="21"/>
              </w:rPr>
            </w:pPr>
            <w:r>
              <w:rPr>
                <w:rFonts w:hint="eastAsia" w:ascii="宋体" w:hAnsi="宋体"/>
                <w:szCs w:val="21"/>
              </w:rPr>
              <w:t>7、最小离地间隙≥0.25m；</w:t>
            </w:r>
          </w:p>
          <w:p w14:paraId="4E11AC7B">
            <w:pPr>
              <w:widowControl/>
              <w:adjustRightInd w:val="0"/>
              <w:snapToGrid w:val="0"/>
              <w:spacing w:line="320" w:lineRule="exact"/>
              <w:textAlignment w:val="top"/>
              <w:rPr>
                <w:rFonts w:hint="eastAsia" w:ascii="宋体" w:hAnsi="宋体"/>
                <w:szCs w:val="21"/>
              </w:rPr>
            </w:pPr>
            <w:r>
              <w:rPr>
                <w:rFonts w:hint="eastAsia" w:ascii="宋体" w:hAnsi="宋体"/>
                <w:szCs w:val="21"/>
              </w:rPr>
              <w:t>8、整备质量：≤35t；</w:t>
            </w:r>
          </w:p>
          <w:p w14:paraId="0840196A">
            <w:pPr>
              <w:widowControl/>
              <w:adjustRightInd w:val="0"/>
              <w:snapToGrid w:val="0"/>
              <w:spacing w:line="320" w:lineRule="exact"/>
              <w:textAlignment w:val="top"/>
              <w:rPr>
                <w:rFonts w:hint="eastAsia" w:ascii="宋体" w:hAnsi="宋体"/>
                <w:szCs w:val="21"/>
              </w:rPr>
            </w:pPr>
            <w:r>
              <w:rPr>
                <w:rFonts w:hint="eastAsia" w:ascii="宋体" w:hAnsi="宋体"/>
                <w:szCs w:val="21"/>
              </w:rPr>
              <w:t>9、桥梁展开时间：≤15min；</w:t>
            </w:r>
          </w:p>
          <w:p w14:paraId="15F80251">
            <w:pPr>
              <w:widowControl/>
              <w:adjustRightInd w:val="0"/>
              <w:snapToGrid w:val="0"/>
              <w:spacing w:line="320" w:lineRule="exact"/>
              <w:textAlignment w:val="top"/>
              <w:rPr>
                <w:rFonts w:hint="eastAsia" w:ascii="宋体" w:hAnsi="宋体"/>
                <w:szCs w:val="21"/>
              </w:rPr>
            </w:pPr>
            <w:r>
              <w:rPr>
                <w:rFonts w:hint="eastAsia" w:ascii="宋体" w:hAnsi="宋体"/>
                <w:szCs w:val="21"/>
              </w:rPr>
              <w:t>10、排放等级：国Ⅵ标准；</w:t>
            </w:r>
          </w:p>
          <w:p w14:paraId="2E642545">
            <w:pPr>
              <w:widowControl/>
              <w:adjustRightInd w:val="0"/>
              <w:snapToGrid w:val="0"/>
              <w:spacing w:line="320" w:lineRule="exact"/>
              <w:textAlignment w:val="top"/>
              <w:rPr>
                <w:rFonts w:hint="eastAsia" w:ascii="宋体" w:hAnsi="宋体"/>
                <w:szCs w:val="21"/>
              </w:rPr>
            </w:pPr>
            <w:r>
              <w:rPr>
                <w:rFonts w:hint="eastAsia" w:ascii="宋体" w:hAnsi="宋体"/>
                <w:szCs w:val="21"/>
              </w:rPr>
              <w:t>11、作业人数： ≤3 人；</w:t>
            </w:r>
          </w:p>
          <w:p w14:paraId="5EB9DA5E">
            <w:pPr>
              <w:widowControl/>
              <w:adjustRightInd w:val="0"/>
              <w:snapToGrid w:val="0"/>
              <w:spacing w:line="320" w:lineRule="exact"/>
              <w:textAlignment w:val="top"/>
              <w:rPr>
                <w:rFonts w:hint="eastAsia" w:ascii="宋体" w:hAnsi="宋体"/>
                <w:szCs w:val="21"/>
              </w:rPr>
            </w:pPr>
            <w:r>
              <w:rPr>
                <w:rFonts w:hint="eastAsia" w:ascii="宋体" w:hAnsi="宋体"/>
                <w:szCs w:val="21"/>
              </w:rPr>
              <w:t>12、底盘车性能：8×4；</w:t>
            </w:r>
          </w:p>
          <w:p w14:paraId="5A6F75A5">
            <w:pPr>
              <w:widowControl/>
              <w:adjustRightInd w:val="0"/>
              <w:snapToGrid w:val="0"/>
              <w:spacing w:line="320" w:lineRule="exact"/>
              <w:textAlignment w:val="top"/>
              <w:rPr>
                <w:rFonts w:hint="eastAsia" w:ascii="宋体" w:hAnsi="宋体"/>
                <w:szCs w:val="21"/>
              </w:rPr>
            </w:pPr>
            <w:r>
              <w:rPr>
                <w:rFonts w:hint="eastAsia" w:ascii="宋体" w:hAnsi="宋体"/>
                <w:szCs w:val="21"/>
              </w:rPr>
              <w:t>13、最大续驶里程≥600km；</w:t>
            </w:r>
          </w:p>
          <w:p w14:paraId="73E517D1">
            <w:pPr>
              <w:widowControl/>
              <w:adjustRightInd w:val="0"/>
              <w:snapToGrid w:val="0"/>
              <w:spacing w:line="320" w:lineRule="exact"/>
              <w:textAlignment w:val="top"/>
              <w:rPr>
                <w:rFonts w:hint="eastAsia" w:ascii="宋体" w:hAnsi="宋体"/>
                <w:szCs w:val="21"/>
              </w:rPr>
            </w:pPr>
            <w:r>
              <w:rPr>
                <w:rFonts w:hint="eastAsia" w:ascii="宋体" w:hAnsi="宋体"/>
                <w:szCs w:val="21"/>
              </w:rPr>
              <w:t>14、发动机功率：≥290kw；</w:t>
            </w:r>
          </w:p>
          <w:p w14:paraId="4DA32942">
            <w:pPr>
              <w:widowControl/>
              <w:spacing w:line="360" w:lineRule="exact"/>
              <w:textAlignment w:val="top"/>
              <w:rPr>
                <w:rFonts w:hint="eastAsia" w:ascii="宋体" w:hAnsi="宋体"/>
                <w:szCs w:val="21"/>
              </w:rPr>
            </w:pPr>
            <w:r>
              <w:rPr>
                <w:rFonts w:hint="eastAsia" w:ascii="宋体" w:hAnsi="宋体"/>
                <w:szCs w:val="21"/>
              </w:rPr>
              <w:t>15、整备长度（含桥梁）：≤15m。</w:t>
            </w:r>
          </w:p>
        </w:tc>
        <w:tc>
          <w:tcPr>
            <w:tcW w:w="658" w:type="pct"/>
            <w:tcBorders>
              <w:top w:val="single" w:color="000000" w:sz="4" w:space="0"/>
              <w:left w:val="single" w:color="000000" w:sz="4" w:space="0"/>
              <w:bottom w:val="single" w:color="000000" w:sz="4" w:space="0"/>
              <w:right w:val="single" w:color="000000" w:sz="4" w:space="0"/>
            </w:tcBorders>
            <w:noWrap w:val="0"/>
            <w:vAlign w:val="center"/>
          </w:tcPr>
          <w:p w14:paraId="5A93B6C9">
            <w:pPr>
              <w:widowControl/>
              <w:spacing w:line="360" w:lineRule="exact"/>
              <w:jc w:val="center"/>
              <w:textAlignment w:val="top"/>
              <w:rPr>
                <w:rFonts w:ascii="宋体" w:hAnsi="宋体"/>
                <w:szCs w:val="21"/>
              </w:rPr>
            </w:pPr>
            <w:r>
              <w:rPr>
                <w:rFonts w:hint="eastAsia" w:ascii="宋体" w:hAnsi="宋体"/>
                <w:szCs w:val="21"/>
              </w:rPr>
              <w:t>412.00</w:t>
            </w:r>
          </w:p>
        </w:tc>
      </w:tr>
      <w:tr w14:paraId="100EE2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341" w:type="pct"/>
            <w:gridSpan w:val="6"/>
            <w:tcBorders>
              <w:top w:val="single" w:color="auto" w:sz="4" w:space="0"/>
              <w:left w:val="single" w:color="auto" w:sz="4" w:space="0"/>
              <w:bottom w:val="single" w:color="auto" w:sz="4" w:space="0"/>
              <w:right w:val="single" w:color="auto" w:sz="4" w:space="0"/>
            </w:tcBorders>
            <w:noWrap w:val="0"/>
            <w:vAlign w:val="top"/>
          </w:tcPr>
          <w:p w14:paraId="7DCB955A">
            <w:pPr>
              <w:spacing w:line="360" w:lineRule="exact"/>
              <w:rPr>
                <w:rFonts w:hint="eastAsia" w:ascii="宋体" w:hAnsi="宋体"/>
                <w:szCs w:val="21"/>
              </w:rPr>
            </w:pPr>
            <w:r>
              <w:rPr>
                <w:rFonts w:hint="eastAsia" w:ascii="宋体" w:hAnsi="宋体"/>
                <w:szCs w:val="21"/>
              </w:rPr>
              <w:t>▲</w:t>
            </w:r>
            <w:r>
              <w:rPr>
                <w:rFonts w:hint="eastAsia" w:ascii="宋体" w:hAnsi="宋体"/>
                <w:b/>
                <w:szCs w:val="21"/>
              </w:rPr>
              <w:t>一、商务要求</w:t>
            </w:r>
          </w:p>
        </w:tc>
        <w:tc>
          <w:tcPr>
            <w:tcW w:w="658" w:type="pct"/>
            <w:tcBorders>
              <w:top w:val="single" w:color="auto" w:sz="4" w:space="0"/>
              <w:left w:val="single" w:color="auto" w:sz="4" w:space="0"/>
              <w:bottom w:val="single" w:color="auto" w:sz="4" w:space="0"/>
              <w:right w:val="single" w:color="auto" w:sz="4" w:space="0"/>
            </w:tcBorders>
            <w:noWrap w:val="0"/>
            <w:vAlign w:val="top"/>
          </w:tcPr>
          <w:p w14:paraId="0D025234">
            <w:pPr>
              <w:spacing w:line="360" w:lineRule="exact"/>
              <w:rPr>
                <w:rFonts w:hint="eastAsia" w:ascii="宋体" w:hAnsi="宋体"/>
                <w:szCs w:val="21"/>
              </w:rPr>
            </w:pPr>
          </w:p>
        </w:tc>
      </w:tr>
      <w:tr w14:paraId="2616EE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7" w:type="pct"/>
            <w:gridSpan w:val="3"/>
            <w:tcBorders>
              <w:top w:val="single" w:color="auto" w:sz="4" w:space="0"/>
              <w:left w:val="single" w:color="auto" w:sz="4" w:space="0"/>
              <w:bottom w:val="single" w:color="auto" w:sz="4" w:space="0"/>
              <w:right w:val="single" w:color="auto" w:sz="4" w:space="0"/>
            </w:tcBorders>
            <w:noWrap w:val="0"/>
            <w:vAlign w:val="center"/>
          </w:tcPr>
          <w:p w14:paraId="65EB6B18">
            <w:pPr>
              <w:spacing w:line="360" w:lineRule="exact"/>
              <w:rPr>
                <w:rFonts w:hint="eastAsia" w:ascii="宋体" w:hAnsi="宋体"/>
                <w:szCs w:val="21"/>
              </w:rPr>
            </w:pPr>
            <w:r>
              <w:rPr>
                <w:rFonts w:hint="eastAsia" w:ascii="宋体" w:hAnsi="宋体"/>
                <w:szCs w:val="21"/>
              </w:rPr>
              <w:t>合同签订时间</w:t>
            </w:r>
          </w:p>
        </w:tc>
        <w:tc>
          <w:tcPr>
            <w:tcW w:w="4012" w:type="pct"/>
            <w:gridSpan w:val="4"/>
            <w:tcBorders>
              <w:top w:val="single" w:color="auto" w:sz="4" w:space="0"/>
              <w:left w:val="nil"/>
              <w:bottom w:val="single" w:color="auto" w:sz="4" w:space="0"/>
              <w:right w:val="single" w:color="auto" w:sz="4" w:space="0"/>
            </w:tcBorders>
            <w:noWrap w:val="0"/>
            <w:vAlign w:val="center"/>
          </w:tcPr>
          <w:p w14:paraId="65C62229">
            <w:pPr>
              <w:spacing w:line="360" w:lineRule="exact"/>
              <w:rPr>
                <w:rFonts w:hint="eastAsia" w:ascii="宋体" w:hAnsi="宋体"/>
                <w:szCs w:val="21"/>
              </w:rPr>
            </w:pPr>
            <w:r>
              <w:rPr>
                <w:rFonts w:hint="eastAsia" w:ascii="宋体" w:hAnsi="宋体"/>
                <w:szCs w:val="21"/>
              </w:rPr>
              <w:t>自中标通知书发出之日起25日内与采购人完成合同签订。</w:t>
            </w:r>
          </w:p>
        </w:tc>
      </w:tr>
      <w:tr w14:paraId="36E842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7" w:type="pct"/>
            <w:gridSpan w:val="3"/>
            <w:tcBorders>
              <w:top w:val="single" w:color="auto" w:sz="4" w:space="0"/>
              <w:left w:val="single" w:color="auto" w:sz="4" w:space="0"/>
              <w:bottom w:val="single" w:color="auto" w:sz="4" w:space="0"/>
              <w:right w:val="single" w:color="auto" w:sz="4" w:space="0"/>
            </w:tcBorders>
            <w:noWrap w:val="0"/>
            <w:vAlign w:val="center"/>
          </w:tcPr>
          <w:p w14:paraId="065F0670">
            <w:pPr>
              <w:spacing w:line="360" w:lineRule="exact"/>
              <w:rPr>
                <w:rFonts w:hint="eastAsia" w:ascii="宋体" w:hAnsi="宋体"/>
                <w:szCs w:val="21"/>
              </w:rPr>
            </w:pPr>
            <w:r>
              <w:rPr>
                <w:rFonts w:hint="eastAsia" w:ascii="宋体" w:hAnsi="宋体"/>
                <w:szCs w:val="21"/>
              </w:rPr>
              <w:t>交付使用时间及地点</w:t>
            </w:r>
          </w:p>
        </w:tc>
        <w:tc>
          <w:tcPr>
            <w:tcW w:w="4012" w:type="pct"/>
            <w:gridSpan w:val="4"/>
            <w:tcBorders>
              <w:top w:val="single" w:color="auto" w:sz="4" w:space="0"/>
              <w:left w:val="nil"/>
              <w:bottom w:val="single" w:color="auto" w:sz="4" w:space="0"/>
              <w:right w:val="single" w:color="auto" w:sz="4" w:space="0"/>
            </w:tcBorders>
            <w:noWrap w:val="0"/>
            <w:vAlign w:val="center"/>
          </w:tcPr>
          <w:p w14:paraId="0C1975FB">
            <w:pPr>
              <w:spacing w:line="360" w:lineRule="exact"/>
              <w:ind w:firstLine="420" w:firstLineChars="200"/>
              <w:rPr>
                <w:rFonts w:ascii="宋体" w:hAnsi="宋体"/>
                <w:szCs w:val="21"/>
              </w:rPr>
            </w:pPr>
            <w:r>
              <w:rPr>
                <w:rFonts w:hint="eastAsia" w:ascii="宋体" w:hAnsi="宋体"/>
                <w:szCs w:val="21"/>
              </w:rPr>
              <w:t>1.交货时间：自合同签订之日起6个月内交付。</w:t>
            </w:r>
          </w:p>
          <w:p w14:paraId="1C55EAD2">
            <w:pPr>
              <w:spacing w:line="360" w:lineRule="exact"/>
              <w:ind w:firstLine="420" w:firstLineChars="200"/>
              <w:rPr>
                <w:rFonts w:ascii="宋体" w:hAnsi="宋体"/>
                <w:szCs w:val="21"/>
              </w:rPr>
            </w:pPr>
            <w:r>
              <w:rPr>
                <w:rFonts w:hint="eastAsia" w:ascii="宋体" w:hAnsi="宋体"/>
                <w:szCs w:val="21"/>
              </w:rPr>
              <w:t>2.交货地点：广西区内采购人指定地点。交付货物清单同货物一并送达采购人；货物在交付前发生的风险均由中标供应商自行负责；未验收前保管工作由中标供应商自行负责。</w:t>
            </w:r>
          </w:p>
          <w:p w14:paraId="666CBDB0">
            <w:pPr>
              <w:spacing w:line="360" w:lineRule="exact"/>
              <w:ind w:firstLine="420" w:firstLineChars="200"/>
              <w:rPr>
                <w:rFonts w:ascii="宋体" w:hAnsi="宋体"/>
                <w:szCs w:val="21"/>
              </w:rPr>
            </w:pPr>
            <w:r>
              <w:rPr>
                <w:rFonts w:hint="eastAsia" w:ascii="宋体" w:hAnsi="宋体"/>
                <w:szCs w:val="21"/>
              </w:rPr>
              <w:t>3.中标供应商承担货物运输、验收检测和提供货物说明书、技术培训、售后服务等其他类似的义务。</w:t>
            </w:r>
          </w:p>
          <w:p w14:paraId="1CAC1CD4">
            <w:pPr>
              <w:spacing w:line="360" w:lineRule="exact"/>
              <w:ind w:firstLine="420" w:firstLineChars="200"/>
              <w:rPr>
                <w:rFonts w:hint="eastAsia" w:ascii="宋体" w:hAnsi="宋体"/>
                <w:szCs w:val="21"/>
              </w:rPr>
            </w:pPr>
            <w:r>
              <w:rPr>
                <w:rFonts w:hint="eastAsia" w:ascii="宋体" w:hAnsi="宋体"/>
                <w:szCs w:val="21"/>
              </w:rPr>
              <w:t>4.交货方式：现场交货。</w:t>
            </w:r>
          </w:p>
        </w:tc>
      </w:tr>
      <w:tr w14:paraId="2D1CF0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7" w:type="pct"/>
            <w:gridSpan w:val="3"/>
            <w:tcBorders>
              <w:top w:val="single" w:color="auto" w:sz="4" w:space="0"/>
              <w:left w:val="single" w:color="auto" w:sz="4" w:space="0"/>
              <w:bottom w:val="single" w:color="auto" w:sz="4" w:space="0"/>
              <w:right w:val="single" w:color="auto" w:sz="4" w:space="0"/>
            </w:tcBorders>
            <w:noWrap w:val="0"/>
            <w:vAlign w:val="center"/>
          </w:tcPr>
          <w:p w14:paraId="31A853BB">
            <w:pPr>
              <w:spacing w:line="360" w:lineRule="exact"/>
              <w:rPr>
                <w:rFonts w:hint="eastAsia" w:ascii="宋体" w:hAnsi="宋体"/>
                <w:szCs w:val="21"/>
              </w:rPr>
            </w:pPr>
            <w:r>
              <w:rPr>
                <w:rFonts w:hint="eastAsia" w:ascii="宋体" w:hAnsi="宋体"/>
                <w:szCs w:val="21"/>
              </w:rPr>
              <w:t>质保期</w:t>
            </w:r>
          </w:p>
        </w:tc>
        <w:tc>
          <w:tcPr>
            <w:tcW w:w="4012" w:type="pct"/>
            <w:gridSpan w:val="4"/>
            <w:tcBorders>
              <w:top w:val="single" w:color="auto" w:sz="4" w:space="0"/>
              <w:left w:val="nil"/>
              <w:bottom w:val="single" w:color="auto" w:sz="4" w:space="0"/>
              <w:right w:val="single" w:color="auto" w:sz="4" w:space="0"/>
            </w:tcBorders>
            <w:noWrap w:val="0"/>
            <w:vAlign w:val="center"/>
          </w:tcPr>
          <w:p w14:paraId="10D70DDD">
            <w:pPr>
              <w:spacing w:line="360" w:lineRule="exact"/>
              <w:ind w:firstLine="420" w:firstLineChars="200"/>
              <w:rPr>
                <w:rFonts w:hint="eastAsia" w:ascii="宋体" w:hAnsi="宋体"/>
                <w:szCs w:val="21"/>
              </w:rPr>
            </w:pPr>
            <w:r>
              <w:rPr>
                <w:rFonts w:hint="eastAsia" w:ascii="宋体" w:hAnsi="宋体"/>
                <w:szCs w:val="21"/>
              </w:rPr>
              <w:t>满足国家有关产品“三包”规定，且自本分标货物交付并最终验收合格之日起计算，质保期不少于3年或行驶里程6万公里，质保期以先达到的时间或里程为准。若厂家公开承诺质保期更长的，质保期从其承诺。</w:t>
            </w:r>
          </w:p>
        </w:tc>
      </w:tr>
      <w:tr w14:paraId="3B2A15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7" w:type="pct"/>
            <w:gridSpan w:val="3"/>
            <w:tcBorders>
              <w:top w:val="single" w:color="auto" w:sz="4" w:space="0"/>
              <w:left w:val="single" w:color="auto" w:sz="4" w:space="0"/>
              <w:bottom w:val="single" w:color="auto" w:sz="4" w:space="0"/>
              <w:right w:val="single" w:color="auto" w:sz="4" w:space="0"/>
            </w:tcBorders>
            <w:noWrap w:val="0"/>
            <w:vAlign w:val="center"/>
          </w:tcPr>
          <w:p w14:paraId="03CC0831">
            <w:pPr>
              <w:spacing w:line="360" w:lineRule="exact"/>
              <w:rPr>
                <w:rFonts w:hint="eastAsia" w:ascii="宋体" w:hAnsi="宋体"/>
                <w:szCs w:val="21"/>
              </w:rPr>
            </w:pPr>
            <w:bookmarkStart w:id="78" w:name="_Hlk222078788"/>
            <w:r>
              <w:rPr>
                <w:rFonts w:hint="eastAsia" w:ascii="宋体" w:hAnsi="宋体"/>
                <w:szCs w:val="21"/>
              </w:rPr>
              <w:t>售后服务及技术服务要求</w:t>
            </w:r>
          </w:p>
        </w:tc>
        <w:tc>
          <w:tcPr>
            <w:tcW w:w="4012" w:type="pct"/>
            <w:gridSpan w:val="4"/>
            <w:tcBorders>
              <w:top w:val="single" w:color="auto" w:sz="4" w:space="0"/>
              <w:left w:val="nil"/>
              <w:bottom w:val="single" w:color="auto" w:sz="4" w:space="0"/>
              <w:right w:val="single" w:color="auto" w:sz="4" w:space="0"/>
            </w:tcBorders>
            <w:noWrap w:val="0"/>
            <w:vAlign w:val="center"/>
          </w:tcPr>
          <w:p w14:paraId="704EB92B">
            <w:pPr>
              <w:spacing w:line="360" w:lineRule="exact"/>
              <w:ind w:firstLine="422" w:firstLineChars="200"/>
              <w:rPr>
                <w:rFonts w:ascii="宋体" w:hAnsi="宋体"/>
                <w:b/>
                <w:bCs/>
              </w:rPr>
            </w:pPr>
            <w:r>
              <w:rPr>
                <w:rFonts w:hint="eastAsia" w:ascii="宋体" w:hAnsi="宋体"/>
                <w:b/>
                <w:bCs/>
              </w:rPr>
              <w:t>（一）售后服务要求</w:t>
            </w:r>
          </w:p>
          <w:p w14:paraId="17CD75BF">
            <w:pPr>
              <w:spacing w:line="360" w:lineRule="exact"/>
              <w:ind w:firstLine="420" w:firstLineChars="200"/>
              <w:rPr>
                <w:rFonts w:hint="eastAsia" w:ascii="宋体" w:hAnsi="宋体" w:cs="Arial"/>
              </w:rPr>
            </w:pPr>
            <w:r>
              <w:rPr>
                <w:rFonts w:hint="eastAsia" w:ascii="宋体" w:hAnsi="宋体"/>
              </w:rPr>
              <w:t>1.中标后产品或服务由制造商（指产品生产制造商或服务实际提供人）负责质量保证期内的售后服务的，制造商提供的售后服务也应达到招标文件要求的标准，相关的售后服务费用由投标人向制造商支付，采购人不予另行支付。</w:t>
            </w:r>
          </w:p>
          <w:p w14:paraId="7B58F613">
            <w:pPr>
              <w:spacing w:line="360" w:lineRule="exact"/>
              <w:ind w:firstLine="420" w:firstLineChars="200"/>
              <w:rPr>
                <w:rFonts w:hint="eastAsia" w:ascii="宋体" w:hAnsi="宋体"/>
              </w:rPr>
            </w:pPr>
            <w:r>
              <w:rPr>
                <w:rFonts w:hint="eastAsia" w:ascii="宋体" w:hAnsi="宋体"/>
              </w:rPr>
              <w:t>2.提供的货物必须是未使用过的全新货物，并负责送货上门。所供货物必须满足采购合同要求，并符合国家规定的质量标准，否则采购人有权退、换货，由此引发的费用及其他经济损失全部由中标供应商承担。</w:t>
            </w:r>
          </w:p>
          <w:p w14:paraId="68ED297F">
            <w:pPr>
              <w:spacing w:line="360" w:lineRule="exact"/>
              <w:ind w:firstLine="420" w:firstLineChars="200"/>
              <w:rPr>
                <w:rFonts w:ascii="宋体" w:hAnsi="宋体"/>
              </w:rPr>
            </w:pPr>
            <w:r>
              <w:rPr>
                <w:rFonts w:hint="eastAsia" w:ascii="宋体" w:hAnsi="宋体"/>
              </w:rPr>
              <w:t>3.所提供货物安装或调试后进行技术性能、功能检测，按招标文件上的技术规格要求、中标供应商投标文件响应和承诺的技术参数及功能和国家等有关标准进行测试，涉及货物质量问题的中标供应商应在采购人指定期限内无条件退换；若退换后经采购人二次验收仍达不到要求的视为货物不合格，采购人可解除双方的供货合同；不合格项经核实属于投标时虚假响应的，采购人有权报政府采购监督管理部门申请解除合同，中标供应商自行承担相应法律后果。</w:t>
            </w:r>
          </w:p>
          <w:p w14:paraId="26F1D493">
            <w:pPr>
              <w:spacing w:line="360" w:lineRule="exact"/>
              <w:ind w:firstLine="420" w:firstLineChars="200"/>
              <w:rPr>
                <w:rFonts w:hint="eastAsia" w:ascii="宋体" w:hAnsi="宋体"/>
              </w:rPr>
            </w:pPr>
            <w:r>
              <w:rPr>
                <w:rFonts w:hint="eastAsia" w:ascii="宋体" w:hAnsi="宋体"/>
              </w:rPr>
              <w:t>4.在安装期、试运行期及最终验收后的质保期内，由于货物技术或质量问题而产生的故障，无论大小，中标供应商一律提供维修服务。质保期满后须提供终身维护服务。</w:t>
            </w:r>
          </w:p>
          <w:p w14:paraId="5DAFA38D">
            <w:pPr>
              <w:spacing w:line="360" w:lineRule="exact"/>
              <w:ind w:firstLine="420" w:firstLineChars="200"/>
              <w:rPr>
                <w:rFonts w:hint="eastAsia" w:ascii="宋体" w:hAnsi="宋体"/>
              </w:rPr>
            </w:pPr>
            <w:r>
              <w:rPr>
                <w:rFonts w:hint="eastAsia" w:ascii="宋体" w:hAnsi="宋体"/>
              </w:rPr>
              <w:t>5.货物交付并完成验收后，在质保期内，中标供应商接到采购人服务需求后，2小时内应做出明确回复，如有必要，中标供应商最近的售后服务点距离用户所在地500公里以内的，应保证在收到采购人服务通知后12小时内到达现场；中标供应商最近的售后服务点距离用户所在地500公里以外的（中国大陆地区），应保证在收到采购人缺陷通知后48小时内到达现场，产生一切费用由中标供应商承担，现场24小时内排查问题并处理完毕，确保货物能够正常使用。</w:t>
            </w:r>
          </w:p>
          <w:p w14:paraId="4B3D5A56">
            <w:pPr>
              <w:spacing w:line="360" w:lineRule="exact"/>
              <w:ind w:firstLine="420" w:firstLineChars="200"/>
              <w:rPr>
                <w:rFonts w:hint="eastAsia" w:ascii="宋体" w:hAnsi="宋体"/>
              </w:rPr>
            </w:pPr>
            <w:r>
              <w:rPr>
                <w:rFonts w:hint="eastAsia" w:ascii="宋体" w:hAnsi="宋体"/>
              </w:rPr>
              <w:t>6.质保期内的维修工时及材料费用、维修人员的差旅费、宿费等由中标供应商承担。</w:t>
            </w:r>
          </w:p>
          <w:p w14:paraId="55824D75">
            <w:pPr>
              <w:spacing w:line="360" w:lineRule="exact"/>
              <w:ind w:firstLine="420" w:firstLineChars="200"/>
              <w:rPr>
                <w:rFonts w:ascii="宋体" w:hAnsi="宋体"/>
              </w:rPr>
            </w:pPr>
            <w:r>
              <w:rPr>
                <w:rFonts w:hint="eastAsia" w:ascii="宋体" w:hAnsi="宋体"/>
              </w:rPr>
              <w:t>7.质保期内，中标供应商提供上门维保检修服务，服务间隔不超过6个月。</w:t>
            </w:r>
          </w:p>
          <w:p w14:paraId="502F1E87">
            <w:pPr>
              <w:spacing w:line="360" w:lineRule="exact"/>
              <w:ind w:firstLine="420" w:firstLineChars="200"/>
              <w:rPr>
                <w:rFonts w:ascii="宋体" w:hAnsi="宋体"/>
              </w:rPr>
            </w:pPr>
            <w:r>
              <w:rPr>
                <w:rFonts w:hint="eastAsia" w:ascii="宋体" w:hAnsi="宋体"/>
              </w:rPr>
              <w:t>8.在质保期内，如设备或零部件因非人力因素出现故障而造成短期停用，或同一缺陷经三次维修、调换后仍无法达到质量标准的，则认定该产品不合格，采购人有权将该货物无条件退货或要求更换。因故障造成的短期停用或因产品不合格导致更换的，质保期相应顺延。</w:t>
            </w:r>
          </w:p>
          <w:p w14:paraId="11D259EB">
            <w:pPr>
              <w:spacing w:line="360" w:lineRule="exact"/>
              <w:ind w:firstLine="420" w:firstLineChars="200"/>
              <w:rPr>
                <w:rFonts w:ascii="宋体" w:hAnsi="宋体"/>
              </w:rPr>
            </w:pPr>
            <w:r>
              <w:rPr>
                <w:rFonts w:hint="eastAsia" w:ascii="宋体" w:hAnsi="宋体"/>
              </w:rPr>
              <w:t>9.在装备质保期到期前的两个月内，中标供应商应协助采购人对所有装备进行一次全面检查与维护，所有费用由中标供应商负责。</w:t>
            </w:r>
          </w:p>
          <w:p w14:paraId="36423960">
            <w:pPr>
              <w:spacing w:line="360" w:lineRule="exact"/>
              <w:ind w:firstLine="420" w:firstLineChars="200"/>
              <w:rPr>
                <w:rFonts w:hint="eastAsia" w:ascii="宋体" w:hAnsi="宋体"/>
              </w:rPr>
            </w:pPr>
            <w:r>
              <w:rPr>
                <w:rFonts w:hint="eastAsia" w:ascii="宋体" w:hAnsi="宋体"/>
              </w:rPr>
              <w:t>10.质保期外出现故障时，中标供应商应按质保期内时效规定提供维修服务，以优惠价格收取材料费及人工费。中标供应商应保证有偿提供采购人10年的备品备件及易损件供应。</w:t>
            </w:r>
          </w:p>
          <w:p w14:paraId="11846749">
            <w:pPr>
              <w:spacing w:line="360" w:lineRule="exact"/>
              <w:ind w:firstLine="420" w:firstLineChars="200"/>
              <w:rPr>
                <w:rFonts w:hint="eastAsia" w:ascii="宋体" w:hAnsi="宋体"/>
              </w:rPr>
            </w:pPr>
            <w:r>
              <w:rPr>
                <w:rFonts w:hint="eastAsia" w:ascii="宋体" w:hAnsi="宋体"/>
              </w:rPr>
              <w:t>11.投标人或投标产品制造商针对项目提供有固定的维修服务点、能提供正常的技术、备品备件服务及产品数据升级。</w:t>
            </w:r>
          </w:p>
          <w:p w14:paraId="099C3C8F">
            <w:pPr>
              <w:spacing w:line="360" w:lineRule="exact"/>
              <w:ind w:firstLine="420" w:firstLineChars="200"/>
              <w:rPr>
                <w:rFonts w:ascii="宋体" w:hAnsi="宋体"/>
              </w:rPr>
            </w:pPr>
            <w:r>
              <w:rPr>
                <w:rFonts w:hint="eastAsia" w:ascii="宋体" w:hAnsi="宋体"/>
              </w:rPr>
              <w:t>12.在质保期内维修或更换缺陷部件的期限：中标供应商保证对装备维修随时响应，提供24小时售后服务电话，24小时售后服务电话如有变更，应至少在变更前15天以书面形式告知用户，并由用户书面确认。在质保期内，设备出现故障（非因操作不当造成），中标供应商接到采购人通知后，应在规定时间内到达现场修理，所需费用全部由中标供应商负担。规定时间为：中标供应商最近的售后服务点距离用户所在地500公里以内的，应保证在收到采购人缺陷通知后12小时内到达现场；中标供应商最近的售后服务点距离用户所在地500公里以外的（中国大陆地区），应保证在收到采购人缺陷通知后48小时内到达现场。如不能满足上述要求视为违约，单次赔偿金额为合同总价的0.5%（质保期内采购人有权从履约保证金中直接扣除），并由中标供应商承担因此造成的用户的经济损失。若出现重大故障，设备不能正常工作，质保期从设备修复后起重新计算。</w:t>
            </w:r>
          </w:p>
          <w:p w14:paraId="1F2488A3">
            <w:pPr>
              <w:spacing w:line="360" w:lineRule="exact"/>
              <w:ind w:firstLine="420" w:firstLineChars="200"/>
              <w:rPr>
                <w:rFonts w:ascii="宋体" w:hAnsi="宋体"/>
              </w:rPr>
            </w:pPr>
            <w:r>
              <w:rPr>
                <w:rFonts w:hint="eastAsia" w:ascii="宋体" w:hAnsi="宋体"/>
              </w:rPr>
              <w:t>13.质保期内，如中标供应商公司被兼并或收购，兼并或收购后的公司有责任继续对采购人履行服务。</w:t>
            </w:r>
          </w:p>
          <w:p w14:paraId="7C1089F6">
            <w:pPr>
              <w:spacing w:line="360" w:lineRule="exact"/>
              <w:ind w:firstLine="422" w:firstLineChars="200"/>
              <w:rPr>
                <w:rFonts w:hint="eastAsia" w:ascii="宋体" w:hAnsi="宋体"/>
                <w:b/>
                <w:bCs/>
              </w:rPr>
            </w:pPr>
            <w:r>
              <w:rPr>
                <w:rFonts w:hint="eastAsia" w:ascii="宋体" w:hAnsi="宋体"/>
                <w:b/>
                <w:bCs/>
              </w:rPr>
              <w:t>（二）车辆维护保养质量要求</w:t>
            </w:r>
          </w:p>
          <w:p w14:paraId="34A2A3FE">
            <w:pPr>
              <w:spacing w:line="360" w:lineRule="exact"/>
              <w:ind w:firstLine="420" w:firstLineChars="200"/>
              <w:rPr>
                <w:rFonts w:hint="eastAsia" w:ascii="宋体" w:hAnsi="宋体"/>
              </w:rPr>
            </w:pPr>
            <w:r>
              <w:rPr>
                <w:rFonts w:hint="eastAsia" w:ascii="宋体" w:hAnsi="宋体"/>
              </w:rPr>
              <w:t>1.车辆维修完成出厂执行国家规定的质量保证期制度，质量保证期内，车辆发现故障或损坏，中标供应商应负责及时送维修点进行维修。车辆按行业标准进行定期保养，保养项目包括但不限于更换机油（不低于厂家要求的标准）、滤清器、清洁空调系统、检查车辆系统（包括检查发动机、制动系统、灯光、轮胎、车身外观、燃油、车门和安全带以及悬挂系统等），如果发现任何异常情况，应及时进行修复或维护。</w:t>
            </w:r>
          </w:p>
          <w:p w14:paraId="0FF8D245">
            <w:pPr>
              <w:spacing w:line="360" w:lineRule="exact"/>
              <w:ind w:firstLine="420" w:firstLineChars="200"/>
              <w:rPr>
                <w:rFonts w:hint="eastAsia" w:ascii="宋体" w:hAnsi="宋体"/>
              </w:rPr>
            </w:pPr>
            <w:r>
              <w:rPr>
                <w:rFonts w:hint="eastAsia" w:ascii="宋体" w:hAnsi="宋体"/>
              </w:rPr>
              <w:t>2.维修更换所采用的零部件、配件、轮胎等材料必须符合国家颁布标准，不得使用假冒伪劣产品或以次充好，以旧代新。</w:t>
            </w:r>
          </w:p>
          <w:p w14:paraId="51B55FFA">
            <w:pPr>
              <w:spacing w:line="360" w:lineRule="exact"/>
              <w:ind w:firstLine="420" w:firstLineChars="200"/>
              <w:rPr>
                <w:rFonts w:hint="eastAsia" w:ascii="宋体" w:hAnsi="宋体"/>
              </w:rPr>
            </w:pPr>
            <w:r>
              <w:rPr>
                <w:rFonts w:hint="eastAsia" w:ascii="宋体" w:hAnsi="宋体"/>
              </w:rPr>
              <w:t>3.中标供应商设立车辆维修和保养服务专门联系人、联系电话，有专人提供从接车到送车出厂的全过程服务。</w:t>
            </w:r>
          </w:p>
          <w:p w14:paraId="0F4F9328">
            <w:pPr>
              <w:spacing w:line="360" w:lineRule="exact"/>
              <w:ind w:firstLine="420" w:firstLineChars="200"/>
              <w:rPr>
                <w:rFonts w:hint="eastAsia" w:ascii="宋体" w:hAnsi="宋体"/>
              </w:rPr>
            </w:pPr>
            <w:r>
              <w:rPr>
                <w:rFonts w:hint="eastAsia" w:ascii="宋体" w:hAnsi="宋体"/>
              </w:rPr>
              <w:t>4.中标供应商须提供特种车辆技术指导培训，以确保采购人的专业人员能够正确、安全地操作和维护特种车辆。中标供应商须根据特种车辆的类型和用途，确定培训内容，包括特种车辆的结构和原理、操作技巧、维护保养、故障排除等内容。中标供应商须提供培训教材，包括特种车辆的技术手册、操作指南、维修手册等，以供培训人员和学员使用。培训所需费用包含在投标报价中。</w:t>
            </w:r>
          </w:p>
          <w:p w14:paraId="54F323B4">
            <w:pPr>
              <w:spacing w:line="360" w:lineRule="exact"/>
              <w:ind w:firstLine="422" w:firstLineChars="200"/>
              <w:rPr>
                <w:rFonts w:ascii="宋体" w:hAnsi="宋体"/>
                <w:b/>
                <w:bCs/>
              </w:rPr>
            </w:pPr>
            <w:r>
              <w:rPr>
                <w:rFonts w:hint="eastAsia" w:ascii="宋体" w:hAnsi="宋体"/>
                <w:b/>
                <w:bCs/>
              </w:rPr>
              <w:t>（三）技术服务支持</w:t>
            </w:r>
          </w:p>
          <w:p w14:paraId="4D0B6369">
            <w:pPr>
              <w:spacing w:line="360" w:lineRule="exact"/>
              <w:ind w:firstLine="420" w:firstLineChars="200"/>
              <w:rPr>
                <w:rFonts w:hint="eastAsia" w:ascii="宋体" w:hAnsi="宋体"/>
              </w:rPr>
            </w:pPr>
            <w:r>
              <w:rPr>
                <w:rFonts w:hint="eastAsia" w:ascii="宋体" w:hAnsi="宋体"/>
              </w:rPr>
              <w:t>1.根据采购人需求，进行软件和硬件的升级和更新，以保持设备的最佳性能。为采购人的单位员工提供设备或系统使用的培训和技术支持，以便这些人员能够有效对设备或系统应用的使用。</w:t>
            </w:r>
          </w:p>
          <w:p w14:paraId="32D171DB">
            <w:pPr>
              <w:spacing w:line="360" w:lineRule="exact"/>
              <w:ind w:firstLine="420" w:firstLineChars="200"/>
              <w:rPr>
                <w:rFonts w:hint="eastAsia" w:ascii="宋体" w:hAnsi="宋体"/>
              </w:rPr>
            </w:pPr>
            <w:r>
              <w:rPr>
                <w:rFonts w:hint="eastAsia" w:ascii="宋体" w:hAnsi="宋体"/>
              </w:rPr>
              <w:t>2.技术保障服务</w:t>
            </w:r>
          </w:p>
          <w:p w14:paraId="43FA410D">
            <w:pPr>
              <w:spacing w:line="360" w:lineRule="exact"/>
              <w:ind w:firstLine="420" w:firstLineChars="200"/>
              <w:rPr>
                <w:rFonts w:hint="eastAsia" w:ascii="宋体" w:hAnsi="宋体"/>
              </w:rPr>
            </w:pPr>
            <w:r>
              <w:rPr>
                <w:rFonts w:hint="eastAsia" w:ascii="宋体" w:hAnsi="宋体"/>
              </w:rPr>
              <w:t>定期巡检及时掌握设备或系统在使用过程中的各种情况，发现问题及时排除，在故障响应时间内检查采购人反映的问题，并按时维修或者提供备品备件排除故障，保证设备或系统正常运行、正常使用。</w:t>
            </w:r>
          </w:p>
          <w:p w14:paraId="21167534">
            <w:pPr>
              <w:spacing w:line="360" w:lineRule="exact"/>
              <w:ind w:firstLine="420" w:firstLineChars="200"/>
              <w:rPr>
                <w:rFonts w:hint="eastAsia" w:ascii="宋体" w:hAnsi="宋体"/>
              </w:rPr>
            </w:pPr>
            <w:r>
              <w:rPr>
                <w:rFonts w:hint="eastAsia" w:ascii="宋体" w:hAnsi="宋体"/>
              </w:rPr>
              <w:t>3.技术培训服务</w:t>
            </w:r>
          </w:p>
          <w:p w14:paraId="4C412CD3">
            <w:pPr>
              <w:spacing w:line="360" w:lineRule="exact"/>
              <w:ind w:firstLine="420" w:firstLineChars="200"/>
              <w:rPr>
                <w:rFonts w:hint="eastAsia"/>
              </w:rPr>
            </w:pPr>
            <w:r>
              <w:rPr>
                <w:rFonts w:hint="eastAsia" w:ascii="宋体" w:hAnsi="宋体"/>
              </w:rPr>
              <w:t>为采购人相关人员提供专业的技术培训服务，在质保期内每年不少于1次培训，根据实际需求，</w:t>
            </w:r>
            <w:r>
              <w:rPr>
                <w:rFonts w:hint="eastAsia"/>
              </w:rPr>
              <w:t>提供线下集中培训，线下培训地点由采购人安排。</w:t>
            </w:r>
          </w:p>
          <w:p w14:paraId="32634026">
            <w:pPr>
              <w:spacing w:line="360" w:lineRule="exact"/>
              <w:ind w:firstLine="420" w:firstLineChars="200"/>
              <w:rPr>
                <w:rFonts w:hint="eastAsia" w:ascii="宋体" w:hAnsi="宋体"/>
              </w:rPr>
            </w:pPr>
            <w:r>
              <w:rPr>
                <w:rFonts w:hint="eastAsia" w:ascii="宋体" w:hAnsi="宋体"/>
              </w:rPr>
              <w:t>培训服务包含以下内容：</w:t>
            </w:r>
          </w:p>
          <w:p w14:paraId="2EC6FB12">
            <w:pPr>
              <w:spacing w:line="360" w:lineRule="exact"/>
              <w:ind w:firstLine="420" w:firstLineChars="200"/>
              <w:rPr>
                <w:rFonts w:hint="eastAsia" w:ascii="宋体" w:hAnsi="宋体"/>
              </w:rPr>
            </w:pPr>
            <w:r>
              <w:rPr>
                <w:rFonts w:hint="eastAsia" w:ascii="宋体" w:hAnsi="宋体"/>
              </w:rPr>
              <w:t>（1）基础操作培训：涵盖系统的基本操作、功能使用等。</w:t>
            </w:r>
          </w:p>
          <w:p w14:paraId="6B12AC5A">
            <w:pPr>
              <w:spacing w:line="360" w:lineRule="exact"/>
              <w:ind w:firstLine="420" w:firstLineChars="200"/>
              <w:rPr>
                <w:rFonts w:hint="eastAsia" w:ascii="宋体" w:hAnsi="宋体"/>
              </w:rPr>
            </w:pPr>
            <w:r>
              <w:rPr>
                <w:rFonts w:hint="eastAsia" w:ascii="宋体" w:hAnsi="宋体"/>
              </w:rPr>
              <w:t>（2）高级功能培训：针对特定的高级功能或模块进行深入培训。</w:t>
            </w:r>
          </w:p>
          <w:p w14:paraId="7C9F0FF8">
            <w:pPr>
              <w:spacing w:line="360" w:lineRule="exact"/>
              <w:ind w:firstLine="420" w:firstLineChars="200"/>
              <w:rPr>
                <w:rFonts w:hint="eastAsia" w:ascii="宋体" w:hAnsi="宋体"/>
              </w:rPr>
            </w:pPr>
            <w:r>
              <w:rPr>
                <w:rFonts w:hint="eastAsia" w:ascii="宋体" w:hAnsi="宋体"/>
              </w:rPr>
              <w:t>（3）系统管理与维护：针对系统维护、故障排除等系统管理培训。</w:t>
            </w:r>
          </w:p>
          <w:p w14:paraId="3661F88B">
            <w:pPr>
              <w:spacing w:line="360" w:lineRule="exact"/>
              <w:ind w:firstLine="420" w:firstLineChars="200"/>
              <w:rPr>
                <w:rFonts w:hint="eastAsia" w:ascii="宋体" w:hAnsi="宋体"/>
              </w:rPr>
            </w:pPr>
            <w:r>
              <w:rPr>
                <w:rFonts w:hint="eastAsia" w:ascii="宋体" w:hAnsi="宋体"/>
              </w:rPr>
              <w:t>（4）制作下发详细的培训教材，培训课件，培训视频等。</w:t>
            </w:r>
          </w:p>
          <w:p w14:paraId="249168BA">
            <w:pPr>
              <w:spacing w:line="360" w:lineRule="exact"/>
              <w:ind w:firstLine="420" w:firstLineChars="200"/>
              <w:rPr>
                <w:rFonts w:hint="eastAsia" w:ascii="宋体" w:hAnsi="宋体"/>
                <w:color w:val="000000"/>
              </w:rPr>
            </w:pPr>
            <w:r>
              <w:rPr>
                <w:rFonts w:hint="eastAsia" w:ascii="宋体" w:hAnsi="宋体"/>
              </w:rPr>
              <w:t>（5）提供后续培训服务，根据设备功能升级的调整、应用系统的升级、应用人员的变化，应用人员的能力提高等需求情况，根据特殊需求，提供针对</w:t>
            </w:r>
            <w:r>
              <w:rPr>
                <w:rFonts w:hint="eastAsia" w:ascii="宋体" w:hAnsi="宋体"/>
                <w:color w:val="000000"/>
              </w:rPr>
              <w:t>性培训，培训方式为集中专题培训。</w:t>
            </w:r>
          </w:p>
          <w:p w14:paraId="4263B404">
            <w:pPr>
              <w:spacing w:line="360" w:lineRule="exact"/>
              <w:ind w:firstLine="420" w:firstLineChars="200"/>
              <w:rPr>
                <w:rFonts w:ascii="宋体" w:hAnsi="宋体"/>
                <w:color w:val="000000"/>
              </w:rPr>
            </w:pPr>
            <w:r>
              <w:rPr>
                <w:rFonts w:hint="eastAsia" w:ascii="宋体" w:hAnsi="宋体"/>
                <w:color w:val="000000"/>
              </w:rPr>
              <w:t>（6）为每台设备培训不少于2名操作人员，</w:t>
            </w:r>
            <w:r>
              <w:rPr>
                <w:rFonts w:hint="eastAsia" w:ascii="宋体" w:hAnsi="宋体"/>
                <w:color w:val="000000"/>
                <w:szCs w:val="21"/>
              </w:rPr>
              <w:t>且确保培训结束后操作人员能熟练操作设备</w:t>
            </w:r>
            <w:r>
              <w:rPr>
                <w:rFonts w:hint="eastAsia" w:ascii="宋体" w:hAnsi="宋体"/>
                <w:color w:val="000000"/>
              </w:rPr>
              <w:t>。</w:t>
            </w:r>
          </w:p>
          <w:p w14:paraId="414590BB">
            <w:pPr>
              <w:spacing w:line="360" w:lineRule="exact"/>
              <w:ind w:firstLine="420" w:firstLineChars="200"/>
              <w:rPr>
                <w:rFonts w:hint="eastAsia" w:ascii="宋体" w:hAnsi="宋体"/>
                <w:color w:val="000000"/>
              </w:rPr>
            </w:pPr>
            <w:r>
              <w:rPr>
                <w:rFonts w:hint="eastAsia" w:ascii="宋体" w:hAnsi="宋体"/>
                <w:color w:val="000000"/>
              </w:rPr>
              <w:t>4.应急演练技术支撑服务</w:t>
            </w:r>
          </w:p>
          <w:p w14:paraId="67EE3A05">
            <w:pPr>
              <w:spacing w:line="360" w:lineRule="exact"/>
              <w:ind w:firstLine="420" w:firstLineChars="200"/>
              <w:rPr>
                <w:rFonts w:hint="eastAsia" w:ascii="宋体" w:hAnsi="宋体"/>
              </w:rPr>
            </w:pPr>
            <w:r>
              <w:rPr>
                <w:rFonts w:hint="eastAsia" w:ascii="宋体" w:hAnsi="宋体"/>
                <w:color w:val="000000"/>
              </w:rPr>
              <w:t>根据应急部门应急演练需要，提供应急演练技术支撑服务，包括但不限于通过模拟实际场景，测试团队成员间的沟通、协作与流</w:t>
            </w:r>
            <w:r>
              <w:rPr>
                <w:rFonts w:hint="eastAsia" w:ascii="宋体" w:hAnsi="宋体"/>
              </w:rPr>
              <w:t>程执行效率。</w:t>
            </w:r>
          </w:p>
          <w:p w14:paraId="2DDE7391">
            <w:pPr>
              <w:spacing w:line="360" w:lineRule="exact"/>
              <w:ind w:firstLine="420" w:firstLineChars="200"/>
              <w:rPr>
                <w:rFonts w:hint="eastAsia" w:ascii="宋体" w:hAnsi="宋体"/>
              </w:rPr>
            </w:pPr>
            <w:r>
              <w:rPr>
                <w:rFonts w:hint="eastAsia" w:ascii="宋体" w:hAnsi="宋体"/>
              </w:rPr>
              <w:t>5.应急现场技术支撑服务</w:t>
            </w:r>
          </w:p>
          <w:p w14:paraId="6E70B585">
            <w:pPr>
              <w:spacing w:line="360" w:lineRule="exact"/>
              <w:ind w:firstLine="420" w:firstLineChars="200"/>
              <w:rPr>
                <w:rFonts w:hint="eastAsia" w:ascii="宋体" w:hAnsi="宋体"/>
              </w:rPr>
            </w:pPr>
            <w:r>
              <w:rPr>
                <w:rFonts w:hint="eastAsia" w:ascii="宋体" w:hAnsi="宋体"/>
              </w:rPr>
              <w:t>设立专门的售后服务团队提供服务支持，提供现场技术支撑服务，确保用户能够及时获得帮助和解决问题。</w:t>
            </w:r>
          </w:p>
          <w:p w14:paraId="52AC7FAD">
            <w:pPr>
              <w:spacing w:line="360" w:lineRule="exact"/>
              <w:ind w:firstLine="420" w:firstLineChars="200"/>
              <w:rPr>
                <w:rFonts w:hint="eastAsia" w:ascii="宋体" w:hAnsi="宋体"/>
              </w:rPr>
            </w:pPr>
            <w:r>
              <w:rPr>
                <w:rFonts w:hint="eastAsia" w:ascii="宋体" w:hAnsi="宋体"/>
              </w:rPr>
              <w:t>（1）技术咨询：解答采购人在使用产品或解决方案过程中遇到的技术问题。</w:t>
            </w:r>
          </w:p>
          <w:p w14:paraId="2614F050">
            <w:pPr>
              <w:spacing w:line="360" w:lineRule="exact"/>
              <w:ind w:firstLine="420" w:firstLineChars="200"/>
              <w:rPr>
                <w:rFonts w:hint="eastAsia" w:ascii="宋体" w:hAnsi="宋体"/>
              </w:rPr>
            </w:pPr>
            <w:r>
              <w:rPr>
                <w:rFonts w:hint="eastAsia" w:ascii="宋体" w:hAnsi="宋体"/>
              </w:rPr>
              <w:t>（2）方案定制：根据采购人的具体需求，提供个性化的解决方案。</w:t>
            </w:r>
          </w:p>
          <w:p w14:paraId="0436EA92">
            <w:pPr>
              <w:spacing w:line="360" w:lineRule="exact"/>
              <w:ind w:firstLine="420" w:firstLineChars="200"/>
              <w:rPr>
                <w:rFonts w:hint="eastAsia" w:ascii="宋体" w:hAnsi="宋体"/>
              </w:rPr>
            </w:pPr>
            <w:r>
              <w:rPr>
                <w:rFonts w:hint="eastAsia" w:ascii="宋体" w:hAnsi="宋体"/>
              </w:rPr>
              <w:t>（3）技术支持：在采购人遇到技术难题时，提供远程或现场的技术支持。</w:t>
            </w:r>
          </w:p>
          <w:p w14:paraId="79A4CCC4">
            <w:pPr>
              <w:spacing w:line="360" w:lineRule="exact"/>
              <w:ind w:firstLine="420" w:firstLineChars="200"/>
              <w:rPr>
                <w:rFonts w:hint="eastAsia" w:ascii="宋体" w:hAnsi="宋体"/>
              </w:rPr>
            </w:pPr>
            <w:r>
              <w:rPr>
                <w:rFonts w:hint="eastAsia" w:ascii="宋体" w:hAnsi="宋体"/>
              </w:rPr>
              <w:t>（4）应急响应：接故障通知后，在规定时间内对故障进行及时处理，如不能在规定时间内解决，应提供应急预案及备用产品，以保证采购人应急使用。</w:t>
            </w:r>
          </w:p>
        </w:tc>
      </w:tr>
      <w:bookmarkEnd w:id="78"/>
      <w:tr w14:paraId="2B6828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7" w:type="pct"/>
            <w:gridSpan w:val="3"/>
            <w:tcBorders>
              <w:top w:val="single" w:color="auto" w:sz="4" w:space="0"/>
              <w:left w:val="single" w:color="auto" w:sz="4" w:space="0"/>
              <w:bottom w:val="single" w:color="auto" w:sz="4" w:space="0"/>
              <w:right w:val="single" w:color="auto" w:sz="4" w:space="0"/>
            </w:tcBorders>
            <w:noWrap w:val="0"/>
            <w:vAlign w:val="center"/>
          </w:tcPr>
          <w:p w14:paraId="25F53399">
            <w:pPr>
              <w:spacing w:line="360" w:lineRule="exact"/>
              <w:rPr>
                <w:rFonts w:hint="eastAsia" w:ascii="宋体" w:hAnsi="宋体"/>
                <w:szCs w:val="21"/>
              </w:rPr>
            </w:pPr>
            <w:r>
              <w:rPr>
                <w:rFonts w:hint="eastAsia" w:ascii="宋体" w:hAnsi="宋体"/>
                <w:szCs w:val="21"/>
              </w:rPr>
              <w:t>付款方式</w:t>
            </w:r>
          </w:p>
        </w:tc>
        <w:tc>
          <w:tcPr>
            <w:tcW w:w="4012" w:type="pct"/>
            <w:gridSpan w:val="4"/>
            <w:tcBorders>
              <w:top w:val="single" w:color="auto" w:sz="4" w:space="0"/>
              <w:left w:val="nil"/>
              <w:bottom w:val="single" w:color="auto" w:sz="4" w:space="0"/>
              <w:right w:val="single" w:color="auto" w:sz="4" w:space="0"/>
            </w:tcBorders>
            <w:noWrap w:val="0"/>
            <w:vAlign w:val="center"/>
          </w:tcPr>
          <w:p w14:paraId="4AC264A7">
            <w:pPr>
              <w:spacing w:line="360" w:lineRule="exact"/>
              <w:ind w:firstLine="420" w:firstLineChars="200"/>
              <w:rPr>
                <w:rFonts w:hint="eastAsia" w:ascii="宋体" w:hAnsi="宋体"/>
                <w:szCs w:val="21"/>
              </w:rPr>
            </w:pPr>
            <w:r>
              <w:rPr>
                <w:rFonts w:hint="eastAsia" w:ascii="宋体" w:hAnsi="宋体"/>
                <w:szCs w:val="21"/>
              </w:rPr>
              <w:t>签订合同后中标供应商提供预付款同等价款保函【必须为无条件保函，且为独立保函（见索即付），由银行出具】后10个工作日内采购人支付合同款的40%</w:t>
            </w:r>
            <w:r>
              <w:rPr>
                <w:rFonts w:hint="eastAsia"/>
              </w:rPr>
              <w:t>作为预付款</w:t>
            </w:r>
            <w:r>
              <w:rPr>
                <w:rFonts w:hint="eastAsia" w:ascii="宋体" w:hAnsi="宋体"/>
                <w:szCs w:val="21"/>
              </w:rPr>
              <w:t>，本分标所有货物交付并最终验收合格后10个工作日内采购人付完剩余合同款。</w:t>
            </w:r>
          </w:p>
        </w:tc>
      </w:tr>
      <w:tr w14:paraId="094FC8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7" w:type="pct"/>
            <w:gridSpan w:val="3"/>
            <w:tcBorders>
              <w:top w:val="single" w:color="auto" w:sz="4" w:space="0"/>
              <w:left w:val="single" w:color="auto" w:sz="4" w:space="0"/>
              <w:bottom w:val="single" w:color="auto" w:sz="4" w:space="0"/>
              <w:right w:val="single" w:color="auto" w:sz="4" w:space="0"/>
            </w:tcBorders>
            <w:noWrap w:val="0"/>
            <w:vAlign w:val="center"/>
          </w:tcPr>
          <w:p w14:paraId="6C91C543">
            <w:pPr>
              <w:spacing w:line="360" w:lineRule="exact"/>
              <w:rPr>
                <w:rFonts w:hint="eastAsia" w:ascii="宋体" w:hAnsi="宋体"/>
                <w:szCs w:val="21"/>
              </w:rPr>
            </w:pPr>
            <w:r>
              <w:rPr>
                <w:rFonts w:hint="eastAsia" w:ascii="宋体" w:hAnsi="宋体"/>
                <w:szCs w:val="21"/>
              </w:rPr>
              <w:t>报价及要求</w:t>
            </w:r>
          </w:p>
        </w:tc>
        <w:tc>
          <w:tcPr>
            <w:tcW w:w="4012" w:type="pct"/>
            <w:gridSpan w:val="4"/>
            <w:tcBorders>
              <w:top w:val="single" w:color="auto" w:sz="4" w:space="0"/>
              <w:left w:val="nil"/>
              <w:bottom w:val="single" w:color="auto" w:sz="4" w:space="0"/>
              <w:right w:val="single" w:color="auto" w:sz="4" w:space="0"/>
            </w:tcBorders>
            <w:noWrap w:val="0"/>
            <w:vAlign w:val="center"/>
          </w:tcPr>
          <w:p w14:paraId="43AECC42">
            <w:pPr>
              <w:spacing w:line="360" w:lineRule="exact"/>
              <w:ind w:firstLine="420" w:firstLineChars="200"/>
              <w:rPr>
                <w:rFonts w:hint="eastAsia" w:ascii="宋体" w:hAnsi="宋体"/>
                <w:szCs w:val="21"/>
              </w:rPr>
            </w:pPr>
            <w:r>
              <w:rPr>
                <w:rFonts w:hint="eastAsia" w:ascii="宋体" w:hAnsi="宋体"/>
                <w:szCs w:val="21"/>
              </w:rPr>
              <w:t>1.投标人的投标报价为人民币含税价，总价包干且为采购人指定地点的现场交货价。投标报价包含货物及服务所需的一切费用总和，包括但不限于货物价格、标准附件、备品备件、专用工具、包装、运输、装卸、保管、验收、货物检验检测、培训、本项目招标文件要求的售后服务及技术服务要求、技术支持、人员服务、保险、购置税、招标代理服务费、税金等，以及车辆的首次交强险、首年车船税、购置税、上线检测费、牌证费，以及合同明示所有责任、义务和一般风险等，采购人不再支付任何费用。</w:t>
            </w:r>
          </w:p>
          <w:p w14:paraId="479CC4B3">
            <w:pPr>
              <w:spacing w:line="360" w:lineRule="exact"/>
              <w:ind w:firstLine="420" w:firstLineChars="200"/>
              <w:rPr>
                <w:rFonts w:hint="eastAsia" w:ascii="宋体" w:hAnsi="宋体"/>
                <w:szCs w:val="21"/>
              </w:rPr>
            </w:pPr>
            <w:r>
              <w:rPr>
                <w:rFonts w:hint="eastAsia" w:ascii="宋体" w:hAnsi="宋体"/>
                <w:szCs w:val="21"/>
              </w:rPr>
              <w:t>2.包装和运输</w:t>
            </w:r>
          </w:p>
          <w:p w14:paraId="459FE6CE">
            <w:pPr>
              <w:spacing w:line="360" w:lineRule="exact"/>
              <w:ind w:firstLine="420" w:firstLineChars="200"/>
              <w:rPr>
                <w:rFonts w:hint="eastAsia" w:ascii="宋体" w:hAnsi="宋体"/>
                <w:szCs w:val="21"/>
              </w:rPr>
            </w:pPr>
            <w:r>
              <w:rPr>
                <w:rFonts w:hint="eastAsia" w:ascii="宋体" w:hAnsi="宋体"/>
                <w:szCs w:val="21"/>
              </w:rPr>
              <w:t>（1）原厂原包装，包装完好、完整无破损、未开封。</w:t>
            </w:r>
          </w:p>
          <w:p w14:paraId="0DC93D7C">
            <w:pPr>
              <w:spacing w:line="360" w:lineRule="exact"/>
              <w:ind w:firstLine="420" w:firstLineChars="200"/>
              <w:rPr>
                <w:rFonts w:hint="eastAsia" w:ascii="宋体" w:hAnsi="宋体"/>
                <w:szCs w:val="21"/>
              </w:rPr>
            </w:pPr>
            <w:r>
              <w:rPr>
                <w:rFonts w:hint="eastAsia" w:ascii="宋体" w:hAnsi="宋体"/>
                <w:szCs w:val="21"/>
              </w:rPr>
              <w:t>（2）包装及运输方式应综合考虑运输距离、防潮、防震、防破损、装卸等要求。</w:t>
            </w:r>
          </w:p>
          <w:p w14:paraId="3E0A115B">
            <w:pPr>
              <w:spacing w:line="360" w:lineRule="exact"/>
              <w:ind w:firstLine="420" w:firstLineChars="200"/>
              <w:rPr>
                <w:rFonts w:hint="eastAsia" w:ascii="宋体" w:hAnsi="宋体"/>
                <w:szCs w:val="21"/>
              </w:rPr>
            </w:pPr>
            <w:r>
              <w:rPr>
                <w:rFonts w:hint="eastAsia" w:ascii="宋体" w:hAnsi="宋体"/>
                <w:szCs w:val="21"/>
              </w:rPr>
              <w:t>（3）国家对包装及运输有相关强制性标准或要求的，供应商应当执行。</w:t>
            </w:r>
          </w:p>
          <w:p w14:paraId="63BEA204">
            <w:pPr>
              <w:spacing w:line="360" w:lineRule="exact"/>
              <w:ind w:firstLine="420" w:firstLineChars="200"/>
              <w:rPr>
                <w:rFonts w:hint="eastAsia" w:ascii="宋体" w:hAnsi="宋体"/>
                <w:szCs w:val="21"/>
              </w:rPr>
            </w:pPr>
            <w:r>
              <w:rPr>
                <w:rFonts w:hint="eastAsia" w:ascii="宋体" w:hAnsi="宋体"/>
                <w:szCs w:val="21"/>
              </w:rPr>
              <w:t>（4）货物（含包装）运抵采购人指定交付地点前发生损坏的，相关损失由供应商自行承担。</w:t>
            </w:r>
          </w:p>
          <w:p w14:paraId="1906CB0B">
            <w:pPr>
              <w:spacing w:line="360" w:lineRule="exact"/>
              <w:ind w:firstLine="420" w:firstLineChars="200"/>
              <w:rPr>
                <w:rFonts w:hint="eastAsia" w:ascii="宋体" w:hAnsi="宋体"/>
                <w:szCs w:val="21"/>
              </w:rPr>
            </w:pPr>
            <w:r>
              <w:rPr>
                <w:rFonts w:hint="eastAsia" w:ascii="宋体" w:hAnsi="宋体"/>
                <w:szCs w:val="21"/>
              </w:rPr>
              <w:t>3.保险。若供应商为本项目标的及标的涉及的相关材料、货物、人员、运输等购买保险的，相关费用由供应商自行承担。</w:t>
            </w:r>
          </w:p>
        </w:tc>
      </w:tr>
      <w:tr w14:paraId="2EC0B5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7" w:type="pct"/>
            <w:gridSpan w:val="3"/>
            <w:tcBorders>
              <w:top w:val="single" w:color="auto" w:sz="4" w:space="0"/>
              <w:left w:val="single" w:color="auto" w:sz="4" w:space="0"/>
              <w:bottom w:val="single" w:color="auto" w:sz="4" w:space="0"/>
              <w:right w:val="single" w:color="auto" w:sz="4" w:space="0"/>
            </w:tcBorders>
            <w:noWrap w:val="0"/>
            <w:vAlign w:val="center"/>
          </w:tcPr>
          <w:p w14:paraId="1AC1DC41">
            <w:pPr>
              <w:spacing w:line="360" w:lineRule="exact"/>
              <w:rPr>
                <w:rFonts w:hint="eastAsia" w:ascii="宋体" w:hAnsi="宋体"/>
                <w:szCs w:val="21"/>
              </w:rPr>
            </w:pPr>
            <w:r>
              <w:rPr>
                <w:rFonts w:hint="eastAsia" w:ascii="宋体" w:hAnsi="宋体"/>
                <w:szCs w:val="21"/>
              </w:rPr>
              <w:t>知识产权</w:t>
            </w:r>
          </w:p>
        </w:tc>
        <w:tc>
          <w:tcPr>
            <w:tcW w:w="4012" w:type="pct"/>
            <w:gridSpan w:val="4"/>
            <w:tcBorders>
              <w:top w:val="single" w:color="auto" w:sz="4" w:space="0"/>
              <w:left w:val="nil"/>
              <w:bottom w:val="single" w:color="auto" w:sz="4" w:space="0"/>
              <w:right w:val="single" w:color="auto" w:sz="4" w:space="0"/>
            </w:tcBorders>
            <w:noWrap w:val="0"/>
            <w:vAlign w:val="center"/>
          </w:tcPr>
          <w:p w14:paraId="7FA5C084">
            <w:pPr>
              <w:spacing w:line="360" w:lineRule="exact"/>
              <w:ind w:right="-57" w:rightChars="-27" w:firstLine="420" w:firstLineChars="200"/>
              <w:jc w:val="left"/>
              <w:rPr>
                <w:rFonts w:hint="eastAsia" w:ascii="宋体" w:hAnsi="宋体"/>
                <w:szCs w:val="21"/>
              </w:rPr>
            </w:pPr>
            <w:r>
              <w:rPr>
                <w:rFonts w:hint="eastAsia" w:ascii="宋体" w:hAnsi="宋体"/>
                <w:szCs w:val="21"/>
              </w:rPr>
              <w:t>中标供应商保证所提供的货物及服务涉及到的知识产权和相关技术资料是合法取得的，采购人在使用货物及服务时不会侵犯任何第三方的专利权、商标权、工业设计权或其他权利，不会因为采购人的使用遭受第三方侵权指控，包括被责令致歉、停止使用、追偿或要求赔偿损失等，如果第三方提出侵权指控，中标供应商承担由此而引起的一切法律责任和费用；中标供应商负责解决由此引起的一切纠纷，采购人有权追究中标供应商的法律责任，其不利后果由中标供应商全部承担。</w:t>
            </w:r>
          </w:p>
        </w:tc>
      </w:tr>
      <w:tr w14:paraId="13732A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7" w:type="pct"/>
            <w:gridSpan w:val="3"/>
            <w:tcBorders>
              <w:top w:val="single" w:color="auto" w:sz="4" w:space="0"/>
              <w:left w:val="single" w:color="auto" w:sz="4" w:space="0"/>
              <w:bottom w:val="single" w:color="auto" w:sz="4" w:space="0"/>
              <w:right w:val="single" w:color="auto" w:sz="4" w:space="0"/>
            </w:tcBorders>
            <w:noWrap w:val="0"/>
            <w:vAlign w:val="center"/>
          </w:tcPr>
          <w:p w14:paraId="04223FFE">
            <w:pPr>
              <w:snapToGrid w:val="0"/>
              <w:spacing w:line="360" w:lineRule="exact"/>
              <w:rPr>
                <w:rFonts w:hint="eastAsia" w:ascii="宋体" w:hAnsi="宋体"/>
                <w:szCs w:val="21"/>
              </w:rPr>
            </w:pPr>
            <w:r>
              <w:rPr>
                <w:rFonts w:hint="eastAsia" w:ascii="宋体" w:hAnsi="宋体"/>
                <w:szCs w:val="21"/>
              </w:rPr>
              <w:t>验收要求</w:t>
            </w:r>
          </w:p>
        </w:tc>
        <w:tc>
          <w:tcPr>
            <w:tcW w:w="4012" w:type="pct"/>
            <w:gridSpan w:val="4"/>
            <w:tcBorders>
              <w:top w:val="single" w:color="auto" w:sz="4" w:space="0"/>
              <w:left w:val="nil"/>
              <w:bottom w:val="single" w:color="auto" w:sz="4" w:space="0"/>
              <w:right w:val="single" w:color="auto" w:sz="4" w:space="0"/>
            </w:tcBorders>
            <w:noWrap w:val="0"/>
            <w:vAlign w:val="center"/>
          </w:tcPr>
          <w:p w14:paraId="5684AD0C">
            <w:pPr>
              <w:snapToGrid w:val="0"/>
              <w:spacing w:line="360" w:lineRule="exact"/>
              <w:ind w:firstLine="420" w:firstLineChars="200"/>
              <w:outlineLvl w:val="0"/>
              <w:rPr>
                <w:rFonts w:ascii="宋体" w:hAnsi="宋体"/>
                <w:kern w:val="0"/>
                <w:szCs w:val="21"/>
              </w:rPr>
            </w:pPr>
            <w:r>
              <w:rPr>
                <w:rFonts w:hint="eastAsia" w:ascii="宋体" w:hAnsi="宋体"/>
                <w:kern w:val="0"/>
                <w:szCs w:val="21"/>
              </w:rPr>
              <w:t>1.采购人可以根据采购项目具体情况自行组织验收，或者委托第三方机构或部门开展采购项目履约验收工作，验收过程中所产生的费用均由中标供应商承担，投标人在投标报价时应考虑相关费用。</w:t>
            </w:r>
          </w:p>
          <w:p w14:paraId="64EB7385">
            <w:pPr>
              <w:snapToGrid w:val="0"/>
              <w:spacing w:line="360" w:lineRule="exact"/>
              <w:ind w:firstLine="420" w:firstLineChars="200"/>
              <w:outlineLvl w:val="0"/>
              <w:rPr>
                <w:rFonts w:ascii="宋体" w:hAnsi="宋体"/>
                <w:kern w:val="0"/>
                <w:szCs w:val="21"/>
              </w:rPr>
            </w:pPr>
            <w:r>
              <w:rPr>
                <w:rFonts w:hint="eastAsia" w:ascii="宋体" w:hAnsi="宋体"/>
                <w:kern w:val="0"/>
                <w:szCs w:val="21"/>
              </w:rPr>
              <w:t>2.在验收过程中发现中标供应商有违约问题，可暂缓资金结算，待违约问题解决后，方可办理资金结算事宜。</w:t>
            </w:r>
          </w:p>
          <w:p w14:paraId="172BE827">
            <w:pPr>
              <w:snapToGrid w:val="0"/>
              <w:spacing w:line="360" w:lineRule="exact"/>
              <w:ind w:firstLine="420" w:firstLineChars="200"/>
              <w:outlineLvl w:val="0"/>
              <w:rPr>
                <w:rFonts w:ascii="宋体" w:hAnsi="宋体"/>
                <w:kern w:val="0"/>
                <w:szCs w:val="21"/>
              </w:rPr>
            </w:pPr>
            <w:r>
              <w:rPr>
                <w:rFonts w:hint="eastAsia" w:ascii="宋体" w:hAnsi="宋体"/>
                <w:kern w:val="0"/>
                <w:szCs w:val="21"/>
              </w:rPr>
              <w:t>3.验收依据：按合同（含本招标文件采购需求、中标供应商投标文件承诺）要求及国家标准进行验收。</w:t>
            </w:r>
          </w:p>
          <w:p w14:paraId="4736B6A4">
            <w:pPr>
              <w:snapToGrid w:val="0"/>
              <w:spacing w:line="360" w:lineRule="exact"/>
              <w:ind w:firstLine="420" w:firstLineChars="200"/>
              <w:outlineLvl w:val="0"/>
              <w:rPr>
                <w:rFonts w:ascii="宋体" w:hAnsi="宋体"/>
                <w:kern w:val="0"/>
                <w:szCs w:val="21"/>
              </w:rPr>
            </w:pPr>
            <w:r>
              <w:rPr>
                <w:rFonts w:hint="eastAsia" w:ascii="宋体" w:hAnsi="宋体"/>
                <w:kern w:val="0"/>
                <w:szCs w:val="21"/>
              </w:rPr>
              <w:t>4.验收程序及要求</w:t>
            </w:r>
          </w:p>
          <w:p w14:paraId="033A60DE">
            <w:pPr>
              <w:snapToGrid w:val="0"/>
              <w:spacing w:line="360" w:lineRule="exact"/>
              <w:ind w:firstLine="420" w:firstLineChars="200"/>
              <w:outlineLvl w:val="0"/>
              <w:rPr>
                <w:rFonts w:hint="eastAsia" w:ascii="宋体" w:hAnsi="宋体"/>
                <w:kern w:val="0"/>
                <w:szCs w:val="21"/>
              </w:rPr>
            </w:pPr>
            <w:r>
              <w:rPr>
                <w:rFonts w:hint="eastAsia" w:ascii="宋体" w:hAnsi="宋体"/>
                <w:kern w:val="0"/>
                <w:szCs w:val="21"/>
              </w:rPr>
              <w:t>4.1验收程序</w:t>
            </w:r>
          </w:p>
          <w:p w14:paraId="62315DC4">
            <w:pPr>
              <w:snapToGrid w:val="0"/>
              <w:spacing w:line="360" w:lineRule="exact"/>
              <w:ind w:firstLine="420" w:firstLineChars="200"/>
              <w:outlineLvl w:val="0"/>
              <w:rPr>
                <w:rFonts w:hint="eastAsia" w:ascii="宋体" w:hAnsi="宋体"/>
                <w:kern w:val="0"/>
                <w:szCs w:val="21"/>
                <w:highlight w:val="yellow"/>
              </w:rPr>
            </w:pPr>
            <w:r>
              <w:rPr>
                <w:rFonts w:hint="eastAsia" w:ascii="宋体" w:hAnsi="宋体"/>
                <w:kern w:val="0"/>
                <w:szCs w:val="21"/>
              </w:rPr>
              <w:t>（1）中标供应商按时间节点完成货物供货后，应及时整理技术资料并作出全面检查和整理，列出清单（包括但不限于招标文件采购需求及采购合同约定的附件、工具、技术资料、货物使用说明书、合格证等），作为采购人验收和使用的技术条件依据，清单应交给采购人；同时以书面形式通知采购人进行验收，采购人在收到通知后五个工作日内进行验收。货物生产厂家须派授权代表参加本项目交货验收，核实所交货物的真伪；中标供应商必须到场配合。</w:t>
            </w:r>
          </w:p>
          <w:p w14:paraId="5E2FA05A">
            <w:pPr>
              <w:snapToGrid w:val="0"/>
              <w:spacing w:line="360" w:lineRule="exact"/>
              <w:ind w:firstLine="420" w:firstLineChars="200"/>
              <w:outlineLvl w:val="0"/>
              <w:rPr>
                <w:rFonts w:ascii="宋体" w:hAnsi="宋体"/>
                <w:kern w:val="0"/>
                <w:szCs w:val="21"/>
              </w:rPr>
            </w:pPr>
            <w:r>
              <w:rPr>
                <w:rFonts w:hint="eastAsia" w:ascii="宋体" w:hAnsi="宋体"/>
                <w:kern w:val="0"/>
                <w:szCs w:val="21"/>
              </w:rPr>
              <w:t>（2）中标供应商按采购人需求清单进行供货，货物交到指定地点后，双方现场进行货品清点。</w:t>
            </w:r>
          </w:p>
          <w:p w14:paraId="7E69FC46">
            <w:pPr>
              <w:snapToGrid w:val="0"/>
              <w:spacing w:line="360" w:lineRule="exact"/>
              <w:ind w:firstLine="420" w:firstLineChars="200"/>
              <w:outlineLvl w:val="0"/>
              <w:rPr>
                <w:rFonts w:ascii="宋体" w:hAnsi="宋体"/>
                <w:kern w:val="0"/>
                <w:szCs w:val="21"/>
              </w:rPr>
            </w:pPr>
            <w:r>
              <w:rPr>
                <w:rFonts w:hint="eastAsia" w:ascii="宋体" w:hAnsi="宋体"/>
                <w:kern w:val="0"/>
                <w:szCs w:val="21"/>
              </w:rPr>
              <w:t>（3）验收小组依据招标文件技术参数条款要求和中标供应商投标响应文件内容，以及对所有需要进行核查的原件等逐条进行验收。供应商必须按投标文件和合同约定的品牌、规格供货，采购人在货物验收环节发现货物的技术参数指标不符合投标文件中技术参数响应的内容，验收不合格时，中标供应商必须在采购人指定的时间内无条件更换，由此造成的损失和责任由供应商承担；如二次验收仍不合格的，采购人有权拒收货物并单方面终止合同和追究中标供应商违约责任，中标供应商须赔偿由此给采购人造成的经济等方面损失，并视情形将违约情况上报政府采购监督管理部门，由此带来的一切责任由中标供应商自行承担。</w:t>
            </w:r>
          </w:p>
          <w:p w14:paraId="42EF1FD6">
            <w:pPr>
              <w:snapToGrid w:val="0"/>
              <w:spacing w:line="360" w:lineRule="exact"/>
              <w:ind w:firstLine="420" w:firstLineChars="200"/>
              <w:outlineLvl w:val="0"/>
              <w:rPr>
                <w:rFonts w:ascii="宋体" w:hAnsi="宋体"/>
                <w:kern w:val="0"/>
                <w:szCs w:val="21"/>
              </w:rPr>
            </w:pPr>
            <w:r>
              <w:rPr>
                <w:rFonts w:hint="eastAsia" w:ascii="宋体" w:hAnsi="宋体"/>
                <w:kern w:val="0"/>
                <w:szCs w:val="21"/>
              </w:rPr>
              <w:t>（4）货物交付并验收合格，双方签署验收单，作为合同款结算依据。如出现停产等问题，供应商在获得厂家说明和承诺的前提下，经采购人同意可以用质量更优于合同约定的货物进行替代交付，价格不变。如采购人不同意更换的，供应商应同意采购人扣减对应货物的费用。</w:t>
            </w:r>
          </w:p>
          <w:p w14:paraId="1BE95E4D">
            <w:pPr>
              <w:snapToGrid w:val="0"/>
              <w:spacing w:line="360" w:lineRule="exact"/>
              <w:ind w:firstLine="420" w:firstLineChars="200"/>
              <w:outlineLvl w:val="0"/>
              <w:rPr>
                <w:rFonts w:hint="eastAsia" w:ascii="宋体" w:hAnsi="宋体"/>
                <w:kern w:val="0"/>
                <w:szCs w:val="21"/>
              </w:rPr>
            </w:pPr>
            <w:r>
              <w:rPr>
                <w:rFonts w:hint="eastAsia" w:ascii="宋体" w:hAnsi="宋体"/>
                <w:kern w:val="0"/>
                <w:szCs w:val="21"/>
              </w:rPr>
              <w:t>4.2验收要求</w:t>
            </w:r>
          </w:p>
          <w:p w14:paraId="4D5E97A3">
            <w:pPr>
              <w:snapToGrid w:val="0"/>
              <w:spacing w:line="360" w:lineRule="exact"/>
              <w:ind w:firstLine="420" w:firstLineChars="200"/>
              <w:outlineLvl w:val="0"/>
              <w:rPr>
                <w:rFonts w:hint="eastAsia" w:ascii="宋体" w:hAnsi="宋体"/>
                <w:kern w:val="0"/>
                <w:szCs w:val="21"/>
              </w:rPr>
            </w:pPr>
            <w:r>
              <w:rPr>
                <w:rFonts w:hint="eastAsia" w:ascii="宋体" w:hAnsi="宋体"/>
                <w:kern w:val="0"/>
                <w:szCs w:val="21"/>
              </w:rPr>
              <w:t>（1）在任一单项验收环节，采购人、中标供应商、投标产品生产厂家（厂家的代表须持制造商法人授权委托书参加验收）以及采购人委托第三方机构代表（如委托验收）均应在场，交付的货物及相关资料、备品备件等符合验收标准的为单项验收合格，不符合验收标准的为单项验收不合格。验收结果由采购人或采购人委托的第三方机构出具验收结果报告或验收书，列明各项标准的验收情况，由采购人、中标供应商、投标产品生产厂家各方代表以及采购人委托第三方机构代表（如委托验收）共同签字确认并加盖采购人公章。验收结果报告或验收书一式三份，采购人、中标供应商双方各一份，采购人委托第三方机构（如委托验收）一份。验收结果报告或验收书经四方代表签字后即视为验收结果已通知采购人、中标供应商双方。如中标供应商或制造商对验收结果有异议的，应在验收现场以书面的形式出具说明，否则视为认可验收结果。单项验收不合格的，中标供应商应在不同验收阶段的当次验收后5个工作日内就不符合要求项以补充、更换、修理等采购人认可的方式进行整改并重新验收，未按时进行整改或整改后重新验收仍不合格的视为最终验收不合格，采购人不予支付货款，中标供应商须退回采购人所付的所有货款，并向采购人支付合同总金额30%的违约金，且赔偿采购人因此而造成的所有损失。</w:t>
            </w:r>
          </w:p>
          <w:p w14:paraId="3FCC9A74">
            <w:pPr>
              <w:snapToGrid w:val="0"/>
              <w:spacing w:line="360" w:lineRule="exact"/>
              <w:ind w:firstLine="420" w:firstLineChars="200"/>
              <w:outlineLvl w:val="0"/>
              <w:rPr>
                <w:rFonts w:hint="eastAsia" w:ascii="宋体" w:hAnsi="宋体"/>
                <w:kern w:val="0"/>
                <w:szCs w:val="21"/>
              </w:rPr>
            </w:pPr>
            <w:r>
              <w:rPr>
                <w:rFonts w:hint="eastAsia" w:ascii="宋体" w:hAnsi="宋体"/>
                <w:kern w:val="0"/>
                <w:szCs w:val="21"/>
              </w:rPr>
              <w:t>（2）对技术复杂的货物，采购人可请国家认可的专业检测机构参与验收，并由其出具质量检测报告，检测费用由中标供应商承担。</w:t>
            </w:r>
          </w:p>
          <w:p w14:paraId="6368F170">
            <w:pPr>
              <w:snapToGrid w:val="0"/>
              <w:spacing w:line="360" w:lineRule="exact"/>
              <w:ind w:firstLine="420" w:firstLineChars="200"/>
              <w:outlineLvl w:val="0"/>
              <w:rPr>
                <w:rFonts w:hint="eastAsia" w:ascii="宋体" w:hAnsi="宋体"/>
                <w:kern w:val="0"/>
                <w:szCs w:val="21"/>
              </w:rPr>
            </w:pPr>
            <w:r>
              <w:rPr>
                <w:rFonts w:hint="eastAsia" w:ascii="宋体" w:hAnsi="宋体"/>
                <w:kern w:val="0"/>
                <w:szCs w:val="21"/>
              </w:rPr>
              <w:t>（3）货物损毁、灭失的风险，自货物最终验收合格之日起由采购人承担。</w:t>
            </w:r>
          </w:p>
          <w:p w14:paraId="1BACA30D">
            <w:pPr>
              <w:snapToGrid w:val="0"/>
              <w:spacing w:line="360" w:lineRule="exact"/>
              <w:ind w:firstLine="420" w:firstLineChars="200"/>
              <w:outlineLvl w:val="0"/>
              <w:rPr>
                <w:rFonts w:hint="eastAsia" w:ascii="宋体" w:hAnsi="宋体"/>
                <w:kern w:val="0"/>
                <w:szCs w:val="21"/>
              </w:rPr>
            </w:pPr>
            <w:r>
              <w:rPr>
                <w:rFonts w:hint="eastAsia" w:ascii="宋体" w:hAnsi="宋体"/>
                <w:kern w:val="0"/>
                <w:szCs w:val="21"/>
              </w:rPr>
              <w:t>（4）依据国家和行业有关法规、技术标准规定和设计文件要求，结合项目现场实际情况进行验收质量抽查工作，由采购人或采购人委托的第三方机构进行抽查，抽查的数量，应不少于设备采购数量的1/3，且须兼顾每类设备。抽查验收不合格的，由中标供应商在规定时间内进行整改。</w:t>
            </w:r>
          </w:p>
          <w:p w14:paraId="03FEBBA9">
            <w:pPr>
              <w:snapToGrid w:val="0"/>
              <w:spacing w:line="360" w:lineRule="exact"/>
              <w:ind w:firstLine="420" w:firstLineChars="200"/>
              <w:outlineLvl w:val="0"/>
              <w:rPr>
                <w:rFonts w:hint="eastAsia" w:ascii="宋体" w:hAnsi="宋体"/>
                <w:kern w:val="0"/>
                <w:szCs w:val="21"/>
              </w:rPr>
            </w:pPr>
            <w:r>
              <w:rPr>
                <w:rFonts w:hint="eastAsia" w:ascii="宋体" w:hAnsi="宋体"/>
                <w:kern w:val="0"/>
                <w:szCs w:val="21"/>
              </w:rPr>
              <w:t>（5）验收地点及验收期限：到货验收地点为货物交付地点，其他验收地点为货物使用或安装地点；各单项验收应在采购人收到中标供应商的书面验收申请后5个工作日内组织。中标供应商在提出验收申请时，应确保已具备验收条件。</w:t>
            </w:r>
          </w:p>
          <w:p w14:paraId="3D1612F9">
            <w:pPr>
              <w:snapToGrid w:val="0"/>
              <w:spacing w:line="360" w:lineRule="exact"/>
              <w:ind w:firstLine="420" w:firstLineChars="200"/>
              <w:outlineLvl w:val="0"/>
              <w:rPr>
                <w:rFonts w:ascii="宋体" w:hAnsi="宋体"/>
                <w:kern w:val="0"/>
                <w:szCs w:val="21"/>
              </w:rPr>
            </w:pPr>
            <w:r>
              <w:rPr>
                <w:rFonts w:hint="eastAsia" w:ascii="宋体" w:hAnsi="宋体"/>
                <w:kern w:val="0"/>
                <w:szCs w:val="21"/>
              </w:rPr>
              <w:t>5.验收标准：</w:t>
            </w:r>
          </w:p>
          <w:p w14:paraId="1137CCDA">
            <w:pPr>
              <w:snapToGrid w:val="0"/>
              <w:spacing w:line="360" w:lineRule="exact"/>
              <w:ind w:firstLine="420" w:firstLineChars="200"/>
              <w:outlineLvl w:val="0"/>
              <w:rPr>
                <w:rFonts w:ascii="宋体" w:hAnsi="宋体"/>
                <w:kern w:val="0"/>
                <w:szCs w:val="21"/>
              </w:rPr>
            </w:pPr>
            <w:r>
              <w:rPr>
                <w:rFonts w:hint="eastAsia" w:ascii="宋体" w:hAnsi="宋体"/>
                <w:kern w:val="0"/>
                <w:szCs w:val="21"/>
              </w:rPr>
              <w:t>（1）按国家有关标准以及采购人招标文件的采购需求、中标供应商的投标文件响应及承诺与本合同约定进行验收。如果货物中有执行国家强制标准的，则验收标准不得低于国家强制标准。</w:t>
            </w:r>
          </w:p>
          <w:p w14:paraId="1FA01E13">
            <w:pPr>
              <w:snapToGrid w:val="0"/>
              <w:spacing w:line="360" w:lineRule="exact"/>
              <w:ind w:firstLine="420" w:firstLineChars="200"/>
              <w:outlineLvl w:val="0"/>
              <w:rPr>
                <w:rFonts w:hint="eastAsia" w:ascii="宋体" w:hAnsi="宋体"/>
                <w:kern w:val="0"/>
                <w:szCs w:val="21"/>
              </w:rPr>
            </w:pPr>
            <w:r>
              <w:rPr>
                <w:rFonts w:hint="eastAsia" w:ascii="宋体" w:hAnsi="宋体"/>
                <w:kern w:val="0"/>
                <w:szCs w:val="21"/>
              </w:rPr>
              <w:t>（2）车辆规格性能均应符合或优于本项目招标文件的要求且为新车，交货时车辆须带≥50升燃油。</w:t>
            </w:r>
          </w:p>
          <w:p w14:paraId="2ED52FC5">
            <w:pPr>
              <w:snapToGrid w:val="0"/>
              <w:spacing w:line="360" w:lineRule="exact"/>
              <w:ind w:firstLine="420" w:firstLineChars="200"/>
              <w:outlineLvl w:val="0"/>
              <w:rPr>
                <w:rFonts w:hint="eastAsia" w:ascii="宋体" w:hAnsi="宋体"/>
                <w:kern w:val="0"/>
                <w:szCs w:val="21"/>
              </w:rPr>
            </w:pPr>
            <w:r>
              <w:rPr>
                <w:rFonts w:hint="eastAsia" w:ascii="宋体" w:hAnsi="宋体"/>
                <w:kern w:val="0"/>
                <w:szCs w:val="21"/>
              </w:rPr>
              <w:t>（3）提供厂家使用说明书及维修手册1套。</w:t>
            </w:r>
          </w:p>
          <w:p w14:paraId="2E9759DA">
            <w:pPr>
              <w:snapToGrid w:val="0"/>
              <w:spacing w:line="360" w:lineRule="exact"/>
              <w:ind w:firstLine="420" w:firstLineChars="200"/>
              <w:outlineLvl w:val="0"/>
              <w:rPr>
                <w:rFonts w:hint="eastAsia" w:ascii="宋体" w:hAnsi="宋体"/>
                <w:kern w:val="0"/>
                <w:szCs w:val="21"/>
              </w:rPr>
            </w:pPr>
            <w:r>
              <w:rPr>
                <w:rFonts w:hint="eastAsia" w:ascii="宋体" w:hAnsi="宋体"/>
                <w:kern w:val="0"/>
                <w:szCs w:val="21"/>
              </w:rPr>
              <w:t>（4）出示厂家检验报告及合格证明。</w:t>
            </w:r>
          </w:p>
          <w:p w14:paraId="20ADDBFE">
            <w:pPr>
              <w:snapToGrid w:val="0"/>
              <w:spacing w:line="360" w:lineRule="exact"/>
              <w:ind w:firstLine="420" w:firstLineChars="200"/>
              <w:outlineLvl w:val="0"/>
              <w:rPr>
                <w:rFonts w:hint="eastAsia" w:ascii="宋体" w:hAnsi="宋体"/>
                <w:kern w:val="0"/>
                <w:szCs w:val="21"/>
              </w:rPr>
            </w:pPr>
            <w:r>
              <w:rPr>
                <w:rFonts w:hint="eastAsia" w:ascii="宋体" w:hAnsi="宋体"/>
                <w:kern w:val="0"/>
                <w:szCs w:val="21"/>
              </w:rPr>
              <w:t>（5）外观上灯光和仪表应灵敏、完整、清晰、准确，整机涂漆光泽均匀、无油漆脱落锈蚀、碰伤，附属器具和配件齐全完整，按采购人要求对产品进行涂装。</w:t>
            </w:r>
          </w:p>
          <w:p w14:paraId="28BBF92D">
            <w:pPr>
              <w:snapToGrid w:val="0"/>
              <w:spacing w:line="360" w:lineRule="exact"/>
              <w:ind w:firstLine="420" w:firstLineChars="200"/>
              <w:outlineLvl w:val="0"/>
              <w:rPr>
                <w:rFonts w:hint="eastAsia" w:ascii="宋体" w:hAnsi="宋体"/>
                <w:kern w:val="0"/>
                <w:szCs w:val="21"/>
              </w:rPr>
            </w:pPr>
            <w:r>
              <w:rPr>
                <w:rFonts w:hint="eastAsia" w:ascii="宋体" w:hAnsi="宋体"/>
                <w:kern w:val="0"/>
                <w:szCs w:val="21"/>
              </w:rPr>
              <w:t>（6）各部件性能可靠，无渗漏，无异响，转动灵活，制动良好。</w:t>
            </w:r>
          </w:p>
          <w:p w14:paraId="0B7B5177">
            <w:pPr>
              <w:snapToGrid w:val="0"/>
              <w:spacing w:line="360" w:lineRule="exact"/>
              <w:ind w:firstLine="420" w:firstLineChars="200"/>
              <w:outlineLvl w:val="0"/>
              <w:rPr>
                <w:rFonts w:hint="eastAsia" w:ascii="宋体" w:hAnsi="宋体"/>
                <w:kern w:val="0"/>
                <w:szCs w:val="21"/>
              </w:rPr>
            </w:pPr>
            <w:r>
              <w:rPr>
                <w:rFonts w:hint="eastAsia" w:ascii="宋体" w:hAnsi="宋体"/>
                <w:kern w:val="0"/>
                <w:szCs w:val="21"/>
              </w:rPr>
              <w:t>（7）现场验收</w:t>
            </w:r>
          </w:p>
          <w:p w14:paraId="6DF1A975">
            <w:pPr>
              <w:snapToGrid w:val="0"/>
              <w:spacing w:line="360" w:lineRule="exact"/>
              <w:ind w:firstLine="420" w:firstLineChars="200"/>
              <w:outlineLvl w:val="0"/>
              <w:rPr>
                <w:rFonts w:hint="eastAsia" w:ascii="宋体" w:hAnsi="宋体"/>
                <w:kern w:val="0"/>
                <w:szCs w:val="21"/>
              </w:rPr>
            </w:pPr>
            <w:r>
              <w:rPr>
                <w:rFonts w:hint="eastAsia" w:ascii="宋体" w:hAnsi="宋体"/>
                <w:kern w:val="0"/>
                <w:szCs w:val="21"/>
              </w:rPr>
              <w:fldChar w:fldCharType="begin"/>
            </w:r>
            <w:r>
              <w:rPr>
                <w:rFonts w:hint="eastAsia" w:ascii="宋体" w:hAnsi="宋体"/>
                <w:kern w:val="0"/>
                <w:szCs w:val="21"/>
              </w:rPr>
              <w:instrText xml:space="preserve"> = 1 \* GB3 </w:instrText>
            </w:r>
            <w:r>
              <w:rPr>
                <w:rFonts w:hint="eastAsia" w:ascii="宋体" w:hAnsi="宋体"/>
                <w:kern w:val="0"/>
                <w:szCs w:val="21"/>
              </w:rPr>
              <w:fldChar w:fldCharType="separate"/>
            </w:r>
            <w:r>
              <w:rPr>
                <w:rFonts w:hint="eastAsia" w:ascii="宋体" w:hAnsi="宋体"/>
                <w:kern w:val="0"/>
                <w:szCs w:val="21"/>
              </w:rPr>
              <w:t>①</w:t>
            </w:r>
            <w:r>
              <w:rPr>
                <w:rFonts w:hint="eastAsia" w:ascii="宋体" w:hAnsi="宋体"/>
                <w:kern w:val="0"/>
                <w:szCs w:val="21"/>
              </w:rPr>
              <w:fldChar w:fldCharType="end"/>
            </w:r>
            <w:r>
              <w:rPr>
                <w:rFonts w:hint="eastAsia" w:ascii="宋体" w:hAnsi="宋体"/>
                <w:kern w:val="0"/>
                <w:szCs w:val="21"/>
              </w:rPr>
              <w:t>依据产品供货清单共同对设备进行检查，并对产品的数量、品质（机械设备的外观颜色及状态、技术参数指标的核验、生产许可/出厂合格证、随机备品备件及工具、附属机具或配套设施、设备调试及试运行等方面的综合情况）进行逐项检查。验收时发现短缺、破损，采购人有权要求中标供应商立即补发和负责更换。</w:t>
            </w:r>
          </w:p>
          <w:p w14:paraId="139749E5">
            <w:pPr>
              <w:snapToGrid w:val="0"/>
              <w:spacing w:line="360" w:lineRule="exact"/>
              <w:ind w:firstLine="420" w:firstLineChars="200"/>
              <w:outlineLvl w:val="0"/>
              <w:rPr>
                <w:rFonts w:hint="eastAsia" w:ascii="宋体" w:hAnsi="宋体"/>
                <w:kern w:val="0"/>
                <w:szCs w:val="21"/>
              </w:rPr>
            </w:pPr>
            <w:r>
              <w:rPr>
                <w:rFonts w:hint="eastAsia" w:ascii="宋体" w:hAnsi="宋体"/>
                <w:kern w:val="0"/>
                <w:szCs w:val="21"/>
              </w:rPr>
              <w:fldChar w:fldCharType="begin"/>
            </w:r>
            <w:r>
              <w:rPr>
                <w:rFonts w:hint="eastAsia" w:ascii="宋体" w:hAnsi="宋体"/>
                <w:kern w:val="0"/>
                <w:szCs w:val="21"/>
              </w:rPr>
              <w:instrText xml:space="preserve"> = 2 \* GB3 </w:instrText>
            </w:r>
            <w:r>
              <w:rPr>
                <w:rFonts w:hint="eastAsia" w:ascii="宋体" w:hAnsi="宋体"/>
                <w:kern w:val="0"/>
                <w:szCs w:val="21"/>
              </w:rPr>
              <w:fldChar w:fldCharType="separate"/>
            </w:r>
            <w:r>
              <w:rPr>
                <w:rFonts w:hint="eastAsia" w:ascii="宋体" w:hAnsi="宋体"/>
                <w:kern w:val="0"/>
                <w:szCs w:val="21"/>
              </w:rPr>
              <w:t>②</w:t>
            </w:r>
            <w:r>
              <w:rPr>
                <w:rFonts w:hint="eastAsia" w:ascii="宋体" w:hAnsi="宋体"/>
                <w:kern w:val="0"/>
                <w:szCs w:val="21"/>
              </w:rPr>
              <w:fldChar w:fldCharType="end"/>
            </w:r>
            <w:r>
              <w:rPr>
                <w:rFonts w:hint="eastAsia" w:ascii="宋体" w:hAnsi="宋体"/>
                <w:kern w:val="0"/>
                <w:szCs w:val="21"/>
              </w:rPr>
              <w:t>投标产品和设备经过双方检验认可后，签署验收报告，产品保修期自验收合格之日起算，由中标供应商提供货物保修文件。</w:t>
            </w:r>
          </w:p>
          <w:p w14:paraId="170CC9C1">
            <w:pPr>
              <w:snapToGrid w:val="0"/>
              <w:spacing w:line="360" w:lineRule="exact"/>
              <w:ind w:firstLine="420" w:firstLineChars="200"/>
              <w:outlineLvl w:val="0"/>
              <w:rPr>
                <w:rFonts w:hint="eastAsia" w:ascii="宋体" w:hAnsi="宋体"/>
                <w:kern w:val="0"/>
                <w:szCs w:val="21"/>
              </w:rPr>
            </w:pPr>
            <w:r>
              <w:rPr>
                <w:rFonts w:hint="eastAsia" w:ascii="宋体" w:hAnsi="宋体"/>
                <w:kern w:val="0"/>
                <w:szCs w:val="21"/>
              </w:rPr>
              <w:fldChar w:fldCharType="begin"/>
            </w:r>
            <w:r>
              <w:rPr>
                <w:rFonts w:hint="eastAsia" w:ascii="宋体" w:hAnsi="宋体"/>
                <w:kern w:val="0"/>
                <w:szCs w:val="21"/>
              </w:rPr>
              <w:instrText xml:space="preserve"> = 3 \* GB3 </w:instrText>
            </w:r>
            <w:r>
              <w:rPr>
                <w:rFonts w:hint="eastAsia" w:ascii="宋体" w:hAnsi="宋体"/>
                <w:kern w:val="0"/>
                <w:szCs w:val="21"/>
              </w:rPr>
              <w:fldChar w:fldCharType="separate"/>
            </w:r>
            <w:r>
              <w:rPr>
                <w:rFonts w:hint="eastAsia" w:ascii="宋体" w:hAnsi="宋体"/>
                <w:kern w:val="0"/>
                <w:szCs w:val="21"/>
              </w:rPr>
              <w:t>③</w:t>
            </w:r>
            <w:r>
              <w:rPr>
                <w:rFonts w:hint="eastAsia" w:ascii="宋体" w:hAnsi="宋体"/>
                <w:kern w:val="0"/>
                <w:szCs w:val="21"/>
              </w:rPr>
              <w:fldChar w:fldCharType="end"/>
            </w:r>
            <w:r>
              <w:rPr>
                <w:rFonts w:hint="eastAsia" w:ascii="宋体" w:hAnsi="宋体"/>
                <w:kern w:val="0"/>
                <w:szCs w:val="21"/>
              </w:rPr>
              <w:t>产品经过试运行，所有性能指标达到要求时，可进行最终验收。在试运行期间，由于产品质量等造成某些指标达不到要求，允许中标供应商更换或进行调试，在全部达到要求时，双方签署最终验收文件。</w:t>
            </w:r>
          </w:p>
          <w:p w14:paraId="594853B2">
            <w:pPr>
              <w:snapToGrid w:val="0"/>
              <w:spacing w:line="360" w:lineRule="exact"/>
              <w:ind w:firstLine="420" w:firstLineChars="200"/>
              <w:outlineLvl w:val="0"/>
              <w:rPr>
                <w:rFonts w:hint="eastAsia" w:ascii="宋体" w:hAnsi="宋体"/>
                <w:kern w:val="0"/>
                <w:szCs w:val="21"/>
              </w:rPr>
            </w:pPr>
            <w:r>
              <w:rPr>
                <w:rFonts w:hint="eastAsia" w:ascii="宋体" w:hAnsi="宋体"/>
                <w:kern w:val="0"/>
                <w:szCs w:val="21"/>
              </w:rPr>
              <w:fldChar w:fldCharType="begin"/>
            </w:r>
            <w:r>
              <w:rPr>
                <w:rFonts w:hint="eastAsia" w:ascii="宋体" w:hAnsi="宋体"/>
                <w:kern w:val="0"/>
                <w:szCs w:val="21"/>
              </w:rPr>
              <w:instrText xml:space="preserve"> = 4 \* GB3 </w:instrText>
            </w:r>
            <w:r>
              <w:rPr>
                <w:rFonts w:hint="eastAsia" w:ascii="宋体" w:hAnsi="宋体"/>
                <w:kern w:val="0"/>
                <w:szCs w:val="21"/>
              </w:rPr>
              <w:fldChar w:fldCharType="separate"/>
            </w:r>
            <w:r>
              <w:rPr>
                <w:rFonts w:hint="eastAsia" w:ascii="宋体" w:hAnsi="宋体"/>
                <w:kern w:val="0"/>
                <w:szCs w:val="21"/>
              </w:rPr>
              <w:t>④</w:t>
            </w:r>
            <w:r>
              <w:rPr>
                <w:rFonts w:hint="eastAsia" w:ascii="宋体" w:hAnsi="宋体"/>
                <w:kern w:val="0"/>
                <w:szCs w:val="21"/>
              </w:rPr>
              <w:fldChar w:fldCharType="end"/>
            </w:r>
            <w:r>
              <w:rPr>
                <w:rFonts w:hint="eastAsia" w:ascii="宋体" w:hAnsi="宋体"/>
                <w:kern w:val="0"/>
                <w:szCs w:val="21"/>
              </w:rPr>
              <w:t>验收过程中，如双方不能达成一致意见时，采购人可以邀请市级或以上质量技术监督部门对中标产品进行（设备参数指标符合度等方面）质量仲裁的检验鉴定，并向采购人出具合格的检验报告单。经市级或以上质量技术监督部门检验合格，验收小组无正当理由的须予以验收通过；检验不合格，中标供货商可于15日内重新向采购人提供经检验合格的设备，并自行承担产生的全部费用。</w:t>
            </w:r>
          </w:p>
          <w:p w14:paraId="1976AB25">
            <w:pPr>
              <w:snapToGrid w:val="0"/>
              <w:spacing w:line="360" w:lineRule="exact"/>
              <w:ind w:firstLine="420" w:firstLineChars="200"/>
              <w:outlineLvl w:val="0"/>
              <w:rPr>
                <w:rFonts w:hint="eastAsia" w:ascii="宋体" w:hAnsi="宋体"/>
                <w:kern w:val="0"/>
                <w:szCs w:val="21"/>
              </w:rPr>
            </w:pPr>
            <w:r>
              <w:rPr>
                <w:rFonts w:hint="eastAsia" w:ascii="宋体" w:hAnsi="宋体"/>
                <w:kern w:val="0"/>
                <w:szCs w:val="21"/>
              </w:rPr>
              <w:fldChar w:fldCharType="begin"/>
            </w:r>
            <w:r>
              <w:rPr>
                <w:rFonts w:hint="eastAsia" w:ascii="宋体" w:hAnsi="宋体"/>
                <w:kern w:val="0"/>
                <w:szCs w:val="21"/>
              </w:rPr>
              <w:instrText xml:space="preserve"> = 5 \* GB3 </w:instrText>
            </w:r>
            <w:r>
              <w:rPr>
                <w:rFonts w:hint="eastAsia" w:ascii="宋体" w:hAnsi="宋体"/>
                <w:kern w:val="0"/>
                <w:szCs w:val="21"/>
              </w:rPr>
              <w:fldChar w:fldCharType="separate"/>
            </w:r>
            <w:r>
              <w:rPr>
                <w:rFonts w:hint="eastAsia" w:ascii="宋体" w:hAnsi="宋体"/>
                <w:kern w:val="0"/>
                <w:szCs w:val="21"/>
              </w:rPr>
              <w:t>⑤</w:t>
            </w:r>
            <w:r>
              <w:rPr>
                <w:rFonts w:hint="eastAsia" w:ascii="宋体" w:hAnsi="宋体"/>
                <w:kern w:val="0"/>
                <w:szCs w:val="21"/>
              </w:rPr>
              <w:fldChar w:fldCharType="end"/>
            </w:r>
            <w:r>
              <w:rPr>
                <w:rFonts w:hint="eastAsia" w:ascii="宋体" w:hAnsi="宋体"/>
                <w:kern w:val="0"/>
                <w:szCs w:val="21"/>
              </w:rPr>
              <w:t>如未能按期提供合格设备，采购人将终止采购并追究中标供应商相关赔偿责任。</w:t>
            </w:r>
          </w:p>
          <w:p w14:paraId="04A3387E">
            <w:pPr>
              <w:snapToGrid w:val="0"/>
              <w:spacing w:line="360" w:lineRule="exact"/>
              <w:ind w:firstLine="420" w:firstLineChars="200"/>
              <w:outlineLvl w:val="0"/>
              <w:rPr>
                <w:rFonts w:hint="eastAsia" w:ascii="宋体" w:hAnsi="宋体"/>
                <w:kern w:val="0"/>
                <w:szCs w:val="21"/>
              </w:rPr>
            </w:pPr>
            <w:r>
              <w:rPr>
                <w:rFonts w:hint="eastAsia" w:ascii="宋体" w:hAnsi="宋体"/>
                <w:kern w:val="0"/>
                <w:szCs w:val="21"/>
              </w:rPr>
              <w:t>6.其他未尽事宜应严格按照《关于印发广西壮族自治区政府采购项目履约验收管理办法的通知》[桂财采〔2015〕22号]以及《财政部关于进一步加强政府采购需求和履约验收管理的指导意见》[财库〔2016〕205号]规定执行。</w:t>
            </w:r>
          </w:p>
        </w:tc>
      </w:tr>
      <w:tr w14:paraId="19E6B5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7" w:type="pct"/>
            <w:gridSpan w:val="3"/>
            <w:tcBorders>
              <w:top w:val="single" w:color="auto" w:sz="4" w:space="0"/>
              <w:left w:val="single" w:color="auto" w:sz="4" w:space="0"/>
              <w:bottom w:val="single" w:color="auto" w:sz="4" w:space="0"/>
              <w:right w:val="single" w:color="auto" w:sz="4" w:space="0"/>
            </w:tcBorders>
            <w:noWrap w:val="0"/>
            <w:vAlign w:val="center"/>
          </w:tcPr>
          <w:p w14:paraId="3E21FCF7">
            <w:pPr>
              <w:snapToGrid w:val="0"/>
              <w:spacing w:line="360" w:lineRule="exact"/>
              <w:rPr>
                <w:rFonts w:hint="eastAsia" w:ascii="宋体" w:hAnsi="宋体"/>
                <w:szCs w:val="21"/>
              </w:rPr>
            </w:pPr>
            <w:r>
              <w:rPr>
                <w:rFonts w:hint="eastAsia" w:ascii="宋体" w:hAnsi="宋体"/>
                <w:szCs w:val="21"/>
              </w:rPr>
              <w:t>履约保证金</w:t>
            </w:r>
          </w:p>
        </w:tc>
        <w:tc>
          <w:tcPr>
            <w:tcW w:w="4012" w:type="pct"/>
            <w:gridSpan w:val="4"/>
            <w:tcBorders>
              <w:top w:val="single" w:color="auto" w:sz="4" w:space="0"/>
              <w:left w:val="nil"/>
              <w:bottom w:val="single" w:color="auto" w:sz="4" w:space="0"/>
              <w:right w:val="single" w:color="auto" w:sz="4" w:space="0"/>
            </w:tcBorders>
            <w:noWrap w:val="0"/>
            <w:vAlign w:val="top"/>
          </w:tcPr>
          <w:p w14:paraId="50A3506D">
            <w:pPr>
              <w:spacing w:line="340" w:lineRule="exact"/>
              <w:ind w:firstLine="420" w:firstLineChars="200"/>
              <w:rPr>
                <w:rFonts w:hint="eastAsia" w:ascii="宋体" w:hAnsi="宋体"/>
                <w:szCs w:val="21"/>
              </w:rPr>
            </w:pPr>
            <w:r>
              <w:rPr>
                <w:rFonts w:hint="eastAsia" w:ascii="宋体" w:hAnsi="宋体"/>
                <w:szCs w:val="21"/>
              </w:rPr>
              <w:t>1.履约保证金金额：按合同金额的5%收取。</w:t>
            </w:r>
            <w:r>
              <w:rPr>
                <w:rFonts w:hint="eastAsia" w:ascii="宋体" w:hAnsi="宋体"/>
                <w:bCs/>
                <w:spacing w:val="-4"/>
                <w:szCs w:val="21"/>
              </w:rPr>
              <w:t>（若中标供应商符合《政府采购促进中小企业发展管理办法》（财库〔2020〕46号）及《广西壮族自治区财政厅关于持续优化政府采购营商环境推动高质量发展的通知》（桂财采〔2024〕55号）规定的，履约保证金将按</w:t>
            </w:r>
            <w:r>
              <w:rPr>
                <w:rFonts w:hint="eastAsia" w:ascii="宋体" w:hAnsi="宋体"/>
                <w:szCs w:val="21"/>
              </w:rPr>
              <w:t>合同金额的</w:t>
            </w:r>
            <w:r>
              <w:rPr>
                <w:rFonts w:hint="eastAsia" w:ascii="宋体" w:hAnsi="宋体"/>
                <w:bCs/>
                <w:spacing w:val="-4"/>
                <w:szCs w:val="21"/>
              </w:rPr>
              <w:t>2%收取。）</w:t>
            </w:r>
          </w:p>
          <w:p w14:paraId="2021FEB6">
            <w:pPr>
              <w:spacing w:line="340" w:lineRule="exact"/>
              <w:ind w:firstLine="420" w:firstLineChars="200"/>
              <w:rPr>
                <w:rFonts w:ascii="宋体" w:hAnsi="宋体"/>
                <w:szCs w:val="21"/>
              </w:rPr>
            </w:pPr>
            <w:r>
              <w:rPr>
                <w:rFonts w:hint="eastAsia" w:ascii="宋体" w:hAnsi="宋体"/>
                <w:szCs w:val="21"/>
              </w:rPr>
              <w:t>2.履约保证金递交方式：银行转账、支票、汇票、本票、保函等非现金方式。</w:t>
            </w:r>
          </w:p>
          <w:p w14:paraId="5A1A5C6C">
            <w:pPr>
              <w:spacing w:line="340" w:lineRule="exact"/>
              <w:ind w:firstLine="420" w:firstLineChars="200"/>
              <w:rPr>
                <w:rFonts w:ascii="宋体" w:hAnsi="宋体"/>
                <w:szCs w:val="21"/>
              </w:rPr>
            </w:pPr>
            <w:r>
              <w:rPr>
                <w:rFonts w:hint="eastAsia" w:ascii="宋体" w:hAnsi="宋体"/>
                <w:szCs w:val="21"/>
              </w:rPr>
              <w:t>3.履约保证金缴纳期限：自中标通知书发出之日起10个工作日内。</w:t>
            </w:r>
          </w:p>
          <w:p w14:paraId="3F8582BE">
            <w:pPr>
              <w:spacing w:line="340" w:lineRule="exact"/>
              <w:ind w:firstLine="420" w:firstLineChars="200"/>
              <w:rPr>
                <w:rFonts w:ascii="宋体" w:hAnsi="宋体"/>
                <w:szCs w:val="21"/>
              </w:rPr>
            </w:pPr>
            <w:r>
              <w:rPr>
                <w:rFonts w:hint="eastAsia" w:ascii="宋体" w:hAnsi="宋体"/>
                <w:szCs w:val="21"/>
              </w:rPr>
              <w:t>4.履约保证金退付方式、时间及条件：履约保证金在项目履约完成（按合同约定履行完合同所有内容）后，由中标供应商向采购人提出申请，采购人在收到申请材料后对相关违约情况进行核对，如有违约或赔偿的，涉及违约的违约金和损失赔偿从履约保证金中扣减，如有剩余采购人在5个工作日内退还（不计利息）；不足扣减的，采购人有权从未支付的合同款中（如有）扣除；履约保证金不足以抵扣违约或赔偿的，采购人有权另外向中标供应商追偿损失。</w:t>
            </w:r>
          </w:p>
          <w:p w14:paraId="556F1E54">
            <w:pPr>
              <w:spacing w:line="340" w:lineRule="exact"/>
              <w:ind w:firstLine="420" w:firstLineChars="200"/>
              <w:rPr>
                <w:rFonts w:ascii="宋体" w:hAnsi="宋体"/>
                <w:szCs w:val="21"/>
              </w:rPr>
            </w:pPr>
            <w:r>
              <w:rPr>
                <w:rFonts w:hint="eastAsia" w:ascii="宋体" w:hAnsi="宋体"/>
                <w:szCs w:val="21"/>
              </w:rPr>
              <w:t>5.不予退还的情形：签订合同后，如中标供应商不按双方签订的合同规定履约，则其全部履约保证金不予退还。</w:t>
            </w:r>
          </w:p>
          <w:p w14:paraId="5C035C51">
            <w:pPr>
              <w:spacing w:line="340" w:lineRule="exact"/>
              <w:ind w:firstLine="420" w:firstLineChars="200"/>
              <w:rPr>
                <w:rFonts w:ascii="宋体" w:hAnsi="宋体"/>
                <w:szCs w:val="21"/>
              </w:rPr>
            </w:pPr>
            <w:r>
              <w:rPr>
                <w:rFonts w:hint="eastAsia" w:ascii="宋体" w:hAnsi="宋体"/>
                <w:szCs w:val="21"/>
              </w:rPr>
              <w:t xml:space="preserve">6.履约保证金指定账户： </w:t>
            </w:r>
          </w:p>
          <w:p w14:paraId="14D60584">
            <w:pPr>
              <w:spacing w:line="340" w:lineRule="exact"/>
              <w:ind w:firstLine="420" w:firstLineChars="200"/>
              <w:rPr>
                <w:rFonts w:hint="eastAsia" w:ascii="宋体" w:hAnsi="宋体"/>
                <w:szCs w:val="21"/>
                <w:u w:val="single"/>
              </w:rPr>
            </w:pPr>
            <w:r>
              <w:rPr>
                <w:rFonts w:hint="eastAsia" w:ascii="宋体" w:hAnsi="宋体"/>
                <w:szCs w:val="21"/>
                <w:u w:val="single"/>
              </w:rPr>
              <w:t xml:space="preserve">开户名称：广西壮族自治区公路发展中心 </w:t>
            </w:r>
          </w:p>
          <w:p w14:paraId="711C8B28">
            <w:pPr>
              <w:spacing w:line="340" w:lineRule="exact"/>
              <w:ind w:firstLine="420" w:firstLineChars="200"/>
              <w:rPr>
                <w:rFonts w:hint="eastAsia" w:ascii="宋体" w:hAnsi="宋体"/>
                <w:szCs w:val="21"/>
                <w:u w:val="single"/>
              </w:rPr>
            </w:pPr>
            <w:r>
              <w:rPr>
                <w:rFonts w:hint="eastAsia" w:ascii="宋体" w:hAnsi="宋体"/>
                <w:szCs w:val="21"/>
                <w:u w:val="single"/>
              </w:rPr>
              <w:t xml:space="preserve">开户银行：工行南宁市市府支行  </w:t>
            </w:r>
          </w:p>
          <w:p w14:paraId="6BD80614">
            <w:pPr>
              <w:snapToGrid w:val="0"/>
              <w:spacing w:line="360" w:lineRule="exact"/>
              <w:ind w:firstLine="420" w:firstLineChars="200"/>
              <w:outlineLvl w:val="0"/>
              <w:rPr>
                <w:rFonts w:hint="eastAsia" w:ascii="宋体" w:hAnsi="宋体"/>
                <w:kern w:val="0"/>
                <w:sz w:val="20"/>
                <w:szCs w:val="21"/>
                <w:u w:val="single"/>
              </w:rPr>
            </w:pPr>
            <w:r>
              <w:rPr>
                <w:rFonts w:hint="eastAsia" w:ascii="宋体" w:hAnsi="宋体"/>
                <w:kern w:val="2"/>
                <w:sz w:val="21"/>
                <w:szCs w:val="21"/>
                <w:u w:val="single"/>
              </w:rPr>
              <w:t xml:space="preserve">银行账号：2102174609221000218   </w:t>
            </w:r>
          </w:p>
        </w:tc>
      </w:tr>
      <w:tr w14:paraId="3971B3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00" w:type="pct"/>
            <w:gridSpan w:val="7"/>
            <w:tcBorders>
              <w:top w:val="single" w:color="auto" w:sz="4" w:space="0"/>
              <w:left w:val="single" w:color="auto" w:sz="4" w:space="0"/>
              <w:bottom w:val="single" w:color="auto" w:sz="4" w:space="0"/>
              <w:right w:val="single" w:color="auto" w:sz="4" w:space="0"/>
            </w:tcBorders>
            <w:noWrap w:val="0"/>
            <w:vAlign w:val="center"/>
          </w:tcPr>
          <w:p w14:paraId="1B9C1F1E">
            <w:pPr>
              <w:spacing w:line="360" w:lineRule="exact"/>
              <w:rPr>
                <w:rFonts w:hint="eastAsia" w:ascii="宋体" w:hAnsi="宋体"/>
                <w:b/>
                <w:bCs/>
                <w:szCs w:val="21"/>
              </w:rPr>
            </w:pPr>
            <w:r>
              <w:rPr>
                <w:rFonts w:hint="eastAsia" w:ascii="宋体" w:hAnsi="宋体"/>
                <w:b/>
                <w:bCs/>
                <w:szCs w:val="21"/>
              </w:rPr>
              <w:t>二、与实现项目目标相关的其他要求</w:t>
            </w:r>
          </w:p>
        </w:tc>
      </w:tr>
      <w:tr w14:paraId="3E314F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00" w:type="pct"/>
            <w:gridSpan w:val="7"/>
            <w:tcBorders>
              <w:top w:val="single" w:color="auto" w:sz="4" w:space="0"/>
              <w:left w:val="single" w:color="auto" w:sz="4" w:space="0"/>
              <w:bottom w:val="single" w:color="auto" w:sz="4" w:space="0"/>
              <w:right w:val="single" w:color="auto" w:sz="4" w:space="0"/>
            </w:tcBorders>
            <w:noWrap w:val="0"/>
            <w:vAlign w:val="center"/>
          </w:tcPr>
          <w:p w14:paraId="04950F77">
            <w:pPr>
              <w:spacing w:line="360" w:lineRule="exact"/>
              <w:rPr>
                <w:rFonts w:hint="eastAsia" w:ascii="宋体" w:hAnsi="宋体"/>
                <w:b/>
                <w:szCs w:val="21"/>
              </w:rPr>
            </w:pPr>
            <w:r>
              <w:rPr>
                <w:rFonts w:hint="eastAsia" w:ascii="宋体" w:hAnsi="宋体"/>
                <w:b/>
                <w:szCs w:val="21"/>
              </w:rPr>
              <w:t>（一）投标人的履约能力要求</w:t>
            </w:r>
          </w:p>
        </w:tc>
      </w:tr>
      <w:tr w14:paraId="271EE8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7" w:type="pct"/>
            <w:gridSpan w:val="3"/>
            <w:tcBorders>
              <w:top w:val="single" w:color="auto" w:sz="4" w:space="0"/>
              <w:left w:val="single" w:color="auto" w:sz="4" w:space="0"/>
              <w:bottom w:val="single" w:color="auto" w:sz="4" w:space="0"/>
              <w:right w:val="single" w:color="auto" w:sz="4" w:space="0"/>
            </w:tcBorders>
            <w:noWrap w:val="0"/>
            <w:vAlign w:val="center"/>
          </w:tcPr>
          <w:p w14:paraId="5841D215">
            <w:pPr>
              <w:spacing w:line="360" w:lineRule="exact"/>
              <w:rPr>
                <w:rFonts w:hint="eastAsia" w:ascii="宋体" w:hAnsi="宋体"/>
                <w:szCs w:val="21"/>
              </w:rPr>
            </w:pPr>
            <w:r>
              <w:rPr>
                <w:rFonts w:hint="eastAsia" w:ascii="宋体" w:hAnsi="宋体"/>
                <w:szCs w:val="21"/>
              </w:rPr>
              <w:t>质量管理、企业信用要求</w:t>
            </w:r>
          </w:p>
        </w:tc>
        <w:tc>
          <w:tcPr>
            <w:tcW w:w="4012" w:type="pct"/>
            <w:gridSpan w:val="4"/>
            <w:tcBorders>
              <w:top w:val="single" w:color="auto" w:sz="4" w:space="0"/>
              <w:left w:val="nil"/>
              <w:bottom w:val="single" w:color="auto" w:sz="4" w:space="0"/>
              <w:right w:val="single" w:color="auto" w:sz="4" w:space="0"/>
            </w:tcBorders>
            <w:noWrap w:val="0"/>
            <w:vAlign w:val="center"/>
          </w:tcPr>
          <w:p w14:paraId="70CE7E60">
            <w:pPr>
              <w:spacing w:line="360" w:lineRule="exact"/>
              <w:rPr>
                <w:rFonts w:hint="eastAsia" w:ascii="宋体" w:hAnsi="宋体"/>
                <w:szCs w:val="21"/>
              </w:rPr>
            </w:pPr>
            <w:r>
              <w:rPr>
                <w:rFonts w:hint="eastAsia" w:ascii="宋体" w:hAnsi="宋体"/>
                <w:szCs w:val="21"/>
              </w:rPr>
              <w:t>如有，请结合本招标文件第四章“评标办法及评分标准”在投标文件中自行提供。</w:t>
            </w:r>
          </w:p>
        </w:tc>
      </w:tr>
      <w:tr w14:paraId="4EA637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7" w:type="pct"/>
            <w:gridSpan w:val="3"/>
            <w:tcBorders>
              <w:top w:val="single" w:color="auto" w:sz="4" w:space="0"/>
              <w:left w:val="single" w:color="auto" w:sz="4" w:space="0"/>
              <w:bottom w:val="single" w:color="auto" w:sz="4" w:space="0"/>
              <w:right w:val="single" w:color="auto" w:sz="4" w:space="0"/>
            </w:tcBorders>
            <w:noWrap w:val="0"/>
            <w:vAlign w:val="center"/>
          </w:tcPr>
          <w:p w14:paraId="114293C0">
            <w:pPr>
              <w:spacing w:line="360" w:lineRule="exact"/>
              <w:rPr>
                <w:rFonts w:hint="eastAsia" w:ascii="宋体" w:hAnsi="宋体"/>
                <w:szCs w:val="21"/>
              </w:rPr>
            </w:pPr>
            <w:r>
              <w:rPr>
                <w:rFonts w:hint="eastAsia" w:ascii="宋体" w:hAnsi="宋体"/>
                <w:szCs w:val="21"/>
              </w:rPr>
              <w:t>能力或者业绩要求</w:t>
            </w:r>
          </w:p>
        </w:tc>
        <w:tc>
          <w:tcPr>
            <w:tcW w:w="4012" w:type="pct"/>
            <w:gridSpan w:val="4"/>
            <w:tcBorders>
              <w:top w:val="single" w:color="auto" w:sz="4" w:space="0"/>
              <w:left w:val="nil"/>
              <w:bottom w:val="single" w:color="auto" w:sz="4" w:space="0"/>
              <w:right w:val="single" w:color="auto" w:sz="4" w:space="0"/>
            </w:tcBorders>
            <w:noWrap w:val="0"/>
            <w:vAlign w:val="center"/>
          </w:tcPr>
          <w:p w14:paraId="3A441468">
            <w:pPr>
              <w:spacing w:line="360" w:lineRule="exact"/>
              <w:rPr>
                <w:rFonts w:hint="eastAsia" w:ascii="宋体" w:hAnsi="宋体"/>
                <w:szCs w:val="21"/>
              </w:rPr>
            </w:pPr>
            <w:r>
              <w:rPr>
                <w:rFonts w:hint="eastAsia" w:ascii="宋体" w:hAnsi="宋体"/>
                <w:szCs w:val="21"/>
              </w:rPr>
              <w:t>如有，请结合本招标文件第四章“评标办法及评分标准”在投标文件中自行提供。</w:t>
            </w:r>
          </w:p>
        </w:tc>
      </w:tr>
      <w:tr w14:paraId="0B4205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00" w:type="pct"/>
            <w:gridSpan w:val="7"/>
            <w:tcBorders>
              <w:top w:val="single" w:color="auto" w:sz="4" w:space="0"/>
              <w:left w:val="single" w:color="auto" w:sz="4" w:space="0"/>
              <w:bottom w:val="single" w:color="auto" w:sz="4" w:space="0"/>
              <w:right w:val="single" w:color="auto" w:sz="4" w:space="0"/>
            </w:tcBorders>
            <w:noWrap w:val="0"/>
            <w:vAlign w:val="center"/>
          </w:tcPr>
          <w:p w14:paraId="71E551B7">
            <w:pPr>
              <w:spacing w:line="360" w:lineRule="exact"/>
              <w:rPr>
                <w:rFonts w:hint="eastAsia" w:ascii="宋体" w:hAnsi="宋体"/>
                <w:b/>
                <w:szCs w:val="21"/>
              </w:rPr>
            </w:pPr>
            <w:r>
              <w:rPr>
                <w:rFonts w:hint="eastAsia" w:ascii="宋体" w:hAnsi="宋体"/>
                <w:b/>
                <w:szCs w:val="21"/>
              </w:rPr>
              <w:t>（二）政策性加分条件</w:t>
            </w:r>
          </w:p>
        </w:tc>
      </w:tr>
      <w:tr w14:paraId="27EDE0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00" w:type="pct"/>
            <w:gridSpan w:val="7"/>
            <w:tcBorders>
              <w:top w:val="single" w:color="auto" w:sz="4" w:space="0"/>
              <w:left w:val="single" w:color="auto" w:sz="4" w:space="0"/>
              <w:bottom w:val="single" w:color="auto" w:sz="4" w:space="0"/>
              <w:right w:val="single" w:color="auto" w:sz="4" w:space="0"/>
            </w:tcBorders>
            <w:noWrap w:val="0"/>
            <w:vAlign w:val="center"/>
          </w:tcPr>
          <w:p w14:paraId="03744093">
            <w:pPr>
              <w:spacing w:line="360" w:lineRule="exact"/>
              <w:rPr>
                <w:rFonts w:hint="eastAsia" w:ascii="宋体" w:hAnsi="宋体"/>
                <w:szCs w:val="21"/>
              </w:rPr>
            </w:pPr>
            <w:r>
              <w:rPr>
                <w:rFonts w:hint="eastAsia" w:ascii="宋体" w:hAnsi="宋体"/>
                <w:szCs w:val="21"/>
              </w:rPr>
              <w:t>符合节能环保等国家政策要求。</w:t>
            </w:r>
          </w:p>
        </w:tc>
      </w:tr>
      <w:tr w14:paraId="0798B4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00" w:type="pct"/>
            <w:gridSpan w:val="7"/>
            <w:tcBorders>
              <w:top w:val="single" w:color="auto" w:sz="4" w:space="0"/>
              <w:left w:val="single" w:color="auto" w:sz="4" w:space="0"/>
              <w:bottom w:val="single" w:color="auto" w:sz="4" w:space="0"/>
              <w:right w:val="single" w:color="auto" w:sz="4" w:space="0"/>
            </w:tcBorders>
            <w:noWrap w:val="0"/>
            <w:vAlign w:val="center"/>
          </w:tcPr>
          <w:p w14:paraId="0823CB11">
            <w:pPr>
              <w:tabs>
                <w:tab w:val="left" w:pos="180"/>
                <w:tab w:val="left" w:pos="1620"/>
              </w:tabs>
              <w:spacing w:line="360" w:lineRule="exact"/>
              <w:rPr>
                <w:rFonts w:hint="eastAsia" w:ascii="宋体" w:hAnsi="宋体"/>
                <w:b/>
                <w:szCs w:val="21"/>
              </w:rPr>
            </w:pPr>
            <w:r>
              <w:rPr>
                <w:rFonts w:hint="eastAsia" w:ascii="宋体" w:hAnsi="宋体"/>
                <w:b/>
                <w:szCs w:val="21"/>
              </w:rPr>
              <w:t>（三）其他事项说明</w:t>
            </w:r>
          </w:p>
        </w:tc>
      </w:tr>
      <w:tr w14:paraId="564D8C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00" w:type="pct"/>
            <w:gridSpan w:val="7"/>
            <w:tcBorders>
              <w:top w:val="single" w:color="auto" w:sz="4" w:space="0"/>
              <w:left w:val="single" w:color="auto" w:sz="4" w:space="0"/>
              <w:bottom w:val="single" w:color="auto" w:sz="4" w:space="0"/>
              <w:right w:val="single" w:color="auto" w:sz="4" w:space="0"/>
            </w:tcBorders>
            <w:noWrap w:val="0"/>
            <w:vAlign w:val="center"/>
          </w:tcPr>
          <w:p w14:paraId="50E05BEF">
            <w:pPr>
              <w:spacing w:line="360" w:lineRule="exact"/>
              <w:ind w:firstLine="411" w:firstLineChars="196"/>
              <w:rPr>
                <w:rFonts w:hint="eastAsia" w:ascii="宋体" w:hAnsi="宋体"/>
                <w:szCs w:val="21"/>
              </w:rPr>
            </w:pPr>
            <w:r>
              <w:rPr>
                <w:rFonts w:hint="eastAsia" w:ascii="宋体" w:hAnsi="宋体"/>
                <w:szCs w:val="21"/>
              </w:rPr>
              <w:t>货物实行强制标准认证制度、生产许可证制度、销售或经营许可证制度、注册证制度的，中标供应商均应提供相关有效的证书复印件。</w:t>
            </w:r>
          </w:p>
        </w:tc>
      </w:tr>
      <w:tr w14:paraId="76F808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00" w:type="pct"/>
            <w:gridSpan w:val="7"/>
            <w:tcBorders>
              <w:top w:val="single" w:color="auto" w:sz="4" w:space="0"/>
              <w:left w:val="single" w:color="auto" w:sz="4" w:space="0"/>
              <w:bottom w:val="single" w:color="auto" w:sz="4" w:space="0"/>
              <w:right w:val="single" w:color="auto" w:sz="4" w:space="0"/>
            </w:tcBorders>
            <w:noWrap w:val="0"/>
            <w:vAlign w:val="center"/>
          </w:tcPr>
          <w:p w14:paraId="6EBFC6C9">
            <w:pPr>
              <w:spacing w:line="360" w:lineRule="exact"/>
              <w:rPr>
                <w:rFonts w:hint="eastAsia" w:ascii="宋体" w:hAnsi="宋体"/>
                <w:b/>
                <w:szCs w:val="21"/>
              </w:rPr>
            </w:pPr>
            <w:r>
              <w:rPr>
                <w:rFonts w:hint="eastAsia" w:ascii="宋体" w:hAnsi="宋体"/>
                <w:b/>
                <w:szCs w:val="21"/>
              </w:rPr>
              <w:t>（四）进口产品及核心产品说明</w:t>
            </w:r>
          </w:p>
        </w:tc>
      </w:tr>
      <w:tr w14:paraId="241820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00" w:type="pct"/>
            <w:gridSpan w:val="7"/>
            <w:tcBorders>
              <w:top w:val="single" w:color="auto" w:sz="4" w:space="0"/>
              <w:left w:val="single" w:color="auto" w:sz="4" w:space="0"/>
              <w:bottom w:val="single" w:color="auto" w:sz="4" w:space="0"/>
              <w:right w:val="single" w:color="auto" w:sz="4" w:space="0"/>
            </w:tcBorders>
            <w:noWrap w:val="0"/>
            <w:vAlign w:val="center"/>
          </w:tcPr>
          <w:p w14:paraId="5D4A9017">
            <w:pPr>
              <w:spacing w:line="360" w:lineRule="exact"/>
              <w:ind w:firstLine="435"/>
              <w:rPr>
                <w:rFonts w:hint="eastAsia" w:ascii="宋体" w:hAnsi="宋体"/>
                <w:szCs w:val="21"/>
              </w:rPr>
            </w:pPr>
            <w:r>
              <w:rPr>
                <w:rFonts w:hint="eastAsia" w:ascii="宋体" w:hAnsi="宋体"/>
                <w:szCs w:val="21"/>
              </w:rPr>
              <w:t>1.本分标货物不接受进口产品（即通过中国海关报关验放进入中国境内且产自关境外的产品）参与投标，</w:t>
            </w:r>
            <w:r>
              <w:rPr>
                <w:rFonts w:hint="eastAsia" w:ascii="宋体" w:hAnsi="宋体"/>
                <w:b/>
                <w:szCs w:val="21"/>
              </w:rPr>
              <w:t>如有进口产品参与投标的作无效标处理</w:t>
            </w:r>
            <w:r>
              <w:rPr>
                <w:rFonts w:hint="eastAsia" w:ascii="宋体" w:hAnsi="宋体"/>
                <w:szCs w:val="21"/>
              </w:rPr>
              <w:t>。</w:t>
            </w:r>
          </w:p>
          <w:p w14:paraId="0C63E165">
            <w:pPr>
              <w:spacing w:line="360" w:lineRule="exact"/>
              <w:ind w:firstLine="435"/>
              <w:rPr>
                <w:rFonts w:hint="eastAsia" w:ascii="宋体" w:hAnsi="宋体"/>
                <w:b/>
                <w:szCs w:val="21"/>
              </w:rPr>
            </w:pPr>
            <w:r>
              <w:rPr>
                <w:rFonts w:hint="eastAsia" w:ascii="宋体" w:hAnsi="宋体"/>
                <w:b/>
                <w:szCs w:val="21"/>
              </w:rPr>
              <w:t>2.本分标序号</w:t>
            </w:r>
            <w:r>
              <w:rPr>
                <w:rFonts w:hint="eastAsia" w:ascii="宋体" w:hAnsi="宋体"/>
                <w:b/>
                <w:szCs w:val="21"/>
                <w:u w:val="single"/>
              </w:rPr>
              <w:t xml:space="preserve">  1  </w:t>
            </w:r>
            <w:r>
              <w:rPr>
                <w:rFonts w:hint="eastAsia" w:ascii="宋体" w:hAnsi="宋体"/>
                <w:b/>
                <w:szCs w:val="21"/>
              </w:rPr>
              <w:t>采购标的即为核心产品，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tc>
      </w:tr>
      <w:tr w14:paraId="2EC517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00" w:type="pct"/>
            <w:gridSpan w:val="7"/>
            <w:tcBorders>
              <w:top w:val="single" w:color="auto" w:sz="4" w:space="0"/>
              <w:left w:val="single" w:color="auto" w:sz="4" w:space="0"/>
              <w:bottom w:val="single" w:color="auto" w:sz="4" w:space="0"/>
              <w:right w:val="single" w:color="auto" w:sz="4" w:space="0"/>
            </w:tcBorders>
            <w:noWrap w:val="0"/>
            <w:vAlign w:val="center"/>
          </w:tcPr>
          <w:p w14:paraId="793A377D">
            <w:pPr>
              <w:spacing w:line="360" w:lineRule="exact"/>
              <w:rPr>
                <w:rFonts w:hint="eastAsia" w:ascii="宋体" w:hAnsi="宋体"/>
                <w:b/>
                <w:szCs w:val="21"/>
              </w:rPr>
            </w:pPr>
            <w:r>
              <w:rPr>
                <w:rFonts w:hint="eastAsia" w:ascii="仿宋" w:hAnsi="仿宋" w:eastAsia="仿宋" w:cs="仿宋"/>
                <w:b/>
                <w:szCs w:val="21"/>
              </w:rPr>
              <w:t>▲</w:t>
            </w:r>
            <w:r>
              <w:rPr>
                <w:rFonts w:hint="eastAsia" w:ascii="宋体" w:hAnsi="宋体"/>
                <w:b/>
                <w:szCs w:val="21"/>
              </w:rPr>
              <w:t>（五）其他要求</w:t>
            </w:r>
          </w:p>
        </w:tc>
      </w:tr>
      <w:tr w14:paraId="1E2304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00" w:type="pct"/>
            <w:gridSpan w:val="7"/>
            <w:tcBorders>
              <w:top w:val="single" w:color="auto" w:sz="4" w:space="0"/>
              <w:left w:val="single" w:color="auto" w:sz="4" w:space="0"/>
              <w:bottom w:val="single" w:color="auto" w:sz="4" w:space="0"/>
              <w:right w:val="single" w:color="auto" w:sz="4" w:space="0"/>
            </w:tcBorders>
            <w:noWrap w:val="0"/>
            <w:vAlign w:val="center"/>
          </w:tcPr>
          <w:p w14:paraId="64615B0C">
            <w:pPr>
              <w:wordWrap w:val="0"/>
              <w:spacing w:line="360" w:lineRule="exact"/>
              <w:ind w:firstLine="420" w:firstLineChars="200"/>
              <w:rPr>
                <w:rFonts w:ascii="宋体" w:hAnsi="宋体"/>
                <w:szCs w:val="21"/>
              </w:rPr>
            </w:pPr>
            <w:r>
              <w:rPr>
                <w:rFonts w:hint="eastAsia" w:ascii="宋体" w:hAnsi="宋体"/>
                <w:szCs w:val="21"/>
              </w:rPr>
              <w:t>1.中标供应商须根据《广西壮族自治区机关事务管理局 广西壮族自治区财政厅关于印发自治区本级党政机关、事业单位公务用车配备更新及车辆处置管理规定的通知》（桂事管发〔2019〕46号）及相关规定要求，并依照车辆中标单价出具发票（按每辆车一张发票）以及交付使用前的相关手续（按每辆车独立准备材料并办理相关手续）。</w:t>
            </w:r>
          </w:p>
          <w:p w14:paraId="5003C407">
            <w:pPr>
              <w:spacing w:line="360" w:lineRule="exact"/>
              <w:ind w:right="-57" w:rightChars="-27" w:firstLine="420" w:firstLineChars="200"/>
              <w:jc w:val="left"/>
              <w:rPr>
                <w:rFonts w:hint="eastAsia" w:ascii="宋体" w:hAnsi="宋体" w:cs="宋体"/>
                <w:szCs w:val="21"/>
              </w:rPr>
            </w:pPr>
            <w:r>
              <w:rPr>
                <w:rFonts w:hint="eastAsia" w:ascii="宋体" w:hAnsi="宋体" w:cs="宋体"/>
                <w:bCs/>
              </w:rPr>
              <w:t>2.投标人所投车辆底盘必须以工业和信息化部《车辆生产企业及产品公告目录》内网站上打印出来的公告为准</w:t>
            </w:r>
            <w:r>
              <w:rPr>
                <w:rFonts w:hint="eastAsia" w:ascii="宋体" w:hAnsi="宋体" w:cs="宋体"/>
                <w:b/>
              </w:rPr>
              <w:t>（投标文件中提供公告截图等相关证明材料，并加盖投标人公章）</w:t>
            </w:r>
            <w:r>
              <w:rPr>
                <w:rFonts w:hint="eastAsia" w:ascii="宋体" w:hAnsi="宋体" w:cs="宋体"/>
                <w:bCs/>
              </w:rPr>
              <w:t>，</w:t>
            </w:r>
            <w:r>
              <w:rPr>
                <w:rFonts w:hint="eastAsia" w:ascii="宋体" w:hAnsi="宋体" w:cs="宋体"/>
                <w:szCs w:val="21"/>
              </w:rPr>
              <w:t>符合现行国家专用汽车的相关要求。</w:t>
            </w:r>
          </w:p>
          <w:p w14:paraId="4035B6D9">
            <w:pPr>
              <w:spacing w:line="360" w:lineRule="exact"/>
              <w:ind w:right="-57" w:rightChars="-27" w:firstLine="420" w:firstLineChars="200"/>
              <w:jc w:val="left"/>
              <w:rPr>
                <w:rFonts w:ascii="宋体" w:hAnsi="宋体"/>
                <w:b/>
                <w:szCs w:val="21"/>
              </w:rPr>
            </w:pPr>
            <w:r>
              <w:rPr>
                <w:rFonts w:hint="eastAsia" w:ascii="宋体" w:hAnsi="宋体"/>
                <w:szCs w:val="21"/>
              </w:rPr>
              <w:t>3.中标供应商</w:t>
            </w:r>
            <w:r>
              <w:rPr>
                <w:rFonts w:hint="eastAsia"/>
                <w:bCs/>
              </w:rPr>
              <w:t>所投产品车辆确保能在广西区内上牌，并协助采购人完成办理车辆上牌手续</w:t>
            </w:r>
            <w:r>
              <w:rPr>
                <w:rFonts w:hint="eastAsia"/>
                <w:b/>
              </w:rPr>
              <w:t>（投标文件中提供承诺函，格式自拟）</w:t>
            </w:r>
          </w:p>
          <w:p w14:paraId="531E5F8E">
            <w:pPr>
              <w:spacing w:line="360" w:lineRule="exact"/>
              <w:ind w:right="-57" w:rightChars="-27" w:firstLine="420" w:firstLineChars="200"/>
              <w:jc w:val="left"/>
              <w:rPr>
                <w:rFonts w:hint="eastAsia" w:ascii="宋体" w:hAnsi="宋体"/>
                <w:szCs w:val="21"/>
              </w:rPr>
            </w:pPr>
            <w:r>
              <w:rPr>
                <w:rFonts w:hint="eastAsia" w:ascii="宋体" w:hAnsi="宋体"/>
                <w:szCs w:val="21"/>
              </w:rPr>
              <w:t>4.装备涉及须办理车辆注册登记、检测审验、挂牌行驶等车管业务的，中标供应商须承担所需全部费用（首次交强险、首年车船税、购置税、上线检测费、牌证费等）；采购人同期提供有关公安车管业务办理时所需文书等资料。</w:t>
            </w:r>
          </w:p>
          <w:p w14:paraId="76CB1514">
            <w:pPr>
              <w:spacing w:line="360" w:lineRule="exact"/>
              <w:ind w:firstLine="420" w:firstLineChars="200"/>
              <w:rPr>
                <w:rFonts w:hint="eastAsia" w:ascii="宋体" w:hAnsi="宋体"/>
                <w:szCs w:val="21"/>
              </w:rPr>
            </w:pPr>
            <w:r>
              <w:rPr>
                <w:rFonts w:hint="eastAsia" w:ascii="宋体" w:hAnsi="宋体"/>
                <w:szCs w:val="21"/>
              </w:rPr>
              <w:t>5.车辆保险购买年限至少为交货验收合格之日起一年；车损险（以车辆价值），第三者责任险（不低于300万元），车上人员责任险（不低于10万元/座）。</w:t>
            </w:r>
          </w:p>
          <w:p w14:paraId="152AFCAE">
            <w:pPr>
              <w:spacing w:line="360" w:lineRule="exact"/>
              <w:ind w:firstLine="420" w:firstLineChars="200"/>
              <w:rPr>
                <w:rFonts w:hint="eastAsia" w:ascii="宋体" w:hAnsi="宋体"/>
                <w:b/>
                <w:szCs w:val="21"/>
              </w:rPr>
            </w:pPr>
            <w:r>
              <w:rPr>
                <w:rFonts w:hint="eastAsia" w:ascii="宋体" w:hAnsi="宋体"/>
                <w:szCs w:val="21"/>
              </w:rPr>
              <w:t>6.按采购人要求对所投产品统一外观涂装。</w:t>
            </w:r>
          </w:p>
        </w:tc>
      </w:tr>
      <w:tr w14:paraId="0B3A3E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00" w:type="pct"/>
            <w:gridSpan w:val="7"/>
            <w:tcBorders>
              <w:top w:val="single" w:color="auto" w:sz="4" w:space="0"/>
              <w:left w:val="single" w:color="auto" w:sz="4" w:space="0"/>
              <w:bottom w:val="single" w:color="auto" w:sz="4" w:space="0"/>
              <w:right w:val="single" w:color="auto" w:sz="4" w:space="0"/>
            </w:tcBorders>
            <w:noWrap w:val="0"/>
            <w:vAlign w:val="center"/>
          </w:tcPr>
          <w:p w14:paraId="5F270C86">
            <w:pPr>
              <w:spacing w:line="360" w:lineRule="exact"/>
              <w:rPr>
                <w:rFonts w:hint="eastAsia" w:ascii="宋体" w:hAnsi="宋体"/>
                <w:b/>
                <w:szCs w:val="21"/>
              </w:rPr>
            </w:pPr>
            <w:r>
              <w:rPr>
                <w:rFonts w:hint="eastAsia" w:ascii="宋体" w:hAnsi="宋体"/>
                <w:b/>
                <w:szCs w:val="21"/>
              </w:rPr>
              <w:t>三、其他说明</w:t>
            </w:r>
          </w:p>
        </w:tc>
      </w:tr>
      <w:tr w14:paraId="7D543A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00" w:type="pct"/>
            <w:gridSpan w:val="7"/>
            <w:tcBorders>
              <w:top w:val="single" w:color="auto" w:sz="4" w:space="0"/>
              <w:left w:val="single" w:color="auto" w:sz="4" w:space="0"/>
              <w:bottom w:val="single" w:color="auto" w:sz="4" w:space="0"/>
              <w:right w:val="single" w:color="auto" w:sz="4" w:space="0"/>
            </w:tcBorders>
            <w:noWrap w:val="0"/>
            <w:vAlign w:val="center"/>
          </w:tcPr>
          <w:p w14:paraId="2DB6CD44">
            <w:pPr>
              <w:spacing w:line="360" w:lineRule="exact"/>
              <w:ind w:firstLine="420" w:firstLineChars="200"/>
              <w:rPr>
                <w:rFonts w:hint="eastAsia" w:ascii="宋体" w:hAnsi="宋体"/>
                <w:b w:val="0"/>
                <w:bCs/>
                <w:color w:val="auto"/>
                <w:szCs w:val="21"/>
                <w:u w:val="none"/>
              </w:rPr>
            </w:pPr>
            <w:r>
              <w:rPr>
                <w:rFonts w:hint="eastAsia" w:ascii="宋体" w:hAnsi="宋体"/>
                <w:b w:val="0"/>
                <w:bCs/>
                <w:color w:val="auto"/>
                <w:szCs w:val="21"/>
                <w:u w:val="none"/>
              </w:rPr>
              <w:t>▲</w:t>
            </w:r>
            <w:r>
              <w:rPr>
                <w:rFonts w:hint="eastAsia" w:ascii="宋体" w:hAnsi="宋体"/>
                <w:b/>
                <w:bCs w:val="0"/>
                <w:color w:val="auto"/>
                <w:szCs w:val="21"/>
                <w:u w:val="none"/>
              </w:rPr>
              <w:t>1.投标人的分标投标总报价超所投分标最高限价或标的单价报价超单价控制价的作无效投标处理。</w:t>
            </w:r>
          </w:p>
          <w:p w14:paraId="63F2D46A">
            <w:pPr>
              <w:spacing w:line="360" w:lineRule="exact"/>
              <w:ind w:firstLine="404" w:firstLineChars="200"/>
              <w:rPr>
                <w:rFonts w:hint="eastAsia" w:ascii="宋体" w:hAnsi="宋体"/>
                <w:b/>
                <w:bCs w:val="0"/>
                <w:spacing w:val="-4"/>
                <w:szCs w:val="21"/>
              </w:rPr>
            </w:pPr>
            <w:r>
              <w:rPr>
                <w:rFonts w:hint="eastAsia" w:ascii="宋体" w:hAnsi="宋体"/>
                <w:b w:val="0"/>
                <w:bCs/>
                <w:spacing w:val="-4"/>
                <w:szCs w:val="21"/>
              </w:rPr>
              <w:t>▲2.</w:t>
            </w:r>
            <w:r>
              <w:rPr>
                <w:rFonts w:hint="eastAsia" w:ascii="宋体" w:hAnsi="宋体"/>
                <w:b/>
                <w:bCs w:val="0"/>
                <w:spacing w:val="-4"/>
                <w:szCs w:val="21"/>
              </w:rPr>
              <w:t>投标人就本项目需求中全部内容作完整唯一报价，不完整响应或拆分投标的将导致投标无效。</w:t>
            </w:r>
          </w:p>
          <w:p w14:paraId="21DAAC30">
            <w:pPr>
              <w:spacing w:line="360" w:lineRule="exact"/>
              <w:ind w:firstLine="420" w:firstLineChars="200"/>
              <w:rPr>
                <w:rFonts w:hint="eastAsia" w:ascii="宋体" w:hAnsi="宋体"/>
                <w:b w:val="0"/>
                <w:bCs/>
                <w:szCs w:val="21"/>
              </w:rPr>
            </w:pPr>
            <w:r>
              <w:rPr>
                <w:rFonts w:hint="eastAsia" w:ascii="宋体" w:hAnsi="宋体"/>
                <w:b w:val="0"/>
                <w:bCs/>
                <w:szCs w:val="21"/>
              </w:rPr>
              <w:t>3.“技术需求及要求”中有特殊要求的，按其要求执行；未作要求的，如有，投标文件中可提供产品生产商编写的有参数描述的产品说明书或彩页（应有详细的产品技术介绍、技术参数、产品图样照片等），当投标文件中提供的产品参数与该产品生产商提供的参数同一参数内容不符合时，以生产商资料为准。</w:t>
            </w:r>
          </w:p>
          <w:p w14:paraId="3C9A7BAB">
            <w:pPr>
              <w:spacing w:line="360" w:lineRule="exact"/>
              <w:ind w:firstLine="420" w:firstLineChars="200"/>
              <w:rPr>
                <w:rFonts w:ascii="宋体" w:hAnsi="宋体"/>
                <w:b/>
                <w:szCs w:val="21"/>
              </w:rPr>
            </w:pPr>
            <w:r>
              <w:rPr>
                <w:rFonts w:hint="eastAsia" w:ascii="宋体" w:hAnsi="宋体"/>
                <w:bCs/>
                <w:szCs w:val="21"/>
              </w:rPr>
              <w:t>4.投标人可根据评分标准在投标文件提供项目实施方案、人员培训方案、技术支持服务方案、应急预案、售后服务方案、质保期证明、信誉及业绩证明。</w:t>
            </w:r>
          </w:p>
        </w:tc>
      </w:tr>
    </w:tbl>
    <w:p w14:paraId="504035AF">
      <w:pPr>
        <w:spacing w:line="360" w:lineRule="auto"/>
        <w:ind w:firstLine="308" w:firstLineChars="147"/>
        <w:jc w:val="left"/>
        <w:rPr>
          <w:rFonts w:hint="eastAsia" w:ascii="宋体" w:hAnsi="宋体"/>
        </w:rPr>
      </w:pPr>
    </w:p>
    <w:p w14:paraId="678F42C1">
      <w:pPr>
        <w:spacing w:line="360" w:lineRule="exact"/>
        <w:ind w:firstLine="310" w:firstLineChars="147"/>
        <w:jc w:val="left"/>
        <w:rPr>
          <w:rFonts w:hint="eastAsia" w:ascii="宋体" w:hAnsi="宋体"/>
          <w:b/>
          <w:szCs w:val="21"/>
          <w:u w:val="single"/>
        </w:rPr>
        <w:sectPr>
          <w:footerReference r:id="rId11" w:type="default"/>
          <w:pgSz w:w="11910" w:h="16840"/>
          <w:pgMar w:top="1520" w:right="1500" w:bottom="280" w:left="1680" w:header="720" w:footer="720" w:gutter="0"/>
          <w:pgNumType w:start="1"/>
          <w:cols w:space="720" w:num="1"/>
          <w:docGrid w:linePitch="286" w:charSpace="0"/>
        </w:sectPr>
      </w:pPr>
    </w:p>
    <w:p w14:paraId="22929423">
      <w:pPr>
        <w:spacing w:line="360" w:lineRule="exact"/>
        <w:ind w:firstLine="472" w:firstLineChars="147"/>
        <w:jc w:val="left"/>
        <w:rPr>
          <w:rFonts w:hint="eastAsia" w:ascii="宋体" w:hAnsi="宋体"/>
          <w:b/>
          <w:color w:val="FF0000"/>
          <w:szCs w:val="21"/>
        </w:rPr>
      </w:pPr>
      <w:r>
        <w:rPr>
          <w:rFonts w:hint="eastAsia" w:ascii="宋体" w:hAnsi="宋体"/>
          <w:b/>
          <w:sz w:val="32"/>
          <w:szCs w:val="32"/>
          <w:u w:val="none"/>
        </w:rPr>
        <w:t xml:space="preserve">分标2 </w:t>
      </w:r>
      <w:r>
        <w:rPr>
          <w:rFonts w:hint="eastAsia" w:ascii="宋体" w:hAnsi="宋体"/>
          <w:b/>
          <w:szCs w:val="21"/>
        </w:rPr>
        <w:t xml:space="preserve">   采购预算：</w:t>
      </w:r>
      <w:r>
        <w:rPr>
          <w:rFonts w:hint="eastAsia" w:ascii="宋体" w:hAnsi="宋体"/>
          <w:b/>
          <w:szCs w:val="21"/>
          <w:u w:val="single"/>
        </w:rPr>
        <w:t>224.00</w:t>
      </w:r>
      <w:r>
        <w:rPr>
          <w:rFonts w:hint="eastAsia" w:ascii="宋体" w:hAnsi="宋体"/>
          <w:b/>
          <w:szCs w:val="21"/>
        </w:rPr>
        <w:t>万元</w:t>
      </w:r>
    </w:p>
    <w:p w14:paraId="0AE36845">
      <w:pPr>
        <w:spacing w:line="360" w:lineRule="exact"/>
        <w:ind w:firstLine="310" w:firstLineChars="147"/>
        <w:jc w:val="left"/>
        <w:rPr>
          <w:rFonts w:ascii="宋体" w:hAnsi="宋体"/>
          <w:b/>
          <w:szCs w:val="21"/>
        </w:rPr>
      </w:pPr>
      <w:r>
        <w:rPr>
          <w:rFonts w:hint="eastAsia" w:ascii="宋体" w:hAnsi="宋体"/>
          <w:b/>
          <w:szCs w:val="21"/>
        </w:rPr>
        <w:t>本分标第</w:t>
      </w:r>
      <w:r>
        <w:rPr>
          <w:rFonts w:hint="eastAsia" w:ascii="宋体" w:hAnsi="宋体"/>
          <w:b/>
          <w:szCs w:val="21"/>
          <w:u w:val="single"/>
        </w:rPr>
        <w:t xml:space="preserve"> 2 </w:t>
      </w:r>
      <w:r>
        <w:rPr>
          <w:rFonts w:hint="eastAsia" w:ascii="宋体" w:hAnsi="宋体"/>
          <w:b/>
          <w:szCs w:val="21"/>
        </w:rPr>
        <w:t>项货物</w:t>
      </w:r>
      <w:r>
        <w:rPr>
          <w:rFonts w:hint="eastAsia" w:ascii="宋体" w:hAnsi="宋体"/>
          <w:b/>
          <w:szCs w:val="21"/>
          <w:u w:val="single"/>
        </w:rPr>
        <w:t>巡查无人机</w:t>
      </w:r>
      <w:r>
        <w:rPr>
          <w:rFonts w:hint="eastAsia" w:ascii="宋体" w:hAnsi="宋体"/>
          <w:b/>
          <w:szCs w:val="21"/>
        </w:rPr>
        <w:t>为核心产品。</w:t>
      </w:r>
    </w:p>
    <w:tbl>
      <w:tblPr>
        <w:tblStyle w:val="50"/>
        <w:tblW w:w="4997"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43"/>
        <w:gridCol w:w="865"/>
        <w:gridCol w:w="131"/>
        <w:gridCol w:w="799"/>
        <w:gridCol w:w="1227"/>
        <w:gridCol w:w="4268"/>
        <w:gridCol w:w="1208"/>
      </w:tblGrid>
      <w:tr w14:paraId="70D98E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48" w:type="pct"/>
            <w:tcBorders>
              <w:top w:val="single" w:color="000000" w:sz="4" w:space="0"/>
              <w:left w:val="single" w:color="000000" w:sz="4" w:space="0"/>
              <w:bottom w:val="single" w:color="000000" w:sz="4" w:space="0"/>
              <w:right w:val="single" w:color="000000" w:sz="4" w:space="0"/>
            </w:tcBorders>
            <w:noWrap w:val="0"/>
            <w:vAlign w:val="center"/>
          </w:tcPr>
          <w:p w14:paraId="045B172E">
            <w:pPr>
              <w:tabs>
                <w:tab w:val="left" w:pos="180"/>
                <w:tab w:val="left" w:pos="1620"/>
              </w:tabs>
              <w:spacing w:line="360" w:lineRule="exact"/>
              <w:jc w:val="center"/>
              <w:rPr>
                <w:rFonts w:ascii="宋体" w:hAnsi="宋体"/>
                <w:b/>
                <w:szCs w:val="21"/>
              </w:rPr>
            </w:pPr>
            <w:r>
              <w:rPr>
                <w:rFonts w:hint="eastAsia" w:ascii="宋体" w:hAnsi="宋体"/>
                <w:b/>
                <w:szCs w:val="21"/>
              </w:rPr>
              <w:t>序号</w:t>
            </w:r>
          </w:p>
        </w:tc>
        <w:tc>
          <w:tcPr>
            <w:tcW w:w="484" w:type="pct"/>
            <w:tcBorders>
              <w:top w:val="single" w:color="000000" w:sz="4" w:space="0"/>
              <w:left w:val="single" w:color="000000" w:sz="4" w:space="0"/>
              <w:bottom w:val="single" w:color="000000" w:sz="4" w:space="0"/>
              <w:right w:val="single" w:color="000000" w:sz="4" w:space="0"/>
            </w:tcBorders>
            <w:noWrap w:val="0"/>
            <w:vAlign w:val="center"/>
          </w:tcPr>
          <w:p w14:paraId="6E0945DF">
            <w:pPr>
              <w:tabs>
                <w:tab w:val="left" w:pos="180"/>
                <w:tab w:val="left" w:pos="1620"/>
              </w:tabs>
              <w:spacing w:line="360" w:lineRule="exact"/>
              <w:jc w:val="center"/>
              <w:rPr>
                <w:rFonts w:hint="eastAsia" w:ascii="宋体" w:hAnsi="宋体"/>
                <w:b/>
                <w:szCs w:val="21"/>
              </w:rPr>
            </w:pPr>
            <w:r>
              <w:rPr>
                <w:rFonts w:hint="eastAsia" w:ascii="宋体" w:hAnsi="宋体"/>
                <w:b/>
                <w:szCs w:val="21"/>
              </w:rPr>
              <w:t>标的名称</w:t>
            </w:r>
          </w:p>
        </w:tc>
        <w:tc>
          <w:tcPr>
            <w:tcW w:w="520" w:type="pct"/>
            <w:gridSpan w:val="2"/>
            <w:tcBorders>
              <w:top w:val="single" w:color="000000" w:sz="4" w:space="0"/>
              <w:left w:val="single" w:color="000000" w:sz="4" w:space="0"/>
              <w:bottom w:val="single" w:color="000000" w:sz="4" w:space="0"/>
              <w:right w:val="single" w:color="000000" w:sz="4" w:space="0"/>
            </w:tcBorders>
            <w:noWrap w:val="0"/>
            <w:vAlign w:val="center"/>
          </w:tcPr>
          <w:p w14:paraId="64756E33">
            <w:pPr>
              <w:tabs>
                <w:tab w:val="left" w:pos="180"/>
                <w:tab w:val="left" w:pos="1620"/>
              </w:tabs>
              <w:spacing w:line="360" w:lineRule="exact"/>
              <w:jc w:val="center"/>
              <w:rPr>
                <w:rFonts w:hint="eastAsia" w:ascii="宋体" w:hAnsi="宋体"/>
                <w:b/>
                <w:szCs w:val="21"/>
              </w:rPr>
            </w:pPr>
            <w:r>
              <w:rPr>
                <w:rFonts w:hint="eastAsia" w:ascii="宋体" w:hAnsi="宋体"/>
                <w:b/>
                <w:szCs w:val="21"/>
              </w:rPr>
              <w:t>数量及单位</w:t>
            </w:r>
          </w:p>
        </w:tc>
        <w:tc>
          <w:tcPr>
            <w:tcW w:w="686" w:type="pct"/>
            <w:tcBorders>
              <w:top w:val="single" w:color="000000" w:sz="4" w:space="0"/>
              <w:left w:val="single" w:color="000000" w:sz="4" w:space="0"/>
              <w:bottom w:val="single" w:color="000000" w:sz="4" w:space="0"/>
              <w:right w:val="single" w:color="000000" w:sz="4" w:space="0"/>
            </w:tcBorders>
            <w:noWrap w:val="0"/>
            <w:vAlign w:val="center"/>
          </w:tcPr>
          <w:p w14:paraId="5B9D69D8">
            <w:pPr>
              <w:tabs>
                <w:tab w:val="left" w:pos="180"/>
                <w:tab w:val="left" w:pos="1620"/>
              </w:tabs>
              <w:spacing w:line="360" w:lineRule="exact"/>
              <w:jc w:val="center"/>
              <w:rPr>
                <w:rFonts w:hint="eastAsia" w:ascii="宋体" w:hAnsi="宋体" w:cs="Arial"/>
                <w:b/>
                <w:szCs w:val="21"/>
              </w:rPr>
            </w:pPr>
            <w:r>
              <w:rPr>
                <w:rFonts w:hint="eastAsia" w:ascii="宋体" w:hAnsi="宋体" w:cs="Arial"/>
                <w:b/>
                <w:szCs w:val="21"/>
              </w:rPr>
              <w:t>所属</w:t>
            </w:r>
          </w:p>
          <w:p w14:paraId="4C49FBAD">
            <w:pPr>
              <w:tabs>
                <w:tab w:val="left" w:pos="180"/>
                <w:tab w:val="left" w:pos="1620"/>
              </w:tabs>
              <w:spacing w:line="360" w:lineRule="exact"/>
              <w:jc w:val="center"/>
              <w:rPr>
                <w:rFonts w:hint="eastAsia" w:ascii="宋体" w:hAnsi="宋体"/>
                <w:b/>
                <w:szCs w:val="21"/>
              </w:rPr>
            </w:pPr>
            <w:r>
              <w:rPr>
                <w:rFonts w:hint="eastAsia" w:ascii="宋体" w:hAnsi="宋体" w:cs="Arial"/>
                <w:b/>
                <w:szCs w:val="21"/>
              </w:rPr>
              <w:t>行业</w:t>
            </w:r>
          </w:p>
        </w:tc>
        <w:tc>
          <w:tcPr>
            <w:tcW w:w="2385" w:type="pct"/>
            <w:tcBorders>
              <w:top w:val="single" w:color="000000" w:sz="4" w:space="0"/>
              <w:left w:val="single" w:color="000000" w:sz="4" w:space="0"/>
              <w:bottom w:val="single" w:color="000000" w:sz="4" w:space="0"/>
              <w:right w:val="single" w:color="000000" w:sz="4" w:space="0"/>
            </w:tcBorders>
            <w:noWrap w:val="0"/>
            <w:vAlign w:val="center"/>
          </w:tcPr>
          <w:p w14:paraId="0E35B907">
            <w:pPr>
              <w:tabs>
                <w:tab w:val="left" w:pos="180"/>
                <w:tab w:val="left" w:pos="1620"/>
              </w:tabs>
              <w:spacing w:line="360" w:lineRule="exact"/>
              <w:jc w:val="center"/>
              <w:rPr>
                <w:rFonts w:hint="eastAsia" w:ascii="宋体" w:hAnsi="宋体"/>
                <w:b/>
                <w:szCs w:val="21"/>
              </w:rPr>
            </w:pPr>
            <w:r>
              <w:rPr>
                <w:rFonts w:hint="eastAsia" w:ascii="宋体" w:hAnsi="宋体"/>
                <w:b/>
                <w:szCs w:val="21"/>
              </w:rPr>
              <w:t xml:space="preserve">技术需求及要求 </w:t>
            </w:r>
          </w:p>
        </w:tc>
        <w:tc>
          <w:tcPr>
            <w:tcW w:w="674" w:type="pct"/>
            <w:tcBorders>
              <w:top w:val="single" w:color="000000" w:sz="4" w:space="0"/>
              <w:left w:val="single" w:color="000000" w:sz="4" w:space="0"/>
              <w:bottom w:val="single" w:color="000000" w:sz="4" w:space="0"/>
              <w:right w:val="single" w:color="000000" w:sz="4" w:space="0"/>
            </w:tcBorders>
            <w:noWrap w:val="0"/>
            <w:vAlign w:val="center"/>
          </w:tcPr>
          <w:p w14:paraId="23D5F72B">
            <w:pPr>
              <w:tabs>
                <w:tab w:val="left" w:pos="180"/>
                <w:tab w:val="left" w:pos="1620"/>
              </w:tabs>
              <w:spacing w:line="360" w:lineRule="exact"/>
              <w:jc w:val="center"/>
              <w:rPr>
                <w:rFonts w:ascii="宋体" w:hAnsi="宋体"/>
                <w:b/>
                <w:szCs w:val="21"/>
              </w:rPr>
            </w:pPr>
            <w:r>
              <w:rPr>
                <w:rFonts w:hint="eastAsia" w:ascii="宋体" w:hAnsi="宋体"/>
                <w:b/>
                <w:szCs w:val="21"/>
              </w:rPr>
              <w:t>单价控制价【万元/台（套）】</w:t>
            </w:r>
          </w:p>
        </w:tc>
      </w:tr>
      <w:tr w14:paraId="472F61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48" w:type="pct"/>
            <w:tcBorders>
              <w:top w:val="single" w:color="000000" w:sz="4" w:space="0"/>
              <w:left w:val="single" w:color="000000" w:sz="4" w:space="0"/>
              <w:bottom w:val="single" w:color="000000" w:sz="4" w:space="0"/>
              <w:right w:val="single" w:color="000000" w:sz="4" w:space="0"/>
            </w:tcBorders>
            <w:noWrap w:val="0"/>
            <w:vAlign w:val="center"/>
          </w:tcPr>
          <w:p w14:paraId="0823986E">
            <w:pPr>
              <w:snapToGrid w:val="0"/>
              <w:spacing w:line="360" w:lineRule="exact"/>
              <w:ind w:left="440" w:hanging="440"/>
              <w:jc w:val="center"/>
              <w:rPr>
                <w:rFonts w:hint="eastAsia" w:ascii="宋体" w:hAnsi="宋体"/>
                <w:szCs w:val="21"/>
              </w:rPr>
            </w:pPr>
            <w:r>
              <w:rPr>
                <w:rFonts w:hint="eastAsia" w:ascii="宋体" w:hAnsi="宋体"/>
                <w:szCs w:val="21"/>
              </w:rPr>
              <w:t>1</w:t>
            </w:r>
          </w:p>
        </w:tc>
        <w:tc>
          <w:tcPr>
            <w:tcW w:w="484" w:type="pct"/>
            <w:tcBorders>
              <w:top w:val="single" w:color="000000" w:sz="4" w:space="0"/>
              <w:left w:val="single" w:color="000000" w:sz="4" w:space="0"/>
              <w:bottom w:val="single" w:color="auto" w:sz="4" w:space="0"/>
              <w:right w:val="single" w:color="000000" w:sz="4" w:space="0"/>
            </w:tcBorders>
            <w:noWrap w:val="0"/>
            <w:vAlign w:val="center"/>
          </w:tcPr>
          <w:p w14:paraId="36C02721">
            <w:pPr>
              <w:widowControl/>
              <w:spacing w:line="360" w:lineRule="exact"/>
              <w:jc w:val="center"/>
              <w:textAlignment w:val="center"/>
              <w:rPr>
                <w:rFonts w:hint="eastAsia" w:ascii="宋体" w:hAnsi="宋体"/>
                <w:szCs w:val="21"/>
              </w:rPr>
            </w:pPr>
            <w:r>
              <w:rPr>
                <w:rFonts w:hint="eastAsia" w:ascii="宋体" w:hAnsi="宋体"/>
                <w:color w:val="000000"/>
              </w:rPr>
              <w:t>重载型无人机</w:t>
            </w:r>
          </w:p>
        </w:tc>
        <w:tc>
          <w:tcPr>
            <w:tcW w:w="520" w:type="pct"/>
            <w:gridSpan w:val="2"/>
            <w:tcBorders>
              <w:top w:val="single" w:color="000000" w:sz="4" w:space="0"/>
              <w:left w:val="single" w:color="000000" w:sz="4" w:space="0"/>
              <w:bottom w:val="single" w:color="auto" w:sz="4" w:space="0"/>
              <w:right w:val="single" w:color="000000" w:sz="4" w:space="0"/>
            </w:tcBorders>
            <w:noWrap w:val="0"/>
            <w:vAlign w:val="center"/>
          </w:tcPr>
          <w:p w14:paraId="0B58165A">
            <w:pPr>
              <w:widowControl/>
              <w:spacing w:line="360" w:lineRule="exact"/>
              <w:jc w:val="center"/>
              <w:textAlignment w:val="center"/>
              <w:rPr>
                <w:rFonts w:hint="eastAsia" w:ascii="宋体" w:hAnsi="宋体"/>
                <w:szCs w:val="21"/>
              </w:rPr>
            </w:pPr>
            <w:r>
              <w:rPr>
                <w:rFonts w:hint="eastAsia" w:ascii="宋体" w:hAnsi="宋体"/>
                <w:color w:val="000000"/>
              </w:rPr>
              <w:t>2套</w:t>
            </w:r>
          </w:p>
        </w:tc>
        <w:tc>
          <w:tcPr>
            <w:tcW w:w="686" w:type="pct"/>
            <w:tcBorders>
              <w:top w:val="single" w:color="000000" w:sz="4" w:space="0"/>
              <w:left w:val="single" w:color="000000" w:sz="4" w:space="0"/>
              <w:bottom w:val="single" w:color="auto" w:sz="4" w:space="0"/>
              <w:right w:val="single" w:color="000000" w:sz="4" w:space="0"/>
            </w:tcBorders>
            <w:noWrap w:val="0"/>
            <w:vAlign w:val="center"/>
          </w:tcPr>
          <w:p w14:paraId="29D1FF2C">
            <w:pPr>
              <w:widowControl/>
              <w:spacing w:line="360" w:lineRule="exact"/>
              <w:jc w:val="center"/>
              <w:textAlignment w:val="center"/>
              <w:rPr>
                <w:rFonts w:hint="eastAsia" w:ascii="宋体" w:hAnsi="宋体"/>
                <w:szCs w:val="21"/>
              </w:rPr>
            </w:pPr>
            <w:r>
              <w:rPr>
                <w:rFonts w:hint="eastAsia" w:ascii="宋体" w:hAnsi="宋体"/>
                <w:szCs w:val="21"/>
              </w:rPr>
              <w:t>工业</w:t>
            </w:r>
          </w:p>
        </w:tc>
        <w:tc>
          <w:tcPr>
            <w:tcW w:w="2385" w:type="pct"/>
            <w:tcBorders>
              <w:top w:val="single" w:color="000000" w:sz="4" w:space="0"/>
              <w:left w:val="single" w:color="000000" w:sz="4" w:space="0"/>
              <w:bottom w:val="single" w:color="000000" w:sz="4" w:space="0"/>
              <w:right w:val="single" w:color="000000" w:sz="4" w:space="0"/>
            </w:tcBorders>
            <w:noWrap w:val="0"/>
            <w:vAlign w:val="center"/>
          </w:tcPr>
          <w:p w14:paraId="0251D98F">
            <w:pPr>
              <w:widowControl/>
              <w:spacing w:line="360" w:lineRule="exact"/>
              <w:textAlignment w:val="top"/>
              <w:rPr>
                <w:rFonts w:hint="eastAsia" w:ascii="宋体" w:hAnsi="宋体"/>
                <w:szCs w:val="21"/>
              </w:rPr>
            </w:pPr>
            <w:r>
              <w:rPr>
                <w:rFonts w:hint="eastAsia" w:ascii="宋体" w:hAnsi="宋体"/>
                <w:szCs w:val="21"/>
              </w:rPr>
              <w:t>1.无人机平台参数</w:t>
            </w:r>
          </w:p>
          <w:p w14:paraId="506D0587">
            <w:pPr>
              <w:widowControl/>
              <w:spacing w:line="360" w:lineRule="exact"/>
              <w:textAlignment w:val="top"/>
              <w:rPr>
                <w:rFonts w:hint="eastAsia" w:ascii="宋体" w:hAnsi="宋体"/>
                <w:szCs w:val="21"/>
              </w:rPr>
            </w:pPr>
            <w:r>
              <w:rPr>
                <w:rFonts w:hint="eastAsia" w:ascii="宋体" w:hAnsi="宋体"/>
                <w:szCs w:val="21"/>
              </w:rPr>
              <w:t>▲1.1 最大起飞重量：≥140Kg；</w:t>
            </w:r>
          </w:p>
          <w:p w14:paraId="0373976B">
            <w:pPr>
              <w:widowControl/>
              <w:spacing w:line="360" w:lineRule="exact"/>
              <w:textAlignment w:val="top"/>
              <w:rPr>
                <w:rFonts w:hint="eastAsia" w:ascii="宋体" w:hAnsi="宋体"/>
                <w:szCs w:val="21"/>
              </w:rPr>
            </w:pPr>
            <w:r>
              <w:rPr>
                <w:rFonts w:hint="eastAsia" w:ascii="宋体" w:hAnsi="宋体"/>
                <w:szCs w:val="21"/>
              </w:rPr>
              <w:t>1.2 机载电池：支持单电/双电双模式切换；</w:t>
            </w:r>
          </w:p>
          <w:p w14:paraId="682BAE17">
            <w:pPr>
              <w:widowControl/>
              <w:spacing w:line="360" w:lineRule="exact"/>
              <w:textAlignment w:val="top"/>
              <w:rPr>
                <w:rFonts w:hint="eastAsia" w:ascii="宋体" w:hAnsi="宋体"/>
                <w:szCs w:val="21"/>
              </w:rPr>
            </w:pPr>
            <w:r>
              <w:rPr>
                <w:rFonts w:hint="eastAsia" w:ascii="宋体" w:hAnsi="宋体"/>
                <w:szCs w:val="21"/>
              </w:rPr>
              <w:t>1.3 整机防护：≥IP54（防尘防水）；</w:t>
            </w:r>
          </w:p>
          <w:p w14:paraId="54545846">
            <w:pPr>
              <w:widowControl/>
              <w:spacing w:line="360" w:lineRule="exact"/>
              <w:textAlignment w:val="top"/>
              <w:rPr>
                <w:rFonts w:hint="eastAsia" w:ascii="宋体" w:hAnsi="宋体"/>
                <w:szCs w:val="21"/>
              </w:rPr>
            </w:pPr>
            <w:r>
              <w:rPr>
                <w:rFonts w:hint="eastAsia" w:ascii="宋体" w:hAnsi="宋体"/>
                <w:szCs w:val="21"/>
              </w:rPr>
              <w:t>1.4 空机重量：≥55Kg；</w:t>
            </w:r>
          </w:p>
          <w:p w14:paraId="3F1FBF73">
            <w:pPr>
              <w:widowControl/>
              <w:spacing w:line="360" w:lineRule="exact"/>
              <w:textAlignment w:val="top"/>
              <w:rPr>
                <w:rFonts w:hint="eastAsia" w:ascii="宋体" w:hAnsi="宋体"/>
                <w:szCs w:val="21"/>
              </w:rPr>
            </w:pPr>
            <w:r>
              <w:rPr>
                <w:rFonts w:hint="eastAsia" w:ascii="宋体" w:hAnsi="宋体"/>
                <w:szCs w:val="21"/>
              </w:rPr>
              <w:t>1.5 感知系统：前毫米波雷达、后视雷达、下视雷达、激光雷达、四目视觉（五目鱼眼视觉系统）；</w:t>
            </w:r>
          </w:p>
          <w:p w14:paraId="5B1A26D4">
            <w:pPr>
              <w:widowControl/>
              <w:spacing w:line="360" w:lineRule="exact"/>
              <w:textAlignment w:val="top"/>
              <w:rPr>
                <w:rFonts w:hint="eastAsia" w:ascii="宋体" w:hAnsi="宋体"/>
                <w:szCs w:val="21"/>
              </w:rPr>
            </w:pPr>
            <w:r>
              <w:rPr>
                <w:rFonts w:hint="eastAsia" w:ascii="宋体" w:hAnsi="宋体"/>
                <w:szCs w:val="21"/>
              </w:rPr>
              <w:t>1.6 信号距离：图传≥20 km；</w:t>
            </w:r>
          </w:p>
          <w:p w14:paraId="16665EC4">
            <w:pPr>
              <w:widowControl/>
              <w:spacing w:line="360" w:lineRule="exact"/>
              <w:textAlignment w:val="top"/>
              <w:rPr>
                <w:rFonts w:hint="eastAsia" w:ascii="宋体" w:hAnsi="宋体"/>
                <w:szCs w:val="21"/>
              </w:rPr>
            </w:pPr>
            <w:r>
              <w:rPr>
                <w:rFonts w:hint="eastAsia" w:ascii="宋体" w:hAnsi="宋体"/>
                <w:szCs w:val="21"/>
              </w:rPr>
              <w:t>1.7 安全模块：机身自带前视远近灯、下视补光灯（探照灯）、降落伞系统；</w:t>
            </w:r>
          </w:p>
          <w:p w14:paraId="2404B993">
            <w:pPr>
              <w:widowControl/>
              <w:spacing w:line="360" w:lineRule="exact"/>
              <w:textAlignment w:val="top"/>
              <w:rPr>
                <w:rFonts w:hint="eastAsia" w:ascii="宋体" w:hAnsi="宋体"/>
                <w:szCs w:val="21"/>
              </w:rPr>
            </w:pPr>
            <w:r>
              <w:rPr>
                <w:rFonts w:hint="eastAsia" w:ascii="宋体" w:hAnsi="宋体"/>
                <w:szCs w:val="21"/>
              </w:rPr>
              <w:t>1.8 空吊挂钩充电：空吊挂钩支持无线充电（45W）+ Type-C充电（30W）；</w:t>
            </w:r>
          </w:p>
          <w:p w14:paraId="386550C7">
            <w:pPr>
              <w:widowControl/>
              <w:spacing w:line="360" w:lineRule="exact"/>
              <w:textAlignment w:val="top"/>
              <w:rPr>
                <w:rFonts w:hint="eastAsia" w:ascii="宋体" w:hAnsi="宋体"/>
                <w:szCs w:val="21"/>
              </w:rPr>
            </w:pPr>
            <w:r>
              <w:rPr>
                <w:rFonts w:hint="eastAsia" w:ascii="宋体" w:hAnsi="宋体"/>
                <w:szCs w:val="21"/>
              </w:rPr>
              <w:t>1.9抗风等级：≥12 m/s（约 8 级风），满足平飞/悬停；</w:t>
            </w:r>
          </w:p>
          <w:p w14:paraId="6CC548F9">
            <w:pPr>
              <w:widowControl/>
              <w:spacing w:line="360" w:lineRule="exact"/>
              <w:textAlignment w:val="top"/>
              <w:rPr>
                <w:rFonts w:hint="eastAsia" w:ascii="宋体" w:hAnsi="宋体"/>
                <w:szCs w:val="21"/>
              </w:rPr>
            </w:pPr>
            <w:r>
              <w:rPr>
                <w:rFonts w:hint="eastAsia" w:ascii="宋体" w:hAnsi="宋体"/>
                <w:szCs w:val="21"/>
              </w:rPr>
              <w:t>2.伴随保障测绘模块；</w:t>
            </w:r>
          </w:p>
          <w:p w14:paraId="7032E937">
            <w:pPr>
              <w:widowControl/>
              <w:spacing w:line="360" w:lineRule="exact"/>
              <w:textAlignment w:val="top"/>
              <w:rPr>
                <w:rFonts w:hint="eastAsia" w:ascii="宋体" w:hAnsi="宋体"/>
                <w:szCs w:val="21"/>
              </w:rPr>
            </w:pPr>
            <w:r>
              <w:rPr>
                <w:rFonts w:hint="eastAsia" w:ascii="宋体" w:hAnsi="宋体"/>
                <w:szCs w:val="21"/>
              </w:rPr>
              <w:t>2.1 RTK+夜航灯：内置 RTK 模块；机身自带顶部/底部夜航灯；</w:t>
            </w:r>
          </w:p>
          <w:p w14:paraId="675AB13B">
            <w:pPr>
              <w:widowControl/>
              <w:spacing w:line="360" w:lineRule="exact"/>
              <w:textAlignment w:val="top"/>
              <w:rPr>
                <w:rFonts w:hint="eastAsia" w:ascii="宋体" w:hAnsi="宋体"/>
                <w:szCs w:val="21"/>
              </w:rPr>
            </w:pPr>
            <w:r>
              <w:rPr>
                <w:rFonts w:hint="eastAsia" w:ascii="宋体" w:hAnsi="宋体"/>
                <w:szCs w:val="21"/>
              </w:rPr>
              <w:t>2.2 传感器：可搭载4/3 英寸CMOS、2000万+像素测绘相机；</w:t>
            </w:r>
          </w:p>
          <w:p w14:paraId="3C4D2AD0">
            <w:pPr>
              <w:widowControl/>
              <w:spacing w:line="360" w:lineRule="exact"/>
              <w:textAlignment w:val="top"/>
              <w:rPr>
                <w:rFonts w:hint="eastAsia" w:ascii="宋体" w:hAnsi="宋体"/>
                <w:szCs w:val="21"/>
              </w:rPr>
            </w:pPr>
            <w:r>
              <w:rPr>
                <w:rFonts w:hint="eastAsia" w:ascii="宋体" w:hAnsi="宋体"/>
                <w:szCs w:val="21"/>
              </w:rPr>
              <w:t>2.3 喊话探照：可集成喊话器、探照灯；</w:t>
            </w:r>
          </w:p>
          <w:p w14:paraId="25B3C798">
            <w:pPr>
              <w:widowControl/>
              <w:spacing w:line="360" w:lineRule="exact"/>
              <w:textAlignment w:val="top"/>
              <w:rPr>
                <w:rFonts w:hint="eastAsia" w:ascii="宋体" w:hAnsi="宋体"/>
                <w:szCs w:val="21"/>
              </w:rPr>
            </w:pPr>
            <w:r>
              <w:rPr>
                <w:rFonts w:hint="eastAsia" w:ascii="宋体" w:hAnsi="宋体"/>
                <w:szCs w:val="21"/>
              </w:rPr>
              <w:t>▲2.4标准配置电池*3套；</w:t>
            </w:r>
          </w:p>
          <w:p w14:paraId="694105FD">
            <w:pPr>
              <w:widowControl/>
              <w:spacing w:line="360" w:lineRule="exact"/>
              <w:textAlignment w:val="top"/>
              <w:rPr>
                <w:rFonts w:hint="eastAsia" w:ascii="宋体" w:hAnsi="宋体"/>
                <w:szCs w:val="21"/>
              </w:rPr>
            </w:pPr>
            <w:r>
              <w:rPr>
                <w:rFonts w:hint="eastAsia" w:ascii="宋体" w:hAnsi="宋体"/>
                <w:szCs w:val="21"/>
              </w:rPr>
              <w:t>▲2.5 配备户外稳压安全充电模组≥2度电。</w:t>
            </w:r>
          </w:p>
          <w:p w14:paraId="5727E346">
            <w:pPr>
              <w:widowControl/>
              <w:spacing w:line="360" w:lineRule="exact"/>
              <w:textAlignment w:val="top"/>
              <w:rPr>
                <w:rFonts w:hint="eastAsia" w:ascii="宋体" w:hAnsi="宋体"/>
                <w:szCs w:val="21"/>
              </w:rPr>
            </w:pPr>
            <w:r>
              <w:rPr>
                <w:rFonts w:hint="eastAsia" w:ascii="宋体" w:hAnsi="宋体"/>
                <w:szCs w:val="21"/>
              </w:rPr>
              <w:t xml:space="preserve">3. 伴随保障侦测模块 </w:t>
            </w:r>
          </w:p>
          <w:p w14:paraId="1C0CFCB3">
            <w:pPr>
              <w:widowControl/>
              <w:spacing w:line="360" w:lineRule="exact"/>
              <w:textAlignment w:val="top"/>
              <w:rPr>
                <w:rFonts w:hint="eastAsia" w:ascii="宋体" w:hAnsi="宋体"/>
                <w:szCs w:val="21"/>
              </w:rPr>
            </w:pPr>
            <w:r>
              <w:rPr>
                <w:rFonts w:hint="eastAsia" w:ascii="宋体" w:hAnsi="宋体"/>
                <w:szCs w:val="21"/>
              </w:rPr>
              <w:t>3.</w:t>
            </w:r>
            <w:r>
              <w:rPr>
                <w:rFonts w:hint="eastAsia" w:ascii="宋体" w:hAnsi="宋体"/>
                <w:szCs w:val="21"/>
                <w:lang w:val="en-US" w:eastAsia="zh-CN"/>
              </w:rPr>
              <w:t>1</w:t>
            </w:r>
            <w:r>
              <w:rPr>
                <w:rFonts w:hint="eastAsia" w:ascii="宋体" w:hAnsi="宋体"/>
                <w:szCs w:val="21"/>
              </w:rPr>
              <w:t xml:space="preserve"> 侦测能力：可搭载激光测距≥3 km、近红外补光灯、热成像（1280×1024）；</w:t>
            </w:r>
          </w:p>
          <w:p w14:paraId="0ADB5138">
            <w:pPr>
              <w:widowControl/>
              <w:spacing w:line="360" w:lineRule="exact"/>
              <w:textAlignment w:val="top"/>
              <w:rPr>
                <w:rFonts w:hint="eastAsia" w:ascii="宋体" w:hAnsi="宋体"/>
                <w:szCs w:val="21"/>
              </w:rPr>
            </w:pPr>
            <w:r>
              <w:rPr>
                <w:rFonts w:hint="eastAsia" w:ascii="宋体" w:hAnsi="宋体"/>
                <w:sz w:val="22"/>
                <w:szCs w:val="20"/>
              </w:rPr>
              <w:t>3.</w:t>
            </w:r>
            <w:r>
              <w:rPr>
                <w:rFonts w:hint="eastAsia" w:ascii="宋体" w:hAnsi="宋体"/>
                <w:sz w:val="22"/>
                <w:szCs w:val="20"/>
                <w:lang w:val="en-US" w:eastAsia="zh-CN"/>
              </w:rPr>
              <w:t>2</w:t>
            </w:r>
            <w:r>
              <w:rPr>
                <w:rFonts w:hint="eastAsia" w:ascii="宋体" w:hAnsi="宋体"/>
                <w:sz w:val="22"/>
                <w:szCs w:val="20"/>
              </w:rPr>
              <w:t>模块重量≤1kg</w:t>
            </w:r>
            <w:r>
              <w:rPr>
                <w:rFonts w:hint="eastAsia"/>
              </w:rPr>
              <w:t>；</w:t>
            </w:r>
          </w:p>
          <w:p w14:paraId="197BFD2B">
            <w:pPr>
              <w:widowControl/>
              <w:spacing w:line="360" w:lineRule="exact"/>
              <w:textAlignment w:val="top"/>
              <w:rPr>
                <w:rFonts w:hint="eastAsia" w:ascii="宋体" w:hAnsi="宋体"/>
                <w:szCs w:val="21"/>
              </w:rPr>
            </w:pPr>
            <w:r>
              <w:rPr>
                <w:rFonts w:hint="eastAsia" w:ascii="宋体" w:hAnsi="宋体"/>
                <w:szCs w:val="21"/>
              </w:rPr>
              <w:t>4.其他要求</w:t>
            </w:r>
          </w:p>
          <w:p w14:paraId="2A56A697">
            <w:pPr>
              <w:widowControl/>
              <w:spacing w:line="360" w:lineRule="exact"/>
              <w:textAlignment w:val="top"/>
              <w:rPr>
                <w:rFonts w:hint="eastAsia" w:ascii="宋体" w:hAnsi="宋体"/>
                <w:szCs w:val="21"/>
              </w:rPr>
            </w:pPr>
            <w:r>
              <w:rPr>
                <w:rFonts w:hint="eastAsia" w:ascii="宋体" w:hAnsi="宋体"/>
                <w:szCs w:val="21"/>
              </w:rPr>
              <w:t>▲4.1 要求提供首年100万三者险、第一年机身险（交货时，需提供保险公司证明材料）；</w:t>
            </w:r>
          </w:p>
          <w:p w14:paraId="6D5E6092">
            <w:pPr>
              <w:widowControl/>
              <w:spacing w:line="360" w:lineRule="exact"/>
              <w:textAlignment w:val="top"/>
              <w:rPr>
                <w:rFonts w:hint="eastAsia" w:ascii="宋体" w:hAnsi="宋体"/>
                <w:szCs w:val="21"/>
              </w:rPr>
            </w:pPr>
            <w:r>
              <w:rPr>
                <w:rFonts w:hint="eastAsia" w:ascii="宋体" w:hAnsi="宋体"/>
                <w:szCs w:val="21"/>
              </w:rPr>
              <w:t>▲4.2 质保期≥1年。</w:t>
            </w:r>
          </w:p>
        </w:tc>
        <w:tc>
          <w:tcPr>
            <w:tcW w:w="674" w:type="pct"/>
            <w:tcBorders>
              <w:top w:val="single" w:color="000000" w:sz="4" w:space="0"/>
              <w:left w:val="single" w:color="000000" w:sz="4" w:space="0"/>
              <w:bottom w:val="single" w:color="000000" w:sz="4" w:space="0"/>
              <w:right w:val="single" w:color="000000" w:sz="4" w:space="0"/>
            </w:tcBorders>
            <w:noWrap w:val="0"/>
            <w:vAlign w:val="center"/>
          </w:tcPr>
          <w:p w14:paraId="7FD9115E">
            <w:pPr>
              <w:widowControl/>
              <w:spacing w:line="360" w:lineRule="exact"/>
              <w:jc w:val="center"/>
              <w:textAlignment w:val="top"/>
              <w:rPr>
                <w:rFonts w:hint="eastAsia" w:ascii="宋体" w:hAnsi="宋体"/>
                <w:color w:val="FF0000"/>
              </w:rPr>
            </w:pPr>
            <w:r>
              <w:rPr>
                <w:rFonts w:hint="eastAsia" w:ascii="宋体" w:hAnsi="宋体"/>
              </w:rPr>
              <w:t>22.50</w:t>
            </w:r>
          </w:p>
        </w:tc>
      </w:tr>
      <w:tr w14:paraId="5EB17A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48" w:type="pct"/>
            <w:tcBorders>
              <w:top w:val="single" w:color="000000" w:sz="4" w:space="0"/>
              <w:left w:val="single" w:color="000000" w:sz="4" w:space="0"/>
              <w:bottom w:val="single" w:color="000000" w:sz="4" w:space="0"/>
              <w:right w:val="single" w:color="000000" w:sz="4" w:space="0"/>
            </w:tcBorders>
            <w:noWrap w:val="0"/>
            <w:vAlign w:val="center"/>
          </w:tcPr>
          <w:p w14:paraId="2428B04A">
            <w:pPr>
              <w:snapToGrid w:val="0"/>
              <w:spacing w:line="360" w:lineRule="exact"/>
              <w:ind w:left="440" w:hanging="440"/>
              <w:jc w:val="center"/>
              <w:rPr>
                <w:rFonts w:hint="eastAsia" w:ascii="宋体" w:hAnsi="宋体"/>
                <w:szCs w:val="21"/>
              </w:rPr>
            </w:pPr>
            <w:r>
              <w:rPr>
                <w:rFonts w:hint="eastAsia" w:ascii="宋体" w:hAnsi="宋体"/>
                <w:szCs w:val="21"/>
              </w:rPr>
              <w:t>2</w:t>
            </w:r>
          </w:p>
        </w:tc>
        <w:tc>
          <w:tcPr>
            <w:tcW w:w="484" w:type="pct"/>
            <w:tcBorders>
              <w:top w:val="single" w:color="000000" w:sz="4" w:space="0"/>
              <w:left w:val="single" w:color="000000" w:sz="4" w:space="0"/>
              <w:bottom w:val="single" w:color="auto" w:sz="4" w:space="0"/>
              <w:right w:val="single" w:color="000000" w:sz="4" w:space="0"/>
            </w:tcBorders>
            <w:noWrap w:val="0"/>
            <w:vAlign w:val="center"/>
          </w:tcPr>
          <w:p w14:paraId="73028AD7">
            <w:pPr>
              <w:widowControl/>
              <w:spacing w:line="360" w:lineRule="exact"/>
              <w:jc w:val="center"/>
              <w:textAlignment w:val="center"/>
              <w:rPr>
                <w:rFonts w:hint="eastAsia" w:ascii="宋体" w:hAnsi="宋体"/>
                <w:szCs w:val="21"/>
              </w:rPr>
            </w:pPr>
            <w:r>
              <w:rPr>
                <w:rFonts w:hint="eastAsia" w:ascii="宋体" w:hAnsi="宋体"/>
                <w:color w:val="000000"/>
              </w:rPr>
              <w:t>巡查无人机</w:t>
            </w:r>
          </w:p>
        </w:tc>
        <w:tc>
          <w:tcPr>
            <w:tcW w:w="520" w:type="pct"/>
            <w:gridSpan w:val="2"/>
            <w:tcBorders>
              <w:top w:val="single" w:color="000000" w:sz="4" w:space="0"/>
              <w:left w:val="single" w:color="000000" w:sz="4" w:space="0"/>
              <w:bottom w:val="single" w:color="auto" w:sz="4" w:space="0"/>
              <w:right w:val="single" w:color="000000" w:sz="4" w:space="0"/>
            </w:tcBorders>
            <w:noWrap w:val="0"/>
            <w:vAlign w:val="center"/>
          </w:tcPr>
          <w:p w14:paraId="5678F96E">
            <w:pPr>
              <w:widowControl/>
              <w:spacing w:line="360" w:lineRule="exact"/>
              <w:jc w:val="center"/>
              <w:textAlignment w:val="center"/>
              <w:rPr>
                <w:rFonts w:hint="eastAsia" w:ascii="宋体" w:hAnsi="宋体"/>
                <w:szCs w:val="21"/>
              </w:rPr>
            </w:pPr>
            <w:r>
              <w:rPr>
                <w:rFonts w:hint="eastAsia" w:ascii="宋体" w:hAnsi="宋体"/>
                <w:color w:val="000000"/>
              </w:rPr>
              <w:t>2套</w:t>
            </w:r>
          </w:p>
        </w:tc>
        <w:tc>
          <w:tcPr>
            <w:tcW w:w="686" w:type="pct"/>
            <w:tcBorders>
              <w:top w:val="single" w:color="000000" w:sz="4" w:space="0"/>
              <w:left w:val="single" w:color="000000" w:sz="4" w:space="0"/>
              <w:bottom w:val="single" w:color="auto" w:sz="4" w:space="0"/>
              <w:right w:val="single" w:color="000000" w:sz="4" w:space="0"/>
            </w:tcBorders>
            <w:noWrap w:val="0"/>
            <w:vAlign w:val="center"/>
          </w:tcPr>
          <w:p w14:paraId="057AB208">
            <w:pPr>
              <w:widowControl/>
              <w:spacing w:line="360" w:lineRule="exact"/>
              <w:jc w:val="center"/>
              <w:textAlignment w:val="center"/>
              <w:rPr>
                <w:rFonts w:hint="eastAsia" w:ascii="宋体" w:hAnsi="宋体"/>
                <w:szCs w:val="21"/>
              </w:rPr>
            </w:pPr>
            <w:r>
              <w:rPr>
                <w:rFonts w:hint="eastAsia" w:ascii="宋体" w:hAnsi="宋体"/>
                <w:szCs w:val="21"/>
              </w:rPr>
              <w:t>工业</w:t>
            </w:r>
          </w:p>
        </w:tc>
        <w:tc>
          <w:tcPr>
            <w:tcW w:w="2385" w:type="pct"/>
            <w:tcBorders>
              <w:top w:val="single" w:color="000000" w:sz="4" w:space="0"/>
              <w:left w:val="single" w:color="000000" w:sz="4" w:space="0"/>
              <w:bottom w:val="single" w:color="000000" w:sz="4" w:space="0"/>
              <w:right w:val="single" w:color="000000" w:sz="4" w:space="0"/>
            </w:tcBorders>
            <w:noWrap w:val="0"/>
            <w:vAlign w:val="center"/>
          </w:tcPr>
          <w:p w14:paraId="674E7F37">
            <w:pPr>
              <w:widowControl/>
              <w:spacing w:line="360" w:lineRule="exact"/>
              <w:textAlignment w:val="top"/>
              <w:rPr>
                <w:rFonts w:hint="eastAsia" w:ascii="宋体" w:hAnsi="宋体"/>
                <w:szCs w:val="21"/>
              </w:rPr>
            </w:pPr>
            <w:r>
              <w:rPr>
                <w:rFonts w:hint="eastAsia" w:ascii="宋体" w:hAnsi="宋体"/>
                <w:szCs w:val="21"/>
              </w:rPr>
              <w:t>1. 无人机平台参数</w:t>
            </w:r>
          </w:p>
          <w:p w14:paraId="33143CF8">
            <w:pPr>
              <w:widowControl/>
              <w:spacing w:line="360" w:lineRule="exact"/>
              <w:textAlignment w:val="top"/>
              <w:rPr>
                <w:rFonts w:hint="eastAsia" w:ascii="宋体" w:hAnsi="宋体"/>
                <w:szCs w:val="21"/>
              </w:rPr>
            </w:pPr>
            <w:r>
              <w:rPr>
                <w:rFonts w:hint="eastAsia" w:ascii="宋体" w:hAnsi="宋体"/>
                <w:szCs w:val="21"/>
              </w:rPr>
              <w:t>1.1机身重量：≤10Kg；</w:t>
            </w:r>
          </w:p>
          <w:p w14:paraId="24FE260E">
            <w:pPr>
              <w:widowControl/>
              <w:spacing w:line="360" w:lineRule="exact"/>
              <w:textAlignment w:val="top"/>
              <w:rPr>
                <w:rFonts w:hint="eastAsia" w:ascii="宋体" w:hAnsi="宋体"/>
                <w:szCs w:val="21"/>
              </w:rPr>
            </w:pPr>
            <w:r>
              <w:rPr>
                <w:rFonts w:hint="eastAsia" w:ascii="宋体" w:hAnsi="宋体"/>
                <w:szCs w:val="21"/>
              </w:rPr>
              <w:t>▲1.2最大起飞重量：≥15Kg；</w:t>
            </w:r>
          </w:p>
          <w:p w14:paraId="4AFD9D5C">
            <w:pPr>
              <w:widowControl/>
              <w:spacing w:line="360" w:lineRule="exact"/>
              <w:textAlignment w:val="top"/>
              <w:rPr>
                <w:rFonts w:hint="eastAsia" w:ascii="宋体" w:hAnsi="宋体"/>
                <w:szCs w:val="21"/>
              </w:rPr>
            </w:pPr>
            <w:r>
              <w:rPr>
                <w:rFonts w:hint="eastAsia" w:ascii="宋体" w:hAnsi="宋体"/>
                <w:szCs w:val="21"/>
              </w:rPr>
              <w:t>▲1.3最长飞行时间（挂载负载）：≥55分钟；</w:t>
            </w:r>
          </w:p>
          <w:p w14:paraId="1E55F48A">
            <w:pPr>
              <w:widowControl/>
              <w:spacing w:line="360" w:lineRule="exact"/>
              <w:textAlignment w:val="top"/>
              <w:rPr>
                <w:rFonts w:hint="eastAsia" w:ascii="宋体" w:hAnsi="宋体"/>
                <w:szCs w:val="21"/>
              </w:rPr>
            </w:pPr>
            <w:r>
              <w:rPr>
                <w:rFonts w:hint="eastAsia" w:ascii="宋体" w:hAnsi="宋体"/>
                <w:szCs w:val="21"/>
              </w:rPr>
              <w:t>1.4图传天线数量：飞行器端≥10根天线；</w:t>
            </w:r>
          </w:p>
          <w:p w14:paraId="7B23982B">
            <w:pPr>
              <w:widowControl/>
              <w:spacing w:line="360" w:lineRule="exact"/>
              <w:textAlignment w:val="top"/>
              <w:rPr>
                <w:rFonts w:hint="eastAsia" w:ascii="宋体" w:hAnsi="宋体"/>
                <w:szCs w:val="21"/>
              </w:rPr>
            </w:pPr>
            <w:r>
              <w:rPr>
                <w:rFonts w:hint="eastAsia" w:ascii="宋体" w:hAnsi="宋体"/>
                <w:szCs w:val="21"/>
              </w:rPr>
              <w:t>1.5避障：六向双目视觉+下视雷达，全向感知避障；</w:t>
            </w:r>
          </w:p>
          <w:p w14:paraId="32BB0C64">
            <w:pPr>
              <w:widowControl/>
              <w:spacing w:line="360" w:lineRule="exact"/>
              <w:textAlignment w:val="top"/>
              <w:rPr>
                <w:rFonts w:hint="eastAsia" w:ascii="宋体" w:hAnsi="宋体"/>
                <w:szCs w:val="21"/>
              </w:rPr>
            </w:pPr>
            <w:r>
              <w:rPr>
                <w:rFonts w:hint="eastAsia" w:ascii="宋体" w:hAnsi="宋体"/>
                <w:szCs w:val="21"/>
              </w:rPr>
              <w:t>▲1.6最大载荷：≥6.0 Kg；</w:t>
            </w:r>
          </w:p>
          <w:p w14:paraId="74FDD729">
            <w:pPr>
              <w:widowControl/>
              <w:spacing w:line="360" w:lineRule="exact"/>
              <w:textAlignment w:val="top"/>
              <w:rPr>
                <w:rFonts w:hint="eastAsia" w:ascii="宋体" w:hAnsi="宋体"/>
                <w:szCs w:val="21"/>
              </w:rPr>
            </w:pPr>
            <w:r>
              <w:rPr>
                <w:rFonts w:hint="eastAsia" w:ascii="宋体" w:hAnsi="宋体"/>
                <w:szCs w:val="21"/>
              </w:rPr>
              <w:t>▲1.7最大抗风≥12 m/s；</w:t>
            </w:r>
          </w:p>
          <w:p w14:paraId="15452B5B">
            <w:pPr>
              <w:widowControl/>
              <w:spacing w:line="360" w:lineRule="exact"/>
              <w:textAlignment w:val="top"/>
              <w:rPr>
                <w:rFonts w:hint="eastAsia" w:ascii="宋体" w:hAnsi="宋体"/>
                <w:szCs w:val="21"/>
              </w:rPr>
            </w:pPr>
            <w:r>
              <w:rPr>
                <w:rFonts w:hint="eastAsia" w:ascii="宋体" w:hAnsi="宋体"/>
                <w:szCs w:val="21"/>
              </w:rPr>
              <w:t>1.8中继功能：支持空中中继，一台可作为另一台的信号中继；</w:t>
            </w:r>
          </w:p>
          <w:p w14:paraId="6235AE80">
            <w:pPr>
              <w:widowControl/>
              <w:spacing w:line="360" w:lineRule="exact"/>
              <w:textAlignment w:val="top"/>
              <w:rPr>
                <w:rFonts w:hint="eastAsia" w:ascii="宋体" w:hAnsi="宋体"/>
                <w:szCs w:val="21"/>
              </w:rPr>
            </w:pPr>
            <w:r>
              <w:rPr>
                <w:rFonts w:hint="eastAsia" w:ascii="宋体" w:hAnsi="宋体"/>
                <w:szCs w:val="21"/>
              </w:rPr>
              <w:t>1.9图传距离：最远40km；</w:t>
            </w:r>
          </w:p>
          <w:p w14:paraId="1EED271D">
            <w:pPr>
              <w:widowControl/>
              <w:spacing w:line="360" w:lineRule="exact"/>
              <w:textAlignment w:val="top"/>
              <w:rPr>
                <w:rFonts w:hint="eastAsia" w:ascii="宋体" w:hAnsi="宋体"/>
                <w:szCs w:val="21"/>
              </w:rPr>
            </w:pPr>
            <w:r>
              <w:rPr>
                <w:rFonts w:hint="eastAsia" w:ascii="宋体" w:hAnsi="宋体"/>
                <w:szCs w:val="21"/>
              </w:rPr>
              <w:t>2.激光雷达</w:t>
            </w:r>
          </w:p>
          <w:p w14:paraId="5DB9E0F2">
            <w:pPr>
              <w:widowControl/>
              <w:spacing w:line="360" w:lineRule="exact"/>
              <w:textAlignment w:val="top"/>
              <w:rPr>
                <w:rFonts w:hint="eastAsia" w:ascii="宋体" w:hAnsi="宋体"/>
                <w:szCs w:val="21"/>
              </w:rPr>
            </w:pPr>
            <w:r>
              <w:rPr>
                <w:rFonts w:hint="eastAsia" w:ascii="宋体" w:hAnsi="宋体"/>
                <w:szCs w:val="21"/>
              </w:rPr>
              <w:t>2.1三轴增稳云台：俯仰/横滚/平移，角度抖动量 ≤±0.01°；</w:t>
            </w:r>
          </w:p>
          <w:p w14:paraId="2C28DFCB">
            <w:pPr>
              <w:widowControl/>
              <w:spacing w:line="360" w:lineRule="exact"/>
              <w:textAlignment w:val="top"/>
              <w:rPr>
                <w:rFonts w:hint="eastAsia" w:ascii="宋体" w:hAnsi="宋体"/>
                <w:szCs w:val="21"/>
              </w:rPr>
            </w:pPr>
            <w:r>
              <w:rPr>
                <w:rFonts w:hint="eastAsia" w:ascii="宋体" w:hAnsi="宋体"/>
                <w:szCs w:val="21"/>
              </w:rPr>
              <w:t>2.2高速存储卡：配双高速卡，顺序写入≥1500 MB/s；</w:t>
            </w:r>
          </w:p>
          <w:p w14:paraId="0F9CF42B">
            <w:pPr>
              <w:widowControl/>
              <w:spacing w:line="360" w:lineRule="exact"/>
              <w:textAlignment w:val="top"/>
              <w:rPr>
                <w:rFonts w:hint="eastAsia" w:ascii="宋体" w:hAnsi="宋体"/>
                <w:szCs w:val="21"/>
              </w:rPr>
            </w:pPr>
            <w:r>
              <w:rPr>
                <w:rFonts w:hint="eastAsia" w:ascii="宋体" w:hAnsi="宋体"/>
                <w:szCs w:val="21"/>
              </w:rPr>
              <w:t>2.3回波数：支持≥16次回波；</w:t>
            </w:r>
          </w:p>
          <w:p w14:paraId="1C68D542">
            <w:pPr>
              <w:widowControl/>
              <w:spacing w:line="360" w:lineRule="exact"/>
              <w:textAlignment w:val="top"/>
              <w:rPr>
                <w:rFonts w:hint="eastAsia" w:ascii="宋体" w:hAnsi="宋体"/>
                <w:szCs w:val="21"/>
              </w:rPr>
            </w:pPr>
            <w:r>
              <w:rPr>
                <w:rFonts w:hint="eastAsia" w:ascii="宋体" w:hAnsi="宋体"/>
                <w:szCs w:val="21"/>
              </w:rPr>
              <w:t>2.4扫描方式：支持线扫、区域扫描、螺旋扫描等≥3种；</w:t>
            </w:r>
          </w:p>
          <w:p w14:paraId="6D85BDE3">
            <w:pPr>
              <w:widowControl/>
              <w:spacing w:line="360" w:lineRule="exact"/>
              <w:textAlignment w:val="top"/>
              <w:rPr>
                <w:rFonts w:hint="eastAsia" w:ascii="宋体" w:hAnsi="宋体"/>
                <w:szCs w:val="21"/>
              </w:rPr>
            </w:pPr>
            <w:r>
              <w:rPr>
                <w:rFonts w:hint="eastAsia" w:ascii="宋体" w:hAnsi="宋体"/>
                <w:szCs w:val="21"/>
              </w:rPr>
              <w:t>2.5可见光相机：</w:t>
            </w:r>
            <w:r>
              <w:rPr>
                <w:rFonts w:hint="eastAsia"/>
              </w:rPr>
              <w:t>≥</w:t>
            </w:r>
            <w:r>
              <w:rPr>
                <w:rFonts w:hint="eastAsia" w:ascii="宋体" w:hAnsi="宋体" w:cs="宋体"/>
              </w:rPr>
              <w:t>2000万</w:t>
            </w:r>
            <w:r>
              <w:rPr>
                <w:rFonts w:hint="eastAsia"/>
              </w:rPr>
              <w:t>像素；</w:t>
            </w:r>
          </w:p>
          <w:p w14:paraId="43FAF8FB">
            <w:pPr>
              <w:widowControl/>
              <w:spacing w:line="360" w:lineRule="exact"/>
              <w:textAlignment w:val="top"/>
              <w:rPr>
                <w:rFonts w:hint="eastAsia" w:ascii="宋体" w:hAnsi="宋体"/>
                <w:szCs w:val="21"/>
              </w:rPr>
            </w:pPr>
            <w:r>
              <w:rPr>
                <w:rFonts w:hint="eastAsia" w:ascii="宋体" w:hAnsi="宋体"/>
                <w:szCs w:val="21"/>
              </w:rPr>
              <w:t>2.6成果输出：点云、DOM、三维模型、高斯泼溅模型；</w:t>
            </w:r>
          </w:p>
          <w:p w14:paraId="6BDF2A24">
            <w:pPr>
              <w:widowControl/>
              <w:spacing w:line="360" w:lineRule="exact"/>
              <w:textAlignment w:val="top"/>
              <w:rPr>
                <w:rFonts w:hint="eastAsia" w:ascii="宋体" w:hAnsi="宋体"/>
                <w:szCs w:val="21"/>
              </w:rPr>
            </w:pPr>
            <w:r>
              <w:rPr>
                <w:rFonts w:hint="eastAsia" w:ascii="宋体" w:hAnsi="宋体"/>
                <w:szCs w:val="21"/>
              </w:rPr>
              <w:t>3.五合一传感器</w:t>
            </w:r>
          </w:p>
          <w:p w14:paraId="3E4E95AB">
            <w:pPr>
              <w:widowControl/>
              <w:spacing w:line="360" w:lineRule="exact"/>
              <w:textAlignment w:val="top"/>
              <w:rPr>
                <w:rFonts w:hint="eastAsia" w:ascii="宋体" w:hAnsi="宋体"/>
                <w:szCs w:val="21"/>
              </w:rPr>
            </w:pPr>
            <w:r>
              <w:rPr>
                <w:rFonts w:hint="eastAsia" w:ascii="宋体" w:hAnsi="宋体"/>
                <w:szCs w:val="21"/>
              </w:rPr>
              <w:t>3.1五合一集成：变焦相机、广角相机、激光测距仪、红外相机、近红外补光灯；</w:t>
            </w:r>
          </w:p>
          <w:p w14:paraId="503F0394">
            <w:pPr>
              <w:widowControl/>
              <w:spacing w:line="360" w:lineRule="exact"/>
              <w:textAlignment w:val="top"/>
              <w:rPr>
                <w:rFonts w:hint="eastAsia" w:ascii="宋体" w:hAnsi="宋体"/>
                <w:szCs w:val="21"/>
              </w:rPr>
            </w:pPr>
            <w:r>
              <w:rPr>
                <w:rFonts w:hint="eastAsia" w:ascii="宋体" w:hAnsi="宋体"/>
                <w:szCs w:val="21"/>
              </w:rPr>
              <w:t>3.2热成像分辨率：1280×1024@30fps；</w:t>
            </w:r>
          </w:p>
          <w:p w14:paraId="03293C3D">
            <w:pPr>
              <w:widowControl/>
              <w:spacing w:line="360" w:lineRule="exact"/>
              <w:textAlignment w:val="top"/>
              <w:rPr>
                <w:rFonts w:hint="eastAsia" w:ascii="宋体" w:hAnsi="宋体"/>
                <w:szCs w:val="21"/>
              </w:rPr>
            </w:pPr>
            <w:r>
              <w:rPr>
                <w:rFonts w:hint="eastAsia" w:ascii="宋体" w:hAnsi="宋体"/>
                <w:szCs w:val="21"/>
              </w:rPr>
              <w:t>3.3广角相机像素：≥4000万；</w:t>
            </w:r>
          </w:p>
          <w:p w14:paraId="52BC0275">
            <w:pPr>
              <w:widowControl/>
              <w:spacing w:line="360" w:lineRule="exact"/>
              <w:textAlignment w:val="top"/>
              <w:rPr>
                <w:rFonts w:hint="eastAsia" w:ascii="宋体" w:hAnsi="宋体"/>
                <w:szCs w:val="21"/>
              </w:rPr>
            </w:pPr>
            <w:r>
              <w:rPr>
                <w:rFonts w:hint="eastAsia" w:ascii="宋体" w:hAnsi="宋体"/>
                <w:szCs w:val="21"/>
              </w:rPr>
              <w:t>3.4激光测距：3km量程；</w:t>
            </w:r>
          </w:p>
          <w:p w14:paraId="5BE86540">
            <w:pPr>
              <w:widowControl/>
              <w:spacing w:line="360" w:lineRule="exact"/>
              <w:textAlignment w:val="top"/>
              <w:rPr>
                <w:rFonts w:hint="eastAsia" w:ascii="宋体" w:hAnsi="宋体"/>
                <w:szCs w:val="21"/>
              </w:rPr>
            </w:pPr>
            <w:r>
              <w:rPr>
                <w:rFonts w:hint="eastAsia" w:ascii="宋体" w:hAnsi="宋体"/>
                <w:szCs w:val="21"/>
              </w:rPr>
              <w:t>3.5可见光像素：变焦、广角均≥4000万；</w:t>
            </w:r>
          </w:p>
          <w:p w14:paraId="2AF6853A">
            <w:pPr>
              <w:widowControl/>
              <w:spacing w:line="360" w:lineRule="exact"/>
              <w:textAlignment w:val="top"/>
              <w:rPr>
                <w:rFonts w:hint="eastAsia" w:ascii="宋体" w:hAnsi="宋体"/>
                <w:szCs w:val="21"/>
              </w:rPr>
            </w:pPr>
            <w:r>
              <w:rPr>
                <w:rFonts w:hint="eastAsia" w:ascii="宋体" w:hAnsi="宋体"/>
                <w:szCs w:val="21"/>
              </w:rPr>
              <w:t>4. 其他要求</w:t>
            </w:r>
          </w:p>
          <w:p w14:paraId="1C14CEF5">
            <w:pPr>
              <w:widowControl/>
              <w:spacing w:line="360" w:lineRule="exact"/>
              <w:textAlignment w:val="top"/>
              <w:rPr>
                <w:rFonts w:hint="eastAsia" w:ascii="宋体" w:hAnsi="宋体"/>
                <w:szCs w:val="21"/>
              </w:rPr>
            </w:pPr>
            <w:r>
              <w:rPr>
                <w:rFonts w:hint="eastAsia" w:ascii="宋体" w:hAnsi="宋体"/>
                <w:szCs w:val="21"/>
              </w:rPr>
              <w:t>▲4.1 标准配置电池*3套；</w:t>
            </w:r>
          </w:p>
          <w:p w14:paraId="0789BA64">
            <w:pPr>
              <w:widowControl/>
              <w:spacing w:line="360" w:lineRule="exact"/>
              <w:textAlignment w:val="top"/>
              <w:rPr>
                <w:rFonts w:hint="eastAsia" w:ascii="宋体" w:hAnsi="宋体"/>
                <w:szCs w:val="21"/>
              </w:rPr>
            </w:pPr>
            <w:r>
              <w:rPr>
                <w:rFonts w:hint="eastAsia" w:ascii="宋体" w:hAnsi="宋体"/>
                <w:szCs w:val="21"/>
              </w:rPr>
              <w:t>▲4.2 配备户外稳压安全充电模组≥2度电；</w:t>
            </w:r>
          </w:p>
          <w:p w14:paraId="20331010">
            <w:pPr>
              <w:widowControl/>
              <w:spacing w:line="360" w:lineRule="exact"/>
              <w:textAlignment w:val="top"/>
              <w:rPr>
                <w:rFonts w:hint="eastAsia" w:ascii="宋体" w:hAnsi="宋体"/>
                <w:szCs w:val="21"/>
              </w:rPr>
            </w:pPr>
            <w:r>
              <w:rPr>
                <w:rFonts w:hint="eastAsia" w:ascii="宋体" w:hAnsi="宋体"/>
                <w:szCs w:val="21"/>
              </w:rPr>
              <w:t>4.3配备红外相机、激光打点功能，可实现拍摄的照片进行现场编辑标注，能够提供智能巡检、及时预警等功能，配合挂载实现喊话、夜航、探照、抛投等功能；</w:t>
            </w:r>
          </w:p>
          <w:p w14:paraId="654315CD">
            <w:pPr>
              <w:widowControl/>
              <w:spacing w:line="360" w:lineRule="exact"/>
              <w:textAlignment w:val="top"/>
              <w:rPr>
                <w:rFonts w:hint="eastAsia" w:ascii="宋体" w:hAnsi="宋体"/>
                <w:szCs w:val="21"/>
              </w:rPr>
            </w:pPr>
            <w:r>
              <w:rPr>
                <w:rFonts w:hint="eastAsia" w:ascii="仿宋" w:hAnsi="仿宋" w:eastAsia="仿宋" w:cs="仿宋"/>
                <w:szCs w:val="21"/>
              </w:rPr>
              <w:t>▲</w:t>
            </w:r>
            <w:r>
              <w:rPr>
                <w:rFonts w:hint="eastAsia" w:ascii="宋体" w:hAnsi="宋体"/>
                <w:szCs w:val="21"/>
              </w:rPr>
              <w:t>4.4 要求提供首年100万三者险、第一年机身险（交货时，需提供保险公司证明材料）；</w:t>
            </w:r>
          </w:p>
          <w:p w14:paraId="78D28E7C">
            <w:pPr>
              <w:widowControl/>
              <w:spacing w:line="360" w:lineRule="exact"/>
              <w:textAlignment w:val="top"/>
              <w:rPr>
                <w:rFonts w:hint="eastAsia" w:ascii="宋体" w:hAnsi="宋体"/>
                <w:szCs w:val="21"/>
              </w:rPr>
            </w:pPr>
            <w:r>
              <w:rPr>
                <w:rFonts w:hint="eastAsia" w:ascii="仿宋" w:hAnsi="仿宋" w:eastAsia="仿宋" w:cs="仿宋"/>
                <w:szCs w:val="21"/>
              </w:rPr>
              <w:t>▲</w:t>
            </w:r>
            <w:r>
              <w:rPr>
                <w:rFonts w:hint="eastAsia" w:ascii="宋体" w:hAnsi="宋体"/>
                <w:szCs w:val="21"/>
              </w:rPr>
              <w:t>4.5 质保期：≥1年。</w:t>
            </w:r>
          </w:p>
        </w:tc>
        <w:tc>
          <w:tcPr>
            <w:tcW w:w="674" w:type="pct"/>
            <w:tcBorders>
              <w:top w:val="single" w:color="000000" w:sz="4" w:space="0"/>
              <w:left w:val="single" w:color="000000" w:sz="4" w:space="0"/>
              <w:bottom w:val="single" w:color="000000" w:sz="4" w:space="0"/>
              <w:right w:val="single" w:color="000000" w:sz="4" w:space="0"/>
            </w:tcBorders>
            <w:noWrap w:val="0"/>
            <w:vAlign w:val="center"/>
          </w:tcPr>
          <w:p w14:paraId="4AD592E9">
            <w:pPr>
              <w:widowControl/>
              <w:spacing w:line="360" w:lineRule="exact"/>
              <w:jc w:val="center"/>
              <w:textAlignment w:val="top"/>
              <w:rPr>
                <w:rFonts w:ascii="宋体" w:hAnsi="宋体"/>
                <w:color w:val="000000"/>
              </w:rPr>
            </w:pPr>
            <w:r>
              <w:rPr>
                <w:rFonts w:hint="eastAsia" w:ascii="宋体" w:hAnsi="宋体"/>
                <w:color w:val="000000"/>
              </w:rPr>
              <w:t>30.00</w:t>
            </w:r>
          </w:p>
        </w:tc>
      </w:tr>
      <w:tr w14:paraId="697EE3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48" w:type="pct"/>
            <w:tcBorders>
              <w:top w:val="single" w:color="000000" w:sz="4" w:space="0"/>
              <w:left w:val="single" w:color="000000" w:sz="4" w:space="0"/>
              <w:bottom w:val="single" w:color="000000" w:sz="4" w:space="0"/>
              <w:right w:val="single" w:color="000000" w:sz="4" w:space="0"/>
            </w:tcBorders>
            <w:noWrap w:val="0"/>
            <w:vAlign w:val="center"/>
          </w:tcPr>
          <w:p w14:paraId="57387C5E">
            <w:pPr>
              <w:snapToGrid w:val="0"/>
              <w:spacing w:line="360" w:lineRule="exact"/>
              <w:ind w:left="440" w:hanging="440"/>
              <w:jc w:val="center"/>
              <w:rPr>
                <w:rFonts w:hint="eastAsia" w:ascii="宋体" w:hAnsi="宋体"/>
                <w:szCs w:val="21"/>
              </w:rPr>
            </w:pPr>
            <w:r>
              <w:rPr>
                <w:rFonts w:hint="eastAsia" w:ascii="宋体" w:hAnsi="宋体"/>
                <w:szCs w:val="21"/>
              </w:rPr>
              <w:t>3</w:t>
            </w:r>
          </w:p>
        </w:tc>
        <w:tc>
          <w:tcPr>
            <w:tcW w:w="484" w:type="pct"/>
            <w:tcBorders>
              <w:top w:val="single" w:color="000000" w:sz="4" w:space="0"/>
              <w:left w:val="single" w:color="000000" w:sz="4" w:space="0"/>
              <w:bottom w:val="single" w:color="auto" w:sz="4" w:space="0"/>
              <w:right w:val="single" w:color="000000" w:sz="4" w:space="0"/>
            </w:tcBorders>
            <w:noWrap w:val="0"/>
            <w:vAlign w:val="center"/>
          </w:tcPr>
          <w:p w14:paraId="4823DA63">
            <w:pPr>
              <w:widowControl/>
              <w:spacing w:line="360" w:lineRule="exact"/>
              <w:jc w:val="center"/>
              <w:textAlignment w:val="center"/>
              <w:rPr>
                <w:rFonts w:hint="eastAsia" w:ascii="宋体" w:hAnsi="宋体"/>
                <w:szCs w:val="21"/>
              </w:rPr>
            </w:pPr>
            <w:r>
              <w:rPr>
                <w:rFonts w:hint="eastAsia" w:ascii="宋体" w:hAnsi="宋体"/>
                <w:color w:val="000000"/>
              </w:rPr>
              <w:t>长系留无人机（照明）</w:t>
            </w:r>
          </w:p>
        </w:tc>
        <w:tc>
          <w:tcPr>
            <w:tcW w:w="520" w:type="pct"/>
            <w:gridSpan w:val="2"/>
            <w:tcBorders>
              <w:top w:val="single" w:color="000000" w:sz="4" w:space="0"/>
              <w:left w:val="single" w:color="000000" w:sz="4" w:space="0"/>
              <w:bottom w:val="single" w:color="auto" w:sz="4" w:space="0"/>
              <w:right w:val="single" w:color="000000" w:sz="4" w:space="0"/>
            </w:tcBorders>
            <w:noWrap w:val="0"/>
            <w:vAlign w:val="center"/>
          </w:tcPr>
          <w:p w14:paraId="51214BAE">
            <w:pPr>
              <w:widowControl/>
              <w:spacing w:line="360" w:lineRule="exact"/>
              <w:jc w:val="center"/>
              <w:textAlignment w:val="center"/>
              <w:rPr>
                <w:rFonts w:hint="eastAsia" w:ascii="宋体" w:hAnsi="宋体"/>
                <w:szCs w:val="21"/>
              </w:rPr>
            </w:pPr>
            <w:r>
              <w:rPr>
                <w:rFonts w:hint="eastAsia" w:ascii="宋体" w:hAnsi="宋体"/>
                <w:color w:val="000000"/>
              </w:rPr>
              <w:t>4套</w:t>
            </w:r>
          </w:p>
        </w:tc>
        <w:tc>
          <w:tcPr>
            <w:tcW w:w="686" w:type="pct"/>
            <w:tcBorders>
              <w:top w:val="single" w:color="000000" w:sz="4" w:space="0"/>
              <w:left w:val="single" w:color="000000" w:sz="4" w:space="0"/>
              <w:bottom w:val="single" w:color="auto" w:sz="4" w:space="0"/>
              <w:right w:val="single" w:color="000000" w:sz="4" w:space="0"/>
            </w:tcBorders>
            <w:noWrap w:val="0"/>
            <w:vAlign w:val="center"/>
          </w:tcPr>
          <w:p w14:paraId="7EE3946A">
            <w:pPr>
              <w:widowControl/>
              <w:spacing w:line="360" w:lineRule="exact"/>
              <w:jc w:val="center"/>
              <w:textAlignment w:val="center"/>
              <w:rPr>
                <w:rFonts w:hint="eastAsia" w:ascii="宋体" w:hAnsi="宋体"/>
                <w:szCs w:val="21"/>
              </w:rPr>
            </w:pPr>
            <w:r>
              <w:rPr>
                <w:rFonts w:hint="eastAsia" w:ascii="宋体" w:hAnsi="宋体"/>
                <w:szCs w:val="21"/>
              </w:rPr>
              <w:t>工业</w:t>
            </w:r>
          </w:p>
        </w:tc>
        <w:tc>
          <w:tcPr>
            <w:tcW w:w="2385" w:type="pct"/>
            <w:tcBorders>
              <w:top w:val="single" w:color="000000" w:sz="4" w:space="0"/>
              <w:left w:val="single" w:color="000000" w:sz="4" w:space="0"/>
              <w:bottom w:val="single" w:color="000000" w:sz="4" w:space="0"/>
              <w:right w:val="single" w:color="000000" w:sz="4" w:space="0"/>
            </w:tcBorders>
            <w:noWrap w:val="0"/>
            <w:vAlign w:val="center"/>
          </w:tcPr>
          <w:p w14:paraId="390D604F">
            <w:pPr>
              <w:widowControl/>
              <w:spacing w:line="360" w:lineRule="exact"/>
              <w:textAlignment w:val="top"/>
              <w:rPr>
                <w:rFonts w:hint="eastAsia" w:ascii="宋体" w:hAnsi="宋体"/>
                <w:szCs w:val="21"/>
                <w:highlight w:val="none"/>
              </w:rPr>
            </w:pPr>
            <w:r>
              <w:rPr>
                <w:rFonts w:hint="eastAsia" w:ascii="宋体" w:hAnsi="宋体"/>
                <w:szCs w:val="21"/>
                <w:highlight w:val="none"/>
              </w:rPr>
              <w:t>1、无人机参数</w:t>
            </w:r>
          </w:p>
          <w:p w14:paraId="4B2B375E">
            <w:pPr>
              <w:widowControl/>
              <w:spacing w:line="360" w:lineRule="exact"/>
              <w:textAlignment w:val="top"/>
              <w:rPr>
                <w:rFonts w:hint="eastAsia" w:ascii="宋体" w:hAnsi="宋体"/>
                <w:szCs w:val="21"/>
                <w:highlight w:val="none"/>
              </w:rPr>
            </w:pPr>
            <w:r>
              <w:rPr>
                <w:rFonts w:hint="eastAsia" w:ascii="宋体" w:hAnsi="宋体"/>
                <w:szCs w:val="21"/>
                <w:highlight w:val="none"/>
              </w:rPr>
              <w:t>1.1无人机重量≤10 Kg；</w:t>
            </w:r>
          </w:p>
          <w:p w14:paraId="708F0BEB">
            <w:pPr>
              <w:widowControl/>
              <w:spacing w:line="360" w:lineRule="exact"/>
              <w:textAlignment w:val="top"/>
              <w:rPr>
                <w:rFonts w:hint="eastAsia" w:ascii="宋体" w:hAnsi="宋体"/>
                <w:szCs w:val="21"/>
                <w:highlight w:val="none"/>
              </w:rPr>
            </w:pPr>
            <w:r>
              <w:rPr>
                <w:rFonts w:hint="eastAsia" w:ascii="宋体" w:hAnsi="宋体"/>
                <w:szCs w:val="21"/>
                <w:highlight w:val="none"/>
              </w:rPr>
              <w:t>1.2最大起飞重量≥15 Kg；</w:t>
            </w:r>
          </w:p>
          <w:p w14:paraId="4B6D940C">
            <w:pPr>
              <w:widowControl/>
              <w:spacing w:line="360" w:lineRule="exact"/>
              <w:textAlignment w:val="top"/>
              <w:rPr>
                <w:rFonts w:hint="eastAsia" w:ascii="宋体" w:hAnsi="宋体"/>
                <w:szCs w:val="21"/>
                <w:highlight w:val="none"/>
              </w:rPr>
            </w:pPr>
            <w:r>
              <w:rPr>
                <w:rFonts w:hint="eastAsia" w:ascii="宋体" w:hAnsi="宋体"/>
                <w:szCs w:val="21"/>
                <w:highlight w:val="none"/>
              </w:rPr>
              <w:t>1.</w:t>
            </w:r>
            <w:r>
              <w:rPr>
                <w:rFonts w:hint="eastAsia" w:ascii="宋体" w:hAnsi="宋体"/>
                <w:szCs w:val="21"/>
                <w:highlight w:val="none"/>
                <w:lang w:val="en-US" w:eastAsia="zh-CN"/>
              </w:rPr>
              <w:t>3</w:t>
            </w:r>
            <w:r>
              <w:rPr>
                <w:rFonts w:hint="eastAsia" w:ascii="宋体" w:hAnsi="宋体"/>
                <w:szCs w:val="21"/>
                <w:highlight w:val="none"/>
              </w:rPr>
              <w:t>图传天线数量≥10；</w:t>
            </w:r>
          </w:p>
          <w:p w14:paraId="7CCA2F6D">
            <w:pPr>
              <w:widowControl/>
              <w:spacing w:line="360" w:lineRule="exact"/>
              <w:textAlignment w:val="top"/>
              <w:rPr>
                <w:rFonts w:hint="eastAsia" w:ascii="宋体" w:hAnsi="宋体"/>
                <w:szCs w:val="21"/>
                <w:highlight w:val="none"/>
              </w:rPr>
            </w:pPr>
            <w:r>
              <w:rPr>
                <w:rFonts w:hint="eastAsia" w:ascii="宋体" w:hAnsi="宋体"/>
                <w:szCs w:val="21"/>
                <w:highlight w:val="none"/>
              </w:rPr>
              <w:t>1.</w:t>
            </w:r>
            <w:r>
              <w:rPr>
                <w:rFonts w:hint="eastAsia" w:ascii="宋体" w:hAnsi="宋体"/>
                <w:szCs w:val="21"/>
                <w:highlight w:val="none"/>
                <w:lang w:val="en-US" w:eastAsia="zh-CN"/>
              </w:rPr>
              <w:t>4</w:t>
            </w:r>
            <w:r>
              <w:rPr>
                <w:rFonts w:hint="eastAsia" w:ascii="宋体" w:hAnsi="宋体"/>
                <w:szCs w:val="21"/>
                <w:highlight w:val="none"/>
              </w:rPr>
              <w:t>支持多种避障；</w:t>
            </w:r>
          </w:p>
          <w:p w14:paraId="2828A5AC">
            <w:pPr>
              <w:widowControl/>
              <w:spacing w:line="360" w:lineRule="exact"/>
              <w:textAlignment w:val="top"/>
              <w:rPr>
                <w:rFonts w:hint="eastAsia" w:ascii="宋体" w:hAnsi="宋体"/>
                <w:szCs w:val="21"/>
                <w:highlight w:val="none"/>
              </w:rPr>
            </w:pPr>
            <w:r>
              <w:rPr>
                <w:rFonts w:hint="eastAsia" w:ascii="宋体" w:hAnsi="宋体"/>
                <w:szCs w:val="21"/>
                <w:highlight w:val="none"/>
              </w:rPr>
              <w:t>1.</w:t>
            </w:r>
            <w:r>
              <w:rPr>
                <w:rFonts w:hint="eastAsia" w:ascii="宋体" w:hAnsi="宋体"/>
                <w:szCs w:val="21"/>
                <w:highlight w:val="none"/>
                <w:lang w:val="en-US" w:eastAsia="zh-CN"/>
              </w:rPr>
              <w:t>5</w:t>
            </w:r>
            <w:r>
              <w:rPr>
                <w:rFonts w:hint="eastAsia" w:ascii="宋体" w:hAnsi="宋体"/>
                <w:szCs w:val="21"/>
                <w:highlight w:val="none"/>
              </w:rPr>
              <w:t>无人机最大载荷重量应≥6.0Kg；</w:t>
            </w:r>
          </w:p>
          <w:p w14:paraId="2B36F1FF">
            <w:pPr>
              <w:widowControl/>
              <w:spacing w:line="360" w:lineRule="exact"/>
              <w:textAlignment w:val="top"/>
              <w:rPr>
                <w:rFonts w:hint="eastAsia" w:ascii="宋体" w:hAnsi="宋体"/>
                <w:szCs w:val="21"/>
                <w:highlight w:val="none"/>
              </w:rPr>
            </w:pPr>
            <w:r>
              <w:rPr>
                <w:rFonts w:hint="eastAsia" w:ascii="宋体" w:hAnsi="宋体"/>
                <w:szCs w:val="21"/>
                <w:highlight w:val="none"/>
              </w:rPr>
              <w:t>1.</w:t>
            </w:r>
            <w:r>
              <w:rPr>
                <w:rFonts w:hint="eastAsia" w:ascii="宋体" w:hAnsi="宋体"/>
                <w:szCs w:val="21"/>
                <w:highlight w:val="none"/>
                <w:lang w:val="en-US" w:eastAsia="zh-CN"/>
              </w:rPr>
              <w:t>6</w:t>
            </w:r>
            <w:r>
              <w:rPr>
                <w:rFonts w:hint="eastAsia" w:ascii="宋体" w:hAnsi="宋体"/>
                <w:szCs w:val="21"/>
                <w:highlight w:val="none"/>
              </w:rPr>
              <w:t>应能在风速范围11.5m/s～12.0m/s的环境条件下正常平飞以及悬停；</w:t>
            </w:r>
          </w:p>
          <w:p w14:paraId="793B56C8">
            <w:pPr>
              <w:widowControl/>
              <w:spacing w:line="360" w:lineRule="exact"/>
              <w:textAlignment w:val="top"/>
              <w:rPr>
                <w:rFonts w:hint="eastAsia" w:ascii="宋体" w:hAnsi="宋体"/>
                <w:szCs w:val="21"/>
                <w:highlight w:val="none"/>
              </w:rPr>
            </w:pPr>
            <w:r>
              <w:rPr>
                <w:rFonts w:hint="eastAsia" w:ascii="宋体" w:hAnsi="宋体"/>
                <w:szCs w:val="21"/>
                <w:highlight w:val="none"/>
              </w:rPr>
              <w:t>1.</w:t>
            </w:r>
            <w:r>
              <w:rPr>
                <w:rFonts w:hint="eastAsia" w:ascii="宋体" w:hAnsi="宋体"/>
                <w:szCs w:val="21"/>
                <w:highlight w:val="none"/>
                <w:lang w:val="en-US" w:eastAsia="zh-CN"/>
              </w:rPr>
              <w:t>7</w:t>
            </w:r>
            <w:r>
              <w:rPr>
                <w:rFonts w:hint="eastAsia" w:ascii="宋体" w:hAnsi="宋体"/>
                <w:szCs w:val="21"/>
                <w:highlight w:val="none"/>
              </w:rPr>
              <w:t>两台无人机同时使用时，支持将一台无人机作为中继机，为另一台无人机提供中继信号；</w:t>
            </w:r>
          </w:p>
          <w:p w14:paraId="2D1A1645">
            <w:pPr>
              <w:widowControl/>
              <w:spacing w:line="360" w:lineRule="exact"/>
              <w:textAlignment w:val="top"/>
              <w:rPr>
                <w:rFonts w:hint="eastAsia" w:ascii="宋体" w:hAnsi="宋体"/>
                <w:szCs w:val="21"/>
                <w:highlight w:val="none"/>
              </w:rPr>
            </w:pPr>
            <w:r>
              <w:rPr>
                <w:rFonts w:hint="eastAsia" w:ascii="宋体" w:hAnsi="宋体"/>
                <w:szCs w:val="21"/>
                <w:highlight w:val="none"/>
              </w:rPr>
              <w:t>2、机载探照灯</w:t>
            </w:r>
          </w:p>
          <w:p w14:paraId="70BB227B">
            <w:pPr>
              <w:widowControl/>
              <w:spacing w:line="360" w:lineRule="exact"/>
              <w:textAlignment w:val="top"/>
              <w:rPr>
                <w:rFonts w:hint="eastAsia" w:ascii="宋体" w:hAnsi="宋体"/>
                <w:szCs w:val="21"/>
                <w:highlight w:val="none"/>
              </w:rPr>
            </w:pPr>
            <w:r>
              <w:rPr>
                <w:rFonts w:hint="eastAsia" w:ascii="宋体" w:hAnsi="宋体"/>
                <w:szCs w:val="21"/>
                <w:highlight w:val="none"/>
              </w:rPr>
              <w:t>2.1整体重量≤1Kg；</w:t>
            </w:r>
          </w:p>
          <w:p w14:paraId="3D017406">
            <w:pPr>
              <w:widowControl/>
              <w:spacing w:line="360" w:lineRule="exact"/>
              <w:textAlignment w:val="top"/>
              <w:rPr>
                <w:rFonts w:hint="eastAsia" w:ascii="宋体" w:hAnsi="宋体"/>
                <w:szCs w:val="21"/>
                <w:highlight w:val="none"/>
              </w:rPr>
            </w:pPr>
            <w:r>
              <w:rPr>
                <w:rFonts w:hint="eastAsia" w:ascii="宋体" w:hAnsi="宋体"/>
                <w:szCs w:val="21"/>
                <w:highlight w:val="none"/>
              </w:rPr>
              <w:t>2.2整体防护等级≥IP54；</w:t>
            </w:r>
          </w:p>
          <w:p w14:paraId="3987D48B">
            <w:pPr>
              <w:widowControl/>
              <w:spacing w:line="360" w:lineRule="exact"/>
              <w:textAlignment w:val="top"/>
              <w:rPr>
                <w:rFonts w:hint="eastAsia" w:ascii="宋体" w:hAnsi="宋体"/>
                <w:szCs w:val="21"/>
                <w:highlight w:val="none"/>
              </w:rPr>
            </w:pPr>
            <w:r>
              <w:rPr>
                <w:rFonts w:hint="eastAsia" w:ascii="宋体" w:hAnsi="宋体"/>
                <w:szCs w:val="21"/>
                <w:highlight w:val="none"/>
              </w:rPr>
              <w:t>▲2.3最高中心照度距离探照灯100m处，照度≥40 lux、近光中心照度距离探照灯100m处，照度≥20 lux；</w:t>
            </w:r>
          </w:p>
          <w:p w14:paraId="23426906">
            <w:pPr>
              <w:widowControl/>
              <w:spacing w:line="360" w:lineRule="exact"/>
              <w:textAlignment w:val="top"/>
              <w:rPr>
                <w:rFonts w:hint="eastAsia" w:ascii="宋体" w:hAnsi="宋体"/>
                <w:szCs w:val="21"/>
                <w:highlight w:val="none"/>
              </w:rPr>
            </w:pPr>
            <w:r>
              <w:rPr>
                <w:rFonts w:hint="eastAsia" w:ascii="宋体" w:hAnsi="宋体"/>
                <w:szCs w:val="21"/>
                <w:highlight w:val="none"/>
              </w:rPr>
              <w:t>▲2.4有效探照距离≥500 米（距离探照灯500m处的光照度应不低于2 lux）；</w:t>
            </w:r>
          </w:p>
          <w:p w14:paraId="0254586B">
            <w:pPr>
              <w:widowControl/>
              <w:spacing w:line="360" w:lineRule="exact"/>
              <w:textAlignment w:val="top"/>
              <w:rPr>
                <w:rFonts w:hint="eastAsia" w:ascii="宋体" w:hAnsi="宋体"/>
                <w:szCs w:val="21"/>
                <w:highlight w:val="none"/>
              </w:rPr>
            </w:pPr>
            <w:r>
              <w:rPr>
                <w:rFonts w:hint="eastAsia" w:ascii="宋体" w:hAnsi="宋体"/>
                <w:szCs w:val="21"/>
                <w:highlight w:val="none"/>
              </w:rPr>
              <w:t>2.5支持与其它云台类负载实现联动控制；</w:t>
            </w:r>
          </w:p>
          <w:p w14:paraId="67634490">
            <w:pPr>
              <w:widowControl/>
              <w:spacing w:line="360" w:lineRule="exact"/>
              <w:textAlignment w:val="top"/>
              <w:rPr>
                <w:rFonts w:hint="eastAsia" w:ascii="宋体" w:hAnsi="宋体"/>
                <w:szCs w:val="21"/>
                <w:highlight w:val="none"/>
              </w:rPr>
            </w:pPr>
            <w:r>
              <w:rPr>
                <w:rFonts w:hint="eastAsia" w:ascii="宋体" w:hAnsi="宋体"/>
                <w:szCs w:val="21"/>
                <w:highlight w:val="none"/>
              </w:rPr>
              <w:t>2.6 LED照明灯功率≥2000瓦；</w:t>
            </w:r>
          </w:p>
          <w:p w14:paraId="2C63DFE7">
            <w:pPr>
              <w:widowControl/>
              <w:spacing w:line="360" w:lineRule="exact"/>
              <w:textAlignment w:val="top"/>
              <w:rPr>
                <w:rFonts w:hint="eastAsia" w:ascii="宋体" w:hAnsi="宋体"/>
                <w:szCs w:val="21"/>
                <w:highlight w:val="none"/>
              </w:rPr>
            </w:pPr>
            <w:r>
              <w:rPr>
                <w:rFonts w:hint="eastAsia" w:ascii="宋体" w:hAnsi="宋体"/>
                <w:szCs w:val="21"/>
                <w:highlight w:val="none"/>
              </w:rPr>
              <w:t>3、机载喊话器</w:t>
            </w:r>
          </w:p>
          <w:p w14:paraId="73CB9E2A">
            <w:pPr>
              <w:widowControl/>
              <w:spacing w:line="360" w:lineRule="exact"/>
              <w:textAlignment w:val="top"/>
              <w:rPr>
                <w:rFonts w:hint="eastAsia" w:ascii="宋体" w:hAnsi="宋体"/>
                <w:szCs w:val="21"/>
                <w:highlight w:val="none"/>
              </w:rPr>
            </w:pPr>
            <w:r>
              <w:rPr>
                <w:rFonts w:hint="eastAsia" w:ascii="宋体" w:hAnsi="宋体"/>
                <w:szCs w:val="21"/>
                <w:highlight w:val="none"/>
              </w:rPr>
              <w:t>3.1有效传播距离≥700 米；</w:t>
            </w:r>
          </w:p>
          <w:p w14:paraId="1438CD04">
            <w:pPr>
              <w:widowControl/>
              <w:spacing w:line="360" w:lineRule="exact"/>
              <w:textAlignment w:val="top"/>
              <w:rPr>
                <w:rFonts w:hint="eastAsia" w:ascii="宋体" w:hAnsi="宋体"/>
                <w:szCs w:val="21"/>
                <w:highlight w:val="none"/>
              </w:rPr>
            </w:pPr>
            <w:r>
              <w:rPr>
                <w:rFonts w:hint="eastAsia" w:ascii="宋体" w:hAnsi="宋体"/>
                <w:szCs w:val="21"/>
                <w:highlight w:val="none"/>
              </w:rPr>
              <w:t>3.2最大响声压级1米处≥129 分贝；</w:t>
            </w:r>
          </w:p>
          <w:p w14:paraId="58C36F64">
            <w:pPr>
              <w:widowControl/>
              <w:spacing w:line="360" w:lineRule="exact"/>
              <w:textAlignment w:val="top"/>
              <w:rPr>
                <w:rFonts w:hint="eastAsia" w:ascii="宋体" w:hAnsi="宋体"/>
                <w:szCs w:val="21"/>
                <w:highlight w:val="none"/>
              </w:rPr>
            </w:pPr>
            <w:r>
              <w:rPr>
                <w:rFonts w:hint="eastAsia" w:ascii="宋体" w:hAnsi="宋体"/>
                <w:szCs w:val="21"/>
                <w:highlight w:val="none"/>
              </w:rPr>
              <w:t>3.3整体负载重量≤1Kg；</w:t>
            </w:r>
          </w:p>
          <w:p w14:paraId="56ED8E89">
            <w:pPr>
              <w:widowControl/>
              <w:spacing w:line="360" w:lineRule="exact"/>
              <w:textAlignment w:val="top"/>
              <w:rPr>
                <w:rFonts w:hint="eastAsia" w:ascii="宋体" w:hAnsi="宋体"/>
                <w:szCs w:val="21"/>
                <w:highlight w:val="none"/>
              </w:rPr>
            </w:pPr>
            <w:r>
              <w:rPr>
                <w:rFonts w:hint="eastAsia" w:ascii="宋体" w:hAnsi="宋体"/>
                <w:szCs w:val="21"/>
                <w:highlight w:val="none"/>
              </w:rPr>
              <w:t>3.4支持遥控器按键映射喊话控制，支持映射开始、停止录制、播放音频；</w:t>
            </w:r>
          </w:p>
          <w:p w14:paraId="070069B0">
            <w:pPr>
              <w:widowControl/>
              <w:spacing w:line="360" w:lineRule="exact"/>
              <w:textAlignment w:val="top"/>
              <w:rPr>
                <w:rFonts w:hint="eastAsia" w:ascii="宋体" w:hAnsi="宋体"/>
                <w:szCs w:val="21"/>
                <w:highlight w:val="none"/>
              </w:rPr>
            </w:pPr>
            <w:r>
              <w:rPr>
                <w:rFonts w:hint="eastAsia" w:ascii="宋体" w:hAnsi="宋体"/>
                <w:szCs w:val="21"/>
                <w:highlight w:val="none"/>
              </w:rPr>
              <w:t>3.5支持喊话时，画面中显示AR投影，显示喊话器的喊话方向；</w:t>
            </w:r>
          </w:p>
          <w:p w14:paraId="6316FFA8">
            <w:pPr>
              <w:widowControl/>
              <w:spacing w:line="360" w:lineRule="exact"/>
              <w:textAlignment w:val="top"/>
              <w:rPr>
                <w:rFonts w:hint="eastAsia" w:ascii="宋体" w:hAnsi="宋体"/>
                <w:szCs w:val="21"/>
                <w:highlight w:val="none"/>
              </w:rPr>
            </w:pPr>
            <w:r>
              <w:rPr>
                <w:rFonts w:hint="eastAsia" w:ascii="宋体" w:hAnsi="宋体"/>
                <w:szCs w:val="21"/>
                <w:highlight w:val="none"/>
              </w:rPr>
              <w:t>4、无人机系留模块</w:t>
            </w:r>
          </w:p>
          <w:p w14:paraId="4A5EAC84">
            <w:pPr>
              <w:widowControl/>
              <w:spacing w:line="360" w:lineRule="exact"/>
              <w:textAlignment w:val="top"/>
              <w:rPr>
                <w:rFonts w:hint="eastAsia" w:ascii="宋体" w:hAnsi="宋体"/>
                <w:szCs w:val="21"/>
                <w:highlight w:val="none"/>
              </w:rPr>
            </w:pPr>
            <w:r>
              <w:rPr>
                <w:rFonts w:hint="eastAsia" w:ascii="宋体" w:hAnsi="宋体"/>
                <w:szCs w:val="21"/>
                <w:highlight w:val="none"/>
              </w:rPr>
              <w:t>4.1 地面箱：尺寸≤355mm×262mm×230mm；</w:t>
            </w:r>
          </w:p>
          <w:p w14:paraId="169B0266">
            <w:pPr>
              <w:widowControl/>
              <w:spacing w:line="360" w:lineRule="exact"/>
              <w:textAlignment w:val="top"/>
              <w:rPr>
                <w:rFonts w:hint="eastAsia" w:ascii="宋体" w:hAnsi="宋体"/>
                <w:szCs w:val="21"/>
                <w:highlight w:val="none"/>
              </w:rPr>
            </w:pPr>
            <w:r>
              <w:rPr>
                <w:rFonts w:hint="eastAsia" w:ascii="宋体" w:hAnsi="宋体"/>
                <w:szCs w:val="21"/>
                <w:highlight w:val="none"/>
              </w:rPr>
              <w:t>4.2重量≤8.5Kg；</w:t>
            </w:r>
          </w:p>
          <w:p w14:paraId="3293F67C">
            <w:pPr>
              <w:widowControl/>
              <w:spacing w:line="360" w:lineRule="exact"/>
              <w:textAlignment w:val="top"/>
              <w:rPr>
                <w:rFonts w:hint="eastAsia" w:ascii="宋体" w:hAnsi="宋体"/>
                <w:szCs w:val="21"/>
                <w:highlight w:val="none"/>
              </w:rPr>
            </w:pPr>
            <w:r>
              <w:rPr>
                <w:rFonts w:hint="eastAsia" w:ascii="宋体" w:hAnsi="宋体"/>
                <w:szCs w:val="21"/>
                <w:highlight w:val="none"/>
              </w:rPr>
              <w:t>4.3线缆长度≥110m(照明)；线缆长度≥160m((作为中继机)；</w:t>
            </w:r>
          </w:p>
          <w:p w14:paraId="1873DC35">
            <w:pPr>
              <w:widowControl/>
              <w:spacing w:line="360" w:lineRule="exact"/>
              <w:textAlignment w:val="top"/>
              <w:rPr>
                <w:rFonts w:hint="eastAsia" w:ascii="宋体" w:hAnsi="宋体"/>
                <w:szCs w:val="21"/>
                <w:highlight w:val="none"/>
              </w:rPr>
            </w:pPr>
            <w:r>
              <w:rPr>
                <w:rFonts w:hint="eastAsia" w:ascii="宋体" w:hAnsi="宋体"/>
                <w:szCs w:val="21"/>
                <w:highlight w:val="none"/>
              </w:rPr>
              <w:t>4.4地面断电保护功能：无人机飞行过程中，地面电源异常中断时，无人机可正常飞行及降落；</w:t>
            </w:r>
          </w:p>
          <w:p w14:paraId="23F59D1B">
            <w:pPr>
              <w:widowControl/>
              <w:spacing w:line="360" w:lineRule="exact"/>
              <w:textAlignment w:val="top"/>
              <w:rPr>
                <w:rFonts w:hint="eastAsia" w:ascii="宋体" w:hAnsi="宋体"/>
                <w:szCs w:val="21"/>
                <w:highlight w:val="none"/>
              </w:rPr>
            </w:pPr>
            <w:r>
              <w:rPr>
                <w:rFonts w:hint="eastAsia" w:ascii="宋体" w:hAnsi="宋体"/>
                <w:szCs w:val="21"/>
                <w:highlight w:val="none"/>
              </w:rPr>
              <w:t>5、照明平台-机载</w:t>
            </w:r>
          </w:p>
          <w:p w14:paraId="5B24445C">
            <w:pPr>
              <w:widowControl/>
              <w:spacing w:line="360" w:lineRule="exact"/>
              <w:textAlignment w:val="top"/>
              <w:rPr>
                <w:rFonts w:hint="eastAsia" w:ascii="宋体" w:hAnsi="宋体"/>
                <w:szCs w:val="21"/>
                <w:highlight w:val="none"/>
              </w:rPr>
            </w:pPr>
            <w:r>
              <w:rPr>
                <w:rFonts w:hint="eastAsia" w:ascii="宋体" w:hAnsi="宋体"/>
                <w:szCs w:val="21"/>
                <w:highlight w:val="none"/>
              </w:rPr>
              <w:t>5.1机载灯光供电电压：DC 24-60V；</w:t>
            </w:r>
          </w:p>
          <w:p w14:paraId="6828B878">
            <w:pPr>
              <w:widowControl/>
              <w:spacing w:line="360" w:lineRule="exact"/>
              <w:textAlignment w:val="top"/>
              <w:rPr>
                <w:rFonts w:hint="eastAsia" w:ascii="宋体" w:hAnsi="宋体"/>
                <w:szCs w:val="21"/>
                <w:highlight w:val="none"/>
              </w:rPr>
            </w:pPr>
            <w:r>
              <w:rPr>
                <w:rFonts w:hint="eastAsia" w:ascii="宋体" w:hAnsi="宋体"/>
                <w:szCs w:val="21"/>
                <w:highlight w:val="none"/>
              </w:rPr>
              <w:t>5.2机载灯光安装方式：底部快装，灯光安装对飞机无改装，实现3秒整体拆装；</w:t>
            </w:r>
          </w:p>
          <w:p w14:paraId="735D2639">
            <w:pPr>
              <w:widowControl/>
              <w:spacing w:line="360" w:lineRule="exact"/>
              <w:textAlignment w:val="top"/>
              <w:rPr>
                <w:rFonts w:hint="eastAsia" w:ascii="宋体" w:hAnsi="宋体"/>
                <w:szCs w:val="21"/>
                <w:highlight w:val="none"/>
              </w:rPr>
            </w:pPr>
            <w:r>
              <w:rPr>
                <w:rFonts w:hint="eastAsia" w:ascii="宋体" w:hAnsi="宋体"/>
                <w:szCs w:val="21"/>
                <w:highlight w:val="none"/>
              </w:rPr>
              <w:t>5.3机载灯光总功率：低压灯：≥1200W/120000LM(白光)；</w:t>
            </w:r>
          </w:p>
          <w:p w14:paraId="3A0EC37A">
            <w:pPr>
              <w:widowControl/>
              <w:spacing w:line="360" w:lineRule="exact"/>
              <w:textAlignment w:val="top"/>
              <w:rPr>
                <w:rFonts w:hint="eastAsia" w:ascii="宋体" w:hAnsi="宋体"/>
                <w:szCs w:val="21"/>
                <w:highlight w:val="none"/>
              </w:rPr>
            </w:pPr>
            <w:r>
              <w:rPr>
                <w:rFonts w:hint="eastAsia" w:ascii="宋体" w:hAnsi="宋体"/>
                <w:szCs w:val="21"/>
                <w:highlight w:val="none"/>
              </w:rPr>
              <w:t>5.4发电机：≥3000 W（系留地面站支持≥3kW 发电机）；</w:t>
            </w:r>
          </w:p>
          <w:p w14:paraId="24C4F90C">
            <w:pPr>
              <w:widowControl/>
              <w:spacing w:line="360" w:lineRule="exact"/>
              <w:textAlignment w:val="top"/>
              <w:rPr>
                <w:rFonts w:hint="eastAsia" w:ascii="宋体" w:hAnsi="宋体"/>
                <w:szCs w:val="21"/>
                <w:highlight w:val="none"/>
              </w:rPr>
            </w:pPr>
            <w:r>
              <w:rPr>
                <w:rFonts w:hint="eastAsia" w:ascii="宋体" w:hAnsi="宋体"/>
                <w:szCs w:val="21"/>
                <w:highlight w:val="none"/>
              </w:rPr>
              <w:t>5.5充电宝：≥2000 W（可搭配≥2kW便携式储能电源）；</w:t>
            </w:r>
          </w:p>
          <w:p w14:paraId="7FFDA413">
            <w:pPr>
              <w:widowControl/>
              <w:spacing w:line="360" w:lineRule="exact"/>
              <w:textAlignment w:val="top"/>
              <w:rPr>
                <w:rFonts w:hint="eastAsia" w:ascii="宋体" w:hAnsi="宋体"/>
                <w:szCs w:val="21"/>
                <w:highlight w:val="none"/>
              </w:rPr>
            </w:pPr>
            <w:r>
              <w:rPr>
                <w:rFonts w:hint="eastAsia" w:ascii="宋体" w:hAnsi="宋体"/>
                <w:szCs w:val="21"/>
                <w:highlight w:val="none"/>
              </w:rPr>
              <w:t>6、照明平台-地面</w:t>
            </w:r>
          </w:p>
          <w:p w14:paraId="58A991C9">
            <w:pPr>
              <w:widowControl/>
              <w:spacing w:line="360" w:lineRule="exact"/>
              <w:textAlignment w:val="top"/>
              <w:rPr>
                <w:rFonts w:hint="eastAsia" w:ascii="宋体" w:hAnsi="宋体"/>
                <w:szCs w:val="21"/>
                <w:highlight w:val="none"/>
              </w:rPr>
            </w:pPr>
            <w:r>
              <w:rPr>
                <w:rFonts w:hint="eastAsia" w:ascii="宋体" w:hAnsi="宋体"/>
                <w:szCs w:val="21"/>
                <w:highlight w:val="none"/>
              </w:rPr>
              <w:t>6.1功率≥400W；</w:t>
            </w:r>
          </w:p>
          <w:p w14:paraId="55A9F967">
            <w:pPr>
              <w:widowControl/>
              <w:spacing w:line="360" w:lineRule="exact"/>
              <w:textAlignment w:val="top"/>
              <w:rPr>
                <w:rFonts w:hint="eastAsia" w:ascii="宋体" w:hAnsi="宋体"/>
                <w:szCs w:val="21"/>
                <w:highlight w:val="none"/>
              </w:rPr>
            </w:pPr>
            <w:r>
              <w:rPr>
                <w:rFonts w:hint="eastAsia" w:ascii="宋体" w:hAnsi="宋体"/>
                <w:szCs w:val="21"/>
                <w:highlight w:val="none"/>
              </w:rPr>
              <w:t>6.2地面灯光重量≤300g；</w:t>
            </w:r>
          </w:p>
          <w:p w14:paraId="444ACA82">
            <w:pPr>
              <w:widowControl/>
              <w:spacing w:line="360" w:lineRule="exact"/>
              <w:textAlignment w:val="top"/>
              <w:rPr>
                <w:rFonts w:hint="eastAsia" w:ascii="宋体" w:hAnsi="宋体"/>
                <w:szCs w:val="21"/>
                <w:highlight w:val="none"/>
              </w:rPr>
            </w:pPr>
            <w:r>
              <w:rPr>
                <w:rFonts w:hint="eastAsia" w:ascii="宋体" w:hAnsi="宋体"/>
                <w:szCs w:val="21"/>
                <w:highlight w:val="none"/>
              </w:rPr>
              <w:t>6.3 IP防护等级：≥IP55；</w:t>
            </w:r>
          </w:p>
          <w:p w14:paraId="1FEAF208">
            <w:pPr>
              <w:widowControl/>
              <w:spacing w:line="360" w:lineRule="exact"/>
              <w:textAlignment w:val="top"/>
              <w:rPr>
                <w:rFonts w:hint="eastAsia" w:ascii="宋体" w:hAnsi="宋体"/>
                <w:szCs w:val="21"/>
                <w:highlight w:val="none"/>
              </w:rPr>
            </w:pPr>
            <w:r>
              <w:rPr>
                <w:rFonts w:hint="eastAsia" w:ascii="宋体" w:hAnsi="宋体"/>
                <w:szCs w:val="21"/>
                <w:highlight w:val="none"/>
              </w:rPr>
              <w:t>7. 其他要求</w:t>
            </w:r>
          </w:p>
          <w:p w14:paraId="60F03B69">
            <w:pPr>
              <w:widowControl/>
              <w:spacing w:line="360" w:lineRule="exact"/>
              <w:textAlignment w:val="top"/>
              <w:rPr>
                <w:rFonts w:hint="eastAsia" w:ascii="宋体" w:hAnsi="宋体"/>
                <w:szCs w:val="21"/>
                <w:highlight w:val="none"/>
              </w:rPr>
            </w:pPr>
            <w:r>
              <w:rPr>
                <w:rFonts w:hint="eastAsia" w:ascii="仿宋" w:hAnsi="仿宋" w:eastAsia="仿宋" w:cs="仿宋"/>
                <w:szCs w:val="21"/>
                <w:highlight w:val="none"/>
              </w:rPr>
              <w:t>▲</w:t>
            </w:r>
            <w:r>
              <w:rPr>
                <w:rFonts w:hint="eastAsia" w:ascii="宋体" w:hAnsi="宋体"/>
                <w:szCs w:val="21"/>
                <w:highlight w:val="none"/>
              </w:rPr>
              <w:t>7.1 要求提供首年100万三者险、第一年机身险（交货时，需提供保险公司证明材料）；</w:t>
            </w:r>
          </w:p>
          <w:p w14:paraId="2FE78EAA">
            <w:pPr>
              <w:widowControl/>
              <w:spacing w:line="360" w:lineRule="exact"/>
              <w:textAlignment w:val="top"/>
              <w:rPr>
                <w:rFonts w:hint="eastAsia" w:ascii="宋体" w:hAnsi="宋体"/>
                <w:szCs w:val="21"/>
                <w:highlight w:val="none"/>
              </w:rPr>
            </w:pPr>
            <w:r>
              <w:rPr>
                <w:rFonts w:hint="eastAsia" w:ascii="仿宋" w:hAnsi="仿宋" w:eastAsia="仿宋" w:cs="仿宋"/>
                <w:szCs w:val="21"/>
                <w:highlight w:val="none"/>
              </w:rPr>
              <w:t>▲</w:t>
            </w:r>
            <w:r>
              <w:rPr>
                <w:rFonts w:hint="eastAsia" w:ascii="宋体" w:hAnsi="宋体"/>
                <w:szCs w:val="21"/>
                <w:highlight w:val="none"/>
              </w:rPr>
              <w:t>7.2 质保期：≥1年。</w:t>
            </w:r>
          </w:p>
        </w:tc>
        <w:tc>
          <w:tcPr>
            <w:tcW w:w="674" w:type="pct"/>
            <w:tcBorders>
              <w:top w:val="single" w:color="000000" w:sz="4" w:space="0"/>
              <w:left w:val="single" w:color="000000" w:sz="4" w:space="0"/>
              <w:bottom w:val="single" w:color="000000" w:sz="4" w:space="0"/>
              <w:right w:val="single" w:color="000000" w:sz="4" w:space="0"/>
            </w:tcBorders>
            <w:noWrap w:val="0"/>
            <w:vAlign w:val="center"/>
          </w:tcPr>
          <w:p w14:paraId="5F69086A">
            <w:pPr>
              <w:widowControl/>
              <w:spacing w:line="360" w:lineRule="exact"/>
              <w:jc w:val="center"/>
              <w:textAlignment w:val="top"/>
              <w:rPr>
                <w:rFonts w:ascii="宋体" w:hAnsi="宋体"/>
                <w:szCs w:val="21"/>
              </w:rPr>
            </w:pPr>
            <w:r>
              <w:rPr>
                <w:rFonts w:hint="eastAsia" w:ascii="宋体" w:hAnsi="宋体"/>
                <w:szCs w:val="21"/>
              </w:rPr>
              <w:t>20.00</w:t>
            </w:r>
          </w:p>
        </w:tc>
      </w:tr>
      <w:tr w14:paraId="43959B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48" w:type="pct"/>
            <w:tcBorders>
              <w:top w:val="single" w:color="000000" w:sz="4" w:space="0"/>
              <w:left w:val="single" w:color="000000" w:sz="4" w:space="0"/>
              <w:bottom w:val="single" w:color="000000" w:sz="4" w:space="0"/>
              <w:right w:val="single" w:color="000000" w:sz="4" w:space="0"/>
            </w:tcBorders>
            <w:noWrap w:val="0"/>
            <w:vAlign w:val="center"/>
          </w:tcPr>
          <w:p w14:paraId="1524C471">
            <w:pPr>
              <w:snapToGrid w:val="0"/>
              <w:spacing w:line="360" w:lineRule="exact"/>
              <w:ind w:left="440" w:hanging="440"/>
              <w:jc w:val="center"/>
              <w:rPr>
                <w:rFonts w:hint="eastAsia" w:ascii="宋体" w:hAnsi="宋体"/>
                <w:szCs w:val="21"/>
              </w:rPr>
            </w:pPr>
            <w:r>
              <w:rPr>
                <w:rFonts w:hint="eastAsia" w:ascii="宋体" w:hAnsi="宋体"/>
                <w:szCs w:val="21"/>
              </w:rPr>
              <w:t>4</w:t>
            </w:r>
          </w:p>
        </w:tc>
        <w:tc>
          <w:tcPr>
            <w:tcW w:w="484" w:type="pct"/>
            <w:tcBorders>
              <w:top w:val="single" w:color="000000" w:sz="4" w:space="0"/>
              <w:left w:val="single" w:color="000000" w:sz="4" w:space="0"/>
              <w:bottom w:val="single" w:color="auto" w:sz="4" w:space="0"/>
              <w:right w:val="single" w:color="000000" w:sz="4" w:space="0"/>
            </w:tcBorders>
            <w:noWrap w:val="0"/>
            <w:vAlign w:val="center"/>
          </w:tcPr>
          <w:p w14:paraId="27CB9E99">
            <w:pPr>
              <w:widowControl/>
              <w:spacing w:line="360" w:lineRule="exact"/>
              <w:jc w:val="center"/>
              <w:textAlignment w:val="center"/>
              <w:rPr>
                <w:rFonts w:hint="eastAsia" w:ascii="宋体" w:hAnsi="宋体"/>
                <w:szCs w:val="21"/>
              </w:rPr>
            </w:pPr>
            <w:r>
              <w:rPr>
                <w:rFonts w:hint="eastAsia" w:ascii="宋体" w:hAnsi="宋体"/>
                <w:szCs w:val="21"/>
              </w:rPr>
              <w:t>冲锋舟</w:t>
            </w:r>
          </w:p>
        </w:tc>
        <w:tc>
          <w:tcPr>
            <w:tcW w:w="520" w:type="pct"/>
            <w:gridSpan w:val="2"/>
            <w:tcBorders>
              <w:top w:val="single" w:color="000000" w:sz="4" w:space="0"/>
              <w:left w:val="single" w:color="000000" w:sz="4" w:space="0"/>
              <w:bottom w:val="single" w:color="auto" w:sz="4" w:space="0"/>
              <w:right w:val="single" w:color="000000" w:sz="4" w:space="0"/>
            </w:tcBorders>
            <w:noWrap w:val="0"/>
            <w:vAlign w:val="center"/>
          </w:tcPr>
          <w:p w14:paraId="5EE1BB9F">
            <w:pPr>
              <w:widowControl/>
              <w:spacing w:line="360" w:lineRule="exact"/>
              <w:jc w:val="center"/>
              <w:textAlignment w:val="center"/>
              <w:rPr>
                <w:rFonts w:hint="eastAsia" w:ascii="宋体" w:hAnsi="宋体"/>
                <w:szCs w:val="21"/>
              </w:rPr>
            </w:pPr>
            <w:r>
              <w:rPr>
                <w:rFonts w:hint="eastAsia" w:ascii="宋体" w:hAnsi="宋体"/>
                <w:szCs w:val="21"/>
              </w:rPr>
              <w:t>2</w:t>
            </w:r>
            <w:r>
              <w:rPr>
                <w:rFonts w:hint="eastAsia" w:ascii="宋体" w:hAnsi="宋体"/>
                <w:color w:val="000000"/>
              </w:rPr>
              <w:t>套</w:t>
            </w:r>
          </w:p>
        </w:tc>
        <w:tc>
          <w:tcPr>
            <w:tcW w:w="686" w:type="pct"/>
            <w:tcBorders>
              <w:top w:val="single" w:color="000000" w:sz="4" w:space="0"/>
              <w:left w:val="single" w:color="000000" w:sz="4" w:space="0"/>
              <w:bottom w:val="single" w:color="auto" w:sz="4" w:space="0"/>
              <w:right w:val="single" w:color="000000" w:sz="4" w:space="0"/>
            </w:tcBorders>
            <w:noWrap w:val="0"/>
            <w:vAlign w:val="center"/>
          </w:tcPr>
          <w:p w14:paraId="35FB2635">
            <w:pPr>
              <w:widowControl/>
              <w:spacing w:line="360" w:lineRule="exact"/>
              <w:jc w:val="center"/>
              <w:textAlignment w:val="center"/>
              <w:rPr>
                <w:rFonts w:hint="eastAsia" w:ascii="宋体" w:hAnsi="宋体"/>
                <w:szCs w:val="21"/>
              </w:rPr>
            </w:pPr>
            <w:r>
              <w:rPr>
                <w:rFonts w:hint="eastAsia" w:ascii="宋体" w:hAnsi="宋体"/>
                <w:szCs w:val="21"/>
              </w:rPr>
              <w:t>工业</w:t>
            </w:r>
          </w:p>
        </w:tc>
        <w:tc>
          <w:tcPr>
            <w:tcW w:w="2385" w:type="pct"/>
            <w:tcBorders>
              <w:top w:val="single" w:color="000000" w:sz="4" w:space="0"/>
              <w:left w:val="single" w:color="000000" w:sz="4" w:space="0"/>
              <w:bottom w:val="single" w:color="000000" w:sz="4" w:space="0"/>
              <w:right w:val="single" w:color="000000" w:sz="4" w:space="0"/>
            </w:tcBorders>
            <w:noWrap w:val="0"/>
            <w:vAlign w:val="center"/>
          </w:tcPr>
          <w:p w14:paraId="0D9C293C">
            <w:pPr>
              <w:widowControl/>
              <w:spacing w:line="360" w:lineRule="exact"/>
              <w:textAlignment w:val="top"/>
              <w:rPr>
                <w:rFonts w:hint="eastAsia" w:ascii="宋体" w:hAnsi="宋体"/>
                <w:szCs w:val="21"/>
              </w:rPr>
            </w:pPr>
            <w:r>
              <w:rPr>
                <w:rFonts w:hint="eastAsia" w:ascii="宋体" w:hAnsi="宋体"/>
                <w:szCs w:val="21"/>
              </w:rPr>
              <w:t>1.设备符合相关标准要求，主机功率不低于四冲程60马力，乘员≥12人，航速≥25节；</w:t>
            </w:r>
          </w:p>
          <w:p w14:paraId="3BDEEADD">
            <w:pPr>
              <w:widowControl/>
              <w:spacing w:line="360" w:lineRule="exact"/>
              <w:textAlignment w:val="top"/>
              <w:rPr>
                <w:rFonts w:hint="eastAsia" w:ascii="宋体" w:hAnsi="宋体"/>
                <w:szCs w:val="21"/>
              </w:rPr>
            </w:pPr>
            <w:r>
              <w:rPr>
                <w:rFonts w:hint="eastAsia" w:ascii="宋体" w:hAnsi="宋体"/>
                <w:szCs w:val="21"/>
              </w:rPr>
              <w:t>2.具有快速排水功能，快速单向排水口≥1个。具有耐油、耐盐碱、耐腐蚀、耐高温、耐紫外线，同时船身具有反光标志；</w:t>
            </w:r>
          </w:p>
          <w:p w14:paraId="5019258B">
            <w:pPr>
              <w:widowControl/>
              <w:spacing w:line="360" w:lineRule="exact"/>
              <w:textAlignment w:val="top"/>
              <w:rPr>
                <w:rFonts w:hint="eastAsia" w:ascii="宋体" w:hAnsi="宋体"/>
                <w:szCs w:val="21"/>
              </w:rPr>
            </w:pPr>
            <w:r>
              <w:rPr>
                <w:rFonts w:hint="eastAsia" w:ascii="宋体" w:hAnsi="宋体"/>
                <w:szCs w:val="21"/>
              </w:rPr>
              <w:t>3.尾板设置旗杆插孔。设置吃水深度刻度线及最大吃水深度刻度线。设置可粘贴式示廓灯具、灯带；</w:t>
            </w:r>
          </w:p>
          <w:p w14:paraId="4C3DFB1E">
            <w:pPr>
              <w:widowControl/>
              <w:spacing w:line="360" w:lineRule="exact"/>
              <w:textAlignment w:val="top"/>
              <w:rPr>
                <w:rFonts w:hint="eastAsia" w:ascii="宋体" w:hAnsi="宋体"/>
                <w:szCs w:val="21"/>
              </w:rPr>
            </w:pPr>
            <w:r>
              <w:rPr>
                <w:rFonts w:hint="eastAsia" w:ascii="宋体" w:hAnsi="宋体"/>
                <w:szCs w:val="21"/>
              </w:rPr>
              <w:t>▲4.船体材质为玻璃钢或优于玻璃钢，规格≥6m×2m×0.7m，排水量≥1400kg，吃水0.3米，乘员≥12人。舟体外壳为橙色，表面采取有效措施防滑，舟体内外壳表面光顺，平整光洁；</w:t>
            </w:r>
          </w:p>
          <w:p w14:paraId="13CE8079">
            <w:pPr>
              <w:widowControl/>
              <w:spacing w:line="360" w:lineRule="exact"/>
              <w:textAlignment w:val="top"/>
              <w:rPr>
                <w:rFonts w:hint="eastAsia" w:ascii="宋体" w:hAnsi="宋体"/>
                <w:szCs w:val="21"/>
              </w:rPr>
            </w:pPr>
            <w:r>
              <w:rPr>
                <w:rFonts w:hint="eastAsia" w:ascii="宋体" w:hAnsi="宋体"/>
                <w:szCs w:val="21"/>
              </w:rPr>
              <w:t>5.发动机：螺旋桨式，铝合金材质；最大发动机输出功率≥44.1kW（60马力）；</w:t>
            </w:r>
          </w:p>
          <w:p w14:paraId="2764951E">
            <w:pPr>
              <w:widowControl/>
              <w:spacing w:line="360" w:lineRule="exact"/>
              <w:textAlignment w:val="top"/>
              <w:rPr>
                <w:rFonts w:hint="eastAsia" w:ascii="宋体" w:hAnsi="宋体"/>
                <w:szCs w:val="21"/>
              </w:rPr>
            </w:pPr>
            <w:r>
              <w:rPr>
                <w:rFonts w:hint="eastAsia" w:ascii="宋体" w:hAnsi="宋体"/>
                <w:szCs w:val="21"/>
              </w:rPr>
              <w:t>▲6.发动机类型：4缸4冲程；转速(转/分)：≥4500r/min；排气量(cm3)：≥700cc；</w:t>
            </w:r>
          </w:p>
          <w:p w14:paraId="20E9299C">
            <w:pPr>
              <w:widowControl/>
              <w:spacing w:line="360" w:lineRule="exact"/>
              <w:textAlignment w:val="top"/>
              <w:rPr>
                <w:rFonts w:hint="eastAsia" w:ascii="宋体" w:hAnsi="宋体"/>
                <w:szCs w:val="21"/>
              </w:rPr>
            </w:pPr>
            <w:r>
              <w:rPr>
                <w:rFonts w:hint="eastAsia" w:ascii="宋体" w:hAnsi="宋体"/>
                <w:szCs w:val="21"/>
              </w:rPr>
              <w:t>7.发动机启动系统：电动启动；</w:t>
            </w:r>
          </w:p>
          <w:p w14:paraId="60DBA579">
            <w:pPr>
              <w:widowControl/>
              <w:spacing w:line="360" w:lineRule="exact"/>
              <w:textAlignment w:val="top"/>
              <w:rPr>
                <w:rFonts w:hint="eastAsia" w:ascii="宋体" w:hAnsi="宋体"/>
                <w:szCs w:val="21"/>
              </w:rPr>
            </w:pPr>
            <w:r>
              <w:rPr>
                <w:rFonts w:hint="eastAsia" w:ascii="宋体" w:hAnsi="宋体"/>
                <w:szCs w:val="21"/>
              </w:rPr>
              <w:t>8.操舵系统：后操；</w:t>
            </w:r>
          </w:p>
          <w:p w14:paraId="063F10AF">
            <w:pPr>
              <w:widowControl/>
              <w:spacing w:line="360" w:lineRule="exact"/>
              <w:textAlignment w:val="top"/>
              <w:rPr>
                <w:rFonts w:hint="eastAsia" w:ascii="宋体" w:hAnsi="宋体"/>
                <w:szCs w:val="21"/>
              </w:rPr>
            </w:pPr>
            <w:r>
              <w:rPr>
                <w:rFonts w:hint="eastAsia" w:ascii="宋体" w:hAnsi="宋体"/>
                <w:szCs w:val="21"/>
                <w:lang w:val="en-US" w:eastAsia="zh-CN"/>
              </w:rPr>
              <w:t>9</w:t>
            </w:r>
            <w:r>
              <w:rPr>
                <w:rFonts w:hint="eastAsia" w:ascii="宋体" w:hAnsi="宋体"/>
                <w:szCs w:val="21"/>
              </w:rPr>
              <w:t>.倾斜系统：手动倾斜；</w:t>
            </w:r>
          </w:p>
          <w:p w14:paraId="011F0FC1">
            <w:pPr>
              <w:widowControl/>
              <w:spacing w:line="360" w:lineRule="exact"/>
              <w:textAlignment w:val="top"/>
              <w:rPr>
                <w:rFonts w:hint="eastAsia" w:ascii="宋体" w:hAnsi="宋体"/>
                <w:szCs w:val="21"/>
              </w:rPr>
            </w:pPr>
            <w:r>
              <w:rPr>
                <w:rFonts w:hint="eastAsia" w:ascii="宋体" w:hAnsi="宋体"/>
                <w:szCs w:val="21"/>
                <w:lang w:val="en-US" w:eastAsia="zh-CN"/>
              </w:rPr>
              <w:t>10</w:t>
            </w:r>
            <w:r>
              <w:rPr>
                <w:rFonts w:hint="eastAsia" w:ascii="宋体" w:hAnsi="宋体"/>
                <w:szCs w:val="21"/>
              </w:rPr>
              <w:t>.交流发电机：≥80W；</w:t>
            </w:r>
          </w:p>
          <w:p w14:paraId="19616066">
            <w:pPr>
              <w:widowControl/>
              <w:spacing w:line="360" w:lineRule="exact"/>
              <w:textAlignment w:val="top"/>
              <w:rPr>
                <w:rFonts w:hint="eastAsia" w:ascii="宋体" w:hAnsi="宋体"/>
                <w:szCs w:val="21"/>
              </w:rPr>
            </w:pPr>
            <w:r>
              <w:rPr>
                <w:rFonts w:hint="eastAsia" w:ascii="宋体" w:hAnsi="宋体"/>
                <w:szCs w:val="21"/>
                <w:lang w:val="en-US" w:eastAsia="zh-CN"/>
              </w:rPr>
              <w:t>11</w:t>
            </w:r>
            <w:r>
              <w:rPr>
                <w:rFonts w:hint="eastAsia" w:ascii="宋体" w:hAnsi="宋体"/>
                <w:szCs w:val="21"/>
              </w:rPr>
              <w:t>.净重重量：≤150Kg；</w:t>
            </w:r>
          </w:p>
          <w:p w14:paraId="13F7C34A">
            <w:pPr>
              <w:widowControl/>
              <w:spacing w:line="360" w:lineRule="exact"/>
              <w:textAlignment w:val="top"/>
              <w:rPr>
                <w:rFonts w:hint="eastAsia" w:ascii="宋体" w:hAnsi="宋体"/>
                <w:szCs w:val="21"/>
              </w:rPr>
            </w:pPr>
            <w:r>
              <w:rPr>
                <w:rFonts w:hint="eastAsia" w:ascii="宋体" w:hAnsi="宋体"/>
                <w:szCs w:val="21"/>
                <w:lang w:val="en-US" w:eastAsia="zh-CN"/>
              </w:rPr>
              <w:t>12</w:t>
            </w:r>
            <w:r>
              <w:rPr>
                <w:rFonts w:hint="eastAsia" w:ascii="宋体" w:hAnsi="宋体"/>
                <w:szCs w:val="21"/>
              </w:rPr>
              <w:t>.油箱：≥24L；</w:t>
            </w:r>
          </w:p>
          <w:p w14:paraId="61B2283A">
            <w:pPr>
              <w:widowControl/>
              <w:spacing w:line="360" w:lineRule="exact"/>
              <w:textAlignment w:val="top"/>
              <w:rPr>
                <w:rFonts w:hint="eastAsia" w:ascii="宋体" w:hAnsi="宋体"/>
                <w:szCs w:val="21"/>
              </w:rPr>
            </w:pPr>
            <w:r>
              <w:rPr>
                <w:rFonts w:hint="eastAsia" w:ascii="宋体" w:hAnsi="宋体"/>
                <w:szCs w:val="21"/>
                <w:lang w:val="en-US" w:eastAsia="zh-CN"/>
              </w:rPr>
              <w:t>13</w:t>
            </w:r>
            <w:r>
              <w:rPr>
                <w:rFonts w:hint="eastAsia" w:ascii="宋体" w:hAnsi="宋体"/>
                <w:szCs w:val="21"/>
              </w:rPr>
              <w:t>.配备平口掏水瓢1个，配备航桨4只，配备叶轮防护罩，材质为不锈钢，配备船外机放置架，方便船外机存放。</w:t>
            </w:r>
          </w:p>
        </w:tc>
        <w:tc>
          <w:tcPr>
            <w:tcW w:w="674" w:type="pct"/>
            <w:tcBorders>
              <w:top w:val="single" w:color="000000" w:sz="4" w:space="0"/>
              <w:left w:val="single" w:color="000000" w:sz="4" w:space="0"/>
              <w:bottom w:val="single" w:color="000000" w:sz="4" w:space="0"/>
              <w:right w:val="single" w:color="000000" w:sz="4" w:space="0"/>
            </w:tcBorders>
            <w:noWrap w:val="0"/>
            <w:vAlign w:val="center"/>
          </w:tcPr>
          <w:p w14:paraId="71BF18CC">
            <w:pPr>
              <w:widowControl/>
              <w:spacing w:line="360" w:lineRule="exact"/>
              <w:jc w:val="center"/>
              <w:textAlignment w:val="top"/>
              <w:rPr>
                <w:rFonts w:ascii="宋体" w:hAnsi="宋体"/>
                <w:szCs w:val="21"/>
              </w:rPr>
            </w:pPr>
            <w:r>
              <w:rPr>
                <w:rFonts w:hint="eastAsia" w:ascii="宋体" w:hAnsi="宋体"/>
                <w:szCs w:val="21"/>
              </w:rPr>
              <w:t>5.50</w:t>
            </w:r>
          </w:p>
        </w:tc>
      </w:tr>
      <w:tr w14:paraId="6EA2E0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48" w:type="pct"/>
            <w:tcBorders>
              <w:top w:val="single" w:color="000000" w:sz="4" w:space="0"/>
              <w:left w:val="single" w:color="000000" w:sz="4" w:space="0"/>
              <w:bottom w:val="single" w:color="000000" w:sz="4" w:space="0"/>
              <w:right w:val="single" w:color="000000" w:sz="4" w:space="0"/>
            </w:tcBorders>
            <w:noWrap w:val="0"/>
            <w:vAlign w:val="center"/>
          </w:tcPr>
          <w:p w14:paraId="34E3B098">
            <w:pPr>
              <w:snapToGrid w:val="0"/>
              <w:spacing w:line="360" w:lineRule="exact"/>
              <w:ind w:left="440" w:hanging="440"/>
              <w:jc w:val="center"/>
              <w:rPr>
                <w:rFonts w:hint="eastAsia" w:ascii="宋体" w:hAnsi="宋体"/>
                <w:szCs w:val="21"/>
              </w:rPr>
            </w:pPr>
            <w:r>
              <w:rPr>
                <w:rFonts w:hint="eastAsia" w:ascii="宋体" w:hAnsi="宋体"/>
                <w:szCs w:val="21"/>
              </w:rPr>
              <w:t>5</w:t>
            </w:r>
          </w:p>
        </w:tc>
        <w:tc>
          <w:tcPr>
            <w:tcW w:w="484" w:type="pct"/>
            <w:tcBorders>
              <w:top w:val="single" w:color="000000" w:sz="4" w:space="0"/>
              <w:left w:val="single" w:color="000000" w:sz="4" w:space="0"/>
              <w:bottom w:val="single" w:color="auto" w:sz="4" w:space="0"/>
              <w:right w:val="single" w:color="000000" w:sz="4" w:space="0"/>
            </w:tcBorders>
            <w:noWrap w:val="0"/>
            <w:vAlign w:val="center"/>
          </w:tcPr>
          <w:p w14:paraId="069B32B0">
            <w:pPr>
              <w:widowControl/>
              <w:spacing w:line="360" w:lineRule="exact"/>
              <w:jc w:val="center"/>
              <w:textAlignment w:val="center"/>
              <w:rPr>
                <w:rFonts w:hint="eastAsia" w:ascii="宋体" w:hAnsi="宋体"/>
                <w:szCs w:val="21"/>
              </w:rPr>
            </w:pPr>
            <w:r>
              <w:rPr>
                <w:rFonts w:hint="eastAsia" w:ascii="宋体" w:hAnsi="宋体"/>
                <w:color w:val="000000"/>
              </w:rPr>
              <w:t>卫星电话</w:t>
            </w:r>
          </w:p>
        </w:tc>
        <w:tc>
          <w:tcPr>
            <w:tcW w:w="520" w:type="pct"/>
            <w:gridSpan w:val="2"/>
            <w:tcBorders>
              <w:top w:val="single" w:color="000000" w:sz="4" w:space="0"/>
              <w:left w:val="single" w:color="000000" w:sz="4" w:space="0"/>
              <w:bottom w:val="single" w:color="auto" w:sz="4" w:space="0"/>
              <w:right w:val="single" w:color="000000" w:sz="4" w:space="0"/>
            </w:tcBorders>
            <w:noWrap w:val="0"/>
            <w:vAlign w:val="center"/>
          </w:tcPr>
          <w:p w14:paraId="43243FF6">
            <w:pPr>
              <w:widowControl/>
              <w:spacing w:line="360" w:lineRule="exact"/>
              <w:jc w:val="center"/>
              <w:textAlignment w:val="center"/>
              <w:rPr>
                <w:rFonts w:hint="eastAsia" w:ascii="宋体" w:hAnsi="宋体"/>
                <w:szCs w:val="21"/>
              </w:rPr>
            </w:pPr>
            <w:r>
              <w:rPr>
                <w:rFonts w:hint="eastAsia" w:ascii="宋体" w:hAnsi="宋体"/>
                <w:szCs w:val="21"/>
              </w:rPr>
              <w:t>2</w:t>
            </w:r>
            <w:r>
              <w:rPr>
                <w:rFonts w:hint="eastAsia" w:ascii="宋体" w:hAnsi="宋体"/>
                <w:color w:val="000000"/>
              </w:rPr>
              <w:t>套</w:t>
            </w:r>
          </w:p>
        </w:tc>
        <w:tc>
          <w:tcPr>
            <w:tcW w:w="686" w:type="pct"/>
            <w:tcBorders>
              <w:top w:val="single" w:color="000000" w:sz="4" w:space="0"/>
              <w:left w:val="single" w:color="000000" w:sz="4" w:space="0"/>
              <w:bottom w:val="single" w:color="auto" w:sz="4" w:space="0"/>
              <w:right w:val="single" w:color="000000" w:sz="4" w:space="0"/>
            </w:tcBorders>
            <w:noWrap w:val="0"/>
            <w:vAlign w:val="center"/>
          </w:tcPr>
          <w:p w14:paraId="03490812">
            <w:pPr>
              <w:widowControl/>
              <w:spacing w:line="360" w:lineRule="exact"/>
              <w:jc w:val="center"/>
              <w:textAlignment w:val="center"/>
              <w:rPr>
                <w:rFonts w:hint="eastAsia" w:ascii="宋体" w:hAnsi="宋体"/>
                <w:szCs w:val="21"/>
              </w:rPr>
            </w:pPr>
            <w:r>
              <w:rPr>
                <w:rFonts w:hint="eastAsia" w:ascii="宋体" w:hAnsi="宋体"/>
                <w:szCs w:val="21"/>
              </w:rPr>
              <w:t>工业</w:t>
            </w:r>
          </w:p>
        </w:tc>
        <w:tc>
          <w:tcPr>
            <w:tcW w:w="2385" w:type="pct"/>
            <w:tcBorders>
              <w:top w:val="single" w:color="000000" w:sz="4" w:space="0"/>
              <w:left w:val="single" w:color="000000" w:sz="4" w:space="0"/>
              <w:bottom w:val="single" w:color="000000" w:sz="4" w:space="0"/>
              <w:right w:val="single" w:color="000000" w:sz="4" w:space="0"/>
            </w:tcBorders>
            <w:noWrap w:val="0"/>
            <w:vAlign w:val="center"/>
          </w:tcPr>
          <w:p w14:paraId="07437ABC">
            <w:pPr>
              <w:widowControl/>
              <w:spacing w:line="360" w:lineRule="exact"/>
              <w:textAlignment w:val="top"/>
              <w:rPr>
                <w:rFonts w:hint="eastAsia" w:ascii="宋体" w:hAnsi="宋体"/>
                <w:szCs w:val="21"/>
              </w:rPr>
            </w:pPr>
            <w:r>
              <w:rPr>
                <w:rFonts w:hint="eastAsia" w:ascii="宋体" w:hAnsi="宋体"/>
                <w:szCs w:val="21"/>
              </w:rPr>
              <w:t>1.支持智能降噪通话，能主动消除环境噪音，实现通话语音清晰；</w:t>
            </w:r>
          </w:p>
          <w:p w14:paraId="0F6601FF">
            <w:pPr>
              <w:widowControl/>
              <w:spacing w:line="360" w:lineRule="exact"/>
              <w:textAlignment w:val="top"/>
              <w:rPr>
                <w:rFonts w:hint="eastAsia" w:ascii="宋体" w:hAnsi="宋体"/>
                <w:szCs w:val="21"/>
              </w:rPr>
            </w:pPr>
            <w:r>
              <w:rPr>
                <w:rFonts w:hint="eastAsia" w:ascii="宋体" w:hAnsi="宋体"/>
                <w:szCs w:val="21"/>
              </w:rPr>
              <w:t>2.支持POC对讲、专用PTT对讲按键、支持来电显示；</w:t>
            </w:r>
          </w:p>
          <w:p w14:paraId="79421548">
            <w:pPr>
              <w:widowControl/>
              <w:spacing w:line="360" w:lineRule="exact"/>
              <w:textAlignment w:val="top"/>
              <w:rPr>
                <w:rFonts w:hint="eastAsia" w:ascii="宋体" w:hAnsi="宋体"/>
                <w:szCs w:val="21"/>
              </w:rPr>
            </w:pPr>
            <w:r>
              <w:rPr>
                <w:rFonts w:hint="eastAsia" w:ascii="宋体" w:hAnsi="宋体"/>
                <w:szCs w:val="21"/>
              </w:rPr>
              <w:t>3.支持卫星+地面、车载移动通信双模手持终端，双卡双待；</w:t>
            </w:r>
          </w:p>
          <w:p w14:paraId="645D2928">
            <w:pPr>
              <w:widowControl/>
              <w:spacing w:line="360" w:lineRule="exact"/>
              <w:textAlignment w:val="top"/>
              <w:rPr>
                <w:rFonts w:hint="eastAsia" w:ascii="宋体" w:hAnsi="宋体"/>
                <w:szCs w:val="21"/>
              </w:rPr>
            </w:pPr>
            <w:r>
              <w:rPr>
                <w:rFonts w:hint="eastAsia" w:ascii="宋体" w:hAnsi="宋体"/>
                <w:szCs w:val="21"/>
              </w:rPr>
              <w:t>4.支持卫星通信，工作频段：上行</w:t>
            </w:r>
            <w:r>
              <w:rPr>
                <w:rFonts w:hint="eastAsia" w:ascii="宋体" w:hAnsi="宋体"/>
                <w:szCs w:val="21"/>
                <w:lang w:val="en-US" w:eastAsia="zh-CN"/>
              </w:rPr>
              <w:t>S</w:t>
            </w:r>
            <w:r>
              <w:rPr>
                <w:rFonts w:hint="eastAsia" w:ascii="宋体" w:hAnsi="宋体"/>
                <w:szCs w:val="21"/>
              </w:rPr>
              <w:t>波段 1980MHz～2010MHz、下行S波段 2170MHz～2200MHz；</w:t>
            </w:r>
          </w:p>
          <w:p w14:paraId="1AD80A72">
            <w:pPr>
              <w:widowControl/>
              <w:spacing w:line="360" w:lineRule="exact"/>
              <w:textAlignment w:val="top"/>
              <w:rPr>
                <w:rFonts w:hint="eastAsia" w:ascii="宋体" w:hAnsi="宋体"/>
                <w:szCs w:val="21"/>
              </w:rPr>
            </w:pPr>
            <w:r>
              <w:rPr>
                <w:rFonts w:hint="eastAsia" w:ascii="宋体" w:hAnsi="宋体"/>
                <w:szCs w:val="21"/>
              </w:rPr>
              <w:t>5.支持北斗</w:t>
            </w:r>
            <w:r>
              <w:rPr>
                <w:rFonts w:hint="eastAsia" w:ascii="宋体" w:hAnsi="宋体"/>
                <w:szCs w:val="21"/>
                <w:lang w:val="en-US" w:eastAsia="zh-CN"/>
              </w:rPr>
              <w:t>或</w:t>
            </w:r>
            <w:r>
              <w:rPr>
                <w:rFonts w:hint="eastAsia" w:ascii="宋体" w:hAnsi="宋体"/>
                <w:szCs w:val="21"/>
              </w:rPr>
              <w:t>GPS，定位精度≤5米；</w:t>
            </w:r>
          </w:p>
          <w:p w14:paraId="195B0FC3">
            <w:pPr>
              <w:widowControl/>
              <w:spacing w:line="360" w:lineRule="exact"/>
              <w:textAlignment w:val="top"/>
              <w:rPr>
                <w:rFonts w:hint="eastAsia" w:ascii="宋体" w:hAnsi="宋体"/>
                <w:szCs w:val="21"/>
              </w:rPr>
            </w:pPr>
            <w:r>
              <w:rPr>
                <w:rFonts w:hint="eastAsia" w:ascii="宋体" w:hAnsi="宋体"/>
                <w:szCs w:val="21"/>
              </w:rPr>
              <w:t>6.支持SOS一键求救；</w:t>
            </w:r>
          </w:p>
          <w:p w14:paraId="171B5B0B">
            <w:pPr>
              <w:widowControl/>
              <w:spacing w:line="360" w:lineRule="exact"/>
              <w:textAlignment w:val="top"/>
              <w:rPr>
                <w:rFonts w:hint="eastAsia" w:ascii="宋体" w:hAnsi="宋体"/>
                <w:szCs w:val="21"/>
              </w:rPr>
            </w:pPr>
            <w:r>
              <w:rPr>
                <w:rFonts w:hint="eastAsia" w:ascii="宋体" w:hAnsi="宋体"/>
                <w:szCs w:val="21"/>
              </w:rPr>
              <w:t>7.操作系统：Android 8.1及以上；</w:t>
            </w:r>
          </w:p>
          <w:p w14:paraId="357AE82D">
            <w:pPr>
              <w:widowControl/>
              <w:spacing w:line="360" w:lineRule="exact"/>
              <w:textAlignment w:val="top"/>
              <w:rPr>
                <w:rFonts w:hint="eastAsia" w:ascii="宋体" w:hAnsi="宋体"/>
                <w:szCs w:val="21"/>
              </w:rPr>
            </w:pPr>
            <w:r>
              <w:rPr>
                <w:rFonts w:hint="eastAsia" w:ascii="宋体" w:hAnsi="宋体"/>
                <w:szCs w:val="21"/>
              </w:rPr>
              <w:t>8.内存：RAM≥2GB，ROM≥16GB，支持扩展；</w:t>
            </w:r>
          </w:p>
          <w:p w14:paraId="1F77B18F">
            <w:pPr>
              <w:widowControl/>
              <w:spacing w:line="360" w:lineRule="exact"/>
              <w:textAlignment w:val="top"/>
              <w:rPr>
                <w:rFonts w:hint="eastAsia" w:ascii="宋体" w:hAnsi="宋体"/>
                <w:szCs w:val="21"/>
              </w:rPr>
            </w:pPr>
            <w:r>
              <w:rPr>
                <w:rFonts w:hint="eastAsia" w:ascii="宋体" w:hAnsi="宋体"/>
                <w:szCs w:val="21"/>
              </w:rPr>
              <w:t>9.屏幕：≥2.8 英寸触摸屏，支持手套、湿手操作；</w:t>
            </w:r>
          </w:p>
          <w:p w14:paraId="6CB9D4A9">
            <w:pPr>
              <w:widowControl/>
              <w:spacing w:line="360" w:lineRule="exact"/>
              <w:textAlignment w:val="top"/>
              <w:rPr>
                <w:rFonts w:hint="eastAsia" w:ascii="宋体" w:hAnsi="宋体"/>
                <w:szCs w:val="21"/>
              </w:rPr>
            </w:pPr>
            <w:r>
              <w:rPr>
                <w:rFonts w:hint="eastAsia" w:ascii="宋体" w:hAnsi="宋体"/>
                <w:szCs w:val="21"/>
              </w:rPr>
              <w:t>10.电池：≥5000mAh 可拆卸电池，卫星待机≥160小时，卫星通话≥8 小时；</w:t>
            </w:r>
          </w:p>
          <w:p w14:paraId="52F77721">
            <w:pPr>
              <w:widowControl/>
              <w:spacing w:line="360" w:lineRule="exact"/>
              <w:textAlignment w:val="top"/>
              <w:rPr>
                <w:rFonts w:hint="eastAsia" w:ascii="宋体" w:hAnsi="宋体"/>
                <w:szCs w:val="21"/>
              </w:rPr>
            </w:pPr>
            <w:r>
              <w:rPr>
                <w:rFonts w:hint="eastAsia" w:ascii="宋体" w:hAnsi="宋体"/>
                <w:szCs w:val="21"/>
              </w:rPr>
              <w:t>11.防护等级：IP68及以上；</w:t>
            </w:r>
          </w:p>
          <w:p w14:paraId="4462EE35">
            <w:pPr>
              <w:widowControl/>
              <w:spacing w:line="360" w:lineRule="exact"/>
              <w:textAlignment w:val="top"/>
              <w:rPr>
                <w:rFonts w:hint="eastAsia" w:ascii="宋体" w:hAnsi="宋体"/>
                <w:szCs w:val="21"/>
              </w:rPr>
            </w:pPr>
            <w:r>
              <w:rPr>
                <w:rFonts w:hint="eastAsia" w:ascii="宋体" w:hAnsi="宋体"/>
                <w:szCs w:val="21"/>
              </w:rPr>
              <w:t>12.抗跌落：1.8米跌落合格；</w:t>
            </w:r>
          </w:p>
          <w:p w14:paraId="76296EA9">
            <w:pPr>
              <w:widowControl/>
              <w:spacing w:line="360" w:lineRule="exact"/>
              <w:textAlignment w:val="top"/>
              <w:rPr>
                <w:rFonts w:hint="eastAsia" w:ascii="宋体" w:hAnsi="宋体"/>
                <w:szCs w:val="21"/>
              </w:rPr>
            </w:pPr>
            <w:r>
              <w:rPr>
                <w:rFonts w:hint="eastAsia" w:ascii="宋体" w:hAnsi="宋体"/>
                <w:szCs w:val="21"/>
              </w:rPr>
              <w:t>13.工作温度：-35℃～60℃；</w:t>
            </w:r>
          </w:p>
          <w:p w14:paraId="5EF4EA6D">
            <w:pPr>
              <w:widowControl/>
              <w:spacing w:line="360" w:lineRule="exact"/>
              <w:textAlignment w:val="top"/>
              <w:rPr>
                <w:rFonts w:hint="eastAsia" w:ascii="宋体" w:hAnsi="宋体"/>
                <w:szCs w:val="21"/>
              </w:rPr>
            </w:pPr>
            <w:r>
              <w:rPr>
                <w:rFonts w:hint="eastAsia" w:ascii="宋体" w:hAnsi="宋体"/>
                <w:szCs w:val="21"/>
              </w:rPr>
              <w:t>14.机身尺寸：≤155mm×75mm×25mm；</w:t>
            </w:r>
          </w:p>
          <w:p w14:paraId="5C3C4751">
            <w:pPr>
              <w:widowControl/>
              <w:spacing w:line="360" w:lineRule="exact"/>
              <w:textAlignment w:val="top"/>
              <w:rPr>
                <w:rFonts w:hint="eastAsia" w:ascii="宋体" w:hAnsi="宋体"/>
                <w:szCs w:val="21"/>
              </w:rPr>
            </w:pPr>
            <w:r>
              <w:rPr>
                <w:rFonts w:hint="eastAsia" w:ascii="宋体" w:hAnsi="宋体"/>
                <w:szCs w:val="21"/>
              </w:rPr>
              <w:t>15.具备强光手电、物理全键盘；</w:t>
            </w:r>
          </w:p>
          <w:p w14:paraId="5A8C315A">
            <w:pPr>
              <w:widowControl/>
              <w:spacing w:line="360" w:lineRule="exact"/>
              <w:textAlignment w:val="top"/>
              <w:rPr>
                <w:rFonts w:hint="eastAsia" w:ascii="宋体" w:hAnsi="宋体"/>
                <w:szCs w:val="21"/>
              </w:rPr>
            </w:pPr>
            <w:r>
              <w:rPr>
                <w:rFonts w:hint="eastAsia" w:ascii="宋体" w:hAnsi="宋体"/>
                <w:szCs w:val="21"/>
              </w:rPr>
              <w:t>16.接口：Type-C 充电，支持外接车载天线；</w:t>
            </w:r>
          </w:p>
          <w:p w14:paraId="043C2728">
            <w:pPr>
              <w:widowControl/>
              <w:spacing w:line="360" w:lineRule="exact"/>
              <w:textAlignment w:val="top"/>
              <w:rPr>
                <w:rFonts w:hint="eastAsia" w:ascii="宋体" w:hAnsi="宋体"/>
                <w:szCs w:val="21"/>
              </w:rPr>
            </w:pPr>
            <w:r>
              <w:rPr>
                <w:rFonts w:hint="eastAsia" w:ascii="宋体" w:hAnsi="宋体"/>
                <w:szCs w:val="21"/>
              </w:rPr>
              <w:t>17.提供质保≥1年。</w:t>
            </w:r>
          </w:p>
        </w:tc>
        <w:tc>
          <w:tcPr>
            <w:tcW w:w="674" w:type="pct"/>
            <w:tcBorders>
              <w:top w:val="single" w:color="000000" w:sz="4" w:space="0"/>
              <w:left w:val="single" w:color="000000" w:sz="4" w:space="0"/>
              <w:bottom w:val="single" w:color="000000" w:sz="4" w:space="0"/>
              <w:right w:val="single" w:color="000000" w:sz="4" w:space="0"/>
            </w:tcBorders>
            <w:noWrap w:val="0"/>
            <w:vAlign w:val="center"/>
          </w:tcPr>
          <w:p w14:paraId="3E4F095A">
            <w:pPr>
              <w:widowControl/>
              <w:spacing w:line="360" w:lineRule="exact"/>
              <w:jc w:val="center"/>
              <w:textAlignment w:val="top"/>
              <w:rPr>
                <w:rFonts w:ascii="宋体" w:hAnsi="宋体"/>
                <w:szCs w:val="21"/>
              </w:rPr>
            </w:pPr>
            <w:r>
              <w:rPr>
                <w:rFonts w:hint="eastAsia" w:ascii="宋体" w:hAnsi="宋体"/>
                <w:szCs w:val="21"/>
              </w:rPr>
              <w:t>2.00</w:t>
            </w:r>
          </w:p>
        </w:tc>
      </w:tr>
      <w:tr w14:paraId="2CF81E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48" w:type="pct"/>
            <w:tcBorders>
              <w:top w:val="single" w:color="000000" w:sz="4" w:space="0"/>
              <w:left w:val="single" w:color="000000" w:sz="4" w:space="0"/>
              <w:bottom w:val="single" w:color="000000" w:sz="4" w:space="0"/>
              <w:right w:val="single" w:color="000000" w:sz="4" w:space="0"/>
            </w:tcBorders>
            <w:noWrap w:val="0"/>
            <w:vAlign w:val="center"/>
          </w:tcPr>
          <w:p w14:paraId="30DB69E6">
            <w:pPr>
              <w:snapToGrid w:val="0"/>
              <w:spacing w:line="360" w:lineRule="exact"/>
              <w:ind w:left="440" w:hanging="440"/>
              <w:jc w:val="center"/>
              <w:rPr>
                <w:rFonts w:hint="eastAsia" w:ascii="宋体" w:hAnsi="宋体"/>
                <w:szCs w:val="21"/>
              </w:rPr>
            </w:pPr>
            <w:r>
              <w:rPr>
                <w:rFonts w:hint="eastAsia" w:ascii="宋体" w:hAnsi="宋体"/>
                <w:szCs w:val="21"/>
              </w:rPr>
              <w:t>6</w:t>
            </w:r>
          </w:p>
        </w:tc>
        <w:tc>
          <w:tcPr>
            <w:tcW w:w="484" w:type="pct"/>
            <w:tcBorders>
              <w:top w:val="single" w:color="000000" w:sz="4" w:space="0"/>
              <w:left w:val="single" w:color="000000" w:sz="4" w:space="0"/>
              <w:bottom w:val="single" w:color="auto" w:sz="4" w:space="0"/>
              <w:right w:val="single" w:color="000000" w:sz="4" w:space="0"/>
            </w:tcBorders>
            <w:noWrap w:val="0"/>
            <w:vAlign w:val="center"/>
          </w:tcPr>
          <w:p w14:paraId="6BC2A1C8">
            <w:pPr>
              <w:widowControl/>
              <w:spacing w:line="360" w:lineRule="exact"/>
              <w:jc w:val="center"/>
              <w:textAlignment w:val="center"/>
              <w:rPr>
                <w:rFonts w:hint="eastAsia" w:ascii="宋体" w:hAnsi="宋体"/>
                <w:szCs w:val="21"/>
              </w:rPr>
            </w:pPr>
            <w:r>
              <w:rPr>
                <w:rFonts w:hint="eastAsia" w:ascii="宋体" w:hAnsi="宋体"/>
                <w:color w:val="000000"/>
              </w:rPr>
              <w:t>对讲机</w:t>
            </w:r>
          </w:p>
        </w:tc>
        <w:tc>
          <w:tcPr>
            <w:tcW w:w="520" w:type="pct"/>
            <w:gridSpan w:val="2"/>
            <w:tcBorders>
              <w:top w:val="single" w:color="000000" w:sz="4" w:space="0"/>
              <w:left w:val="single" w:color="000000" w:sz="4" w:space="0"/>
              <w:bottom w:val="single" w:color="auto" w:sz="4" w:space="0"/>
              <w:right w:val="single" w:color="000000" w:sz="4" w:space="0"/>
            </w:tcBorders>
            <w:noWrap w:val="0"/>
            <w:vAlign w:val="center"/>
          </w:tcPr>
          <w:p w14:paraId="7460720B">
            <w:pPr>
              <w:widowControl/>
              <w:spacing w:line="360" w:lineRule="exact"/>
              <w:jc w:val="center"/>
              <w:textAlignment w:val="center"/>
              <w:rPr>
                <w:rFonts w:hint="eastAsia" w:ascii="宋体" w:hAnsi="宋体"/>
                <w:szCs w:val="21"/>
              </w:rPr>
            </w:pPr>
            <w:r>
              <w:rPr>
                <w:rFonts w:hint="eastAsia" w:ascii="宋体" w:hAnsi="宋体"/>
                <w:szCs w:val="21"/>
              </w:rPr>
              <w:t>20</w:t>
            </w:r>
            <w:r>
              <w:rPr>
                <w:rFonts w:hint="eastAsia" w:ascii="宋体" w:hAnsi="宋体"/>
                <w:color w:val="000000"/>
              </w:rPr>
              <w:t>套</w:t>
            </w:r>
          </w:p>
        </w:tc>
        <w:tc>
          <w:tcPr>
            <w:tcW w:w="686" w:type="pct"/>
            <w:tcBorders>
              <w:top w:val="single" w:color="000000" w:sz="4" w:space="0"/>
              <w:left w:val="single" w:color="000000" w:sz="4" w:space="0"/>
              <w:bottom w:val="single" w:color="auto" w:sz="4" w:space="0"/>
              <w:right w:val="single" w:color="000000" w:sz="4" w:space="0"/>
            </w:tcBorders>
            <w:noWrap w:val="0"/>
            <w:vAlign w:val="center"/>
          </w:tcPr>
          <w:p w14:paraId="1226546B">
            <w:pPr>
              <w:widowControl/>
              <w:spacing w:line="360" w:lineRule="exact"/>
              <w:jc w:val="center"/>
              <w:textAlignment w:val="center"/>
              <w:rPr>
                <w:rFonts w:hint="eastAsia" w:ascii="宋体" w:hAnsi="宋体"/>
                <w:szCs w:val="21"/>
              </w:rPr>
            </w:pPr>
            <w:r>
              <w:rPr>
                <w:rFonts w:hint="eastAsia" w:ascii="宋体" w:hAnsi="宋体"/>
                <w:szCs w:val="21"/>
              </w:rPr>
              <w:t>工业</w:t>
            </w:r>
          </w:p>
        </w:tc>
        <w:tc>
          <w:tcPr>
            <w:tcW w:w="2385" w:type="pct"/>
            <w:tcBorders>
              <w:top w:val="single" w:color="000000" w:sz="4" w:space="0"/>
              <w:left w:val="single" w:color="000000" w:sz="4" w:space="0"/>
              <w:bottom w:val="single" w:color="000000" w:sz="4" w:space="0"/>
              <w:right w:val="single" w:color="000000" w:sz="4" w:space="0"/>
            </w:tcBorders>
            <w:noWrap w:val="0"/>
            <w:vAlign w:val="center"/>
          </w:tcPr>
          <w:p w14:paraId="3DB8D0F8">
            <w:pPr>
              <w:widowControl/>
              <w:spacing w:line="360" w:lineRule="exact"/>
              <w:textAlignment w:val="top"/>
              <w:rPr>
                <w:rFonts w:hint="eastAsia" w:ascii="宋体" w:hAnsi="宋体"/>
              </w:rPr>
            </w:pPr>
            <w:r>
              <w:rPr>
                <w:rFonts w:hint="eastAsia" w:ascii="宋体" w:hAnsi="宋体"/>
              </w:rPr>
              <w:t>▲1.网络制式：4G 全网通，支持移动、联通、电信 4G 全频段兼容；</w:t>
            </w:r>
          </w:p>
          <w:p w14:paraId="0E28C952">
            <w:pPr>
              <w:widowControl/>
              <w:spacing w:line="360" w:lineRule="exact"/>
              <w:textAlignment w:val="top"/>
              <w:rPr>
                <w:rFonts w:hint="eastAsia" w:ascii="宋体" w:hAnsi="宋体"/>
              </w:rPr>
            </w:pPr>
            <w:r>
              <w:rPr>
                <w:rFonts w:hint="eastAsia" w:ascii="宋体" w:hAnsi="宋体"/>
              </w:rPr>
              <w:t>▲2.对讲距离：全国不限距离，有运营商网络即可使用；</w:t>
            </w:r>
          </w:p>
          <w:p w14:paraId="78BF8F87">
            <w:pPr>
              <w:widowControl/>
              <w:spacing w:line="360" w:lineRule="exact"/>
              <w:textAlignment w:val="top"/>
              <w:rPr>
                <w:rFonts w:hint="eastAsia" w:ascii="宋体" w:hAnsi="宋体"/>
              </w:rPr>
            </w:pPr>
            <w:r>
              <w:rPr>
                <w:rFonts w:hint="eastAsia" w:ascii="宋体" w:hAnsi="宋体"/>
              </w:rPr>
              <w:t>▲3.流量政策：3年全国对讲专用流量；</w:t>
            </w:r>
          </w:p>
          <w:p w14:paraId="6E9A2141">
            <w:pPr>
              <w:widowControl/>
              <w:spacing w:line="360" w:lineRule="exact"/>
              <w:textAlignment w:val="top"/>
              <w:rPr>
                <w:rFonts w:hint="eastAsia" w:ascii="宋体" w:hAnsi="宋体"/>
              </w:rPr>
            </w:pPr>
            <w:r>
              <w:rPr>
                <w:rFonts w:hint="eastAsia" w:ascii="宋体" w:hAnsi="宋体"/>
              </w:rPr>
              <w:t>▲4.平台服务：终身基础对讲平台，无额外年费、月租；</w:t>
            </w:r>
          </w:p>
          <w:p w14:paraId="51E3B10F">
            <w:pPr>
              <w:widowControl/>
              <w:spacing w:line="360" w:lineRule="exact"/>
              <w:textAlignment w:val="top"/>
              <w:rPr>
                <w:rFonts w:hint="eastAsia" w:ascii="宋体" w:hAnsi="宋体"/>
              </w:rPr>
            </w:pPr>
            <w:r>
              <w:rPr>
                <w:rFonts w:hint="eastAsia" w:ascii="宋体" w:hAnsi="宋体"/>
              </w:rPr>
              <w:t>5.SIM 卡槽：单Nano-SIM卡槽，支持物联网卡/手机卡</w:t>
            </w:r>
            <w:r>
              <w:rPr>
                <w:rFonts w:hint="eastAsia"/>
              </w:rPr>
              <w:t>；</w:t>
            </w:r>
          </w:p>
          <w:p w14:paraId="57B62E77">
            <w:pPr>
              <w:widowControl/>
              <w:spacing w:line="360" w:lineRule="exact"/>
              <w:textAlignment w:val="top"/>
              <w:rPr>
                <w:rFonts w:hint="eastAsia" w:ascii="宋体" w:hAnsi="宋体"/>
              </w:rPr>
            </w:pPr>
            <w:r>
              <w:rPr>
                <w:rFonts w:hint="eastAsia" w:ascii="宋体" w:hAnsi="宋体"/>
              </w:rPr>
              <w:t>6.延迟：语音传输延迟≤300ms</w:t>
            </w:r>
            <w:r>
              <w:rPr>
                <w:rFonts w:hint="eastAsia"/>
              </w:rPr>
              <w:t>；</w:t>
            </w:r>
          </w:p>
          <w:p w14:paraId="5AAC9521">
            <w:pPr>
              <w:widowControl/>
              <w:spacing w:line="360" w:lineRule="exact"/>
              <w:textAlignment w:val="top"/>
              <w:rPr>
                <w:rFonts w:hint="eastAsia" w:ascii="宋体" w:hAnsi="宋体"/>
              </w:rPr>
            </w:pPr>
            <w:r>
              <w:rPr>
                <w:rFonts w:hint="eastAsia" w:ascii="宋体" w:hAnsi="宋体"/>
              </w:rPr>
              <w:t>▲7.电池容量：≥3000mAh 可拆式锂电池</w:t>
            </w:r>
            <w:r>
              <w:rPr>
                <w:rFonts w:hint="eastAsia"/>
              </w:rPr>
              <w:t>；</w:t>
            </w:r>
          </w:p>
          <w:p w14:paraId="4F5CB310">
            <w:pPr>
              <w:widowControl/>
              <w:spacing w:line="360" w:lineRule="exact"/>
              <w:textAlignment w:val="top"/>
              <w:rPr>
                <w:rFonts w:hint="eastAsia" w:ascii="宋体" w:hAnsi="宋体"/>
              </w:rPr>
            </w:pPr>
            <w:r>
              <w:rPr>
                <w:rFonts w:hint="eastAsia" w:ascii="宋体" w:hAnsi="宋体"/>
              </w:rPr>
              <w:t>▲8.待机时间：≥100小时</w:t>
            </w:r>
            <w:r>
              <w:rPr>
                <w:rFonts w:hint="eastAsia"/>
              </w:rPr>
              <w:t>；</w:t>
            </w:r>
          </w:p>
          <w:p w14:paraId="7404C6E9">
            <w:pPr>
              <w:widowControl/>
              <w:spacing w:line="360" w:lineRule="exact"/>
              <w:textAlignment w:val="top"/>
              <w:rPr>
                <w:rFonts w:hint="eastAsia" w:ascii="宋体" w:hAnsi="宋体"/>
                <w:color w:val="auto"/>
              </w:rPr>
            </w:pPr>
            <w:r>
              <w:rPr>
                <w:rFonts w:hint="eastAsia" w:ascii="宋体" w:hAnsi="宋体"/>
              </w:rPr>
              <w:t>9.连续工</w:t>
            </w:r>
            <w:r>
              <w:rPr>
                <w:rFonts w:hint="eastAsia" w:ascii="宋体" w:hAnsi="宋体"/>
                <w:color w:val="auto"/>
              </w:rPr>
              <w:t>作：≥72小时</w:t>
            </w:r>
            <w:r>
              <w:rPr>
                <w:rFonts w:hint="eastAsia"/>
                <w:color w:val="auto"/>
              </w:rPr>
              <w:t>；</w:t>
            </w:r>
          </w:p>
          <w:p w14:paraId="6AD22827">
            <w:pPr>
              <w:widowControl/>
              <w:spacing w:line="360" w:lineRule="exact"/>
              <w:textAlignment w:val="top"/>
              <w:rPr>
                <w:rFonts w:hint="eastAsia" w:ascii="宋体" w:hAnsi="宋体"/>
                <w:color w:val="auto"/>
              </w:rPr>
            </w:pPr>
            <w:r>
              <w:rPr>
                <w:rFonts w:hint="eastAsia" w:ascii="宋体" w:hAnsi="宋体"/>
                <w:color w:val="auto"/>
              </w:rPr>
              <w:t>10.充电接口：Type</w:t>
            </w:r>
            <w:r>
              <w:rPr>
                <w:rFonts w:hint="eastAsia" w:ascii="宋体" w:hAnsi="宋体"/>
                <w:color w:val="auto"/>
              </w:rPr>
              <w:noBreakHyphen/>
            </w:r>
            <w:r>
              <w:rPr>
                <w:rFonts w:hint="eastAsia" w:ascii="宋体" w:hAnsi="宋体"/>
                <w:color w:val="auto"/>
              </w:rPr>
              <w:t>C快充，支持 5V/2A 输入，兼容手机充电器、车载充电</w:t>
            </w:r>
            <w:r>
              <w:rPr>
                <w:rFonts w:hint="eastAsia"/>
                <w:color w:val="auto"/>
              </w:rPr>
              <w:t>；</w:t>
            </w:r>
          </w:p>
          <w:p w14:paraId="2E03F27A">
            <w:pPr>
              <w:widowControl/>
              <w:spacing w:line="360" w:lineRule="exact"/>
              <w:textAlignment w:val="top"/>
              <w:rPr>
                <w:rFonts w:hint="eastAsia" w:ascii="宋体" w:hAnsi="宋体"/>
                <w:color w:val="auto"/>
              </w:rPr>
            </w:pPr>
            <w:r>
              <w:rPr>
                <w:rFonts w:hint="eastAsia" w:ascii="宋体" w:hAnsi="宋体"/>
                <w:color w:val="auto"/>
              </w:rPr>
              <w:t>11.呼叫方式：组呼、单呼、全呼、紧急呼叫（一键SOS）</w:t>
            </w:r>
            <w:r>
              <w:rPr>
                <w:rFonts w:hint="eastAsia"/>
                <w:color w:val="auto"/>
              </w:rPr>
              <w:t>；</w:t>
            </w:r>
          </w:p>
          <w:p w14:paraId="404E5F7A">
            <w:pPr>
              <w:widowControl/>
              <w:spacing w:line="360" w:lineRule="exact"/>
              <w:textAlignment w:val="top"/>
              <w:rPr>
                <w:rFonts w:hint="eastAsia" w:ascii="宋体" w:hAnsi="宋体"/>
                <w:color w:val="auto"/>
              </w:rPr>
            </w:pPr>
            <w:r>
              <w:rPr>
                <w:rFonts w:hint="eastAsia" w:ascii="宋体" w:hAnsi="宋体"/>
                <w:color w:val="auto"/>
              </w:rPr>
              <w:t>12.组队管理：支持 APP 分组、远程写频、权限分配</w:t>
            </w:r>
            <w:r>
              <w:rPr>
                <w:rFonts w:hint="eastAsia"/>
                <w:color w:val="auto"/>
              </w:rPr>
              <w:t>；</w:t>
            </w:r>
          </w:p>
          <w:p w14:paraId="7CB3EE69">
            <w:pPr>
              <w:widowControl/>
              <w:spacing w:line="360" w:lineRule="exact"/>
              <w:textAlignment w:val="top"/>
              <w:rPr>
                <w:rFonts w:hint="eastAsia" w:ascii="宋体" w:hAnsi="宋体"/>
                <w:color w:val="auto"/>
              </w:rPr>
            </w:pPr>
            <w:r>
              <w:rPr>
                <w:rFonts w:hint="eastAsia" w:ascii="宋体" w:hAnsi="宋体"/>
                <w:color w:val="auto"/>
              </w:rPr>
              <w:t>13.定位：支持GPS</w:t>
            </w:r>
            <w:r>
              <w:rPr>
                <w:rFonts w:hint="eastAsia" w:ascii="宋体" w:hAnsi="宋体"/>
                <w:color w:val="auto"/>
                <w:lang w:val="en-US" w:eastAsia="zh-CN"/>
              </w:rPr>
              <w:t>或</w:t>
            </w:r>
            <w:r>
              <w:rPr>
                <w:rFonts w:hint="eastAsia" w:ascii="宋体" w:hAnsi="宋体"/>
                <w:color w:val="auto"/>
              </w:rPr>
              <w:t>北斗</w:t>
            </w:r>
            <w:r>
              <w:rPr>
                <w:rFonts w:hint="eastAsia" w:ascii="宋体" w:hAnsi="宋体"/>
                <w:color w:val="auto"/>
                <w:lang w:val="en-US" w:eastAsia="zh-CN"/>
              </w:rPr>
              <w:t>或</w:t>
            </w:r>
            <w:r>
              <w:rPr>
                <w:rFonts w:hint="eastAsia" w:ascii="宋体" w:hAnsi="宋体"/>
                <w:color w:val="auto"/>
              </w:rPr>
              <w:t>AGPS混合定位</w:t>
            </w:r>
            <w:r>
              <w:rPr>
                <w:rFonts w:hint="eastAsia"/>
                <w:color w:val="auto"/>
              </w:rPr>
              <w:t>；</w:t>
            </w:r>
          </w:p>
          <w:p w14:paraId="0264B97C">
            <w:pPr>
              <w:widowControl/>
              <w:spacing w:line="360" w:lineRule="exact"/>
              <w:textAlignment w:val="top"/>
              <w:rPr>
                <w:rFonts w:hint="eastAsia" w:ascii="宋体" w:hAnsi="宋体"/>
                <w:color w:val="auto"/>
              </w:rPr>
            </w:pPr>
            <w:r>
              <w:rPr>
                <w:rFonts w:hint="eastAsia" w:ascii="宋体" w:hAnsi="宋体"/>
                <w:color w:val="auto"/>
              </w:rPr>
              <w:t>14.报警：一键紧急报警（带位置上报）</w:t>
            </w:r>
            <w:r>
              <w:rPr>
                <w:rFonts w:hint="eastAsia"/>
                <w:color w:val="auto"/>
              </w:rPr>
              <w:t>；</w:t>
            </w:r>
          </w:p>
          <w:p w14:paraId="7C33D77D">
            <w:pPr>
              <w:widowControl/>
              <w:spacing w:line="360" w:lineRule="exact"/>
              <w:textAlignment w:val="top"/>
              <w:rPr>
                <w:rFonts w:hint="eastAsia" w:ascii="宋体" w:hAnsi="宋体"/>
                <w:color w:val="auto"/>
              </w:rPr>
            </w:pPr>
            <w:r>
              <w:rPr>
                <w:rFonts w:hint="eastAsia" w:ascii="宋体" w:hAnsi="宋体"/>
                <w:color w:val="auto"/>
              </w:rPr>
              <w:t>15.监听：支持信道监听、禁言、遥毙复活</w:t>
            </w:r>
            <w:r>
              <w:rPr>
                <w:rFonts w:hint="eastAsia"/>
                <w:color w:val="auto"/>
              </w:rPr>
              <w:t>；</w:t>
            </w:r>
          </w:p>
          <w:p w14:paraId="4B3ABA62">
            <w:pPr>
              <w:widowControl/>
              <w:spacing w:line="360" w:lineRule="exact"/>
              <w:textAlignment w:val="top"/>
              <w:rPr>
                <w:rFonts w:hint="eastAsia" w:ascii="宋体" w:hAnsi="宋体"/>
                <w:color w:val="auto"/>
              </w:rPr>
            </w:pPr>
            <w:r>
              <w:rPr>
                <w:rFonts w:hint="eastAsia" w:ascii="宋体" w:hAnsi="宋体"/>
                <w:color w:val="auto"/>
              </w:rPr>
              <w:t>16.蓝牙：支持蓝牙，可连蓝牙耳机；</w:t>
            </w:r>
          </w:p>
          <w:p w14:paraId="72DAABDD">
            <w:pPr>
              <w:widowControl/>
              <w:spacing w:line="360" w:lineRule="exact"/>
              <w:textAlignment w:val="top"/>
              <w:rPr>
                <w:rFonts w:ascii="宋体" w:hAnsi="宋体"/>
                <w:b/>
                <w:bCs/>
                <w:color w:val="auto"/>
              </w:rPr>
            </w:pPr>
            <w:r>
              <w:rPr>
                <w:rFonts w:hint="eastAsia" w:ascii="宋体" w:hAnsi="宋体"/>
                <w:b/>
                <w:bCs/>
                <w:color w:val="auto"/>
              </w:rPr>
              <w:t>▲17.</w:t>
            </w:r>
            <w:r>
              <w:rPr>
                <w:rFonts w:hint="eastAsia" w:ascii="宋体" w:hAnsi="宋体"/>
                <w:b/>
                <w:bCs/>
                <w:color w:val="auto"/>
              </w:rPr>
              <w:t>投标文件中提供有效的《无线电发射设备型号核准证》（SRRC）复印件，并加盖投标人单位公章；</w:t>
            </w:r>
          </w:p>
          <w:p w14:paraId="386F7A2D">
            <w:pPr>
              <w:widowControl/>
              <w:spacing w:line="360" w:lineRule="exact"/>
              <w:textAlignment w:val="top"/>
              <w:rPr>
                <w:rFonts w:ascii="宋体" w:hAnsi="宋体"/>
                <w:b/>
                <w:bCs/>
                <w:color w:val="auto"/>
              </w:rPr>
            </w:pPr>
            <w:r>
              <w:rPr>
                <w:rFonts w:hint="eastAsia" w:ascii="宋体" w:hAnsi="宋体"/>
                <w:b/>
                <w:bCs/>
                <w:color w:val="auto"/>
              </w:rPr>
              <w:t>▲18.投标文件中提供《电信设备进网许可证》复印件，并加盖投标人单位公章；</w:t>
            </w:r>
          </w:p>
          <w:p w14:paraId="11AB3AB4">
            <w:pPr>
              <w:widowControl/>
              <w:spacing w:line="360" w:lineRule="exact"/>
              <w:textAlignment w:val="top"/>
              <w:rPr>
                <w:rFonts w:ascii="宋体" w:hAnsi="宋体"/>
                <w:color w:val="auto"/>
              </w:rPr>
            </w:pPr>
            <w:r>
              <w:rPr>
                <w:rFonts w:hint="eastAsia" w:ascii="宋体" w:hAnsi="宋体"/>
                <w:b/>
                <w:bCs/>
                <w:color w:val="auto"/>
              </w:rPr>
              <w:t>▲19.</w:t>
            </w:r>
            <w:r>
              <w:rPr>
                <w:rFonts w:hint="eastAsia" w:ascii="宋体" w:hAnsi="宋体" w:eastAsia="宋体" w:cs="Times New Roman"/>
                <w:b/>
                <w:bCs/>
                <w:i w:val="0"/>
                <w:iCs w:val="0"/>
                <w:color w:val="auto"/>
                <w:spacing w:val="0"/>
                <w:w w:val="100"/>
                <w:kern w:val="2"/>
                <w:sz w:val="21"/>
                <w:szCs w:val="24"/>
                <w:vertAlign w:val="baseline"/>
                <w:lang w:val="en-US" w:eastAsia="zh-CN" w:bidi="ar-SA"/>
              </w:rPr>
              <w:t>设备配套锂离子电池符合《GB 31241-2022》 便携式锂电安全国家标准，电源适配器具备CCC强制性产品认证证书，投标文件中提供对讲机电源适配器的中国国家强制性产品认证（CCC）证书复印件，并加盖投标人单位公章</w:t>
            </w:r>
            <w:r>
              <w:rPr>
                <w:rFonts w:hint="eastAsia" w:ascii="宋体" w:hAnsi="宋体"/>
                <w:b/>
                <w:bCs/>
                <w:color w:val="auto"/>
              </w:rPr>
              <w:t>；</w:t>
            </w:r>
          </w:p>
          <w:p w14:paraId="14A8FC1F">
            <w:pPr>
              <w:widowControl/>
              <w:spacing w:line="360" w:lineRule="exact"/>
              <w:textAlignment w:val="top"/>
              <w:rPr>
                <w:rFonts w:hint="eastAsia" w:ascii="宋体" w:hAnsi="宋体"/>
              </w:rPr>
            </w:pPr>
            <w:r>
              <w:rPr>
                <w:rFonts w:hint="eastAsia" w:ascii="宋体" w:hAnsi="宋体"/>
              </w:rPr>
              <w:t>20.提供原厂质保：≥ 1 年整机保修。</w:t>
            </w:r>
          </w:p>
        </w:tc>
        <w:tc>
          <w:tcPr>
            <w:tcW w:w="674" w:type="pct"/>
            <w:tcBorders>
              <w:top w:val="single" w:color="000000" w:sz="4" w:space="0"/>
              <w:left w:val="single" w:color="000000" w:sz="4" w:space="0"/>
              <w:bottom w:val="single" w:color="000000" w:sz="4" w:space="0"/>
              <w:right w:val="single" w:color="000000" w:sz="4" w:space="0"/>
            </w:tcBorders>
            <w:noWrap w:val="0"/>
            <w:vAlign w:val="center"/>
          </w:tcPr>
          <w:p w14:paraId="689D1C01">
            <w:pPr>
              <w:widowControl/>
              <w:spacing w:line="360" w:lineRule="exact"/>
              <w:jc w:val="center"/>
              <w:textAlignment w:val="top"/>
              <w:rPr>
                <w:rFonts w:ascii="宋体" w:hAnsi="宋体"/>
                <w:color w:val="000000"/>
              </w:rPr>
            </w:pPr>
            <w:r>
              <w:rPr>
                <w:rFonts w:hint="eastAsia" w:ascii="宋体" w:hAnsi="宋体"/>
                <w:color w:val="000000"/>
              </w:rPr>
              <w:t>0.10</w:t>
            </w:r>
          </w:p>
        </w:tc>
      </w:tr>
      <w:tr w14:paraId="6E1CF6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48" w:type="pct"/>
            <w:tcBorders>
              <w:top w:val="single" w:color="000000" w:sz="4" w:space="0"/>
              <w:left w:val="single" w:color="000000" w:sz="4" w:space="0"/>
              <w:bottom w:val="single" w:color="000000" w:sz="4" w:space="0"/>
              <w:right w:val="single" w:color="000000" w:sz="4" w:space="0"/>
            </w:tcBorders>
            <w:noWrap w:val="0"/>
            <w:vAlign w:val="center"/>
          </w:tcPr>
          <w:p w14:paraId="1D89BA8F">
            <w:pPr>
              <w:snapToGrid w:val="0"/>
              <w:spacing w:line="360" w:lineRule="exact"/>
              <w:ind w:left="440" w:hanging="440"/>
              <w:jc w:val="center"/>
              <w:rPr>
                <w:rFonts w:hint="eastAsia" w:ascii="宋体" w:hAnsi="宋体"/>
                <w:szCs w:val="21"/>
              </w:rPr>
            </w:pPr>
            <w:r>
              <w:rPr>
                <w:rFonts w:hint="eastAsia" w:ascii="宋体" w:hAnsi="宋体"/>
                <w:szCs w:val="21"/>
              </w:rPr>
              <w:t>7</w:t>
            </w:r>
          </w:p>
        </w:tc>
        <w:tc>
          <w:tcPr>
            <w:tcW w:w="484" w:type="pct"/>
            <w:tcBorders>
              <w:top w:val="single" w:color="000000" w:sz="4" w:space="0"/>
              <w:left w:val="single" w:color="000000" w:sz="4" w:space="0"/>
              <w:bottom w:val="single" w:color="auto" w:sz="4" w:space="0"/>
              <w:right w:val="single" w:color="000000" w:sz="4" w:space="0"/>
            </w:tcBorders>
            <w:noWrap w:val="0"/>
            <w:vAlign w:val="center"/>
          </w:tcPr>
          <w:p w14:paraId="0D214E72">
            <w:pPr>
              <w:widowControl/>
              <w:spacing w:line="360" w:lineRule="exact"/>
              <w:jc w:val="center"/>
              <w:textAlignment w:val="center"/>
              <w:rPr>
                <w:rFonts w:hint="eastAsia" w:ascii="宋体" w:hAnsi="宋体"/>
                <w:szCs w:val="21"/>
              </w:rPr>
            </w:pPr>
            <w:r>
              <w:rPr>
                <w:rFonts w:hint="eastAsia" w:ascii="宋体" w:hAnsi="宋体"/>
                <w:color w:val="000000"/>
              </w:rPr>
              <w:t>个人防护装备</w:t>
            </w:r>
          </w:p>
        </w:tc>
        <w:tc>
          <w:tcPr>
            <w:tcW w:w="520" w:type="pct"/>
            <w:gridSpan w:val="2"/>
            <w:tcBorders>
              <w:top w:val="single" w:color="000000" w:sz="4" w:space="0"/>
              <w:left w:val="single" w:color="000000" w:sz="4" w:space="0"/>
              <w:bottom w:val="single" w:color="auto" w:sz="4" w:space="0"/>
              <w:right w:val="single" w:color="000000" w:sz="4" w:space="0"/>
            </w:tcBorders>
            <w:noWrap w:val="0"/>
            <w:vAlign w:val="center"/>
          </w:tcPr>
          <w:p w14:paraId="077FA3E9">
            <w:pPr>
              <w:widowControl/>
              <w:spacing w:line="360" w:lineRule="exact"/>
              <w:jc w:val="center"/>
              <w:textAlignment w:val="center"/>
              <w:rPr>
                <w:rFonts w:hint="eastAsia" w:ascii="宋体" w:hAnsi="宋体"/>
                <w:szCs w:val="21"/>
              </w:rPr>
            </w:pPr>
            <w:r>
              <w:rPr>
                <w:rFonts w:hint="eastAsia" w:ascii="宋体" w:hAnsi="宋体"/>
                <w:szCs w:val="21"/>
              </w:rPr>
              <w:t>40</w:t>
            </w:r>
            <w:r>
              <w:rPr>
                <w:rFonts w:hint="eastAsia" w:ascii="宋体" w:hAnsi="宋体"/>
                <w:color w:val="000000"/>
              </w:rPr>
              <w:t>套</w:t>
            </w:r>
          </w:p>
        </w:tc>
        <w:tc>
          <w:tcPr>
            <w:tcW w:w="686" w:type="pct"/>
            <w:tcBorders>
              <w:top w:val="single" w:color="000000" w:sz="4" w:space="0"/>
              <w:left w:val="single" w:color="000000" w:sz="4" w:space="0"/>
              <w:bottom w:val="single" w:color="auto" w:sz="4" w:space="0"/>
              <w:right w:val="single" w:color="000000" w:sz="4" w:space="0"/>
            </w:tcBorders>
            <w:noWrap w:val="0"/>
            <w:vAlign w:val="center"/>
          </w:tcPr>
          <w:p w14:paraId="1B9D486E">
            <w:pPr>
              <w:widowControl/>
              <w:spacing w:line="360" w:lineRule="exact"/>
              <w:jc w:val="center"/>
              <w:textAlignment w:val="center"/>
              <w:rPr>
                <w:rFonts w:hint="eastAsia" w:ascii="宋体" w:hAnsi="宋体"/>
                <w:szCs w:val="21"/>
              </w:rPr>
            </w:pPr>
            <w:r>
              <w:rPr>
                <w:rFonts w:hint="eastAsia" w:ascii="宋体" w:hAnsi="宋体"/>
                <w:szCs w:val="21"/>
              </w:rPr>
              <w:t>工业</w:t>
            </w:r>
          </w:p>
        </w:tc>
        <w:tc>
          <w:tcPr>
            <w:tcW w:w="2385" w:type="pct"/>
            <w:tcBorders>
              <w:top w:val="single" w:color="000000" w:sz="4" w:space="0"/>
              <w:left w:val="single" w:color="000000" w:sz="4" w:space="0"/>
              <w:bottom w:val="single" w:color="000000" w:sz="4" w:space="0"/>
              <w:right w:val="single" w:color="000000" w:sz="4" w:space="0"/>
            </w:tcBorders>
            <w:noWrap w:val="0"/>
            <w:vAlign w:val="center"/>
          </w:tcPr>
          <w:p w14:paraId="512F002D">
            <w:pPr>
              <w:widowControl/>
              <w:spacing w:line="360" w:lineRule="exact"/>
              <w:textAlignment w:val="top"/>
              <w:rPr>
                <w:rFonts w:hint="eastAsia" w:ascii="宋体" w:hAnsi="宋体"/>
                <w:szCs w:val="21"/>
              </w:rPr>
            </w:pPr>
            <w:r>
              <w:rPr>
                <w:rFonts w:hint="eastAsia" w:ascii="宋体" w:hAnsi="宋体"/>
                <w:szCs w:val="21"/>
              </w:rPr>
              <w:t>整套至少包含安全帽、防护服、反光背心、电筒等。</w:t>
            </w:r>
          </w:p>
          <w:p w14:paraId="1167D319">
            <w:pPr>
              <w:widowControl/>
              <w:spacing w:line="360" w:lineRule="exact"/>
              <w:textAlignment w:val="top"/>
              <w:rPr>
                <w:rFonts w:hint="eastAsia" w:ascii="宋体" w:hAnsi="宋体"/>
                <w:szCs w:val="21"/>
              </w:rPr>
            </w:pPr>
            <w:r>
              <w:rPr>
                <w:rFonts w:hint="eastAsia" w:ascii="宋体" w:hAnsi="宋体"/>
                <w:szCs w:val="21"/>
              </w:rPr>
              <w:t>一、安全帽</w:t>
            </w:r>
          </w:p>
          <w:p w14:paraId="44A5DF54">
            <w:pPr>
              <w:widowControl/>
              <w:spacing w:line="360" w:lineRule="exact"/>
              <w:textAlignment w:val="top"/>
              <w:rPr>
                <w:rFonts w:hint="eastAsia" w:ascii="宋体" w:hAnsi="宋体"/>
                <w:szCs w:val="21"/>
              </w:rPr>
            </w:pPr>
            <w:r>
              <w:rPr>
                <w:rFonts w:hint="eastAsia" w:ascii="宋体" w:hAnsi="宋体"/>
                <w:szCs w:val="21"/>
              </w:rPr>
              <w:t>1.ABS材质工业专用头盔，抗冲击，电绝缘，耐穿刺且阻燃；配有头灯架卡槽，两侧预留护目镜专用孔位和耳罩插槽；六点式织物内衬，舒适透气；可拆卸吸汗带便于清洗；</w:t>
            </w:r>
          </w:p>
          <w:p w14:paraId="41399161">
            <w:pPr>
              <w:widowControl/>
              <w:spacing w:line="360" w:lineRule="exact"/>
              <w:textAlignment w:val="top"/>
              <w:rPr>
                <w:rFonts w:hint="eastAsia" w:ascii="宋体" w:hAnsi="宋体"/>
                <w:szCs w:val="21"/>
              </w:rPr>
            </w:pPr>
            <w:r>
              <w:rPr>
                <w:rFonts w:hint="eastAsia" w:ascii="宋体" w:hAnsi="宋体"/>
                <w:szCs w:val="21"/>
              </w:rPr>
              <w:t>二、防护服</w:t>
            </w:r>
          </w:p>
          <w:p w14:paraId="7B22F48B">
            <w:pPr>
              <w:widowControl/>
              <w:spacing w:line="360" w:lineRule="exact"/>
              <w:textAlignment w:val="top"/>
              <w:rPr>
                <w:rFonts w:hint="eastAsia" w:ascii="宋体" w:hAnsi="宋体"/>
                <w:szCs w:val="21"/>
              </w:rPr>
            </w:pPr>
            <w:r>
              <w:rPr>
                <w:rFonts w:hint="eastAsia" w:ascii="宋体" w:hAnsi="宋体"/>
                <w:szCs w:val="21"/>
              </w:rPr>
              <w:t>1、外层面料性能要求：</w:t>
            </w:r>
          </w:p>
          <w:p w14:paraId="55DBD25B">
            <w:pPr>
              <w:widowControl/>
              <w:spacing w:line="360" w:lineRule="exact"/>
              <w:textAlignment w:val="top"/>
              <w:rPr>
                <w:rFonts w:hint="eastAsia" w:ascii="宋体" w:hAnsi="宋体"/>
                <w:szCs w:val="21"/>
              </w:rPr>
            </w:pPr>
            <w:r>
              <w:rPr>
                <w:rFonts w:hint="eastAsia" w:ascii="宋体" w:hAnsi="宋体"/>
                <w:szCs w:val="21"/>
              </w:rPr>
              <w:t>1.1 阻燃性能：损毁长度≤100mm,续燃时间≤0s，且不应有熔融、滴落现象；</w:t>
            </w:r>
          </w:p>
          <w:p w14:paraId="5A06D5CD">
            <w:pPr>
              <w:widowControl/>
              <w:spacing w:line="360" w:lineRule="exact"/>
              <w:textAlignment w:val="top"/>
              <w:rPr>
                <w:rFonts w:hint="eastAsia" w:ascii="宋体" w:hAnsi="宋体"/>
                <w:szCs w:val="21"/>
              </w:rPr>
            </w:pPr>
            <w:r>
              <w:rPr>
                <w:rFonts w:hint="eastAsia" w:ascii="宋体" w:hAnsi="宋体"/>
                <w:szCs w:val="21"/>
              </w:rPr>
              <w:t>▲1.2 表面抗湿性能沾水等级为5级；</w:t>
            </w:r>
          </w:p>
          <w:p w14:paraId="07B0994D">
            <w:pPr>
              <w:widowControl/>
              <w:spacing w:line="360" w:lineRule="exact"/>
              <w:textAlignment w:val="top"/>
              <w:rPr>
                <w:rFonts w:hint="eastAsia" w:ascii="宋体" w:hAnsi="宋体"/>
                <w:szCs w:val="21"/>
              </w:rPr>
            </w:pPr>
            <w:r>
              <w:rPr>
                <w:rFonts w:hint="eastAsia" w:ascii="宋体" w:hAnsi="宋体"/>
                <w:szCs w:val="21"/>
              </w:rPr>
              <w:t>▲1.3 断裂强力：经、纬向干态断裂强力≥350N；</w:t>
            </w:r>
          </w:p>
          <w:p w14:paraId="7D661C30">
            <w:pPr>
              <w:widowControl/>
              <w:spacing w:line="360" w:lineRule="exact"/>
              <w:textAlignment w:val="top"/>
              <w:rPr>
                <w:rFonts w:hint="eastAsia" w:ascii="宋体" w:hAnsi="宋体"/>
                <w:szCs w:val="21"/>
              </w:rPr>
            </w:pPr>
            <w:r>
              <w:rPr>
                <w:rFonts w:hint="eastAsia" w:ascii="宋体" w:hAnsi="宋体"/>
                <w:szCs w:val="21"/>
              </w:rPr>
              <w:t>▲1.4 撕破强力：经、纬向撕破强力≥25N；</w:t>
            </w:r>
          </w:p>
          <w:p w14:paraId="64E3D9FF">
            <w:pPr>
              <w:widowControl/>
              <w:spacing w:line="360" w:lineRule="exact"/>
              <w:textAlignment w:val="top"/>
              <w:rPr>
                <w:rFonts w:hint="eastAsia" w:ascii="宋体" w:hAnsi="宋体"/>
                <w:szCs w:val="21"/>
              </w:rPr>
            </w:pPr>
            <w:r>
              <w:rPr>
                <w:rFonts w:hint="eastAsia" w:ascii="宋体" w:hAnsi="宋体"/>
                <w:szCs w:val="21"/>
              </w:rPr>
              <w:t>2、防水透气层性能要求：</w:t>
            </w:r>
          </w:p>
          <w:p w14:paraId="1EF0B2A7">
            <w:pPr>
              <w:widowControl/>
              <w:spacing w:line="360" w:lineRule="exact"/>
              <w:textAlignment w:val="top"/>
              <w:rPr>
                <w:rFonts w:hint="eastAsia" w:ascii="宋体" w:hAnsi="宋体"/>
                <w:szCs w:val="21"/>
              </w:rPr>
            </w:pPr>
            <w:r>
              <w:rPr>
                <w:rFonts w:hint="eastAsia" w:ascii="宋体" w:hAnsi="宋体"/>
                <w:szCs w:val="21"/>
              </w:rPr>
              <w:t>▲2.1 耐静水压性能：耐静水压≥17kPa；</w:t>
            </w:r>
          </w:p>
          <w:p w14:paraId="2DA01A4E">
            <w:pPr>
              <w:widowControl/>
              <w:spacing w:line="360" w:lineRule="exact"/>
              <w:textAlignment w:val="top"/>
              <w:rPr>
                <w:rFonts w:hint="eastAsia" w:ascii="宋体" w:hAnsi="宋体"/>
                <w:szCs w:val="21"/>
              </w:rPr>
            </w:pPr>
            <w:r>
              <w:rPr>
                <w:rFonts w:hint="eastAsia" w:ascii="宋体" w:hAnsi="宋体"/>
                <w:szCs w:val="21"/>
              </w:rPr>
              <w:t>▲2.2 透水蒸气性能：水蒸气透过量≥5000g/(m²×24h)；</w:t>
            </w:r>
          </w:p>
          <w:p w14:paraId="7B2425E0">
            <w:pPr>
              <w:widowControl/>
              <w:spacing w:line="360" w:lineRule="exact"/>
              <w:textAlignment w:val="top"/>
              <w:rPr>
                <w:rFonts w:hint="eastAsia" w:ascii="宋体" w:hAnsi="宋体"/>
                <w:szCs w:val="21"/>
              </w:rPr>
            </w:pPr>
            <w:r>
              <w:rPr>
                <w:rFonts w:hint="eastAsia" w:ascii="宋体" w:hAnsi="宋体"/>
                <w:szCs w:val="21"/>
              </w:rPr>
              <w:t>3.材质：芳纶材质；</w:t>
            </w:r>
          </w:p>
          <w:p w14:paraId="415D7ECC">
            <w:pPr>
              <w:widowControl/>
              <w:spacing w:line="360" w:lineRule="exact"/>
              <w:textAlignment w:val="top"/>
              <w:rPr>
                <w:rFonts w:hint="eastAsia" w:ascii="宋体" w:hAnsi="宋体"/>
                <w:szCs w:val="21"/>
              </w:rPr>
            </w:pPr>
            <w:r>
              <w:rPr>
                <w:rFonts w:hint="eastAsia" w:ascii="宋体" w:hAnsi="宋体"/>
                <w:szCs w:val="21"/>
              </w:rPr>
              <w:t>4.颜色：橘红色，潘通色号为 PANTONE 17-1456 TCX（Tigerlily），上衣肩背部、胸前贴袋袋盖为深火焰蓝色，潘通色号宜为 PANTONE 19-3938 TCX；</w:t>
            </w:r>
          </w:p>
          <w:p w14:paraId="006D2ED2">
            <w:pPr>
              <w:widowControl/>
              <w:spacing w:line="360" w:lineRule="exact"/>
              <w:textAlignment w:val="top"/>
              <w:rPr>
                <w:rFonts w:hint="eastAsia" w:ascii="宋体" w:hAnsi="宋体"/>
                <w:szCs w:val="21"/>
              </w:rPr>
            </w:pPr>
            <w:r>
              <w:rPr>
                <w:rFonts w:hint="eastAsia" w:ascii="宋体" w:hAnsi="宋体"/>
                <w:szCs w:val="21"/>
              </w:rPr>
              <w:t>▲5.质量：整套救援服质量≤1.5Kg（配备上衣、裤子、帽子、腰带）；</w:t>
            </w:r>
          </w:p>
          <w:p w14:paraId="4B8C6EB2">
            <w:pPr>
              <w:widowControl/>
              <w:spacing w:line="360" w:lineRule="exact"/>
              <w:textAlignment w:val="top"/>
              <w:rPr>
                <w:rFonts w:hint="eastAsia" w:ascii="宋体" w:hAnsi="宋体"/>
                <w:szCs w:val="21"/>
              </w:rPr>
            </w:pPr>
            <w:r>
              <w:rPr>
                <w:rFonts w:hint="eastAsia" w:ascii="宋体" w:hAnsi="宋体"/>
                <w:szCs w:val="21"/>
              </w:rPr>
              <w:t>三、反光背心</w:t>
            </w:r>
          </w:p>
          <w:p w14:paraId="37245BF7">
            <w:pPr>
              <w:widowControl/>
              <w:spacing w:line="360" w:lineRule="exact"/>
              <w:textAlignment w:val="top"/>
              <w:rPr>
                <w:rFonts w:hint="eastAsia" w:ascii="宋体" w:hAnsi="宋体"/>
                <w:szCs w:val="21"/>
              </w:rPr>
            </w:pPr>
            <w:r>
              <w:rPr>
                <w:rFonts w:hint="eastAsia" w:ascii="宋体" w:hAnsi="宋体"/>
                <w:szCs w:val="21"/>
              </w:rPr>
              <w:t>1.颜色：荧光黄；</w:t>
            </w:r>
          </w:p>
          <w:p w14:paraId="0EFCC340">
            <w:pPr>
              <w:widowControl/>
              <w:spacing w:line="360" w:lineRule="exact"/>
              <w:textAlignment w:val="top"/>
              <w:rPr>
                <w:rFonts w:hint="eastAsia" w:ascii="宋体" w:hAnsi="宋体"/>
                <w:szCs w:val="21"/>
              </w:rPr>
            </w:pPr>
            <w:r>
              <w:rPr>
                <w:rFonts w:hint="eastAsia" w:ascii="宋体" w:hAnsi="宋体"/>
                <w:szCs w:val="21"/>
              </w:rPr>
              <w:t>2.面料：120G针织布/网布；</w:t>
            </w:r>
          </w:p>
          <w:p w14:paraId="30E9AAC5">
            <w:pPr>
              <w:widowControl/>
              <w:spacing w:line="360" w:lineRule="exact"/>
              <w:textAlignment w:val="top"/>
              <w:rPr>
                <w:rFonts w:hint="eastAsia" w:ascii="宋体" w:hAnsi="宋体"/>
                <w:szCs w:val="21"/>
              </w:rPr>
            </w:pPr>
            <w:r>
              <w:rPr>
                <w:rFonts w:hint="eastAsia" w:ascii="宋体" w:hAnsi="宋体"/>
                <w:szCs w:val="21"/>
              </w:rPr>
              <w:t>3.夜间可视距离≥300米；</w:t>
            </w:r>
            <w:r>
              <w:rPr>
                <w:rFonts w:hint="eastAsia" w:ascii="宋体" w:hAnsi="宋体"/>
                <w:szCs w:val="21"/>
              </w:rPr>
              <w:tab/>
            </w:r>
          </w:p>
          <w:p w14:paraId="06140DC9">
            <w:pPr>
              <w:widowControl/>
              <w:spacing w:line="360" w:lineRule="exact"/>
              <w:textAlignment w:val="top"/>
              <w:rPr>
                <w:rFonts w:hint="eastAsia" w:ascii="宋体" w:hAnsi="宋体"/>
                <w:szCs w:val="21"/>
              </w:rPr>
            </w:pPr>
            <w:r>
              <w:rPr>
                <w:rFonts w:hint="eastAsia" w:ascii="宋体" w:hAnsi="宋体"/>
                <w:szCs w:val="21"/>
              </w:rPr>
              <w:t>4.背心采用拉链式。</w:t>
            </w:r>
            <w:r>
              <w:rPr>
                <w:rFonts w:hint="eastAsia" w:ascii="宋体" w:hAnsi="宋体"/>
                <w:szCs w:val="21"/>
              </w:rPr>
              <w:tab/>
            </w:r>
          </w:p>
          <w:p w14:paraId="50B2B94F">
            <w:pPr>
              <w:widowControl/>
              <w:spacing w:line="360" w:lineRule="exact"/>
              <w:textAlignment w:val="top"/>
              <w:rPr>
                <w:rFonts w:hint="eastAsia" w:ascii="宋体" w:hAnsi="宋体"/>
                <w:szCs w:val="21"/>
              </w:rPr>
            </w:pPr>
            <w:r>
              <w:rPr>
                <w:rFonts w:hint="eastAsia" w:ascii="宋体" w:hAnsi="宋体"/>
                <w:szCs w:val="21"/>
              </w:rPr>
              <w:t>四、电筒</w:t>
            </w:r>
            <w:r>
              <w:rPr>
                <w:rFonts w:hint="eastAsia" w:ascii="宋体" w:hAnsi="宋体"/>
                <w:szCs w:val="21"/>
              </w:rPr>
              <w:tab/>
            </w:r>
          </w:p>
          <w:p w14:paraId="28898D70">
            <w:pPr>
              <w:widowControl/>
              <w:spacing w:line="360" w:lineRule="exact"/>
              <w:textAlignment w:val="top"/>
              <w:rPr>
                <w:rFonts w:hint="eastAsia" w:ascii="宋体" w:hAnsi="宋体"/>
                <w:szCs w:val="21"/>
              </w:rPr>
            </w:pPr>
            <w:r>
              <w:rPr>
                <w:rFonts w:hint="eastAsia" w:ascii="宋体" w:hAnsi="宋体"/>
                <w:szCs w:val="21"/>
              </w:rPr>
              <w:t>1.采用≥3000mAh锂电池；</w:t>
            </w:r>
            <w:r>
              <w:rPr>
                <w:rFonts w:hint="eastAsia" w:ascii="宋体" w:hAnsi="宋体"/>
                <w:szCs w:val="21"/>
              </w:rPr>
              <w:tab/>
            </w:r>
          </w:p>
          <w:p w14:paraId="5895A61F">
            <w:pPr>
              <w:widowControl/>
              <w:spacing w:line="360" w:lineRule="exact"/>
              <w:textAlignment w:val="top"/>
              <w:rPr>
                <w:rFonts w:hint="eastAsia" w:ascii="宋体" w:hAnsi="宋体"/>
                <w:szCs w:val="21"/>
              </w:rPr>
            </w:pPr>
            <w:r>
              <w:rPr>
                <w:rFonts w:hint="eastAsia" w:ascii="宋体" w:hAnsi="宋体"/>
                <w:szCs w:val="21"/>
              </w:rPr>
              <w:t>2.五档调节模式；</w:t>
            </w:r>
            <w:r>
              <w:rPr>
                <w:rFonts w:hint="eastAsia" w:ascii="宋体" w:hAnsi="宋体"/>
                <w:szCs w:val="21"/>
              </w:rPr>
              <w:tab/>
            </w:r>
          </w:p>
          <w:p w14:paraId="55AE2B5A">
            <w:pPr>
              <w:widowControl/>
              <w:spacing w:line="360" w:lineRule="exact"/>
              <w:textAlignment w:val="top"/>
              <w:rPr>
                <w:rFonts w:hint="eastAsia" w:ascii="宋体" w:hAnsi="宋体"/>
                <w:szCs w:val="21"/>
              </w:rPr>
            </w:pPr>
            <w:r>
              <w:rPr>
                <w:rFonts w:hint="eastAsia" w:ascii="宋体" w:hAnsi="宋体"/>
                <w:szCs w:val="21"/>
              </w:rPr>
              <w:t>3.Type-C充电；</w:t>
            </w:r>
            <w:r>
              <w:rPr>
                <w:rFonts w:hint="eastAsia" w:ascii="宋体" w:hAnsi="宋体"/>
                <w:szCs w:val="21"/>
              </w:rPr>
              <w:tab/>
            </w:r>
          </w:p>
          <w:p w14:paraId="7F9196C1">
            <w:pPr>
              <w:widowControl/>
              <w:spacing w:line="360" w:lineRule="exact"/>
              <w:textAlignment w:val="top"/>
              <w:rPr>
                <w:rFonts w:hint="eastAsia" w:ascii="宋体" w:hAnsi="宋体"/>
                <w:szCs w:val="21"/>
              </w:rPr>
            </w:pPr>
            <w:r>
              <w:rPr>
                <w:rFonts w:hint="eastAsia" w:ascii="宋体" w:hAnsi="宋体"/>
                <w:szCs w:val="21"/>
              </w:rPr>
              <w:t>4.远近两用功能。</w:t>
            </w:r>
          </w:p>
        </w:tc>
        <w:tc>
          <w:tcPr>
            <w:tcW w:w="674" w:type="pct"/>
            <w:tcBorders>
              <w:top w:val="single" w:color="000000" w:sz="4" w:space="0"/>
              <w:left w:val="single" w:color="000000" w:sz="4" w:space="0"/>
              <w:bottom w:val="single" w:color="000000" w:sz="4" w:space="0"/>
              <w:right w:val="single" w:color="000000" w:sz="4" w:space="0"/>
            </w:tcBorders>
            <w:noWrap w:val="0"/>
            <w:vAlign w:val="center"/>
          </w:tcPr>
          <w:p w14:paraId="354700A9">
            <w:pPr>
              <w:widowControl/>
              <w:spacing w:line="360" w:lineRule="exact"/>
              <w:jc w:val="center"/>
              <w:textAlignment w:val="top"/>
              <w:rPr>
                <w:rFonts w:ascii="宋体" w:hAnsi="宋体"/>
                <w:color w:val="000000"/>
              </w:rPr>
            </w:pPr>
            <w:r>
              <w:rPr>
                <w:rFonts w:hint="eastAsia" w:ascii="宋体" w:hAnsi="宋体"/>
                <w:color w:val="000000"/>
              </w:rPr>
              <w:t>0.4</w:t>
            </w:r>
          </w:p>
        </w:tc>
      </w:tr>
      <w:tr w14:paraId="662EAA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48" w:type="pct"/>
            <w:tcBorders>
              <w:top w:val="single" w:color="000000" w:sz="4" w:space="0"/>
              <w:left w:val="single" w:color="000000" w:sz="4" w:space="0"/>
              <w:bottom w:val="single" w:color="000000" w:sz="4" w:space="0"/>
              <w:right w:val="single" w:color="000000" w:sz="4" w:space="0"/>
            </w:tcBorders>
            <w:noWrap w:val="0"/>
            <w:vAlign w:val="center"/>
          </w:tcPr>
          <w:p w14:paraId="20361463">
            <w:pPr>
              <w:snapToGrid w:val="0"/>
              <w:spacing w:line="360" w:lineRule="exact"/>
              <w:jc w:val="center"/>
              <w:rPr>
                <w:rFonts w:hint="eastAsia" w:ascii="宋体" w:hAnsi="宋体"/>
                <w:szCs w:val="21"/>
              </w:rPr>
            </w:pPr>
            <w:r>
              <w:rPr>
                <w:rFonts w:hint="eastAsia" w:ascii="宋体" w:hAnsi="宋体"/>
                <w:szCs w:val="21"/>
              </w:rPr>
              <w:t>8</w:t>
            </w:r>
          </w:p>
        </w:tc>
        <w:tc>
          <w:tcPr>
            <w:tcW w:w="484" w:type="pct"/>
            <w:tcBorders>
              <w:top w:val="single" w:color="000000" w:sz="4" w:space="0"/>
              <w:left w:val="single" w:color="000000" w:sz="4" w:space="0"/>
              <w:bottom w:val="single" w:color="auto" w:sz="4" w:space="0"/>
              <w:right w:val="single" w:color="000000" w:sz="4" w:space="0"/>
            </w:tcBorders>
            <w:noWrap w:val="0"/>
            <w:vAlign w:val="center"/>
          </w:tcPr>
          <w:p w14:paraId="15F39387">
            <w:pPr>
              <w:widowControl/>
              <w:spacing w:line="360" w:lineRule="exact"/>
              <w:jc w:val="center"/>
              <w:textAlignment w:val="center"/>
              <w:rPr>
                <w:rFonts w:hint="eastAsia" w:ascii="宋体" w:hAnsi="宋体"/>
                <w:szCs w:val="21"/>
              </w:rPr>
            </w:pPr>
            <w:r>
              <w:rPr>
                <w:rFonts w:hint="eastAsia" w:ascii="宋体" w:hAnsi="宋体"/>
                <w:color w:val="000000"/>
              </w:rPr>
              <w:t>救灾帐篷</w:t>
            </w:r>
          </w:p>
        </w:tc>
        <w:tc>
          <w:tcPr>
            <w:tcW w:w="520" w:type="pct"/>
            <w:gridSpan w:val="2"/>
            <w:tcBorders>
              <w:top w:val="single" w:color="000000" w:sz="4" w:space="0"/>
              <w:left w:val="single" w:color="000000" w:sz="4" w:space="0"/>
              <w:bottom w:val="single" w:color="auto" w:sz="4" w:space="0"/>
              <w:right w:val="single" w:color="000000" w:sz="4" w:space="0"/>
            </w:tcBorders>
            <w:noWrap w:val="0"/>
            <w:vAlign w:val="center"/>
          </w:tcPr>
          <w:p w14:paraId="60D92B37">
            <w:pPr>
              <w:widowControl/>
              <w:spacing w:line="360" w:lineRule="exact"/>
              <w:jc w:val="center"/>
              <w:textAlignment w:val="center"/>
              <w:rPr>
                <w:rFonts w:hint="eastAsia" w:ascii="宋体" w:hAnsi="宋体"/>
                <w:szCs w:val="21"/>
              </w:rPr>
            </w:pPr>
            <w:r>
              <w:rPr>
                <w:rFonts w:hint="eastAsia" w:ascii="宋体" w:hAnsi="宋体"/>
                <w:szCs w:val="21"/>
              </w:rPr>
              <w:t>5</w:t>
            </w:r>
            <w:r>
              <w:rPr>
                <w:rFonts w:hint="eastAsia" w:ascii="宋体" w:hAnsi="宋体"/>
                <w:color w:val="000000"/>
              </w:rPr>
              <w:t>套</w:t>
            </w:r>
          </w:p>
        </w:tc>
        <w:tc>
          <w:tcPr>
            <w:tcW w:w="686" w:type="pct"/>
            <w:tcBorders>
              <w:top w:val="single" w:color="000000" w:sz="4" w:space="0"/>
              <w:left w:val="single" w:color="000000" w:sz="4" w:space="0"/>
              <w:bottom w:val="single" w:color="auto" w:sz="4" w:space="0"/>
              <w:right w:val="single" w:color="000000" w:sz="4" w:space="0"/>
            </w:tcBorders>
            <w:noWrap w:val="0"/>
            <w:vAlign w:val="center"/>
          </w:tcPr>
          <w:p w14:paraId="0F852C18">
            <w:pPr>
              <w:widowControl/>
              <w:spacing w:line="360" w:lineRule="exact"/>
              <w:jc w:val="center"/>
              <w:textAlignment w:val="center"/>
              <w:rPr>
                <w:rFonts w:hint="eastAsia" w:ascii="宋体" w:hAnsi="宋体"/>
                <w:szCs w:val="21"/>
              </w:rPr>
            </w:pPr>
            <w:r>
              <w:rPr>
                <w:rFonts w:hint="eastAsia" w:ascii="宋体" w:hAnsi="宋体"/>
                <w:szCs w:val="21"/>
              </w:rPr>
              <w:t>工业</w:t>
            </w:r>
          </w:p>
        </w:tc>
        <w:tc>
          <w:tcPr>
            <w:tcW w:w="2385" w:type="pct"/>
            <w:tcBorders>
              <w:top w:val="single" w:color="000000" w:sz="4" w:space="0"/>
              <w:left w:val="single" w:color="000000" w:sz="4" w:space="0"/>
              <w:bottom w:val="single" w:color="000000" w:sz="4" w:space="0"/>
              <w:right w:val="single" w:color="000000" w:sz="4" w:space="0"/>
            </w:tcBorders>
            <w:noWrap w:val="0"/>
            <w:vAlign w:val="center"/>
          </w:tcPr>
          <w:p w14:paraId="760AE895">
            <w:pPr>
              <w:widowControl/>
              <w:spacing w:line="360" w:lineRule="exact"/>
              <w:textAlignment w:val="top"/>
              <w:rPr>
                <w:rFonts w:hint="eastAsia" w:ascii="宋体" w:hAnsi="宋体"/>
                <w:szCs w:val="21"/>
              </w:rPr>
            </w:pPr>
            <w:r>
              <w:rPr>
                <w:rFonts w:hint="eastAsia" w:ascii="宋体" w:hAnsi="宋体"/>
                <w:szCs w:val="21"/>
              </w:rPr>
              <w:t>▲1. ≥36平方米单棉两用应急救灾帐篷，执行《救灾帐篷 通用技术要求》(GB/T 44010-2024)国家标准；</w:t>
            </w:r>
          </w:p>
          <w:p w14:paraId="4821B770">
            <w:pPr>
              <w:widowControl/>
              <w:spacing w:line="360" w:lineRule="exact"/>
              <w:textAlignment w:val="top"/>
              <w:rPr>
                <w:rFonts w:hint="eastAsia" w:ascii="宋体" w:hAnsi="宋体"/>
                <w:szCs w:val="21"/>
              </w:rPr>
            </w:pPr>
            <w:r>
              <w:rPr>
                <w:rFonts w:hint="eastAsia" w:ascii="宋体" w:hAnsi="宋体"/>
                <w:szCs w:val="21"/>
              </w:rPr>
              <w:t>2.整体结构稳固、抗风防雨、保温透气。帐篷由篷架、篷布、地梁、拉绳、地钉组成，框架采用镀锌钢管，主管壁厚≥1.2mm，表面防锈处理，拆装便捷、承重稳定。篷布采用双面涂塑涤纶帆布，克重≥500g/㎡，防水、防霉、抗老化，防水等级≥IPX6，抗风等级不低于8级，可满足8-12人居住；</w:t>
            </w:r>
          </w:p>
          <w:p w14:paraId="5F232E0F">
            <w:pPr>
              <w:widowControl/>
              <w:spacing w:line="360" w:lineRule="exact"/>
              <w:textAlignment w:val="top"/>
              <w:rPr>
                <w:rFonts w:hint="eastAsia" w:ascii="宋体" w:hAnsi="宋体"/>
                <w:szCs w:val="21"/>
              </w:rPr>
            </w:pPr>
            <w:r>
              <w:rPr>
                <w:rFonts w:hint="eastAsia" w:ascii="宋体" w:hAnsi="宋体"/>
                <w:szCs w:val="21"/>
              </w:rPr>
              <w:t>3.内部空间宽敞，通风窗布局合理，配有门帘、纱窗，具备防虫、防雨、保温功能。配件齐全，拉绳强度高、地钉坚固耐用，整体使用寿命长；</w:t>
            </w:r>
          </w:p>
          <w:p w14:paraId="64ECABE9">
            <w:pPr>
              <w:widowControl/>
              <w:spacing w:line="360" w:lineRule="exact"/>
              <w:textAlignment w:val="top"/>
              <w:rPr>
                <w:rFonts w:hint="eastAsia" w:ascii="宋体" w:hAnsi="宋体"/>
                <w:szCs w:val="21"/>
              </w:rPr>
            </w:pPr>
            <w:r>
              <w:rPr>
                <w:rFonts w:hint="eastAsia" w:ascii="宋体" w:hAnsi="宋体"/>
                <w:szCs w:val="21"/>
              </w:rPr>
              <w:t>4.符合应急管理部救灾物资相关要求，适用于抢险救灾、临时安置、指挥办公、医疗救护等场景。</w:t>
            </w:r>
          </w:p>
        </w:tc>
        <w:tc>
          <w:tcPr>
            <w:tcW w:w="674" w:type="pct"/>
            <w:tcBorders>
              <w:top w:val="single" w:color="000000" w:sz="4" w:space="0"/>
              <w:left w:val="single" w:color="000000" w:sz="4" w:space="0"/>
              <w:bottom w:val="single" w:color="000000" w:sz="4" w:space="0"/>
              <w:right w:val="single" w:color="000000" w:sz="4" w:space="0"/>
            </w:tcBorders>
            <w:noWrap w:val="0"/>
            <w:vAlign w:val="center"/>
          </w:tcPr>
          <w:p w14:paraId="1E7D721A">
            <w:pPr>
              <w:widowControl/>
              <w:spacing w:line="360" w:lineRule="exact"/>
              <w:jc w:val="center"/>
              <w:textAlignment w:val="top"/>
              <w:rPr>
                <w:rFonts w:ascii="宋体" w:hAnsi="宋体"/>
                <w:szCs w:val="21"/>
              </w:rPr>
            </w:pPr>
            <w:r>
              <w:rPr>
                <w:rFonts w:hint="eastAsia" w:ascii="宋体" w:hAnsi="宋体"/>
                <w:szCs w:val="21"/>
              </w:rPr>
              <w:t>1.2</w:t>
            </w:r>
          </w:p>
        </w:tc>
      </w:tr>
      <w:tr w14:paraId="3778B2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325" w:type="pct"/>
            <w:gridSpan w:val="6"/>
            <w:tcBorders>
              <w:top w:val="single" w:color="auto" w:sz="4" w:space="0"/>
              <w:left w:val="single" w:color="auto" w:sz="4" w:space="0"/>
              <w:bottom w:val="single" w:color="auto" w:sz="4" w:space="0"/>
              <w:right w:val="single" w:color="auto" w:sz="4" w:space="0"/>
            </w:tcBorders>
            <w:noWrap w:val="0"/>
            <w:vAlign w:val="top"/>
          </w:tcPr>
          <w:p w14:paraId="2B8044B2">
            <w:pPr>
              <w:spacing w:line="360" w:lineRule="exact"/>
              <w:rPr>
                <w:rFonts w:hint="eastAsia" w:ascii="宋体" w:hAnsi="宋体"/>
                <w:szCs w:val="21"/>
              </w:rPr>
            </w:pPr>
            <w:r>
              <w:rPr>
                <w:rFonts w:hint="eastAsia" w:ascii="宋体" w:hAnsi="宋体"/>
                <w:szCs w:val="21"/>
              </w:rPr>
              <w:t>▲</w:t>
            </w:r>
            <w:r>
              <w:rPr>
                <w:rFonts w:hint="eastAsia" w:ascii="宋体" w:hAnsi="宋体"/>
                <w:b/>
                <w:szCs w:val="21"/>
              </w:rPr>
              <w:t>一、商务要求</w:t>
            </w:r>
            <w:r>
              <w:rPr>
                <w:rFonts w:hint="eastAsia" w:ascii="宋体" w:hAnsi="宋体"/>
                <w:szCs w:val="21"/>
              </w:rPr>
              <w:t xml:space="preserve"> </w:t>
            </w:r>
          </w:p>
        </w:tc>
        <w:tc>
          <w:tcPr>
            <w:tcW w:w="674" w:type="pct"/>
            <w:tcBorders>
              <w:top w:val="single" w:color="auto" w:sz="4" w:space="0"/>
              <w:left w:val="single" w:color="auto" w:sz="4" w:space="0"/>
              <w:bottom w:val="single" w:color="auto" w:sz="4" w:space="0"/>
              <w:right w:val="single" w:color="auto" w:sz="4" w:space="0"/>
            </w:tcBorders>
            <w:noWrap w:val="0"/>
            <w:vAlign w:val="top"/>
          </w:tcPr>
          <w:p w14:paraId="2F5BDAD1">
            <w:pPr>
              <w:spacing w:line="360" w:lineRule="exact"/>
              <w:rPr>
                <w:rFonts w:hint="eastAsia" w:ascii="宋体" w:hAnsi="宋体"/>
                <w:szCs w:val="21"/>
              </w:rPr>
            </w:pPr>
          </w:p>
        </w:tc>
      </w:tr>
      <w:tr w14:paraId="75B5E6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05" w:type="pct"/>
            <w:gridSpan w:val="3"/>
            <w:tcBorders>
              <w:top w:val="single" w:color="auto" w:sz="4" w:space="0"/>
              <w:left w:val="single" w:color="auto" w:sz="4" w:space="0"/>
              <w:bottom w:val="single" w:color="auto" w:sz="4" w:space="0"/>
              <w:right w:val="single" w:color="auto" w:sz="4" w:space="0"/>
            </w:tcBorders>
            <w:noWrap w:val="0"/>
            <w:vAlign w:val="center"/>
          </w:tcPr>
          <w:p w14:paraId="2E36867E">
            <w:pPr>
              <w:spacing w:line="360" w:lineRule="exact"/>
              <w:rPr>
                <w:rFonts w:hint="eastAsia" w:ascii="宋体" w:hAnsi="宋体"/>
                <w:szCs w:val="21"/>
              </w:rPr>
            </w:pPr>
            <w:r>
              <w:rPr>
                <w:rFonts w:hint="eastAsia" w:ascii="宋体" w:hAnsi="宋体"/>
                <w:szCs w:val="21"/>
              </w:rPr>
              <w:t>合同签订时间</w:t>
            </w:r>
          </w:p>
        </w:tc>
        <w:tc>
          <w:tcPr>
            <w:tcW w:w="4194" w:type="pct"/>
            <w:gridSpan w:val="4"/>
            <w:tcBorders>
              <w:top w:val="single" w:color="auto" w:sz="4" w:space="0"/>
              <w:left w:val="nil"/>
              <w:bottom w:val="single" w:color="auto" w:sz="4" w:space="0"/>
              <w:right w:val="single" w:color="auto" w:sz="4" w:space="0"/>
            </w:tcBorders>
            <w:noWrap w:val="0"/>
            <w:vAlign w:val="center"/>
          </w:tcPr>
          <w:p w14:paraId="641FAEE6">
            <w:pPr>
              <w:spacing w:line="360" w:lineRule="exact"/>
              <w:rPr>
                <w:rFonts w:hint="eastAsia" w:ascii="宋体" w:hAnsi="宋体"/>
                <w:szCs w:val="21"/>
              </w:rPr>
            </w:pPr>
            <w:r>
              <w:rPr>
                <w:rFonts w:hint="eastAsia" w:ascii="宋体" w:hAnsi="宋体"/>
                <w:szCs w:val="21"/>
              </w:rPr>
              <w:t>自中标通知书发出之日起25日内与采购人完成合同签订。</w:t>
            </w:r>
          </w:p>
        </w:tc>
      </w:tr>
      <w:tr w14:paraId="11B5A9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05" w:type="pct"/>
            <w:gridSpan w:val="3"/>
            <w:tcBorders>
              <w:top w:val="single" w:color="auto" w:sz="4" w:space="0"/>
              <w:left w:val="single" w:color="auto" w:sz="4" w:space="0"/>
              <w:bottom w:val="single" w:color="auto" w:sz="4" w:space="0"/>
              <w:right w:val="single" w:color="auto" w:sz="4" w:space="0"/>
            </w:tcBorders>
            <w:noWrap w:val="0"/>
            <w:vAlign w:val="center"/>
          </w:tcPr>
          <w:p w14:paraId="4A1A9ED2">
            <w:pPr>
              <w:spacing w:line="360" w:lineRule="exact"/>
              <w:rPr>
                <w:rFonts w:hint="eastAsia" w:ascii="宋体" w:hAnsi="宋体"/>
                <w:szCs w:val="21"/>
              </w:rPr>
            </w:pPr>
            <w:r>
              <w:rPr>
                <w:rFonts w:hint="eastAsia" w:ascii="宋体" w:hAnsi="宋体"/>
                <w:szCs w:val="21"/>
              </w:rPr>
              <w:t>交付使用时间及地点</w:t>
            </w:r>
          </w:p>
        </w:tc>
        <w:tc>
          <w:tcPr>
            <w:tcW w:w="4194" w:type="pct"/>
            <w:gridSpan w:val="4"/>
            <w:tcBorders>
              <w:top w:val="single" w:color="auto" w:sz="4" w:space="0"/>
              <w:left w:val="nil"/>
              <w:bottom w:val="single" w:color="auto" w:sz="4" w:space="0"/>
              <w:right w:val="single" w:color="auto" w:sz="4" w:space="0"/>
            </w:tcBorders>
            <w:noWrap w:val="0"/>
            <w:vAlign w:val="center"/>
          </w:tcPr>
          <w:p w14:paraId="13A633DA">
            <w:pPr>
              <w:spacing w:line="360" w:lineRule="exact"/>
              <w:ind w:firstLine="420" w:firstLineChars="200"/>
              <w:rPr>
                <w:rFonts w:hint="eastAsia" w:ascii="宋体" w:hAnsi="宋体"/>
                <w:szCs w:val="21"/>
              </w:rPr>
            </w:pPr>
            <w:r>
              <w:rPr>
                <w:rFonts w:hint="eastAsia" w:ascii="宋体" w:hAnsi="宋体"/>
                <w:szCs w:val="21"/>
              </w:rPr>
              <w:t>1.交货时间：自合同签订之日起60日内交付。</w:t>
            </w:r>
          </w:p>
          <w:p w14:paraId="34B9039E">
            <w:pPr>
              <w:spacing w:line="360" w:lineRule="exact"/>
              <w:ind w:firstLine="420" w:firstLineChars="200"/>
              <w:rPr>
                <w:rFonts w:hint="eastAsia" w:ascii="宋体" w:hAnsi="宋体"/>
                <w:szCs w:val="21"/>
              </w:rPr>
            </w:pPr>
            <w:r>
              <w:rPr>
                <w:rFonts w:hint="eastAsia" w:ascii="宋体" w:hAnsi="宋体"/>
                <w:szCs w:val="21"/>
              </w:rPr>
              <w:t>2.交货地点：广西区内采购人指定地点。交付货物清单同货物一并送达采购人；货物在交付前发生的风险均由中标供应商自行负责；未验收前保管工作由中标供应商自行负责。</w:t>
            </w:r>
          </w:p>
          <w:p w14:paraId="0C04CEC1">
            <w:pPr>
              <w:spacing w:line="360" w:lineRule="exact"/>
              <w:ind w:firstLine="420" w:firstLineChars="200"/>
              <w:rPr>
                <w:rFonts w:hint="eastAsia" w:ascii="宋体" w:hAnsi="宋体"/>
                <w:szCs w:val="21"/>
              </w:rPr>
            </w:pPr>
            <w:r>
              <w:rPr>
                <w:rFonts w:hint="eastAsia" w:ascii="宋体" w:hAnsi="宋体"/>
                <w:szCs w:val="21"/>
              </w:rPr>
              <w:t>3.中标供应商承担货物运输、验收检测和提供货物说明书、技术培训、售后服务等其他类似的义务。</w:t>
            </w:r>
          </w:p>
          <w:p w14:paraId="765668F5">
            <w:pPr>
              <w:spacing w:line="360" w:lineRule="exact"/>
              <w:ind w:firstLine="420" w:firstLineChars="200"/>
              <w:rPr>
                <w:rFonts w:hint="eastAsia" w:ascii="宋体" w:hAnsi="宋体"/>
                <w:szCs w:val="21"/>
              </w:rPr>
            </w:pPr>
            <w:r>
              <w:rPr>
                <w:rFonts w:hint="eastAsia" w:ascii="宋体" w:hAnsi="宋体"/>
                <w:szCs w:val="21"/>
              </w:rPr>
              <w:t>4.交货方式：现场交货。</w:t>
            </w:r>
          </w:p>
        </w:tc>
      </w:tr>
      <w:tr w14:paraId="24A61F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05" w:type="pct"/>
            <w:gridSpan w:val="3"/>
            <w:tcBorders>
              <w:top w:val="single" w:color="auto" w:sz="4" w:space="0"/>
              <w:left w:val="single" w:color="auto" w:sz="4" w:space="0"/>
              <w:bottom w:val="single" w:color="auto" w:sz="4" w:space="0"/>
              <w:right w:val="single" w:color="auto" w:sz="4" w:space="0"/>
            </w:tcBorders>
            <w:noWrap w:val="0"/>
            <w:vAlign w:val="center"/>
          </w:tcPr>
          <w:p w14:paraId="5F7FCC7F">
            <w:pPr>
              <w:spacing w:line="360" w:lineRule="exact"/>
              <w:rPr>
                <w:rFonts w:hint="eastAsia" w:ascii="宋体" w:hAnsi="宋体"/>
                <w:szCs w:val="21"/>
              </w:rPr>
            </w:pPr>
            <w:r>
              <w:rPr>
                <w:rFonts w:hint="eastAsia" w:ascii="宋体" w:hAnsi="宋体"/>
                <w:szCs w:val="21"/>
              </w:rPr>
              <w:t>质保期</w:t>
            </w:r>
          </w:p>
        </w:tc>
        <w:tc>
          <w:tcPr>
            <w:tcW w:w="4194" w:type="pct"/>
            <w:gridSpan w:val="4"/>
            <w:tcBorders>
              <w:top w:val="single" w:color="auto" w:sz="4" w:space="0"/>
              <w:left w:val="nil"/>
              <w:bottom w:val="single" w:color="auto" w:sz="4" w:space="0"/>
              <w:right w:val="single" w:color="auto" w:sz="4" w:space="0"/>
            </w:tcBorders>
            <w:noWrap w:val="0"/>
            <w:vAlign w:val="center"/>
          </w:tcPr>
          <w:p w14:paraId="4D52A384">
            <w:pPr>
              <w:spacing w:line="360" w:lineRule="exact"/>
              <w:ind w:firstLine="420" w:firstLineChars="200"/>
              <w:rPr>
                <w:rFonts w:hint="eastAsia" w:ascii="宋体" w:hAnsi="宋体"/>
                <w:szCs w:val="21"/>
              </w:rPr>
            </w:pPr>
            <w:r>
              <w:rPr>
                <w:rFonts w:hint="eastAsia" w:ascii="宋体" w:hAnsi="宋体"/>
                <w:szCs w:val="21"/>
              </w:rPr>
              <w:t>满足国家有关产品“三包”规定，且自本分标所有货物交付并最终验收合格之日起计算，质保期不少于1年。“技术需求及要求”中有特别要求的则以“技术需求及要求”为准。若厂家公开承诺质保期更长的，质保期从其承诺。</w:t>
            </w:r>
          </w:p>
        </w:tc>
      </w:tr>
      <w:tr w14:paraId="614A3E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05" w:type="pct"/>
            <w:gridSpan w:val="3"/>
            <w:tcBorders>
              <w:top w:val="single" w:color="auto" w:sz="4" w:space="0"/>
              <w:left w:val="single" w:color="auto" w:sz="4" w:space="0"/>
              <w:bottom w:val="single" w:color="auto" w:sz="4" w:space="0"/>
              <w:right w:val="single" w:color="auto" w:sz="4" w:space="0"/>
            </w:tcBorders>
            <w:noWrap w:val="0"/>
            <w:vAlign w:val="center"/>
          </w:tcPr>
          <w:p w14:paraId="7F75BDB1">
            <w:pPr>
              <w:spacing w:line="360" w:lineRule="exact"/>
              <w:rPr>
                <w:rFonts w:hint="eastAsia" w:ascii="宋体" w:hAnsi="宋体"/>
                <w:szCs w:val="21"/>
              </w:rPr>
            </w:pPr>
            <w:r>
              <w:rPr>
                <w:rFonts w:hint="eastAsia" w:ascii="宋体" w:hAnsi="宋体"/>
                <w:szCs w:val="21"/>
              </w:rPr>
              <w:t>售后服务及技术服务要求</w:t>
            </w:r>
          </w:p>
        </w:tc>
        <w:tc>
          <w:tcPr>
            <w:tcW w:w="4194" w:type="pct"/>
            <w:gridSpan w:val="4"/>
            <w:tcBorders>
              <w:top w:val="single" w:color="auto" w:sz="4" w:space="0"/>
              <w:left w:val="nil"/>
              <w:bottom w:val="single" w:color="auto" w:sz="4" w:space="0"/>
              <w:right w:val="single" w:color="auto" w:sz="4" w:space="0"/>
            </w:tcBorders>
            <w:noWrap w:val="0"/>
            <w:vAlign w:val="center"/>
          </w:tcPr>
          <w:p w14:paraId="17B2E373">
            <w:pPr>
              <w:spacing w:line="360" w:lineRule="exact"/>
              <w:ind w:firstLine="422" w:firstLineChars="200"/>
              <w:rPr>
                <w:rFonts w:ascii="宋体" w:hAnsi="宋体"/>
                <w:b/>
                <w:bCs/>
              </w:rPr>
            </w:pPr>
            <w:r>
              <w:rPr>
                <w:rFonts w:hint="eastAsia" w:ascii="宋体" w:hAnsi="宋体"/>
                <w:b/>
                <w:bCs/>
              </w:rPr>
              <w:t>（一）售后服务要求</w:t>
            </w:r>
          </w:p>
          <w:p w14:paraId="1F2DD26B">
            <w:pPr>
              <w:spacing w:line="360" w:lineRule="exact"/>
              <w:ind w:firstLine="420" w:firstLineChars="200"/>
              <w:rPr>
                <w:rFonts w:hint="eastAsia" w:ascii="宋体" w:hAnsi="宋体" w:cs="Arial"/>
              </w:rPr>
            </w:pPr>
            <w:r>
              <w:rPr>
                <w:rFonts w:hint="eastAsia" w:ascii="宋体" w:hAnsi="宋体"/>
              </w:rPr>
              <w:t>1.中标后产品或服务由制造商（指产品生产制造商或服务实际提供人）负责质量保证期内的售后服务的，制造商提供的售后服务也应达到招标文件要求的标准，相关的售后服务费用由投标人向制造商支付，采购人不予另行支付。</w:t>
            </w:r>
          </w:p>
          <w:p w14:paraId="6035C068">
            <w:pPr>
              <w:spacing w:line="360" w:lineRule="exact"/>
              <w:ind w:firstLine="420" w:firstLineChars="200"/>
              <w:rPr>
                <w:rFonts w:hint="eastAsia" w:ascii="宋体" w:hAnsi="宋体"/>
              </w:rPr>
            </w:pPr>
            <w:r>
              <w:rPr>
                <w:rFonts w:hint="eastAsia" w:ascii="宋体" w:hAnsi="宋体"/>
              </w:rPr>
              <w:t>2.提供的货物必须是未使用过的全新货物，并负责送货上门。所供货物必须满足采购合同要求，并符合国家规定的质量标准，否则采购人有权退、换货，由此引发的费用及其他经济损失全部由中标供应商承担。</w:t>
            </w:r>
          </w:p>
          <w:p w14:paraId="105BD8B7">
            <w:pPr>
              <w:spacing w:line="360" w:lineRule="exact"/>
              <w:ind w:firstLine="420" w:firstLineChars="200"/>
              <w:rPr>
                <w:rFonts w:ascii="宋体" w:hAnsi="宋体"/>
              </w:rPr>
            </w:pPr>
            <w:r>
              <w:rPr>
                <w:rFonts w:hint="eastAsia" w:ascii="宋体" w:hAnsi="宋体"/>
              </w:rPr>
              <w:t>3.所提供货物安装或调试后进行技术性能、功能检测，按招标文件上的技术规格要求、中标供应商投标文件响应和承诺的技术参数及功能和国家等有关标准进行测试，涉及货物质量问题的中标供应商应在采购人指定期限内无条件退换；若退换后经采购人二次验收仍达不到要求的视为货物不合格，采购人可解除双方的供货合同；不合格项经核实属于投标时虚假响应的，采购人有权报政府采购监督管理部门申请解除合同，中标供应商自行承担相应法律后果。</w:t>
            </w:r>
          </w:p>
          <w:p w14:paraId="7D0AF9B8">
            <w:pPr>
              <w:spacing w:line="360" w:lineRule="exact"/>
              <w:ind w:firstLine="420" w:firstLineChars="200"/>
              <w:rPr>
                <w:rFonts w:hint="eastAsia" w:ascii="宋体" w:hAnsi="宋体"/>
              </w:rPr>
            </w:pPr>
            <w:r>
              <w:rPr>
                <w:rFonts w:hint="eastAsia" w:ascii="宋体" w:hAnsi="宋体"/>
              </w:rPr>
              <w:t>4.在安装期、试运行期及最终验收后的质保期内，由于货物技术或质量问题而产生的故障，无论大小，中标供应商一律提供维修服务。质保期满后须提供终身维护服务。</w:t>
            </w:r>
          </w:p>
          <w:p w14:paraId="22079598">
            <w:pPr>
              <w:spacing w:line="360" w:lineRule="exact"/>
              <w:ind w:firstLine="420" w:firstLineChars="200"/>
              <w:rPr>
                <w:rFonts w:hint="eastAsia" w:ascii="宋体" w:hAnsi="宋体"/>
              </w:rPr>
            </w:pPr>
            <w:r>
              <w:rPr>
                <w:rFonts w:hint="eastAsia" w:ascii="宋体" w:hAnsi="宋体"/>
              </w:rPr>
              <w:t>5.货物交付并完成验收后，在质保期内，中标供应商接到采购人服务需求后，2小时内应做出明确回复，如有必要，中标供应商最近的售后服务点距离用户所在地500公里以内的，应保证在收到采购人服务通知后12小时内到达现场；中标供应商最近的售后服务点距离用户所在地500公里以外的（中国大陆地区），应保证在收到采购人缺陷通知后48小时内到达现场，产生一切费用由中标供应商承担，现场24小时内排查问题并处理完毕，确保货物能够正常使用。</w:t>
            </w:r>
          </w:p>
          <w:p w14:paraId="226D8B63">
            <w:pPr>
              <w:spacing w:line="360" w:lineRule="exact"/>
              <w:ind w:firstLine="420" w:firstLineChars="200"/>
              <w:rPr>
                <w:rFonts w:hint="eastAsia" w:ascii="宋体" w:hAnsi="宋体"/>
              </w:rPr>
            </w:pPr>
            <w:r>
              <w:rPr>
                <w:rFonts w:hint="eastAsia" w:ascii="宋体" w:hAnsi="宋体"/>
              </w:rPr>
              <w:t>6.质保期内的维修工时及材料费用、维修人员的差旅费、宿费等由中标供应商承担。</w:t>
            </w:r>
          </w:p>
          <w:p w14:paraId="29C4C73F">
            <w:pPr>
              <w:spacing w:line="360" w:lineRule="exact"/>
              <w:ind w:firstLine="420" w:firstLineChars="200"/>
              <w:rPr>
                <w:rFonts w:ascii="宋体" w:hAnsi="宋体"/>
              </w:rPr>
            </w:pPr>
            <w:r>
              <w:rPr>
                <w:rFonts w:hint="eastAsia" w:ascii="宋体" w:hAnsi="宋体"/>
              </w:rPr>
              <w:t>7.质保期内，中标供应商提供上门维保检修服务，服务间隔不超过6个月。</w:t>
            </w:r>
          </w:p>
          <w:p w14:paraId="6A3B4B03">
            <w:pPr>
              <w:spacing w:line="360" w:lineRule="exact"/>
              <w:ind w:firstLine="420" w:firstLineChars="200"/>
              <w:rPr>
                <w:rFonts w:ascii="宋体" w:hAnsi="宋体"/>
              </w:rPr>
            </w:pPr>
            <w:r>
              <w:rPr>
                <w:rFonts w:hint="eastAsia" w:ascii="宋体" w:hAnsi="宋体"/>
              </w:rPr>
              <w:t>8.在质保期内，如设备或零部件因非人力因素出现故障而造成短期停用，或同一缺陷经三次维修、调换后仍无法达到质量标准的，则认定该产品不合格，采购人有权将该货物无条件退货或要求更换。因故障造成的短期停用或因产品不合格导致更换的，质保期相应顺延。</w:t>
            </w:r>
          </w:p>
          <w:p w14:paraId="2DFEC609">
            <w:pPr>
              <w:spacing w:line="360" w:lineRule="exact"/>
              <w:ind w:firstLine="420" w:firstLineChars="200"/>
              <w:rPr>
                <w:rFonts w:ascii="宋体" w:hAnsi="宋体"/>
              </w:rPr>
            </w:pPr>
            <w:r>
              <w:rPr>
                <w:rFonts w:hint="eastAsia" w:ascii="宋体" w:hAnsi="宋体"/>
              </w:rPr>
              <w:t>9.在装备质保期到期前的两个月内，中标供应商应协助采购人对所有装备进行一次全面检查与维护，所有费用由中标供应商负责。</w:t>
            </w:r>
          </w:p>
          <w:p w14:paraId="6CEE3ECD">
            <w:pPr>
              <w:spacing w:line="360" w:lineRule="exact"/>
              <w:ind w:firstLine="420" w:firstLineChars="200"/>
              <w:rPr>
                <w:rFonts w:hint="eastAsia" w:ascii="宋体" w:hAnsi="宋体"/>
              </w:rPr>
            </w:pPr>
            <w:r>
              <w:rPr>
                <w:rFonts w:hint="eastAsia" w:ascii="宋体" w:hAnsi="宋体"/>
              </w:rPr>
              <w:t>10.质保期外出现故障时，中标供应商应按质保期内时效规定提供维修服务，以优惠价格收取材料费及人工费。中标供应商应保证有偿提供采购人10年的备品备件及易损件供应。</w:t>
            </w:r>
          </w:p>
          <w:p w14:paraId="5DE30F33">
            <w:pPr>
              <w:spacing w:line="360" w:lineRule="exact"/>
              <w:ind w:firstLine="420" w:firstLineChars="200"/>
              <w:rPr>
                <w:rFonts w:hint="eastAsia" w:ascii="宋体" w:hAnsi="宋体"/>
              </w:rPr>
            </w:pPr>
            <w:r>
              <w:rPr>
                <w:rFonts w:hint="eastAsia" w:ascii="宋体" w:hAnsi="宋体"/>
              </w:rPr>
              <w:t>11.投标人或投标产品制造商针对项目提供有固定的维修服务点、能提供正常的技术、备品备件服务及产品数据升级。</w:t>
            </w:r>
          </w:p>
          <w:p w14:paraId="498DE63A">
            <w:pPr>
              <w:spacing w:line="360" w:lineRule="exact"/>
              <w:ind w:firstLine="420" w:firstLineChars="200"/>
              <w:rPr>
                <w:rFonts w:ascii="宋体" w:hAnsi="宋体"/>
              </w:rPr>
            </w:pPr>
            <w:r>
              <w:rPr>
                <w:rFonts w:hint="eastAsia" w:ascii="宋体" w:hAnsi="宋体"/>
              </w:rPr>
              <w:t>12.在质保期内维修或更换缺陷部件的期限：中标供应商保证对装备维修随时响应，提供24小时售后服务电话，24小时售后服务电话如有变更，应至少在变更前15天以书面形式告知用户，并由用户书面确认。在质保期内，设备出现故障（非因操作不当造成），中标供应商接到采购人通知后，应在规定时间内到达现场修理，所需费用全部由中标供应商负担。规定时间为：中标供应商最近的售后服务点距离用户所在地500公里以内的，应保证在收到采购人缺陷通知后12小时内到达现场；中标供应商最近的售后服务点距离用户所在地500公里以外的（中国大陆地区），应保证在收到采购人缺陷通知后48小时内到达现场。如不能满足上述要求视为违约，单次赔偿金额为合同总价的0.5%（质保期内采购人有权从履约保证金中直接扣除），并由中标供应商承担因此造成的用户的经济损失。若出现重大故障，设备不能正常工作，质保期从设备修复后起重新计算。</w:t>
            </w:r>
          </w:p>
          <w:p w14:paraId="54DE2A3A">
            <w:pPr>
              <w:spacing w:line="360" w:lineRule="exact"/>
              <w:ind w:firstLine="420" w:firstLineChars="200"/>
              <w:rPr>
                <w:rFonts w:hint="eastAsia" w:ascii="宋体" w:hAnsi="宋体"/>
              </w:rPr>
            </w:pPr>
            <w:r>
              <w:rPr>
                <w:rFonts w:hint="eastAsia" w:ascii="宋体" w:hAnsi="宋体"/>
              </w:rPr>
              <w:t>13.质保期内，如中标供应商公司被兼并或收购，兼并或收购后的公司有责任继续对采购人履行服务。</w:t>
            </w:r>
          </w:p>
          <w:p w14:paraId="20D1DBFF">
            <w:pPr>
              <w:spacing w:line="360" w:lineRule="exact"/>
              <w:ind w:firstLine="422" w:firstLineChars="200"/>
              <w:rPr>
                <w:rFonts w:hint="eastAsia" w:ascii="宋体" w:hAnsi="宋体"/>
                <w:b/>
                <w:bCs/>
              </w:rPr>
            </w:pPr>
            <w:r>
              <w:rPr>
                <w:rFonts w:hint="eastAsia" w:ascii="宋体" w:hAnsi="宋体"/>
                <w:b/>
                <w:bCs/>
              </w:rPr>
              <w:t>（二）技术服务支持</w:t>
            </w:r>
          </w:p>
          <w:p w14:paraId="657F120A">
            <w:pPr>
              <w:spacing w:line="360" w:lineRule="exact"/>
              <w:ind w:firstLine="420" w:firstLineChars="200"/>
              <w:rPr>
                <w:rFonts w:ascii="宋体" w:hAnsi="宋体"/>
                <w:color w:val="000000"/>
              </w:rPr>
            </w:pPr>
            <w:r>
              <w:rPr>
                <w:rFonts w:hint="eastAsia" w:ascii="宋体" w:hAnsi="宋体"/>
              </w:rPr>
              <w:t>1.根据采购人需求，进行软件和硬件的升级和更新，以保持设备的最佳性能。为采购人的单位员工提供设备或系统使用的培训和技术支持，以便这些人员能够</w:t>
            </w:r>
            <w:r>
              <w:rPr>
                <w:rFonts w:hint="eastAsia" w:ascii="宋体" w:hAnsi="宋体"/>
                <w:color w:val="000000"/>
              </w:rPr>
              <w:t>有效对设备或系统应用的使用。</w:t>
            </w:r>
          </w:p>
          <w:p w14:paraId="7E7B753F">
            <w:pPr>
              <w:spacing w:line="360" w:lineRule="exact"/>
              <w:ind w:firstLine="420" w:firstLineChars="200"/>
              <w:rPr>
                <w:rFonts w:hint="eastAsia" w:ascii="宋体" w:hAnsi="宋体"/>
                <w:color w:val="000000"/>
                <w:szCs w:val="21"/>
              </w:rPr>
            </w:pPr>
            <w:r>
              <w:rPr>
                <w:rFonts w:hint="eastAsia" w:ascii="宋体" w:hAnsi="宋体"/>
                <w:color w:val="000000"/>
                <w:szCs w:val="21"/>
              </w:rPr>
              <w:t>（1）为采购人提供不少于10名人员无人机驾驶操作培训，提供飞行训练场地和符合《无人驾驶航空器飞行管理暂行条例》规定的空域。</w:t>
            </w:r>
          </w:p>
          <w:p w14:paraId="3E04267A">
            <w:pPr>
              <w:spacing w:line="360" w:lineRule="exact"/>
              <w:ind w:firstLine="420" w:firstLineChars="200"/>
              <w:rPr>
                <w:rFonts w:hint="eastAsia" w:ascii="宋体" w:hAnsi="宋体"/>
                <w:color w:val="000000"/>
                <w:szCs w:val="21"/>
              </w:rPr>
            </w:pPr>
            <w:r>
              <w:rPr>
                <w:rFonts w:hint="eastAsia"/>
                <w:color w:val="000000"/>
              </w:rPr>
              <w:t>（2）</w:t>
            </w:r>
            <w:r>
              <w:rPr>
                <w:rFonts w:hint="eastAsia" w:ascii="宋体" w:hAnsi="宋体"/>
                <w:color w:val="000000"/>
              </w:rPr>
              <w:t>为冲锋舟设备培训不少于2名操作人员，</w:t>
            </w:r>
            <w:r>
              <w:rPr>
                <w:rFonts w:hint="eastAsia" w:ascii="宋体" w:hAnsi="宋体"/>
                <w:color w:val="000000"/>
                <w:szCs w:val="21"/>
              </w:rPr>
              <w:t>且确保培训结束后操作人员能熟练操作设备</w:t>
            </w:r>
            <w:r>
              <w:rPr>
                <w:rFonts w:hint="eastAsia" w:ascii="宋体" w:hAnsi="宋体"/>
                <w:color w:val="000000"/>
              </w:rPr>
              <w:t>。</w:t>
            </w:r>
          </w:p>
          <w:p w14:paraId="2AE506A3">
            <w:pPr>
              <w:spacing w:line="360" w:lineRule="exact"/>
              <w:ind w:firstLine="420" w:firstLineChars="200"/>
              <w:rPr>
                <w:rFonts w:hint="eastAsia" w:ascii="宋体" w:hAnsi="宋体"/>
                <w:szCs w:val="21"/>
              </w:rPr>
            </w:pPr>
            <w:r>
              <w:rPr>
                <w:rFonts w:hint="eastAsia" w:ascii="宋体" w:hAnsi="宋体"/>
                <w:color w:val="000000"/>
                <w:szCs w:val="21"/>
              </w:rPr>
              <w:t>（3）培训对象包括但不仅限于设备</w:t>
            </w:r>
            <w:r>
              <w:rPr>
                <w:rFonts w:hint="eastAsia" w:ascii="宋体" w:hAnsi="宋体"/>
                <w:szCs w:val="21"/>
              </w:rPr>
              <w:t>使用人员等。保证他们能熟练掌握全套设备的操作。</w:t>
            </w:r>
          </w:p>
          <w:p w14:paraId="2E77540D">
            <w:pPr>
              <w:spacing w:line="360" w:lineRule="exact"/>
              <w:ind w:firstLine="420" w:firstLineChars="200"/>
              <w:rPr>
                <w:rFonts w:hint="eastAsia" w:ascii="宋体" w:hAnsi="宋体"/>
                <w:szCs w:val="21"/>
              </w:rPr>
            </w:pPr>
            <w:r>
              <w:rPr>
                <w:rFonts w:hint="eastAsia" w:ascii="宋体" w:hAnsi="宋体"/>
                <w:szCs w:val="21"/>
              </w:rPr>
              <w:t>（4）在培训结束后，将持续对设备及系统的运行状况进行不定期检查，以评估培训成果，并通过反馈意见不断积累经验。针对在使用过程中遇到的问题，指派专业人员进行专人解答。同时，通过以下几个方面来弥补培训过程中的不足：全时任意通讯方式的技术支持、完善用户使用手册、提供便捷的联机帮助以及持续由系统管理员提供指导。</w:t>
            </w:r>
          </w:p>
          <w:p w14:paraId="210F400F">
            <w:pPr>
              <w:spacing w:line="360" w:lineRule="exact"/>
              <w:ind w:firstLine="420" w:firstLineChars="200"/>
              <w:rPr>
                <w:rFonts w:hint="eastAsia" w:ascii="宋体" w:hAnsi="宋体"/>
              </w:rPr>
            </w:pPr>
            <w:r>
              <w:rPr>
                <w:rFonts w:hint="eastAsia" w:ascii="宋体" w:hAnsi="宋体"/>
                <w:szCs w:val="21"/>
              </w:rPr>
              <w:t>（5）每次培训需提供相关的培训材料，包括但不仅限于产品操作手册、视频等材料。</w:t>
            </w:r>
          </w:p>
          <w:p w14:paraId="07D4E342">
            <w:pPr>
              <w:spacing w:line="360" w:lineRule="exact"/>
              <w:ind w:firstLine="420" w:firstLineChars="200"/>
              <w:rPr>
                <w:rFonts w:ascii="宋体" w:hAnsi="宋体"/>
              </w:rPr>
            </w:pPr>
            <w:r>
              <w:rPr>
                <w:rFonts w:hint="eastAsia" w:ascii="宋体" w:hAnsi="宋体"/>
              </w:rPr>
              <w:t>（6）为采购人的单位员工提供的培训为线下集中培训，线下培训地点由采购人安排。</w:t>
            </w:r>
          </w:p>
          <w:p w14:paraId="6330859D">
            <w:pPr>
              <w:spacing w:line="360" w:lineRule="exact"/>
              <w:ind w:firstLine="420" w:firstLineChars="200"/>
              <w:rPr>
                <w:rFonts w:hint="eastAsia" w:ascii="宋体" w:hAnsi="宋体"/>
              </w:rPr>
            </w:pPr>
            <w:r>
              <w:rPr>
                <w:rFonts w:hint="eastAsia" w:ascii="宋体" w:hAnsi="宋体"/>
              </w:rPr>
              <w:t>2.技术保障服务</w:t>
            </w:r>
          </w:p>
          <w:p w14:paraId="31957487">
            <w:pPr>
              <w:spacing w:line="360" w:lineRule="exact"/>
              <w:ind w:firstLine="420" w:firstLineChars="200"/>
              <w:rPr>
                <w:rFonts w:hint="eastAsia" w:ascii="宋体" w:hAnsi="宋体"/>
              </w:rPr>
            </w:pPr>
            <w:r>
              <w:rPr>
                <w:rFonts w:hint="eastAsia" w:ascii="宋体" w:hAnsi="宋体"/>
              </w:rPr>
              <w:t>定期巡检及时掌握设备或系统在使用过程中的各种情况，发现问题及时排除，在故障响应时间内检查采购人反映的问题，并按时维修或者提供备品备件排除故障，保证设备或系统正常运行、正常使用。</w:t>
            </w:r>
          </w:p>
          <w:p w14:paraId="3A054ADD">
            <w:pPr>
              <w:spacing w:line="360" w:lineRule="exact"/>
              <w:ind w:firstLine="420" w:firstLineChars="200"/>
              <w:rPr>
                <w:rFonts w:hint="eastAsia" w:ascii="宋体" w:hAnsi="宋体"/>
              </w:rPr>
            </w:pPr>
            <w:r>
              <w:rPr>
                <w:rFonts w:hint="eastAsia" w:ascii="宋体" w:hAnsi="宋体"/>
              </w:rPr>
              <w:t>3.技术培训服务</w:t>
            </w:r>
          </w:p>
          <w:p w14:paraId="3AE24141">
            <w:pPr>
              <w:spacing w:line="360" w:lineRule="exact"/>
              <w:ind w:firstLine="420" w:firstLineChars="200"/>
              <w:rPr>
                <w:rFonts w:hint="eastAsia" w:ascii="宋体" w:hAnsi="宋体"/>
              </w:rPr>
            </w:pPr>
            <w:r>
              <w:rPr>
                <w:rFonts w:hint="eastAsia" w:ascii="宋体" w:hAnsi="宋体"/>
              </w:rPr>
              <w:t>为采购人相关人员提供专业的技术培训服务，每年不少于1次，根据实际需求，提供线上培训或集中培训等方式，培训服务包含以下内容：</w:t>
            </w:r>
          </w:p>
          <w:p w14:paraId="47D205B8">
            <w:pPr>
              <w:spacing w:line="360" w:lineRule="exact"/>
              <w:ind w:firstLine="420" w:firstLineChars="200"/>
              <w:rPr>
                <w:rFonts w:hint="eastAsia" w:ascii="宋体" w:hAnsi="宋体"/>
              </w:rPr>
            </w:pPr>
            <w:r>
              <w:rPr>
                <w:rFonts w:hint="eastAsia" w:ascii="宋体" w:hAnsi="宋体"/>
              </w:rPr>
              <w:t>（1）基础操作培训：涵盖系统的基本操作、功能使用等。</w:t>
            </w:r>
          </w:p>
          <w:p w14:paraId="47D27D74">
            <w:pPr>
              <w:spacing w:line="360" w:lineRule="exact"/>
              <w:ind w:firstLine="420" w:firstLineChars="200"/>
              <w:rPr>
                <w:rFonts w:hint="eastAsia" w:ascii="宋体" w:hAnsi="宋体"/>
              </w:rPr>
            </w:pPr>
            <w:r>
              <w:rPr>
                <w:rFonts w:hint="eastAsia" w:ascii="宋体" w:hAnsi="宋体"/>
              </w:rPr>
              <w:t>（2）高级功能培训：针对特定的高级功能或模块进行深入培训。</w:t>
            </w:r>
          </w:p>
          <w:p w14:paraId="064D26E8">
            <w:pPr>
              <w:spacing w:line="360" w:lineRule="exact"/>
              <w:ind w:firstLine="420" w:firstLineChars="200"/>
              <w:rPr>
                <w:rFonts w:hint="eastAsia" w:ascii="宋体" w:hAnsi="宋体"/>
              </w:rPr>
            </w:pPr>
            <w:r>
              <w:rPr>
                <w:rFonts w:hint="eastAsia" w:ascii="宋体" w:hAnsi="宋体"/>
              </w:rPr>
              <w:t>（3）系统管理与维护：针对系统维护、故障排除等系统管理培训。</w:t>
            </w:r>
          </w:p>
          <w:p w14:paraId="126B3952">
            <w:pPr>
              <w:spacing w:line="360" w:lineRule="exact"/>
              <w:ind w:firstLine="420" w:firstLineChars="200"/>
              <w:rPr>
                <w:rFonts w:hint="eastAsia" w:ascii="宋体" w:hAnsi="宋体"/>
              </w:rPr>
            </w:pPr>
            <w:r>
              <w:rPr>
                <w:rFonts w:hint="eastAsia" w:ascii="宋体" w:hAnsi="宋体"/>
              </w:rPr>
              <w:t>（4）制作下发详细的培训教材，培训课件，培训视频等。</w:t>
            </w:r>
          </w:p>
          <w:p w14:paraId="7B989005">
            <w:pPr>
              <w:spacing w:line="360" w:lineRule="exact"/>
              <w:ind w:firstLine="420" w:firstLineChars="200"/>
              <w:rPr>
                <w:rFonts w:hint="eastAsia" w:ascii="宋体" w:hAnsi="宋体"/>
              </w:rPr>
            </w:pPr>
            <w:r>
              <w:rPr>
                <w:rFonts w:hint="eastAsia" w:ascii="宋体" w:hAnsi="宋体"/>
              </w:rPr>
              <w:t>（5）提供后续培训服务，根据设备功能升级的调整、应用系统的升级、应用人员的变化，应用人员的能力提高等需求情况，根据特殊需求，提供针对性培训，培训方式为集中专题培训。</w:t>
            </w:r>
          </w:p>
          <w:p w14:paraId="5DFC5E68">
            <w:pPr>
              <w:spacing w:line="360" w:lineRule="exact"/>
              <w:ind w:firstLine="420" w:firstLineChars="200"/>
              <w:rPr>
                <w:rFonts w:hint="eastAsia" w:ascii="宋体" w:hAnsi="宋体"/>
              </w:rPr>
            </w:pPr>
            <w:r>
              <w:rPr>
                <w:rFonts w:hint="eastAsia" w:ascii="宋体" w:hAnsi="宋体"/>
              </w:rPr>
              <w:t>4.应急演练技术支撑服务</w:t>
            </w:r>
          </w:p>
          <w:p w14:paraId="78EDB003">
            <w:pPr>
              <w:spacing w:line="360" w:lineRule="exact"/>
              <w:ind w:firstLine="420" w:firstLineChars="200"/>
              <w:rPr>
                <w:rFonts w:hint="eastAsia" w:ascii="宋体" w:hAnsi="宋体"/>
              </w:rPr>
            </w:pPr>
            <w:r>
              <w:rPr>
                <w:rFonts w:hint="eastAsia" w:ascii="宋体" w:hAnsi="宋体"/>
              </w:rPr>
              <w:t>根据应急部门应急演练需要，提供应急演练技术支撑服务，包括但不限于通过模拟实际场景，测试团队成员间的沟通、协作与流程执行效率。</w:t>
            </w:r>
          </w:p>
          <w:p w14:paraId="5DD2CE28">
            <w:pPr>
              <w:spacing w:line="360" w:lineRule="exact"/>
              <w:ind w:firstLine="420" w:firstLineChars="200"/>
              <w:rPr>
                <w:rFonts w:hint="eastAsia" w:ascii="宋体" w:hAnsi="宋体"/>
              </w:rPr>
            </w:pPr>
            <w:r>
              <w:rPr>
                <w:rFonts w:hint="eastAsia" w:ascii="宋体" w:hAnsi="宋体"/>
              </w:rPr>
              <w:t>5.应急现场技术支撑服务</w:t>
            </w:r>
          </w:p>
          <w:p w14:paraId="7179985B">
            <w:pPr>
              <w:spacing w:line="360" w:lineRule="exact"/>
              <w:ind w:firstLine="420" w:firstLineChars="200"/>
              <w:rPr>
                <w:rFonts w:hint="eastAsia" w:ascii="宋体" w:hAnsi="宋体"/>
              </w:rPr>
            </w:pPr>
            <w:r>
              <w:rPr>
                <w:rFonts w:hint="eastAsia" w:ascii="宋体" w:hAnsi="宋体"/>
              </w:rPr>
              <w:t>设立专门的售后服务团队提供服务支持，提供现场技术支撑服务，确保用户能够及时获得帮助和解决问题。</w:t>
            </w:r>
          </w:p>
          <w:p w14:paraId="43E6947A">
            <w:pPr>
              <w:spacing w:line="360" w:lineRule="exact"/>
              <w:ind w:firstLine="420" w:firstLineChars="200"/>
              <w:rPr>
                <w:rFonts w:hint="eastAsia" w:ascii="宋体" w:hAnsi="宋体"/>
              </w:rPr>
            </w:pPr>
            <w:r>
              <w:rPr>
                <w:rFonts w:hint="eastAsia" w:ascii="宋体" w:hAnsi="宋体"/>
              </w:rPr>
              <w:t>（1）技术咨询：解答采购人在使用产品或解决方案过程中遇到的技术问题。</w:t>
            </w:r>
          </w:p>
          <w:p w14:paraId="22C36FE0">
            <w:pPr>
              <w:spacing w:line="360" w:lineRule="exact"/>
              <w:ind w:firstLine="420" w:firstLineChars="200"/>
              <w:rPr>
                <w:rFonts w:hint="eastAsia" w:ascii="宋体" w:hAnsi="宋体"/>
              </w:rPr>
            </w:pPr>
            <w:r>
              <w:rPr>
                <w:rFonts w:hint="eastAsia" w:ascii="宋体" w:hAnsi="宋体"/>
              </w:rPr>
              <w:t>（2）方案定制：根据采购人的具体需求，提供个性化的解决方案。</w:t>
            </w:r>
          </w:p>
          <w:p w14:paraId="25C84D76">
            <w:pPr>
              <w:spacing w:line="360" w:lineRule="exact"/>
              <w:ind w:firstLine="420" w:firstLineChars="200"/>
              <w:rPr>
                <w:rFonts w:hint="eastAsia" w:ascii="宋体" w:hAnsi="宋体"/>
              </w:rPr>
            </w:pPr>
            <w:r>
              <w:rPr>
                <w:rFonts w:hint="eastAsia" w:ascii="宋体" w:hAnsi="宋体"/>
              </w:rPr>
              <w:t>（3）技术支持：在采购人遇到技术难题时，提供远程或现场的技术支持。</w:t>
            </w:r>
          </w:p>
          <w:p w14:paraId="7DBB985C">
            <w:pPr>
              <w:spacing w:line="360" w:lineRule="exact"/>
              <w:ind w:firstLine="420" w:firstLineChars="200"/>
              <w:rPr>
                <w:rFonts w:hint="eastAsia" w:ascii="宋体" w:hAnsi="宋体"/>
              </w:rPr>
            </w:pPr>
            <w:r>
              <w:rPr>
                <w:rFonts w:hint="eastAsia" w:ascii="宋体" w:hAnsi="宋体"/>
              </w:rPr>
              <w:t>（4）应急响应：接故障通知后，在规定时间内对故障进行及时处理，如不能在规定时间内解决，应提供应急预案及备用产品，以保证采购人应急使用。</w:t>
            </w:r>
          </w:p>
        </w:tc>
      </w:tr>
      <w:tr w14:paraId="5CBF03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05" w:type="pct"/>
            <w:gridSpan w:val="3"/>
            <w:tcBorders>
              <w:top w:val="single" w:color="auto" w:sz="4" w:space="0"/>
              <w:left w:val="single" w:color="auto" w:sz="4" w:space="0"/>
              <w:bottom w:val="single" w:color="auto" w:sz="4" w:space="0"/>
              <w:right w:val="single" w:color="auto" w:sz="4" w:space="0"/>
            </w:tcBorders>
            <w:noWrap w:val="0"/>
            <w:vAlign w:val="center"/>
          </w:tcPr>
          <w:p w14:paraId="3CDD4FF5">
            <w:pPr>
              <w:spacing w:line="360" w:lineRule="exact"/>
              <w:rPr>
                <w:rFonts w:hint="eastAsia" w:ascii="宋体" w:hAnsi="宋体"/>
                <w:szCs w:val="21"/>
              </w:rPr>
            </w:pPr>
            <w:r>
              <w:rPr>
                <w:rFonts w:hint="eastAsia" w:ascii="宋体" w:hAnsi="宋体"/>
                <w:szCs w:val="21"/>
              </w:rPr>
              <w:t>付款方式</w:t>
            </w:r>
          </w:p>
        </w:tc>
        <w:tc>
          <w:tcPr>
            <w:tcW w:w="4194" w:type="pct"/>
            <w:gridSpan w:val="4"/>
            <w:tcBorders>
              <w:top w:val="single" w:color="auto" w:sz="4" w:space="0"/>
              <w:left w:val="nil"/>
              <w:bottom w:val="single" w:color="auto" w:sz="4" w:space="0"/>
              <w:right w:val="single" w:color="auto" w:sz="4" w:space="0"/>
            </w:tcBorders>
            <w:noWrap w:val="0"/>
            <w:vAlign w:val="center"/>
          </w:tcPr>
          <w:p w14:paraId="2DFAA9D9">
            <w:pPr>
              <w:spacing w:line="360" w:lineRule="exact"/>
              <w:ind w:firstLine="420" w:firstLineChars="200"/>
              <w:rPr>
                <w:rFonts w:hint="eastAsia" w:ascii="宋体" w:hAnsi="宋体"/>
                <w:szCs w:val="21"/>
              </w:rPr>
            </w:pPr>
            <w:r>
              <w:rPr>
                <w:rFonts w:hint="eastAsia" w:ascii="宋体" w:hAnsi="宋体"/>
                <w:szCs w:val="21"/>
              </w:rPr>
              <w:t>签订合同后中标供应商提供预付款同等价款保函【必须为无条件保函，且为独立保函（见索即付），由银行出具】后10个工作日内采购人支付合同款的40%作为预付款，本分标所有货物交付并最终验收合格后10个工作日内采购人付完剩余合同款。</w:t>
            </w:r>
          </w:p>
        </w:tc>
      </w:tr>
      <w:tr w14:paraId="3279CA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05" w:type="pct"/>
            <w:gridSpan w:val="3"/>
            <w:tcBorders>
              <w:top w:val="single" w:color="auto" w:sz="4" w:space="0"/>
              <w:left w:val="single" w:color="auto" w:sz="4" w:space="0"/>
              <w:bottom w:val="single" w:color="auto" w:sz="4" w:space="0"/>
              <w:right w:val="single" w:color="auto" w:sz="4" w:space="0"/>
            </w:tcBorders>
            <w:noWrap w:val="0"/>
            <w:vAlign w:val="center"/>
          </w:tcPr>
          <w:p w14:paraId="3C771BC9">
            <w:pPr>
              <w:spacing w:line="360" w:lineRule="exact"/>
              <w:rPr>
                <w:rFonts w:hint="eastAsia" w:ascii="宋体" w:hAnsi="宋体"/>
                <w:szCs w:val="21"/>
              </w:rPr>
            </w:pPr>
            <w:r>
              <w:rPr>
                <w:rFonts w:hint="eastAsia" w:ascii="宋体" w:hAnsi="宋体"/>
                <w:szCs w:val="21"/>
              </w:rPr>
              <w:t>报价及要求</w:t>
            </w:r>
          </w:p>
        </w:tc>
        <w:tc>
          <w:tcPr>
            <w:tcW w:w="4194" w:type="pct"/>
            <w:gridSpan w:val="4"/>
            <w:tcBorders>
              <w:top w:val="single" w:color="auto" w:sz="4" w:space="0"/>
              <w:left w:val="nil"/>
              <w:bottom w:val="single" w:color="auto" w:sz="4" w:space="0"/>
              <w:right w:val="single" w:color="auto" w:sz="4" w:space="0"/>
            </w:tcBorders>
            <w:noWrap w:val="0"/>
            <w:vAlign w:val="center"/>
          </w:tcPr>
          <w:p w14:paraId="033E12FA">
            <w:pPr>
              <w:spacing w:line="360" w:lineRule="exact"/>
              <w:ind w:firstLine="420" w:firstLineChars="200"/>
              <w:rPr>
                <w:rFonts w:hint="eastAsia" w:ascii="宋体" w:hAnsi="宋体"/>
                <w:szCs w:val="21"/>
              </w:rPr>
            </w:pPr>
            <w:r>
              <w:rPr>
                <w:rFonts w:hint="eastAsia" w:ascii="宋体" w:hAnsi="宋体"/>
                <w:szCs w:val="21"/>
              </w:rPr>
              <w:t>1.投标人的投标报价为人民币含税价，总价包干且为采购人指定地点的现场交货价。投标报价包含货物及服务所需的一切费用总和，包括但不限于货物价格、标准附件、备品备件、专用工具、包装、运输、装卸、保管、验收、货物检验检测、培训、本项目招标文件要求的售后服务及技术服务要求、技术支持、人员服务、保险、招标代理服务费、税金等，以及合同明示所有责任、义务和一般风险等，采购人不再支付任何费用。</w:t>
            </w:r>
          </w:p>
          <w:p w14:paraId="5E2C7789">
            <w:pPr>
              <w:spacing w:line="360" w:lineRule="exact"/>
              <w:ind w:firstLine="420" w:firstLineChars="200"/>
              <w:rPr>
                <w:rFonts w:hint="eastAsia" w:ascii="宋体" w:hAnsi="宋体"/>
                <w:szCs w:val="21"/>
              </w:rPr>
            </w:pPr>
            <w:r>
              <w:rPr>
                <w:rFonts w:hint="eastAsia" w:ascii="宋体" w:hAnsi="宋体"/>
                <w:szCs w:val="21"/>
              </w:rPr>
              <w:t>2.包装和运输</w:t>
            </w:r>
          </w:p>
          <w:p w14:paraId="2AEAE157">
            <w:pPr>
              <w:spacing w:line="360" w:lineRule="exact"/>
              <w:ind w:firstLine="420" w:firstLineChars="200"/>
              <w:rPr>
                <w:rFonts w:hint="eastAsia" w:ascii="宋体" w:hAnsi="宋体"/>
                <w:szCs w:val="21"/>
              </w:rPr>
            </w:pPr>
            <w:r>
              <w:rPr>
                <w:rFonts w:hint="eastAsia" w:ascii="宋体" w:hAnsi="宋体"/>
                <w:szCs w:val="21"/>
              </w:rPr>
              <w:t>（1）原厂原包装，包装完好、完整无破损、未开封。</w:t>
            </w:r>
          </w:p>
          <w:p w14:paraId="5DF3D5BF">
            <w:pPr>
              <w:spacing w:line="360" w:lineRule="exact"/>
              <w:ind w:firstLine="420" w:firstLineChars="200"/>
              <w:rPr>
                <w:rFonts w:hint="eastAsia" w:ascii="宋体" w:hAnsi="宋体"/>
                <w:szCs w:val="21"/>
              </w:rPr>
            </w:pPr>
            <w:r>
              <w:rPr>
                <w:rFonts w:hint="eastAsia" w:ascii="宋体" w:hAnsi="宋体"/>
                <w:szCs w:val="21"/>
              </w:rPr>
              <w:t>（2）包装及运输方式应综合考虑运输距离、防潮、防震、防破损、装卸等要求。</w:t>
            </w:r>
          </w:p>
          <w:p w14:paraId="49DAF981">
            <w:pPr>
              <w:spacing w:line="360" w:lineRule="exact"/>
              <w:ind w:firstLine="420" w:firstLineChars="200"/>
              <w:rPr>
                <w:rFonts w:hint="eastAsia" w:ascii="宋体" w:hAnsi="宋体"/>
                <w:szCs w:val="21"/>
              </w:rPr>
            </w:pPr>
            <w:r>
              <w:rPr>
                <w:rFonts w:hint="eastAsia" w:ascii="宋体" w:hAnsi="宋体"/>
                <w:szCs w:val="21"/>
              </w:rPr>
              <w:t>（3）国家对包装及运输有相关强制性标准或要求的，供应商应当执行。</w:t>
            </w:r>
          </w:p>
          <w:p w14:paraId="3F7F5ABA">
            <w:pPr>
              <w:spacing w:line="360" w:lineRule="exact"/>
              <w:ind w:firstLine="420" w:firstLineChars="200"/>
              <w:rPr>
                <w:rFonts w:hint="eastAsia" w:ascii="宋体" w:hAnsi="宋体"/>
                <w:szCs w:val="21"/>
              </w:rPr>
            </w:pPr>
            <w:r>
              <w:rPr>
                <w:rFonts w:hint="eastAsia" w:ascii="宋体" w:hAnsi="宋体"/>
                <w:szCs w:val="21"/>
              </w:rPr>
              <w:t>（4）货物（含包装）运抵采购人指定交付地点前发生损坏的，相关损失由供应商自行承担。</w:t>
            </w:r>
          </w:p>
          <w:p w14:paraId="2E33153A">
            <w:pPr>
              <w:spacing w:line="360" w:lineRule="exact"/>
              <w:ind w:firstLine="420" w:firstLineChars="200"/>
              <w:rPr>
                <w:rFonts w:hint="eastAsia" w:ascii="宋体" w:hAnsi="宋体"/>
                <w:szCs w:val="21"/>
              </w:rPr>
            </w:pPr>
            <w:r>
              <w:rPr>
                <w:rFonts w:hint="eastAsia" w:ascii="宋体" w:hAnsi="宋体"/>
                <w:szCs w:val="21"/>
              </w:rPr>
              <w:t>3.保险。若供应商为本项目标的及标的涉及的相关材料、货物、人员、运输等购买保险的，相关费用由供应商自行承担。</w:t>
            </w:r>
          </w:p>
        </w:tc>
      </w:tr>
      <w:tr w14:paraId="34BC29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05" w:type="pct"/>
            <w:gridSpan w:val="3"/>
            <w:tcBorders>
              <w:top w:val="single" w:color="auto" w:sz="4" w:space="0"/>
              <w:left w:val="single" w:color="auto" w:sz="4" w:space="0"/>
              <w:bottom w:val="single" w:color="auto" w:sz="4" w:space="0"/>
              <w:right w:val="single" w:color="auto" w:sz="4" w:space="0"/>
            </w:tcBorders>
            <w:noWrap w:val="0"/>
            <w:vAlign w:val="center"/>
          </w:tcPr>
          <w:p w14:paraId="1777C144">
            <w:pPr>
              <w:spacing w:line="360" w:lineRule="exact"/>
              <w:rPr>
                <w:rFonts w:hint="eastAsia" w:ascii="宋体" w:hAnsi="宋体"/>
                <w:szCs w:val="21"/>
              </w:rPr>
            </w:pPr>
            <w:r>
              <w:rPr>
                <w:rFonts w:hint="eastAsia" w:ascii="宋体" w:hAnsi="宋体"/>
                <w:szCs w:val="21"/>
              </w:rPr>
              <w:t>知识产权</w:t>
            </w:r>
          </w:p>
        </w:tc>
        <w:tc>
          <w:tcPr>
            <w:tcW w:w="4194" w:type="pct"/>
            <w:gridSpan w:val="4"/>
            <w:tcBorders>
              <w:top w:val="single" w:color="auto" w:sz="4" w:space="0"/>
              <w:left w:val="nil"/>
              <w:bottom w:val="single" w:color="auto" w:sz="4" w:space="0"/>
              <w:right w:val="single" w:color="auto" w:sz="4" w:space="0"/>
            </w:tcBorders>
            <w:noWrap w:val="0"/>
            <w:vAlign w:val="center"/>
          </w:tcPr>
          <w:p w14:paraId="1F22756E">
            <w:pPr>
              <w:spacing w:line="360" w:lineRule="exact"/>
              <w:ind w:right="-57" w:rightChars="-27" w:firstLine="420" w:firstLineChars="200"/>
              <w:jc w:val="left"/>
              <w:rPr>
                <w:rFonts w:hint="eastAsia" w:ascii="宋体" w:hAnsi="宋体"/>
                <w:szCs w:val="21"/>
              </w:rPr>
            </w:pPr>
            <w:r>
              <w:rPr>
                <w:rFonts w:hint="eastAsia" w:ascii="宋体" w:hAnsi="宋体"/>
                <w:szCs w:val="21"/>
              </w:rPr>
              <w:t>中标供应商保证所提供的货物及服务涉及到的知识产权和相关技术资料是合法取得的，采购人在使用货物及服务时不会侵犯任何第三方的专利权、商标权、工业设计权或其他权利，不会因为采购人的使用遭受第三方侵权指控，包括被责令致歉、停止使用、追偿或要求赔偿损失等，如果第三方提出侵权指控，中标供应商承担由此而引起的一切法律责任和费用；中标供应商负责解决由此引起的一切纠纷，采购人有权追究中标供应商的法律责任，其不利后果由中标供应商全部承担。</w:t>
            </w:r>
          </w:p>
        </w:tc>
      </w:tr>
      <w:tr w14:paraId="10809B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05" w:type="pct"/>
            <w:gridSpan w:val="3"/>
            <w:tcBorders>
              <w:top w:val="single" w:color="auto" w:sz="4" w:space="0"/>
              <w:left w:val="single" w:color="auto" w:sz="4" w:space="0"/>
              <w:bottom w:val="single" w:color="auto" w:sz="4" w:space="0"/>
              <w:right w:val="single" w:color="auto" w:sz="4" w:space="0"/>
            </w:tcBorders>
            <w:noWrap w:val="0"/>
            <w:vAlign w:val="center"/>
          </w:tcPr>
          <w:p w14:paraId="527B9DBD">
            <w:pPr>
              <w:spacing w:line="360" w:lineRule="exact"/>
              <w:rPr>
                <w:rFonts w:ascii="宋体" w:hAnsi="宋体"/>
                <w:szCs w:val="21"/>
              </w:rPr>
            </w:pPr>
            <w:r>
              <w:rPr>
                <w:rFonts w:hint="eastAsia" w:ascii="宋体" w:hAnsi="宋体"/>
                <w:szCs w:val="21"/>
              </w:rPr>
              <w:t>验收要求</w:t>
            </w:r>
          </w:p>
        </w:tc>
        <w:tc>
          <w:tcPr>
            <w:tcW w:w="4194" w:type="pct"/>
            <w:gridSpan w:val="4"/>
            <w:tcBorders>
              <w:top w:val="single" w:color="auto" w:sz="4" w:space="0"/>
              <w:left w:val="nil"/>
              <w:bottom w:val="single" w:color="auto" w:sz="4" w:space="0"/>
              <w:right w:val="single" w:color="auto" w:sz="4" w:space="0"/>
            </w:tcBorders>
            <w:noWrap w:val="0"/>
            <w:vAlign w:val="center"/>
          </w:tcPr>
          <w:p w14:paraId="1B76D6BC">
            <w:pPr>
              <w:adjustRightInd w:val="0"/>
              <w:snapToGrid w:val="0"/>
              <w:spacing w:line="360" w:lineRule="exact"/>
              <w:ind w:firstLine="420" w:firstLineChars="200"/>
              <w:outlineLvl w:val="0"/>
              <w:rPr>
                <w:rFonts w:hint="eastAsia" w:ascii="宋体" w:hAnsi="宋体"/>
                <w:szCs w:val="21"/>
              </w:rPr>
            </w:pPr>
            <w:r>
              <w:rPr>
                <w:rFonts w:hint="eastAsia" w:ascii="宋体" w:hAnsi="宋体"/>
                <w:szCs w:val="21"/>
              </w:rPr>
              <w:t>1.采购人可以根据采购项目具体情况自行组织验收，或者委托第三方机构或部门开展采购项目履约验收工作，验收过程中所产生的费用均由中标供应商承担，投标人在投标报价时应考虑相关费用。</w:t>
            </w:r>
          </w:p>
          <w:p w14:paraId="2AF51C3E">
            <w:pPr>
              <w:adjustRightInd w:val="0"/>
              <w:snapToGrid w:val="0"/>
              <w:spacing w:line="360" w:lineRule="exact"/>
              <w:ind w:firstLine="420" w:firstLineChars="200"/>
              <w:outlineLvl w:val="0"/>
              <w:rPr>
                <w:rFonts w:hint="eastAsia" w:ascii="宋体" w:hAnsi="宋体"/>
                <w:szCs w:val="21"/>
              </w:rPr>
            </w:pPr>
            <w:r>
              <w:rPr>
                <w:rFonts w:hint="eastAsia" w:ascii="宋体" w:hAnsi="宋体"/>
                <w:szCs w:val="21"/>
              </w:rPr>
              <w:t>2.在验收过程中发现中标供应商有违约问题，可暂缓资金结算，待违约问题解决后，方可办理资金结算事宜。</w:t>
            </w:r>
          </w:p>
          <w:p w14:paraId="7EDDE36A">
            <w:pPr>
              <w:adjustRightInd w:val="0"/>
              <w:snapToGrid w:val="0"/>
              <w:spacing w:line="360" w:lineRule="exact"/>
              <w:ind w:firstLine="420" w:firstLineChars="200"/>
              <w:outlineLvl w:val="0"/>
              <w:rPr>
                <w:rFonts w:hint="eastAsia" w:ascii="宋体" w:hAnsi="宋体"/>
                <w:szCs w:val="21"/>
              </w:rPr>
            </w:pPr>
            <w:r>
              <w:rPr>
                <w:rFonts w:hint="eastAsia" w:ascii="宋体" w:hAnsi="宋体"/>
                <w:szCs w:val="21"/>
              </w:rPr>
              <w:t>3.验收依据：按合同（含本招标文件采购需求、中标供应商投标文件承诺）要求及国家标准进行验收。</w:t>
            </w:r>
          </w:p>
          <w:p w14:paraId="11350028">
            <w:pPr>
              <w:adjustRightInd w:val="0"/>
              <w:snapToGrid w:val="0"/>
              <w:spacing w:line="360" w:lineRule="exact"/>
              <w:ind w:firstLine="420" w:firstLineChars="200"/>
              <w:outlineLvl w:val="0"/>
              <w:rPr>
                <w:rFonts w:hint="eastAsia" w:ascii="宋体" w:hAnsi="宋体"/>
                <w:szCs w:val="21"/>
              </w:rPr>
            </w:pPr>
            <w:r>
              <w:rPr>
                <w:rFonts w:hint="eastAsia" w:ascii="宋体" w:hAnsi="宋体"/>
                <w:szCs w:val="21"/>
              </w:rPr>
              <w:t>4.验收程序及要求</w:t>
            </w:r>
          </w:p>
          <w:p w14:paraId="5DB8C2DD">
            <w:pPr>
              <w:adjustRightInd w:val="0"/>
              <w:snapToGrid w:val="0"/>
              <w:spacing w:line="360" w:lineRule="exact"/>
              <w:ind w:firstLine="420" w:firstLineChars="200"/>
              <w:outlineLvl w:val="0"/>
              <w:rPr>
                <w:rFonts w:hint="eastAsia" w:ascii="宋体" w:hAnsi="宋体"/>
                <w:szCs w:val="21"/>
              </w:rPr>
            </w:pPr>
            <w:r>
              <w:rPr>
                <w:rFonts w:hint="eastAsia" w:ascii="宋体" w:hAnsi="宋体"/>
                <w:szCs w:val="21"/>
              </w:rPr>
              <w:t>4.1验收程序</w:t>
            </w:r>
          </w:p>
          <w:p w14:paraId="6D6FD397">
            <w:pPr>
              <w:adjustRightInd w:val="0"/>
              <w:snapToGrid w:val="0"/>
              <w:spacing w:line="360" w:lineRule="exact"/>
              <w:ind w:firstLine="420" w:firstLineChars="200"/>
              <w:outlineLvl w:val="0"/>
              <w:rPr>
                <w:rFonts w:hint="eastAsia" w:ascii="宋体" w:hAnsi="宋体"/>
                <w:szCs w:val="21"/>
              </w:rPr>
            </w:pPr>
            <w:r>
              <w:rPr>
                <w:rFonts w:hint="eastAsia" w:ascii="宋体" w:hAnsi="宋体"/>
                <w:szCs w:val="21"/>
              </w:rPr>
              <w:t>（1）中标供应商按时间节点完成货物供货后，应及时整理技术资料并作出全面检查和整理，列出清单（包括但不限于招标文件采购需求及采购合同约定的附件、工具、技术资料、货物使用说明书、合格证等），作为采购人验收和使用的技术条件依据，清单应交给采购人；同时以书面形式通知采购人进行验收，采购人在收到通知后五个工作日内进行验收。货物生产厂家须派授权代表参加本项目交货验收，核实所交货物的真伪；中标供应商必须到场配合。</w:t>
            </w:r>
          </w:p>
          <w:p w14:paraId="2ACB1838">
            <w:pPr>
              <w:adjustRightInd w:val="0"/>
              <w:snapToGrid w:val="0"/>
              <w:spacing w:line="360" w:lineRule="exact"/>
              <w:ind w:firstLine="420" w:firstLineChars="200"/>
              <w:outlineLvl w:val="0"/>
              <w:rPr>
                <w:rFonts w:hint="eastAsia" w:ascii="宋体" w:hAnsi="宋体"/>
                <w:szCs w:val="21"/>
              </w:rPr>
            </w:pPr>
            <w:r>
              <w:rPr>
                <w:rFonts w:hint="eastAsia" w:ascii="宋体" w:hAnsi="宋体"/>
                <w:szCs w:val="21"/>
              </w:rPr>
              <w:t>（2）中标供应商按采购人需求清单进行供货，货物交到指定地点后，双方现场进行货品清点。</w:t>
            </w:r>
          </w:p>
          <w:p w14:paraId="151023AD">
            <w:pPr>
              <w:adjustRightInd w:val="0"/>
              <w:snapToGrid w:val="0"/>
              <w:spacing w:line="360" w:lineRule="exact"/>
              <w:ind w:firstLine="420" w:firstLineChars="200"/>
              <w:outlineLvl w:val="0"/>
              <w:rPr>
                <w:rFonts w:hint="eastAsia" w:ascii="宋体" w:hAnsi="宋体"/>
                <w:szCs w:val="21"/>
              </w:rPr>
            </w:pPr>
            <w:r>
              <w:rPr>
                <w:rFonts w:hint="eastAsia" w:ascii="宋体" w:hAnsi="宋体"/>
                <w:szCs w:val="21"/>
              </w:rPr>
              <w:t>（3）验收小组依据招标文件技术参数条款要求和中标供应商投标响应文件内容，以及对所有需要进行核查的原件等逐条进行验收。供应商必须按投标文件和合同约定的品牌、规格供货，采购人在货物验收环节发现货物的技术参数指标不符合投标文件中技术参数响应的内容，验收不合格时，中标供应商必须在采购人指定的时间内无条件更换，由此造成的损失和责任由供应商承担；如二次验收仍不合格的，采购人有权拒收货物并单方面终止合同和追究中标供应商违约责任，中标供应商须赔偿由此给采购人造成的经济等方面损失，并视情形将违约情况上报政府采购监督管理部门，由此带来的一切责任由中标供应商自行承担。</w:t>
            </w:r>
          </w:p>
          <w:p w14:paraId="17FF8F0B">
            <w:pPr>
              <w:adjustRightInd w:val="0"/>
              <w:snapToGrid w:val="0"/>
              <w:spacing w:line="360" w:lineRule="exact"/>
              <w:ind w:firstLine="420" w:firstLineChars="200"/>
              <w:outlineLvl w:val="0"/>
              <w:rPr>
                <w:rFonts w:hint="eastAsia" w:ascii="宋体" w:hAnsi="宋体"/>
                <w:szCs w:val="21"/>
              </w:rPr>
            </w:pPr>
            <w:r>
              <w:rPr>
                <w:rFonts w:hint="eastAsia" w:ascii="宋体" w:hAnsi="宋体"/>
                <w:szCs w:val="21"/>
              </w:rPr>
              <w:t>（4）货物交付并验收合格，双方签署验收单，作为合同款结算依据。如出现停产等问题，供应商在获得厂家说明和承诺的前提下，经采购人同意可以用质量更优于合同约定的货物进行替代交付，价格不变。如采购人不同意更换的，供应商应同意采购人扣减对应货物的费用。</w:t>
            </w:r>
          </w:p>
          <w:p w14:paraId="035409C1">
            <w:pPr>
              <w:adjustRightInd w:val="0"/>
              <w:snapToGrid w:val="0"/>
              <w:spacing w:line="360" w:lineRule="exact"/>
              <w:ind w:firstLine="420" w:firstLineChars="200"/>
              <w:outlineLvl w:val="0"/>
              <w:rPr>
                <w:rFonts w:hint="eastAsia" w:ascii="宋体" w:hAnsi="宋体"/>
                <w:color w:val="FF0000"/>
                <w:szCs w:val="21"/>
              </w:rPr>
            </w:pPr>
            <w:r>
              <w:rPr>
                <w:rFonts w:hint="eastAsia" w:ascii="宋体" w:hAnsi="宋体"/>
                <w:szCs w:val="21"/>
              </w:rPr>
              <w:t>4.2验收要求</w:t>
            </w:r>
          </w:p>
          <w:p w14:paraId="0787E9F1">
            <w:pPr>
              <w:adjustRightInd w:val="0"/>
              <w:snapToGrid w:val="0"/>
              <w:spacing w:line="360" w:lineRule="exact"/>
              <w:ind w:firstLine="420" w:firstLineChars="200"/>
              <w:outlineLvl w:val="0"/>
              <w:rPr>
                <w:rFonts w:hint="eastAsia" w:ascii="宋体" w:hAnsi="宋体"/>
                <w:szCs w:val="21"/>
              </w:rPr>
            </w:pPr>
            <w:r>
              <w:rPr>
                <w:rFonts w:hint="eastAsia" w:ascii="宋体" w:hAnsi="宋体"/>
                <w:color w:val="000000"/>
                <w:szCs w:val="21"/>
              </w:rPr>
              <w:t>在任一单项验收环节，采购人、中标供应商以及采购人委托第三方机构代表（如委托验收）均应在场，其中序号1、2、3、4产品的生产厂家需派代表参加验收（持制造商法人授权委托书）。交付的货物及相关资料、备品备件等符合验收标准的为单项验收合格，不符合验收标准的为单项验收不合格。验收结果由采购人或采购人委托的第三方机构出具验收结果报告或验收书，列明各项标准的验收情况，由采购人、中标供应商、投标产品生产厂家各方代表（如参加）以及采购人委托第三方机构代表（如委托验收）共同签字确认并加盖采购人公章。验收结果报告或验收书一式三份，采购人、中标供应商双方各一份，采购人委托第三方机构（如委托验收）一份。验收结果报告或验收书经多方代表签字后即视为验收结果已通知采购人、中标供应商双方。如中标供应商或制造商对验收结果有异议的，应在验收现场以书面的形式出具说明，否则视为认可验收结果。单项验收不合格的，中标供应商应在不同验收阶段的当次验收后5个工作日内就</w:t>
            </w:r>
            <w:r>
              <w:rPr>
                <w:rFonts w:hint="eastAsia" w:ascii="宋体" w:hAnsi="宋体"/>
                <w:szCs w:val="21"/>
              </w:rPr>
              <w:t>不符合要求项以补充、更换、修理等采购人认可的方式进行整改并重新验收，未按时进行整改或整改后重新验收仍不合格的视为最终验收不合格，采购人不予支付货款，中标供应商须退回采购人所付的所有货款，并向采购人支付合同总金额30%的违约金，且赔偿采购人因此而造成的所有损失。</w:t>
            </w:r>
          </w:p>
          <w:p w14:paraId="2DCA76D9">
            <w:pPr>
              <w:adjustRightInd w:val="0"/>
              <w:snapToGrid w:val="0"/>
              <w:spacing w:line="360" w:lineRule="exact"/>
              <w:ind w:firstLine="420" w:firstLineChars="200"/>
              <w:outlineLvl w:val="0"/>
              <w:rPr>
                <w:rFonts w:hint="eastAsia" w:ascii="宋体" w:hAnsi="宋体"/>
                <w:szCs w:val="21"/>
              </w:rPr>
            </w:pPr>
            <w:r>
              <w:rPr>
                <w:rFonts w:hint="eastAsia" w:ascii="宋体" w:hAnsi="宋体"/>
                <w:szCs w:val="21"/>
              </w:rPr>
              <w:t>（2）对技术复杂的货物，采购人可请国家认可的专业检测机构参与验收，并由其出具质量检测报告，检测费用由中标供应商承担。</w:t>
            </w:r>
          </w:p>
          <w:p w14:paraId="24DEB937">
            <w:pPr>
              <w:adjustRightInd w:val="0"/>
              <w:snapToGrid w:val="0"/>
              <w:spacing w:line="360" w:lineRule="exact"/>
              <w:ind w:firstLine="420" w:firstLineChars="200"/>
              <w:outlineLvl w:val="0"/>
              <w:rPr>
                <w:rFonts w:hint="eastAsia" w:ascii="宋体" w:hAnsi="宋体"/>
                <w:szCs w:val="21"/>
              </w:rPr>
            </w:pPr>
            <w:r>
              <w:rPr>
                <w:rFonts w:hint="eastAsia" w:ascii="宋体" w:hAnsi="宋体"/>
                <w:szCs w:val="21"/>
              </w:rPr>
              <w:t>（3）货物损毁、灭失的风险，自货物最终验收合格之日起由采购人承担。</w:t>
            </w:r>
          </w:p>
          <w:p w14:paraId="1593B4B3">
            <w:pPr>
              <w:adjustRightInd w:val="0"/>
              <w:snapToGrid w:val="0"/>
              <w:spacing w:line="360" w:lineRule="exact"/>
              <w:ind w:firstLine="420" w:firstLineChars="200"/>
              <w:outlineLvl w:val="0"/>
              <w:rPr>
                <w:rFonts w:hint="eastAsia" w:ascii="宋体" w:hAnsi="宋体"/>
                <w:szCs w:val="21"/>
              </w:rPr>
            </w:pPr>
            <w:r>
              <w:rPr>
                <w:rFonts w:hint="eastAsia" w:ascii="宋体" w:hAnsi="宋体"/>
                <w:szCs w:val="21"/>
              </w:rPr>
              <w:t>（4）依据国家和行业有关法规、技术标准规定和设计文件要求，结合项目现场实际情况进行验收质量抽查工作，由采购人或采购人委托的第三方机构进行抽查，抽查的数量，应不少于设备采购数量的1/3，且须兼顾每类设备。抽查验收不合格的，由中标供应商在规定时间内进行整改。</w:t>
            </w:r>
          </w:p>
          <w:p w14:paraId="611C3860">
            <w:pPr>
              <w:adjustRightInd w:val="0"/>
              <w:snapToGrid w:val="0"/>
              <w:spacing w:line="360" w:lineRule="exact"/>
              <w:ind w:firstLine="420" w:firstLineChars="200"/>
              <w:outlineLvl w:val="0"/>
              <w:rPr>
                <w:rFonts w:hint="eastAsia" w:ascii="宋体" w:hAnsi="宋体"/>
                <w:szCs w:val="21"/>
              </w:rPr>
            </w:pPr>
            <w:r>
              <w:rPr>
                <w:rFonts w:hint="eastAsia" w:ascii="宋体" w:hAnsi="宋体"/>
                <w:szCs w:val="21"/>
              </w:rPr>
              <w:t>（5）验收地点及验收期限：到货验收地点为货物交付地点，其他验收地点为货物使用或安装地点；各单项验收应在采购人收到中标供应商的书面验收申请后5个工作日内组织。中标供应商在提出验收申请时，应确保已具备验收条件。</w:t>
            </w:r>
          </w:p>
          <w:p w14:paraId="7434B47C">
            <w:pPr>
              <w:adjustRightInd w:val="0"/>
              <w:snapToGrid w:val="0"/>
              <w:spacing w:line="360" w:lineRule="exact"/>
              <w:ind w:firstLine="420" w:firstLineChars="200"/>
              <w:outlineLvl w:val="0"/>
              <w:rPr>
                <w:rFonts w:hint="eastAsia" w:ascii="宋体" w:hAnsi="宋体"/>
                <w:szCs w:val="21"/>
              </w:rPr>
            </w:pPr>
            <w:r>
              <w:rPr>
                <w:rFonts w:hint="eastAsia" w:ascii="宋体" w:hAnsi="宋体"/>
                <w:szCs w:val="21"/>
              </w:rPr>
              <w:t>（6）验收标准：</w:t>
            </w:r>
          </w:p>
          <w:p w14:paraId="57914ECE">
            <w:pPr>
              <w:adjustRightInd w:val="0"/>
              <w:snapToGrid w:val="0"/>
              <w:spacing w:line="360" w:lineRule="exact"/>
              <w:ind w:firstLine="420" w:firstLineChars="200"/>
              <w:outlineLvl w:val="0"/>
              <w:rPr>
                <w:rFonts w:hint="eastAsia" w:ascii="宋体" w:hAnsi="宋体"/>
                <w:szCs w:val="21"/>
              </w:rPr>
            </w:pPr>
            <w:r>
              <w:rPr>
                <w:rFonts w:hint="eastAsia" w:ascii="宋体" w:hAnsi="宋体"/>
                <w:szCs w:val="21"/>
              </w:rPr>
              <w:t>按国家有关标准以及采购人招标文件的采购需求、中标供应商的投标文件响应及承诺与本合同约定进行验收。如果货物中有执行国家强制标准的，则验收标准不得低于国家强制标准。</w:t>
            </w:r>
          </w:p>
          <w:p w14:paraId="28BFE2D4">
            <w:pPr>
              <w:adjustRightInd w:val="0"/>
              <w:snapToGrid w:val="0"/>
              <w:spacing w:line="360" w:lineRule="exact"/>
              <w:ind w:firstLine="420" w:firstLineChars="200"/>
              <w:outlineLvl w:val="0"/>
              <w:rPr>
                <w:rFonts w:hint="eastAsia" w:ascii="宋体" w:hAnsi="宋体"/>
                <w:szCs w:val="21"/>
              </w:rPr>
            </w:pPr>
            <w:r>
              <w:rPr>
                <w:rFonts w:hint="eastAsia" w:ascii="宋体" w:hAnsi="宋体"/>
                <w:szCs w:val="21"/>
              </w:rPr>
              <w:t>（7）现场验收</w:t>
            </w:r>
          </w:p>
          <w:p w14:paraId="112BB3F6">
            <w:pPr>
              <w:adjustRightInd w:val="0"/>
              <w:snapToGrid w:val="0"/>
              <w:spacing w:line="360" w:lineRule="exact"/>
              <w:ind w:firstLine="420" w:firstLineChars="200"/>
              <w:outlineLvl w:val="0"/>
              <w:rPr>
                <w:rFonts w:hint="eastAsia" w:ascii="宋体" w:hAnsi="宋体"/>
                <w:szCs w:val="21"/>
              </w:rPr>
            </w:pPr>
            <w:r>
              <w:rPr>
                <w:rFonts w:hint="eastAsia" w:ascii="宋体" w:hAnsi="宋体"/>
                <w:szCs w:val="21"/>
              </w:rPr>
              <w:t>①依据产品供货清单共同对设备进行检查，并对产品的数量、品质（设备的外观颜色及状态、技术参数指标的核验、生产许可/出厂合格证、随机备品备件及工具、附属机具或配套设施、设备调试及试运行等方面的综合情况）进行逐项检查。验收时发现短缺、破损，采购人有权要求中标供应商立即补发和负责更换。</w:t>
            </w:r>
          </w:p>
          <w:p w14:paraId="1186ECFF">
            <w:pPr>
              <w:adjustRightInd w:val="0"/>
              <w:snapToGrid w:val="0"/>
              <w:spacing w:line="360" w:lineRule="exact"/>
              <w:ind w:firstLine="420" w:firstLineChars="200"/>
              <w:outlineLvl w:val="0"/>
              <w:rPr>
                <w:rFonts w:hint="eastAsia" w:ascii="宋体" w:hAnsi="宋体"/>
                <w:szCs w:val="21"/>
              </w:rPr>
            </w:pPr>
            <w:r>
              <w:rPr>
                <w:rFonts w:hint="eastAsia" w:ascii="宋体" w:hAnsi="宋体"/>
                <w:szCs w:val="21"/>
              </w:rPr>
              <w:t>②投标产品和设备经过双方检验认可后，签署验收报告，产品保修期自验收合格之日起算，由中标供应商提供货物保修文件。</w:t>
            </w:r>
          </w:p>
          <w:p w14:paraId="3B1430E4">
            <w:pPr>
              <w:adjustRightInd w:val="0"/>
              <w:snapToGrid w:val="0"/>
              <w:spacing w:line="360" w:lineRule="exact"/>
              <w:ind w:firstLine="420" w:firstLineChars="200"/>
              <w:outlineLvl w:val="0"/>
              <w:rPr>
                <w:rFonts w:hint="eastAsia" w:ascii="宋体" w:hAnsi="宋体"/>
                <w:szCs w:val="21"/>
              </w:rPr>
            </w:pPr>
            <w:r>
              <w:rPr>
                <w:rFonts w:hint="eastAsia" w:ascii="宋体" w:hAnsi="宋体"/>
                <w:szCs w:val="21"/>
              </w:rPr>
              <w:t>③产品经过试运行（如有），所有性能指标达到要求时，可进行最终验收。在试运行期间，由于产品质量等造成某些指标达不到要求，允许中标供应商更换或进行调试，在全部达到要求时，双方签署最终验收文件。</w:t>
            </w:r>
          </w:p>
          <w:p w14:paraId="729C79B3">
            <w:pPr>
              <w:adjustRightInd w:val="0"/>
              <w:snapToGrid w:val="0"/>
              <w:spacing w:line="360" w:lineRule="exact"/>
              <w:ind w:firstLine="420" w:firstLineChars="200"/>
              <w:outlineLvl w:val="0"/>
              <w:rPr>
                <w:rFonts w:hint="eastAsia" w:ascii="宋体" w:hAnsi="宋体"/>
                <w:szCs w:val="21"/>
              </w:rPr>
            </w:pPr>
            <w:r>
              <w:rPr>
                <w:rFonts w:hint="eastAsia" w:ascii="宋体" w:hAnsi="宋体"/>
                <w:szCs w:val="21"/>
              </w:rPr>
              <w:t>④验收过程中，如双方不能达成一致意见时，采购人可以邀请市级或以上质量技术监督部门对中标产品进行（设备参数指标符合度等方面）质量仲裁的检验鉴定，并向采购人出具合格的检验报告单。经市级或以上质量技术监督部门检验合格，验收小组无正当理由的须予以验收通过；检验不合格，中标供货商可于15日内重新向采购人提供经检验合格的设备，并自行承担产生的全部费用。</w:t>
            </w:r>
          </w:p>
          <w:p w14:paraId="75830ED1">
            <w:pPr>
              <w:adjustRightInd w:val="0"/>
              <w:snapToGrid w:val="0"/>
              <w:spacing w:line="360" w:lineRule="exact"/>
              <w:ind w:firstLine="420" w:firstLineChars="200"/>
              <w:outlineLvl w:val="0"/>
              <w:rPr>
                <w:rFonts w:hint="eastAsia" w:ascii="宋体" w:hAnsi="宋体"/>
                <w:szCs w:val="21"/>
              </w:rPr>
            </w:pPr>
            <w:r>
              <w:rPr>
                <w:rFonts w:hint="eastAsia" w:ascii="宋体" w:hAnsi="宋体"/>
                <w:szCs w:val="21"/>
              </w:rPr>
              <w:t>⑤如未能按期提供合格设备，采购人将终止采购并追究中标供应商相关赔偿责任。</w:t>
            </w:r>
          </w:p>
          <w:p w14:paraId="74849915">
            <w:pPr>
              <w:spacing w:line="360" w:lineRule="exact"/>
              <w:ind w:right="-57" w:rightChars="-27" w:firstLine="420" w:firstLineChars="200"/>
              <w:jc w:val="left"/>
              <w:rPr>
                <w:rFonts w:hint="eastAsia" w:ascii="宋体" w:hAnsi="宋体"/>
                <w:szCs w:val="21"/>
              </w:rPr>
            </w:pPr>
            <w:r>
              <w:rPr>
                <w:rFonts w:hint="eastAsia" w:ascii="宋体" w:hAnsi="宋体"/>
                <w:szCs w:val="21"/>
              </w:rPr>
              <w:t>5.其他未尽事宜应严格按照《关于印发广西壮族自治区政府采购项目履约验收管理办法的通知》[桂财采〔2015〕22号]以及《财政部关于进一步加强政府采购需求和履约验收管理的指导意见》[财库〔2016〕205号]规定执行。</w:t>
            </w:r>
          </w:p>
        </w:tc>
      </w:tr>
      <w:tr w14:paraId="60E4AA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05" w:type="pct"/>
            <w:gridSpan w:val="3"/>
            <w:tcBorders>
              <w:top w:val="single" w:color="auto" w:sz="4" w:space="0"/>
              <w:left w:val="single" w:color="auto" w:sz="4" w:space="0"/>
              <w:bottom w:val="single" w:color="auto" w:sz="4" w:space="0"/>
              <w:right w:val="single" w:color="auto" w:sz="4" w:space="0"/>
            </w:tcBorders>
            <w:noWrap w:val="0"/>
            <w:vAlign w:val="center"/>
          </w:tcPr>
          <w:p w14:paraId="4017E0C7">
            <w:pPr>
              <w:snapToGrid w:val="0"/>
              <w:spacing w:line="360" w:lineRule="exact"/>
              <w:rPr>
                <w:rFonts w:hint="eastAsia" w:ascii="宋体" w:hAnsi="宋体"/>
                <w:szCs w:val="21"/>
              </w:rPr>
            </w:pPr>
            <w:r>
              <w:rPr>
                <w:rFonts w:hint="eastAsia" w:ascii="宋体" w:hAnsi="宋体"/>
                <w:szCs w:val="21"/>
              </w:rPr>
              <w:t>履约保证金</w:t>
            </w:r>
          </w:p>
        </w:tc>
        <w:tc>
          <w:tcPr>
            <w:tcW w:w="4194" w:type="pct"/>
            <w:gridSpan w:val="4"/>
            <w:tcBorders>
              <w:top w:val="single" w:color="auto" w:sz="4" w:space="0"/>
              <w:left w:val="nil"/>
              <w:bottom w:val="single" w:color="auto" w:sz="4" w:space="0"/>
              <w:right w:val="single" w:color="auto" w:sz="4" w:space="0"/>
            </w:tcBorders>
            <w:noWrap w:val="0"/>
            <w:vAlign w:val="top"/>
          </w:tcPr>
          <w:p w14:paraId="1DF4D6AB">
            <w:pPr>
              <w:spacing w:line="340" w:lineRule="exact"/>
              <w:ind w:firstLine="420" w:firstLineChars="200"/>
              <w:rPr>
                <w:rFonts w:hint="eastAsia" w:ascii="宋体" w:hAnsi="宋体"/>
                <w:szCs w:val="21"/>
              </w:rPr>
            </w:pPr>
            <w:r>
              <w:rPr>
                <w:rFonts w:hint="eastAsia" w:ascii="宋体" w:hAnsi="宋体"/>
                <w:szCs w:val="21"/>
              </w:rPr>
              <w:t>1.履约保证金金额：按合同金额的5%收取。</w:t>
            </w:r>
            <w:r>
              <w:rPr>
                <w:rFonts w:hint="eastAsia" w:ascii="宋体" w:hAnsi="宋体"/>
                <w:bCs/>
                <w:spacing w:val="-4"/>
                <w:szCs w:val="21"/>
              </w:rPr>
              <w:t>（若中标供应商符合《政府采购促进中小企业发展管理办法》（财库〔2020〕46号）及《广西壮族自治区财政厅关于持续优化政府采购营商环境推动高质量发展的通知》（桂财采〔2024〕55号）规定的，履约保证金将按</w:t>
            </w:r>
            <w:r>
              <w:rPr>
                <w:rFonts w:hint="eastAsia" w:ascii="宋体" w:hAnsi="宋体"/>
                <w:szCs w:val="21"/>
              </w:rPr>
              <w:t>合同金额的</w:t>
            </w:r>
            <w:r>
              <w:rPr>
                <w:rFonts w:hint="eastAsia" w:ascii="宋体" w:hAnsi="宋体"/>
                <w:bCs/>
                <w:spacing w:val="-4"/>
                <w:szCs w:val="21"/>
              </w:rPr>
              <w:t>2%收取。）</w:t>
            </w:r>
          </w:p>
          <w:p w14:paraId="512B6E51">
            <w:pPr>
              <w:spacing w:line="340" w:lineRule="exact"/>
              <w:ind w:firstLine="420" w:firstLineChars="200"/>
              <w:rPr>
                <w:rFonts w:hint="eastAsia" w:ascii="宋体" w:hAnsi="宋体"/>
                <w:szCs w:val="21"/>
              </w:rPr>
            </w:pPr>
            <w:r>
              <w:rPr>
                <w:rFonts w:hint="eastAsia" w:ascii="宋体" w:hAnsi="宋体"/>
                <w:szCs w:val="21"/>
              </w:rPr>
              <w:t>2.履约保证金递交方式：银行转账、支票、汇票、本票、保函等非现金方式。</w:t>
            </w:r>
          </w:p>
          <w:p w14:paraId="79FCEE70">
            <w:pPr>
              <w:spacing w:line="340" w:lineRule="exact"/>
              <w:ind w:firstLine="420" w:firstLineChars="200"/>
              <w:rPr>
                <w:rFonts w:hint="eastAsia" w:ascii="宋体" w:hAnsi="宋体"/>
                <w:szCs w:val="21"/>
              </w:rPr>
            </w:pPr>
            <w:r>
              <w:rPr>
                <w:rFonts w:hint="eastAsia" w:ascii="宋体" w:hAnsi="宋体"/>
                <w:szCs w:val="21"/>
              </w:rPr>
              <w:t>3.履约保证金缴纳期限：自中标通知书发出之日起10个工作日内。</w:t>
            </w:r>
          </w:p>
          <w:p w14:paraId="72A750C8">
            <w:pPr>
              <w:spacing w:line="340" w:lineRule="exact"/>
              <w:ind w:firstLine="420" w:firstLineChars="200"/>
              <w:rPr>
                <w:rFonts w:hint="eastAsia" w:ascii="宋体" w:hAnsi="宋体"/>
                <w:szCs w:val="21"/>
              </w:rPr>
            </w:pPr>
            <w:r>
              <w:rPr>
                <w:rFonts w:hint="eastAsia" w:ascii="宋体" w:hAnsi="宋体"/>
                <w:szCs w:val="21"/>
              </w:rPr>
              <w:t>4.履约保证金退付方式、时间及条件：履约保证金在项目履约完成（按合同约定履行完合同所有内容）后，由中标供应商向采购人提出申请，采购人在收到申请材料后对相关违约情况进行核对，如有违约或赔偿的，涉及违约的违约金和损失赔偿从履约保证金中扣减，如有剩余采购人在5个工作日内退还（不计利息）；不足扣减的，采购人有权从未支付的合同款中（如有）扣除；履约保证金不足以抵扣违约或赔偿的，采购人有权另外向中标供应商追偿损失。</w:t>
            </w:r>
          </w:p>
          <w:p w14:paraId="426B87AE">
            <w:pPr>
              <w:spacing w:line="340" w:lineRule="exact"/>
              <w:ind w:firstLine="420" w:firstLineChars="200"/>
              <w:rPr>
                <w:rFonts w:hint="eastAsia" w:ascii="宋体" w:hAnsi="宋体"/>
                <w:szCs w:val="21"/>
              </w:rPr>
            </w:pPr>
            <w:r>
              <w:rPr>
                <w:rFonts w:hint="eastAsia" w:ascii="宋体" w:hAnsi="宋体"/>
                <w:szCs w:val="21"/>
              </w:rPr>
              <w:t>5.不予退还的情形：签订合同后，如中标供应商不按双方签订的合同规定履约，则其全部履约保证金不予退还。</w:t>
            </w:r>
          </w:p>
          <w:p w14:paraId="178CFC29">
            <w:pPr>
              <w:spacing w:line="340" w:lineRule="exact"/>
              <w:ind w:firstLine="420" w:firstLineChars="200"/>
              <w:rPr>
                <w:rFonts w:hint="eastAsia" w:ascii="宋体" w:hAnsi="宋体"/>
                <w:szCs w:val="21"/>
              </w:rPr>
            </w:pPr>
            <w:r>
              <w:rPr>
                <w:rFonts w:hint="eastAsia" w:ascii="宋体" w:hAnsi="宋体"/>
                <w:szCs w:val="21"/>
              </w:rPr>
              <w:t xml:space="preserve">6.履约保证金指定账户： </w:t>
            </w:r>
          </w:p>
          <w:p w14:paraId="1E93EBFF">
            <w:pPr>
              <w:spacing w:line="340" w:lineRule="exact"/>
              <w:ind w:firstLine="420" w:firstLineChars="200"/>
              <w:rPr>
                <w:rFonts w:hint="eastAsia" w:ascii="宋体" w:hAnsi="宋体"/>
                <w:szCs w:val="21"/>
                <w:u w:val="single"/>
              </w:rPr>
            </w:pPr>
            <w:r>
              <w:rPr>
                <w:rFonts w:hint="eastAsia" w:ascii="宋体" w:hAnsi="宋体"/>
                <w:szCs w:val="21"/>
                <w:u w:val="single"/>
              </w:rPr>
              <w:t xml:space="preserve">开户名称：广西壮族自治区公路发展中心 </w:t>
            </w:r>
          </w:p>
          <w:p w14:paraId="14AA634E">
            <w:pPr>
              <w:spacing w:line="340" w:lineRule="exact"/>
              <w:ind w:firstLine="420" w:firstLineChars="200"/>
              <w:rPr>
                <w:rFonts w:hint="eastAsia" w:ascii="宋体" w:hAnsi="宋体"/>
                <w:szCs w:val="21"/>
                <w:u w:val="single"/>
              </w:rPr>
            </w:pPr>
            <w:r>
              <w:rPr>
                <w:rFonts w:hint="eastAsia" w:ascii="宋体" w:hAnsi="宋体"/>
                <w:szCs w:val="21"/>
                <w:u w:val="single"/>
              </w:rPr>
              <w:t xml:space="preserve">开户银行：工行南宁市市府支行  </w:t>
            </w:r>
          </w:p>
          <w:p w14:paraId="5DF19D56">
            <w:pPr>
              <w:snapToGrid w:val="0"/>
              <w:spacing w:line="360" w:lineRule="exact"/>
              <w:ind w:firstLine="420" w:firstLineChars="200"/>
              <w:outlineLvl w:val="0"/>
              <w:rPr>
                <w:rFonts w:hint="eastAsia" w:ascii="宋体" w:hAnsi="宋体"/>
                <w:kern w:val="0"/>
                <w:sz w:val="20"/>
                <w:szCs w:val="21"/>
                <w:u w:val="single"/>
              </w:rPr>
            </w:pPr>
            <w:r>
              <w:rPr>
                <w:rFonts w:hint="eastAsia" w:ascii="宋体" w:hAnsi="宋体"/>
                <w:kern w:val="2"/>
                <w:sz w:val="21"/>
                <w:szCs w:val="21"/>
                <w:u w:val="single"/>
              </w:rPr>
              <w:t xml:space="preserve">银行账号：2102174609221000218   </w:t>
            </w:r>
          </w:p>
        </w:tc>
      </w:tr>
      <w:tr w14:paraId="098131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00" w:type="pct"/>
            <w:gridSpan w:val="7"/>
            <w:tcBorders>
              <w:top w:val="single" w:color="auto" w:sz="4" w:space="0"/>
              <w:left w:val="single" w:color="auto" w:sz="4" w:space="0"/>
              <w:bottom w:val="single" w:color="auto" w:sz="4" w:space="0"/>
              <w:right w:val="single" w:color="auto" w:sz="4" w:space="0"/>
            </w:tcBorders>
            <w:noWrap w:val="0"/>
            <w:vAlign w:val="center"/>
          </w:tcPr>
          <w:p w14:paraId="2829EA4B">
            <w:pPr>
              <w:spacing w:line="360" w:lineRule="exact"/>
              <w:rPr>
                <w:rFonts w:hint="eastAsia" w:ascii="宋体" w:hAnsi="宋体"/>
                <w:b/>
                <w:bCs/>
                <w:szCs w:val="21"/>
              </w:rPr>
            </w:pPr>
            <w:r>
              <w:rPr>
                <w:rFonts w:hint="eastAsia" w:ascii="宋体" w:hAnsi="宋体"/>
                <w:b/>
                <w:bCs/>
                <w:szCs w:val="21"/>
              </w:rPr>
              <w:t>二、与实现项目目标相关的其他要求</w:t>
            </w:r>
          </w:p>
        </w:tc>
      </w:tr>
      <w:tr w14:paraId="3C3DF6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00" w:type="pct"/>
            <w:gridSpan w:val="7"/>
            <w:tcBorders>
              <w:top w:val="single" w:color="auto" w:sz="4" w:space="0"/>
              <w:left w:val="single" w:color="auto" w:sz="4" w:space="0"/>
              <w:bottom w:val="single" w:color="auto" w:sz="4" w:space="0"/>
              <w:right w:val="single" w:color="auto" w:sz="4" w:space="0"/>
            </w:tcBorders>
            <w:noWrap w:val="0"/>
            <w:vAlign w:val="center"/>
          </w:tcPr>
          <w:p w14:paraId="5BDFC5CF">
            <w:pPr>
              <w:spacing w:line="360" w:lineRule="exact"/>
              <w:rPr>
                <w:rFonts w:hint="eastAsia" w:ascii="宋体" w:hAnsi="宋体"/>
                <w:b/>
                <w:szCs w:val="21"/>
              </w:rPr>
            </w:pPr>
            <w:r>
              <w:rPr>
                <w:rFonts w:hint="eastAsia" w:ascii="宋体" w:hAnsi="宋体"/>
                <w:b/>
                <w:szCs w:val="21"/>
              </w:rPr>
              <w:t>（一）投标人的履约能力要求</w:t>
            </w:r>
          </w:p>
        </w:tc>
      </w:tr>
      <w:tr w14:paraId="4EAA93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05" w:type="pct"/>
            <w:gridSpan w:val="3"/>
            <w:tcBorders>
              <w:top w:val="single" w:color="auto" w:sz="4" w:space="0"/>
              <w:left w:val="single" w:color="auto" w:sz="4" w:space="0"/>
              <w:bottom w:val="single" w:color="auto" w:sz="4" w:space="0"/>
              <w:right w:val="single" w:color="auto" w:sz="4" w:space="0"/>
            </w:tcBorders>
            <w:noWrap w:val="0"/>
            <w:vAlign w:val="center"/>
          </w:tcPr>
          <w:p w14:paraId="22B4F050">
            <w:pPr>
              <w:spacing w:line="360" w:lineRule="exact"/>
              <w:rPr>
                <w:rFonts w:hint="eastAsia" w:ascii="宋体" w:hAnsi="宋体"/>
                <w:szCs w:val="21"/>
              </w:rPr>
            </w:pPr>
            <w:r>
              <w:rPr>
                <w:rFonts w:hint="eastAsia" w:ascii="宋体" w:hAnsi="宋体"/>
                <w:szCs w:val="21"/>
              </w:rPr>
              <w:t>质量管理、企业信用要求</w:t>
            </w:r>
          </w:p>
        </w:tc>
        <w:tc>
          <w:tcPr>
            <w:tcW w:w="4194" w:type="pct"/>
            <w:gridSpan w:val="4"/>
            <w:tcBorders>
              <w:top w:val="single" w:color="auto" w:sz="4" w:space="0"/>
              <w:left w:val="nil"/>
              <w:bottom w:val="single" w:color="auto" w:sz="4" w:space="0"/>
              <w:right w:val="single" w:color="auto" w:sz="4" w:space="0"/>
            </w:tcBorders>
            <w:noWrap w:val="0"/>
            <w:vAlign w:val="center"/>
          </w:tcPr>
          <w:p w14:paraId="251998AD">
            <w:pPr>
              <w:spacing w:line="360" w:lineRule="exact"/>
              <w:rPr>
                <w:rFonts w:hint="eastAsia" w:ascii="宋体" w:hAnsi="宋体"/>
                <w:szCs w:val="21"/>
              </w:rPr>
            </w:pPr>
            <w:r>
              <w:rPr>
                <w:rFonts w:hint="eastAsia" w:ascii="宋体" w:hAnsi="宋体"/>
                <w:szCs w:val="21"/>
              </w:rPr>
              <w:t>如有，请结合本招标文件第四章“评标办法及评分标准”在投标文件中自行提供。</w:t>
            </w:r>
          </w:p>
        </w:tc>
      </w:tr>
      <w:tr w14:paraId="2715A6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05" w:type="pct"/>
            <w:gridSpan w:val="3"/>
            <w:tcBorders>
              <w:top w:val="single" w:color="auto" w:sz="4" w:space="0"/>
              <w:left w:val="single" w:color="auto" w:sz="4" w:space="0"/>
              <w:bottom w:val="single" w:color="auto" w:sz="4" w:space="0"/>
              <w:right w:val="single" w:color="auto" w:sz="4" w:space="0"/>
            </w:tcBorders>
            <w:noWrap w:val="0"/>
            <w:vAlign w:val="center"/>
          </w:tcPr>
          <w:p w14:paraId="12C5B016">
            <w:pPr>
              <w:spacing w:line="360" w:lineRule="exact"/>
              <w:rPr>
                <w:rFonts w:hint="eastAsia" w:ascii="宋体" w:hAnsi="宋体"/>
                <w:szCs w:val="21"/>
              </w:rPr>
            </w:pPr>
            <w:r>
              <w:rPr>
                <w:rFonts w:hint="eastAsia" w:ascii="宋体" w:hAnsi="宋体"/>
                <w:szCs w:val="21"/>
              </w:rPr>
              <w:t>能力或者业绩要求</w:t>
            </w:r>
          </w:p>
        </w:tc>
        <w:tc>
          <w:tcPr>
            <w:tcW w:w="4194" w:type="pct"/>
            <w:gridSpan w:val="4"/>
            <w:tcBorders>
              <w:top w:val="single" w:color="auto" w:sz="4" w:space="0"/>
              <w:left w:val="nil"/>
              <w:bottom w:val="single" w:color="auto" w:sz="4" w:space="0"/>
              <w:right w:val="single" w:color="auto" w:sz="4" w:space="0"/>
            </w:tcBorders>
            <w:noWrap w:val="0"/>
            <w:vAlign w:val="center"/>
          </w:tcPr>
          <w:p w14:paraId="04714001">
            <w:pPr>
              <w:spacing w:line="360" w:lineRule="exact"/>
              <w:rPr>
                <w:rFonts w:hint="eastAsia" w:ascii="宋体" w:hAnsi="宋体"/>
                <w:szCs w:val="21"/>
              </w:rPr>
            </w:pPr>
            <w:r>
              <w:rPr>
                <w:rFonts w:hint="eastAsia" w:ascii="宋体" w:hAnsi="宋体"/>
                <w:szCs w:val="21"/>
              </w:rPr>
              <w:t>如有，请结合本招标文件第四章“评标办法及评分标准”在投标文件中自行提供。</w:t>
            </w:r>
          </w:p>
        </w:tc>
      </w:tr>
      <w:tr w14:paraId="7B7922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00" w:type="pct"/>
            <w:gridSpan w:val="7"/>
            <w:tcBorders>
              <w:top w:val="single" w:color="auto" w:sz="4" w:space="0"/>
              <w:left w:val="single" w:color="auto" w:sz="4" w:space="0"/>
              <w:bottom w:val="single" w:color="auto" w:sz="4" w:space="0"/>
              <w:right w:val="single" w:color="auto" w:sz="4" w:space="0"/>
            </w:tcBorders>
            <w:noWrap w:val="0"/>
            <w:vAlign w:val="center"/>
          </w:tcPr>
          <w:p w14:paraId="4A88CF4D">
            <w:pPr>
              <w:spacing w:line="360" w:lineRule="exact"/>
              <w:rPr>
                <w:rFonts w:hint="eastAsia" w:ascii="宋体" w:hAnsi="宋体"/>
                <w:b/>
                <w:szCs w:val="21"/>
              </w:rPr>
            </w:pPr>
            <w:r>
              <w:rPr>
                <w:rFonts w:hint="eastAsia" w:ascii="宋体" w:hAnsi="宋体"/>
                <w:b/>
                <w:szCs w:val="21"/>
              </w:rPr>
              <w:t>（二）政策性加分条件</w:t>
            </w:r>
          </w:p>
        </w:tc>
      </w:tr>
      <w:tr w14:paraId="184A82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00" w:type="pct"/>
            <w:gridSpan w:val="7"/>
            <w:tcBorders>
              <w:top w:val="single" w:color="auto" w:sz="4" w:space="0"/>
              <w:left w:val="single" w:color="auto" w:sz="4" w:space="0"/>
              <w:bottom w:val="single" w:color="auto" w:sz="4" w:space="0"/>
              <w:right w:val="single" w:color="auto" w:sz="4" w:space="0"/>
            </w:tcBorders>
            <w:noWrap w:val="0"/>
            <w:vAlign w:val="center"/>
          </w:tcPr>
          <w:p w14:paraId="53D5D2BE">
            <w:pPr>
              <w:spacing w:line="360" w:lineRule="exact"/>
              <w:rPr>
                <w:rFonts w:hint="eastAsia" w:ascii="宋体" w:hAnsi="宋体"/>
                <w:szCs w:val="21"/>
              </w:rPr>
            </w:pPr>
            <w:r>
              <w:rPr>
                <w:rFonts w:hint="eastAsia" w:ascii="宋体" w:hAnsi="宋体"/>
                <w:szCs w:val="21"/>
              </w:rPr>
              <w:t>符合节能环保等国家政策要求。</w:t>
            </w:r>
          </w:p>
        </w:tc>
      </w:tr>
      <w:tr w14:paraId="0CC7AF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00" w:type="pct"/>
            <w:gridSpan w:val="7"/>
            <w:tcBorders>
              <w:top w:val="single" w:color="auto" w:sz="4" w:space="0"/>
              <w:left w:val="single" w:color="auto" w:sz="4" w:space="0"/>
              <w:bottom w:val="single" w:color="auto" w:sz="4" w:space="0"/>
              <w:right w:val="single" w:color="auto" w:sz="4" w:space="0"/>
            </w:tcBorders>
            <w:noWrap w:val="0"/>
            <w:vAlign w:val="center"/>
          </w:tcPr>
          <w:p w14:paraId="2FF44D75">
            <w:pPr>
              <w:tabs>
                <w:tab w:val="left" w:pos="180"/>
                <w:tab w:val="left" w:pos="1620"/>
              </w:tabs>
              <w:spacing w:line="360" w:lineRule="exact"/>
              <w:rPr>
                <w:rFonts w:hint="eastAsia" w:ascii="宋体" w:hAnsi="宋体"/>
                <w:b/>
                <w:szCs w:val="21"/>
              </w:rPr>
            </w:pPr>
            <w:r>
              <w:rPr>
                <w:rFonts w:hint="eastAsia" w:ascii="宋体" w:hAnsi="宋体"/>
                <w:b/>
                <w:szCs w:val="21"/>
              </w:rPr>
              <w:t>（三）其他事项说明</w:t>
            </w:r>
          </w:p>
        </w:tc>
      </w:tr>
      <w:tr w14:paraId="310D2D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00" w:type="pct"/>
            <w:gridSpan w:val="7"/>
            <w:tcBorders>
              <w:top w:val="single" w:color="auto" w:sz="4" w:space="0"/>
              <w:left w:val="single" w:color="auto" w:sz="4" w:space="0"/>
              <w:bottom w:val="single" w:color="auto" w:sz="4" w:space="0"/>
              <w:right w:val="single" w:color="auto" w:sz="4" w:space="0"/>
            </w:tcBorders>
            <w:noWrap w:val="0"/>
            <w:vAlign w:val="center"/>
          </w:tcPr>
          <w:p w14:paraId="6967DC5B">
            <w:pPr>
              <w:spacing w:line="360" w:lineRule="exact"/>
              <w:ind w:firstLine="411" w:firstLineChars="196"/>
              <w:rPr>
                <w:rFonts w:hint="eastAsia" w:ascii="宋体" w:hAnsi="宋体"/>
                <w:szCs w:val="21"/>
              </w:rPr>
            </w:pPr>
            <w:r>
              <w:rPr>
                <w:rFonts w:hint="eastAsia" w:ascii="宋体" w:hAnsi="宋体"/>
                <w:szCs w:val="21"/>
              </w:rPr>
              <w:t>货物实行强制标准认证制度、生产许可证制度、销售或经营许可证制度、注册证制度的，中标人均应提供相关有效的证书复印件。</w:t>
            </w:r>
          </w:p>
        </w:tc>
      </w:tr>
      <w:tr w14:paraId="35F73C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00" w:type="pct"/>
            <w:gridSpan w:val="7"/>
            <w:tcBorders>
              <w:top w:val="single" w:color="auto" w:sz="4" w:space="0"/>
              <w:left w:val="single" w:color="auto" w:sz="4" w:space="0"/>
              <w:bottom w:val="single" w:color="auto" w:sz="4" w:space="0"/>
              <w:right w:val="single" w:color="auto" w:sz="4" w:space="0"/>
            </w:tcBorders>
            <w:noWrap w:val="0"/>
            <w:vAlign w:val="center"/>
          </w:tcPr>
          <w:p w14:paraId="0F63926B">
            <w:pPr>
              <w:spacing w:line="360" w:lineRule="exact"/>
              <w:rPr>
                <w:rFonts w:hint="eastAsia" w:ascii="宋体" w:hAnsi="宋体"/>
                <w:b/>
                <w:szCs w:val="21"/>
              </w:rPr>
            </w:pPr>
            <w:r>
              <w:rPr>
                <w:rFonts w:hint="eastAsia" w:ascii="宋体" w:hAnsi="宋体"/>
                <w:b/>
                <w:szCs w:val="21"/>
              </w:rPr>
              <w:t>（四）进口产品及核心产品说明</w:t>
            </w:r>
          </w:p>
        </w:tc>
      </w:tr>
      <w:tr w14:paraId="556C10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00" w:type="pct"/>
            <w:gridSpan w:val="7"/>
            <w:tcBorders>
              <w:top w:val="single" w:color="auto" w:sz="4" w:space="0"/>
              <w:left w:val="single" w:color="auto" w:sz="4" w:space="0"/>
              <w:bottom w:val="single" w:color="auto" w:sz="4" w:space="0"/>
              <w:right w:val="single" w:color="auto" w:sz="4" w:space="0"/>
            </w:tcBorders>
            <w:noWrap w:val="0"/>
            <w:vAlign w:val="center"/>
          </w:tcPr>
          <w:p w14:paraId="6E8D6DC8">
            <w:pPr>
              <w:spacing w:line="360" w:lineRule="exact"/>
              <w:ind w:firstLine="435"/>
              <w:rPr>
                <w:rFonts w:hint="eastAsia" w:ascii="宋体" w:hAnsi="宋体"/>
                <w:szCs w:val="21"/>
              </w:rPr>
            </w:pPr>
            <w:r>
              <w:rPr>
                <w:rFonts w:hint="eastAsia" w:ascii="宋体" w:hAnsi="宋体"/>
                <w:szCs w:val="21"/>
              </w:rPr>
              <w:t>1.本分标货物不接受进口产品（即通过中国海关报关验放进入中国境内且产自关境外的产品）参与投标，</w:t>
            </w:r>
            <w:r>
              <w:rPr>
                <w:rFonts w:hint="eastAsia" w:ascii="宋体" w:hAnsi="宋体"/>
                <w:b/>
                <w:szCs w:val="21"/>
              </w:rPr>
              <w:t>如有进口产品参与投标的作无效标处理</w:t>
            </w:r>
            <w:r>
              <w:rPr>
                <w:rFonts w:hint="eastAsia" w:ascii="宋体" w:hAnsi="宋体"/>
                <w:szCs w:val="21"/>
              </w:rPr>
              <w:t>。</w:t>
            </w:r>
          </w:p>
          <w:p w14:paraId="53A79D72">
            <w:pPr>
              <w:spacing w:line="360" w:lineRule="exact"/>
              <w:ind w:firstLine="435"/>
              <w:rPr>
                <w:rFonts w:hint="eastAsia" w:ascii="宋体" w:hAnsi="宋体"/>
                <w:b/>
                <w:szCs w:val="21"/>
              </w:rPr>
            </w:pPr>
            <w:r>
              <w:rPr>
                <w:rFonts w:hint="eastAsia" w:ascii="宋体" w:hAnsi="宋体"/>
                <w:b/>
                <w:szCs w:val="21"/>
              </w:rPr>
              <w:t>2.本分标序号</w:t>
            </w:r>
            <w:r>
              <w:rPr>
                <w:rFonts w:hint="eastAsia" w:ascii="宋体" w:hAnsi="宋体"/>
                <w:b/>
                <w:szCs w:val="21"/>
                <w:u w:val="single"/>
              </w:rPr>
              <w:t xml:space="preserve">  2  </w:t>
            </w:r>
            <w:r>
              <w:rPr>
                <w:rFonts w:hint="eastAsia" w:ascii="宋体" w:hAnsi="宋体"/>
                <w:b/>
                <w:szCs w:val="21"/>
              </w:rPr>
              <w:t>采购标的即为核心产品，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tc>
      </w:tr>
      <w:tr w14:paraId="628AA1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00" w:type="pct"/>
            <w:gridSpan w:val="7"/>
            <w:tcBorders>
              <w:top w:val="single" w:color="auto" w:sz="4" w:space="0"/>
              <w:left w:val="single" w:color="auto" w:sz="4" w:space="0"/>
              <w:bottom w:val="single" w:color="auto" w:sz="4" w:space="0"/>
              <w:right w:val="single" w:color="auto" w:sz="4" w:space="0"/>
            </w:tcBorders>
            <w:noWrap w:val="0"/>
            <w:vAlign w:val="center"/>
          </w:tcPr>
          <w:p w14:paraId="491E1558">
            <w:pPr>
              <w:spacing w:line="360" w:lineRule="exact"/>
              <w:rPr>
                <w:rFonts w:hint="eastAsia" w:ascii="宋体" w:hAnsi="宋体"/>
                <w:b/>
                <w:szCs w:val="21"/>
              </w:rPr>
            </w:pPr>
            <w:r>
              <w:rPr>
                <w:rFonts w:hint="eastAsia" w:ascii="宋体" w:hAnsi="宋体"/>
                <w:b/>
                <w:szCs w:val="21"/>
              </w:rPr>
              <w:t>三、其他说明</w:t>
            </w:r>
          </w:p>
        </w:tc>
      </w:tr>
      <w:tr w14:paraId="3CB3AE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00" w:type="pct"/>
            <w:gridSpan w:val="7"/>
            <w:tcBorders>
              <w:top w:val="single" w:color="auto" w:sz="4" w:space="0"/>
              <w:left w:val="single" w:color="auto" w:sz="4" w:space="0"/>
              <w:bottom w:val="single" w:color="auto" w:sz="4" w:space="0"/>
              <w:right w:val="single" w:color="auto" w:sz="4" w:space="0"/>
            </w:tcBorders>
            <w:noWrap w:val="0"/>
            <w:vAlign w:val="center"/>
          </w:tcPr>
          <w:p w14:paraId="3F0E4E12">
            <w:pPr>
              <w:pStyle w:val="16"/>
              <w:ind w:firstLine="420" w:firstLineChars="200"/>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w:t>
            </w:r>
            <w:r>
              <w:rPr>
                <w:rFonts w:hint="eastAsia" w:ascii="宋体" w:hAnsi="宋体"/>
                <w:b/>
                <w:bCs/>
                <w:color w:val="auto"/>
                <w:szCs w:val="21"/>
                <w:highlight w:val="none"/>
                <w:u w:val="none"/>
                <w:lang w:val="en-US" w:eastAsia="zh-CN"/>
              </w:rPr>
              <w:t>1.投标人的分标投标总报价超所投分标最高限价</w:t>
            </w:r>
            <w:r>
              <w:rPr>
                <w:rFonts w:hint="eastAsia" w:ascii="宋体" w:hAnsi="宋体" w:eastAsia="宋体" w:cs="Times New Roman"/>
                <w:b/>
                <w:bCs/>
                <w:color w:val="auto"/>
                <w:szCs w:val="21"/>
                <w:highlight w:val="none"/>
                <w:u w:val="none"/>
                <w:lang w:val="en-US" w:eastAsia="zh-CN"/>
              </w:rPr>
              <w:t>或标的单价报价超单价控制价的作无效投</w:t>
            </w:r>
            <w:r>
              <w:rPr>
                <w:rFonts w:hint="eastAsia" w:ascii="宋体" w:hAnsi="宋体"/>
                <w:b/>
                <w:bCs/>
                <w:color w:val="auto"/>
                <w:szCs w:val="21"/>
                <w:highlight w:val="none"/>
                <w:u w:val="none"/>
                <w:lang w:val="en-US" w:eastAsia="zh-CN"/>
              </w:rPr>
              <w:t>标处理。</w:t>
            </w:r>
          </w:p>
          <w:p w14:paraId="6E543024">
            <w:pPr>
              <w:spacing w:line="360" w:lineRule="exact"/>
              <w:ind w:firstLine="404" w:firstLineChars="200"/>
              <w:rPr>
                <w:rFonts w:hint="eastAsia" w:ascii="宋体" w:hAnsi="宋体"/>
                <w:b/>
                <w:bCs w:val="0"/>
                <w:spacing w:val="-4"/>
                <w:szCs w:val="21"/>
              </w:rPr>
            </w:pPr>
            <w:r>
              <w:rPr>
                <w:rFonts w:hint="eastAsia" w:ascii="宋体" w:hAnsi="宋体"/>
                <w:spacing w:val="-4"/>
                <w:szCs w:val="21"/>
              </w:rPr>
              <w:t>▲</w:t>
            </w:r>
            <w:r>
              <w:rPr>
                <w:rFonts w:hint="eastAsia" w:ascii="宋体" w:hAnsi="宋体"/>
                <w:b/>
                <w:bCs w:val="0"/>
                <w:spacing w:val="-4"/>
                <w:szCs w:val="21"/>
              </w:rPr>
              <w:t>2.投标人就本项目需求中全部内容作完整唯一报价，不完整响应或拆分投标的将导致投标无效。</w:t>
            </w:r>
          </w:p>
          <w:p w14:paraId="1061192E">
            <w:pPr>
              <w:spacing w:line="360" w:lineRule="exact"/>
              <w:ind w:firstLine="420" w:firstLineChars="200"/>
              <w:rPr>
                <w:rFonts w:hint="eastAsia" w:ascii="宋体" w:hAnsi="宋体"/>
                <w:b w:val="0"/>
                <w:bCs w:val="0"/>
                <w:spacing w:val="-4"/>
                <w:szCs w:val="21"/>
              </w:rPr>
            </w:pPr>
            <w:r>
              <w:rPr>
                <w:rFonts w:hint="eastAsia" w:ascii="宋体" w:hAnsi="宋体"/>
                <w:b w:val="0"/>
                <w:bCs w:val="0"/>
                <w:szCs w:val="21"/>
              </w:rPr>
              <w:t>3.“技术需求及要求”中有特殊要求的，按其要求执行；未作要求的，如有，投标文件中可提供产品生产商编写的有参数描述的产品说明书或彩页（应有详细的产品技术介绍、技术参数、产品图样照片等），当投标文件中提供的产品参数与该产品生产商提供的参数同一参数内容不符合时，以生产商资料为准。</w:t>
            </w:r>
          </w:p>
          <w:p w14:paraId="0884C2D6">
            <w:pPr>
              <w:spacing w:line="360" w:lineRule="exact"/>
              <w:ind w:firstLine="404" w:firstLineChars="200"/>
              <w:rPr>
                <w:rFonts w:ascii="宋体" w:hAnsi="宋体"/>
                <w:spacing w:val="-4"/>
                <w:szCs w:val="21"/>
              </w:rPr>
            </w:pPr>
            <w:r>
              <w:rPr>
                <w:rFonts w:hint="eastAsia" w:ascii="宋体" w:hAnsi="宋体"/>
                <w:spacing w:val="-4"/>
                <w:szCs w:val="21"/>
              </w:rPr>
              <w:t>4.投标人可根据评分标准在投标文件提供项目实施方案、人员培训方案、技术支持服务方案、应急预案、售后服务方案、质保期证明、信誉及业绩证明。</w:t>
            </w:r>
          </w:p>
        </w:tc>
      </w:tr>
    </w:tbl>
    <w:p w14:paraId="23744F62">
      <w:pPr>
        <w:spacing w:line="360" w:lineRule="auto"/>
        <w:ind w:firstLine="308" w:firstLineChars="147"/>
        <w:jc w:val="left"/>
        <w:rPr>
          <w:rFonts w:hint="eastAsia" w:ascii="宋体" w:hAnsi="宋体"/>
        </w:rPr>
      </w:pPr>
    </w:p>
    <w:p w14:paraId="7D50668E">
      <w:pPr>
        <w:spacing w:line="360" w:lineRule="exact"/>
        <w:ind w:firstLine="413" w:firstLineChars="147"/>
        <w:jc w:val="left"/>
        <w:rPr>
          <w:rFonts w:hint="eastAsia" w:ascii="宋体" w:hAnsi="宋体"/>
          <w:b/>
          <w:sz w:val="28"/>
          <w:szCs w:val="28"/>
          <w:u w:val="single"/>
        </w:rPr>
        <w:sectPr>
          <w:pgSz w:w="11910" w:h="16840"/>
          <w:pgMar w:top="1520" w:right="1500" w:bottom="280" w:left="1680" w:header="720" w:footer="720" w:gutter="0"/>
          <w:cols w:space="720" w:num="1"/>
          <w:titlePg/>
          <w:docGrid w:linePitch="286" w:charSpace="0"/>
        </w:sectPr>
      </w:pPr>
    </w:p>
    <w:p w14:paraId="3C52E33E">
      <w:pPr>
        <w:spacing w:line="360" w:lineRule="exact"/>
        <w:ind w:firstLine="472" w:firstLineChars="147"/>
        <w:jc w:val="left"/>
        <w:rPr>
          <w:rFonts w:ascii="宋体" w:hAnsi="宋体"/>
          <w:b/>
          <w:color w:val="000000"/>
          <w:sz w:val="24"/>
        </w:rPr>
      </w:pPr>
      <w:r>
        <w:rPr>
          <w:rFonts w:hint="eastAsia" w:ascii="宋体" w:hAnsi="宋体"/>
          <w:b/>
          <w:sz w:val="32"/>
          <w:szCs w:val="32"/>
          <w:u w:val="single"/>
        </w:rPr>
        <w:t>分标3</w:t>
      </w:r>
      <w:r>
        <w:rPr>
          <w:rFonts w:hint="eastAsia" w:ascii="宋体" w:hAnsi="宋体"/>
          <w:b/>
          <w:sz w:val="32"/>
          <w:szCs w:val="32"/>
        </w:rPr>
        <w:t xml:space="preserve"> </w:t>
      </w:r>
      <w:r>
        <w:rPr>
          <w:rFonts w:hint="eastAsia" w:ascii="宋体" w:hAnsi="宋体"/>
          <w:b/>
          <w:sz w:val="24"/>
        </w:rPr>
        <w:t xml:space="preserve"> 采购预</w:t>
      </w:r>
      <w:r>
        <w:rPr>
          <w:rFonts w:hint="eastAsia" w:ascii="宋体" w:hAnsi="宋体"/>
          <w:b/>
          <w:color w:val="000000"/>
          <w:sz w:val="24"/>
        </w:rPr>
        <w:t>算：</w:t>
      </w:r>
      <w:r>
        <w:rPr>
          <w:rFonts w:hint="eastAsia" w:ascii="宋体" w:hAnsi="宋体"/>
          <w:b/>
          <w:color w:val="000000"/>
          <w:sz w:val="24"/>
          <w:u w:val="single"/>
        </w:rPr>
        <w:t>645.27</w:t>
      </w:r>
      <w:r>
        <w:rPr>
          <w:rFonts w:hint="eastAsia" w:ascii="宋体" w:hAnsi="宋体"/>
          <w:b/>
          <w:color w:val="000000"/>
          <w:sz w:val="24"/>
        </w:rPr>
        <w:t>万元</w:t>
      </w:r>
    </w:p>
    <w:p w14:paraId="5C49964F">
      <w:pPr>
        <w:spacing w:line="360" w:lineRule="exact"/>
        <w:ind w:firstLine="354" w:firstLineChars="147"/>
        <w:jc w:val="left"/>
        <w:rPr>
          <w:rFonts w:ascii="宋体" w:hAnsi="宋体"/>
          <w:b/>
          <w:sz w:val="24"/>
        </w:rPr>
      </w:pPr>
      <w:r>
        <w:rPr>
          <w:rFonts w:hint="eastAsia" w:ascii="宋体" w:hAnsi="宋体"/>
          <w:b/>
          <w:sz w:val="24"/>
        </w:rPr>
        <w:t>本分标第</w:t>
      </w:r>
      <w:r>
        <w:rPr>
          <w:rFonts w:hint="eastAsia" w:ascii="宋体" w:hAnsi="宋体"/>
          <w:b/>
          <w:sz w:val="24"/>
          <w:u w:val="single"/>
        </w:rPr>
        <w:t xml:space="preserve"> 3</w:t>
      </w:r>
      <w:r>
        <w:rPr>
          <w:rFonts w:hint="eastAsia" w:ascii="宋体" w:hAnsi="宋体"/>
          <w:b/>
          <w:sz w:val="24"/>
        </w:rPr>
        <w:t>项货物</w:t>
      </w:r>
      <w:r>
        <w:rPr>
          <w:rFonts w:hint="eastAsia" w:ascii="宋体" w:hAnsi="宋体"/>
          <w:b/>
          <w:sz w:val="24"/>
          <w:u w:val="single"/>
        </w:rPr>
        <w:t>平板运输车</w:t>
      </w:r>
      <w:r>
        <w:rPr>
          <w:rFonts w:hint="eastAsia" w:ascii="宋体" w:hAnsi="宋体"/>
          <w:b/>
          <w:sz w:val="24"/>
        </w:rPr>
        <w:t>为核心产品。</w:t>
      </w:r>
    </w:p>
    <w:tbl>
      <w:tblPr>
        <w:tblStyle w:val="50"/>
        <w:tblW w:w="5609"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584"/>
        <w:gridCol w:w="895"/>
        <w:gridCol w:w="16"/>
        <w:gridCol w:w="851"/>
        <w:gridCol w:w="813"/>
        <w:gridCol w:w="3920"/>
        <w:gridCol w:w="1796"/>
        <w:gridCol w:w="1161"/>
      </w:tblGrid>
      <w:tr w14:paraId="01A756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91" w:type="pct"/>
            <w:tcBorders>
              <w:top w:val="single" w:color="000000" w:sz="4" w:space="0"/>
              <w:left w:val="single" w:color="000000" w:sz="4" w:space="0"/>
              <w:bottom w:val="single" w:color="000000" w:sz="4" w:space="0"/>
              <w:right w:val="single" w:color="000000" w:sz="4" w:space="0"/>
            </w:tcBorders>
            <w:noWrap w:val="0"/>
            <w:vAlign w:val="center"/>
          </w:tcPr>
          <w:p w14:paraId="2A5A78B6">
            <w:pPr>
              <w:tabs>
                <w:tab w:val="left" w:pos="180"/>
                <w:tab w:val="left" w:pos="1620"/>
              </w:tabs>
              <w:spacing w:line="360" w:lineRule="exact"/>
              <w:jc w:val="center"/>
              <w:rPr>
                <w:rFonts w:ascii="宋体" w:hAnsi="宋体"/>
                <w:b/>
                <w:szCs w:val="21"/>
              </w:rPr>
            </w:pPr>
            <w:r>
              <w:rPr>
                <w:rFonts w:hint="eastAsia" w:ascii="宋体" w:hAnsi="宋体"/>
                <w:b/>
                <w:szCs w:val="21"/>
              </w:rPr>
              <w:t>序号</w:t>
            </w:r>
          </w:p>
        </w:tc>
        <w:tc>
          <w:tcPr>
            <w:tcW w:w="446" w:type="pct"/>
            <w:tcBorders>
              <w:top w:val="single" w:color="000000" w:sz="4" w:space="0"/>
              <w:left w:val="single" w:color="000000" w:sz="4" w:space="0"/>
              <w:bottom w:val="single" w:color="000000" w:sz="4" w:space="0"/>
              <w:right w:val="single" w:color="000000" w:sz="4" w:space="0"/>
            </w:tcBorders>
            <w:noWrap w:val="0"/>
            <w:vAlign w:val="center"/>
          </w:tcPr>
          <w:p w14:paraId="42954F9C">
            <w:pPr>
              <w:tabs>
                <w:tab w:val="left" w:pos="180"/>
                <w:tab w:val="left" w:pos="1620"/>
              </w:tabs>
              <w:spacing w:line="360" w:lineRule="exact"/>
              <w:jc w:val="center"/>
              <w:rPr>
                <w:rFonts w:hint="eastAsia" w:ascii="宋体" w:hAnsi="宋体"/>
                <w:b/>
                <w:szCs w:val="21"/>
              </w:rPr>
            </w:pPr>
            <w:r>
              <w:rPr>
                <w:rFonts w:hint="eastAsia" w:ascii="宋体" w:hAnsi="宋体"/>
                <w:b/>
                <w:szCs w:val="21"/>
              </w:rPr>
              <w:t>标的名称</w:t>
            </w:r>
          </w:p>
        </w:tc>
        <w:tc>
          <w:tcPr>
            <w:tcW w:w="432" w:type="pct"/>
            <w:gridSpan w:val="2"/>
            <w:tcBorders>
              <w:top w:val="single" w:color="000000" w:sz="4" w:space="0"/>
              <w:left w:val="single" w:color="000000" w:sz="4" w:space="0"/>
              <w:bottom w:val="single" w:color="000000" w:sz="4" w:space="0"/>
              <w:right w:val="single" w:color="000000" w:sz="4" w:space="0"/>
            </w:tcBorders>
            <w:noWrap w:val="0"/>
            <w:vAlign w:val="center"/>
          </w:tcPr>
          <w:p w14:paraId="2F021781">
            <w:pPr>
              <w:tabs>
                <w:tab w:val="left" w:pos="180"/>
                <w:tab w:val="left" w:pos="1620"/>
              </w:tabs>
              <w:spacing w:line="360" w:lineRule="exact"/>
              <w:jc w:val="center"/>
              <w:rPr>
                <w:rFonts w:hint="eastAsia" w:ascii="宋体" w:hAnsi="宋体"/>
                <w:b/>
                <w:szCs w:val="21"/>
              </w:rPr>
            </w:pPr>
            <w:r>
              <w:rPr>
                <w:rFonts w:hint="eastAsia" w:ascii="宋体" w:hAnsi="宋体"/>
                <w:b/>
                <w:szCs w:val="21"/>
              </w:rPr>
              <w:t>数量及单位</w:t>
            </w:r>
          </w:p>
        </w:tc>
        <w:tc>
          <w:tcPr>
            <w:tcW w:w="405" w:type="pct"/>
            <w:tcBorders>
              <w:top w:val="single" w:color="000000" w:sz="4" w:space="0"/>
              <w:left w:val="single" w:color="000000" w:sz="4" w:space="0"/>
              <w:bottom w:val="single" w:color="000000" w:sz="4" w:space="0"/>
              <w:right w:val="single" w:color="000000" w:sz="4" w:space="0"/>
            </w:tcBorders>
            <w:noWrap w:val="0"/>
            <w:vAlign w:val="center"/>
          </w:tcPr>
          <w:p w14:paraId="79DC6E00">
            <w:pPr>
              <w:tabs>
                <w:tab w:val="left" w:pos="180"/>
                <w:tab w:val="left" w:pos="1620"/>
              </w:tabs>
              <w:spacing w:line="360" w:lineRule="exact"/>
              <w:jc w:val="center"/>
              <w:rPr>
                <w:rFonts w:hint="eastAsia" w:ascii="宋体" w:hAnsi="宋体" w:cs="Arial"/>
                <w:b/>
                <w:szCs w:val="21"/>
              </w:rPr>
            </w:pPr>
            <w:r>
              <w:rPr>
                <w:rFonts w:hint="eastAsia" w:ascii="宋体" w:hAnsi="宋体" w:cs="Arial"/>
                <w:b/>
                <w:szCs w:val="21"/>
              </w:rPr>
              <w:t>所属</w:t>
            </w:r>
          </w:p>
          <w:p w14:paraId="21155499">
            <w:pPr>
              <w:tabs>
                <w:tab w:val="left" w:pos="180"/>
                <w:tab w:val="left" w:pos="1620"/>
              </w:tabs>
              <w:spacing w:line="360" w:lineRule="exact"/>
              <w:jc w:val="center"/>
              <w:rPr>
                <w:rFonts w:hint="eastAsia" w:ascii="宋体" w:hAnsi="宋体"/>
                <w:b/>
                <w:szCs w:val="21"/>
              </w:rPr>
            </w:pPr>
            <w:r>
              <w:rPr>
                <w:rFonts w:hint="eastAsia" w:ascii="宋体" w:hAnsi="宋体" w:cs="Arial"/>
                <w:b/>
                <w:szCs w:val="21"/>
              </w:rPr>
              <w:t>行业</w:t>
            </w:r>
          </w:p>
        </w:tc>
        <w:tc>
          <w:tcPr>
            <w:tcW w:w="1950" w:type="pct"/>
            <w:tcBorders>
              <w:top w:val="single" w:color="000000" w:sz="4" w:space="0"/>
              <w:left w:val="single" w:color="000000" w:sz="4" w:space="0"/>
              <w:bottom w:val="single" w:color="000000" w:sz="4" w:space="0"/>
              <w:right w:val="single" w:color="000000" w:sz="4" w:space="0"/>
            </w:tcBorders>
            <w:noWrap w:val="0"/>
            <w:vAlign w:val="center"/>
          </w:tcPr>
          <w:p w14:paraId="5EEBCBD5">
            <w:pPr>
              <w:tabs>
                <w:tab w:val="left" w:pos="180"/>
                <w:tab w:val="left" w:pos="1620"/>
              </w:tabs>
              <w:spacing w:line="360" w:lineRule="exact"/>
              <w:jc w:val="center"/>
              <w:rPr>
                <w:rFonts w:hint="eastAsia" w:ascii="宋体" w:hAnsi="宋体"/>
                <w:b/>
                <w:szCs w:val="21"/>
              </w:rPr>
            </w:pPr>
            <w:r>
              <w:rPr>
                <w:rFonts w:hint="eastAsia" w:ascii="宋体" w:hAnsi="宋体"/>
                <w:b/>
                <w:szCs w:val="21"/>
              </w:rPr>
              <w:t>技术需求及要求</w:t>
            </w:r>
          </w:p>
        </w:tc>
        <w:tc>
          <w:tcPr>
            <w:tcW w:w="895" w:type="pct"/>
            <w:tcBorders>
              <w:top w:val="single" w:color="000000" w:sz="4" w:space="0"/>
              <w:left w:val="single" w:color="000000" w:sz="4" w:space="0"/>
              <w:bottom w:val="single" w:color="000000" w:sz="4" w:space="0"/>
              <w:right w:val="single" w:color="000000" w:sz="4" w:space="0"/>
            </w:tcBorders>
            <w:noWrap w:val="0"/>
            <w:vAlign w:val="center"/>
          </w:tcPr>
          <w:p w14:paraId="04D8FECA">
            <w:pPr>
              <w:tabs>
                <w:tab w:val="left" w:pos="180"/>
                <w:tab w:val="left" w:pos="1620"/>
              </w:tabs>
              <w:spacing w:line="360" w:lineRule="exact"/>
              <w:jc w:val="center"/>
              <w:rPr>
                <w:rFonts w:hint="eastAsia" w:ascii="宋体" w:hAnsi="宋体"/>
                <w:b/>
                <w:szCs w:val="21"/>
              </w:rPr>
            </w:pPr>
            <w:r>
              <w:rPr>
                <w:rFonts w:hint="eastAsia" w:ascii="宋体" w:hAnsi="宋体"/>
                <w:b/>
                <w:szCs w:val="21"/>
              </w:rPr>
              <w:t>车辆名称【工信部（工业和信息化部装备工业发展中心）“道路机动车辆生产企业及产品信息查询系统”公告】</w:t>
            </w:r>
          </w:p>
        </w:tc>
        <w:tc>
          <w:tcPr>
            <w:tcW w:w="576" w:type="pct"/>
            <w:tcBorders>
              <w:top w:val="single" w:color="000000" w:sz="4" w:space="0"/>
              <w:left w:val="single" w:color="000000" w:sz="4" w:space="0"/>
              <w:bottom w:val="single" w:color="000000" w:sz="4" w:space="0"/>
              <w:right w:val="single" w:color="000000" w:sz="4" w:space="0"/>
            </w:tcBorders>
            <w:noWrap w:val="0"/>
            <w:vAlign w:val="center"/>
          </w:tcPr>
          <w:p w14:paraId="4DD8B87A">
            <w:pPr>
              <w:tabs>
                <w:tab w:val="left" w:pos="180"/>
                <w:tab w:val="left" w:pos="1620"/>
              </w:tabs>
              <w:spacing w:line="360" w:lineRule="exact"/>
              <w:jc w:val="center"/>
              <w:rPr>
                <w:rFonts w:hint="eastAsia" w:ascii="宋体" w:hAnsi="宋体"/>
                <w:b/>
                <w:color w:val="000000"/>
                <w:szCs w:val="21"/>
              </w:rPr>
            </w:pPr>
            <w:r>
              <w:rPr>
                <w:rFonts w:hint="eastAsia" w:ascii="宋体" w:hAnsi="宋体"/>
                <w:b/>
                <w:szCs w:val="21"/>
              </w:rPr>
              <w:t>单价控制价【万元/台（套）】</w:t>
            </w:r>
          </w:p>
        </w:tc>
      </w:tr>
      <w:tr w14:paraId="53BF2C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91" w:type="pct"/>
            <w:tcBorders>
              <w:top w:val="single" w:color="000000" w:sz="4" w:space="0"/>
              <w:left w:val="single" w:color="000000" w:sz="4" w:space="0"/>
              <w:bottom w:val="single" w:color="000000" w:sz="4" w:space="0"/>
              <w:right w:val="single" w:color="000000" w:sz="4" w:space="0"/>
            </w:tcBorders>
            <w:noWrap w:val="0"/>
            <w:vAlign w:val="center"/>
          </w:tcPr>
          <w:p w14:paraId="1F2186A8">
            <w:pPr>
              <w:numPr>
                <w:ilvl w:val="0"/>
                <w:numId w:val="0"/>
              </w:numPr>
              <w:tabs>
                <w:tab w:val="left" w:pos="180"/>
                <w:tab w:val="left" w:pos="1620"/>
              </w:tabs>
              <w:spacing w:line="360" w:lineRule="exact"/>
              <w:ind w:left="440" w:leftChars="0" w:hanging="440" w:firstLineChars="0"/>
              <w:rPr>
                <w:rFonts w:hint="eastAsia" w:ascii="宋体" w:hAnsi="宋体"/>
                <w:bCs/>
                <w:szCs w:val="21"/>
              </w:rPr>
            </w:pPr>
            <w:r>
              <w:rPr>
                <w:rFonts w:hint="eastAsia" w:ascii="宋体" w:hAnsi="宋体" w:eastAsia="宋体" w:cs="Times New Roman"/>
                <w:bCs/>
                <w:kern w:val="2"/>
                <w:sz w:val="21"/>
                <w:szCs w:val="21"/>
                <w:lang w:val="en-US" w:eastAsia="zh-CN" w:bidi="ar-SA"/>
              </w:rPr>
              <w:t>1</w:t>
            </w:r>
          </w:p>
        </w:tc>
        <w:tc>
          <w:tcPr>
            <w:tcW w:w="446" w:type="pct"/>
            <w:tcBorders>
              <w:top w:val="single" w:color="000000" w:sz="4" w:space="0"/>
              <w:left w:val="single" w:color="000000" w:sz="4" w:space="0"/>
              <w:bottom w:val="single" w:color="000000" w:sz="4" w:space="0"/>
              <w:right w:val="single" w:color="000000" w:sz="4" w:space="0"/>
            </w:tcBorders>
            <w:noWrap w:val="0"/>
            <w:vAlign w:val="center"/>
          </w:tcPr>
          <w:p w14:paraId="6699CDCA">
            <w:pPr>
              <w:tabs>
                <w:tab w:val="left" w:pos="180"/>
                <w:tab w:val="left" w:pos="1620"/>
              </w:tabs>
              <w:spacing w:line="360" w:lineRule="exact"/>
              <w:jc w:val="center"/>
              <w:rPr>
                <w:rFonts w:hint="eastAsia" w:ascii="宋体" w:hAnsi="宋体"/>
                <w:szCs w:val="21"/>
              </w:rPr>
            </w:pPr>
            <w:bookmarkStart w:id="79" w:name="OLE_LINK2"/>
            <w:r>
              <w:rPr>
                <w:rFonts w:hint="eastAsia" w:ascii="宋体" w:hAnsi="宋体"/>
                <w:color w:val="000000"/>
              </w:rPr>
              <w:t>皮卡排涝车</w:t>
            </w:r>
            <w:bookmarkEnd w:id="79"/>
          </w:p>
        </w:tc>
        <w:tc>
          <w:tcPr>
            <w:tcW w:w="432" w:type="pct"/>
            <w:gridSpan w:val="2"/>
            <w:tcBorders>
              <w:top w:val="single" w:color="000000" w:sz="4" w:space="0"/>
              <w:left w:val="single" w:color="000000" w:sz="4" w:space="0"/>
              <w:bottom w:val="single" w:color="000000" w:sz="4" w:space="0"/>
              <w:right w:val="single" w:color="000000" w:sz="4" w:space="0"/>
            </w:tcBorders>
            <w:noWrap w:val="0"/>
            <w:vAlign w:val="center"/>
          </w:tcPr>
          <w:p w14:paraId="2D3D259F">
            <w:pPr>
              <w:tabs>
                <w:tab w:val="left" w:pos="180"/>
                <w:tab w:val="left" w:pos="1620"/>
              </w:tabs>
              <w:spacing w:line="360" w:lineRule="exact"/>
              <w:jc w:val="center"/>
              <w:rPr>
                <w:rFonts w:hint="eastAsia" w:ascii="宋体" w:hAnsi="宋体"/>
                <w:szCs w:val="21"/>
              </w:rPr>
            </w:pPr>
            <w:r>
              <w:rPr>
                <w:rFonts w:hint="eastAsia" w:ascii="宋体" w:hAnsi="宋体"/>
                <w:szCs w:val="21"/>
              </w:rPr>
              <w:t>1台</w:t>
            </w:r>
          </w:p>
        </w:tc>
        <w:tc>
          <w:tcPr>
            <w:tcW w:w="405" w:type="pct"/>
            <w:tcBorders>
              <w:top w:val="single" w:color="000000" w:sz="4" w:space="0"/>
              <w:left w:val="single" w:color="000000" w:sz="4" w:space="0"/>
              <w:bottom w:val="single" w:color="000000" w:sz="4" w:space="0"/>
              <w:right w:val="single" w:color="000000" w:sz="4" w:space="0"/>
            </w:tcBorders>
            <w:noWrap w:val="0"/>
            <w:vAlign w:val="center"/>
          </w:tcPr>
          <w:p w14:paraId="19F88F3B">
            <w:pPr>
              <w:tabs>
                <w:tab w:val="left" w:pos="180"/>
                <w:tab w:val="left" w:pos="1620"/>
              </w:tabs>
              <w:spacing w:line="360" w:lineRule="exact"/>
              <w:jc w:val="center"/>
              <w:rPr>
                <w:rFonts w:hint="eastAsia" w:ascii="宋体" w:hAnsi="宋体" w:cs="Arial"/>
                <w:szCs w:val="21"/>
              </w:rPr>
            </w:pPr>
            <w:r>
              <w:rPr>
                <w:rFonts w:hint="eastAsia" w:ascii="宋体" w:hAnsi="宋体"/>
                <w:szCs w:val="21"/>
              </w:rPr>
              <w:t>工业</w:t>
            </w:r>
          </w:p>
        </w:tc>
        <w:tc>
          <w:tcPr>
            <w:tcW w:w="1950" w:type="pct"/>
            <w:tcBorders>
              <w:top w:val="single" w:color="000000" w:sz="4" w:space="0"/>
              <w:left w:val="single" w:color="000000" w:sz="4" w:space="0"/>
              <w:bottom w:val="single" w:color="000000" w:sz="4" w:space="0"/>
              <w:right w:val="single" w:color="000000" w:sz="4" w:space="0"/>
            </w:tcBorders>
            <w:noWrap w:val="0"/>
            <w:vAlign w:val="center"/>
          </w:tcPr>
          <w:p w14:paraId="5837890D">
            <w:pPr>
              <w:tabs>
                <w:tab w:val="left" w:pos="180"/>
                <w:tab w:val="left" w:pos="1620"/>
              </w:tabs>
              <w:spacing w:line="360" w:lineRule="exact"/>
              <w:rPr>
                <w:rFonts w:hint="eastAsia" w:ascii="宋体" w:hAnsi="宋体"/>
                <w:szCs w:val="21"/>
              </w:rPr>
            </w:pPr>
            <w:r>
              <w:rPr>
                <w:rFonts w:hint="eastAsia" w:ascii="宋体" w:hAnsi="宋体"/>
                <w:szCs w:val="21"/>
              </w:rPr>
              <w:t>1.底盘部分</w:t>
            </w:r>
          </w:p>
          <w:p w14:paraId="4D51637A">
            <w:pPr>
              <w:tabs>
                <w:tab w:val="left" w:pos="180"/>
                <w:tab w:val="left" w:pos="1620"/>
              </w:tabs>
              <w:spacing w:line="360" w:lineRule="exact"/>
              <w:rPr>
                <w:rFonts w:hint="eastAsia" w:ascii="宋体" w:hAnsi="宋体"/>
                <w:szCs w:val="21"/>
              </w:rPr>
            </w:pPr>
            <w:r>
              <w:rPr>
                <w:rFonts w:hint="eastAsia" w:ascii="宋体" w:hAnsi="宋体"/>
                <w:szCs w:val="21"/>
              </w:rPr>
              <w:t>▲1.1发动机额定功率：≥120kW；</w:t>
            </w:r>
          </w:p>
          <w:p w14:paraId="4D1D0003">
            <w:pPr>
              <w:tabs>
                <w:tab w:val="left" w:pos="180"/>
                <w:tab w:val="left" w:pos="1620"/>
              </w:tabs>
              <w:spacing w:line="360" w:lineRule="exact"/>
              <w:rPr>
                <w:rFonts w:hint="eastAsia" w:ascii="宋体" w:hAnsi="宋体"/>
                <w:szCs w:val="21"/>
              </w:rPr>
            </w:pPr>
            <w:r>
              <w:rPr>
                <w:rFonts w:hint="eastAsia" w:ascii="宋体" w:hAnsi="宋体"/>
                <w:szCs w:val="21"/>
              </w:rPr>
              <w:t>1.2排放标准：满足国Ⅵ排放标准；</w:t>
            </w:r>
          </w:p>
          <w:p w14:paraId="041AC696">
            <w:pPr>
              <w:tabs>
                <w:tab w:val="left" w:pos="180"/>
                <w:tab w:val="left" w:pos="1620"/>
              </w:tabs>
              <w:spacing w:line="360" w:lineRule="exact"/>
              <w:rPr>
                <w:rFonts w:hint="eastAsia" w:ascii="宋体" w:hAnsi="宋体"/>
                <w:szCs w:val="21"/>
              </w:rPr>
            </w:pPr>
            <w:r>
              <w:rPr>
                <w:rFonts w:hint="eastAsia" w:ascii="宋体" w:hAnsi="宋体"/>
                <w:szCs w:val="21"/>
              </w:rPr>
              <w:t>▲1.3安全涉水深度：≥0.40米；</w:t>
            </w:r>
          </w:p>
          <w:p w14:paraId="1561F17E">
            <w:pPr>
              <w:tabs>
                <w:tab w:val="left" w:pos="180"/>
                <w:tab w:val="left" w:pos="1620"/>
              </w:tabs>
              <w:spacing w:line="360" w:lineRule="exact"/>
              <w:rPr>
                <w:rFonts w:hint="eastAsia" w:ascii="宋体" w:hAnsi="宋体"/>
                <w:szCs w:val="21"/>
              </w:rPr>
            </w:pPr>
            <w:r>
              <w:rPr>
                <w:rFonts w:hint="eastAsia" w:ascii="宋体" w:hAnsi="宋体"/>
                <w:szCs w:val="21"/>
              </w:rPr>
              <w:t>1.4最高车速：≥120km/h；</w:t>
            </w:r>
          </w:p>
          <w:p w14:paraId="33A1E7AD">
            <w:pPr>
              <w:tabs>
                <w:tab w:val="left" w:pos="180"/>
                <w:tab w:val="left" w:pos="1620"/>
              </w:tabs>
              <w:spacing w:line="360" w:lineRule="exact"/>
              <w:rPr>
                <w:rFonts w:hint="eastAsia" w:ascii="宋体" w:hAnsi="宋体"/>
                <w:szCs w:val="21"/>
              </w:rPr>
            </w:pPr>
            <w:r>
              <w:rPr>
                <w:rFonts w:hint="eastAsia" w:ascii="宋体" w:hAnsi="宋体"/>
                <w:szCs w:val="21"/>
              </w:rPr>
              <w:t>1.5驱动方式：4×4；</w:t>
            </w:r>
          </w:p>
          <w:p w14:paraId="42960A92">
            <w:pPr>
              <w:tabs>
                <w:tab w:val="left" w:pos="180"/>
                <w:tab w:val="left" w:pos="1620"/>
              </w:tabs>
              <w:spacing w:line="360" w:lineRule="exact"/>
              <w:rPr>
                <w:rFonts w:hint="eastAsia" w:ascii="宋体" w:hAnsi="宋体"/>
                <w:szCs w:val="21"/>
              </w:rPr>
            </w:pPr>
            <w:r>
              <w:rPr>
                <w:rFonts w:hint="eastAsia" w:ascii="宋体" w:hAnsi="宋体"/>
                <w:szCs w:val="21"/>
              </w:rPr>
              <w:t>1.6燃油类型：柴油；</w:t>
            </w:r>
          </w:p>
          <w:p w14:paraId="40168455">
            <w:pPr>
              <w:tabs>
                <w:tab w:val="left" w:pos="180"/>
                <w:tab w:val="left" w:pos="1620"/>
              </w:tabs>
              <w:spacing w:line="360" w:lineRule="exact"/>
              <w:rPr>
                <w:rFonts w:hint="eastAsia" w:ascii="宋体" w:hAnsi="宋体"/>
                <w:szCs w:val="21"/>
              </w:rPr>
            </w:pPr>
            <w:r>
              <w:rPr>
                <w:rFonts w:hint="eastAsia" w:ascii="宋体" w:hAnsi="宋体"/>
                <w:szCs w:val="21"/>
              </w:rPr>
              <w:t>1.7驾驶室准乘人数：2+3；</w:t>
            </w:r>
          </w:p>
          <w:p w14:paraId="5C83B7A4">
            <w:pPr>
              <w:tabs>
                <w:tab w:val="left" w:pos="180"/>
                <w:tab w:val="left" w:pos="1620"/>
              </w:tabs>
              <w:spacing w:line="360" w:lineRule="exact"/>
              <w:rPr>
                <w:rFonts w:hint="eastAsia" w:ascii="宋体" w:hAnsi="宋体"/>
                <w:szCs w:val="21"/>
              </w:rPr>
            </w:pPr>
            <w:r>
              <w:rPr>
                <w:rFonts w:hint="eastAsia" w:ascii="宋体" w:hAnsi="宋体"/>
                <w:szCs w:val="21"/>
              </w:rPr>
              <w:t>1.8标配功能：冷暖空调、ABS防抱死系统、制动力分配EBD、定速巡航；</w:t>
            </w:r>
          </w:p>
          <w:p w14:paraId="05C6B621">
            <w:pPr>
              <w:tabs>
                <w:tab w:val="left" w:pos="180"/>
                <w:tab w:val="left" w:pos="1620"/>
              </w:tabs>
              <w:spacing w:line="360" w:lineRule="exact"/>
              <w:rPr>
                <w:rFonts w:hint="eastAsia" w:ascii="宋体" w:hAnsi="宋体"/>
                <w:szCs w:val="21"/>
              </w:rPr>
            </w:pPr>
            <w:r>
              <w:rPr>
                <w:rFonts w:hint="eastAsia" w:ascii="宋体" w:hAnsi="宋体"/>
                <w:szCs w:val="21"/>
              </w:rPr>
              <w:t>2.上装部分</w:t>
            </w:r>
          </w:p>
          <w:p w14:paraId="2CEDCEAD">
            <w:pPr>
              <w:tabs>
                <w:tab w:val="left" w:pos="180"/>
                <w:tab w:val="left" w:pos="1620"/>
              </w:tabs>
              <w:spacing w:line="360" w:lineRule="exact"/>
              <w:rPr>
                <w:rFonts w:hint="eastAsia" w:ascii="宋体" w:hAnsi="宋体"/>
                <w:szCs w:val="21"/>
              </w:rPr>
            </w:pPr>
            <w:r>
              <w:rPr>
                <w:rFonts w:hint="eastAsia" w:ascii="宋体" w:hAnsi="宋体"/>
                <w:szCs w:val="21"/>
              </w:rPr>
              <w:t>2.1发动机额定功率≥22kW；</w:t>
            </w:r>
          </w:p>
          <w:p w14:paraId="3631CB9A">
            <w:pPr>
              <w:tabs>
                <w:tab w:val="left" w:pos="180"/>
                <w:tab w:val="left" w:pos="1620"/>
              </w:tabs>
              <w:spacing w:line="360" w:lineRule="exact"/>
              <w:rPr>
                <w:rFonts w:hint="eastAsia" w:ascii="宋体" w:hAnsi="宋体"/>
                <w:szCs w:val="21"/>
              </w:rPr>
            </w:pPr>
            <w:r>
              <w:rPr>
                <w:rFonts w:hint="eastAsia" w:ascii="宋体" w:hAnsi="宋体"/>
                <w:szCs w:val="21"/>
              </w:rPr>
              <w:t>2.2 发动机启动方式：一键启动；</w:t>
            </w:r>
          </w:p>
          <w:p w14:paraId="22FFB1D4">
            <w:pPr>
              <w:tabs>
                <w:tab w:val="left" w:pos="180"/>
                <w:tab w:val="left" w:pos="1620"/>
              </w:tabs>
              <w:spacing w:line="360" w:lineRule="exact"/>
              <w:rPr>
                <w:rFonts w:hint="eastAsia" w:ascii="宋体" w:hAnsi="宋体"/>
                <w:szCs w:val="21"/>
              </w:rPr>
            </w:pPr>
            <w:r>
              <w:rPr>
                <w:rFonts w:hint="eastAsia" w:ascii="宋体" w:hAnsi="宋体"/>
                <w:szCs w:val="21"/>
              </w:rPr>
              <w:t>▲2.3 水泵额定流量：≥600立方米/小时；</w:t>
            </w:r>
          </w:p>
          <w:p w14:paraId="37805EFB">
            <w:pPr>
              <w:tabs>
                <w:tab w:val="left" w:pos="180"/>
                <w:tab w:val="left" w:pos="1620"/>
              </w:tabs>
              <w:spacing w:line="360" w:lineRule="exact"/>
              <w:rPr>
                <w:rFonts w:hint="eastAsia" w:ascii="宋体" w:hAnsi="宋体"/>
                <w:szCs w:val="21"/>
              </w:rPr>
            </w:pPr>
            <w:r>
              <w:rPr>
                <w:rFonts w:hint="eastAsia" w:ascii="宋体" w:hAnsi="宋体"/>
                <w:szCs w:val="21"/>
              </w:rPr>
              <w:t>2.4叶轮材质：不锈钢一体铸造成型；</w:t>
            </w:r>
          </w:p>
          <w:p w14:paraId="60622234">
            <w:pPr>
              <w:tabs>
                <w:tab w:val="left" w:pos="180"/>
                <w:tab w:val="left" w:pos="1620"/>
              </w:tabs>
              <w:spacing w:line="360" w:lineRule="exact"/>
              <w:rPr>
                <w:rFonts w:hint="eastAsia" w:ascii="宋体" w:hAnsi="宋体"/>
                <w:szCs w:val="21"/>
              </w:rPr>
            </w:pPr>
            <w:r>
              <w:rPr>
                <w:rFonts w:hint="eastAsia" w:ascii="宋体" w:hAnsi="宋体"/>
                <w:szCs w:val="21"/>
              </w:rPr>
              <w:t>▲2.5扬程：≥12m</w:t>
            </w:r>
            <w:r>
              <w:rPr>
                <w:rFonts w:hint="eastAsia"/>
              </w:rPr>
              <w:t>；</w:t>
            </w:r>
          </w:p>
          <w:p w14:paraId="141BD25D">
            <w:pPr>
              <w:tabs>
                <w:tab w:val="left" w:pos="180"/>
                <w:tab w:val="left" w:pos="1620"/>
              </w:tabs>
              <w:spacing w:line="360" w:lineRule="exact"/>
              <w:rPr>
                <w:rFonts w:hint="eastAsia" w:ascii="宋体" w:hAnsi="宋体"/>
                <w:szCs w:val="21"/>
              </w:rPr>
            </w:pPr>
            <w:r>
              <w:rPr>
                <w:rFonts w:hint="eastAsia" w:ascii="宋体" w:hAnsi="宋体"/>
                <w:szCs w:val="21"/>
              </w:rPr>
              <w:t>2.6照明系统：需配备作业照明灯；</w:t>
            </w:r>
          </w:p>
          <w:p w14:paraId="1B7F424D">
            <w:pPr>
              <w:tabs>
                <w:tab w:val="left" w:pos="180"/>
                <w:tab w:val="left" w:pos="1620"/>
              </w:tabs>
              <w:spacing w:line="360" w:lineRule="exact"/>
              <w:rPr>
                <w:rFonts w:hint="eastAsia" w:ascii="宋体" w:hAnsi="宋体"/>
                <w:szCs w:val="21"/>
              </w:rPr>
            </w:pPr>
            <w:r>
              <w:rPr>
                <w:rFonts w:hint="eastAsia" w:ascii="宋体" w:hAnsi="宋体"/>
                <w:szCs w:val="21"/>
              </w:rPr>
              <w:t>2.7持续工作时间：≥8h；</w:t>
            </w:r>
          </w:p>
          <w:p w14:paraId="7BACA2E7">
            <w:pPr>
              <w:tabs>
                <w:tab w:val="left" w:pos="180"/>
                <w:tab w:val="left" w:pos="1620"/>
              </w:tabs>
              <w:spacing w:line="360" w:lineRule="exact"/>
              <w:rPr>
                <w:rFonts w:hint="eastAsia" w:ascii="宋体" w:hAnsi="宋体"/>
                <w:szCs w:val="21"/>
              </w:rPr>
            </w:pPr>
            <w:r>
              <w:rPr>
                <w:rFonts w:hint="eastAsia" w:ascii="宋体" w:hAnsi="宋体"/>
                <w:szCs w:val="21"/>
              </w:rPr>
              <w:t>2.8进水口尺寸：≥200mm；</w:t>
            </w:r>
          </w:p>
          <w:p w14:paraId="58857DCA">
            <w:pPr>
              <w:tabs>
                <w:tab w:val="left" w:pos="180"/>
                <w:tab w:val="left" w:pos="1620"/>
              </w:tabs>
              <w:spacing w:line="360" w:lineRule="exact"/>
              <w:rPr>
                <w:rFonts w:hint="eastAsia" w:ascii="宋体" w:hAnsi="宋体"/>
                <w:szCs w:val="21"/>
              </w:rPr>
            </w:pPr>
            <w:r>
              <w:rPr>
                <w:rFonts w:hint="eastAsia" w:ascii="宋体" w:hAnsi="宋体"/>
                <w:szCs w:val="21"/>
              </w:rPr>
              <w:t>2.9水管总长度：≥50m；</w:t>
            </w:r>
          </w:p>
          <w:p w14:paraId="50E65286">
            <w:pPr>
              <w:tabs>
                <w:tab w:val="left" w:pos="180"/>
                <w:tab w:val="left" w:pos="1620"/>
              </w:tabs>
              <w:spacing w:line="360" w:lineRule="exact"/>
              <w:rPr>
                <w:rFonts w:hint="eastAsia" w:ascii="宋体" w:hAnsi="宋体"/>
                <w:szCs w:val="21"/>
              </w:rPr>
            </w:pPr>
            <w:r>
              <w:rPr>
                <w:rFonts w:hint="eastAsia" w:ascii="宋体" w:hAnsi="宋体"/>
                <w:szCs w:val="21"/>
              </w:rPr>
              <w:t>2.10抽水所需最低水位：≤300mm。</w:t>
            </w:r>
          </w:p>
        </w:tc>
        <w:tc>
          <w:tcPr>
            <w:tcW w:w="895" w:type="pct"/>
            <w:tcBorders>
              <w:top w:val="single" w:color="000000" w:sz="4" w:space="0"/>
              <w:left w:val="single" w:color="000000" w:sz="4" w:space="0"/>
              <w:bottom w:val="single" w:color="000000" w:sz="4" w:space="0"/>
              <w:right w:val="single" w:color="000000" w:sz="4" w:space="0"/>
            </w:tcBorders>
            <w:noWrap w:val="0"/>
            <w:vAlign w:val="center"/>
          </w:tcPr>
          <w:p w14:paraId="6E056BF7">
            <w:pPr>
              <w:tabs>
                <w:tab w:val="left" w:pos="180"/>
                <w:tab w:val="left" w:pos="1620"/>
              </w:tabs>
              <w:spacing w:line="360" w:lineRule="exact"/>
              <w:jc w:val="center"/>
              <w:rPr>
                <w:rFonts w:ascii="宋体" w:hAnsi="宋体"/>
                <w:szCs w:val="21"/>
              </w:rPr>
            </w:pPr>
            <w:r>
              <w:rPr>
                <w:rFonts w:hint="eastAsia" w:ascii="宋体" w:hAnsi="宋体"/>
                <w:szCs w:val="21"/>
              </w:rPr>
              <w:t>排水抢险车/大流量排水抢险车</w:t>
            </w:r>
          </w:p>
        </w:tc>
        <w:tc>
          <w:tcPr>
            <w:tcW w:w="576" w:type="pct"/>
            <w:tcBorders>
              <w:top w:val="single" w:color="000000" w:sz="4" w:space="0"/>
              <w:left w:val="single" w:color="000000" w:sz="4" w:space="0"/>
              <w:bottom w:val="single" w:color="000000" w:sz="4" w:space="0"/>
              <w:right w:val="single" w:color="000000" w:sz="4" w:space="0"/>
            </w:tcBorders>
            <w:noWrap w:val="0"/>
            <w:vAlign w:val="center"/>
          </w:tcPr>
          <w:p w14:paraId="3B9594F0">
            <w:pPr>
              <w:tabs>
                <w:tab w:val="left" w:pos="180"/>
                <w:tab w:val="left" w:pos="1620"/>
              </w:tabs>
              <w:spacing w:line="360" w:lineRule="exact"/>
              <w:jc w:val="center"/>
              <w:rPr>
                <w:rFonts w:ascii="宋体" w:hAnsi="宋体"/>
                <w:szCs w:val="21"/>
              </w:rPr>
            </w:pPr>
            <w:r>
              <w:rPr>
                <w:rFonts w:hint="eastAsia" w:ascii="宋体" w:hAnsi="宋体"/>
                <w:szCs w:val="21"/>
              </w:rPr>
              <w:t>41.30</w:t>
            </w:r>
          </w:p>
        </w:tc>
      </w:tr>
      <w:tr w14:paraId="0D9620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91" w:type="pct"/>
            <w:tcBorders>
              <w:top w:val="single" w:color="000000" w:sz="4" w:space="0"/>
              <w:left w:val="single" w:color="000000" w:sz="4" w:space="0"/>
              <w:bottom w:val="single" w:color="000000" w:sz="4" w:space="0"/>
              <w:right w:val="single" w:color="000000" w:sz="4" w:space="0"/>
            </w:tcBorders>
            <w:noWrap w:val="0"/>
            <w:vAlign w:val="center"/>
          </w:tcPr>
          <w:p w14:paraId="6BABF500">
            <w:pPr>
              <w:numPr>
                <w:ilvl w:val="0"/>
                <w:numId w:val="0"/>
              </w:numPr>
              <w:tabs>
                <w:tab w:val="left" w:pos="180"/>
                <w:tab w:val="left" w:pos="1620"/>
              </w:tabs>
              <w:spacing w:line="360" w:lineRule="exact"/>
              <w:ind w:left="440" w:leftChars="0" w:hanging="440" w:firstLineChars="0"/>
              <w:rPr>
                <w:rFonts w:hint="eastAsia" w:ascii="宋体" w:hAnsi="宋体"/>
                <w:bCs/>
                <w:szCs w:val="21"/>
              </w:rPr>
            </w:pPr>
            <w:r>
              <w:rPr>
                <w:rFonts w:hint="eastAsia" w:ascii="宋体" w:hAnsi="宋体" w:eastAsia="宋体" w:cs="Times New Roman"/>
                <w:bCs/>
                <w:kern w:val="2"/>
                <w:sz w:val="21"/>
                <w:szCs w:val="21"/>
                <w:lang w:val="en-US" w:eastAsia="zh-CN" w:bidi="ar-SA"/>
              </w:rPr>
              <w:t>2</w:t>
            </w:r>
          </w:p>
        </w:tc>
        <w:tc>
          <w:tcPr>
            <w:tcW w:w="446" w:type="pct"/>
            <w:tcBorders>
              <w:top w:val="single" w:color="000000" w:sz="4" w:space="0"/>
              <w:left w:val="single" w:color="000000" w:sz="4" w:space="0"/>
              <w:bottom w:val="single" w:color="000000" w:sz="4" w:space="0"/>
              <w:right w:val="single" w:color="000000" w:sz="4" w:space="0"/>
            </w:tcBorders>
            <w:noWrap w:val="0"/>
            <w:vAlign w:val="center"/>
          </w:tcPr>
          <w:p w14:paraId="057F5903">
            <w:pPr>
              <w:tabs>
                <w:tab w:val="left" w:pos="180"/>
                <w:tab w:val="left" w:pos="1620"/>
              </w:tabs>
              <w:spacing w:line="360" w:lineRule="exact"/>
              <w:jc w:val="center"/>
              <w:rPr>
                <w:rFonts w:hint="eastAsia" w:ascii="宋体" w:hAnsi="宋体"/>
                <w:szCs w:val="21"/>
              </w:rPr>
            </w:pPr>
            <w:r>
              <w:rPr>
                <w:rFonts w:hint="eastAsia" w:ascii="宋体" w:hAnsi="宋体"/>
                <w:color w:val="000000"/>
              </w:rPr>
              <w:t>小型工具装备车</w:t>
            </w:r>
          </w:p>
        </w:tc>
        <w:tc>
          <w:tcPr>
            <w:tcW w:w="432" w:type="pct"/>
            <w:gridSpan w:val="2"/>
            <w:tcBorders>
              <w:top w:val="single" w:color="000000" w:sz="4" w:space="0"/>
              <w:left w:val="single" w:color="000000" w:sz="4" w:space="0"/>
              <w:bottom w:val="single" w:color="000000" w:sz="4" w:space="0"/>
              <w:right w:val="single" w:color="000000" w:sz="4" w:space="0"/>
            </w:tcBorders>
            <w:noWrap w:val="0"/>
            <w:vAlign w:val="center"/>
          </w:tcPr>
          <w:p w14:paraId="6538FAF0">
            <w:pPr>
              <w:tabs>
                <w:tab w:val="left" w:pos="180"/>
                <w:tab w:val="left" w:pos="1620"/>
              </w:tabs>
              <w:spacing w:line="360" w:lineRule="exact"/>
              <w:jc w:val="center"/>
              <w:rPr>
                <w:rFonts w:hint="eastAsia" w:ascii="宋体" w:hAnsi="宋体"/>
                <w:szCs w:val="21"/>
              </w:rPr>
            </w:pPr>
            <w:r>
              <w:rPr>
                <w:rFonts w:hint="eastAsia" w:ascii="宋体" w:hAnsi="宋体"/>
                <w:szCs w:val="21"/>
              </w:rPr>
              <w:t>1台</w:t>
            </w:r>
          </w:p>
        </w:tc>
        <w:tc>
          <w:tcPr>
            <w:tcW w:w="405" w:type="pct"/>
            <w:tcBorders>
              <w:top w:val="single" w:color="000000" w:sz="4" w:space="0"/>
              <w:left w:val="single" w:color="000000" w:sz="4" w:space="0"/>
              <w:bottom w:val="single" w:color="000000" w:sz="4" w:space="0"/>
              <w:right w:val="single" w:color="000000" w:sz="4" w:space="0"/>
            </w:tcBorders>
            <w:noWrap w:val="0"/>
            <w:vAlign w:val="center"/>
          </w:tcPr>
          <w:p w14:paraId="2A745D69">
            <w:pPr>
              <w:tabs>
                <w:tab w:val="left" w:pos="180"/>
                <w:tab w:val="left" w:pos="1620"/>
              </w:tabs>
              <w:spacing w:line="360" w:lineRule="exact"/>
              <w:jc w:val="center"/>
              <w:rPr>
                <w:rFonts w:hint="eastAsia" w:ascii="宋体" w:hAnsi="宋体" w:cs="Arial"/>
                <w:szCs w:val="21"/>
              </w:rPr>
            </w:pPr>
            <w:r>
              <w:rPr>
                <w:rFonts w:hint="eastAsia" w:ascii="宋体" w:hAnsi="宋体"/>
                <w:szCs w:val="21"/>
              </w:rPr>
              <w:t>工业</w:t>
            </w:r>
          </w:p>
        </w:tc>
        <w:tc>
          <w:tcPr>
            <w:tcW w:w="1950" w:type="pct"/>
            <w:tcBorders>
              <w:top w:val="single" w:color="000000" w:sz="4" w:space="0"/>
              <w:left w:val="single" w:color="000000" w:sz="4" w:space="0"/>
              <w:bottom w:val="single" w:color="000000" w:sz="4" w:space="0"/>
              <w:right w:val="single" w:color="000000" w:sz="4" w:space="0"/>
            </w:tcBorders>
            <w:noWrap w:val="0"/>
            <w:vAlign w:val="center"/>
          </w:tcPr>
          <w:p w14:paraId="2F39DF18">
            <w:pPr>
              <w:tabs>
                <w:tab w:val="left" w:pos="180"/>
                <w:tab w:val="left" w:pos="1620"/>
              </w:tabs>
              <w:spacing w:line="360" w:lineRule="exact"/>
              <w:rPr>
                <w:rFonts w:hint="eastAsia" w:ascii="宋体" w:hAnsi="宋体"/>
                <w:szCs w:val="21"/>
              </w:rPr>
            </w:pPr>
            <w:r>
              <w:rPr>
                <w:rFonts w:hint="eastAsia" w:ascii="宋体" w:hAnsi="宋体"/>
                <w:szCs w:val="21"/>
              </w:rPr>
              <w:t>1.总质量≥4400Kg；</w:t>
            </w:r>
          </w:p>
          <w:p w14:paraId="179646F7">
            <w:pPr>
              <w:tabs>
                <w:tab w:val="left" w:pos="180"/>
                <w:tab w:val="left" w:pos="1620"/>
              </w:tabs>
              <w:spacing w:line="360" w:lineRule="exact"/>
              <w:rPr>
                <w:rFonts w:hint="eastAsia" w:ascii="宋体" w:hAnsi="宋体"/>
                <w:szCs w:val="21"/>
              </w:rPr>
            </w:pPr>
            <w:r>
              <w:rPr>
                <w:rFonts w:hint="eastAsia" w:ascii="宋体" w:hAnsi="宋体"/>
                <w:szCs w:val="21"/>
              </w:rPr>
              <w:t>2.整备质量≥2800Kg；</w:t>
            </w:r>
          </w:p>
          <w:p w14:paraId="42BC9965">
            <w:pPr>
              <w:tabs>
                <w:tab w:val="left" w:pos="180"/>
                <w:tab w:val="left" w:pos="1620"/>
              </w:tabs>
              <w:spacing w:line="360" w:lineRule="exact"/>
              <w:rPr>
                <w:rFonts w:hint="eastAsia" w:ascii="宋体" w:hAnsi="宋体"/>
                <w:szCs w:val="21"/>
              </w:rPr>
            </w:pPr>
            <w:r>
              <w:rPr>
                <w:rFonts w:hint="eastAsia" w:ascii="宋体" w:hAnsi="宋体"/>
                <w:szCs w:val="21"/>
              </w:rPr>
              <w:t>3.额定载质量≥1400Kg；</w:t>
            </w:r>
          </w:p>
          <w:p w14:paraId="12F60350">
            <w:pPr>
              <w:tabs>
                <w:tab w:val="left" w:pos="180"/>
                <w:tab w:val="left" w:pos="1620"/>
              </w:tabs>
              <w:spacing w:line="360" w:lineRule="exact"/>
              <w:rPr>
                <w:rFonts w:hint="eastAsia" w:ascii="宋体" w:hAnsi="宋体"/>
                <w:szCs w:val="21"/>
              </w:rPr>
            </w:pPr>
            <w:r>
              <w:rPr>
                <w:rFonts w:hint="eastAsia" w:ascii="宋体" w:hAnsi="宋体"/>
                <w:szCs w:val="21"/>
              </w:rPr>
              <w:t>4.整车尺寸≥5995mm×2180mm×3150mm；</w:t>
            </w:r>
          </w:p>
          <w:p w14:paraId="407E16E8">
            <w:pPr>
              <w:tabs>
                <w:tab w:val="left" w:pos="180"/>
                <w:tab w:val="left" w:pos="1620"/>
              </w:tabs>
              <w:spacing w:line="360" w:lineRule="exact"/>
              <w:rPr>
                <w:rFonts w:hint="eastAsia" w:ascii="宋体" w:hAnsi="宋体"/>
                <w:szCs w:val="21"/>
              </w:rPr>
            </w:pPr>
            <w:r>
              <w:rPr>
                <w:rFonts w:hint="eastAsia" w:ascii="宋体" w:hAnsi="宋体"/>
                <w:szCs w:val="21"/>
              </w:rPr>
              <w:t>5.货厢尺寸≥4150×2100×2150mm；</w:t>
            </w:r>
          </w:p>
          <w:p w14:paraId="3AF1F4B2">
            <w:pPr>
              <w:tabs>
                <w:tab w:val="left" w:pos="180"/>
                <w:tab w:val="left" w:pos="1620"/>
              </w:tabs>
              <w:spacing w:line="360" w:lineRule="exact"/>
              <w:rPr>
                <w:rFonts w:hint="eastAsia" w:ascii="宋体" w:hAnsi="宋体"/>
                <w:szCs w:val="21"/>
              </w:rPr>
            </w:pPr>
            <w:r>
              <w:rPr>
                <w:rFonts w:hint="eastAsia" w:ascii="宋体" w:hAnsi="宋体"/>
                <w:szCs w:val="21"/>
              </w:rPr>
              <w:t>6.驾驶室翻转；</w:t>
            </w:r>
          </w:p>
          <w:p w14:paraId="4A8CDFB5">
            <w:pPr>
              <w:tabs>
                <w:tab w:val="left" w:pos="180"/>
                <w:tab w:val="left" w:pos="1620"/>
              </w:tabs>
              <w:spacing w:line="360" w:lineRule="exact"/>
              <w:rPr>
                <w:rFonts w:hint="eastAsia" w:ascii="宋体" w:hAnsi="宋体"/>
                <w:szCs w:val="21"/>
              </w:rPr>
            </w:pPr>
            <w:r>
              <w:rPr>
                <w:rFonts w:hint="eastAsia" w:ascii="宋体" w:hAnsi="宋体"/>
                <w:szCs w:val="21"/>
              </w:rPr>
              <w:t>▲7.配备发动机，≥160马力，≥2.4排量；</w:t>
            </w:r>
          </w:p>
          <w:p w14:paraId="344B6E5D">
            <w:pPr>
              <w:tabs>
                <w:tab w:val="left" w:pos="180"/>
                <w:tab w:val="left" w:pos="1620"/>
              </w:tabs>
              <w:spacing w:line="360" w:lineRule="exact"/>
              <w:rPr>
                <w:rFonts w:hint="eastAsia" w:ascii="宋体" w:hAnsi="宋体"/>
                <w:szCs w:val="21"/>
              </w:rPr>
            </w:pPr>
            <w:r>
              <w:rPr>
                <w:rFonts w:hint="eastAsia" w:ascii="宋体" w:hAnsi="宋体"/>
                <w:szCs w:val="21"/>
              </w:rPr>
              <w:t>8.轴距≥3360mm；</w:t>
            </w:r>
          </w:p>
          <w:p w14:paraId="2AE01374">
            <w:pPr>
              <w:tabs>
                <w:tab w:val="left" w:pos="180"/>
                <w:tab w:val="left" w:pos="1620"/>
              </w:tabs>
              <w:spacing w:line="360" w:lineRule="exact"/>
              <w:rPr>
                <w:rFonts w:hint="eastAsia" w:ascii="宋体" w:hAnsi="宋体"/>
                <w:szCs w:val="21"/>
              </w:rPr>
            </w:pPr>
            <w:r>
              <w:rPr>
                <w:rFonts w:hint="eastAsia" w:ascii="宋体" w:hAnsi="宋体"/>
                <w:szCs w:val="21"/>
              </w:rPr>
              <w:t>9.全液晶仪表盘；</w:t>
            </w:r>
          </w:p>
          <w:p w14:paraId="602B46CA">
            <w:pPr>
              <w:tabs>
                <w:tab w:val="left" w:pos="180"/>
                <w:tab w:val="left" w:pos="1620"/>
              </w:tabs>
              <w:spacing w:line="360" w:lineRule="exact"/>
              <w:rPr>
                <w:rFonts w:hint="eastAsia" w:ascii="宋体" w:hAnsi="宋体"/>
                <w:szCs w:val="21"/>
              </w:rPr>
            </w:pPr>
            <w:r>
              <w:rPr>
                <w:rFonts w:hint="eastAsia" w:ascii="宋体" w:hAnsi="宋体"/>
                <w:szCs w:val="21"/>
              </w:rPr>
              <w:t>10.六挡变速箱；</w:t>
            </w:r>
          </w:p>
          <w:p w14:paraId="2E5521CE">
            <w:pPr>
              <w:tabs>
                <w:tab w:val="left" w:pos="180"/>
                <w:tab w:val="left" w:pos="1620"/>
              </w:tabs>
              <w:spacing w:line="360" w:lineRule="exact"/>
              <w:rPr>
                <w:rFonts w:hint="eastAsia" w:ascii="宋体" w:hAnsi="宋体"/>
                <w:szCs w:val="21"/>
              </w:rPr>
            </w:pPr>
            <w:r>
              <w:rPr>
                <w:rFonts w:hint="eastAsia" w:ascii="宋体" w:hAnsi="宋体"/>
                <w:szCs w:val="21"/>
              </w:rPr>
              <w:t>11.其他配置：冷暖空调，电动窗，中控锁，遥控钥匙，动力转向，MP3，定速巡航，ABS</w:t>
            </w:r>
            <w:r>
              <w:rPr>
                <w:rFonts w:hint="eastAsia"/>
              </w:rPr>
              <w:t>；</w:t>
            </w:r>
          </w:p>
          <w:p w14:paraId="0DBCD61B">
            <w:pPr>
              <w:tabs>
                <w:tab w:val="left" w:pos="180"/>
                <w:tab w:val="left" w:pos="1620"/>
              </w:tabs>
              <w:spacing w:line="360" w:lineRule="exact"/>
              <w:rPr>
                <w:rFonts w:hint="eastAsia" w:ascii="宋体" w:hAnsi="宋体"/>
                <w:szCs w:val="21"/>
              </w:rPr>
            </w:pPr>
            <w:r>
              <w:rPr>
                <w:rFonts w:hint="eastAsia" w:ascii="宋体" w:hAnsi="宋体"/>
                <w:szCs w:val="21"/>
              </w:rPr>
              <w:t>12.轮胎规格：7.00R16LT 8PR。</w:t>
            </w:r>
          </w:p>
        </w:tc>
        <w:tc>
          <w:tcPr>
            <w:tcW w:w="895" w:type="pct"/>
            <w:tcBorders>
              <w:top w:val="single" w:color="000000" w:sz="4" w:space="0"/>
              <w:left w:val="single" w:color="000000" w:sz="4" w:space="0"/>
              <w:bottom w:val="single" w:color="000000" w:sz="4" w:space="0"/>
              <w:right w:val="single" w:color="000000" w:sz="4" w:space="0"/>
            </w:tcBorders>
            <w:noWrap w:val="0"/>
            <w:vAlign w:val="center"/>
          </w:tcPr>
          <w:p w14:paraId="35CB9EA5">
            <w:pPr>
              <w:tabs>
                <w:tab w:val="left" w:pos="180"/>
                <w:tab w:val="left" w:pos="1620"/>
              </w:tabs>
              <w:spacing w:line="360" w:lineRule="exact"/>
              <w:jc w:val="center"/>
              <w:rPr>
                <w:rFonts w:hint="eastAsia" w:ascii="宋体" w:hAnsi="宋体"/>
                <w:szCs w:val="21"/>
              </w:rPr>
            </w:pPr>
            <w:r>
              <w:rPr>
                <w:rFonts w:hint="eastAsia" w:ascii="宋体" w:hAnsi="宋体" w:eastAsia="宋体" w:cs="Times New Roman"/>
                <w:b w:val="0"/>
                <w:bCs w:val="0"/>
                <w:i w:val="0"/>
                <w:iCs w:val="0"/>
                <w:spacing w:val="0"/>
                <w:w w:val="100"/>
                <w:kern w:val="2"/>
                <w:sz w:val="21"/>
                <w:szCs w:val="21"/>
                <w:vertAlign w:val="baseline"/>
                <w:lang w:val="en-US" w:eastAsia="zh-CN" w:bidi="ar"/>
              </w:rPr>
              <w:t>厢式运输车/工具车</w:t>
            </w:r>
          </w:p>
        </w:tc>
        <w:tc>
          <w:tcPr>
            <w:tcW w:w="576" w:type="pct"/>
            <w:tcBorders>
              <w:top w:val="single" w:color="000000" w:sz="4" w:space="0"/>
              <w:left w:val="single" w:color="000000" w:sz="4" w:space="0"/>
              <w:bottom w:val="single" w:color="000000" w:sz="4" w:space="0"/>
              <w:right w:val="single" w:color="000000" w:sz="4" w:space="0"/>
            </w:tcBorders>
            <w:noWrap w:val="0"/>
            <w:vAlign w:val="center"/>
          </w:tcPr>
          <w:p w14:paraId="384C66FF">
            <w:pPr>
              <w:tabs>
                <w:tab w:val="left" w:pos="180"/>
                <w:tab w:val="left" w:pos="1620"/>
              </w:tabs>
              <w:spacing w:line="360" w:lineRule="exact"/>
              <w:jc w:val="center"/>
              <w:rPr>
                <w:rFonts w:ascii="宋体" w:hAnsi="宋体"/>
                <w:szCs w:val="21"/>
              </w:rPr>
            </w:pPr>
            <w:r>
              <w:rPr>
                <w:rFonts w:hint="eastAsia" w:ascii="宋体" w:hAnsi="宋体"/>
                <w:szCs w:val="21"/>
              </w:rPr>
              <w:t>25.20</w:t>
            </w:r>
          </w:p>
        </w:tc>
      </w:tr>
      <w:tr w14:paraId="320658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91" w:type="pct"/>
            <w:tcBorders>
              <w:top w:val="single" w:color="000000" w:sz="4" w:space="0"/>
              <w:left w:val="single" w:color="000000" w:sz="4" w:space="0"/>
              <w:bottom w:val="single" w:color="000000" w:sz="4" w:space="0"/>
              <w:right w:val="single" w:color="000000" w:sz="4" w:space="0"/>
            </w:tcBorders>
            <w:noWrap w:val="0"/>
            <w:vAlign w:val="center"/>
          </w:tcPr>
          <w:p w14:paraId="5154BEE0">
            <w:pPr>
              <w:numPr>
                <w:ilvl w:val="0"/>
                <w:numId w:val="0"/>
              </w:numPr>
              <w:snapToGrid w:val="0"/>
              <w:spacing w:line="360" w:lineRule="exact"/>
              <w:ind w:left="440" w:leftChars="0" w:hanging="440" w:firstLineChars="0"/>
              <w:rPr>
                <w:rFonts w:hint="eastAsia" w:ascii="宋体" w:hAnsi="宋体"/>
                <w:bCs/>
                <w:szCs w:val="21"/>
              </w:rPr>
            </w:pPr>
            <w:r>
              <w:rPr>
                <w:rFonts w:hint="eastAsia" w:ascii="宋体" w:hAnsi="宋体" w:eastAsia="宋体" w:cs="Times New Roman"/>
                <w:bCs/>
                <w:kern w:val="2"/>
                <w:sz w:val="21"/>
                <w:szCs w:val="21"/>
                <w:lang w:val="en-US" w:eastAsia="zh-CN" w:bidi="ar-SA"/>
              </w:rPr>
              <w:t>3</w:t>
            </w:r>
          </w:p>
        </w:tc>
        <w:tc>
          <w:tcPr>
            <w:tcW w:w="446" w:type="pct"/>
            <w:tcBorders>
              <w:top w:val="single" w:color="000000" w:sz="4" w:space="0"/>
              <w:left w:val="single" w:color="000000" w:sz="4" w:space="0"/>
              <w:bottom w:val="single" w:color="auto" w:sz="4" w:space="0"/>
              <w:right w:val="single" w:color="000000" w:sz="4" w:space="0"/>
            </w:tcBorders>
            <w:noWrap w:val="0"/>
            <w:vAlign w:val="center"/>
          </w:tcPr>
          <w:p w14:paraId="3E3C4831">
            <w:pPr>
              <w:widowControl/>
              <w:spacing w:line="360" w:lineRule="exact"/>
              <w:jc w:val="center"/>
              <w:textAlignment w:val="center"/>
              <w:rPr>
                <w:rFonts w:hint="eastAsia" w:ascii="宋体" w:hAnsi="宋体"/>
                <w:szCs w:val="21"/>
              </w:rPr>
            </w:pPr>
            <w:r>
              <w:rPr>
                <w:rFonts w:hint="eastAsia" w:ascii="宋体" w:hAnsi="宋体"/>
                <w:color w:val="000000"/>
              </w:rPr>
              <w:t>平板运输车</w:t>
            </w:r>
          </w:p>
        </w:tc>
        <w:tc>
          <w:tcPr>
            <w:tcW w:w="432" w:type="pct"/>
            <w:gridSpan w:val="2"/>
            <w:tcBorders>
              <w:top w:val="single" w:color="000000" w:sz="4" w:space="0"/>
              <w:left w:val="single" w:color="000000" w:sz="4" w:space="0"/>
              <w:bottom w:val="single" w:color="auto" w:sz="4" w:space="0"/>
              <w:right w:val="single" w:color="000000" w:sz="4" w:space="0"/>
            </w:tcBorders>
            <w:noWrap w:val="0"/>
            <w:vAlign w:val="center"/>
          </w:tcPr>
          <w:p w14:paraId="45C83F72">
            <w:pPr>
              <w:widowControl/>
              <w:spacing w:line="360" w:lineRule="exact"/>
              <w:jc w:val="center"/>
              <w:textAlignment w:val="center"/>
              <w:rPr>
                <w:rFonts w:hint="eastAsia" w:ascii="宋体" w:hAnsi="宋体"/>
                <w:szCs w:val="21"/>
              </w:rPr>
            </w:pPr>
            <w:r>
              <w:rPr>
                <w:rFonts w:hint="eastAsia" w:ascii="宋体" w:hAnsi="宋体"/>
                <w:szCs w:val="21"/>
              </w:rPr>
              <w:t>2台</w:t>
            </w:r>
          </w:p>
        </w:tc>
        <w:tc>
          <w:tcPr>
            <w:tcW w:w="405" w:type="pct"/>
            <w:tcBorders>
              <w:top w:val="single" w:color="000000" w:sz="4" w:space="0"/>
              <w:left w:val="single" w:color="000000" w:sz="4" w:space="0"/>
              <w:bottom w:val="single" w:color="auto" w:sz="4" w:space="0"/>
              <w:right w:val="single" w:color="000000" w:sz="4" w:space="0"/>
            </w:tcBorders>
            <w:noWrap w:val="0"/>
            <w:vAlign w:val="center"/>
          </w:tcPr>
          <w:p w14:paraId="0BC624F5">
            <w:pPr>
              <w:widowControl/>
              <w:spacing w:line="360" w:lineRule="exact"/>
              <w:jc w:val="center"/>
              <w:textAlignment w:val="center"/>
              <w:rPr>
                <w:rFonts w:hint="eastAsia" w:ascii="宋体" w:hAnsi="宋体"/>
                <w:szCs w:val="21"/>
              </w:rPr>
            </w:pPr>
            <w:r>
              <w:rPr>
                <w:rFonts w:hint="eastAsia" w:ascii="宋体" w:hAnsi="宋体"/>
                <w:szCs w:val="21"/>
              </w:rPr>
              <w:t>工业</w:t>
            </w:r>
          </w:p>
        </w:tc>
        <w:tc>
          <w:tcPr>
            <w:tcW w:w="1950" w:type="pct"/>
            <w:tcBorders>
              <w:top w:val="single" w:color="000000" w:sz="4" w:space="0"/>
              <w:left w:val="single" w:color="000000" w:sz="4" w:space="0"/>
              <w:bottom w:val="single" w:color="000000" w:sz="4" w:space="0"/>
              <w:right w:val="single" w:color="000000" w:sz="4" w:space="0"/>
            </w:tcBorders>
            <w:noWrap w:val="0"/>
            <w:vAlign w:val="center"/>
          </w:tcPr>
          <w:p w14:paraId="6C566AD5">
            <w:pPr>
              <w:widowControl/>
              <w:spacing w:line="360" w:lineRule="exact"/>
              <w:textAlignment w:val="top"/>
              <w:rPr>
                <w:rFonts w:hint="eastAsia" w:ascii="宋体" w:hAnsi="宋体"/>
                <w:szCs w:val="21"/>
              </w:rPr>
            </w:pPr>
            <w:r>
              <w:rPr>
                <w:rFonts w:hint="eastAsia" w:ascii="宋体" w:hAnsi="宋体"/>
                <w:szCs w:val="21"/>
              </w:rPr>
              <w:t>（一）牵引车</w:t>
            </w:r>
          </w:p>
          <w:p w14:paraId="637DC02B">
            <w:pPr>
              <w:widowControl/>
              <w:spacing w:line="360" w:lineRule="exact"/>
              <w:textAlignment w:val="top"/>
              <w:rPr>
                <w:rFonts w:hint="eastAsia" w:ascii="宋体" w:hAnsi="宋体"/>
                <w:szCs w:val="21"/>
              </w:rPr>
            </w:pPr>
            <w:r>
              <w:rPr>
                <w:rFonts w:hint="eastAsia" w:ascii="宋体" w:hAnsi="宋体"/>
                <w:szCs w:val="21"/>
              </w:rPr>
              <w:t>▲1.发动机功率≥405kW；</w:t>
            </w:r>
          </w:p>
          <w:p w14:paraId="11878393">
            <w:pPr>
              <w:widowControl/>
              <w:spacing w:line="360" w:lineRule="exact"/>
              <w:textAlignment w:val="top"/>
              <w:rPr>
                <w:rFonts w:hint="eastAsia" w:ascii="宋体" w:hAnsi="宋体"/>
                <w:szCs w:val="21"/>
              </w:rPr>
            </w:pPr>
            <w:r>
              <w:rPr>
                <w:rFonts w:hint="eastAsia" w:ascii="宋体" w:hAnsi="宋体"/>
                <w:szCs w:val="21"/>
              </w:rPr>
              <w:t>2.排放符合国Ⅵ标准；</w:t>
            </w:r>
          </w:p>
          <w:p w14:paraId="23433F31">
            <w:pPr>
              <w:widowControl/>
              <w:spacing w:line="360" w:lineRule="exact"/>
              <w:textAlignment w:val="top"/>
              <w:rPr>
                <w:rFonts w:hint="eastAsia" w:ascii="宋体" w:hAnsi="宋体"/>
                <w:szCs w:val="21"/>
              </w:rPr>
            </w:pPr>
            <w:r>
              <w:rPr>
                <w:rFonts w:hint="eastAsia" w:ascii="宋体" w:hAnsi="宋体"/>
                <w:szCs w:val="21"/>
              </w:rPr>
              <w:t>▲3.驱动形式配置≥6×4驱动；</w:t>
            </w:r>
          </w:p>
          <w:p w14:paraId="0F96F5CD">
            <w:pPr>
              <w:widowControl/>
              <w:spacing w:line="360" w:lineRule="exact"/>
              <w:textAlignment w:val="top"/>
              <w:rPr>
                <w:rFonts w:hint="eastAsia" w:ascii="宋体" w:hAnsi="宋体"/>
                <w:szCs w:val="21"/>
              </w:rPr>
            </w:pPr>
            <w:r>
              <w:rPr>
                <w:rFonts w:hint="eastAsia" w:ascii="宋体" w:hAnsi="宋体"/>
                <w:szCs w:val="21"/>
              </w:rPr>
              <w:t>▲4.牵引总质量≥40t；</w:t>
            </w:r>
          </w:p>
          <w:p w14:paraId="7F7B723C">
            <w:pPr>
              <w:widowControl/>
              <w:spacing w:line="360" w:lineRule="exact"/>
              <w:textAlignment w:val="top"/>
              <w:rPr>
                <w:rFonts w:hint="eastAsia" w:ascii="宋体" w:hAnsi="宋体"/>
                <w:szCs w:val="21"/>
              </w:rPr>
            </w:pPr>
            <w:r>
              <w:rPr>
                <w:rFonts w:hint="eastAsia" w:ascii="宋体" w:hAnsi="宋体"/>
                <w:szCs w:val="21"/>
              </w:rPr>
              <w:t>5.最高车速≥85km/h；</w:t>
            </w:r>
          </w:p>
          <w:p w14:paraId="19AE95E3">
            <w:pPr>
              <w:widowControl/>
              <w:spacing w:line="360" w:lineRule="exact"/>
              <w:textAlignment w:val="top"/>
              <w:rPr>
                <w:rFonts w:hint="eastAsia" w:ascii="宋体" w:hAnsi="宋体"/>
                <w:szCs w:val="21"/>
              </w:rPr>
            </w:pPr>
            <w:r>
              <w:rPr>
                <w:rFonts w:hint="eastAsia" w:ascii="宋体" w:hAnsi="宋体"/>
                <w:szCs w:val="21"/>
              </w:rPr>
              <w:t>6.前桥允许荷载≥7000Kg；</w:t>
            </w:r>
          </w:p>
          <w:p w14:paraId="7ED1AAD7">
            <w:pPr>
              <w:widowControl/>
              <w:spacing w:line="360" w:lineRule="exact"/>
              <w:textAlignment w:val="top"/>
              <w:rPr>
                <w:rFonts w:hint="eastAsia" w:ascii="宋体" w:hAnsi="宋体"/>
                <w:szCs w:val="21"/>
              </w:rPr>
            </w:pPr>
            <w:r>
              <w:rPr>
                <w:rFonts w:hint="eastAsia" w:ascii="宋体" w:hAnsi="宋体"/>
                <w:szCs w:val="21"/>
              </w:rPr>
              <w:t>7.后桥允许荷载≥18000Kg；</w:t>
            </w:r>
          </w:p>
          <w:p w14:paraId="5F83A7DB">
            <w:pPr>
              <w:widowControl/>
              <w:spacing w:line="360" w:lineRule="exact"/>
              <w:textAlignment w:val="top"/>
              <w:rPr>
                <w:rFonts w:hint="eastAsia" w:ascii="宋体" w:hAnsi="宋体"/>
                <w:szCs w:val="21"/>
              </w:rPr>
            </w:pPr>
            <w:r>
              <w:rPr>
                <w:rFonts w:hint="eastAsia" w:ascii="宋体" w:hAnsi="宋体"/>
                <w:szCs w:val="21"/>
              </w:rPr>
              <w:t>8.配置液力缓速器；</w:t>
            </w:r>
          </w:p>
          <w:p w14:paraId="53FBA6DB">
            <w:pPr>
              <w:widowControl/>
              <w:spacing w:line="360" w:lineRule="exact"/>
              <w:textAlignment w:val="top"/>
              <w:rPr>
                <w:rFonts w:hint="eastAsia" w:ascii="宋体" w:hAnsi="宋体"/>
                <w:szCs w:val="21"/>
              </w:rPr>
            </w:pPr>
            <w:r>
              <w:rPr>
                <w:rFonts w:hint="eastAsia" w:ascii="宋体" w:hAnsi="宋体"/>
                <w:szCs w:val="21"/>
              </w:rPr>
              <w:t>9.变速箱前进挡位≥16，后退挡位≥2；</w:t>
            </w:r>
          </w:p>
          <w:p w14:paraId="6E537D7A">
            <w:pPr>
              <w:widowControl/>
              <w:spacing w:line="360" w:lineRule="exact"/>
              <w:textAlignment w:val="top"/>
              <w:rPr>
                <w:rFonts w:hint="eastAsia" w:ascii="宋体" w:hAnsi="宋体"/>
                <w:szCs w:val="21"/>
              </w:rPr>
            </w:pPr>
            <w:r>
              <w:rPr>
                <w:rFonts w:hint="eastAsia" w:ascii="宋体" w:hAnsi="宋体"/>
                <w:szCs w:val="21"/>
              </w:rPr>
              <w:t>（二）挂车部分</w:t>
            </w:r>
          </w:p>
          <w:p w14:paraId="2A2406BF">
            <w:pPr>
              <w:widowControl/>
              <w:spacing w:line="360" w:lineRule="exact"/>
              <w:textAlignment w:val="top"/>
              <w:rPr>
                <w:rFonts w:hint="eastAsia" w:ascii="宋体" w:hAnsi="宋体"/>
                <w:szCs w:val="21"/>
              </w:rPr>
            </w:pPr>
            <w:r>
              <w:rPr>
                <w:rFonts w:hint="eastAsia" w:ascii="宋体" w:hAnsi="宋体"/>
                <w:szCs w:val="21"/>
              </w:rPr>
              <w:t>1.配置3桥大斜坡鹅头外跨式工程低平板挂车；</w:t>
            </w:r>
          </w:p>
          <w:p w14:paraId="27D58FD2">
            <w:pPr>
              <w:widowControl/>
              <w:spacing w:line="360" w:lineRule="exact"/>
              <w:textAlignment w:val="top"/>
              <w:rPr>
                <w:rFonts w:hint="eastAsia" w:ascii="宋体" w:hAnsi="宋体"/>
                <w:szCs w:val="21"/>
              </w:rPr>
            </w:pPr>
            <w:r>
              <w:rPr>
                <w:rFonts w:hint="eastAsia" w:ascii="宋体" w:hAnsi="宋体"/>
                <w:szCs w:val="21"/>
              </w:rPr>
              <w:t>2.挂车长度≥12m；</w:t>
            </w:r>
          </w:p>
          <w:p w14:paraId="5F00F4AE">
            <w:pPr>
              <w:widowControl/>
              <w:spacing w:line="360" w:lineRule="exact"/>
              <w:textAlignment w:val="top"/>
              <w:rPr>
                <w:rFonts w:hint="eastAsia" w:ascii="宋体" w:hAnsi="宋体"/>
                <w:szCs w:val="21"/>
              </w:rPr>
            </w:pPr>
            <w:r>
              <w:rPr>
                <w:rFonts w:hint="eastAsia" w:ascii="宋体" w:hAnsi="宋体"/>
                <w:szCs w:val="21"/>
              </w:rPr>
              <w:t>3.挂车宽度≥3m；</w:t>
            </w:r>
          </w:p>
          <w:p w14:paraId="38B18DFD">
            <w:pPr>
              <w:widowControl/>
              <w:spacing w:line="360" w:lineRule="exact"/>
              <w:textAlignment w:val="top"/>
              <w:rPr>
                <w:rFonts w:hint="eastAsia" w:ascii="宋体" w:hAnsi="宋体"/>
                <w:szCs w:val="21"/>
              </w:rPr>
            </w:pPr>
            <w:r>
              <w:rPr>
                <w:rFonts w:hint="eastAsia" w:ascii="宋体" w:hAnsi="宋体"/>
                <w:szCs w:val="21"/>
              </w:rPr>
              <w:t>4.挂车设计承载≥</w:t>
            </w:r>
            <w:r>
              <w:rPr>
                <w:rFonts w:hint="eastAsia" w:ascii="宋体" w:hAnsi="宋体"/>
                <w:szCs w:val="21"/>
                <w:lang w:val="en-US" w:eastAsia="zh-CN"/>
              </w:rPr>
              <w:t>40</w:t>
            </w:r>
            <w:r>
              <w:rPr>
                <w:rFonts w:hint="eastAsia" w:ascii="宋体" w:hAnsi="宋体"/>
                <w:szCs w:val="21"/>
              </w:rPr>
              <w:t>t；</w:t>
            </w:r>
          </w:p>
          <w:p w14:paraId="14CBE045">
            <w:pPr>
              <w:widowControl/>
              <w:spacing w:line="360" w:lineRule="exact"/>
              <w:textAlignment w:val="top"/>
              <w:rPr>
                <w:rFonts w:hint="eastAsia" w:ascii="宋体" w:hAnsi="宋体"/>
                <w:szCs w:val="21"/>
              </w:rPr>
            </w:pPr>
            <w:r>
              <w:rPr>
                <w:rFonts w:hint="eastAsia" w:ascii="宋体" w:hAnsi="宋体"/>
                <w:szCs w:val="21"/>
              </w:rPr>
              <w:t>5.平板离地最大高度≤90cm；</w:t>
            </w:r>
          </w:p>
          <w:p w14:paraId="120E3279">
            <w:pPr>
              <w:widowControl/>
              <w:spacing w:line="360" w:lineRule="exact"/>
              <w:textAlignment w:val="top"/>
              <w:rPr>
                <w:rFonts w:hint="eastAsia" w:ascii="宋体" w:hAnsi="宋体"/>
                <w:szCs w:val="21"/>
              </w:rPr>
            </w:pPr>
            <w:r>
              <w:rPr>
                <w:rFonts w:hint="eastAsia" w:ascii="宋体" w:hAnsi="宋体"/>
                <w:szCs w:val="21"/>
              </w:rPr>
              <w:t>6.配置后尾液压爬梯一节，底板防滑条，绳钩、紧绳器，爬梯两侧链子，边灯、尾灯、电气路齐全。</w:t>
            </w:r>
          </w:p>
        </w:tc>
        <w:tc>
          <w:tcPr>
            <w:tcW w:w="895" w:type="pct"/>
            <w:tcBorders>
              <w:top w:val="single" w:color="000000" w:sz="4" w:space="0"/>
              <w:left w:val="single" w:color="000000" w:sz="4" w:space="0"/>
              <w:bottom w:val="single" w:color="000000" w:sz="4" w:space="0"/>
              <w:right w:val="single" w:color="000000" w:sz="4" w:space="0"/>
            </w:tcBorders>
            <w:noWrap w:val="0"/>
            <w:vAlign w:val="center"/>
          </w:tcPr>
          <w:p w14:paraId="10202214">
            <w:pPr>
              <w:widowControl/>
              <w:tabs>
                <w:tab w:val="left" w:pos="180"/>
                <w:tab w:val="left" w:pos="1620"/>
              </w:tabs>
              <w:spacing w:line="360" w:lineRule="exact"/>
              <w:jc w:val="center"/>
              <w:textAlignment w:val="auto"/>
              <w:rPr>
                <w:rFonts w:hint="eastAsia" w:ascii="宋体" w:hAnsi="宋体" w:cs="Times New Roman"/>
                <w:szCs w:val="21"/>
              </w:rPr>
            </w:pPr>
            <w:r>
              <w:rPr>
                <w:rFonts w:hint="eastAsia" w:ascii="宋体" w:hAnsi="宋体" w:eastAsia="宋体" w:cs="Times New Roman"/>
                <w:b w:val="0"/>
                <w:bCs w:val="0"/>
                <w:i w:val="0"/>
                <w:iCs w:val="0"/>
                <w:spacing w:val="0"/>
                <w:w w:val="100"/>
                <w:kern w:val="2"/>
                <w:sz w:val="21"/>
                <w:szCs w:val="21"/>
                <w:vertAlign w:val="baseline"/>
                <w:lang w:val="en-US" w:eastAsia="zh-CN" w:bidi="ar"/>
              </w:rPr>
              <w:t>牵引车+低平板半挂车</w:t>
            </w:r>
          </w:p>
        </w:tc>
        <w:tc>
          <w:tcPr>
            <w:tcW w:w="576" w:type="pct"/>
            <w:tcBorders>
              <w:top w:val="single" w:color="000000" w:sz="4" w:space="0"/>
              <w:left w:val="single" w:color="000000" w:sz="4" w:space="0"/>
              <w:bottom w:val="single" w:color="000000" w:sz="4" w:space="0"/>
              <w:right w:val="single" w:color="000000" w:sz="4" w:space="0"/>
            </w:tcBorders>
            <w:noWrap w:val="0"/>
            <w:vAlign w:val="center"/>
          </w:tcPr>
          <w:p w14:paraId="3E5DA10B">
            <w:pPr>
              <w:widowControl/>
              <w:spacing w:line="360" w:lineRule="exact"/>
              <w:jc w:val="center"/>
              <w:textAlignment w:val="top"/>
              <w:rPr>
                <w:rFonts w:ascii="宋体" w:hAnsi="宋体"/>
                <w:color w:val="000000"/>
              </w:rPr>
            </w:pPr>
            <w:r>
              <w:rPr>
                <w:rFonts w:hint="eastAsia" w:ascii="宋体" w:hAnsi="宋体"/>
                <w:color w:val="000000"/>
              </w:rPr>
              <w:t>80.47</w:t>
            </w:r>
          </w:p>
        </w:tc>
      </w:tr>
      <w:tr w14:paraId="54B69F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91" w:type="pct"/>
            <w:tcBorders>
              <w:top w:val="single" w:color="000000" w:sz="4" w:space="0"/>
              <w:left w:val="single" w:color="000000" w:sz="4" w:space="0"/>
              <w:bottom w:val="single" w:color="000000" w:sz="4" w:space="0"/>
              <w:right w:val="single" w:color="000000" w:sz="4" w:space="0"/>
            </w:tcBorders>
            <w:noWrap w:val="0"/>
            <w:vAlign w:val="center"/>
          </w:tcPr>
          <w:p w14:paraId="6439ED81">
            <w:pPr>
              <w:numPr>
                <w:ilvl w:val="0"/>
                <w:numId w:val="0"/>
              </w:numPr>
              <w:snapToGrid w:val="0"/>
              <w:spacing w:line="360" w:lineRule="exact"/>
              <w:ind w:left="440" w:leftChars="0" w:hanging="440" w:firstLineChars="0"/>
              <w:jc w:val="center"/>
              <w:rPr>
                <w:rFonts w:hint="eastAsia" w:ascii="宋体" w:hAnsi="宋体"/>
                <w:bCs/>
                <w:szCs w:val="21"/>
              </w:rPr>
            </w:pPr>
            <w:r>
              <w:rPr>
                <w:rFonts w:hint="eastAsia" w:ascii="宋体" w:hAnsi="宋体" w:eastAsia="宋体" w:cs="Times New Roman"/>
                <w:bCs/>
                <w:kern w:val="2"/>
                <w:sz w:val="21"/>
                <w:szCs w:val="21"/>
                <w:lang w:val="en-US" w:eastAsia="zh-CN" w:bidi="ar-SA"/>
              </w:rPr>
              <w:t>4</w:t>
            </w:r>
          </w:p>
        </w:tc>
        <w:tc>
          <w:tcPr>
            <w:tcW w:w="446" w:type="pct"/>
            <w:tcBorders>
              <w:top w:val="single" w:color="000000" w:sz="4" w:space="0"/>
              <w:left w:val="single" w:color="000000" w:sz="4" w:space="0"/>
              <w:bottom w:val="single" w:color="auto" w:sz="4" w:space="0"/>
              <w:right w:val="single" w:color="000000" w:sz="4" w:space="0"/>
            </w:tcBorders>
            <w:noWrap w:val="0"/>
            <w:vAlign w:val="center"/>
          </w:tcPr>
          <w:p w14:paraId="4AB6AB5E">
            <w:pPr>
              <w:widowControl/>
              <w:spacing w:line="360" w:lineRule="exact"/>
              <w:jc w:val="center"/>
              <w:textAlignment w:val="center"/>
              <w:rPr>
                <w:rFonts w:hint="eastAsia" w:ascii="宋体" w:hAnsi="宋体"/>
                <w:szCs w:val="21"/>
              </w:rPr>
            </w:pPr>
            <w:r>
              <w:rPr>
                <w:rFonts w:hint="eastAsia" w:ascii="宋体" w:hAnsi="宋体"/>
                <w:szCs w:val="21"/>
              </w:rPr>
              <w:t>12吨随车吊</w:t>
            </w:r>
          </w:p>
        </w:tc>
        <w:tc>
          <w:tcPr>
            <w:tcW w:w="432" w:type="pct"/>
            <w:gridSpan w:val="2"/>
            <w:tcBorders>
              <w:top w:val="single" w:color="000000" w:sz="4" w:space="0"/>
              <w:left w:val="single" w:color="000000" w:sz="4" w:space="0"/>
              <w:bottom w:val="single" w:color="auto" w:sz="4" w:space="0"/>
              <w:right w:val="single" w:color="000000" w:sz="4" w:space="0"/>
            </w:tcBorders>
            <w:noWrap w:val="0"/>
            <w:vAlign w:val="center"/>
          </w:tcPr>
          <w:p w14:paraId="189DD432">
            <w:pPr>
              <w:widowControl/>
              <w:spacing w:line="360" w:lineRule="exact"/>
              <w:jc w:val="center"/>
              <w:textAlignment w:val="center"/>
              <w:rPr>
                <w:rFonts w:hint="eastAsia" w:ascii="宋体" w:hAnsi="宋体"/>
                <w:szCs w:val="21"/>
              </w:rPr>
            </w:pPr>
            <w:r>
              <w:rPr>
                <w:rFonts w:hint="eastAsia" w:ascii="宋体" w:hAnsi="宋体"/>
                <w:szCs w:val="21"/>
              </w:rPr>
              <w:t>2台</w:t>
            </w:r>
          </w:p>
        </w:tc>
        <w:tc>
          <w:tcPr>
            <w:tcW w:w="405" w:type="pct"/>
            <w:tcBorders>
              <w:top w:val="single" w:color="000000" w:sz="4" w:space="0"/>
              <w:left w:val="single" w:color="000000" w:sz="4" w:space="0"/>
              <w:bottom w:val="single" w:color="auto" w:sz="4" w:space="0"/>
              <w:right w:val="single" w:color="000000" w:sz="4" w:space="0"/>
            </w:tcBorders>
            <w:noWrap w:val="0"/>
            <w:vAlign w:val="center"/>
          </w:tcPr>
          <w:p w14:paraId="77C3D37A">
            <w:pPr>
              <w:widowControl/>
              <w:spacing w:line="360" w:lineRule="exact"/>
              <w:jc w:val="center"/>
              <w:textAlignment w:val="center"/>
              <w:rPr>
                <w:rFonts w:hint="eastAsia" w:ascii="宋体" w:hAnsi="宋体"/>
                <w:szCs w:val="21"/>
              </w:rPr>
            </w:pPr>
            <w:r>
              <w:rPr>
                <w:rFonts w:hint="eastAsia" w:ascii="宋体" w:hAnsi="宋体"/>
                <w:szCs w:val="21"/>
              </w:rPr>
              <w:t>工业</w:t>
            </w:r>
          </w:p>
        </w:tc>
        <w:tc>
          <w:tcPr>
            <w:tcW w:w="1950" w:type="pct"/>
            <w:tcBorders>
              <w:top w:val="single" w:color="000000" w:sz="4" w:space="0"/>
              <w:left w:val="single" w:color="000000" w:sz="4" w:space="0"/>
              <w:bottom w:val="single" w:color="000000" w:sz="4" w:space="0"/>
              <w:right w:val="single" w:color="000000" w:sz="4" w:space="0"/>
            </w:tcBorders>
            <w:noWrap w:val="0"/>
            <w:vAlign w:val="center"/>
          </w:tcPr>
          <w:p w14:paraId="74AAAEA9">
            <w:pPr>
              <w:widowControl/>
              <w:spacing w:line="360" w:lineRule="exact"/>
              <w:textAlignment w:val="top"/>
              <w:rPr>
                <w:rFonts w:hint="eastAsia" w:ascii="宋体" w:hAnsi="宋体"/>
                <w:szCs w:val="21"/>
              </w:rPr>
            </w:pPr>
            <w:r>
              <w:rPr>
                <w:rFonts w:hint="eastAsia" w:ascii="宋体" w:hAnsi="宋体"/>
                <w:szCs w:val="21"/>
              </w:rPr>
              <w:t>1.底盘部分</w:t>
            </w:r>
          </w:p>
          <w:p w14:paraId="018A2AA2">
            <w:pPr>
              <w:widowControl/>
              <w:spacing w:line="360" w:lineRule="exact"/>
              <w:textAlignment w:val="top"/>
              <w:rPr>
                <w:rFonts w:hint="eastAsia" w:ascii="宋体" w:hAnsi="宋体"/>
                <w:szCs w:val="21"/>
              </w:rPr>
            </w:pPr>
            <w:r>
              <w:rPr>
                <w:rFonts w:hint="eastAsia" w:ascii="宋体" w:hAnsi="宋体"/>
                <w:szCs w:val="21"/>
              </w:rPr>
              <w:t>▲1.1发动机额定功率≥180kW；</w:t>
            </w:r>
          </w:p>
          <w:p w14:paraId="68446E12">
            <w:pPr>
              <w:widowControl/>
              <w:spacing w:line="360" w:lineRule="exact"/>
              <w:textAlignment w:val="top"/>
              <w:rPr>
                <w:rFonts w:hint="eastAsia" w:ascii="宋体" w:hAnsi="宋体"/>
                <w:szCs w:val="21"/>
              </w:rPr>
            </w:pPr>
            <w:r>
              <w:rPr>
                <w:rFonts w:hint="eastAsia" w:ascii="宋体" w:hAnsi="宋体"/>
                <w:szCs w:val="21"/>
              </w:rPr>
              <w:t>1.2驱动型式：6×4；</w:t>
            </w:r>
          </w:p>
          <w:p w14:paraId="27020B5B">
            <w:pPr>
              <w:widowControl/>
              <w:spacing w:line="360" w:lineRule="exact"/>
              <w:textAlignment w:val="top"/>
              <w:rPr>
                <w:rFonts w:hint="eastAsia" w:ascii="宋体" w:hAnsi="宋体"/>
                <w:szCs w:val="21"/>
              </w:rPr>
            </w:pPr>
            <w:r>
              <w:rPr>
                <w:rFonts w:hint="eastAsia" w:ascii="宋体" w:hAnsi="宋体"/>
                <w:szCs w:val="21"/>
              </w:rPr>
              <w:t>1.3排放等级：满足国Ⅵ排放标准；</w:t>
            </w:r>
          </w:p>
          <w:p w14:paraId="557A6890">
            <w:pPr>
              <w:widowControl/>
              <w:spacing w:line="360" w:lineRule="exact"/>
              <w:textAlignment w:val="top"/>
              <w:rPr>
                <w:rFonts w:hint="eastAsia" w:ascii="宋体" w:hAnsi="宋体"/>
                <w:szCs w:val="21"/>
              </w:rPr>
            </w:pPr>
            <w:r>
              <w:rPr>
                <w:rFonts w:hint="eastAsia" w:ascii="宋体" w:hAnsi="宋体"/>
                <w:szCs w:val="21"/>
              </w:rPr>
              <w:t>1.4空载最高行驶速度≥85km/h；</w:t>
            </w:r>
          </w:p>
          <w:p w14:paraId="3C93D99A">
            <w:pPr>
              <w:widowControl/>
              <w:spacing w:line="360" w:lineRule="exact"/>
              <w:textAlignment w:val="top"/>
              <w:rPr>
                <w:rFonts w:hint="eastAsia" w:ascii="宋体" w:hAnsi="宋体"/>
                <w:szCs w:val="21"/>
              </w:rPr>
            </w:pPr>
            <w:r>
              <w:rPr>
                <w:rFonts w:hint="eastAsia" w:ascii="宋体" w:hAnsi="宋体"/>
                <w:szCs w:val="21"/>
              </w:rPr>
              <w:t>1.5轴距：≥5850+1350；</w:t>
            </w:r>
          </w:p>
          <w:p w14:paraId="259C766D">
            <w:pPr>
              <w:widowControl/>
              <w:spacing w:line="360" w:lineRule="exact"/>
              <w:textAlignment w:val="top"/>
              <w:rPr>
                <w:rFonts w:hint="eastAsia" w:ascii="宋体" w:hAnsi="宋体"/>
                <w:szCs w:val="21"/>
              </w:rPr>
            </w:pPr>
            <w:r>
              <w:rPr>
                <w:rFonts w:hint="eastAsia" w:ascii="宋体" w:hAnsi="宋体"/>
                <w:szCs w:val="21"/>
              </w:rPr>
              <w:t>2.起重部分</w:t>
            </w:r>
          </w:p>
          <w:p w14:paraId="716B761A">
            <w:pPr>
              <w:widowControl/>
              <w:spacing w:line="360" w:lineRule="exact"/>
              <w:textAlignment w:val="top"/>
              <w:rPr>
                <w:rFonts w:hint="eastAsia" w:ascii="宋体" w:hAnsi="宋体"/>
                <w:szCs w:val="21"/>
              </w:rPr>
            </w:pPr>
            <w:r>
              <w:rPr>
                <w:rFonts w:hint="eastAsia" w:ascii="宋体" w:hAnsi="宋体"/>
                <w:szCs w:val="21"/>
              </w:rPr>
              <w:t>▲2.1最大额定起重量≥12t；</w:t>
            </w:r>
          </w:p>
          <w:p w14:paraId="005099E0">
            <w:pPr>
              <w:widowControl/>
              <w:spacing w:line="360" w:lineRule="exact"/>
              <w:textAlignment w:val="top"/>
              <w:rPr>
                <w:rFonts w:hint="eastAsia" w:ascii="宋体" w:hAnsi="宋体"/>
                <w:szCs w:val="21"/>
              </w:rPr>
            </w:pPr>
            <w:r>
              <w:rPr>
                <w:rFonts w:hint="eastAsia" w:ascii="宋体" w:hAnsi="宋体"/>
                <w:szCs w:val="21"/>
              </w:rPr>
              <w:t>2.2 最大液压伸臂长度≥18m；</w:t>
            </w:r>
          </w:p>
          <w:p w14:paraId="3036F1D2">
            <w:pPr>
              <w:widowControl/>
              <w:spacing w:line="360" w:lineRule="exact"/>
              <w:textAlignment w:val="top"/>
              <w:rPr>
                <w:rFonts w:hint="eastAsia" w:ascii="宋体" w:hAnsi="宋体"/>
                <w:szCs w:val="21"/>
              </w:rPr>
            </w:pPr>
            <w:r>
              <w:rPr>
                <w:rFonts w:hint="eastAsia" w:ascii="宋体" w:hAnsi="宋体"/>
                <w:szCs w:val="21"/>
              </w:rPr>
              <w:t>▲2.3 最大额定起升高度≥18m；</w:t>
            </w:r>
          </w:p>
          <w:p w14:paraId="03B18A75">
            <w:pPr>
              <w:widowControl/>
              <w:spacing w:line="360" w:lineRule="exact"/>
              <w:textAlignment w:val="top"/>
              <w:rPr>
                <w:rFonts w:hint="eastAsia" w:ascii="宋体" w:hAnsi="宋体"/>
                <w:szCs w:val="21"/>
              </w:rPr>
            </w:pPr>
            <w:r>
              <w:rPr>
                <w:rFonts w:hint="eastAsia" w:ascii="宋体" w:hAnsi="宋体"/>
                <w:szCs w:val="21"/>
              </w:rPr>
              <w:t>▲2.4 最大工作幅度≥18m；</w:t>
            </w:r>
          </w:p>
          <w:p w14:paraId="2DB404F5">
            <w:pPr>
              <w:widowControl/>
              <w:spacing w:line="360" w:lineRule="exact"/>
              <w:textAlignment w:val="top"/>
              <w:rPr>
                <w:rFonts w:hint="eastAsia" w:ascii="宋体" w:hAnsi="宋体"/>
                <w:szCs w:val="21"/>
              </w:rPr>
            </w:pPr>
            <w:r>
              <w:rPr>
                <w:rFonts w:hint="eastAsia" w:ascii="宋体" w:hAnsi="宋体"/>
                <w:szCs w:val="21"/>
              </w:rPr>
              <w:t>2.5 单绳最大速度（主/副起升机构）≥40m/min；</w:t>
            </w:r>
          </w:p>
          <w:p w14:paraId="3FB0011B">
            <w:pPr>
              <w:widowControl/>
              <w:spacing w:line="360" w:lineRule="exact"/>
              <w:textAlignment w:val="top"/>
              <w:rPr>
                <w:rFonts w:hint="eastAsia" w:ascii="宋体" w:hAnsi="宋体"/>
                <w:szCs w:val="21"/>
              </w:rPr>
            </w:pPr>
            <w:r>
              <w:rPr>
                <w:rFonts w:hint="eastAsia" w:ascii="宋体" w:hAnsi="宋体"/>
                <w:szCs w:val="21"/>
              </w:rPr>
              <w:t>2.6 12吨5节臂，八边形截面形式，支腿跨距≥6m，360°回转形式，单缸同步伸缩，配备力矩显示器，过卷报警，过载提示且自动熄火功能，自动恒温散热器，双节复合大跨距前支腿，液压单腔后支腿；</w:t>
            </w:r>
          </w:p>
          <w:p w14:paraId="2DA9C748">
            <w:pPr>
              <w:widowControl/>
              <w:spacing w:line="360" w:lineRule="exact"/>
              <w:textAlignment w:val="top"/>
              <w:rPr>
                <w:rFonts w:hint="eastAsia" w:ascii="宋体" w:hAnsi="宋体"/>
                <w:szCs w:val="21"/>
              </w:rPr>
            </w:pPr>
            <w:r>
              <w:rPr>
                <w:rFonts w:hint="eastAsia" w:ascii="宋体" w:hAnsi="宋体"/>
                <w:szCs w:val="21"/>
              </w:rPr>
              <w:t>3.货箱尺寸：≥8300mm×2450mm×550mm。</w:t>
            </w:r>
          </w:p>
        </w:tc>
        <w:tc>
          <w:tcPr>
            <w:tcW w:w="895" w:type="pct"/>
            <w:tcBorders>
              <w:top w:val="single" w:color="000000" w:sz="4" w:space="0"/>
              <w:left w:val="single" w:color="000000" w:sz="4" w:space="0"/>
              <w:bottom w:val="single" w:color="000000" w:sz="4" w:space="0"/>
              <w:right w:val="single" w:color="000000" w:sz="4" w:space="0"/>
            </w:tcBorders>
            <w:noWrap w:val="0"/>
            <w:vAlign w:val="center"/>
          </w:tcPr>
          <w:p w14:paraId="5E523FF2">
            <w:pPr>
              <w:widowControl/>
              <w:spacing w:line="360" w:lineRule="exact"/>
              <w:jc w:val="center"/>
              <w:textAlignment w:val="top"/>
              <w:rPr>
                <w:rFonts w:hint="eastAsia" w:ascii="宋体" w:hAnsi="宋体"/>
              </w:rPr>
            </w:pPr>
            <w:r>
              <w:rPr>
                <w:rFonts w:hint="eastAsia" w:ascii="宋体" w:hAnsi="宋体"/>
              </w:rPr>
              <w:t>随车起重运输车</w:t>
            </w:r>
          </w:p>
        </w:tc>
        <w:tc>
          <w:tcPr>
            <w:tcW w:w="576" w:type="pct"/>
            <w:tcBorders>
              <w:top w:val="single" w:color="000000" w:sz="4" w:space="0"/>
              <w:left w:val="single" w:color="000000" w:sz="4" w:space="0"/>
              <w:bottom w:val="single" w:color="000000" w:sz="4" w:space="0"/>
              <w:right w:val="single" w:color="000000" w:sz="4" w:space="0"/>
            </w:tcBorders>
            <w:noWrap w:val="0"/>
            <w:vAlign w:val="center"/>
          </w:tcPr>
          <w:p w14:paraId="010ADA50">
            <w:pPr>
              <w:widowControl/>
              <w:spacing w:line="360" w:lineRule="exact"/>
              <w:jc w:val="center"/>
              <w:textAlignment w:val="top"/>
              <w:rPr>
                <w:rFonts w:ascii="宋体" w:hAnsi="宋体"/>
              </w:rPr>
            </w:pPr>
            <w:r>
              <w:rPr>
                <w:rFonts w:hint="eastAsia" w:ascii="宋体" w:hAnsi="宋体"/>
              </w:rPr>
              <w:t>61.67</w:t>
            </w:r>
          </w:p>
        </w:tc>
      </w:tr>
      <w:tr w14:paraId="1982BC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91" w:type="pct"/>
            <w:tcBorders>
              <w:top w:val="single" w:color="000000" w:sz="4" w:space="0"/>
              <w:left w:val="single" w:color="000000" w:sz="4" w:space="0"/>
              <w:bottom w:val="single" w:color="000000" w:sz="4" w:space="0"/>
              <w:right w:val="single" w:color="000000" w:sz="4" w:space="0"/>
            </w:tcBorders>
            <w:noWrap w:val="0"/>
            <w:vAlign w:val="center"/>
          </w:tcPr>
          <w:p w14:paraId="05E33210">
            <w:pPr>
              <w:numPr>
                <w:ilvl w:val="0"/>
                <w:numId w:val="0"/>
              </w:numPr>
              <w:snapToGrid w:val="0"/>
              <w:spacing w:line="360" w:lineRule="exact"/>
              <w:ind w:left="440" w:leftChars="0" w:hanging="440" w:firstLineChars="0"/>
              <w:jc w:val="center"/>
              <w:rPr>
                <w:rFonts w:hint="eastAsia" w:ascii="宋体" w:hAnsi="宋体"/>
                <w:bCs/>
                <w:szCs w:val="21"/>
              </w:rPr>
            </w:pPr>
            <w:r>
              <w:rPr>
                <w:rFonts w:hint="eastAsia" w:ascii="宋体" w:hAnsi="宋体" w:eastAsia="宋体" w:cs="Times New Roman"/>
                <w:bCs/>
                <w:kern w:val="2"/>
                <w:sz w:val="21"/>
                <w:szCs w:val="21"/>
                <w:lang w:val="en-US" w:eastAsia="zh-CN" w:bidi="ar-SA"/>
              </w:rPr>
              <w:t>5</w:t>
            </w:r>
          </w:p>
        </w:tc>
        <w:tc>
          <w:tcPr>
            <w:tcW w:w="446" w:type="pct"/>
            <w:tcBorders>
              <w:top w:val="single" w:color="000000" w:sz="4" w:space="0"/>
              <w:left w:val="single" w:color="000000" w:sz="4" w:space="0"/>
              <w:bottom w:val="single" w:color="auto" w:sz="4" w:space="0"/>
              <w:right w:val="single" w:color="000000" w:sz="4" w:space="0"/>
            </w:tcBorders>
            <w:noWrap w:val="0"/>
            <w:vAlign w:val="center"/>
          </w:tcPr>
          <w:p w14:paraId="657E8E25">
            <w:pPr>
              <w:widowControl/>
              <w:spacing w:line="360" w:lineRule="exact"/>
              <w:jc w:val="center"/>
              <w:textAlignment w:val="center"/>
              <w:rPr>
                <w:rFonts w:hint="eastAsia" w:ascii="宋体" w:hAnsi="宋体"/>
                <w:szCs w:val="21"/>
              </w:rPr>
            </w:pPr>
            <w:r>
              <w:rPr>
                <w:rFonts w:hint="eastAsia" w:ascii="宋体" w:hAnsi="宋体"/>
                <w:color w:val="000000"/>
              </w:rPr>
              <w:t>中型应急发电照明车</w:t>
            </w:r>
          </w:p>
        </w:tc>
        <w:tc>
          <w:tcPr>
            <w:tcW w:w="432" w:type="pct"/>
            <w:gridSpan w:val="2"/>
            <w:tcBorders>
              <w:top w:val="single" w:color="000000" w:sz="4" w:space="0"/>
              <w:left w:val="single" w:color="000000" w:sz="4" w:space="0"/>
              <w:bottom w:val="single" w:color="auto" w:sz="4" w:space="0"/>
              <w:right w:val="single" w:color="000000" w:sz="4" w:space="0"/>
            </w:tcBorders>
            <w:noWrap w:val="0"/>
            <w:vAlign w:val="center"/>
          </w:tcPr>
          <w:p w14:paraId="196A6A60">
            <w:pPr>
              <w:widowControl/>
              <w:spacing w:line="360" w:lineRule="exact"/>
              <w:jc w:val="center"/>
              <w:textAlignment w:val="center"/>
              <w:rPr>
                <w:rFonts w:hint="eastAsia" w:ascii="宋体" w:hAnsi="宋体"/>
                <w:szCs w:val="21"/>
              </w:rPr>
            </w:pPr>
            <w:r>
              <w:rPr>
                <w:rFonts w:hint="eastAsia" w:ascii="宋体" w:hAnsi="宋体"/>
                <w:szCs w:val="21"/>
              </w:rPr>
              <w:t>1台</w:t>
            </w:r>
          </w:p>
        </w:tc>
        <w:tc>
          <w:tcPr>
            <w:tcW w:w="405" w:type="pct"/>
            <w:tcBorders>
              <w:top w:val="single" w:color="000000" w:sz="4" w:space="0"/>
              <w:left w:val="single" w:color="000000" w:sz="4" w:space="0"/>
              <w:bottom w:val="single" w:color="auto" w:sz="4" w:space="0"/>
              <w:right w:val="single" w:color="000000" w:sz="4" w:space="0"/>
            </w:tcBorders>
            <w:noWrap w:val="0"/>
            <w:vAlign w:val="center"/>
          </w:tcPr>
          <w:p w14:paraId="48369703">
            <w:pPr>
              <w:widowControl/>
              <w:spacing w:line="360" w:lineRule="exact"/>
              <w:jc w:val="center"/>
              <w:textAlignment w:val="center"/>
              <w:rPr>
                <w:rFonts w:hint="eastAsia" w:ascii="宋体" w:hAnsi="宋体"/>
                <w:szCs w:val="21"/>
              </w:rPr>
            </w:pPr>
            <w:r>
              <w:rPr>
                <w:rFonts w:hint="eastAsia" w:ascii="宋体" w:hAnsi="宋体"/>
                <w:szCs w:val="21"/>
              </w:rPr>
              <w:t>工业</w:t>
            </w:r>
          </w:p>
        </w:tc>
        <w:tc>
          <w:tcPr>
            <w:tcW w:w="1950" w:type="pct"/>
            <w:tcBorders>
              <w:top w:val="single" w:color="000000" w:sz="4" w:space="0"/>
              <w:left w:val="single" w:color="000000" w:sz="4" w:space="0"/>
              <w:bottom w:val="single" w:color="000000" w:sz="4" w:space="0"/>
              <w:right w:val="single" w:color="000000" w:sz="4" w:space="0"/>
            </w:tcBorders>
            <w:noWrap w:val="0"/>
            <w:vAlign w:val="center"/>
          </w:tcPr>
          <w:p w14:paraId="062260D7">
            <w:pPr>
              <w:widowControl/>
              <w:spacing w:line="360" w:lineRule="exact"/>
              <w:textAlignment w:val="top"/>
              <w:rPr>
                <w:rFonts w:hint="eastAsia" w:ascii="宋体" w:hAnsi="宋体"/>
                <w:szCs w:val="21"/>
              </w:rPr>
            </w:pPr>
            <w:r>
              <w:rPr>
                <w:rFonts w:hint="eastAsia" w:ascii="宋体" w:hAnsi="宋体"/>
                <w:szCs w:val="21"/>
              </w:rPr>
              <w:t>1.整车性能符合GB1589-2016《汽车、挂车及汽车列车外廓尺寸、轴荷及质量限值》的规定；随车器材符合国家相关标准要求；</w:t>
            </w:r>
          </w:p>
          <w:p w14:paraId="2E3875BE">
            <w:pPr>
              <w:widowControl/>
              <w:spacing w:line="360" w:lineRule="exact"/>
              <w:textAlignment w:val="top"/>
              <w:rPr>
                <w:rFonts w:hint="eastAsia" w:ascii="宋体" w:hAnsi="宋体"/>
                <w:szCs w:val="21"/>
              </w:rPr>
            </w:pPr>
            <w:r>
              <w:rPr>
                <w:rFonts w:hint="eastAsia" w:ascii="宋体" w:hAnsi="宋体"/>
                <w:szCs w:val="21"/>
              </w:rPr>
              <w:t>2.车辆上装所有材质达到质量要求，车辆电器线路、电器接地装置、各类接口（含油、水、电、气接口）符合国家标准；</w:t>
            </w:r>
          </w:p>
          <w:p w14:paraId="356383DD">
            <w:pPr>
              <w:widowControl/>
              <w:spacing w:line="360" w:lineRule="exact"/>
              <w:textAlignment w:val="top"/>
              <w:rPr>
                <w:rFonts w:hint="eastAsia" w:ascii="宋体" w:hAnsi="宋体"/>
                <w:szCs w:val="21"/>
              </w:rPr>
            </w:pPr>
            <w:r>
              <w:rPr>
                <w:rFonts w:hint="eastAsia" w:ascii="宋体" w:hAnsi="宋体"/>
                <w:szCs w:val="21"/>
              </w:rPr>
              <w:t>3.车辆轮胎全部采用原车自带的子午线钢丝胎，并注明品牌型号，选用全尺寸、同型号规格的备用轮胎；</w:t>
            </w:r>
          </w:p>
          <w:p w14:paraId="30E10136">
            <w:pPr>
              <w:widowControl/>
              <w:spacing w:line="360" w:lineRule="exact"/>
              <w:textAlignment w:val="top"/>
              <w:rPr>
                <w:rFonts w:hint="eastAsia" w:ascii="宋体" w:hAnsi="宋体"/>
                <w:szCs w:val="21"/>
              </w:rPr>
            </w:pPr>
            <w:r>
              <w:rPr>
                <w:rFonts w:hint="eastAsia" w:ascii="宋体" w:hAnsi="宋体"/>
                <w:szCs w:val="21"/>
              </w:rPr>
              <w:t xml:space="preserve">▲4.总质量：≥12000Kg；   </w:t>
            </w:r>
          </w:p>
          <w:p w14:paraId="67A4B608">
            <w:pPr>
              <w:widowControl/>
              <w:spacing w:line="360" w:lineRule="exact"/>
              <w:textAlignment w:val="top"/>
              <w:rPr>
                <w:rFonts w:hint="eastAsia" w:ascii="宋体" w:hAnsi="宋体"/>
                <w:szCs w:val="21"/>
              </w:rPr>
            </w:pPr>
            <w:r>
              <w:rPr>
                <w:rFonts w:hint="eastAsia" w:ascii="宋体" w:hAnsi="宋体"/>
                <w:szCs w:val="21"/>
              </w:rPr>
              <w:t>5.外形尺寸：≥8100mm×2500mm×3850mm</w:t>
            </w:r>
            <w:r>
              <w:rPr>
                <w:rFonts w:hint="eastAsia"/>
              </w:rPr>
              <w:t>；</w:t>
            </w:r>
            <w:r>
              <w:rPr>
                <w:rFonts w:hint="eastAsia" w:ascii="宋体" w:hAnsi="宋体"/>
                <w:szCs w:val="21"/>
              </w:rPr>
              <w:t xml:space="preserve">   </w:t>
            </w:r>
          </w:p>
          <w:p w14:paraId="303A0E72">
            <w:pPr>
              <w:widowControl/>
              <w:spacing w:line="360" w:lineRule="exact"/>
              <w:textAlignment w:val="top"/>
              <w:rPr>
                <w:rFonts w:hint="eastAsia" w:ascii="宋体" w:hAnsi="宋体"/>
                <w:szCs w:val="21"/>
              </w:rPr>
            </w:pPr>
            <w:r>
              <w:rPr>
                <w:rFonts w:hint="eastAsia" w:ascii="宋体" w:hAnsi="宋体"/>
                <w:szCs w:val="21"/>
              </w:rPr>
              <w:t>6.整备质量：≥12300Kg</w:t>
            </w:r>
            <w:r>
              <w:rPr>
                <w:rFonts w:hint="eastAsia"/>
              </w:rPr>
              <w:t>；</w:t>
            </w:r>
            <w:r>
              <w:rPr>
                <w:rFonts w:hint="eastAsia" w:ascii="宋体" w:hAnsi="宋体"/>
                <w:szCs w:val="21"/>
              </w:rPr>
              <w:t xml:space="preserve">      </w:t>
            </w:r>
          </w:p>
          <w:p w14:paraId="682B01C0">
            <w:pPr>
              <w:widowControl/>
              <w:spacing w:line="360" w:lineRule="exact"/>
              <w:textAlignment w:val="top"/>
              <w:rPr>
                <w:rFonts w:hint="eastAsia" w:ascii="宋体" w:hAnsi="宋体"/>
                <w:szCs w:val="21"/>
              </w:rPr>
            </w:pPr>
            <w:r>
              <w:rPr>
                <w:rFonts w:hint="eastAsia" w:ascii="宋体" w:hAnsi="宋体"/>
                <w:szCs w:val="21"/>
              </w:rPr>
              <w:t xml:space="preserve">7.底盘型式：4×2，国六排放标准；   </w:t>
            </w:r>
          </w:p>
          <w:p w14:paraId="223DBB24">
            <w:pPr>
              <w:widowControl/>
              <w:spacing w:line="360" w:lineRule="exact"/>
              <w:textAlignment w:val="top"/>
              <w:rPr>
                <w:rFonts w:hint="eastAsia" w:ascii="宋体" w:hAnsi="宋体"/>
                <w:szCs w:val="21"/>
              </w:rPr>
            </w:pPr>
            <w:r>
              <w:rPr>
                <w:rFonts w:hint="eastAsia" w:ascii="宋体" w:hAnsi="宋体"/>
                <w:szCs w:val="21"/>
              </w:rPr>
              <w:t xml:space="preserve">8.驾驶室准乘人数(人)：≥2 ；     </w:t>
            </w:r>
          </w:p>
          <w:p w14:paraId="4CF6BCFF">
            <w:pPr>
              <w:widowControl/>
              <w:spacing w:line="360" w:lineRule="exact"/>
              <w:textAlignment w:val="top"/>
              <w:rPr>
                <w:rFonts w:hint="eastAsia" w:ascii="宋体" w:hAnsi="宋体"/>
                <w:szCs w:val="21"/>
              </w:rPr>
            </w:pPr>
            <w:r>
              <w:rPr>
                <w:rFonts w:hint="eastAsia" w:ascii="宋体" w:hAnsi="宋体"/>
                <w:szCs w:val="21"/>
              </w:rPr>
              <w:t xml:space="preserve">9.接近角/离去角(°)：≥19/11；       </w:t>
            </w:r>
          </w:p>
          <w:p w14:paraId="471EDC97">
            <w:pPr>
              <w:widowControl/>
              <w:spacing w:line="360" w:lineRule="exact"/>
              <w:textAlignment w:val="top"/>
              <w:rPr>
                <w:rFonts w:hint="eastAsia" w:ascii="宋体" w:hAnsi="宋体"/>
                <w:szCs w:val="21"/>
              </w:rPr>
            </w:pPr>
            <w:r>
              <w:rPr>
                <w:rFonts w:hint="eastAsia" w:ascii="宋体" w:hAnsi="宋体"/>
                <w:szCs w:val="21"/>
              </w:rPr>
              <w:t xml:space="preserve">10.轴数：2 ；     </w:t>
            </w:r>
          </w:p>
          <w:p w14:paraId="4C22DC6C">
            <w:pPr>
              <w:widowControl/>
              <w:spacing w:line="360" w:lineRule="exact"/>
              <w:textAlignment w:val="top"/>
              <w:rPr>
                <w:rFonts w:hint="eastAsia" w:ascii="宋体" w:hAnsi="宋体"/>
                <w:szCs w:val="21"/>
              </w:rPr>
            </w:pPr>
            <w:r>
              <w:rPr>
                <w:rFonts w:hint="eastAsia" w:ascii="宋体" w:hAnsi="宋体"/>
                <w:szCs w:val="21"/>
              </w:rPr>
              <w:t xml:space="preserve">11.轴距：≥4700mm ；      </w:t>
            </w:r>
          </w:p>
          <w:p w14:paraId="58262B80">
            <w:pPr>
              <w:widowControl/>
              <w:spacing w:line="360" w:lineRule="exact"/>
              <w:textAlignment w:val="top"/>
              <w:rPr>
                <w:rFonts w:hint="eastAsia" w:ascii="宋体" w:hAnsi="宋体"/>
                <w:szCs w:val="21"/>
              </w:rPr>
            </w:pPr>
            <w:r>
              <w:rPr>
                <w:rFonts w:hint="eastAsia" w:ascii="宋体" w:hAnsi="宋体"/>
                <w:szCs w:val="21"/>
              </w:rPr>
              <w:t>▲12.发动机功率外部照明系统：底盘发动机功率≥130kw，发电功率≥64kw，高杆灯伸缩高度≥8米，LED照明功率≥8000w；</w:t>
            </w:r>
          </w:p>
          <w:p w14:paraId="36F3048F">
            <w:pPr>
              <w:widowControl/>
              <w:spacing w:line="360" w:lineRule="exact"/>
              <w:textAlignment w:val="top"/>
              <w:rPr>
                <w:rFonts w:hint="eastAsia" w:ascii="宋体" w:hAnsi="宋体"/>
                <w:szCs w:val="21"/>
              </w:rPr>
            </w:pPr>
            <w:r>
              <w:rPr>
                <w:rFonts w:hint="eastAsia" w:ascii="宋体" w:hAnsi="宋体"/>
                <w:szCs w:val="21"/>
              </w:rPr>
              <w:t>13.发电机组：额定输出电压（V）： 380/220V；额定频率：50HZ；调压形式：自动；发电机组输出功率：64KW；电机组油箱：可连续工作8小时以上；启动方式：DC24V 电启动进气系统：废气涡；轮增压速方式：电子调速自动化控制模块智能控制系统，集中控制，中文界面，具有自动障碍保护功能，控制系统具有全面的控制、检测、显示保护、待机自检、故障诊断及显示等功能，PC+移动端云服务远程诊断系统，实时监控运行状态；</w:t>
            </w:r>
          </w:p>
          <w:p w14:paraId="77D87722">
            <w:pPr>
              <w:widowControl/>
              <w:spacing w:line="360" w:lineRule="exact"/>
              <w:textAlignment w:val="top"/>
              <w:rPr>
                <w:rFonts w:hint="eastAsia" w:ascii="宋体" w:hAnsi="宋体"/>
                <w:szCs w:val="21"/>
              </w:rPr>
            </w:pPr>
            <w:r>
              <w:rPr>
                <w:rFonts w:hint="eastAsia" w:ascii="宋体" w:hAnsi="宋体"/>
                <w:szCs w:val="21"/>
              </w:rPr>
              <w:t xml:space="preserve">14.接装地置：接地桩和接地电缆线，连接车箱内专设的接地桩头，连接方便，在机组工作时，接地线连接，保护作业安全。机电设备有严密的防漏电保护措施。在作业中，整车接地线，采用低压接地线，配备可拆卸式接地针，直径不小于10mm。接地线为≥15平方毫米，长度为≥10米。箱内配备满足≥5KW功率输出、电压380V 插；    </w:t>
            </w:r>
          </w:p>
          <w:p w14:paraId="083B7770">
            <w:pPr>
              <w:widowControl/>
              <w:spacing w:line="360" w:lineRule="exact"/>
              <w:textAlignment w:val="top"/>
              <w:rPr>
                <w:rFonts w:hint="eastAsia" w:ascii="宋体" w:hAnsi="宋体"/>
                <w:szCs w:val="21"/>
              </w:rPr>
            </w:pPr>
            <w:r>
              <w:rPr>
                <w:rFonts w:hint="eastAsia" w:ascii="宋体" w:hAnsi="宋体"/>
                <w:szCs w:val="21"/>
              </w:rPr>
              <w:t>15.外供电源：箱内配备满足≥5KW功率输出、电压380V插座1只，220V通用插座1只。可以供电焊机使用或者别的电器件使用；</w:t>
            </w:r>
          </w:p>
          <w:p w14:paraId="6E4ABB77">
            <w:pPr>
              <w:widowControl/>
              <w:spacing w:line="360" w:lineRule="exact"/>
              <w:textAlignment w:val="top"/>
              <w:rPr>
                <w:rFonts w:hint="eastAsia" w:ascii="宋体" w:hAnsi="宋体"/>
                <w:szCs w:val="21"/>
              </w:rPr>
            </w:pPr>
            <w:r>
              <w:rPr>
                <w:rFonts w:hint="eastAsia" w:ascii="宋体" w:hAnsi="宋体"/>
                <w:szCs w:val="21"/>
              </w:rPr>
              <w:t xml:space="preserve">16.箱体：车箱一体式全封闭车箱车箱有隔音功能，厢体防火，阻燃，防雨，防尘，防锈，降噪，隔震，长期抗震结构，外层强度高，运行噪音不超过国家标准80dB，车厢发动机进风口和排风口安装在车厢上，均安装可开闭的的防雨活动百页窗，具有回旋静音功能，发电机组散热、电路、电气控制系统设计合理，能满足长时间不间断工作要求；   </w:t>
            </w:r>
          </w:p>
          <w:p w14:paraId="711A70CA">
            <w:pPr>
              <w:widowControl/>
              <w:spacing w:line="360" w:lineRule="exact"/>
              <w:textAlignment w:val="top"/>
              <w:rPr>
                <w:rFonts w:hint="eastAsia" w:ascii="宋体" w:hAnsi="宋体"/>
                <w:szCs w:val="21"/>
              </w:rPr>
            </w:pPr>
            <w:r>
              <w:rPr>
                <w:rFonts w:hint="eastAsia" w:ascii="宋体" w:hAnsi="宋体"/>
                <w:szCs w:val="21"/>
              </w:rPr>
              <w:t>17.液压支撑：车辆安装四只液压支撑腿，可在驻车状态均分车辆静压，保护车轮及弹簧钢板。选用多路阀组，液压支撑缸采用密封件，单支腿静载荷≥8吨，加装双向液压锁，配遥控控制；</w:t>
            </w:r>
          </w:p>
          <w:p w14:paraId="173FD287">
            <w:pPr>
              <w:widowControl/>
              <w:spacing w:line="360" w:lineRule="exact"/>
              <w:textAlignment w:val="top"/>
              <w:rPr>
                <w:rFonts w:hint="eastAsia" w:ascii="宋体" w:hAnsi="宋体"/>
                <w:szCs w:val="21"/>
              </w:rPr>
            </w:pPr>
            <w:r>
              <w:rPr>
                <w:rFonts w:hint="eastAsia" w:ascii="宋体" w:hAnsi="宋体"/>
                <w:szCs w:val="21"/>
              </w:rPr>
              <w:t>18.顶部液压翻转：车厢顶部使用液压翻转盖板，使用时可遥控打开。</w:t>
            </w:r>
          </w:p>
        </w:tc>
        <w:tc>
          <w:tcPr>
            <w:tcW w:w="895" w:type="pct"/>
            <w:tcBorders>
              <w:top w:val="single" w:color="000000" w:sz="4" w:space="0"/>
              <w:left w:val="single" w:color="000000" w:sz="4" w:space="0"/>
              <w:bottom w:val="single" w:color="000000" w:sz="4" w:space="0"/>
              <w:right w:val="single" w:color="000000" w:sz="4" w:space="0"/>
            </w:tcBorders>
            <w:noWrap w:val="0"/>
            <w:vAlign w:val="center"/>
          </w:tcPr>
          <w:p w14:paraId="21E31CE9">
            <w:pPr>
              <w:widowControl/>
              <w:spacing w:line="360" w:lineRule="exact"/>
              <w:textAlignment w:val="top"/>
              <w:rPr>
                <w:rFonts w:hint="eastAsia" w:ascii="宋体" w:hAnsi="宋体"/>
                <w:color w:val="FF0000"/>
              </w:rPr>
            </w:pPr>
            <w:r>
              <w:rPr>
                <w:rFonts w:hint="eastAsia" w:ascii="宋体" w:hAnsi="宋体"/>
              </w:rPr>
              <w:t>抢险救援照明车</w:t>
            </w:r>
          </w:p>
        </w:tc>
        <w:tc>
          <w:tcPr>
            <w:tcW w:w="576" w:type="pct"/>
            <w:tcBorders>
              <w:top w:val="single" w:color="000000" w:sz="4" w:space="0"/>
              <w:left w:val="single" w:color="000000" w:sz="4" w:space="0"/>
              <w:bottom w:val="single" w:color="000000" w:sz="4" w:space="0"/>
              <w:right w:val="single" w:color="000000" w:sz="4" w:space="0"/>
            </w:tcBorders>
            <w:noWrap w:val="0"/>
            <w:vAlign w:val="center"/>
          </w:tcPr>
          <w:p w14:paraId="7DE53162">
            <w:pPr>
              <w:widowControl/>
              <w:spacing w:line="360" w:lineRule="exact"/>
              <w:jc w:val="center"/>
              <w:textAlignment w:val="top"/>
              <w:rPr>
                <w:rFonts w:ascii="宋体" w:hAnsi="宋体"/>
                <w:color w:val="000000"/>
              </w:rPr>
            </w:pPr>
            <w:r>
              <w:rPr>
                <w:rFonts w:hint="eastAsia" w:ascii="宋体" w:hAnsi="宋体"/>
                <w:color w:val="000000"/>
              </w:rPr>
              <w:t>77.79</w:t>
            </w:r>
          </w:p>
        </w:tc>
      </w:tr>
      <w:tr w14:paraId="42F3F3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91" w:type="pct"/>
            <w:tcBorders>
              <w:top w:val="single" w:color="000000" w:sz="4" w:space="0"/>
              <w:left w:val="single" w:color="000000" w:sz="4" w:space="0"/>
              <w:bottom w:val="single" w:color="000000" w:sz="4" w:space="0"/>
              <w:right w:val="single" w:color="000000" w:sz="4" w:space="0"/>
            </w:tcBorders>
            <w:noWrap w:val="0"/>
            <w:vAlign w:val="center"/>
          </w:tcPr>
          <w:p w14:paraId="282F4408">
            <w:pPr>
              <w:numPr>
                <w:ilvl w:val="0"/>
                <w:numId w:val="0"/>
              </w:numPr>
              <w:snapToGrid w:val="0"/>
              <w:spacing w:line="360" w:lineRule="exact"/>
              <w:ind w:left="440" w:leftChars="0" w:hanging="440" w:firstLineChars="0"/>
              <w:rPr>
                <w:rFonts w:hint="eastAsia" w:ascii="宋体" w:hAnsi="宋体"/>
                <w:bCs/>
                <w:szCs w:val="21"/>
              </w:rPr>
            </w:pPr>
            <w:r>
              <w:rPr>
                <w:rFonts w:hint="eastAsia" w:ascii="宋体" w:hAnsi="宋体" w:eastAsia="宋体" w:cs="Times New Roman"/>
                <w:bCs/>
                <w:kern w:val="2"/>
                <w:sz w:val="21"/>
                <w:szCs w:val="21"/>
                <w:lang w:val="en-US" w:eastAsia="zh-CN" w:bidi="ar-SA"/>
              </w:rPr>
              <w:t>6</w:t>
            </w:r>
          </w:p>
        </w:tc>
        <w:tc>
          <w:tcPr>
            <w:tcW w:w="446" w:type="pct"/>
            <w:tcBorders>
              <w:top w:val="single" w:color="000000" w:sz="4" w:space="0"/>
              <w:left w:val="single" w:color="000000" w:sz="4" w:space="0"/>
              <w:bottom w:val="single" w:color="auto" w:sz="4" w:space="0"/>
              <w:right w:val="single" w:color="000000" w:sz="4" w:space="0"/>
            </w:tcBorders>
            <w:noWrap w:val="0"/>
            <w:vAlign w:val="center"/>
          </w:tcPr>
          <w:p w14:paraId="580638C7">
            <w:pPr>
              <w:widowControl/>
              <w:spacing w:line="360" w:lineRule="exact"/>
              <w:jc w:val="center"/>
              <w:textAlignment w:val="center"/>
              <w:rPr>
                <w:rFonts w:hint="eastAsia" w:ascii="宋体" w:hAnsi="宋体"/>
                <w:szCs w:val="21"/>
              </w:rPr>
            </w:pPr>
            <w:r>
              <w:rPr>
                <w:rFonts w:hint="eastAsia" w:ascii="宋体" w:hAnsi="宋体"/>
                <w:color w:val="000000"/>
              </w:rPr>
              <w:t>应急维修车</w:t>
            </w:r>
          </w:p>
        </w:tc>
        <w:tc>
          <w:tcPr>
            <w:tcW w:w="432" w:type="pct"/>
            <w:gridSpan w:val="2"/>
            <w:tcBorders>
              <w:top w:val="single" w:color="000000" w:sz="4" w:space="0"/>
              <w:left w:val="single" w:color="000000" w:sz="4" w:space="0"/>
              <w:bottom w:val="single" w:color="auto" w:sz="4" w:space="0"/>
              <w:right w:val="single" w:color="000000" w:sz="4" w:space="0"/>
            </w:tcBorders>
            <w:noWrap w:val="0"/>
            <w:vAlign w:val="center"/>
          </w:tcPr>
          <w:p w14:paraId="187DC424">
            <w:pPr>
              <w:widowControl/>
              <w:spacing w:line="360" w:lineRule="exact"/>
              <w:jc w:val="center"/>
              <w:textAlignment w:val="center"/>
              <w:rPr>
                <w:rFonts w:hint="eastAsia" w:ascii="宋体" w:hAnsi="宋体"/>
                <w:szCs w:val="21"/>
              </w:rPr>
            </w:pPr>
            <w:r>
              <w:rPr>
                <w:rFonts w:hint="eastAsia" w:ascii="宋体" w:hAnsi="宋体"/>
                <w:szCs w:val="21"/>
              </w:rPr>
              <w:t>1台</w:t>
            </w:r>
          </w:p>
        </w:tc>
        <w:tc>
          <w:tcPr>
            <w:tcW w:w="405" w:type="pct"/>
            <w:tcBorders>
              <w:top w:val="single" w:color="000000" w:sz="4" w:space="0"/>
              <w:left w:val="single" w:color="000000" w:sz="4" w:space="0"/>
              <w:bottom w:val="single" w:color="auto" w:sz="4" w:space="0"/>
              <w:right w:val="single" w:color="000000" w:sz="4" w:space="0"/>
            </w:tcBorders>
            <w:noWrap w:val="0"/>
            <w:vAlign w:val="center"/>
          </w:tcPr>
          <w:p w14:paraId="233E5BEB">
            <w:pPr>
              <w:widowControl/>
              <w:spacing w:line="360" w:lineRule="exact"/>
              <w:jc w:val="center"/>
              <w:textAlignment w:val="center"/>
              <w:rPr>
                <w:rFonts w:hint="eastAsia" w:ascii="宋体" w:hAnsi="宋体"/>
                <w:szCs w:val="21"/>
              </w:rPr>
            </w:pPr>
            <w:r>
              <w:rPr>
                <w:rFonts w:hint="eastAsia" w:ascii="宋体" w:hAnsi="宋体"/>
                <w:szCs w:val="21"/>
              </w:rPr>
              <w:t>工业</w:t>
            </w:r>
          </w:p>
        </w:tc>
        <w:tc>
          <w:tcPr>
            <w:tcW w:w="1950" w:type="pct"/>
            <w:tcBorders>
              <w:top w:val="single" w:color="000000" w:sz="4" w:space="0"/>
              <w:left w:val="single" w:color="000000" w:sz="4" w:space="0"/>
              <w:bottom w:val="single" w:color="000000" w:sz="4" w:space="0"/>
              <w:right w:val="single" w:color="000000" w:sz="4" w:space="0"/>
            </w:tcBorders>
            <w:noWrap w:val="0"/>
            <w:vAlign w:val="center"/>
          </w:tcPr>
          <w:p w14:paraId="68CC1BE7">
            <w:pPr>
              <w:widowControl/>
              <w:spacing w:line="360" w:lineRule="exact"/>
              <w:textAlignment w:val="top"/>
              <w:rPr>
                <w:rFonts w:hint="eastAsia" w:ascii="宋体" w:hAnsi="宋体"/>
                <w:szCs w:val="21"/>
              </w:rPr>
            </w:pPr>
            <w:r>
              <w:rPr>
                <w:rFonts w:hint="eastAsia" w:ascii="宋体" w:hAnsi="宋体"/>
                <w:szCs w:val="21"/>
              </w:rPr>
              <w:t>（一）技术参数：</w:t>
            </w:r>
          </w:p>
          <w:p w14:paraId="30186677">
            <w:pPr>
              <w:widowControl/>
              <w:spacing w:line="360" w:lineRule="exact"/>
              <w:textAlignment w:val="top"/>
              <w:rPr>
                <w:rFonts w:hint="eastAsia" w:ascii="宋体" w:hAnsi="宋体"/>
                <w:szCs w:val="21"/>
              </w:rPr>
            </w:pPr>
            <w:r>
              <w:rPr>
                <w:rFonts w:hint="eastAsia" w:ascii="宋体" w:hAnsi="宋体"/>
                <w:szCs w:val="21"/>
              </w:rPr>
              <w:t>1.外形尺寸：≥9100mm×2550mm×3550mm；</w:t>
            </w:r>
          </w:p>
          <w:p w14:paraId="5A1C1CCD">
            <w:pPr>
              <w:widowControl/>
              <w:spacing w:line="360" w:lineRule="exact"/>
              <w:textAlignment w:val="top"/>
              <w:rPr>
                <w:rFonts w:hint="eastAsia" w:ascii="宋体" w:hAnsi="宋体"/>
                <w:szCs w:val="21"/>
              </w:rPr>
            </w:pPr>
            <w:r>
              <w:rPr>
                <w:rFonts w:hint="eastAsia" w:ascii="宋体" w:hAnsi="宋体"/>
                <w:szCs w:val="21"/>
              </w:rPr>
              <w:t xml:space="preserve">2.整备质量：≥13500 Kg；  </w:t>
            </w:r>
          </w:p>
          <w:p w14:paraId="6D9E3CE8">
            <w:pPr>
              <w:widowControl/>
              <w:spacing w:line="360" w:lineRule="exact"/>
              <w:textAlignment w:val="top"/>
              <w:rPr>
                <w:rFonts w:hint="eastAsia" w:ascii="宋体" w:hAnsi="宋体"/>
                <w:szCs w:val="21"/>
              </w:rPr>
            </w:pPr>
            <w:r>
              <w:rPr>
                <w:rFonts w:hint="eastAsia" w:ascii="宋体" w:hAnsi="宋体"/>
                <w:szCs w:val="21"/>
              </w:rPr>
              <w:t xml:space="preserve">▲3.驱动：4×2，排放标准：国六排放；   </w:t>
            </w:r>
          </w:p>
          <w:p w14:paraId="5928EC98">
            <w:pPr>
              <w:widowControl/>
              <w:spacing w:line="360" w:lineRule="exact"/>
              <w:textAlignment w:val="top"/>
              <w:rPr>
                <w:rFonts w:hint="eastAsia" w:ascii="宋体" w:hAnsi="宋体"/>
                <w:szCs w:val="21"/>
              </w:rPr>
            </w:pPr>
            <w:r>
              <w:rPr>
                <w:rFonts w:hint="eastAsia" w:ascii="宋体" w:hAnsi="宋体"/>
                <w:szCs w:val="21"/>
              </w:rPr>
              <w:t>4.驾驶室准乘人数(人)：</w:t>
            </w:r>
            <w:r>
              <w:rPr>
                <w:rFonts w:hint="eastAsia" w:ascii="宋体" w:hAnsi="宋体"/>
                <w:szCs w:val="21"/>
                <w:lang w:val="en-US" w:eastAsia="zh-CN"/>
              </w:rPr>
              <w:t>≥3</w:t>
            </w:r>
            <w:r>
              <w:rPr>
                <w:rFonts w:hint="eastAsia" w:ascii="宋体" w:hAnsi="宋体"/>
                <w:szCs w:val="21"/>
              </w:rPr>
              <w:t xml:space="preserve">；    </w:t>
            </w:r>
          </w:p>
          <w:p w14:paraId="559CF6AB">
            <w:pPr>
              <w:widowControl/>
              <w:spacing w:line="360" w:lineRule="exact"/>
              <w:textAlignment w:val="top"/>
              <w:rPr>
                <w:rFonts w:hint="eastAsia" w:ascii="宋体" w:hAnsi="宋体"/>
                <w:szCs w:val="21"/>
              </w:rPr>
            </w:pPr>
            <w:r>
              <w:rPr>
                <w:rFonts w:hint="eastAsia" w:ascii="宋体" w:hAnsi="宋体"/>
                <w:szCs w:val="21"/>
              </w:rPr>
              <w:t xml:space="preserve">5.接近角/离去角(°)：≥16/10 ；   </w:t>
            </w:r>
          </w:p>
          <w:p w14:paraId="6ACC009E">
            <w:pPr>
              <w:widowControl/>
              <w:spacing w:line="360" w:lineRule="exact"/>
              <w:textAlignment w:val="top"/>
              <w:rPr>
                <w:rFonts w:hint="eastAsia" w:ascii="宋体" w:hAnsi="宋体"/>
                <w:szCs w:val="21"/>
              </w:rPr>
            </w:pPr>
            <w:r>
              <w:rPr>
                <w:rFonts w:hint="eastAsia" w:ascii="宋体" w:hAnsi="宋体"/>
                <w:szCs w:val="21"/>
              </w:rPr>
              <w:t xml:space="preserve">6.轴数：2；    </w:t>
            </w:r>
          </w:p>
          <w:p w14:paraId="4B68918B">
            <w:pPr>
              <w:widowControl/>
              <w:spacing w:line="360" w:lineRule="exact"/>
              <w:textAlignment w:val="top"/>
              <w:rPr>
                <w:rFonts w:hint="eastAsia" w:ascii="宋体" w:hAnsi="宋体"/>
                <w:szCs w:val="21"/>
              </w:rPr>
            </w:pPr>
            <w:r>
              <w:rPr>
                <w:rFonts w:hint="eastAsia" w:ascii="宋体" w:hAnsi="宋体"/>
                <w:szCs w:val="21"/>
              </w:rPr>
              <w:t xml:space="preserve">7.轴距：≥4700mm ；    </w:t>
            </w:r>
          </w:p>
          <w:p w14:paraId="0FD1A6FB">
            <w:pPr>
              <w:widowControl/>
              <w:spacing w:line="360" w:lineRule="exact"/>
              <w:textAlignment w:val="top"/>
              <w:rPr>
                <w:rFonts w:hint="eastAsia" w:ascii="宋体" w:hAnsi="宋体"/>
                <w:szCs w:val="21"/>
              </w:rPr>
            </w:pPr>
            <w:r>
              <w:rPr>
                <w:rFonts w:hint="eastAsia" w:ascii="宋体" w:hAnsi="宋体"/>
                <w:szCs w:val="21"/>
              </w:rPr>
              <w:t xml:space="preserve">8.最高车速：100Km/h；   </w:t>
            </w:r>
          </w:p>
          <w:p w14:paraId="393BAC82">
            <w:pPr>
              <w:widowControl/>
              <w:spacing w:line="360" w:lineRule="exact"/>
              <w:textAlignment w:val="top"/>
              <w:rPr>
                <w:rFonts w:hint="eastAsia" w:ascii="宋体" w:hAnsi="宋体"/>
                <w:szCs w:val="21"/>
              </w:rPr>
            </w:pPr>
            <w:r>
              <w:rPr>
                <w:rFonts w:hint="eastAsia" w:ascii="宋体" w:hAnsi="宋体"/>
                <w:szCs w:val="21"/>
              </w:rPr>
              <w:t xml:space="preserve">▲9.发动机功率：≥257kw；       </w:t>
            </w:r>
          </w:p>
          <w:p w14:paraId="127BDE93">
            <w:pPr>
              <w:widowControl/>
              <w:spacing w:line="360" w:lineRule="exact"/>
              <w:textAlignment w:val="top"/>
              <w:rPr>
                <w:rFonts w:hint="eastAsia" w:ascii="宋体" w:hAnsi="宋体"/>
                <w:szCs w:val="21"/>
              </w:rPr>
            </w:pPr>
            <w:r>
              <w:rPr>
                <w:rFonts w:hint="eastAsia" w:ascii="宋体" w:hAnsi="宋体"/>
                <w:szCs w:val="21"/>
              </w:rPr>
              <w:t xml:space="preserve">10.驾驶室结构：安装适应倾翻的液压翻转机构，顶部配备黄色长排爆闪警示灯；      </w:t>
            </w:r>
          </w:p>
          <w:p w14:paraId="208693A1">
            <w:pPr>
              <w:widowControl/>
              <w:spacing w:line="360" w:lineRule="exact"/>
              <w:textAlignment w:val="top"/>
              <w:rPr>
                <w:rFonts w:hint="eastAsia" w:ascii="宋体" w:hAnsi="宋体"/>
                <w:szCs w:val="21"/>
              </w:rPr>
            </w:pPr>
            <w:r>
              <w:rPr>
                <w:rFonts w:hint="eastAsia" w:ascii="宋体" w:hAnsi="宋体"/>
                <w:szCs w:val="21"/>
              </w:rPr>
              <w:t xml:space="preserve">11.驾驶室内设备：除原车设备外，加装取力器控制开关、100W警报器、警示灯开关；  </w:t>
            </w:r>
          </w:p>
          <w:p w14:paraId="4735B474">
            <w:pPr>
              <w:widowControl/>
              <w:spacing w:line="360" w:lineRule="exact"/>
              <w:textAlignment w:val="top"/>
              <w:rPr>
                <w:rFonts w:hint="eastAsia" w:ascii="宋体" w:hAnsi="宋体"/>
                <w:szCs w:val="21"/>
              </w:rPr>
            </w:pPr>
            <w:r>
              <w:rPr>
                <w:rFonts w:hint="eastAsia" w:ascii="宋体" w:hAnsi="宋体"/>
                <w:szCs w:val="21"/>
              </w:rPr>
              <w:t>12.箱体工艺：箱体主要材质钢骨架、蒙皮、聚氨酯复合而成；内部器材架采用铝合金型材；内饰板为氧化处理的≥1.5mm铝花纹板。为整体结构，其前中后部均为器材箱。器材箱设带锁卷帘门。空间可任意调整，器材箱设排水孔。器材箱可任意调节，六扇大空间帘子门器材箱，确保空间充分利用。箱体内设有照明灯，满足夜间灭火作战时的照明需要。器材箱后部设置一个上下车的铝合金爬梯；</w:t>
            </w:r>
          </w:p>
          <w:p w14:paraId="6C042948">
            <w:pPr>
              <w:widowControl/>
              <w:spacing w:line="360" w:lineRule="exact"/>
              <w:textAlignment w:val="top"/>
              <w:rPr>
                <w:rFonts w:hint="eastAsia" w:ascii="宋体" w:hAnsi="宋体"/>
                <w:szCs w:val="21"/>
              </w:rPr>
            </w:pPr>
            <w:r>
              <w:rPr>
                <w:rFonts w:hint="eastAsia" w:ascii="宋体" w:hAnsi="宋体"/>
                <w:szCs w:val="21"/>
              </w:rPr>
              <w:t>13.升降照明系统：发电机功率：10KVA；频率：50HZ；电压：380V/220V；主照明灯功率：1500W×4（卤素灯）；升降杆：铝合金；型式：气动；最大离地高度：8m；供气压力：≥0.3MPa；起升速度：≤8秒；举升重量：≥45kg；安装位置：位于箱体前部；云台：铝合金；俯仰度：≥±90°；左右旋转：±155°，电压：220V/24V；配电箱：设有功能控制键、仪表、各种操作全部集中于控制箱上，并能准确快捷的控制全部运转动作，配置无线按键；</w:t>
            </w:r>
          </w:p>
          <w:p w14:paraId="6C05B88E">
            <w:pPr>
              <w:widowControl/>
              <w:spacing w:line="360" w:lineRule="exact"/>
              <w:textAlignment w:val="top"/>
              <w:rPr>
                <w:rFonts w:hint="eastAsia" w:ascii="宋体" w:hAnsi="宋体"/>
                <w:szCs w:val="21"/>
              </w:rPr>
            </w:pPr>
            <w:r>
              <w:rPr>
                <w:rFonts w:hint="eastAsia" w:ascii="宋体" w:hAnsi="宋体"/>
                <w:szCs w:val="21"/>
              </w:rPr>
              <w:t>14.牵引绞盘系统：驱动型式：电动；最大拉力：≥75KN；最大牵引速度：≥4.2m/min；钢丝绳直径：≥13.2mm；钢丝绳长度：≥38m；安装位置：位于车头前部；</w:t>
            </w:r>
          </w:p>
          <w:p w14:paraId="4D33EFBA">
            <w:pPr>
              <w:widowControl/>
              <w:spacing w:line="360" w:lineRule="exact"/>
              <w:textAlignment w:val="top"/>
              <w:rPr>
                <w:rFonts w:hint="eastAsia" w:ascii="宋体" w:hAnsi="宋体"/>
                <w:szCs w:val="21"/>
              </w:rPr>
            </w:pPr>
            <w:r>
              <w:rPr>
                <w:rFonts w:hint="eastAsia" w:ascii="宋体" w:hAnsi="宋体"/>
                <w:szCs w:val="21"/>
              </w:rPr>
              <w:t>15.折叠式车载吊机系统：驱动型式：液压；最大吊重：≥5000Kg；最大幅度：≥8m；回转角度：-90°～+90°；安装位置：位于车后尾部；</w:t>
            </w:r>
          </w:p>
          <w:p w14:paraId="5E64861D">
            <w:pPr>
              <w:widowControl/>
              <w:spacing w:line="360" w:lineRule="exact"/>
              <w:textAlignment w:val="top"/>
              <w:rPr>
                <w:rFonts w:hint="eastAsia" w:ascii="宋体" w:hAnsi="宋体"/>
                <w:szCs w:val="21"/>
              </w:rPr>
            </w:pPr>
            <w:r>
              <w:rPr>
                <w:rFonts w:hint="eastAsia" w:ascii="宋体" w:hAnsi="宋体"/>
                <w:szCs w:val="21"/>
              </w:rPr>
              <w:t>16.液压破拆工具组：</w:t>
            </w:r>
          </w:p>
          <w:p w14:paraId="2A68494A">
            <w:pPr>
              <w:widowControl/>
              <w:spacing w:line="360" w:lineRule="exact"/>
              <w:textAlignment w:val="top"/>
              <w:rPr>
                <w:rFonts w:hint="eastAsia" w:ascii="宋体" w:hAnsi="宋体"/>
                <w:szCs w:val="21"/>
              </w:rPr>
            </w:pPr>
            <w:r>
              <w:rPr>
                <w:rFonts w:hint="eastAsia" w:ascii="宋体" w:hAnsi="宋体"/>
                <w:b/>
                <w:bCs/>
                <w:szCs w:val="21"/>
              </w:rPr>
              <w:t>（1）液压机动泵：</w:t>
            </w:r>
          </w:p>
          <w:p w14:paraId="0DB9AE02">
            <w:pPr>
              <w:widowControl/>
              <w:spacing w:line="360" w:lineRule="exact"/>
              <w:textAlignment w:val="top"/>
              <w:rPr>
                <w:rFonts w:hint="eastAsia" w:ascii="宋体" w:hAnsi="宋体"/>
                <w:szCs w:val="21"/>
              </w:rPr>
            </w:pPr>
            <w:r>
              <w:rPr>
                <w:rFonts w:hint="eastAsia" w:ascii="宋体" w:hAnsi="宋体"/>
                <w:szCs w:val="21"/>
              </w:rPr>
              <w:t>1）采用四冲程汽油机作为动力源；</w:t>
            </w:r>
          </w:p>
          <w:p w14:paraId="5207D80B">
            <w:pPr>
              <w:widowControl/>
              <w:spacing w:line="360" w:lineRule="exact"/>
              <w:textAlignment w:val="top"/>
              <w:rPr>
                <w:rFonts w:hint="eastAsia" w:ascii="宋体" w:hAnsi="宋体"/>
                <w:szCs w:val="21"/>
              </w:rPr>
            </w:pPr>
            <w:r>
              <w:rPr>
                <w:rFonts w:hint="eastAsia" w:ascii="宋体" w:hAnsi="宋体"/>
                <w:szCs w:val="21"/>
              </w:rPr>
              <w:t>2）单接口双输出结构，可同时连接两款设备使用，可带压插拔；</w:t>
            </w:r>
          </w:p>
          <w:p w14:paraId="3F23A76E">
            <w:pPr>
              <w:widowControl/>
              <w:spacing w:line="360" w:lineRule="exact"/>
              <w:textAlignment w:val="top"/>
              <w:rPr>
                <w:rFonts w:hint="eastAsia" w:ascii="宋体" w:hAnsi="宋体"/>
                <w:szCs w:val="21"/>
              </w:rPr>
            </w:pPr>
            <w:r>
              <w:rPr>
                <w:rFonts w:hint="eastAsia" w:ascii="宋体" w:hAnsi="宋体"/>
                <w:szCs w:val="21"/>
              </w:rPr>
              <w:t>3）接口为平头轴心单管单接口，外置单个“倍速模式”开关，打开后，可使一件工具的救援效率提高不少于一倍；</w:t>
            </w:r>
          </w:p>
          <w:p w14:paraId="37D1BF02">
            <w:pPr>
              <w:widowControl/>
              <w:spacing w:line="360" w:lineRule="exact"/>
              <w:textAlignment w:val="top"/>
              <w:rPr>
                <w:rFonts w:hint="eastAsia" w:ascii="宋体" w:hAnsi="宋体"/>
                <w:szCs w:val="21"/>
              </w:rPr>
            </w:pPr>
            <w:r>
              <w:rPr>
                <w:rFonts w:hint="eastAsia" w:ascii="宋体" w:hAnsi="宋体"/>
                <w:szCs w:val="21"/>
              </w:rPr>
              <w:t>▲4）高压工作压力≥72Mpa，四冲程发动机功率≥2.2KW/3600(r/min)；液压油油箱容积≥4.5L；汽油油箱容积≥1.2L；</w:t>
            </w:r>
          </w:p>
          <w:p w14:paraId="06FB30A9">
            <w:pPr>
              <w:widowControl/>
              <w:spacing w:line="360" w:lineRule="exact"/>
              <w:textAlignment w:val="top"/>
              <w:rPr>
                <w:rFonts w:hint="eastAsia" w:ascii="宋体" w:hAnsi="宋体"/>
                <w:szCs w:val="21"/>
              </w:rPr>
            </w:pPr>
            <w:r>
              <w:rPr>
                <w:rFonts w:hint="eastAsia" w:ascii="宋体" w:hAnsi="宋体"/>
                <w:szCs w:val="21"/>
              </w:rPr>
              <w:t>▲5）高压/倍速模式流量：≥ 0.7/1.6L/min ；低压/倍速模式流量：≥ 2.5/5.2L/min；</w:t>
            </w:r>
          </w:p>
          <w:p w14:paraId="5DE78B8E">
            <w:pPr>
              <w:widowControl/>
              <w:spacing w:line="360" w:lineRule="exact"/>
              <w:textAlignment w:val="top"/>
              <w:rPr>
                <w:rFonts w:hint="eastAsia" w:ascii="宋体" w:hAnsi="宋体"/>
                <w:szCs w:val="21"/>
              </w:rPr>
            </w:pPr>
            <w:r>
              <w:rPr>
                <w:rFonts w:hint="eastAsia" w:ascii="宋体" w:hAnsi="宋体"/>
                <w:szCs w:val="21"/>
              </w:rPr>
              <w:t>▲6）泵重量：≤21.5kg；</w:t>
            </w:r>
          </w:p>
          <w:p w14:paraId="18A48F01">
            <w:pPr>
              <w:widowControl/>
              <w:spacing w:line="360" w:lineRule="exact"/>
              <w:textAlignment w:val="top"/>
              <w:rPr>
                <w:rFonts w:hint="eastAsia" w:ascii="宋体" w:hAnsi="宋体"/>
                <w:b/>
                <w:bCs/>
                <w:szCs w:val="21"/>
              </w:rPr>
            </w:pPr>
            <w:r>
              <w:rPr>
                <w:rFonts w:hint="eastAsia" w:ascii="宋体" w:hAnsi="宋体"/>
                <w:b/>
                <w:bCs/>
                <w:szCs w:val="21"/>
              </w:rPr>
              <w:t>（2）液压剪切器：</w:t>
            </w:r>
          </w:p>
          <w:p w14:paraId="1BFB3847">
            <w:pPr>
              <w:widowControl/>
              <w:spacing w:line="360" w:lineRule="exact"/>
              <w:textAlignment w:val="top"/>
              <w:rPr>
                <w:rFonts w:hint="eastAsia" w:ascii="宋体" w:hAnsi="宋体"/>
                <w:szCs w:val="21"/>
              </w:rPr>
            </w:pPr>
            <w:r>
              <w:rPr>
                <w:rFonts w:hint="eastAsia" w:ascii="宋体" w:hAnsi="宋体"/>
                <w:szCs w:val="21"/>
              </w:rPr>
              <w:t>1）产品用于灾害、事故场所的抢险救援，应能够剪断钢筋、铁板、钢管等金属制品；</w:t>
            </w:r>
          </w:p>
          <w:p w14:paraId="25C48CB8">
            <w:pPr>
              <w:widowControl/>
              <w:spacing w:line="360" w:lineRule="exact"/>
              <w:textAlignment w:val="top"/>
              <w:rPr>
                <w:rFonts w:hint="eastAsia" w:ascii="宋体" w:hAnsi="宋体"/>
                <w:szCs w:val="21"/>
              </w:rPr>
            </w:pPr>
            <w:r>
              <w:rPr>
                <w:rFonts w:hint="eastAsia" w:ascii="宋体" w:hAnsi="宋体"/>
                <w:szCs w:val="21"/>
              </w:rPr>
              <w:t>2）需配置设有360°旋转手把,带有LED照明系统，平头轴心单管单接口；</w:t>
            </w:r>
          </w:p>
          <w:p w14:paraId="44EE1411">
            <w:pPr>
              <w:widowControl/>
              <w:spacing w:line="360" w:lineRule="exact"/>
              <w:textAlignment w:val="top"/>
              <w:rPr>
                <w:rFonts w:hint="eastAsia" w:ascii="宋体" w:hAnsi="宋体"/>
                <w:szCs w:val="21"/>
              </w:rPr>
            </w:pPr>
            <w:r>
              <w:rPr>
                <w:rFonts w:hint="eastAsia" w:ascii="宋体" w:hAnsi="宋体"/>
                <w:szCs w:val="21"/>
              </w:rPr>
              <w:t>3）工作压力：≥72MPa；</w:t>
            </w:r>
          </w:p>
          <w:p w14:paraId="218C3B44">
            <w:pPr>
              <w:widowControl/>
              <w:spacing w:line="360" w:lineRule="exact"/>
              <w:textAlignment w:val="top"/>
              <w:rPr>
                <w:rFonts w:hint="eastAsia" w:ascii="宋体" w:hAnsi="宋体"/>
                <w:szCs w:val="21"/>
              </w:rPr>
            </w:pPr>
            <w:r>
              <w:rPr>
                <w:rFonts w:hint="eastAsia" w:ascii="宋体" w:hAnsi="宋体"/>
                <w:szCs w:val="21"/>
              </w:rPr>
              <w:t>▲4）剪刀端部最大开口距离：≥325mm，剪断能力≥36mm（Q235A圆钢）；</w:t>
            </w:r>
          </w:p>
          <w:p w14:paraId="0CCBB6AD">
            <w:pPr>
              <w:widowControl/>
              <w:spacing w:line="360" w:lineRule="exact"/>
              <w:textAlignment w:val="top"/>
              <w:rPr>
                <w:rFonts w:hint="eastAsia" w:ascii="宋体" w:hAnsi="宋体"/>
                <w:szCs w:val="21"/>
              </w:rPr>
            </w:pPr>
            <w:r>
              <w:rPr>
                <w:rFonts w:hint="eastAsia" w:ascii="宋体" w:hAnsi="宋体"/>
                <w:szCs w:val="21"/>
              </w:rPr>
              <w:t>▲5）最大剪切力≥950KN；</w:t>
            </w:r>
          </w:p>
          <w:p w14:paraId="5F4D993E">
            <w:pPr>
              <w:widowControl/>
              <w:spacing w:line="360" w:lineRule="exact"/>
              <w:textAlignment w:val="top"/>
              <w:rPr>
                <w:rFonts w:hint="eastAsia" w:ascii="宋体" w:hAnsi="宋体"/>
                <w:b/>
                <w:bCs/>
                <w:szCs w:val="21"/>
              </w:rPr>
            </w:pPr>
            <w:r>
              <w:rPr>
                <w:rFonts w:hint="eastAsia" w:ascii="宋体" w:hAnsi="宋体"/>
                <w:b/>
                <w:bCs/>
                <w:szCs w:val="21"/>
              </w:rPr>
              <w:t>（3）液压扩张器：</w:t>
            </w:r>
          </w:p>
          <w:p w14:paraId="1E45CA7C">
            <w:pPr>
              <w:widowControl/>
              <w:spacing w:line="360" w:lineRule="exact"/>
              <w:textAlignment w:val="top"/>
              <w:rPr>
                <w:rFonts w:hint="eastAsia" w:ascii="宋体" w:hAnsi="宋体"/>
                <w:szCs w:val="21"/>
              </w:rPr>
            </w:pPr>
            <w:r>
              <w:rPr>
                <w:rFonts w:hint="eastAsia" w:ascii="宋体" w:hAnsi="宋体"/>
                <w:szCs w:val="21"/>
              </w:rPr>
              <w:t>1）额定工作压力：≥72Mpa；</w:t>
            </w:r>
          </w:p>
          <w:p w14:paraId="0F543950">
            <w:pPr>
              <w:widowControl/>
              <w:spacing w:line="360" w:lineRule="exact"/>
              <w:textAlignment w:val="top"/>
              <w:rPr>
                <w:rFonts w:hint="eastAsia" w:ascii="宋体" w:hAnsi="宋体"/>
                <w:szCs w:val="21"/>
              </w:rPr>
            </w:pPr>
            <w:r>
              <w:rPr>
                <w:rFonts w:hint="eastAsia" w:ascii="宋体" w:hAnsi="宋体"/>
                <w:szCs w:val="21"/>
              </w:rPr>
              <w:t>▲2）液压扩张器最小扩张力：≥65KN；</w:t>
            </w:r>
          </w:p>
          <w:p w14:paraId="717ADC36">
            <w:pPr>
              <w:widowControl/>
              <w:spacing w:line="360" w:lineRule="exact"/>
              <w:textAlignment w:val="top"/>
              <w:rPr>
                <w:rFonts w:hint="eastAsia" w:ascii="宋体" w:hAnsi="宋体"/>
                <w:szCs w:val="21"/>
              </w:rPr>
            </w:pPr>
            <w:r>
              <w:rPr>
                <w:rFonts w:hint="eastAsia" w:ascii="宋体" w:hAnsi="宋体"/>
                <w:szCs w:val="21"/>
              </w:rPr>
              <w:t>3）最大扩张力：≥490KN；</w:t>
            </w:r>
          </w:p>
          <w:p w14:paraId="04B6098B">
            <w:pPr>
              <w:widowControl/>
              <w:spacing w:line="360" w:lineRule="exact"/>
              <w:textAlignment w:val="top"/>
              <w:rPr>
                <w:rFonts w:hint="eastAsia" w:ascii="宋体" w:hAnsi="宋体"/>
                <w:szCs w:val="21"/>
              </w:rPr>
            </w:pPr>
            <w:r>
              <w:rPr>
                <w:rFonts w:hint="eastAsia" w:ascii="宋体" w:hAnsi="宋体"/>
                <w:szCs w:val="21"/>
              </w:rPr>
              <w:t>▲4）液压扩张器扩张距离：≥735mm；</w:t>
            </w:r>
          </w:p>
          <w:p w14:paraId="05185D28">
            <w:pPr>
              <w:widowControl/>
              <w:spacing w:line="360" w:lineRule="exact"/>
              <w:textAlignment w:val="top"/>
              <w:rPr>
                <w:rFonts w:hint="eastAsia" w:ascii="宋体" w:hAnsi="宋体"/>
                <w:szCs w:val="21"/>
              </w:rPr>
            </w:pPr>
            <w:r>
              <w:rPr>
                <w:rFonts w:hint="eastAsia" w:ascii="宋体" w:hAnsi="宋体"/>
                <w:szCs w:val="21"/>
              </w:rPr>
              <w:t>▲5）液压扩张器净重：≤16.8kg；</w:t>
            </w:r>
          </w:p>
          <w:p w14:paraId="39C9CF57">
            <w:pPr>
              <w:widowControl/>
              <w:spacing w:line="360" w:lineRule="exact"/>
              <w:textAlignment w:val="top"/>
              <w:rPr>
                <w:rFonts w:hint="eastAsia" w:ascii="宋体" w:hAnsi="宋体"/>
                <w:b/>
                <w:bCs/>
                <w:szCs w:val="21"/>
              </w:rPr>
            </w:pPr>
            <w:r>
              <w:rPr>
                <w:rFonts w:hint="eastAsia" w:ascii="宋体" w:hAnsi="宋体"/>
                <w:b/>
                <w:bCs/>
                <w:szCs w:val="21"/>
              </w:rPr>
              <w:t>（4）液压撑顶器：</w:t>
            </w:r>
          </w:p>
          <w:p w14:paraId="4F71B4B8">
            <w:pPr>
              <w:widowControl/>
              <w:spacing w:line="360" w:lineRule="exact"/>
              <w:textAlignment w:val="top"/>
              <w:rPr>
                <w:rFonts w:hint="eastAsia" w:ascii="宋体" w:hAnsi="宋体"/>
                <w:szCs w:val="21"/>
              </w:rPr>
            </w:pPr>
            <w:r>
              <w:rPr>
                <w:rFonts w:hint="eastAsia" w:ascii="宋体" w:hAnsi="宋体"/>
                <w:szCs w:val="21"/>
              </w:rPr>
              <w:t>1）适用于现场救援时撑起承重物等建筑构建；重量≤18kg；</w:t>
            </w:r>
          </w:p>
          <w:p w14:paraId="77C0676A">
            <w:pPr>
              <w:widowControl/>
              <w:spacing w:line="360" w:lineRule="exact"/>
              <w:textAlignment w:val="top"/>
              <w:rPr>
                <w:rFonts w:hint="eastAsia" w:ascii="宋体" w:hAnsi="宋体"/>
                <w:szCs w:val="21"/>
              </w:rPr>
            </w:pPr>
            <w:r>
              <w:rPr>
                <w:rFonts w:hint="eastAsia" w:ascii="宋体" w:hAnsi="宋体"/>
                <w:szCs w:val="21"/>
              </w:rPr>
              <w:t>2）液压撑顶器-双级：顶杆端头需配置激光对准装置，撑顶作业时需可精准定位；</w:t>
            </w:r>
          </w:p>
          <w:p w14:paraId="1CAB234F">
            <w:pPr>
              <w:widowControl/>
              <w:spacing w:line="360" w:lineRule="exact"/>
              <w:textAlignment w:val="top"/>
              <w:rPr>
                <w:rFonts w:hint="eastAsia" w:ascii="宋体" w:hAnsi="宋体"/>
                <w:szCs w:val="21"/>
              </w:rPr>
            </w:pPr>
            <w:r>
              <w:rPr>
                <w:rFonts w:hint="eastAsia" w:ascii="宋体" w:hAnsi="宋体"/>
                <w:szCs w:val="21"/>
              </w:rPr>
              <w:t>▲3）撑顶力：一级撑顶力≥270kN，二级撑顶力≥140KN；撑顶行程：一级撑顶行程≥370mm，二级撑顶行程≥350mm；</w:t>
            </w:r>
          </w:p>
          <w:p w14:paraId="1F616050">
            <w:pPr>
              <w:widowControl/>
              <w:spacing w:line="360" w:lineRule="exact"/>
              <w:textAlignment w:val="top"/>
              <w:rPr>
                <w:rFonts w:hint="eastAsia" w:ascii="宋体" w:hAnsi="宋体"/>
                <w:szCs w:val="21"/>
              </w:rPr>
            </w:pPr>
            <w:r>
              <w:rPr>
                <w:rFonts w:hint="eastAsia" w:ascii="宋体" w:hAnsi="宋体"/>
                <w:szCs w:val="21"/>
              </w:rPr>
              <w:t>▲4）长度：收拢长度≤560mm，撑顶长度≥1280mm；</w:t>
            </w:r>
          </w:p>
          <w:p w14:paraId="3967F474">
            <w:pPr>
              <w:widowControl/>
              <w:spacing w:line="360" w:lineRule="exact"/>
              <w:textAlignment w:val="top"/>
              <w:rPr>
                <w:rFonts w:hint="eastAsia" w:ascii="宋体" w:hAnsi="宋体"/>
                <w:b/>
                <w:bCs/>
                <w:szCs w:val="21"/>
              </w:rPr>
            </w:pPr>
            <w:r>
              <w:rPr>
                <w:rFonts w:hint="eastAsia" w:ascii="宋体" w:hAnsi="宋体"/>
                <w:b/>
                <w:bCs/>
                <w:szCs w:val="21"/>
              </w:rPr>
              <w:t>（5）液压剪扩器：</w:t>
            </w:r>
          </w:p>
          <w:p w14:paraId="2CDD5D3B">
            <w:pPr>
              <w:widowControl/>
              <w:spacing w:line="360" w:lineRule="exact"/>
              <w:textAlignment w:val="top"/>
              <w:rPr>
                <w:rFonts w:hint="eastAsia" w:ascii="宋体" w:hAnsi="宋体"/>
                <w:szCs w:val="21"/>
              </w:rPr>
            </w:pPr>
            <w:r>
              <w:rPr>
                <w:rFonts w:hint="eastAsia" w:ascii="宋体" w:hAnsi="宋体"/>
                <w:szCs w:val="21"/>
              </w:rPr>
              <w:t>1）需设有360°旋转手把；</w:t>
            </w:r>
          </w:p>
          <w:p w14:paraId="59B03129">
            <w:pPr>
              <w:widowControl/>
              <w:spacing w:line="360" w:lineRule="exact"/>
              <w:textAlignment w:val="top"/>
              <w:rPr>
                <w:rFonts w:hint="eastAsia" w:ascii="宋体" w:hAnsi="宋体"/>
                <w:szCs w:val="21"/>
              </w:rPr>
            </w:pPr>
            <w:r>
              <w:rPr>
                <w:rFonts w:hint="eastAsia" w:ascii="宋体" w:hAnsi="宋体"/>
                <w:szCs w:val="21"/>
              </w:rPr>
              <w:t>2）额定工作压力：≥72 Mpa；</w:t>
            </w:r>
          </w:p>
          <w:p w14:paraId="68227D12">
            <w:pPr>
              <w:widowControl/>
              <w:spacing w:line="360" w:lineRule="exact"/>
              <w:textAlignment w:val="top"/>
              <w:rPr>
                <w:rFonts w:hint="eastAsia" w:ascii="宋体" w:hAnsi="宋体"/>
                <w:szCs w:val="21"/>
              </w:rPr>
            </w:pPr>
            <w:r>
              <w:rPr>
                <w:rFonts w:hint="eastAsia" w:ascii="宋体" w:hAnsi="宋体"/>
                <w:szCs w:val="21"/>
              </w:rPr>
              <w:t>▲3）剪切圆钢直径（Q235材料）≥35mm，剪切钢板厚度（Q235材料）≥16mm；最大扩张力：≥200KN；最大牵引力≥66KN：最大剪切力≥690KN；</w:t>
            </w:r>
          </w:p>
          <w:p w14:paraId="1B29B069">
            <w:pPr>
              <w:widowControl/>
              <w:spacing w:line="360" w:lineRule="exact"/>
              <w:textAlignment w:val="top"/>
              <w:rPr>
                <w:rFonts w:hint="eastAsia" w:ascii="宋体" w:hAnsi="宋体"/>
                <w:szCs w:val="21"/>
              </w:rPr>
            </w:pPr>
            <w:r>
              <w:rPr>
                <w:rFonts w:hint="eastAsia" w:ascii="宋体" w:hAnsi="宋体"/>
                <w:szCs w:val="21"/>
              </w:rPr>
              <w:t>▲4）扩张距离≥390mm；牵引距离≥380mm；液压剪扩器重量≤15kg。</w:t>
            </w:r>
          </w:p>
        </w:tc>
        <w:tc>
          <w:tcPr>
            <w:tcW w:w="895" w:type="pct"/>
            <w:tcBorders>
              <w:top w:val="single" w:color="000000" w:sz="4" w:space="0"/>
              <w:left w:val="single" w:color="000000" w:sz="4" w:space="0"/>
              <w:bottom w:val="single" w:color="000000" w:sz="4" w:space="0"/>
              <w:right w:val="single" w:color="000000" w:sz="4" w:space="0"/>
            </w:tcBorders>
            <w:noWrap w:val="0"/>
            <w:vAlign w:val="center"/>
          </w:tcPr>
          <w:p w14:paraId="75CAD222">
            <w:pPr>
              <w:widowControl/>
              <w:spacing w:line="360" w:lineRule="exact"/>
              <w:jc w:val="center"/>
              <w:textAlignment w:val="top"/>
              <w:rPr>
                <w:rFonts w:hint="eastAsia" w:ascii="宋体" w:hAnsi="宋体"/>
                <w:color w:val="000000"/>
              </w:rPr>
            </w:pPr>
            <w:r>
              <w:rPr>
                <w:rFonts w:hint="eastAsia" w:ascii="宋体" w:hAnsi="宋体"/>
                <w:color w:val="000000"/>
              </w:rPr>
              <w:t>救险车</w:t>
            </w:r>
          </w:p>
        </w:tc>
        <w:tc>
          <w:tcPr>
            <w:tcW w:w="576" w:type="pct"/>
            <w:tcBorders>
              <w:top w:val="single" w:color="000000" w:sz="4" w:space="0"/>
              <w:left w:val="single" w:color="000000" w:sz="4" w:space="0"/>
              <w:bottom w:val="single" w:color="000000" w:sz="4" w:space="0"/>
              <w:right w:val="single" w:color="000000" w:sz="4" w:space="0"/>
            </w:tcBorders>
            <w:noWrap w:val="0"/>
            <w:vAlign w:val="center"/>
          </w:tcPr>
          <w:p w14:paraId="7C5519B8">
            <w:pPr>
              <w:widowControl/>
              <w:spacing w:line="360" w:lineRule="exact"/>
              <w:jc w:val="center"/>
              <w:textAlignment w:val="top"/>
              <w:rPr>
                <w:rFonts w:ascii="宋体" w:hAnsi="宋体"/>
                <w:color w:val="000000"/>
              </w:rPr>
            </w:pPr>
            <w:r>
              <w:rPr>
                <w:rFonts w:hint="eastAsia" w:ascii="宋体" w:hAnsi="宋体"/>
                <w:color w:val="000000"/>
              </w:rPr>
              <w:t>107.50</w:t>
            </w:r>
          </w:p>
        </w:tc>
      </w:tr>
      <w:tr w14:paraId="784A8D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91" w:type="pct"/>
            <w:tcBorders>
              <w:top w:val="single" w:color="000000" w:sz="4" w:space="0"/>
              <w:left w:val="single" w:color="000000" w:sz="4" w:space="0"/>
              <w:bottom w:val="single" w:color="000000" w:sz="4" w:space="0"/>
              <w:right w:val="single" w:color="000000" w:sz="4" w:space="0"/>
            </w:tcBorders>
            <w:noWrap w:val="0"/>
            <w:vAlign w:val="center"/>
          </w:tcPr>
          <w:p w14:paraId="7BB369A5">
            <w:pPr>
              <w:numPr>
                <w:ilvl w:val="0"/>
                <w:numId w:val="0"/>
              </w:numPr>
              <w:snapToGrid w:val="0"/>
              <w:spacing w:line="360" w:lineRule="exact"/>
              <w:ind w:leftChars="0"/>
              <w:rPr>
                <w:rFonts w:hint="eastAsia" w:ascii="宋体" w:hAnsi="宋体" w:eastAsia="宋体"/>
                <w:bCs/>
                <w:szCs w:val="21"/>
                <w:lang w:val="en-US" w:eastAsia="zh-CN"/>
              </w:rPr>
            </w:pPr>
            <w:r>
              <w:rPr>
                <w:rFonts w:hint="eastAsia" w:ascii="宋体" w:hAnsi="宋体"/>
                <w:bCs/>
                <w:szCs w:val="21"/>
                <w:lang w:val="en-US" w:eastAsia="zh-CN"/>
              </w:rPr>
              <w:t>7</w:t>
            </w:r>
          </w:p>
        </w:tc>
        <w:tc>
          <w:tcPr>
            <w:tcW w:w="446" w:type="pct"/>
            <w:tcBorders>
              <w:top w:val="single" w:color="000000" w:sz="4" w:space="0"/>
              <w:left w:val="single" w:color="000000" w:sz="4" w:space="0"/>
              <w:bottom w:val="single" w:color="auto" w:sz="4" w:space="0"/>
              <w:right w:val="single" w:color="000000" w:sz="4" w:space="0"/>
            </w:tcBorders>
            <w:noWrap w:val="0"/>
            <w:vAlign w:val="center"/>
          </w:tcPr>
          <w:p w14:paraId="23FB30D5">
            <w:pPr>
              <w:widowControl/>
              <w:spacing w:line="360" w:lineRule="exact"/>
              <w:jc w:val="center"/>
              <w:textAlignment w:val="center"/>
              <w:rPr>
                <w:rFonts w:hint="eastAsia" w:ascii="宋体" w:hAnsi="宋体"/>
                <w:szCs w:val="21"/>
              </w:rPr>
            </w:pPr>
            <w:r>
              <w:rPr>
                <w:rFonts w:hint="eastAsia" w:ascii="宋体" w:hAnsi="宋体"/>
                <w:color w:val="000000"/>
              </w:rPr>
              <w:t>宿营车</w:t>
            </w:r>
          </w:p>
        </w:tc>
        <w:tc>
          <w:tcPr>
            <w:tcW w:w="432" w:type="pct"/>
            <w:gridSpan w:val="2"/>
            <w:tcBorders>
              <w:top w:val="single" w:color="000000" w:sz="4" w:space="0"/>
              <w:left w:val="single" w:color="000000" w:sz="4" w:space="0"/>
              <w:bottom w:val="single" w:color="auto" w:sz="4" w:space="0"/>
              <w:right w:val="single" w:color="000000" w:sz="4" w:space="0"/>
            </w:tcBorders>
            <w:noWrap w:val="0"/>
            <w:vAlign w:val="center"/>
          </w:tcPr>
          <w:p w14:paraId="3CC6C5C3">
            <w:pPr>
              <w:widowControl/>
              <w:spacing w:line="360" w:lineRule="exact"/>
              <w:jc w:val="center"/>
              <w:textAlignment w:val="center"/>
              <w:rPr>
                <w:rFonts w:hint="eastAsia" w:ascii="宋体" w:hAnsi="宋体"/>
                <w:szCs w:val="21"/>
              </w:rPr>
            </w:pPr>
            <w:r>
              <w:rPr>
                <w:rFonts w:hint="eastAsia" w:ascii="宋体" w:hAnsi="宋体"/>
                <w:szCs w:val="21"/>
              </w:rPr>
              <w:t>1台</w:t>
            </w:r>
          </w:p>
        </w:tc>
        <w:tc>
          <w:tcPr>
            <w:tcW w:w="405" w:type="pct"/>
            <w:tcBorders>
              <w:top w:val="single" w:color="000000" w:sz="4" w:space="0"/>
              <w:left w:val="single" w:color="000000" w:sz="4" w:space="0"/>
              <w:bottom w:val="single" w:color="auto" w:sz="4" w:space="0"/>
              <w:right w:val="single" w:color="000000" w:sz="4" w:space="0"/>
            </w:tcBorders>
            <w:noWrap w:val="0"/>
            <w:vAlign w:val="center"/>
          </w:tcPr>
          <w:p w14:paraId="366FFDDB">
            <w:pPr>
              <w:widowControl/>
              <w:spacing w:line="360" w:lineRule="exact"/>
              <w:jc w:val="center"/>
              <w:textAlignment w:val="center"/>
              <w:rPr>
                <w:rFonts w:hint="eastAsia" w:ascii="宋体" w:hAnsi="宋体"/>
                <w:szCs w:val="21"/>
              </w:rPr>
            </w:pPr>
            <w:r>
              <w:rPr>
                <w:rFonts w:hint="eastAsia" w:ascii="宋体" w:hAnsi="宋体"/>
                <w:szCs w:val="21"/>
              </w:rPr>
              <w:t>工业</w:t>
            </w:r>
          </w:p>
        </w:tc>
        <w:tc>
          <w:tcPr>
            <w:tcW w:w="1950" w:type="pct"/>
            <w:tcBorders>
              <w:top w:val="single" w:color="000000" w:sz="4" w:space="0"/>
              <w:left w:val="single" w:color="000000" w:sz="4" w:space="0"/>
              <w:bottom w:val="single" w:color="000000" w:sz="4" w:space="0"/>
              <w:right w:val="single" w:color="000000" w:sz="4" w:space="0"/>
            </w:tcBorders>
            <w:noWrap w:val="0"/>
            <w:vAlign w:val="center"/>
          </w:tcPr>
          <w:p w14:paraId="117C83CF">
            <w:pPr>
              <w:widowControl/>
              <w:spacing w:line="360" w:lineRule="exact"/>
              <w:textAlignment w:val="top"/>
              <w:rPr>
                <w:rFonts w:hint="eastAsia" w:ascii="宋体" w:hAnsi="宋体"/>
                <w:szCs w:val="21"/>
              </w:rPr>
            </w:pPr>
            <w:r>
              <w:rPr>
                <w:rFonts w:hint="eastAsia" w:ascii="宋体" w:hAnsi="宋体"/>
                <w:szCs w:val="21"/>
              </w:rPr>
              <w:t xml:space="preserve">1.最大总质量：≥16000kg；   </w:t>
            </w:r>
          </w:p>
          <w:p w14:paraId="481AB65D">
            <w:pPr>
              <w:widowControl/>
              <w:spacing w:line="360" w:lineRule="exact"/>
              <w:textAlignment w:val="top"/>
              <w:rPr>
                <w:rFonts w:hint="eastAsia" w:ascii="宋体" w:hAnsi="宋体"/>
                <w:szCs w:val="21"/>
              </w:rPr>
            </w:pPr>
            <w:r>
              <w:rPr>
                <w:rFonts w:hint="eastAsia" w:ascii="宋体" w:hAnsi="宋体"/>
                <w:szCs w:val="21"/>
              </w:rPr>
              <w:t xml:space="preserve">2.住宿人数：≥20人；     </w:t>
            </w:r>
          </w:p>
          <w:p w14:paraId="4936F859">
            <w:pPr>
              <w:widowControl/>
              <w:spacing w:line="360" w:lineRule="exact"/>
              <w:textAlignment w:val="top"/>
              <w:rPr>
                <w:rFonts w:hint="eastAsia" w:ascii="宋体" w:hAnsi="宋体"/>
                <w:szCs w:val="21"/>
              </w:rPr>
            </w:pPr>
            <w:r>
              <w:rPr>
                <w:rFonts w:hint="eastAsia" w:ascii="宋体" w:hAnsi="宋体"/>
                <w:szCs w:val="21"/>
              </w:rPr>
              <w:t xml:space="preserve">3.轴距：≥5800 mm；      </w:t>
            </w:r>
          </w:p>
          <w:p w14:paraId="7B71BA68">
            <w:pPr>
              <w:widowControl/>
              <w:spacing w:line="360" w:lineRule="exact"/>
              <w:textAlignment w:val="top"/>
              <w:rPr>
                <w:rFonts w:hint="eastAsia" w:ascii="宋体" w:hAnsi="宋体"/>
                <w:szCs w:val="21"/>
              </w:rPr>
            </w:pPr>
            <w:r>
              <w:rPr>
                <w:rFonts w:hint="eastAsia" w:ascii="宋体" w:hAnsi="宋体"/>
                <w:szCs w:val="21"/>
              </w:rPr>
              <w:t xml:space="preserve">4.车体尺寸长×宽×高：≥10330 mm×2550 mm×3990 mm；   </w:t>
            </w:r>
          </w:p>
          <w:p w14:paraId="5751592A">
            <w:pPr>
              <w:widowControl/>
              <w:spacing w:line="360" w:lineRule="exact"/>
              <w:textAlignment w:val="top"/>
              <w:rPr>
                <w:rFonts w:hint="eastAsia" w:ascii="宋体" w:hAnsi="宋体"/>
                <w:szCs w:val="21"/>
              </w:rPr>
            </w:pPr>
            <w:r>
              <w:rPr>
                <w:rFonts w:hint="eastAsia" w:ascii="宋体" w:hAnsi="宋体"/>
                <w:szCs w:val="21"/>
              </w:rPr>
              <w:t xml:space="preserve">5.接近/离去角：≥19º/7º；    </w:t>
            </w:r>
          </w:p>
          <w:p w14:paraId="71EBCC3A">
            <w:pPr>
              <w:widowControl/>
              <w:spacing w:line="360" w:lineRule="exact"/>
              <w:textAlignment w:val="top"/>
              <w:rPr>
                <w:rFonts w:hint="eastAsia" w:ascii="宋体" w:hAnsi="宋体"/>
                <w:szCs w:val="21"/>
              </w:rPr>
            </w:pPr>
            <w:r>
              <w:rPr>
                <w:rFonts w:hint="eastAsia" w:ascii="宋体" w:hAnsi="宋体"/>
                <w:szCs w:val="21"/>
              </w:rPr>
              <w:t xml:space="preserve">6.轮胎：295/80R22.5；      </w:t>
            </w:r>
          </w:p>
          <w:p w14:paraId="2F21C0DB">
            <w:pPr>
              <w:widowControl/>
              <w:spacing w:line="360" w:lineRule="exact"/>
              <w:textAlignment w:val="top"/>
              <w:rPr>
                <w:rFonts w:hint="eastAsia" w:ascii="宋体" w:hAnsi="宋体"/>
                <w:szCs w:val="21"/>
              </w:rPr>
            </w:pPr>
            <w:r>
              <w:rPr>
                <w:rFonts w:hint="eastAsia" w:ascii="宋体" w:hAnsi="宋体"/>
                <w:szCs w:val="21"/>
              </w:rPr>
              <w:t xml:space="preserve">7.发动机：配备六缸发动机；   </w:t>
            </w:r>
          </w:p>
          <w:p w14:paraId="2955FB38">
            <w:pPr>
              <w:widowControl/>
              <w:spacing w:line="360" w:lineRule="exact"/>
              <w:textAlignment w:val="top"/>
              <w:rPr>
                <w:rFonts w:hint="eastAsia" w:ascii="宋体" w:hAnsi="宋体"/>
                <w:szCs w:val="21"/>
              </w:rPr>
            </w:pPr>
            <w:r>
              <w:rPr>
                <w:rFonts w:hint="eastAsia" w:ascii="宋体" w:hAnsi="宋体"/>
                <w:szCs w:val="21"/>
              </w:rPr>
              <w:t xml:space="preserve">8.发动机排量：≥7300mL；       </w:t>
            </w:r>
          </w:p>
          <w:p w14:paraId="34D0A682">
            <w:pPr>
              <w:widowControl/>
              <w:spacing w:line="360" w:lineRule="exact"/>
              <w:textAlignment w:val="top"/>
              <w:rPr>
                <w:rFonts w:hint="eastAsia" w:ascii="宋体" w:hAnsi="宋体"/>
                <w:szCs w:val="21"/>
              </w:rPr>
            </w:pPr>
            <w:r>
              <w:rPr>
                <w:rFonts w:hint="eastAsia" w:ascii="宋体" w:hAnsi="宋体"/>
                <w:szCs w:val="21"/>
              </w:rPr>
              <w:t xml:space="preserve">9.排放标准：国Ⅵ；         </w:t>
            </w:r>
          </w:p>
          <w:p w14:paraId="1F05F202">
            <w:pPr>
              <w:widowControl/>
              <w:spacing w:line="360" w:lineRule="exact"/>
              <w:textAlignment w:val="top"/>
              <w:rPr>
                <w:rFonts w:hint="eastAsia" w:ascii="宋体" w:hAnsi="宋体"/>
                <w:szCs w:val="21"/>
              </w:rPr>
            </w:pPr>
            <w:r>
              <w:rPr>
                <w:rFonts w:hint="eastAsia" w:ascii="宋体" w:hAnsi="宋体"/>
                <w:szCs w:val="21"/>
              </w:rPr>
              <w:t xml:space="preserve">▲10.额定功率：≥200KW；        </w:t>
            </w:r>
          </w:p>
          <w:p w14:paraId="289A353D">
            <w:pPr>
              <w:widowControl/>
              <w:spacing w:line="360" w:lineRule="exact"/>
              <w:textAlignment w:val="top"/>
              <w:rPr>
                <w:rFonts w:hint="eastAsia" w:ascii="宋体" w:hAnsi="宋体"/>
                <w:szCs w:val="21"/>
              </w:rPr>
            </w:pPr>
            <w:r>
              <w:rPr>
                <w:rFonts w:hint="eastAsia" w:ascii="宋体" w:hAnsi="宋体"/>
                <w:szCs w:val="21"/>
              </w:rPr>
              <w:t xml:space="preserve">11.最高时速：89(km/h)；        </w:t>
            </w:r>
          </w:p>
          <w:p w14:paraId="7A8F2FFC">
            <w:pPr>
              <w:widowControl/>
              <w:spacing w:line="360" w:lineRule="exact"/>
              <w:textAlignment w:val="top"/>
              <w:rPr>
                <w:rFonts w:hint="eastAsia" w:ascii="宋体" w:hAnsi="宋体"/>
                <w:szCs w:val="21"/>
              </w:rPr>
            </w:pPr>
            <w:r>
              <w:rPr>
                <w:rFonts w:hint="eastAsia" w:ascii="宋体" w:hAnsi="宋体"/>
                <w:szCs w:val="21"/>
              </w:rPr>
              <w:t xml:space="preserve">12.驱动型式：两驱或四驱 ；       </w:t>
            </w:r>
          </w:p>
          <w:p w14:paraId="144E8CE9">
            <w:pPr>
              <w:widowControl/>
              <w:spacing w:line="360" w:lineRule="exact"/>
              <w:textAlignment w:val="top"/>
              <w:rPr>
                <w:rFonts w:hint="eastAsia" w:ascii="宋体" w:hAnsi="宋体"/>
                <w:szCs w:val="21"/>
              </w:rPr>
            </w:pPr>
            <w:r>
              <w:rPr>
                <w:rFonts w:hint="eastAsia" w:ascii="宋体" w:hAnsi="宋体"/>
                <w:szCs w:val="21"/>
              </w:rPr>
              <w:t xml:space="preserve">13.下边缘离地高：≥430mm ；            </w:t>
            </w:r>
          </w:p>
          <w:p w14:paraId="7DC0461E">
            <w:pPr>
              <w:widowControl/>
              <w:spacing w:line="360" w:lineRule="exact"/>
              <w:textAlignment w:val="top"/>
              <w:rPr>
                <w:rFonts w:hint="eastAsia" w:ascii="宋体" w:hAnsi="宋体"/>
                <w:szCs w:val="21"/>
              </w:rPr>
            </w:pPr>
            <w:r>
              <w:rPr>
                <w:rFonts w:hint="eastAsia" w:ascii="宋体" w:hAnsi="宋体"/>
                <w:szCs w:val="21"/>
              </w:rPr>
              <w:t xml:space="preserve">14.变速箱 ：9前进挡，1倒退挡；         </w:t>
            </w:r>
          </w:p>
          <w:p w14:paraId="706653CA">
            <w:pPr>
              <w:widowControl/>
              <w:spacing w:line="360" w:lineRule="exact"/>
              <w:textAlignment w:val="top"/>
              <w:rPr>
                <w:rFonts w:hint="eastAsia" w:ascii="宋体" w:hAnsi="宋体"/>
                <w:szCs w:val="21"/>
              </w:rPr>
            </w:pPr>
            <w:r>
              <w:rPr>
                <w:rFonts w:hint="eastAsia" w:ascii="宋体" w:hAnsi="宋体"/>
                <w:szCs w:val="21"/>
              </w:rPr>
              <w:t xml:space="preserve">15.前悬/后悬：≥1430/3100mm；                 </w:t>
            </w:r>
          </w:p>
          <w:p w14:paraId="2B2C702F">
            <w:pPr>
              <w:widowControl/>
              <w:spacing w:line="360" w:lineRule="exact"/>
              <w:textAlignment w:val="top"/>
              <w:rPr>
                <w:rFonts w:hint="eastAsia" w:ascii="宋体" w:hAnsi="宋体"/>
                <w:szCs w:val="21"/>
              </w:rPr>
            </w:pPr>
            <w:r>
              <w:rPr>
                <w:rFonts w:hint="eastAsia" w:ascii="宋体" w:hAnsi="宋体"/>
                <w:szCs w:val="21"/>
              </w:rPr>
              <w:t xml:space="preserve">16.轴数：2；         </w:t>
            </w:r>
          </w:p>
          <w:p w14:paraId="6BFCFD80">
            <w:pPr>
              <w:widowControl/>
              <w:spacing w:line="360" w:lineRule="exact"/>
              <w:textAlignment w:val="top"/>
              <w:rPr>
                <w:rFonts w:hint="eastAsia" w:ascii="宋体" w:hAnsi="宋体"/>
                <w:szCs w:val="21"/>
              </w:rPr>
            </w:pPr>
            <w:r>
              <w:rPr>
                <w:rFonts w:hint="eastAsia" w:ascii="宋体" w:hAnsi="宋体"/>
                <w:szCs w:val="21"/>
              </w:rPr>
              <w:t>17.上装标准：上装厢体采用大板方舱结构。床铺数量≥20人,床铺净尺寸≥1.9m×0.75m，下铺与上铺层距≥1050mm，上铺层距≥750mm；每个床铺具有独立换气窗，每个床铺边各1个，带隐藏式窗市窗纱，每个床铺配置220V五孔插座带USB接口，配2台1.5P冷热空调，分别分布在车厢厢体前部和后部；</w:t>
            </w:r>
          </w:p>
          <w:p w14:paraId="6F9E1974">
            <w:pPr>
              <w:widowControl/>
              <w:spacing w:line="360" w:lineRule="exact"/>
              <w:textAlignment w:val="top"/>
              <w:rPr>
                <w:rFonts w:hint="eastAsia" w:ascii="宋体" w:hAnsi="宋体"/>
                <w:szCs w:val="21"/>
              </w:rPr>
            </w:pPr>
            <w:r>
              <w:rPr>
                <w:rFonts w:hint="eastAsia" w:ascii="宋体" w:hAnsi="宋体"/>
                <w:szCs w:val="21"/>
              </w:rPr>
              <w:t>18.配备卫浴室，干湿分离。配备有马桶和淋浴；</w:t>
            </w:r>
          </w:p>
          <w:p w14:paraId="0E3B5D8C">
            <w:pPr>
              <w:widowControl/>
              <w:spacing w:line="360" w:lineRule="exact"/>
              <w:textAlignment w:val="top"/>
              <w:rPr>
                <w:rFonts w:hint="eastAsia" w:ascii="宋体" w:hAnsi="宋体"/>
                <w:szCs w:val="21"/>
              </w:rPr>
            </w:pPr>
            <w:r>
              <w:rPr>
                <w:rFonts w:hint="eastAsia" w:ascii="宋体" w:hAnsi="宋体"/>
                <w:szCs w:val="21"/>
              </w:rPr>
              <w:t>19.配发电机，发电机功率≥10kw，噪音水平≤60dB(7米)；</w:t>
            </w:r>
          </w:p>
          <w:p w14:paraId="08CCDCB7">
            <w:pPr>
              <w:widowControl/>
              <w:spacing w:line="360" w:lineRule="exact"/>
              <w:textAlignment w:val="top"/>
              <w:rPr>
                <w:rFonts w:hint="eastAsia" w:ascii="宋体" w:hAnsi="宋体"/>
                <w:szCs w:val="21"/>
              </w:rPr>
            </w:pPr>
            <w:r>
              <w:rPr>
                <w:rFonts w:hint="eastAsia" w:ascii="宋体" w:hAnsi="宋体"/>
                <w:szCs w:val="21"/>
              </w:rPr>
              <w:t>20.配置不锈钢净水箱，容积≥500L，不锈钢污水箱容积≥200L；</w:t>
            </w:r>
          </w:p>
          <w:p w14:paraId="4811CB14">
            <w:pPr>
              <w:widowControl/>
              <w:spacing w:line="360" w:lineRule="exact"/>
              <w:textAlignment w:val="top"/>
              <w:rPr>
                <w:rFonts w:hint="eastAsia" w:ascii="宋体" w:hAnsi="宋体"/>
                <w:szCs w:val="21"/>
              </w:rPr>
            </w:pPr>
            <w:r>
              <w:rPr>
                <w:rFonts w:hint="eastAsia" w:ascii="宋体" w:hAnsi="宋体"/>
                <w:szCs w:val="21"/>
              </w:rPr>
              <w:t>21.配备应急专用夜间照明灯≥2个，设置组合式厨房；</w:t>
            </w:r>
          </w:p>
          <w:p w14:paraId="26492D8F">
            <w:pPr>
              <w:widowControl/>
              <w:spacing w:line="360" w:lineRule="exact"/>
              <w:textAlignment w:val="top"/>
              <w:rPr>
                <w:rFonts w:hint="eastAsia" w:ascii="宋体" w:hAnsi="宋体"/>
                <w:szCs w:val="21"/>
              </w:rPr>
            </w:pPr>
            <w:r>
              <w:rPr>
                <w:rFonts w:hint="eastAsia" w:ascii="宋体" w:hAnsi="宋体"/>
                <w:szCs w:val="21"/>
              </w:rPr>
              <w:t>22.配备电磁炉、微波炉、抽油烟机等厨房电器。</w:t>
            </w:r>
          </w:p>
        </w:tc>
        <w:tc>
          <w:tcPr>
            <w:tcW w:w="895" w:type="pct"/>
            <w:tcBorders>
              <w:top w:val="single" w:color="000000" w:sz="4" w:space="0"/>
              <w:left w:val="single" w:color="000000" w:sz="4" w:space="0"/>
              <w:bottom w:val="single" w:color="000000" w:sz="4" w:space="0"/>
              <w:right w:val="single" w:color="000000" w:sz="4" w:space="0"/>
            </w:tcBorders>
            <w:noWrap w:val="0"/>
            <w:vAlign w:val="center"/>
          </w:tcPr>
          <w:p w14:paraId="5810E9D5">
            <w:pPr>
              <w:widowControl/>
              <w:spacing w:line="360" w:lineRule="exact"/>
              <w:jc w:val="center"/>
              <w:textAlignment w:val="top"/>
              <w:rPr>
                <w:rFonts w:ascii="宋体" w:hAnsi="宋体"/>
                <w:color w:val="000000"/>
              </w:rPr>
            </w:pPr>
            <w:r>
              <w:rPr>
                <w:rFonts w:hint="eastAsia" w:ascii="宋体" w:hAnsi="宋体"/>
                <w:color w:val="000000"/>
              </w:rPr>
              <w:t>宿营车</w:t>
            </w:r>
          </w:p>
        </w:tc>
        <w:tc>
          <w:tcPr>
            <w:tcW w:w="576" w:type="pct"/>
            <w:tcBorders>
              <w:top w:val="single" w:color="000000" w:sz="4" w:space="0"/>
              <w:left w:val="single" w:color="000000" w:sz="4" w:space="0"/>
              <w:bottom w:val="single" w:color="000000" w:sz="4" w:space="0"/>
              <w:right w:val="single" w:color="000000" w:sz="4" w:space="0"/>
            </w:tcBorders>
            <w:noWrap w:val="0"/>
            <w:vAlign w:val="center"/>
          </w:tcPr>
          <w:p w14:paraId="3DA97645">
            <w:pPr>
              <w:widowControl/>
              <w:spacing w:line="360" w:lineRule="exact"/>
              <w:jc w:val="center"/>
              <w:textAlignment w:val="top"/>
              <w:rPr>
                <w:rFonts w:ascii="宋体" w:hAnsi="宋体"/>
                <w:color w:val="000000"/>
              </w:rPr>
            </w:pPr>
            <w:r>
              <w:rPr>
                <w:rFonts w:hint="eastAsia" w:ascii="宋体" w:hAnsi="宋体"/>
                <w:color w:val="000000"/>
              </w:rPr>
              <w:t>109.20</w:t>
            </w:r>
          </w:p>
        </w:tc>
      </w:tr>
      <w:tr w14:paraId="4BEF79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527" w:type="pct"/>
            <w:gridSpan w:val="6"/>
            <w:tcBorders>
              <w:top w:val="single" w:color="auto" w:sz="4" w:space="0"/>
              <w:left w:val="single" w:color="auto" w:sz="4" w:space="0"/>
              <w:bottom w:val="single" w:color="auto" w:sz="4" w:space="0"/>
              <w:right w:val="single" w:color="auto" w:sz="4" w:space="0"/>
            </w:tcBorders>
            <w:noWrap w:val="0"/>
            <w:vAlign w:val="top"/>
          </w:tcPr>
          <w:p w14:paraId="08CD6C01">
            <w:pPr>
              <w:spacing w:line="360" w:lineRule="exact"/>
              <w:rPr>
                <w:rFonts w:hint="eastAsia" w:ascii="宋体" w:hAnsi="宋体"/>
                <w:szCs w:val="21"/>
              </w:rPr>
            </w:pPr>
            <w:r>
              <w:rPr>
                <w:rFonts w:hint="eastAsia" w:ascii="宋体" w:hAnsi="宋体"/>
                <w:szCs w:val="21"/>
              </w:rPr>
              <w:t>▲</w:t>
            </w:r>
            <w:r>
              <w:rPr>
                <w:rFonts w:hint="eastAsia" w:ascii="宋体" w:hAnsi="宋体"/>
                <w:b/>
                <w:szCs w:val="21"/>
              </w:rPr>
              <w:t>一、商务要求</w:t>
            </w:r>
            <w:r>
              <w:rPr>
                <w:rFonts w:hint="eastAsia" w:ascii="宋体" w:hAnsi="宋体"/>
                <w:szCs w:val="21"/>
              </w:rPr>
              <w:t xml:space="preserve"> </w:t>
            </w:r>
          </w:p>
        </w:tc>
        <w:tc>
          <w:tcPr>
            <w:tcW w:w="895" w:type="pct"/>
            <w:tcBorders>
              <w:top w:val="single" w:color="auto" w:sz="4" w:space="0"/>
              <w:left w:val="single" w:color="auto" w:sz="4" w:space="0"/>
              <w:bottom w:val="single" w:color="auto" w:sz="4" w:space="0"/>
              <w:right w:val="single" w:color="auto" w:sz="4" w:space="0"/>
            </w:tcBorders>
            <w:noWrap w:val="0"/>
            <w:vAlign w:val="top"/>
          </w:tcPr>
          <w:p w14:paraId="64572657">
            <w:pPr>
              <w:spacing w:line="360" w:lineRule="exact"/>
              <w:rPr>
                <w:rFonts w:hint="eastAsia" w:ascii="宋体" w:hAnsi="宋体"/>
                <w:szCs w:val="21"/>
              </w:rPr>
            </w:pPr>
          </w:p>
        </w:tc>
        <w:tc>
          <w:tcPr>
            <w:tcW w:w="576" w:type="pct"/>
            <w:tcBorders>
              <w:top w:val="single" w:color="auto" w:sz="4" w:space="0"/>
              <w:left w:val="single" w:color="auto" w:sz="4" w:space="0"/>
              <w:bottom w:val="single" w:color="auto" w:sz="4" w:space="0"/>
              <w:right w:val="single" w:color="auto" w:sz="4" w:space="0"/>
            </w:tcBorders>
            <w:noWrap w:val="0"/>
            <w:vAlign w:val="top"/>
          </w:tcPr>
          <w:p w14:paraId="0F572F4B">
            <w:pPr>
              <w:spacing w:line="360" w:lineRule="exact"/>
              <w:rPr>
                <w:rFonts w:hint="eastAsia" w:ascii="宋体" w:hAnsi="宋体"/>
                <w:szCs w:val="21"/>
              </w:rPr>
            </w:pPr>
          </w:p>
        </w:tc>
      </w:tr>
      <w:tr w14:paraId="1F847B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45" w:type="pct"/>
            <w:gridSpan w:val="3"/>
            <w:tcBorders>
              <w:top w:val="single" w:color="auto" w:sz="4" w:space="0"/>
              <w:left w:val="single" w:color="auto" w:sz="4" w:space="0"/>
              <w:bottom w:val="single" w:color="auto" w:sz="4" w:space="0"/>
              <w:right w:val="single" w:color="auto" w:sz="4" w:space="0"/>
            </w:tcBorders>
            <w:noWrap w:val="0"/>
            <w:vAlign w:val="center"/>
          </w:tcPr>
          <w:p w14:paraId="1C6EB50D">
            <w:pPr>
              <w:spacing w:line="360" w:lineRule="exact"/>
              <w:rPr>
                <w:rFonts w:hint="eastAsia" w:ascii="宋体" w:hAnsi="宋体"/>
                <w:szCs w:val="21"/>
              </w:rPr>
            </w:pPr>
            <w:r>
              <w:rPr>
                <w:rFonts w:hint="eastAsia" w:ascii="宋体" w:hAnsi="宋体"/>
                <w:szCs w:val="21"/>
              </w:rPr>
              <w:t>合同签订时间</w:t>
            </w:r>
          </w:p>
        </w:tc>
        <w:tc>
          <w:tcPr>
            <w:tcW w:w="4254" w:type="pct"/>
            <w:gridSpan w:val="5"/>
            <w:tcBorders>
              <w:top w:val="single" w:color="auto" w:sz="4" w:space="0"/>
              <w:left w:val="nil"/>
              <w:bottom w:val="single" w:color="auto" w:sz="4" w:space="0"/>
              <w:right w:val="single" w:color="auto" w:sz="4" w:space="0"/>
            </w:tcBorders>
            <w:noWrap w:val="0"/>
            <w:vAlign w:val="center"/>
          </w:tcPr>
          <w:p w14:paraId="72C71E13">
            <w:pPr>
              <w:spacing w:line="360" w:lineRule="exact"/>
              <w:ind w:firstLine="420" w:firstLineChars="200"/>
              <w:rPr>
                <w:rFonts w:hint="eastAsia" w:ascii="宋体" w:hAnsi="宋体"/>
                <w:szCs w:val="21"/>
              </w:rPr>
            </w:pPr>
            <w:r>
              <w:rPr>
                <w:rFonts w:hint="eastAsia" w:ascii="宋体" w:hAnsi="宋体"/>
                <w:szCs w:val="21"/>
              </w:rPr>
              <w:t>自中标通知书发出之日起25日内与采购人完成合同签订。</w:t>
            </w:r>
          </w:p>
        </w:tc>
      </w:tr>
      <w:tr w14:paraId="1789CB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45" w:type="pct"/>
            <w:gridSpan w:val="3"/>
            <w:tcBorders>
              <w:top w:val="single" w:color="auto" w:sz="4" w:space="0"/>
              <w:left w:val="single" w:color="auto" w:sz="4" w:space="0"/>
              <w:bottom w:val="single" w:color="auto" w:sz="4" w:space="0"/>
              <w:right w:val="single" w:color="auto" w:sz="4" w:space="0"/>
            </w:tcBorders>
            <w:noWrap w:val="0"/>
            <w:vAlign w:val="center"/>
          </w:tcPr>
          <w:p w14:paraId="3E56FC74">
            <w:pPr>
              <w:spacing w:line="360" w:lineRule="exact"/>
              <w:rPr>
                <w:rFonts w:hint="eastAsia" w:ascii="宋体" w:hAnsi="宋体"/>
                <w:szCs w:val="21"/>
              </w:rPr>
            </w:pPr>
            <w:r>
              <w:rPr>
                <w:rFonts w:hint="eastAsia" w:ascii="宋体" w:hAnsi="宋体"/>
                <w:szCs w:val="21"/>
              </w:rPr>
              <w:t>交付使用时间及地点</w:t>
            </w:r>
          </w:p>
        </w:tc>
        <w:tc>
          <w:tcPr>
            <w:tcW w:w="4254" w:type="pct"/>
            <w:gridSpan w:val="5"/>
            <w:tcBorders>
              <w:top w:val="single" w:color="auto" w:sz="4" w:space="0"/>
              <w:left w:val="nil"/>
              <w:bottom w:val="single" w:color="auto" w:sz="4" w:space="0"/>
              <w:right w:val="single" w:color="auto" w:sz="4" w:space="0"/>
            </w:tcBorders>
            <w:noWrap w:val="0"/>
            <w:vAlign w:val="center"/>
          </w:tcPr>
          <w:p w14:paraId="036A322D">
            <w:pPr>
              <w:spacing w:line="360" w:lineRule="exact"/>
              <w:ind w:firstLine="420" w:firstLineChars="200"/>
              <w:rPr>
                <w:rFonts w:hint="eastAsia" w:ascii="宋体" w:hAnsi="宋体"/>
                <w:szCs w:val="21"/>
              </w:rPr>
            </w:pPr>
            <w:r>
              <w:rPr>
                <w:rFonts w:hint="eastAsia" w:ascii="宋体" w:hAnsi="宋体"/>
                <w:szCs w:val="21"/>
              </w:rPr>
              <w:t>1.交货时间：自合同签订之日起90日内交付。</w:t>
            </w:r>
          </w:p>
          <w:p w14:paraId="6A799C9E">
            <w:pPr>
              <w:spacing w:line="360" w:lineRule="exact"/>
              <w:ind w:firstLine="420" w:firstLineChars="200"/>
              <w:rPr>
                <w:rFonts w:hint="eastAsia" w:ascii="宋体" w:hAnsi="宋体"/>
                <w:szCs w:val="21"/>
              </w:rPr>
            </w:pPr>
            <w:r>
              <w:rPr>
                <w:rFonts w:hint="eastAsia" w:ascii="宋体" w:hAnsi="宋体"/>
                <w:szCs w:val="21"/>
              </w:rPr>
              <w:t>2.交货地点：广西区内采购人指定地点。交付货物清单同货物一并送达采购人；货物在交付前发生的风险均由中标供应商自行负责；未验收前保管工作由中标供应商自行负责。</w:t>
            </w:r>
          </w:p>
          <w:p w14:paraId="64C15CD7">
            <w:pPr>
              <w:spacing w:line="360" w:lineRule="exact"/>
              <w:ind w:firstLine="420" w:firstLineChars="200"/>
              <w:rPr>
                <w:rFonts w:hint="eastAsia" w:ascii="宋体" w:hAnsi="宋体"/>
                <w:szCs w:val="21"/>
              </w:rPr>
            </w:pPr>
            <w:r>
              <w:rPr>
                <w:rFonts w:hint="eastAsia" w:ascii="宋体" w:hAnsi="宋体"/>
                <w:szCs w:val="21"/>
              </w:rPr>
              <w:t>3.中标供应商承担货物运输、验收检测和提供货物说明书、技术培训、售后服务等其他类似的义务。</w:t>
            </w:r>
          </w:p>
          <w:p w14:paraId="0DD96E8C">
            <w:pPr>
              <w:spacing w:line="360" w:lineRule="exact"/>
              <w:ind w:firstLine="420" w:firstLineChars="200"/>
              <w:rPr>
                <w:rFonts w:hint="eastAsia" w:ascii="宋体" w:hAnsi="宋体"/>
                <w:szCs w:val="21"/>
              </w:rPr>
            </w:pPr>
            <w:r>
              <w:rPr>
                <w:rFonts w:hint="eastAsia" w:ascii="宋体" w:hAnsi="宋体"/>
                <w:szCs w:val="21"/>
              </w:rPr>
              <w:t>4.交货方式：现场交货。</w:t>
            </w:r>
          </w:p>
        </w:tc>
      </w:tr>
      <w:tr w14:paraId="47ABD8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45" w:type="pct"/>
            <w:gridSpan w:val="3"/>
            <w:tcBorders>
              <w:top w:val="single" w:color="auto" w:sz="4" w:space="0"/>
              <w:left w:val="single" w:color="auto" w:sz="4" w:space="0"/>
              <w:bottom w:val="single" w:color="auto" w:sz="4" w:space="0"/>
              <w:right w:val="single" w:color="auto" w:sz="4" w:space="0"/>
            </w:tcBorders>
            <w:noWrap w:val="0"/>
            <w:vAlign w:val="center"/>
          </w:tcPr>
          <w:p w14:paraId="04A80828">
            <w:pPr>
              <w:spacing w:line="360" w:lineRule="exact"/>
              <w:rPr>
                <w:rFonts w:hint="eastAsia" w:ascii="宋体" w:hAnsi="宋体"/>
                <w:szCs w:val="21"/>
              </w:rPr>
            </w:pPr>
            <w:r>
              <w:rPr>
                <w:rFonts w:hint="eastAsia" w:ascii="宋体" w:hAnsi="宋体"/>
                <w:szCs w:val="21"/>
              </w:rPr>
              <w:t>质保期</w:t>
            </w:r>
          </w:p>
        </w:tc>
        <w:tc>
          <w:tcPr>
            <w:tcW w:w="4254" w:type="pct"/>
            <w:gridSpan w:val="5"/>
            <w:tcBorders>
              <w:top w:val="single" w:color="auto" w:sz="4" w:space="0"/>
              <w:left w:val="nil"/>
              <w:bottom w:val="single" w:color="auto" w:sz="4" w:space="0"/>
              <w:right w:val="single" w:color="auto" w:sz="4" w:space="0"/>
            </w:tcBorders>
            <w:noWrap w:val="0"/>
            <w:vAlign w:val="center"/>
          </w:tcPr>
          <w:p w14:paraId="1CEAE638">
            <w:pPr>
              <w:spacing w:line="360" w:lineRule="exact"/>
              <w:ind w:firstLine="420" w:firstLineChars="200"/>
              <w:rPr>
                <w:rFonts w:hint="eastAsia" w:ascii="宋体" w:hAnsi="宋体"/>
                <w:szCs w:val="21"/>
              </w:rPr>
            </w:pPr>
            <w:r>
              <w:rPr>
                <w:rFonts w:hint="eastAsia" w:ascii="宋体" w:hAnsi="宋体"/>
                <w:szCs w:val="21"/>
              </w:rPr>
              <w:t>满足国家有关产品“三包”规定，且自本分标货物交付并最终验收合格之日起计算；货物质保期不少于3年或行驶里程6万公里，质保期以先达到的时间或里程为准。若厂家公开承诺质保期更长的，质保期从其承诺。</w:t>
            </w:r>
          </w:p>
        </w:tc>
      </w:tr>
      <w:tr w14:paraId="582D91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45" w:type="pct"/>
            <w:gridSpan w:val="3"/>
            <w:tcBorders>
              <w:top w:val="single" w:color="auto" w:sz="4" w:space="0"/>
              <w:left w:val="single" w:color="auto" w:sz="4" w:space="0"/>
              <w:bottom w:val="single" w:color="auto" w:sz="4" w:space="0"/>
              <w:right w:val="single" w:color="auto" w:sz="4" w:space="0"/>
            </w:tcBorders>
            <w:noWrap w:val="0"/>
            <w:vAlign w:val="center"/>
          </w:tcPr>
          <w:p w14:paraId="02C97AB9">
            <w:pPr>
              <w:spacing w:line="360" w:lineRule="exact"/>
              <w:rPr>
                <w:rFonts w:hint="eastAsia" w:ascii="宋体" w:hAnsi="宋体"/>
                <w:szCs w:val="21"/>
              </w:rPr>
            </w:pPr>
            <w:r>
              <w:rPr>
                <w:rFonts w:hint="eastAsia" w:ascii="宋体" w:hAnsi="宋体"/>
                <w:szCs w:val="21"/>
              </w:rPr>
              <w:t>售后服务及技术服务要求</w:t>
            </w:r>
          </w:p>
        </w:tc>
        <w:tc>
          <w:tcPr>
            <w:tcW w:w="4254" w:type="pct"/>
            <w:gridSpan w:val="5"/>
            <w:tcBorders>
              <w:top w:val="single" w:color="auto" w:sz="4" w:space="0"/>
              <w:left w:val="nil"/>
              <w:bottom w:val="single" w:color="auto" w:sz="4" w:space="0"/>
              <w:right w:val="single" w:color="auto" w:sz="4" w:space="0"/>
            </w:tcBorders>
            <w:noWrap w:val="0"/>
            <w:vAlign w:val="center"/>
          </w:tcPr>
          <w:p w14:paraId="2A88F0EC">
            <w:pPr>
              <w:spacing w:line="360" w:lineRule="exact"/>
              <w:ind w:firstLine="422" w:firstLineChars="200"/>
              <w:rPr>
                <w:rFonts w:ascii="宋体" w:hAnsi="宋体"/>
                <w:b/>
                <w:bCs/>
              </w:rPr>
            </w:pPr>
            <w:r>
              <w:rPr>
                <w:rFonts w:hint="eastAsia" w:ascii="宋体" w:hAnsi="宋体"/>
                <w:b/>
                <w:bCs/>
              </w:rPr>
              <w:t>（一）售后服务要求</w:t>
            </w:r>
          </w:p>
          <w:p w14:paraId="6DFF3D47">
            <w:pPr>
              <w:spacing w:line="360" w:lineRule="exact"/>
              <w:ind w:firstLine="420" w:firstLineChars="200"/>
              <w:rPr>
                <w:rFonts w:hint="eastAsia" w:ascii="宋体" w:hAnsi="宋体" w:cs="Arial"/>
              </w:rPr>
            </w:pPr>
            <w:r>
              <w:rPr>
                <w:rFonts w:hint="eastAsia" w:ascii="宋体" w:hAnsi="宋体"/>
              </w:rPr>
              <w:t>1.中标后产品或服务由制造商（指产品生产制造商或服务实际提供人）负责质量保证期内的售后服务的，制造商提供的售后服务也应达到招标文件要求的标准，相关的售后服务费用由投标人向制造商支付，采购人不予另行支付。</w:t>
            </w:r>
          </w:p>
          <w:p w14:paraId="6EC867E1">
            <w:pPr>
              <w:spacing w:line="360" w:lineRule="exact"/>
              <w:ind w:firstLine="420" w:firstLineChars="200"/>
              <w:rPr>
                <w:rFonts w:hint="eastAsia" w:ascii="宋体" w:hAnsi="宋体"/>
              </w:rPr>
            </w:pPr>
            <w:r>
              <w:rPr>
                <w:rFonts w:hint="eastAsia" w:ascii="宋体" w:hAnsi="宋体"/>
              </w:rPr>
              <w:t>2.提供的货物必须是未使用过的全新货物，并负责送货上门。所供货物必须满足采购合同要求，并符合国家规定的质量标准，否则采购人有权退、换货，由此引发的费用及其他经济损失全部由中标供应商承担。</w:t>
            </w:r>
          </w:p>
          <w:p w14:paraId="3215097E">
            <w:pPr>
              <w:spacing w:line="360" w:lineRule="exact"/>
              <w:ind w:firstLine="420" w:firstLineChars="200"/>
              <w:rPr>
                <w:rFonts w:ascii="宋体" w:hAnsi="宋体"/>
              </w:rPr>
            </w:pPr>
            <w:r>
              <w:rPr>
                <w:rFonts w:hint="eastAsia" w:ascii="宋体" w:hAnsi="宋体"/>
              </w:rPr>
              <w:t>3.所提供货物安装或调试后进行技术性能、功能检测，按招标文件上的技术规格要求、中标供应商投标文件响应和承诺的技术参数及功能和国家等有关标准进行测试，涉及货物质量问题的中标供应商应在采购人指定期限内无条件退换；若退换后经采购人二次验收仍达不到要求的视为货物不合格，采购人可解除双方的供货合同；不合格项经核实属于投标时虚假响应的，采购人有权报政府采购监督管理部门申请解除合同，中标供应商自行承担相应法律后果。</w:t>
            </w:r>
          </w:p>
          <w:p w14:paraId="307A4F3F">
            <w:pPr>
              <w:spacing w:line="360" w:lineRule="exact"/>
              <w:ind w:firstLine="420" w:firstLineChars="200"/>
              <w:rPr>
                <w:rFonts w:hint="eastAsia" w:ascii="宋体" w:hAnsi="宋体"/>
              </w:rPr>
            </w:pPr>
            <w:r>
              <w:rPr>
                <w:rFonts w:hint="eastAsia" w:ascii="宋体" w:hAnsi="宋体"/>
              </w:rPr>
              <w:t>4.在安装期、试运行期及最终验收后的质保期内，由于货物技术或质量问题而产生的故障，无论大小，中标供应商一律提供维修服务。质保期满后须提供终身维护服务。</w:t>
            </w:r>
          </w:p>
          <w:p w14:paraId="31ED4B6F">
            <w:pPr>
              <w:spacing w:line="360" w:lineRule="exact"/>
              <w:ind w:firstLine="420" w:firstLineChars="200"/>
              <w:rPr>
                <w:rFonts w:hint="eastAsia" w:ascii="宋体" w:hAnsi="宋体"/>
              </w:rPr>
            </w:pPr>
            <w:r>
              <w:rPr>
                <w:rFonts w:hint="eastAsia" w:ascii="宋体" w:hAnsi="宋体"/>
              </w:rPr>
              <w:t>5.货物交付并完成验收后，在质保期内，中标供应商接到采购人服务需求后，2小时内应做出明确回复，如有必要，中标供应商最近的售后服务点距离用户所在地500公里以内的，应保证在收到采购人服务通知后12小时内到达现场；中标供应商最近的售后服务点距离用户所在地500公里以外的（中国大陆地区），应保证在收到采购人缺陷通知后48小时内到达现场，产生一切费用由中标供应商承担，现场24小时内排查问题并处理完毕，确保货物能够正常使用。</w:t>
            </w:r>
          </w:p>
          <w:p w14:paraId="0BFF9500">
            <w:pPr>
              <w:spacing w:line="360" w:lineRule="exact"/>
              <w:ind w:firstLine="420" w:firstLineChars="200"/>
              <w:rPr>
                <w:rFonts w:hint="eastAsia" w:ascii="宋体" w:hAnsi="宋体"/>
              </w:rPr>
            </w:pPr>
            <w:r>
              <w:rPr>
                <w:rFonts w:hint="eastAsia" w:ascii="宋体" w:hAnsi="宋体"/>
              </w:rPr>
              <w:t>6.质保期内的维修工时及材料费用、维修人员的差旅费、宿费等由中标供应商承担。</w:t>
            </w:r>
          </w:p>
          <w:p w14:paraId="364DEF5E">
            <w:pPr>
              <w:spacing w:line="360" w:lineRule="exact"/>
              <w:ind w:firstLine="420" w:firstLineChars="200"/>
              <w:rPr>
                <w:rFonts w:ascii="宋体" w:hAnsi="宋体"/>
              </w:rPr>
            </w:pPr>
            <w:r>
              <w:rPr>
                <w:rFonts w:hint="eastAsia" w:ascii="宋体" w:hAnsi="宋体"/>
              </w:rPr>
              <w:t>7.质保期内，中标供应商提供上门维保检修服务，服务间隔不超过6个月。</w:t>
            </w:r>
          </w:p>
          <w:p w14:paraId="47A97D8B">
            <w:pPr>
              <w:spacing w:line="360" w:lineRule="exact"/>
              <w:ind w:firstLine="420" w:firstLineChars="200"/>
              <w:rPr>
                <w:rFonts w:ascii="宋体" w:hAnsi="宋体"/>
              </w:rPr>
            </w:pPr>
            <w:r>
              <w:rPr>
                <w:rFonts w:hint="eastAsia" w:ascii="宋体" w:hAnsi="宋体"/>
              </w:rPr>
              <w:t>8.在质保期内，如设备或零部件因非人力因素出现故障而造成短期停用，或同一缺陷经三次维修、调换后仍无法达到质量标准的，则认定该产品不合格，采购人有权将该货物无条件退货或要求更换。因故障造成的短期停用或因产品不合格导致更换的，质保期相应顺延。</w:t>
            </w:r>
          </w:p>
          <w:p w14:paraId="0A8FD972">
            <w:pPr>
              <w:spacing w:line="360" w:lineRule="exact"/>
              <w:ind w:firstLine="420" w:firstLineChars="200"/>
              <w:rPr>
                <w:rFonts w:ascii="宋体" w:hAnsi="宋体"/>
              </w:rPr>
            </w:pPr>
            <w:r>
              <w:rPr>
                <w:rFonts w:hint="eastAsia" w:ascii="宋体" w:hAnsi="宋体"/>
              </w:rPr>
              <w:t>9.在装备质保期到期前的两个月内，中标供应商应协助采购人对所有装备进行一次全面检查与维护，所有费用由中标供应商负责。</w:t>
            </w:r>
          </w:p>
          <w:p w14:paraId="235F6039">
            <w:pPr>
              <w:spacing w:line="360" w:lineRule="exact"/>
              <w:ind w:firstLine="420" w:firstLineChars="200"/>
              <w:rPr>
                <w:rFonts w:hint="eastAsia" w:ascii="宋体" w:hAnsi="宋体"/>
              </w:rPr>
            </w:pPr>
            <w:r>
              <w:rPr>
                <w:rFonts w:hint="eastAsia" w:ascii="宋体" w:hAnsi="宋体"/>
              </w:rPr>
              <w:t>10.质保期外出现故障时，中标供应商应按质保期内时效规定提供维修服务，以优惠价格收取材料费及人工费。中标供应商应保证有偿提供采购人10年的备品备件及易损件供应。</w:t>
            </w:r>
          </w:p>
          <w:p w14:paraId="0ECA1FB0">
            <w:pPr>
              <w:spacing w:line="360" w:lineRule="exact"/>
              <w:ind w:firstLine="420" w:firstLineChars="200"/>
              <w:rPr>
                <w:rFonts w:hint="eastAsia" w:ascii="宋体" w:hAnsi="宋体"/>
              </w:rPr>
            </w:pPr>
            <w:r>
              <w:rPr>
                <w:rFonts w:hint="eastAsia" w:ascii="宋体" w:hAnsi="宋体"/>
              </w:rPr>
              <w:t>11.投标人或投标产品制造商针对项目提供有固定的维修服务点、能提供正常的技术、备品备件服务及产品数据升级。</w:t>
            </w:r>
          </w:p>
          <w:p w14:paraId="35D52891">
            <w:pPr>
              <w:spacing w:line="360" w:lineRule="exact"/>
              <w:ind w:firstLine="420" w:firstLineChars="200"/>
              <w:rPr>
                <w:rFonts w:ascii="宋体" w:hAnsi="宋体"/>
              </w:rPr>
            </w:pPr>
            <w:r>
              <w:rPr>
                <w:rFonts w:hint="eastAsia" w:ascii="宋体" w:hAnsi="宋体"/>
              </w:rPr>
              <w:t>12.在质保期内维修或更换缺陷部件的期限：中标供应商保证对装备维修随时响应，提供24小时售后服务电话，24小时售后服务电话如有变更，应至少在变更前15天以书面形式告知用户，并由用户书面确认。在质保期内，设备出现故障（非因操作不当造成），中标供应商接到采购人通知后，应在规定时间内到达现场修理，所需费用全部由中标供应商负担。规定时间为：中标供应商最近的售后服务点距离用户所在地500公里以内的，应保证在收到采购人缺陷通知后12小时内到达现场；中标供应商最近的售后服务点距离用户所在地500公里以外的（中国大陆地区），应保证在收到采购人缺陷通知后48小时内到达现场。如不能满足上述要求视为违约，单次赔偿金额为合同总价的0.5%（质保期内采购人有权从履约保证金中直接扣除），并由中标供应商承担因此造成的用户的经济损失。若出现重大故障，设备不能正常工作，质保期从设备修复后起重新计算。</w:t>
            </w:r>
          </w:p>
          <w:p w14:paraId="65110EAD">
            <w:pPr>
              <w:spacing w:line="360" w:lineRule="exact"/>
              <w:ind w:firstLine="420" w:firstLineChars="200"/>
              <w:rPr>
                <w:rFonts w:hint="eastAsia" w:ascii="宋体" w:hAnsi="宋体"/>
              </w:rPr>
            </w:pPr>
            <w:r>
              <w:rPr>
                <w:rFonts w:hint="eastAsia" w:ascii="宋体" w:hAnsi="宋体"/>
              </w:rPr>
              <w:t>13.质保期内，如中标供应商公司被兼并或收购，兼并或收购后的公司有责任继续对采购人履行服务。</w:t>
            </w:r>
          </w:p>
          <w:p w14:paraId="0947F955">
            <w:pPr>
              <w:spacing w:line="360" w:lineRule="exact"/>
              <w:ind w:firstLine="422" w:firstLineChars="200"/>
              <w:rPr>
                <w:rFonts w:hint="eastAsia" w:ascii="宋体" w:hAnsi="宋体"/>
                <w:b/>
                <w:bCs/>
              </w:rPr>
            </w:pPr>
            <w:r>
              <w:rPr>
                <w:rFonts w:hint="eastAsia" w:ascii="宋体" w:hAnsi="宋体"/>
                <w:b/>
                <w:bCs/>
              </w:rPr>
              <w:t>（二）车辆维护保养质量要求</w:t>
            </w:r>
          </w:p>
          <w:p w14:paraId="0FDE1D29">
            <w:pPr>
              <w:spacing w:line="360" w:lineRule="exact"/>
              <w:ind w:firstLine="420" w:firstLineChars="200"/>
              <w:rPr>
                <w:rFonts w:hint="eastAsia" w:ascii="宋体" w:hAnsi="宋体"/>
              </w:rPr>
            </w:pPr>
            <w:r>
              <w:rPr>
                <w:rFonts w:hint="eastAsia" w:ascii="宋体" w:hAnsi="宋体"/>
              </w:rPr>
              <w:t>1.车辆维修完成出厂执行国家规定的质量保证期制度，质量保证期内，车辆发现故障或损坏，中标供应商应负责及时送维修点进行维修。车辆按行业标准进行定期保养，保养项目包括但不限于更换机油（不低于厂家要求的标准）、滤清器、清洁空调系统、检查车辆系统（包括检查发动机、制动系统、灯光、轮胎、车身外观、燃油、车门和安全带以及悬挂系统等），如果发现任何异常情况，应及时进行修复或维护。</w:t>
            </w:r>
          </w:p>
          <w:p w14:paraId="6F751270">
            <w:pPr>
              <w:spacing w:line="360" w:lineRule="exact"/>
              <w:ind w:firstLine="420" w:firstLineChars="200"/>
              <w:rPr>
                <w:rFonts w:hint="eastAsia" w:ascii="宋体" w:hAnsi="宋体"/>
              </w:rPr>
            </w:pPr>
            <w:r>
              <w:rPr>
                <w:rFonts w:hint="eastAsia" w:ascii="宋体" w:hAnsi="宋体"/>
              </w:rPr>
              <w:t>2.维修更换所采用的零部件、配件、轮胎等材料必须符合国家颁布标准，不得使用假冒伪劣产品或以次充好，以旧代新。</w:t>
            </w:r>
          </w:p>
          <w:p w14:paraId="3455F595">
            <w:pPr>
              <w:spacing w:line="360" w:lineRule="exact"/>
              <w:ind w:firstLine="420" w:firstLineChars="200"/>
              <w:rPr>
                <w:rFonts w:hint="eastAsia" w:ascii="宋体" w:hAnsi="宋体"/>
              </w:rPr>
            </w:pPr>
            <w:r>
              <w:rPr>
                <w:rFonts w:hint="eastAsia" w:ascii="宋体" w:hAnsi="宋体"/>
              </w:rPr>
              <w:t>3.中标供应商设立车辆维修和保养服务专门联系人、联系电话，有专人提供从接车到送车出厂的全过程服务。</w:t>
            </w:r>
          </w:p>
          <w:p w14:paraId="283790D9">
            <w:pPr>
              <w:spacing w:line="360" w:lineRule="exact"/>
              <w:ind w:firstLine="420" w:firstLineChars="200"/>
              <w:rPr>
                <w:rFonts w:hint="eastAsia" w:ascii="宋体" w:hAnsi="宋体"/>
              </w:rPr>
            </w:pPr>
            <w:r>
              <w:rPr>
                <w:rFonts w:hint="eastAsia" w:ascii="宋体" w:hAnsi="宋体"/>
              </w:rPr>
              <w:t>4.中标供应商须提供特种车辆技术指导培训，以确保采购人的专业人员能够正确、安全地操作和维护特种车辆。中标供应商须根据特种车辆的类型和用途，确定培训内容，包括特种车辆的结构和原理、操作技巧、维护保养、故障排除等内容。中标供应商须提供培训教材，包括特种车辆的技术手册、操作指南、维修手册等，以供培训人员和学员使用。培训所需费用包含在投标报价中。</w:t>
            </w:r>
          </w:p>
          <w:p w14:paraId="6CE27656">
            <w:pPr>
              <w:spacing w:line="360" w:lineRule="exact"/>
              <w:ind w:firstLine="422" w:firstLineChars="200"/>
              <w:rPr>
                <w:rFonts w:hint="eastAsia" w:ascii="宋体" w:hAnsi="宋体"/>
                <w:b/>
                <w:bCs/>
              </w:rPr>
            </w:pPr>
            <w:r>
              <w:rPr>
                <w:rFonts w:hint="eastAsia" w:ascii="宋体" w:hAnsi="宋体"/>
                <w:b/>
                <w:bCs/>
              </w:rPr>
              <w:t>（三）技术服务支持</w:t>
            </w:r>
          </w:p>
          <w:p w14:paraId="5D96220F">
            <w:pPr>
              <w:spacing w:line="360" w:lineRule="exact"/>
              <w:ind w:firstLine="420" w:firstLineChars="200"/>
              <w:rPr>
                <w:rFonts w:hint="eastAsia" w:ascii="宋体" w:hAnsi="宋体"/>
              </w:rPr>
            </w:pPr>
            <w:r>
              <w:rPr>
                <w:rFonts w:hint="eastAsia" w:ascii="宋体" w:hAnsi="宋体"/>
              </w:rPr>
              <w:t>1.根据采购人需求，进行软件和硬件的升级和更新，以保持设备的最佳性能。为采购人的单位员工提供设备或系统使用的培训和技术支持，以便这些人员能够有效对设备或系统应用的使用。</w:t>
            </w:r>
          </w:p>
          <w:p w14:paraId="02B1F239">
            <w:pPr>
              <w:spacing w:line="360" w:lineRule="exact"/>
              <w:ind w:firstLine="420" w:firstLineChars="200"/>
              <w:rPr>
                <w:rFonts w:hint="eastAsia" w:ascii="宋体" w:hAnsi="宋体"/>
              </w:rPr>
            </w:pPr>
            <w:r>
              <w:rPr>
                <w:rFonts w:hint="eastAsia" w:ascii="宋体" w:hAnsi="宋体"/>
              </w:rPr>
              <w:t>2.技术保障服务</w:t>
            </w:r>
          </w:p>
          <w:p w14:paraId="3ABC5030">
            <w:pPr>
              <w:spacing w:line="360" w:lineRule="exact"/>
              <w:ind w:firstLine="420" w:firstLineChars="200"/>
              <w:rPr>
                <w:rFonts w:hint="eastAsia" w:ascii="宋体" w:hAnsi="宋体"/>
              </w:rPr>
            </w:pPr>
            <w:r>
              <w:rPr>
                <w:rFonts w:hint="eastAsia" w:ascii="宋体" w:hAnsi="宋体"/>
              </w:rPr>
              <w:t>定期巡检及时掌握设备或系统在使用过程中的各种情况，发现问题及时排除，在故障响应时间内检查采购人反映的问题，并按时维修或者提供备品备件排除故障，保证设备或系统正常运行、正常使用。</w:t>
            </w:r>
          </w:p>
          <w:p w14:paraId="4306CF80">
            <w:pPr>
              <w:spacing w:line="360" w:lineRule="exact"/>
              <w:ind w:firstLine="420" w:firstLineChars="200"/>
              <w:rPr>
                <w:rFonts w:hint="eastAsia" w:ascii="宋体" w:hAnsi="宋体"/>
              </w:rPr>
            </w:pPr>
            <w:r>
              <w:rPr>
                <w:rFonts w:hint="eastAsia" w:ascii="宋体" w:hAnsi="宋体"/>
              </w:rPr>
              <w:t>3.技术培训服务</w:t>
            </w:r>
          </w:p>
          <w:p w14:paraId="12DB52F8">
            <w:pPr>
              <w:spacing w:line="360" w:lineRule="exact"/>
              <w:ind w:firstLine="420" w:firstLineChars="200"/>
              <w:rPr>
                <w:rFonts w:hint="eastAsia"/>
              </w:rPr>
            </w:pPr>
            <w:r>
              <w:rPr>
                <w:rFonts w:hint="eastAsia" w:ascii="宋体" w:hAnsi="宋体"/>
              </w:rPr>
              <w:t>为采购人相关人员提供专业的技术培训服务，在质保期内每年不少于1次培训，根据实际需求，</w:t>
            </w:r>
            <w:r>
              <w:rPr>
                <w:rFonts w:hint="eastAsia"/>
              </w:rPr>
              <w:t>提供线下集中培训，线下培训地点由采购人安排。</w:t>
            </w:r>
          </w:p>
          <w:p w14:paraId="2F0C054F">
            <w:pPr>
              <w:spacing w:line="360" w:lineRule="exact"/>
              <w:ind w:firstLine="420" w:firstLineChars="200"/>
              <w:rPr>
                <w:rFonts w:hint="eastAsia" w:ascii="宋体" w:hAnsi="宋体"/>
              </w:rPr>
            </w:pPr>
            <w:r>
              <w:rPr>
                <w:rFonts w:hint="eastAsia" w:ascii="宋体" w:hAnsi="宋体"/>
              </w:rPr>
              <w:t>培训服务包含以下内容：</w:t>
            </w:r>
          </w:p>
          <w:p w14:paraId="60408783">
            <w:pPr>
              <w:spacing w:line="360" w:lineRule="exact"/>
              <w:ind w:firstLine="420" w:firstLineChars="200"/>
              <w:rPr>
                <w:rFonts w:hint="eastAsia" w:ascii="宋体" w:hAnsi="宋体"/>
              </w:rPr>
            </w:pPr>
            <w:r>
              <w:rPr>
                <w:rFonts w:hint="eastAsia" w:ascii="宋体" w:hAnsi="宋体"/>
              </w:rPr>
              <w:t>（1）基础操作培训：涵盖系统的基本操作、功能使用等。</w:t>
            </w:r>
          </w:p>
          <w:p w14:paraId="301B4D14">
            <w:pPr>
              <w:spacing w:line="360" w:lineRule="exact"/>
              <w:ind w:firstLine="420" w:firstLineChars="200"/>
              <w:rPr>
                <w:rFonts w:hint="eastAsia" w:ascii="宋体" w:hAnsi="宋体"/>
              </w:rPr>
            </w:pPr>
            <w:r>
              <w:rPr>
                <w:rFonts w:hint="eastAsia" w:ascii="宋体" w:hAnsi="宋体"/>
              </w:rPr>
              <w:t>（2）高级功能培训：针对特定的高级功能或模块进行深入培训。</w:t>
            </w:r>
          </w:p>
          <w:p w14:paraId="65FB0F61">
            <w:pPr>
              <w:spacing w:line="360" w:lineRule="exact"/>
              <w:ind w:firstLine="420" w:firstLineChars="200"/>
              <w:rPr>
                <w:rFonts w:hint="eastAsia" w:ascii="宋体" w:hAnsi="宋体"/>
              </w:rPr>
            </w:pPr>
            <w:r>
              <w:rPr>
                <w:rFonts w:hint="eastAsia" w:ascii="宋体" w:hAnsi="宋体"/>
              </w:rPr>
              <w:t>（3）系统管理与维护：针对系统维护、故障排除等系统管理培训。</w:t>
            </w:r>
          </w:p>
          <w:p w14:paraId="3B716402">
            <w:pPr>
              <w:spacing w:line="360" w:lineRule="exact"/>
              <w:ind w:firstLine="420" w:firstLineChars="200"/>
              <w:rPr>
                <w:rFonts w:hint="eastAsia" w:ascii="宋体" w:hAnsi="宋体"/>
              </w:rPr>
            </w:pPr>
            <w:r>
              <w:rPr>
                <w:rFonts w:hint="eastAsia" w:ascii="宋体" w:hAnsi="宋体"/>
              </w:rPr>
              <w:t>（4）制作下发详细的培训教材，培训课件，培训视频等。</w:t>
            </w:r>
          </w:p>
          <w:p w14:paraId="2BE050F1">
            <w:pPr>
              <w:spacing w:line="360" w:lineRule="exact"/>
              <w:ind w:firstLine="420" w:firstLineChars="200"/>
              <w:rPr>
                <w:rFonts w:hint="eastAsia" w:ascii="宋体" w:hAnsi="宋体"/>
              </w:rPr>
            </w:pPr>
            <w:r>
              <w:rPr>
                <w:rFonts w:hint="eastAsia" w:ascii="宋体" w:hAnsi="宋体"/>
              </w:rPr>
              <w:t>（5）提供后续培训服务，根据设备功能升级的调整、应用系统的升级、应用人员的变化，应用人员的能力提高等需求情况，根据特殊需求，提供针对性培训，培训方式为集中专题培训。</w:t>
            </w:r>
          </w:p>
          <w:p w14:paraId="20AB154D">
            <w:pPr>
              <w:spacing w:line="360" w:lineRule="exact"/>
              <w:ind w:firstLine="420" w:firstLineChars="200"/>
              <w:rPr>
                <w:rFonts w:hint="eastAsia" w:ascii="宋体" w:hAnsi="宋体"/>
              </w:rPr>
            </w:pPr>
            <w:r>
              <w:rPr>
                <w:rFonts w:hint="eastAsia" w:ascii="宋体" w:hAnsi="宋体"/>
              </w:rPr>
              <w:t>4.应急演练技术支撑服务</w:t>
            </w:r>
          </w:p>
          <w:p w14:paraId="79D0787E">
            <w:pPr>
              <w:spacing w:line="360" w:lineRule="exact"/>
              <w:ind w:firstLine="420" w:firstLineChars="200"/>
              <w:rPr>
                <w:rFonts w:hint="eastAsia" w:ascii="宋体" w:hAnsi="宋体"/>
              </w:rPr>
            </w:pPr>
            <w:r>
              <w:rPr>
                <w:rFonts w:hint="eastAsia" w:ascii="宋体" w:hAnsi="宋体"/>
              </w:rPr>
              <w:t>根据应急部门应急演练需要，提供应急演练技术支撑服务，包括但不限于通过模拟实际场景，测试团队成员间的沟通、协作与流程执行效率。</w:t>
            </w:r>
          </w:p>
          <w:p w14:paraId="6C10B9F1">
            <w:pPr>
              <w:spacing w:line="360" w:lineRule="exact"/>
              <w:ind w:firstLine="420" w:firstLineChars="200"/>
              <w:rPr>
                <w:rFonts w:hint="eastAsia" w:ascii="宋体" w:hAnsi="宋体"/>
              </w:rPr>
            </w:pPr>
            <w:r>
              <w:rPr>
                <w:rFonts w:hint="eastAsia" w:ascii="宋体" w:hAnsi="宋体"/>
              </w:rPr>
              <w:t>5.应急现场技术支撑服务</w:t>
            </w:r>
          </w:p>
          <w:p w14:paraId="6F8D67A8">
            <w:pPr>
              <w:spacing w:line="360" w:lineRule="exact"/>
              <w:ind w:firstLine="420" w:firstLineChars="200"/>
              <w:rPr>
                <w:rFonts w:hint="eastAsia" w:ascii="宋体" w:hAnsi="宋体"/>
              </w:rPr>
            </w:pPr>
            <w:r>
              <w:rPr>
                <w:rFonts w:hint="eastAsia" w:ascii="宋体" w:hAnsi="宋体"/>
              </w:rPr>
              <w:t>设立专门的售后服务团队提供服务支持，提供现场技术支撑服务，确保用户能够及时获得帮助和解决问题。</w:t>
            </w:r>
          </w:p>
          <w:p w14:paraId="47302434">
            <w:pPr>
              <w:spacing w:line="360" w:lineRule="exact"/>
              <w:ind w:firstLine="420" w:firstLineChars="200"/>
              <w:rPr>
                <w:rFonts w:hint="eastAsia" w:ascii="宋体" w:hAnsi="宋体"/>
              </w:rPr>
            </w:pPr>
            <w:r>
              <w:rPr>
                <w:rFonts w:hint="eastAsia" w:ascii="宋体" w:hAnsi="宋体"/>
              </w:rPr>
              <w:t>（1）技术咨询：解答采购人在使用产品或解决方案过程中遇到的技术问题。</w:t>
            </w:r>
          </w:p>
          <w:p w14:paraId="1A61744F">
            <w:pPr>
              <w:spacing w:line="360" w:lineRule="exact"/>
              <w:ind w:firstLine="420" w:firstLineChars="200"/>
              <w:rPr>
                <w:rFonts w:hint="eastAsia" w:ascii="宋体" w:hAnsi="宋体"/>
              </w:rPr>
            </w:pPr>
            <w:r>
              <w:rPr>
                <w:rFonts w:hint="eastAsia" w:ascii="宋体" w:hAnsi="宋体"/>
              </w:rPr>
              <w:t>（2）方案定制：根据采购人的具体需求，提供个性化的解决方案。</w:t>
            </w:r>
          </w:p>
          <w:p w14:paraId="5423109E">
            <w:pPr>
              <w:spacing w:line="360" w:lineRule="exact"/>
              <w:ind w:firstLine="420" w:firstLineChars="200"/>
              <w:rPr>
                <w:rFonts w:hint="eastAsia" w:ascii="宋体" w:hAnsi="宋体"/>
              </w:rPr>
            </w:pPr>
            <w:r>
              <w:rPr>
                <w:rFonts w:hint="eastAsia" w:ascii="宋体" w:hAnsi="宋体"/>
              </w:rPr>
              <w:t>（3）技术支持：在采购人遇到技术难题时，提供远程或现场的技术支持。</w:t>
            </w:r>
          </w:p>
          <w:p w14:paraId="6A803734">
            <w:pPr>
              <w:spacing w:line="360" w:lineRule="exact"/>
              <w:ind w:firstLine="420" w:firstLineChars="200"/>
              <w:rPr>
                <w:rFonts w:hint="eastAsia" w:ascii="宋体" w:hAnsi="宋体"/>
              </w:rPr>
            </w:pPr>
            <w:r>
              <w:rPr>
                <w:rFonts w:hint="eastAsia" w:ascii="宋体" w:hAnsi="宋体"/>
              </w:rPr>
              <w:t>（4）应急响应：接故障通知后，在规定时间内对故障进行及时处理，如不能在规定时间内解决，应提供应急预案及备用产品，以保证采购人应急使用。</w:t>
            </w:r>
          </w:p>
        </w:tc>
      </w:tr>
      <w:tr w14:paraId="1EDBC3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45" w:type="pct"/>
            <w:gridSpan w:val="3"/>
            <w:tcBorders>
              <w:top w:val="single" w:color="auto" w:sz="4" w:space="0"/>
              <w:left w:val="single" w:color="auto" w:sz="4" w:space="0"/>
              <w:bottom w:val="single" w:color="auto" w:sz="4" w:space="0"/>
              <w:right w:val="single" w:color="auto" w:sz="4" w:space="0"/>
            </w:tcBorders>
            <w:noWrap w:val="0"/>
            <w:vAlign w:val="center"/>
          </w:tcPr>
          <w:p w14:paraId="3C60EDFA">
            <w:pPr>
              <w:spacing w:line="360" w:lineRule="exact"/>
              <w:rPr>
                <w:rFonts w:hint="eastAsia" w:ascii="宋体" w:hAnsi="宋体"/>
                <w:szCs w:val="21"/>
              </w:rPr>
            </w:pPr>
            <w:r>
              <w:rPr>
                <w:rFonts w:hint="eastAsia" w:ascii="宋体" w:hAnsi="宋体"/>
                <w:szCs w:val="21"/>
              </w:rPr>
              <w:t>付款方式</w:t>
            </w:r>
          </w:p>
        </w:tc>
        <w:tc>
          <w:tcPr>
            <w:tcW w:w="4254" w:type="pct"/>
            <w:gridSpan w:val="5"/>
            <w:tcBorders>
              <w:top w:val="single" w:color="auto" w:sz="4" w:space="0"/>
              <w:left w:val="nil"/>
              <w:bottom w:val="single" w:color="auto" w:sz="4" w:space="0"/>
              <w:right w:val="single" w:color="auto" w:sz="4" w:space="0"/>
            </w:tcBorders>
            <w:noWrap w:val="0"/>
            <w:vAlign w:val="center"/>
          </w:tcPr>
          <w:p w14:paraId="0281FE72">
            <w:pPr>
              <w:spacing w:line="360" w:lineRule="exact"/>
              <w:ind w:firstLine="420" w:firstLineChars="200"/>
              <w:rPr>
                <w:rFonts w:hint="eastAsia" w:ascii="宋体" w:hAnsi="宋体"/>
                <w:szCs w:val="21"/>
              </w:rPr>
            </w:pPr>
            <w:r>
              <w:rPr>
                <w:rFonts w:hint="eastAsia" w:ascii="宋体" w:hAnsi="宋体"/>
                <w:szCs w:val="21"/>
              </w:rPr>
              <w:t>签订合同后中标供应商提供预付款同等价款保函【必须为无条件保函，且为独立保函（见索即付），由银行出具】后10个工作日内采购人支付合同款的40%作为预付款，本分标所有货物交付并最终验收合格后10个工作日内采购人付完剩余合同款。</w:t>
            </w:r>
          </w:p>
        </w:tc>
      </w:tr>
      <w:tr w14:paraId="3B7E9B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45" w:type="pct"/>
            <w:gridSpan w:val="3"/>
            <w:tcBorders>
              <w:top w:val="single" w:color="auto" w:sz="4" w:space="0"/>
              <w:left w:val="single" w:color="auto" w:sz="4" w:space="0"/>
              <w:bottom w:val="single" w:color="auto" w:sz="4" w:space="0"/>
              <w:right w:val="single" w:color="auto" w:sz="4" w:space="0"/>
            </w:tcBorders>
            <w:noWrap w:val="0"/>
            <w:vAlign w:val="center"/>
          </w:tcPr>
          <w:p w14:paraId="40F21E6F">
            <w:pPr>
              <w:spacing w:line="360" w:lineRule="exact"/>
              <w:rPr>
                <w:rFonts w:hint="eastAsia" w:ascii="宋体" w:hAnsi="宋体"/>
                <w:szCs w:val="21"/>
              </w:rPr>
            </w:pPr>
            <w:r>
              <w:rPr>
                <w:rFonts w:hint="eastAsia" w:ascii="宋体" w:hAnsi="宋体"/>
                <w:szCs w:val="21"/>
              </w:rPr>
              <w:t>报价及要求</w:t>
            </w:r>
          </w:p>
        </w:tc>
        <w:tc>
          <w:tcPr>
            <w:tcW w:w="4254" w:type="pct"/>
            <w:gridSpan w:val="5"/>
            <w:tcBorders>
              <w:top w:val="single" w:color="auto" w:sz="4" w:space="0"/>
              <w:left w:val="nil"/>
              <w:bottom w:val="single" w:color="auto" w:sz="4" w:space="0"/>
              <w:right w:val="single" w:color="auto" w:sz="4" w:space="0"/>
            </w:tcBorders>
            <w:noWrap w:val="0"/>
            <w:vAlign w:val="center"/>
          </w:tcPr>
          <w:p w14:paraId="350AED6E">
            <w:pPr>
              <w:spacing w:line="360" w:lineRule="exact"/>
              <w:ind w:firstLine="420" w:firstLineChars="200"/>
              <w:rPr>
                <w:rFonts w:hint="eastAsia" w:ascii="宋体" w:hAnsi="宋体"/>
                <w:szCs w:val="21"/>
              </w:rPr>
            </w:pPr>
            <w:r>
              <w:rPr>
                <w:rFonts w:hint="eastAsia" w:ascii="宋体" w:hAnsi="宋体"/>
                <w:szCs w:val="21"/>
              </w:rPr>
              <w:t>1.投标人的投标报价为人民币含税价，总价包干且为采购人指定地点的现场交货价。投标报价包含货物及服务所需的一切费用总和，包括但不限于货物价格、标准附件、备品备件、专用工具、包装、运输、装卸、保管、验收、货物检验检测、培训、本项目招标文件要求的售后服务及技术服务要求、技术支持、人员服务、保险、招标代理服务费、税金等，以及车辆的首次交强险、首年车船税、购置税、上线检测费、牌证费，以及合同明示所有责任、义务和一般风险等，采购人不再支付任何费用。</w:t>
            </w:r>
          </w:p>
          <w:p w14:paraId="46E9233F">
            <w:pPr>
              <w:spacing w:line="360" w:lineRule="exact"/>
              <w:ind w:firstLine="420" w:firstLineChars="200"/>
              <w:rPr>
                <w:rFonts w:hint="eastAsia" w:ascii="宋体" w:hAnsi="宋体"/>
                <w:szCs w:val="21"/>
              </w:rPr>
            </w:pPr>
            <w:r>
              <w:rPr>
                <w:rFonts w:hint="eastAsia" w:ascii="宋体" w:hAnsi="宋体"/>
                <w:szCs w:val="21"/>
              </w:rPr>
              <w:t>2.包装和运输</w:t>
            </w:r>
          </w:p>
          <w:p w14:paraId="0B9A42C7">
            <w:pPr>
              <w:spacing w:line="360" w:lineRule="exact"/>
              <w:ind w:firstLine="420" w:firstLineChars="200"/>
              <w:rPr>
                <w:rFonts w:hint="eastAsia" w:ascii="宋体" w:hAnsi="宋体"/>
                <w:szCs w:val="21"/>
              </w:rPr>
            </w:pPr>
            <w:r>
              <w:rPr>
                <w:rFonts w:hint="eastAsia" w:ascii="宋体" w:hAnsi="宋体"/>
                <w:szCs w:val="21"/>
              </w:rPr>
              <w:t>（1）原厂原包装，包装完好、完整无破损、未开封。</w:t>
            </w:r>
          </w:p>
          <w:p w14:paraId="7B19B260">
            <w:pPr>
              <w:spacing w:line="360" w:lineRule="exact"/>
              <w:ind w:firstLine="420" w:firstLineChars="200"/>
              <w:rPr>
                <w:rFonts w:hint="eastAsia" w:ascii="宋体" w:hAnsi="宋体"/>
                <w:szCs w:val="21"/>
              </w:rPr>
            </w:pPr>
            <w:r>
              <w:rPr>
                <w:rFonts w:hint="eastAsia" w:ascii="宋体" w:hAnsi="宋体"/>
                <w:szCs w:val="21"/>
              </w:rPr>
              <w:t>（2）包装及运输方式应综合考虑运输距离、防潮、防震、防破损、装卸等要求。</w:t>
            </w:r>
          </w:p>
          <w:p w14:paraId="2CB517C2">
            <w:pPr>
              <w:spacing w:line="360" w:lineRule="exact"/>
              <w:ind w:firstLine="420" w:firstLineChars="200"/>
              <w:rPr>
                <w:rFonts w:hint="eastAsia" w:ascii="宋体" w:hAnsi="宋体"/>
                <w:szCs w:val="21"/>
              </w:rPr>
            </w:pPr>
            <w:r>
              <w:rPr>
                <w:rFonts w:hint="eastAsia" w:ascii="宋体" w:hAnsi="宋体"/>
                <w:szCs w:val="21"/>
              </w:rPr>
              <w:t>（3）国家对包装及运输有相关强制性标准或要求的，供应商应当执行。</w:t>
            </w:r>
          </w:p>
          <w:p w14:paraId="64A860A3">
            <w:pPr>
              <w:spacing w:line="360" w:lineRule="exact"/>
              <w:ind w:firstLine="420" w:firstLineChars="200"/>
              <w:rPr>
                <w:rFonts w:hint="eastAsia" w:ascii="宋体" w:hAnsi="宋体"/>
                <w:szCs w:val="21"/>
              </w:rPr>
            </w:pPr>
            <w:r>
              <w:rPr>
                <w:rFonts w:hint="eastAsia" w:ascii="宋体" w:hAnsi="宋体"/>
                <w:szCs w:val="21"/>
              </w:rPr>
              <w:t>（4）货物（含包装）运抵采购人指定交付地点前发生损坏的，相关损失由供应商自行承担。</w:t>
            </w:r>
          </w:p>
          <w:p w14:paraId="3A5BBBD2">
            <w:pPr>
              <w:spacing w:line="360" w:lineRule="exact"/>
              <w:ind w:firstLine="420" w:firstLineChars="200"/>
              <w:rPr>
                <w:rFonts w:hint="eastAsia" w:ascii="宋体" w:hAnsi="宋体"/>
                <w:szCs w:val="21"/>
              </w:rPr>
            </w:pPr>
            <w:r>
              <w:rPr>
                <w:rFonts w:hint="eastAsia" w:ascii="宋体" w:hAnsi="宋体"/>
                <w:szCs w:val="21"/>
              </w:rPr>
              <w:t>3.保险。若供应商为本项目标的及标的涉及的相关材料、货物、人员、运输等购买保险的，相关费用由供应商自行承担。</w:t>
            </w:r>
          </w:p>
        </w:tc>
      </w:tr>
      <w:tr w14:paraId="2C87AB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45" w:type="pct"/>
            <w:gridSpan w:val="3"/>
            <w:tcBorders>
              <w:top w:val="single" w:color="auto" w:sz="4" w:space="0"/>
              <w:left w:val="single" w:color="auto" w:sz="4" w:space="0"/>
              <w:bottom w:val="single" w:color="auto" w:sz="4" w:space="0"/>
              <w:right w:val="single" w:color="auto" w:sz="4" w:space="0"/>
            </w:tcBorders>
            <w:noWrap w:val="0"/>
            <w:vAlign w:val="center"/>
          </w:tcPr>
          <w:p w14:paraId="300EA997">
            <w:pPr>
              <w:spacing w:line="360" w:lineRule="exact"/>
              <w:rPr>
                <w:rFonts w:hint="eastAsia" w:ascii="宋体" w:hAnsi="宋体"/>
                <w:szCs w:val="21"/>
              </w:rPr>
            </w:pPr>
            <w:r>
              <w:rPr>
                <w:rFonts w:hint="eastAsia" w:ascii="宋体" w:hAnsi="宋体"/>
                <w:szCs w:val="21"/>
              </w:rPr>
              <w:t>知识产权</w:t>
            </w:r>
          </w:p>
        </w:tc>
        <w:tc>
          <w:tcPr>
            <w:tcW w:w="4254" w:type="pct"/>
            <w:gridSpan w:val="5"/>
            <w:tcBorders>
              <w:top w:val="single" w:color="auto" w:sz="4" w:space="0"/>
              <w:left w:val="nil"/>
              <w:bottom w:val="single" w:color="auto" w:sz="4" w:space="0"/>
              <w:right w:val="single" w:color="auto" w:sz="4" w:space="0"/>
            </w:tcBorders>
            <w:noWrap w:val="0"/>
            <w:vAlign w:val="center"/>
          </w:tcPr>
          <w:p w14:paraId="7EC18F62">
            <w:pPr>
              <w:spacing w:line="360" w:lineRule="exact"/>
              <w:ind w:right="-57" w:rightChars="-27" w:firstLine="420" w:firstLineChars="200"/>
              <w:jc w:val="left"/>
              <w:rPr>
                <w:rFonts w:hint="eastAsia" w:ascii="宋体" w:hAnsi="宋体"/>
                <w:szCs w:val="21"/>
              </w:rPr>
            </w:pPr>
            <w:r>
              <w:rPr>
                <w:rFonts w:hint="eastAsia" w:ascii="宋体" w:hAnsi="宋体"/>
                <w:szCs w:val="21"/>
              </w:rPr>
              <w:t>中标供应商保证所提供的货物及服务涉及到的知识产权和相关技术资料是合法取得的，采购人在使用货物及服务时不会侵犯任何第三方的专利权、商标权、工业设计权或其他权利，不会因为采购人的使用遭受第三方侵权指控，包括被责令致歉、停止使用、追偿或要求赔偿损失等，如果第三方提出侵权指控，中标供应商承担由此而引起的一切法律责任和费用；中标供应商负责解决由此引起的一切纠纷，采购人有权追究中标供应商的法律责任，其不利后果由中标供应商全部承担。</w:t>
            </w:r>
          </w:p>
        </w:tc>
      </w:tr>
      <w:tr w14:paraId="35BA73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45" w:type="pct"/>
            <w:gridSpan w:val="3"/>
            <w:tcBorders>
              <w:top w:val="single" w:color="auto" w:sz="4" w:space="0"/>
              <w:left w:val="single" w:color="auto" w:sz="4" w:space="0"/>
              <w:bottom w:val="single" w:color="auto" w:sz="4" w:space="0"/>
              <w:right w:val="single" w:color="auto" w:sz="4" w:space="0"/>
            </w:tcBorders>
            <w:noWrap w:val="0"/>
            <w:vAlign w:val="center"/>
          </w:tcPr>
          <w:p w14:paraId="78D19F12">
            <w:pPr>
              <w:snapToGrid w:val="0"/>
              <w:spacing w:line="360" w:lineRule="exact"/>
              <w:rPr>
                <w:rFonts w:hint="eastAsia" w:ascii="宋体" w:hAnsi="宋体"/>
                <w:szCs w:val="21"/>
              </w:rPr>
            </w:pPr>
            <w:r>
              <w:rPr>
                <w:rFonts w:hint="eastAsia" w:ascii="宋体" w:hAnsi="宋体"/>
                <w:szCs w:val="21"/>
              </w:rPr>
              <w:t>验收要求</w:t>
            </w:r>
          </w:p>
        </w:tc>
        <w:tc>
          <w:tcPr>
            <w:tcW w:w="4254" w:type="pct"/>
            <w:gridSpan w:val="5"/>
            <w:tcBorders>
              <w:top w:val="single" w:color="auto" w:sz="4" w:space="0"/>
              <w:left w:val="nil"/>
              <w:bottom w:val="single" w:color="auto" w:sz="4" w:space="0"/>
              <w:right w:val="single" w:color="auto" w:sz="4" w:space="0"/>
            </w:tcBorders>
            <w:noWrap w:val="0"/>
            <w:vAlign w:val="center"/>
          </w:tcPr>
          <w:p w14:paraId="6A98680B">
            <w:pPr>
              <w:snapToGrid w:val="0"/>
              <w:spacing w:line="360" w:lineRule="exact"/>
              <w:ind w:firstLine="420" w:firstLineChars="200"/>
              <w:outlineLvl w:val="0"/>
              <w:rPr>
                <w:rFonts w:hint="eastAsia" w:ascii="宋体" w:hAnsi="宋体"/>
                <w:kern w:val="0"/>
                <w:szCs w:val="21"/>
              </w:rPr>
            </w:pPr>
            <w:r>
              <w:rPr>
                <w:rFonts w:hint="eastAsia" w:ascii="宋体" w:hAnsi="宋体"/>
                <w:kern w:val="0"/>
                <w:szCs w:val="21"/>
              </w:rPr>
              <w:t>1.采购人可以根据采购项目具体情况自行组织验收，或者委托第三方机构或部门开展采购项目履约验收工作，验收过程中所产生的费用均由中标供应商承担，投标人在投标报价时应考虑相关费用。</w:t>
            </w:r>
          </w:p>
          <w:p w14:paraId="0C2037B0">
            <w:pPr>
              <w:snapToGrid w:val="0"/>
              <w:spacing w:line="360" w:lineRule="exact"/>
              <w:ind w:firstLine="420" w:firstLineChars="200"/>
              <w:outlineLvl w:val="0"/>
              <w:rPr>
                <w:rFonts w:hint="eastAsia" w:ascii="宋体" w:hAnsi="宋体"/>
                <w:kern w:val="0"/>
                <w:szCs w:val="21"/>
              </w:rPr>
            </w:pPr>
            <w:r>
              <w:rPr>
                <w:rFonts w:hint="eastAsia" w:ascii="宋体" w:hAnsi="宋体"/>
                <w:kern w:val="0"/>
                <w:szCs w:val="21"/>
              </w:rPr>
              <w:t>2.在验收过程中发现中标供应商有违约问题，可暂缓资金结算，待违约问题解决后，方可办理资金结算事宜。</w:t>
            </w:r>
          </w:p>
          <w:p w14:paraId="59DB5D32">
            <w:pPr>
              <w:snapToGrid w:val="0"/>
              <w:spacing w:line="360" w:lineRule="exact"/>
              <w:ind w:firstLine="420" w:firstLineChars="200"/>
              <w:outlineLvl w:val="0"/>
              <w:rPr>
                <w:rFonts w:hint="eastAsia" w:ascii="宋体" w:hAnsi="宋体"/>
                <w:kern w:val="0"/>
                <w:szCs w:val="21"/>
              </w:rPr>
            </w:pPr>
            <w:r>
              <w:rPr>
                <w:rFonts w:hint="eastAsia" w:ascii="宋体" w:hAnsi="宋体"/>
                <w:kern w:val="0"/>
                <w:szCs w:val="21"/>
              </w:rPr>
              <w:t>3.验收依据：按合同（含本招标文件采购需求、中标供应商投标文件承诺）要求及国家标准进行验收。</w:t>
            </w:r>
          </w:p>
          <w:p w14:paraId="49E739B8">
            <w:pPr>
              <w:snapToGrid w:val="0"/>
              <w:spacing w:line="360" w:lineRule="exact"/>
              <w:ind w:firstLine="420" w:firstLineChars="200"/>
              <w:outlineLvl w:val="0"/>
              <w:rPr>
                <w:rFonts w:hint="eastAsia" w:ascii="宋体" w:hAnsi="宋体"/>
                <w:kern w:val="0"/>
                <w:szCs w:val="21"/>
              </w:rPr>
            </w:pPr>
            <w:r>
              <w:rPr>
                <w:rFonts w:hint="eastAsia" w:ascii="宋体" w:hAnsi="宋体"/>
                <w:kern w:val="0"/>
                <w:szCs w:val="21"/>
              </w:rPr>
              <w:t>4.验收程序及要求</w:t>
            </w:r>
          </w:p>
          <w:p w14:paraId="3F5A3DEB">
            <w:pPr>
              <w:snapToGrid w:val="0"/>
              <w:spacing w:line="360" w:lineRule="exact"/>
              <w:ind w:firstLine="420" w:firstLineChars="200"/>
              <w:outlineLvl w:val="0"/>
              <w:rPr>
                <w:rFonts w:hint="eastAsia" w:ascii="宋体" w:hAnsi="宋体"/>
                <w:kern w:val="0"/>
                <w:szCs w:val="21"/>
              </w:rPr>
            </w:pPr>
            <w:r>
              <w:rPr>
                <w:rFonts w:hint="eastAsia" w:ascii="宋体" w:hAnsi="宋体"/>
                <w:kern w:val="0"/>
                <w:szCs w:val="21"/>
              </w:rPr>
              <w:t>4.1验收程序</w:t>
            </w:r>
          </w:p>
          <w:p w14:paraId="1D938373">
            <w:pPr>
              <w:snapToGrid w:val="0"/>
              <w:spacing w:line="360" w:lineRule="exact"/>
              <w:ind w:firstLine="420" w:firstLineChars="200"/>
              <w:outlineLvl w:val="0"/>
              <w:rPr>
                <w:rFonts w:hint="eastAsia" w:ascii="宋体" w:hAnsi="宋体"/>
                <w:kern w:val="0"/>
                <w:szCs w:val="21"/>
              </w:rPr>
            </w:pPr>
            <w:r>
              <w:rPr>
                <w:rFonts w:hint="eastAsia" w:ascii="宋体" w:hAnsi="宋体"/>
                <w:kern w:val="0"/>
                <w:szCs w:val="21"/>
              </w:rPr>
              <w:t>（1）中标供应商按时间节点完成货物供货后，应及时整理技术资料并作出全面检查和整理，列出清单（包括但不限于招标文件采购需求及采购合同约定的附件、工具、技术资料、货物使用说明书、合格证等），作为采购人验收和使用的技术条件依据，清单应交给采购人；同时以书面形式通知采购人进行验收，采购人在收到通知后五个工作日内进行验收。货物生产厂家须派授权代表参加本项目交货验收，核实所交货物的真伪；中标供应商必须到场配合。</w:t>
            </w:r>
          </w:p>
          <w:p w14:paraId="709C908C">
            <w:pPr>
              <w:snapToGrid w:val="0"/>
              <w:spacing w:line="360" w:lineRule="exact"/>
              <w:ind w:firstLine="420" w:firstLineChars="200"/>
              <w:outlineLvl w:val="0"/>
              <w:rPr>
                <w:rFonts w:hint="eastAsia" w:ascii="宋体" w:hAnsi="宋体"/>
                <w:kern w:val="0"/>
                <w:szCs w:val="21"/>
              </w:rPr>
            </w:pPr>
            <w:r>
              <w:rPr>
                <w:rFonts w:hint="eastAsia" w:ascii="宋体" w:hAnsi="宋体"/>
                <w:kern w:val="0"/>
                <w:szCs w:val="21"/>
              </w:rPr>
              <w:t>（2）中标供应商按采购人需求清单进行供货，货物交到指定地点后，双方现场进行货品清点。</w:t>
            </w:r>
          </w:p>
          <w:p w14:paraId="73CF8466">
            <w:pPr>
              <w:snapToGrid w:val="0"/>
              <w:spacing w:line="360" w:lineRule="exact"/>
              <w:ind w:firstLine="420" w:firstLineChars="200"/>
              <w:outlineLvl w:val="0"/>
              <w:rPr>
                <w:rFonts w:hint="eastAsia" w:ascii="宋体" w:hAnsi="宋体"/>
                <w:kern w:val="0"/>
                <w:szCs w:val="21"/>
              </w:rPr>
            </w:pPr>
            <w:r>
              <w:rPr>
                <w:rFonts w:hint="eastAsia" w:ascii="宋体" w:hAnsi="宋体"/>
                <w:kern w:val="0"/>
                <w:szCs w:val="21"/>
              </w:rPr>
              <w:t>（3）验收小组依据招标文件技术参数条款要求和中标供应商投标响应文件内容，以及对所有需要进行核查的原件等逐条进行验收。供应商必须按投标文件和合同约定的品牌、规格供货，采购人在货物验收环节发现货物的技术参数指标不符合投标文件中技术参数响应的内容，验收不合格时，中标供应商必须在采购人指定的时间内无条件更换，由此造成的损失和责任由供应商承担；如二次验收仍不合格的，采购人有权拒收货物并单方面终止合同和追究中标供应商违约责任，中标供应商须赔偿由此给采购人造成的经济等方面损失，并视情形将违约情况上报政府采购监督管理部门，由此带来的一切责任由中标供应商自行承担。</w:t>
            </w:r>
          </w:p>
          <w:p w14:paraId="73E9A52E">
            <w:pPr>
              <w:snapToGrid w:val="0"/>
              <w:spacing w:line="360" w:lineRule="exact"/>
              <w:ind w:firstLine="420" w:firstLineChars="200"/>
              <w:outlineLvl w:val="0"/>
              <w:rPr>
                <w:rFonts w:hint="eastAsia" w:ascii="宋体" w:hAnsi="宋体"/>
                <w:kern w:val="0"/>
                <w:szCs w:val="21"/>
              </w:rPr>
            </w:pPr>
            <w:r>
              <w:rPr>
                <w:rFonts w:hint="eastAsia" w:ascii="宋体" w:hAnsi="宋体"/>
                <w:kern w:val="0"/>
                <w:szCs w:val="21"/>
              </w:rPr>
              <w:t>（4）货物交付并验收合格，双方签署验收单，作为合同款结算依据。如出现停产等问题，供应商在获得厂家说明和承诺的前提下，经采购人同意可以用质量更优于合同约定的货物进行替代交付，价格不变。如采购人不同意更换的，供应商应同意采购人扣减对应货物的费用。</w:t>
            </w:r>
          </w:p>
          <w:p w14:paraId="017A7A2A">
            <w:pPr>
              <w:snapToGrid w:val="0"/>
              <w:spacing w:line="360" w:lineRule="exact"/>
              <w:ind w:firstLine="420" w:firstLineChars="200"/>
              <w:outlineLvl w:val="0"/>
              <w:rPr>
                <w:rFonts w:hint="eastAsia" w:ascii="宋体" w:hAnsi="宋体"/>
                <w:kern w:val="0"/>
                <w:szCs w:val="21"/>
              </w:rPr>
            </w:pPr>
            <w:r>
              <w:rPr>
                <w:rFonts w:hint="eastAsia" w:ascii="宋体" w:hAnsi="宋体"/>
                <w:kern w:val="0"/>
                <w:szCs w:val="21"/>
              </w:rPr>
              <w:t>4.2验收要求</w:t>
            </w:r>
          </w:p>
          <w:p w14:paraId="07BF5911">
            <w:pPr>
              <w:snapToGrid w:val="0"/>
              <w:spacing w:line="360" w:lineRule="exact"/>
              <w:ind w:firstLine="420" w:firstLineChars="200"/>
              <w:outlineLvl w:val="0"/>
              <w:rPr>
                <w:rFonts w:hint="eastAsia" w:ascii="宋体" w:hAnsi="宋体"/>
                <w:kern w:val="0"/>
                <w:szCs w:val="21"/>
              </w:rPr>
            </w:pPr>
            <w:r>
              <w:rPr>
                <w:rFonts w:hint="eastAsia" w:ascii="宋体" w:hAnsi="宋体"/>
                <w:kern w:val="0"/>
                <w:szCs w:val="21"/>
              </w:rPr>
              <w:t>（1）在任一单项验收环节，采购人、中标供应商、投标产品生产厂家（厂家的代表须持制造商法人授权委托书参加验收）以及采购人委托第三方机构代表（如委托验收）均应在场，交付的货物及相关资料、备品备件等符合验收标准的为单项验收合格，不符合验收标准的为单项验收不合格。验收结果由采购人或采购人委托的第三方机构出具验收结果报告或验收书，列明各项标准的验收情况，由采购人、中标供应商、投标产品生产厂家各方代表以及采购人委托第三方机构代表（如委托验收）共同签字确认并加盖采购人公章。验收结果报告或验收书一式三份，采购人、中标供应商双方各一份，采购人委托第三方机构（如委托验收）一份。验收结果报告或验收书经四方代表签字后即视为验收结果已通知采购人、中标供应商双方。如中标供应商或制造商对验收结果有异议的，应在验收现场以书面的形式出具说明，否则视为认可验收结果。单项验收不合格的，中标供应商应在不同验收阶段的当次验收后5个工作日内就不符合要求项以补充、更换、修理等采购人认可的方式进行整改并重新验收，未按时进行整改或整改后重新验收仍不合格的视为最终验收不合格，采购人不予支付货款，中标供应商须退回采购人所付的所有货款，并向采购人支付合同总金额30%的违约金，且赔偿采购人因此而造成的所有损失。</w:t>
            </w:r>
          </w:p>
          <w:p w14:paraId="0C3A230D">
            <w:pPr>
              <w:snapToGrid w:val="0"/>
              <w:spacing w:line="360" w:lineRule="exact"/>
              <w:ind w:firstLine="420" w:firstLineChars="200"/>
              <w:outlineLvl w:val="0"/>
              <w:rPr>
                <w:rFonts w:hint="eastAsia" w:ascii="宋体" w:hAnsi="宋体"/>
                <w:kern w:val="0"/>
                <w:szCs w:val="21"/>
              </w:rPr>
            </w:pPr>
            <w:r>
              <w:rPr>
                <w:rFonts w:hint="eastAsia" w:ascii="宋体" w:hAnsi="宋体"/>
                <w:kern w:val="0"/>
                <w:szCs w:val="21"/>
              </w:rPr>
              <w:t>（2）对技术复杂的货物，采购人可请国家认可的专业检测机构参与验收，并由其出具质量检测报告，检测费用由中标供应商承担。</w:t>
            </w:r>
          </w:p>
          <w:p w14:paraId="771FC0AD">
            <w:pPr>
              <w:snapToGrid w:val="0"/>
              <w:spacing w:line="360" w:lineRule="exact"/>
              <w:ind w:firstLine="420" w:firstLineChars="200"/>
              <w:outlineLvl w:val="0"/>
              <w:rPr>
                <w:rFonts w:hint="eastAsia" w:ascii="宋体" w:hAnsi="宋体"/>
                <w:kern w:val="0"/>
                <w:szCs w:val="21"/>
              </w:rPr>
            </w:pPr>
            <w:r>
              <w:rPr>
                <w:rFonts w:hint="eastAsia" w:ascii="宋体" w:hAnsi="宋体"/>
                <w:kern w:val="0"/>
                <w:szCs w:val="21"/>
              </w:rPr>
              <w:t>（3）货物损毁、灭失的风险，自货物最终验收合格之日起由采购人承担。</w:t>
            </w:r>
          </w:p>
          <w:p w14:paraId="4858873F">
            <w:pPr>
              <w:snapToGrid w:val="0"/>
              <w:spacing w:line="360" w:lineRule="exact"/>
              <w:ind w:firstLine="420" w:firstLineChars="200"/>
              <w:outlineLvl w:val="0"/>
              <w:rPr>
                <w:rFonts w:hint="eastAsia" w:ascii="宋体" w:hAnsi="宋体"/>
                <w:kern w:val="0"/>
                <w:szCs w:val="21"/>
              </w:rPr>
            </w:pPr>
            <w:r>
              <w:rPr>
                <w:rFonts w:hint="eastAsia" w:ascii="宋体" w:hAnsi="宋体"/>
                <w:kern w:val="0"/>
                <w:szCs w:val="21"/>
              </w:rPr>
              <w:t>（4）依据国家和行业有关法规、技术标准规定和设计文件要求，结合项目现场实际情况进行验收质量抽查工作，由采购人或采购人委托的第三方机构进行抽查，抽查的数量，应不少于设备采购数量的1/3，且须兼顾每类设备。抽查验收不合格的，由中标供应商在规定时间内进行整改。</w:t>
            </w:r>
          </w:p>
          <w:p w14:paraId="49337016">
            <w:pPr>
              <w:snapToGrid w:val="0"/>
              <w:spacing w:line="360" w:lineRule="exact"/>
              <w:ind w:firstLine="420" w:firstLineChars="200"/>
              <w:outlineLvl w:val="0"/>
              <w:rPr>
                <w:rFonts w:hint="eastAsia" w:ascii="宋体" w:hAnsi="宋体"/>
                <w:kern w:val="0"/>
                <w:szCs w:val="21"/>
              </w:rPr>
            </w:pPr>
            <w:r>
              <w:rPr>
                <w:rFonts w:hint="eastAsia" w:ascii="宋体" w:hAnsi="宋体"/>
                <w:kern w:val="0"/>
                <w:szCs w:val="21"/>
              </w:rPr>
              <w:t>（5）验收地点及验收期限：到货验收地点为货物交付地点，其他验收地点为货物使用或安装地点；各单项验收应在采购人收到中标供应商的书面验收申请后5个工作日内组织。中标供应商在提出验收申请时，应确保已具备验收条件。</w:t>
            </w:r>
          </w:p>
          <w:p w14:paraId="4D54623C">
            <w:pPr>
              <w:snapToGrid w:val="0"/>
              <w:spacing w:line="360" w:lineRule="exact"/>
              <w:ind w:firstLine="420" w:firstLineChars="200"/>
              <w:outlineLvl w:val="0"/>
              <w:rPr>
                <w:rFonts w:hint="eastAsia" w:ascii="宋体" w:hAnsi="宋体"/>
                <w:kern w:val="0"/>
                <w:szCs w:val="21"/>
              </w:rPr>
            </w:pPr>
            <w:r>
              <w:rPr>
                <w:rFonts w:hint="eastAsia" w:ascii="宋体" w:hAnsi="宋体"/>
                <w:kern w:val="0"/>
                <w:szCs w:val="21"/>
              </w:rPr>
              <w:t>5.验收标准：</w:t>
            </w:r>
          </w:p>
          <w:p w14:paraId="3AF5548A">
            <w:pPr>
              <w:snapToGrid w:val="0"/>
              <w:spacing w:line="360" w:lineRule="exact"/>
              <w:ind w:firstLine="420" w:firstLineChars="200"/>
              <w:outlineLvl w:val="0"/>
              <w:rPr>
                <w:rFonts w:hint="eastAsia" w:ascii="宋体" w:hAnsi="宋体"/>
                <w:kern w:val="0"/>
                <w:szCs w:val="21"/>
              </w:rPr>
            </w:pPr>
            <w:r>
              <w:rPr>
                <w:rFonts w:hint="eastAsia" w:ascii="宋体" w:hAnsi="宋体"/>
                <w:kern w:val="0"/>
                <w:szCs w:val="21"/>
              </w:rPr>
              <w:t>（1）按国家有关标准以及采购人招标文件的采购需求、中标供应商的投标文件响应及承诺与本合同约定进行验收。如果货物中有执行国家强制标准的，则验收标准不得低于国家强制标准。</w:t>
            </w:r>
          </w:p>
          <w:p w14:paraId="1FED099F">
            <w:pPr>
              <w:snapToGrid w:val="0"/>
              <w:spacing w:line="360" w:lineRule="exact"/>
              <w:ind w:firstLine="420" w:firstLineChars="200"/>
              <w:outlineLvl w:val="0"/>
              <w:rPr>
                <w:rFonts w:hint="eastAsia" w:ascii="宋体" w:hAnsi="宋体"/>
                <w:kern w:val="0"/>
                <w:szCs w:val="21"/>
              </w:rPr>
            </w:pPr>
            <w:r>
              <w:rPr>
                <w:rFonts w:hint="eastAsia" w:ascii="宋体" w:hAnsi="宋体"/>
                <w:kern w:val="0"/>
                <w:szCs w:val="21"/>
              </w:rPr>
              <w:t>（2）车辆规格性能均应符合或优于本项目招标文件的要求，</w:t>
            </w:r>
            <w:r>
              <w:rPr>
                <w:rFonts w:hint="eastAsia" w:ascii="宋体" w:hAnsi="宋体"/>
                <w:kern w:val="0"/>
                <w:sz w:val="20"/>
                <w:szCs w:val="21"/>
              </w:rPr>
              <w:t>货物</w:t>
            </w:r>
            <w:r>
              <w:rPr>
                <w:rFonts w:hint="eastAsia" w:ascii="宋体" w:hAnsi="宋体"/>
                <w:kern w:val="0"/>
                <w:szCs w:val="21"/>
              </w:rPr>
              <w:t>为新车，交货时车辆须带≥50升燃油。</w:t>
            </w:r>
          </w:p>
          <w:p w14:paraId="372943CF">
            <w:pPr>
              <w:snapToGrid w:val="0"/>
              <w:spacing w:line="360" w:lineRule="exact"/>
              <w:ind w:firstLine="420" w:firstLineChars="200"/>
              <w:outlineLvl w:val="0"/>
              <w:rPr>
                <w:rFonts w:hint="eastAsia" w:ascii="宋体" w:hAnsi="宋体"/>
                <w:kern w:val="0"/>
                <w:szCs w:val="21"/>
              </w:rPr>
            </w:pPr>
            <w:r>
              <w:rPr>
                <w:rFonts w:hint="eastAsia" w:ascii="宋体" w:hAnsi="宋体"/>
                <w:kern w:val="0"/>
                <w:szCs w:val="21"/>
              </w:rPr>
              <w:t>（3）提供厂家使用说明书及维修手册1套。</w:t>
            </w:r>
          </w:p>
          <w:p w14:paraId="03CC1460">
            <w:pPr>
              <w:snapToGrid w:val="0"/>
              <w:spacing w:line="360" w:lineRule="exact"/>
              <w:ind w:firstLine="420" w:firstLineChars="200"/>
              <w:outlineLvl w:val="0"/>
              <w:rPr>
                <w:rFonts w:hint="eastAsia" w:ascii="宋体" w:hAnsi="宋体"/>
                <w:kern w:val="0"/>
                <w:szCs w:val="21"/>
              </w:rPr>
            </w:pPr>
            <w:r>
              <w:rPr>
                <w:rFonts w:hint="eastAsia" w:ascii="宋体" w:hAnsi="宋体"/>
                <w:kern w:val="0"/>
                <w:szCs w:val="21"/>
              </w:rPr>
              <w:t>（4）出示厂家检验报告及合格证明。</w:t>
            </w:r>
          </w:p>
          <w:p w14:paraId="079B8DE1">
            <w:pPr>
              <w:snapToGrid w:val="0"/>
              <w:spacing w:line="360" w:lineRule="exact"/>
              <w:ind w:firstLine="420" w:firstLineChars="200"/>
              <w:outlineLvl w:val="0"/>
              <w:rPr>
                <w:rFonts w:hint="eastAsia" w:ascii="宋体" w:hAnsi="宋体"/>
                <w:kern w:val="0"/>
                <w:szCs w:val="21"/>
              </w:rPr>
            </w:pPr>
            <w:r>
              <w:rPr>
                <w:rFonts w:hint="eastAsia" w:ascii="宋体" w:hAnsi="宋体"/>
                <w:kern w:val="0"/>
                <w:szCs w:val="21"/>
              </w:rPr>
              <w:t>（5）外观上灯光和仪表应灵敏、完整、清晰、准确，整机涂漆光泽均匀、无油漆脱落锈蚀、碰伤，附属器具和配件齐全完整。</w:t>
            </w:r>
          </w:p>
          <w:p w14:paraId="29322A02">
            <w:pPr>
              <w:snapToGrid w:val="0"/>
              <w:spacing w:line="360" w:lineRule="exact"/>
              <w:ind w:firstLine="420" w:firstLineChars="200"/>
              <w:outlineLvl w:val="0"/>
              <w:rPr>
                <w:rFonts w:hint="eastAsia" w:ascii="宋体" w:hAnsi="宋体"/>
                <w:kern w:val="0"/>
                <w:szCs w:val="21"/>
              </w:rPr>
            </w:pPr>
            <w:r>
              <w:rPr>
                <w:rFonts w:hint="eastAsia" w:ascii="宋体" w:hAnsi="宋体"/>
                <w:kern w:val="0"/>
                <w:szCs w:val="21"/>
              </w:rPr>
              <w:t>（6）各部件性能可靠，无渗漏，无异响，转动灵活，制动良好。</w:t>
            </w:r>
          </w:p>
          <w:p w14:paraId="6F1ABAF5">
            <w:pPr>
              <w:snapToGrid w:val="0"/>
              <w:spacing w:line="360" w:lineRule="exact"/>
              <w:ind w:firstLine="420" w:firstLineChars="200"/>
              <w:outlineLvl w:val="0"/>
              <w:rPr>
                <w:rFonts w:hint="eastAsia" w:ascii="宋体" w:hAnsi="宋体"/>
                <w:kern w:val="0"/>
                <w:szCs w:val="21"/>
              </w:rPr>
            </w:pPr>
            <w:r>
              <w:rPr>
                <w:rFonts w:hint="eastAsia" w:ascii="宋体" w:hAnsi="宋体"/>
                <w:kern w:val="0"/>
                <w:szCs w:val="21"/>
              </w:rPr>
              <w:t>（7）现场验收</w:t>
            </w:r>
          </w:p>
          <w:p w14:paraId="45AD97F9">
            <w:pPr>
              <w:snapToGrid w:val="0"/>
              <w:spacing w:line="360" w:lineRule="exact"/>
              <w:ind w:firstLine="420" w:firstLineChars="200"/>
              <w:outlineLvl w:val="0"/>
              <w:rPr>
                <w:rFonts w:hint="eastAsia" w:ascii="宋体" w:hAnsi="宋体"/>
                <w:kern w:val="0"/>
                <w:szCs w:val="21"/>
              </w:rPr>
            </w:pPr>
            <w:r>
              <w:rPr>
                <w:rFonts w:hint="eastAsia" w:ascii="宋体" w:hAnsi="宋体"/>
                <w:kern w:val="0"/>
                <w:szCs w:val="21"/>
              </w:rPr>
              <w:fldChar w:fldCharType="begin"/>
            </w:r>
            <w:r>
              <w:rPr>
                <w:rFonts w:hint="eastAsia" w:ascii="宋体" w:hAnsi="宋体"/>
                <w:kern w:val="0"/>
                <w:szCs w:val="21"/>
              </w:rPr>
              <w:instrText xml:space="preserve"> = 1 \* GB3 </w:instrText>
            </w:r>
            <w:r>
              <w:rPr>
                <w:rFonts w:hint="eastAsia" w:ascii="宋体" w:hAnsi="宋体"/>
                <w:kern w:val="0"/>
                <w:szCs w:val="21"/>
              </w:rPr>
              <w:fldChar w:fldCharType="separate"/>
            </w:r>
            <w:r>
              <w:rPr>
                <w:rFonts w:hint="eastAsia" w:ascii="宋体" w:hAnsi="宋体"/>
                <w:kern w:val="0"/>
                <w:szCs w:val="21"/>
              </w:rPr>
              <w:t>①</w:t>
            </w:r>
            <w:r>
              <w:rPr>
                <w:rFonts w:hint="eastAsia" w:ascii="宋体" w:hAnsi="宋体"/>
                <w:kern w:val="0"/>
                <w:szCs w:val="21"/>
              </w:rPr>
              <w:fldChar w:fldCharType="end"/>
            </w:r>
            <w:r>
              <w:rPr>
                <w:rFonts w:hint="eastAsia" w:ascii="宋体" w:hAnsi="宋体"/>
                <w:kern w:val="0"/>
                <w:szCs w:val="21"/>
              </w:rPr>
              <w:t>依据产品供货清单共同对设备进行检查，并对产品的数量、品质（机械设备的外观颜色及状态、技术参数指标的核验、生产许可/出厂合格证、随机备品备件及工具、附属机具或配套设施、设备调试及试运行等方面的综合情况）进行逐项检查。验收时发现短缺、破损，采购人有权要求中标供应商立即补发和负责更换。</w:t>
            </w:r>
          </w:p>
          <w:p w14:paraId="25713B66">
            <w:pPr>
              <w:snapToGrid w:val="0"/>
              <w:spacing w:line="360" w:lineRule="exact"/>
              <w:ind w:firstLine="420" w:firstLineChars="200"/>
              <w:outlineLvl w:val="0"/>
              <w:rPr>
                <w:rFonts w:hint="eastAsia" w:ascii="宋体" w:hAnsi="宋体"/>
                <w:kern w:val="0"/>
                <w:szCs w:val="21"/>
              </w:rPr>
            </w:pPr>
            <w:r>
              <w:rPr>
                <w:rFonts w:hint="eastAsia" w:ascii="宋体" w:hAnsi="宋体"/>
                <w:kern w:val="0"/>
                <w:szCs w:val="21"/>
              </w:rPr>
              <w:fldChar w:fldCharType="begin"/>
            </w:r>
            <w:r>
              <w:rPr>
                <w:rFonts w:hint="eastAsia" w:ascii="宋体" w:hAnsi="宋体"/>
                <w:kern w:val="0"/>
                <w:szCs w:val="21"/>
              </w:rPr>
              <w:instrText xml:space="preserve"> = 2 \* GB3 </w:instrText>
            </w:r>
            <w:r>
              <w:rPr>
                <w:rFonts w:hint="eastAsia" w:ascii="宋体" w:hAnsi="宋体"/>
                <w:kern w:val="0"/>
                <w:szCs w:val="21"/>
              </w:rPr>
              <w:fldChar w:fldCharType="separate"/>
            </w:r>
            <w:r>
              <w:rPr>
                <w:rFonts w:hint="eastAsia" w:ascii="宋体" w:hAnsi="宋体"/>
                <w:kern w:val="0"/>
                <w:szCs w:val="21"/>
              </w:rPr>
              <w:t>②</w:t>
            </w:r>
            <w:r>
              <w:rPr>
                <w:rFonts w:hint="eastAsia" w:ascii="宋体" w:hAnsi="宋体"/>
                <w:kern w:val="0"/>
                <w:szCs w:val="21"/>
              </w:rPr>
              <w:fldChar w:fldCharType="end"/>
            </w:r>
            <w:r>
              <w:rPr>
                <w:rFonts w:hint="eastAsia" w:ascii="宋体" w:hAnsi="宋体"/>
                <w:kern w:val="0"/>
                <w:szCs w:val="21"/>
              </w:rPr>
              <w:t>投标产品和设备经过双方检验认可后，签署验收报告，产品保修期自验收合格之日起算，由中标供应商提供货物保修文件。</w:t>
            </w:r>
          </w:p>
          <w:p w14:paraId="6095569F">
            <w:pPr>
              <w:snapToGrid w:val="0"/>
              <w:spacing w:line="360" w:lineRule="exact"/>
              <w:ind w:firstLine="420" w:firstLineChars="200"/>
              <w:outlineLvl w:val="0"/>
              <w:rPr>
                <w:rFonts w:hint="eastAsia" w:ascii="宋体" w:hAnsi="宋体"/>
                <w:kern w:val="0"/>
                <w:szCs w:val="21"/>
              </w:rPr>
            </w:pPr>
            <w:r>
              <w:rPr>
                <w:rFonts w:hint="eastAsia" w:ascii="宋体" w:hAnsi="宋体"/>
                <w:kern w:val="0"/>
                <w:szCs w:val="21"/>
              </w:rPr>
              <w:fldChar w:fldCharType="begin"/>
            </w:r>
            <w:r>
              <w:rPr>
                <w:rFonts w:hint="eastAsia" w:ascii="宋体" w:hAnsi="宋体"/>
                <w:kern w:val="0"/>
                <w:szCs w:val="21"/>
              </w:rPr>
              <w:instrText xml:space="preserve"> = 3 \* GB3 </w:instrText>
            </w:r>
            <w:r>
              <w:rPr>
                <w:rFonts w:hint="eastAsia" w:ascii="宋体" w:hAnsi="宋体"/>
                <w:kern w:val="0"/>
                <w:szCs w:val="21"/>
              </w:rPr>
              <w:fldChar w:fldCharType="separate"/>
            </w:r>
            <w:r>
              <w:rPr>
                <w:rFonts w:hint="eastAsia" w:ascii="宋体" w:hAnsi="宋体"/>
                <w:kern w:val="0"/>
                <w:szCs w:val="21"/>
              </w:rPr>
              <w:t>③</w:t>
            </w:r>
            <w:r>
              <w:rPr>
                <w:rFonts w:hint="eastAsia" w:ascii="宋体" w:hAnsi="宋体"/>
                <w:kern w:val="0"/>
                <w:szCs w:val="21"/>
              </w:rPr>
              <w:fldChar w:fldCharType="end"/>
            </w:r>
            <w:r>
              <w:rPr>
                <w:rFonts w:hint="eastAsia" w:ascii="宋体" w:hAnsi="宋体"/>
                <w:kern w:val="0"/>
                <w:szCs w:val="21"/>
              </w:rPr>
              <w:t>产品经过试运行，所有性能指标达到要求时，可进行最终验收。在试运行期间，由于产品质量等造成某些指标达不到要求，允许中标供应商更换或进行调试，在全部达到要求时，双方签署最终验收文件。</w:t>
            </w:r>
          </w:p>
          <w:p w14:paraId="64AD9D7D">
            <w:pPr>
              <w:snapToGrid w:val="0"/>
              <w:spacing w:line="360" w:lineRule="exact"/>
              <w:ind w:firstLine="420" w:firstLineChars="200"/>
              <w:outlineLvl w:val="0"/>
              <w:rPr>
                <w:rFonts w:hint="eastAsia" w:ascii="宋体" w:hAnsi="宋体"/>
                <w:kern w:val="0"/>
                <w:szCs w:val="21"/>
              </w:rPr>
            </w:pPr>
            <w:r>
              <w:rPr>
                <w:rFonts w:hint="eastAsia" w:ascii="宋体" w:hAnsi="宋体"/>
                <w:kern w:val="0"/>
                <w:szCs w:val="21"/>
              </w:rPr>
              <w:fldChar w:fldCharType="begin"/>
            </w:r>
            <w:r>
              <w:rPr>
                <w:rFonts w:hint="eastAsia" w:ascii="宋体" w:hAnsi="宋体"/>
                <w:kern w:val="0"/>
                <w:szCs w:val="21"/>
              </w:rPr>
              <w:instrText xml:space="preserve"> = 4 \* GB3 </w:instrText>
            </w:r>
            <w:r>
              <w:rPr>
                <w:rFonts w:hint="eastAsia" w:ascii="宋体" w:hAnsi="宋体"/>
                <w:kern w:val="0"/>
                <w:szCs w:val="21"/>
              </w:rPr>
              <w:fldChar w:fldCharType="separate"/>
            </w:r>
            <w:r>
              <w:rPr>
                <w:rFonts w:hint="eastAsia" w:ascii="宋体" w:hAnsi="宋体"/>
                <w:kern w:val="0"/>
                <w:szCs w:val="21"/>
              </w:rPr>
              <w:t>④</w:t>
            </w:r>
            <w:r>
              <w:rPr>
                <w:rFonts w:hint="eastAsia" w:ascii="宋体" w:hAnsi="宋体"/>
                <w:kern w:val="0"/>
                <w:szCs w:val="21"/>
              </w:rPr>
              <w:fldChar w:fldCharType="end"/>
            </w:r>
            <w:r>
              <w:rPr>
                <w:rFonts w:hint="eastAsia" w:ascii="宋体" w:hAnsi="宋体"/>
                <w:kern w:val="0"/>
                <w:szCs w:val="21"/>
              </w:rPr>
              <w:t>验收过程中，如双方不能达成一致意见时，采购人可以邀请市级或以上质量技术监督部门对中标产品进行（设备参数指标符合度等方面）质量仲裁的检验鉴定，并向采购人出具合格的检验报告单。经市级或以上质量技术监督部门检验合格，验收小组无正当理由的须予以验收通过；检验不合格，中标供货商可于15日内重新向采购人提供经检验合格的设备，并自行承担产生的全部费用。</w:t>
            </w:r>
          </w:p>
          <w:p w14:paraId="479B2EBE">
            <w:pPr>
              <w:snapToGrid w:val="0"/>
              <w:spacing w:line="360" w:lineRule="exact"/>
              <w:ind w:firstLine="420" w:firstLineChars="200"/>
              <w:outlineLvl w:val="0"/>
              <w:rPr>
                <w:rFonts w:hint="eastAsia" w:ascii="宋体" w:hAnsi="宋体"/>
                <w:kern w:val="0"/>
                <w:szCs w:val="21"/>
              </w:rPr>
            </w:pPr>
            <w:r>
              <w:rPr>
                <w:rFonts w:hint="eastAsia" w:ascii="宋体" w:hAnsi="宋体"/>
                <w:kern w:val="0"/>
                <w:szCs w:val="21"/>
              </w:rPr>
              <w:fldChar w:fldCharType="begin"/>
            </w:r>
            <w:r>
              <w:rPr>
                <w:rFonts w:hint="eastAsia" w:ascii="宋体" w:hAnsi="宋体"/>
                <w:kern w:val="0"/>
                <w:szCs w:val="21"/>
              </w:rPr>
              <w:instrText xml:space="preserve"> = 5 \* GB3 </w:instrText>
            </w:r>
            <w:r>
              <w:rPr>
                <w:rFonts w:hint="eastAsia" w:ascii="宋体" w:hAnsi="宋体"/>
                <w:kern w:val="0"/>
                <w:szCs w:val="21"/>
              </w:rPr>
              <w:fldChar w:fldCharType="separate"/>
            </w:r>
            <w:r>
              <w:rPr>
                <w:rFonts w:hint="eastAsia" w:ascii="宋体" w:hAnsi="宋体"/>
                <w:kern w:val="0"/>
                <w:szCs w:val="21"/>
              </w:rPr>
              <w:t>⑤</w:t>
            </w:r>
            <w:r>
              <w:rPr>
                <w:rFonts w:hint="eastAsia" w:ascii="宋体" w:hAnsi="宋体"/>
                <w:kern w:val="0"/>
                <w:szCs w:val="21"/>
              </w:rPr>
              <w:fldChar w:fldCharType="end"/>
            </w:r>
            <w:r>
              <w:rPr>
                <w:rFonts w:hint="eastAsia" w:ascii="宋体" w:hAnsi="宋体"/>
                <w:kern w:val="0"/>
                <w:szCs w:val="21"/>
              </w:rPr>
              <w:t>如未能按期提供合格设备，采购人将终止采购并追究中标供应商相关赔偿责任。</w:t>
            </w:r>
          </w:p>
          <w:p w14:paraId="38503D29">
            <w:pPr>
              <w:snapToGrid w:val="0"/>
              <w:spacing w:line="360" w:lineRule="exact"/>
              <w:ind w:firstLine="420" w:firstLineChars="200"/>
              <w:outlineLvl w:val="0"/>
              <w:rPr>
                <w:rFonts w:hint="eastAsia" w:ascii="宋体" w:hAnsi="宋体"/>
                <w:kern w:val="0"/>
                <w:szCs w:val="21"/>
              </w:rPr>
            </w:pPr>
            <w:r>
              <w:rPr>
                <w:rFonts w:hint="eastAsia" w:ascii="宋体" w:hAnsi="宋体"/>
                <w:kern w:val="0"/>
                <w:szCs w:val="21"/>
              </w:rPr>
              <w:t>6.其他未尽事宜应严格按照《关于印发广西壮族自治区政府采购项目履约验收管理办法的通知》[桂财采〔2015〕22号]以及《财政部关于进一步加强政府采购需求和履约验收管理的指导意见》[财库〔2016〕205号]规定执行。</w:t>
            </w:r>
          </w:p>
        </w:tc>
      </w:tr>
      <w:tr w14:paraId="7FEE34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45" w:type="pct"/>
            <w:gridSpan w:val="3"/>
            <w:tcBorders>
              <w:top w:val="single" w:color="auto" w:sz="4" w:space="0"/>
              <w:left w:val="single" w:color="auto" w:sz="4" w:space="0"/>
              <w:bottom w:val="single" w:color="auto" w:sz="4" w:space="0"/>
              <w:right w:val="single" w:color="auto" w:sz="4" w:space="0"/>
            </w:tcBorders>
            <w:noWrap w:val="0"/>
            <w:vAlign w:val="center"/>
          </w:tcPr>
          <w:p w14:paraId="60771EEE">
            <w:pPr>
              <w:snapToGrid w:val="0"/>
              <w:spacing w:line="360" w:lineRule="exact"/>
              <w:rPr>
                <w:rFonts w:hint="eastAsia" w:ascii="宋体" w:hAnsi="宋体"/>
                <w:szCs w:val="21"/>
              </w:rPr>
            </w:pPr>
            <w:r>
              <w:rPr>
                <w:rFonts w:hint="eastAsia" w:ascii="宋体" w:hAnsi="宋体"/>
                <w:szCs w:val="21"/>
              </w:rPr>
              <w:t>履约保证金</w:t>
            </w:r>
          </w:p>
        </w:tc>
        <w:tc>
          <w:tcPr>
            <w:tcW w:w="4254" w:type="pct"/>
            <w:gridSpan w:val="5"/>
            <w:tcBorders>
              <w:top w:val="single" w:color="auto" w:sz="4" w:space="0"/>
              <w:left w:val="nil"/>
              <w:bottom w:val="single" w:color="auto" w:sz="4" w:space="0"/>
              <w:right w:val="single" w:color="auto" w:sz="4" w:space="0"/>
            </w:tcBorders>
            <w:noWrap w:val="0"/>
            <w:vAlign w:val="top"/>
          </w:tcPr>
          <w:p w14:paraId="1E878117">
            <w:pPr>
              <w:spacing w:line="340" w:lineRule="exact"/>
              <w:ind w:firstLine="420" w:firstLineChars="200"/>
              <w:rPr>
                <w:rFonts w:hint="eastAsia" w:ascii="宋体" w:hAnsi="宋体"/>
                <w:szCs w:val="21"/>
              </w:rPr>
            </w:pPr>
            <w:r>
              <w:rPr>
                <w:rFonts w:hint="eastAsia" w:ascii="宋体" w:hAnsi="宋体"/>
                <w:szCs w:val="21"/>
              </w:rPr>
              <w:t>1.履约保证金金额：按合同金额的5%收取。</w:t>
            </w:r>
            <w:r>
              <w:rPr>
                <w:rFonts w:hint="eastAsia" w:ascii="宋体" w:hAnsi="宋体"/>
                <w:bCs/>
                <w:spacing w:val="-4"/>
                <w:szCs w:val="21"/>
              </w:rPr>
              <w:t>（若中标供应商符合《政府采购促进中小企业发展管理办法》（财库〔2020〕46号）及《广西壮族自治区财政厅关于持续优化政府采购营商环境推动高质量发展的通知》（桂财采〔2024〕55号）规定的，履约保证金将按</w:t>
            </w:r>
            <w:r>
              <w:rPr>
                <w:rFonts w:hint="eastAsia" w:ascii="宋体" w:hAnsi="宋体"/>
                <w:szCs w:val="21"/>
              </w:rPr>
              <w:t>合同金额的</w:t>
            </w:r>
            <w:r>
              <w:rPr>
                <w:rFonts w:hint="eastAsia" w:ascii="宋体" w:hAnsi="宋体"/>
                <w:bCs/>
                <w:spacing w:val="-4"/>
                <w:szCs w:val="21"/>
              </w:rPr>
              <w:t>2%收取。）</w:t>
            </w:r>
          </w:p>
          <w:p w14:paraId="43FD2388">
            <w:pPr>
              <w:spacing w:line="340" w:lineRule="exact"/>
              <w:ind w:firstLine="420" w:firstLineChars="200"/>
              <w:rPr>
                <w:rFonts w:hint="eastAsia" w:ascii="宋体" w:hAnsi="宋体"/>
                <w:szCs w:val="21"/>
              </w:rPr>
            </w:pPr>
            <w:r>
              <w:rPr>
                <w:rFonts w:hint="eastAsia" w:ascii="宋体" w:hAnsi="宋体"/>
                <w:szCs w:val="21"/>
              </w:rPr>
              <w:t>2.履约保证金递交方式：银行转账、支票、汇票、本票、保函等非现金方式。</w:t>
            </w:r>
          </w:p>
          <w:p w14:paraId="6458A4DE">
            <w:pPr>
              <w:spacing w:line="340" w:lineRule="exact"/>
              <w:ind w:firstLine="420" w:firstLineChars="200"/>
              <w:rPr>
                <w:rFonts w:hint="eastAsia" w:ascii="宋体" w:hAnsi="宋体"/>
                <w:szCs w:val="21"/>
              </w:rPr>
            </w:pPr>
            <w:r>
              <w:rPr>
                <w:rFonts w:hint="eastAsia" w:ascii="宋体" w:hAnsi="宋体"/>
                <w:szCs w:val="21"/>
              </w:rPr>
              <w:t>3.履约保证金缴纳期限：自中标通知书发出之日起10个工作日内。</w:t>
            </w:r>
          </w:p>
          <w:p w14:paraId="2D4A8624">
            <w:pPr>
              <w:spacing w:line="340" w:lineRule="exact"/>
              <w:ind w:firstLine="420" w:firstLineChars="200"/>
              <w:rPr>
                <w:rFonts w:hint="eastAsia" w:ascii="宋体" w:hAnsi="宋体"/>
                <w:szCs w:val="21"/>
              </w:rPr>
            </w:pPr>
            <w:r>
              <w:rPr>
                <w:rFonts w:hint="eastAsia" w:ascii="宋体" w:hAnsi="宋体"/>
                <w:szCs w:val="21"/>
              </w:rPr>
              <w:t>4.履约保证金退付方式、时间及条件：履约保证金在项目履约完成（按合同约定履行完合同所有内容）后，由中标供应商向采购人提出申请，采购人在收到申请材料后对相关违约情况进行核对，如有违约或赔偿的，涉及违约的违约金和损失赔偿从履约保证金中扣减，如有剩余采购人在5个工作日内退还（不计利息）；不足扣减的，采购人有权从未支付的合同款中（如有）扣除；履约保证金不足以抵扣违约或赔偿的，采购人有权另外向中标供应商追偿损失。</w:t>
            </w:r>
          </w:p>
          <w:p w14:paraId="26B6B284">
            <w:pPr>
              <w:spacing w:line="340" w:lineRule="exact"/>
              <w:ind w:firstLine="420" w:firstLineChars="200"/>
              <w:rPr>
                <w:rFonts w:hint="eastAsia" w:ascii="宋体" w:hAnsi="宋体"/>
                <w:szCs w:val="21"/>
              </w:rPr>
            </w:pPr>
            <w:r>
              <w:rPr>
                <w:rFonts w:hint="eastAsia" w:ascii="宋体" w:hAnsi="宋体"/>
                <w:szCs w:val="21"/>
              </w:rPr>
              <w:t>5.不予退还的情形：签订合同后，如中标供应商不按双方签订的合同规定履约，则其全部履约保证金不予退还。</w:t>
            </w:r>
          </w:p>
          <w:p w14:paraId="50568711">
            <w:pPr>
              <w:spacing w:line="340" w:lineRule="exact"/>
              <w:ind w:firstLine="420" w:firstLineChars="200"/>
              <w:rPr>
                <w:rFonts w:hint="eastAsia" w:ascii="宋体" w:hAnsi="宋体"/>
                <w:szCs w:val="21"/>
              </w:rPr>
            </w:pPr>
            <w:r>
              <w:rPr>
                <w:rFonts w:hint="eastAsia" w:ascii="宋体" w:hAnsi="宋体"/>
                <w:szCs w:val="21"/>
              </w:rPr>
              <w:t xml:space="preserve">6.履约保证金指定账户： </w:t>
            </w:r>
          </w:p>
          <w:p w14:paraId="568C429D">
            <w:pPr>
              <w:spacing w:line="340" w:lineRule="exact"/>
              <w:ind w:firstLine="420" w:firstLineChars="200"/>
              <w:rPr>
                <w:rFonts w:hint="eastAsia" w:ascii="宋体" w:hAnsi="宋体"/>
                <w:szCs w:val="21"/>
                <w:u w:val="single"/>
              </w:rPr>
            </w:pPr>
            <w:r>
              <w:rPr>
                <w:rFonts w:hint="eastAsia" w:ascii="宋体" w:hAnsi="宋体"/>
                <w:szCs w:val="21"/>
                <w:u w:val="single"/>
              </w:rPr>
              <w:t xml:space="preserve">开户名称：广西壮族自治区公路发展中心 </w:t>
            </w:r>
          </w:p>
          <w:p w14:paraId="354AD069">
            <w:pPr>
              <w:spacing w:line="340" w:lineRule="exact"/>
              <w:ind w:firstLine="420" w:firstLineChars="200"/>
              <w:rPr>
                <w:rFonts w:hint="eastAsia" w:ascii="宋体" w:hAnsi="宋体"/>
                <w:szCs w:val="21"/>
                <w:u w:val="single"/>
              </w:rPr>
            </w:pPr>
            <w:r>
              <w:rPr>
                <w:rFonts w:hint="eastAsia" w:ascii="宋体" w:hAnsi="宋体"/>
                <w:szCs w:val="21"/>
                <w:u w:val="single"/>
              </w:rPr>
              <w:t xml:space="preserve">开户银行：工行南宁市市府支行  </w:t>
            </w:r>
          </w:p>
          <w:p w14:paraId="7DF095AA">
            <w:pPr>
              <w:snapToGrid w:val="0"/>
              <w:spacing w:line="360" w:lineRule="exact"/>
              <w:ind w:firstLine="420" w:firstLineChars="200"/>
              <w:outlineLvl w:val="0"/>
              <w:rPr>
                <w:rFonts w:hint="eastAsia" w:ascii="宋体" w:hAnsi="宋体"/>
                <w:kern w:val="0"/>
                <w:sz w:val="20"/>
                <w:szCs w:val="21"/>
                <w:u w:val="single"/>
              </w:rPr>
            </w:pPr>
            <w:r>
              <w:rPr>
                <w:rFonts w:hint="eastAsia" w:ascii="宋体" w:hAnsi="宋体"/>
                <w:kern w:val="2"/>
                <w:sz w:val="21"/>
                <w:szCs w:val="21"/>
                <w:u w:val="single"/>
              </w:rPr>
              <w:t xml:space="preserve">银行账号：2102174609221000218   </w:t>
            </w:r>
          </w:p>
        </w:tc>
      </w:tr>
      <w:tr w14:paraId="72F806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00" w:type="pct"/>
            <w:gridSpan w:val="8"/>
            <w:tcBorders>
              <w:top w:val="single" w:color="auto" w:sz="4" w:space="0"/>
              <w:left w:val="single" w:color="auto" w:sz="4" w:space="0"/>
              <w:bottom w:val="single" w:color="auto" w:sz="4" w:space="0"/>
              <w:right w:val="single" w:color="auto" w:sz="4" w:space="0"/>
            </w:tcBorders>
            <w:noWrap w:val="0"/>
            <w:vAlign w:val="center"/>
          </w:tcPr>
          <w:p w14:paraId="0B7948AB">
            <w:pPr>
              <w:spacing w:line="360" w:lineRule="exact"/>
              <w:rPr>
                <w:rFonts w:hint="eastAsia" w:ascii="宋体" w:hAnsi="宋体"/>
                <w:b/>
                <w:bCs/>
                <w:szCs w:val="21"/>
              </w:rPr>
            </w:pPr>
            <w:r>
              <w:rPr>
                <w:rFonts w:hint="eastAsia" w:ascii="宋体" w:hAnsi="宋体"/>
                <w:b/>
                <w:bCs/>
                <w:szCs w:val="21"/>
              </w:rPr>
              <w:t>二、与实现项目目标相关的其他要求</w:t>
            </w:r>
          </w:p>
        </w:tc>
      </w:tr>
      <w:tr w14:paraId="11BB8F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00" w:type="pct"/>
            <w:gridSpan w:val="8"/>
            <w:tcBorders>
              <w:top w:val="single" w:color="auto" w:sz="4" w:space="0"/>
              <w:left w:val="single" w:color="auto" w:sz="4" w:space="0"/>
              <w:bottom w:val="single" w:color="auto" w:sz="4" w:space="0"/>
              <w:right w:val="single" w:color="auto" w:sz="4" w:space="0"/>
            </w:tcBorders>
            <w:noWrap w:val="0"/>
            <w:vAlign w:val="center"/>
          </w:tcPr>
          <w:p w14:paraId="44D813C3">
            <w:pPr>
              <w:spacing w:line="360" w:lineRule="exact"/>
              <w:rPr>
                <w:rFonts w:hint="eastAsia" w:ascii="宋体" w:hAnsi="宋体"/>
                <w:b/>
                <w:szCs w:val="21"/>
              </w:rPr>
            </w:pPr>
            <w:r>
              <w:rPr>
                <w:rFonts w:hint="eastAsia" w:ascii="宋体" w:hAnsi="宋体"/>
                <w:b/>
                <w:szCs w:val="21"/>
              </w:rPr>
              <w:t>（一）投标人的履约能力要求</w:t>
            </w:r>
          </w:p>
        </w:tc>
      </w:tr>
      <w:tr w14:paraId="76BCB2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45" w:type="pct"/>
            <w:gridSpan w:val="3"/>
            <w:tcBorders>
              <w:top w:val="single" w:color="auto" w:sz="4" w:space="0"/>
              <w:left w:val="single" w:color="auto" w:sz="4" w:space="0"/>
              <w:bottom w:val="single" w:color="auto" w:sz="4" w:space="0"/>
              <w:right w:val="single" w:color="auto" w:sz="4" w:space="0"/>
            </w:tcBorders>
            <w:noWrap w:val="0"/>
            <w:vAlign w:val="center"/>
          </w:tcPr>
          <w:p w14:paraId="6CE06038">
            <w:pPr>
              <w:spacing w:line="360" w:lineRule="exact"/>
              <w:rPr>
                <w:rFonts w:hint="eastAsia" w:ascii="宋体" w:hAnsi="宋体"/>
                <w:szCs w:val="21"/>
              </w:rPr>
            </w:pPr>
            <w:r>
              <w:rPr>
                <w:rFonts w:hint="eastAsia" w:ascii="宋体" w:hAnsi="宋体"/>
                <w:szCs w:val="21"/>
              </w:rPr>
              <w:t>质量管理、企业信用要求</w:t>
            </w:r>
          </w:p>
        </w:tc>
        <w:tc>
          <w:tcPr>
            <w:tcW w:w="4254" w:type="pct"/>
            <w:gridSpan w:val="5"/>
            <w:tcBorders>
              <w:top w:val="single" w:color="auto" w:sz="4" w:space="0"/>
              <w:left w:val="nil"/>
              <w:bottom w:val="single" w:color="auto" w:sz="4" w:space="0"/>
              <w:right w:val="single" w:color="auto" w:sz="4" w:space="0"/>
            </w:tcBorders>
            <w:noWrap w:val="0"/>
            <w:vAlign w:val="center"/>
          </w:tcPr>
          <w:p w14:paraId="2E38680F">
            <w:pPr>
              <w:spacing w:line="360" w:lineRule="exact"/>
              <w:rPr>
                <w:rFonts w:hint="eastAsia" w:ascii="宋体" w:hAnsi="宋体"/>
                <w:szCs w:val="21"/>
              </w:rPr>
            </w:pPr>
            <w:r>
              <w:rPr>
                <w:rFonts w:hint="eastAsia" w:ascii="宋体" w:hAnsi="宋体"/>
                <w:szCs w:val="21"/>
              </w:rPr>
              <w:t>如有，请结合本招标文件第四章“评标办法及评分标准”在投标文件中自行提供。</w:t>
            </w:r>
          </w:p>
        </w:tc>
      </w:tr>
      <w:tr w14:paraId="15F0DD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45" w:type="pct"/>
            <w:gridSpan w:val="3"/>
            <w:tcBorders>
              <w:top w:val="single" w:color="auto" w:sz="4" w:space="0"/>
              <w:left w:val="single" w:color="auto" w:sz="4" w:space="0"/>
              <w:bottom w:val="single" w:color="auto" w:sz="4" w:space="0"/>
              <w:right w:val="single" w:color="auto" w:sz="4" w:space="0"/>
            </w:tcBorders>
            <w:noWrap w:val="0"/>
            <w:vAlign w:val="center"/>
          </w:tcPr>
          <w:p w14:paraId="228AE689">
            <w:pPr>
              <w:spacing w:line="360" w:lineRule="exact"/>
              <w:rPr>
                <w:rFonts w:hint="eastAsia" w:ascii="宋体" w:hAnsi="宋体"/>
                <w:szCs w:val="21"/>
              </w:rPr>
            </w:pPr>
            <w:r>
              <w:rPr>
                <w:rFonts w:hint="eastAsia" w:ascii="宋体" w:hAnsi="宋体"/>
                <w:szCs w:val="21"/>
              </w:rPr>
              <w:t>能力或者业绩要求</w:t>
            </w:r>
          </w:p>
        </w:tc>
        <w:tc>
          <w:tcPr>
            <w:tcW w:w="4254" w:type="pct"/>
            <w:gridSpan w:val="5"/>
            <w:tcBorders>
              <w:top w:val="single" w:color="auto" w:sz="4" w:space="0"/>
              <w:left w:val="nil"/>
              <w:bottom w:val="single" w:color="auto" w:sz="4" w:space="0"/>
              <w:right w:val="single" w:color="auto" w:sz="4" w:space="0"/>
            </w:tcBorders>
            <w:noWrap w:val="0"/>
            <w:vAlign w:val="center"/>
          </w:tcPr>
          <w:p w14:paraId="11232212">
            <w:pPr>
              <w:spacing w:line="360" w:lineRule="exact"/>
              <w:rPr>
                <w:rFonts w:hint="eastAsia" w:ascii="宋体" w:hAnsi="宋体"/>
                <w:szCs w:val="21"/>
              </w:rPr>
            </w:pPr>
            <w:r>
              <w:rPr>
                <w:rFonts w:hint="eastAsia" w:ascii="宋体" w:hAnsi="宋体"/>
                <w:szCs w:val="21"/>
              </w:rPr>
              <w:t>如有，请结合本招标文件第四章“评标办法及评分标准”在投标文件中自行提供。</w:t>
            </w:r>
          </w:p>
        </w:tc>
      </w:tr>
      <w:tr w14:paraId="1F978C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00" w:type="pct"/>
            <w:gridSpan w:val="8"/>
            <w:tcBorders>
              <w:top w:val="single" w:color="auto" w:sz="4" w:space="0"/>
              <w:left w:val="single" w:color="auto" w:sz="4" w:space="0"/>
              <w:bottom w:val="single" w:color="auto" w:sz="4" w:space="0"/>
              <w:right w:val="single" w:color="auto" w:sz="4" w:space="0"/>
            </w:tcBorders>
            <w:noWrap w:val="0"/>
            <w:vAlign w:val="center"/>
          </w:tcPr>
          <w:p w14:paraId="60A5CDEA">
            <w:pPr>
              <w:spacing w:line="360" w:lineRule="exact"/>
              <w:rPr>
                <w:rFonts w:hint="eastAsia" w:ascii="宋体" w:hAnsi="宋体"/>
                <w:b/>
                <w:szCs w:val="21"/>
              </w:rPr>
            </w:pPr>
            <w:r>
              <w:rPr>
                <w:rFonts w:hint="eastAsia" w:ascii="宋体" w:hAnsi="宋体"/>
                <w:b/>
                <w:szCs w:val="21"/>
              </w:rPr>
              <w:t>（二）政策性加分条件</w:t>
            </w:r>
          </w:p>
        </w:tc>
      </w:tr>
      <w:tr w14:paraId="6AF6D0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00" w:type="pct"/>
            <w:gridSpan w:val="8"/>
            <w:tcBorders>
              <w:top w:val="single" w:color="auto" w:sz="4" w:space="0"/>
              <w:left w:val="single" w:color="auto" w:sz="4" w:space="0"/>
              <w:bottom w:val="single" w:color="auto" w:sz="4" w:space="0"/>
              <w:right w:val="single" w:color="auto" w:sz="4" w:space="0"/>
            </w:tcBorders>
            <w:noWrap w:val="0"/>
            <w:vAlign w:val="center"/>
          </w:tcPr>
          <w:p w14:paraId="7E904103">
            <w:pPr>
              <w:spacing w:line="360" w:lineRule="exact"/>
              <w:rPr>
                <w:rFonts w:hint="eastAsia" w:ascii="宋体" w:hAnsi="宋体"/>
                <w:szCs w:val="21"/>
              </w:rPr>
            </w:pPr>
            <w:r>
              <w:rPr>
                <w:rFonts w:hint="eastAsia" w:ascii="宋体" w:hAnsi="宋体"/>
                <w:szCs w:val="21"/>
              </w:rPr>
              <w:t>符合节能环保等国家政策要求。</w:t>
            </w:r>
          </w:p>
        </w:tc>
      </w:tr>
      <w:tr w14:paraId="4298AC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00" w:type="pct"/>
            <w:gridSpan w:val="8"/>
            <w:tcBorders>
              <w:top w:val="single" w:color="auto" w:sz="4" w:space="0"/>
              <w:left w:val="single" w:color="auto" w:sz="4" w:space="0"/>
              <w:bottom w:val="single" w:color="auto" w:sz="4" w:space="0"/>
              <w:right w:val="single" w:color="auto" w:sz="4" w:space="0"/>
            </w:tcBorders>
            <w:noWrap w:val="0"/>
            <w:vAlign w:val="center"/>
          </w:tcPr>
          <w:p w14:paraId="7CC9C898">
            <w:pPr>
              <w:tabs>
                <w:tab w:val="left" w:pos="180"/>
                <w:tab w:val="left" w:pos="1620"/>
              </w:tabs>
              <w:spacing w:line="360" w:lineRule="exact"/>
              <w:rPr>
                <w:rFonts w:hint="eastAsia" w:ascii="宋体" w:hAnsi="宋体"/>
                <w:b/>
                <w:szCs w:val="21"/>
              </w:rPr>
            </w:pPr>
            <w:r>
              <w:rPr>
                <w:rFonts w:hint="eastAsia" w:ascii="宋体" w:hAnsi="宋体"/>
                <w:b/>
                <w:szCs w:val="21"/>
              </w:rPr>
              <w:t>（三）其他事项说明</w:t>
            </w:r>
          </w:p>
        </w:tc>
      </w:tr>
      <w:tr w14:paraId="670195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00" w:type="pct"/>
            <w:gridSpan w:val="8"/>
            <w:tcBorders>
              <w:top w:val="single" w:color="auto" w:sz="4" w:space="0"/>
              <w:left w:val="single" w:color="auto" w:sz="4" w:space="0"/>
              <w:bottom w:val="single" w:color="auto" w:sz="4" w:space="0"/>
              <w:right w:val="single" w:color="auto" w:sz="4" w:space="0"/>
            </w:tcBorders>
            <w:noWrap w:val="0"/>
            <w:vAlign w:val="center"/>
          </w:tcPr>
          <w:p w14:paraId="3F350D07">
            <w:pPr>
              <w:spacing w:line="360" w:lineRule="exact"/>
              <w:ind w:firstLine="411" w:firstLineChars="196"/>
              <w:rPr>
                <w:rFonts w:hint="eastAsia" w:ascii="宋体" w:hAnsi="宋体"/>
                <w:szCs w:val="21"/>
              </w:rPr>
            </w:pPr>
            <w:r>
              <w:rPr>
                <w:rFonts w:hint="eastAsia" w:ascii="宋体" w:hAnsi="宋体"/>
                <w:szCs w:val="21"/>
              </w:rPr>
              <w:t>货物实行强制标准认证制度、生产许可证制度、销售或经营许可证制度、注册证制度的，中标人均应提供相关有效的证书复印件。</w:t>
            </w:r>
          </w:p>
        </w:tc>
      </w:tr>
      <w:tr w14:paraId="696B80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00" w:type="pct"/>
            <w:gridSpan w:val="8"/>
            <w:tcBorders>
              <w:top w:val="single" w:color="auto" w:sz="4" w:space="0"/>
              <w:left w:val="single" w:color="auto" w:sz="4" w:space="0"/>
              <w:bottom w:val="single" w:color="auto" w:sz="4" w:space="0"/>
              <w:right w:val="single" w:color="auto" w:sz="4" w:space="0"/>
            </w:tcBorders>
            <w:noWrap w:val="0"/>
            <w:vAlign w:val="center"/>
          </w:tcPr>
          <w:p w14:paraId="7260B7B6">
            <w:pPr>
              <w:spacing w:line="360" w:lineRule="exact"/>
              <w:rPr>
                <w:rFonts w:hint="eastAsia" w:ascii="宋体" w:hAnsi="宋体"/>
                <w:b/>
                <w:szCs w:val="21"/>
              </w:rPr>
            </w:pPr>
            <w:r>
              <w:rPr>
                <w:rFonts w:hint="eastAsia" w:ascii="宋体" w:hAnsi="宋体"/>
                <w:b/>
                <w:szCs w:val="21"/>
              </w:rPr>
              <w:t>（四）进口产品及核心产品说明</w:t>
            </w:r>
          </w:p>
        </w:tc>
      </w:tr>
      <w:tr w14:paraId="08F29D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00" w:type="pct"/>
            <w:gridSpan w:val="8"/>
            <w:tcBorders>
              <w:top w:val="single" w:color="auto" w:sz="4" w:space="0"/>
              <w:left w:val="single" w:color="auto" w:sz="4" w:space="0"/>
              <w:bottom w:val="single" w:color="auto" w:sz="4" w:space="0"/>
              <w:right w:val="single" w:color="auto" w:sz="4" w:space="0"/>
            </w:tcBorders>
            <w:noWrap w:val="0"/>
            <w:vAlign w:val="center"/>
          </w:tcPr>
          <w:p w14:paraId="1793AA5E">
            <w:pPr>
              <w:spacing w:line="360" w:lineRule="exact"/>
              <w:ind w:firstLine="435"/>
              <w:rPr>
                <w:rFonts w:hint="eastAsia" w:ascii="宋体" w:hAnsi="宋体"/>
                <w:color w:val="000000"/>
                <w:szCs w:val="21"/>
              </w:rPr>
            </w:pPr>
            <w:r>
              <w:rPr>
                <w:rFonts w:hint="eastAsia" w:ascii="宋体" w:hAnsi="宋体"/>
                <w:color w:val="000000"/>
                <w:szCs w:val="21"/>
              </w:rPr>
              <w:t>1.本分标货物不接受进口产品（即通过中国海关报关验放进入中国境内且产自关境外的产品）参与投标，</w:t>
            </w:r>
            <w:r>
              <w:rPr>
                <w:rFonts w:hint="eastAsia" w:ascii="宋体" w:hAnsi="宋体"/>
                <w:b/>
                <w:color w:val="000000"/>
                <w:szCs w:val="21"/>
              </w:rPr>
              <w:t>如有进口产品参与投标的作无效标处理</w:t>
            </w:r>
            <w:r>
              <w:rPr>
                <w:rFonts w:hint="eastAsia" w:ascii="宋体" w:hAnsi="宋体"/>
                <w:color w:val="000000"/>
                <w:szCs w:val="21"/>
              </w:rPr>
              <w:t>。</w:t>
            </w:r>
          </w:p>
          <w:p w14:paraId="06A71411">
            <w:pPr>
              <w:spacing w:line="360" w:lineRule="exact"/>
              <w:ind w:firstLine="435"/>
              <w:rPr>
                <w:rFonts w:hint="eastAsia" w:ascii="宋体" w:hAnsi="宋体"/>
                <w:b/>
                <w:color w:val="000000"/>
                <w:szCs w:val="21"/>
              </w:rPr>
            </w:pPr>
            <w:r>
              <w:rPr>
                <w:rFonts w:hint="eastAsia" w:ascii="宋体" w:hAnsi="宋体"/>
                <w:b/>
                <w:color w:val="000000"/>
                <w:szCs w:val="21"/>
              </w:rPr>
              <w:t>2.本分标序号</w:t>
            </w:r>
            <w:r>
              <w:rPr>
                <w:rFonts w:hint="eastAsia" w:ascii="宋体" w:hAnsi="宋体"/>
                <w:b/>
                <w:color w:val="000000"/>
                <w:szCs w:val="21"/>
                <w:u w:val="single"/>
              </w:rPr>
              <w:t xml:space="preserve">  3  </w:t>
            </w:r>
            <w:r>
              <w:rPr>
                <w:rFonts w:hint="eastAsia" w:ascii="宋体" w:hAnsi="宋体"/>
                <w:b/>
                <w:color w:val="000000"/>
                <w:szCs w:val="21"/>
              </w:rPr>
              <w:t>采购标的即为核心产品，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tc>
      </w:tr>
      <w:tr w14:paraId="00C944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00" w:type="pct"/>
            <w:gridSpan w:val="8"/>
            <w:tcBorders>
              <w:top w:val="single" w:color="auto" w:sz="4" w:space="0"/>
              <w:left w:val="single" w:color="auto" w:sz="4" w:space="0"/>
              <w:bottom w:val="single" w:color="auto" w:sz="4" w:space="0"/>
              <w:right w:val="single" w:color="auto" w:sz="4" w:space="0"/>
            </w:tcBorders>
            <w:noWrap w:val="0"/>
            <w:vAlign w:val="center"/>
          </w:tcPr>
          <w:p w14:paraId="6DFF40FD">
            <w:pPr>
              <w:spacing w:line="360" w:lineRule="exact"/>
              <w:rPr>
                <w:rFonts w:hint="eastAsia" w:ascii="宋体" w:hAnsi="宋体"/>
                <w:b/>
                <w:color w:val="000000"/>
                <w:szCs w:val="21"/>
              </w:rPr>
            </w:pPr>
            <w:r>
              <w:rPr>
                <w:rFonts w:hint="eastAsia" w:ascii="仿宋" w:hAnsi="仿宋" w:eastAsia="仿宋" w:cs="仿宋"/>
                <w:b/>
                <w:color w:val="000000"/>
                <w:szCs w:val="21"/>
              </w:rPr>
              <w:t>▲</w:t>
            </w:r>
            <w:r>
              <w:rPr>
                <w:rFonts w:hint="eastAsia" w:ascii="宋体" w:hAnsi="宋体"/>
                <w:b/>
                <w:color w:val="000000"/>
                <w:szCs w:val="21"/>
              </w:rPr>
              <w:t>（五）其他要求</w:t>
            </w:r>
          </w:p>
        </w:tc>
      </w:tr>
      <w:tr w14:paraId="7A57E6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00" w:type="pct"/>
            <w:gridSpan w:val="8"/>
            <w:tcBorders>
              <w:top w:val="single" w:color="auto" w:sz="4" w:space="0"/>
              <w:left w:val="single" w:color="auto" w:sz="4" w:space="0"/>
              <w:bottom w:val="single" w:color="auto" w:sz="4" w:space="0"/>
              <w:right w:val="single" w:color="auto" w:sz="4" w:space="0"/>
            </w:tcBorders>
            <w:noWrap w:val="0"/>
            <w:vAlign w:val="center"/>
          </w:tcPr>
          <w:p w14:paraId="43D3EA8A">
            <w:pPr>
              <w:wordWrap w:val="0"/>
              <w:spacing w:line="360" w:lineRule="exact"/>
              <w:ind w:firstLine="420" w:firstLineChars="200"/>
              <w:rPr>
                <w:rFonts w:hint="eastAsia" w:ascii="宋体" w:hAnsi="宋体"/>
                <w:color w:val="000000"/>
                <w:szCs w:val="21"/>
              </w:rPr>
            </w:pPr>
            <w:r>
              <w:rPr>
                <w:rFonts w:hint="eastAsia" w:ascii="宋体" w:hAnsi="宋体"/>
                <w:color w:val="000000"/>
                <w:szCs w:val="21"/>
              </w:rPr>
              <w:t>1.中标供应商须根据《广西壮族自治区机关事务管理局 广西壮族自治区财政厅关于印发自治区本级党政机关、事业单位公务用车配备更新及车辆处置管理规定的通知》（桂事管发〔2019〕46号）及相关规定要求，并依照车辆中标单价出具发票（按每辆车一张发票）办理车辆购置和定编手续以及交付使用前的相关手续（按每辆车独立准备材料并办理相关手续）。</w:t>
            </w:r>
          </w:p>
          <w:p w14:paraId="22EFE270">
            <w:pPr>
              <w:wordWrap w:val="0"/>
              <w:spacing w:line="360" w:lineRule="exact"/>
              <w:ind w:firstLine="420" w:firstLineChars="200"/>
              <w:rPr>
                <w:rFonts w:hint="eastAsia" w:ascii="宋体" w:hAnsi="宋体"/>
                <w:color w:val="000000"/>
                <w:szCs w:val="21"/>
              </w:rPr>
            </w:pPr>
            <w:r>
              <w:rPr>
                <w:rFonts w:hint="eastAsia" w:ascii="宋体" w:hAnsi="宋体"/>
                <w:color w:val="000000"/>
                <w:szCs w:val="21"/>
              </w:rPr>
              <w:t>2.投标人所投标车辆可以在工信部（工业和信息化部装备工业发展中心）“道路机动车辆生产企业及产品信息查询系统”（https://service.miit-eidc.org.cn/miitxxgk/gonggao_xxgk/index_ggcp.html）公告查询，投标产品的车辆名称及型号须与“道路机动车辆生产企业及产品信息查询系统”公告的产品信息一致。</w:t>
            </w:r>
          </w:p>
          <w:p w14:paraId="6E177990">
            <w:pPr>
              <w:spacing w:line="360" w:lineRule="exact"/>
              <w:ind w:right="-57" w:rightChars="-27" w:firstLine="420" w:firstLineChars="200"/>
              <w:jc w:val="left"/>
              <w:rPr>
                <w:rFonts w:hint="eastAsia" w:ascii="宋体" w:hAnsi="宋体"/>
                <w:szCs w:val="21"/>
              </w:rPr>
            </w:pPr>
            <w:r>
              <w:rPr>
                <w:rFonts w:hint="eastAsia" w:ascii="宋体" w:hAnsi="宋体"/>
                <w:color w:val="000000"/>
                <w:szCs w:val="21"/>
              </w:rPr>
              <w:t>3.投标人所投标车辆的底盘须为国家《道路机动车辆生产企业及产品公告》内的产品，符合现行国家专用汽</w:t>
            </w:r>
            <w:r>
              <w:rPr>
                <w:rFonts w:hint="eastAsia" w:ascii="宋体" w:hAnsi="宋体"/>
                <w:szCs w:val="21"/>
              </w:rPr>
              <w:t>车的相关要求。</w:t>
            </w:r>
          </w:p>
          <w:p w14:paraId="2731CDFB">
            <w:pPr>
              <w:spacing w:line="360" w:lineRule="exact"/>
              <w:ind w:right="-57" w:rightChars="-27" w:firstLine="422" w:firstLineChars="200"/>
              <w:jc w:val="left"/>
              <w:rPr>
                <w:rFonts w:hint="eastAsia" w:ascii="宋体" w:hAnsi="宋体"/>
                <w:szCs w:val="21"/>
              </w:rPr>
            </w:pPr>
            <w:r>
              <w:rPr>
                <w:rFonts w:hint="eastAsia" w:ascii="宋体" w:hAnsi="宋体"/>
                <w:b/>
                <w:bCs/>
                <w:szCs w:val="21"/>
                <w:u w:val="single"/>
              </w:rPr>
              <w:t>注：投标文件中提供“道路机动车辆生产企业及产品信息查询系统”公告查询截图，截图应清晰显示车辆名称，否则投标无效</w:t>
            </w:r>
            <w:r>
              <w:rPr>
                <w:rFonts w:hint="eastAsia" w:ascii="宋体" w:hAnsi="宋体"/>
                <w:szCs w:val="21"/>
              </w:rPr>
              <w:t>。</w:t>
            </w:r>
          </w:p>
          <w:p w14:paraId="65E5588F">
            <w:pPr>
              <w:spacing w:line="360" w:lineRule="exact"/>
              <w:ind w:right="-57" w:rightChars="-27" w:firstLine="420" w:firstLineChars="200"/>
              <w:jc w:val="left"/>
              <w:rPr>
                <w:rFonts w:hint="eastAsia" w:ascii="宋体" w:hAnsi="宋体"/>
                <w:szCs w:val="21"/>
              </w:rPr>
            </w:pPr>
            <w:r>
              <w:rPr>
                <w:rFonts w:hint="eastAsia" w:ascii="宋体" w:hAnsi="宋体"/>
                <w:szCs w:val="21"/>
              </w:rPr>
              <w:t>4.供应商提供的专用机动车辆必须实质性满足车管部门注册登记上牌的相关要求，所投产品车辆确保能在广西区内上牌，并协助采购人完成办理车辆上牌手续（投标文件中提供承诺函，格式自拟）。</w:t>
            </w:r>
          </w:p>
          <w:p w14:paraId="0B761148">
            <w:pPr>
              <w:spacing w:line="360" w:lineRule="exact"/>
              <w:ind w:right="-57" w:rightChars="-27" w:firstLine="420" w:firstLineChars="200"/>
              <w:jc w:val="left"/>
              <w:rPr>
                <w:color w:val="000000"/>
              </w:rPr>
            </w:pPr>
            <w:r>
              <w:rPr>
                <w:rFonts w:hint="eastAsia" w:ascii="宋体" w:hAnsi="宋体"/>
                <w:color w:val="000000"/>
                <w:szCs w:val="21"/>
              </w:rPr>
              <w:t>5.装备涉及须办理车辆注册登记、检测审验、挂牌行驶等车管业务的，中标供应商须承担所需全部费用（首次交强险、首年车船税、购置税、上线检测费、牌证费等）；采购人同期提供有关公安车管业务办理时所需文书等资料。</w:t>
            </w:r>
          </w:p>
          <w:p w14:paraId="615034DF">
            <w:pPr>
              <w:spacing w:line="360" w:lineRule="exact"/>
              <w:ind w:firstLine="420" w:firstLineChars="200"/>
              <w:rPr>
                <w:rFonts w:hint="eastAsia" w:ascii="宋体" w:hAnsi="宋体"/>
                <w:b/>
                <w:color w:val="000000"/>
                <w:szCs w:val="21"/>
              </w:rPr>
            </w:pPr>
            <w:r>
              <w:rPr>
                <w:rFonts w:hint="eastAsia" w:ascii="宋体" w:hAnsi="宋体"/>
                <w:color w:val="000000"/>
                <w:szCs w:val="21"/>
              </w:rPr>
              <w:t>6.按采购人要求对所投产品统一外观涂装。</w:t>
            </w:r>
          </w:p>
        </w:tc>
      </w:tr>
      <w:tr w14:paraId="0F03FF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00" w:type="pct"/>
            <w:gridSpan w:val="8"/>
            <w:tcBorders>
              <w:top w:val="single" w:color="auto" w:sz="4" w:space="0"/>
              <w:left w:val="single" w:color="auto" w:sz="4" w:space="0"/>
              <w:bottom w:val="single" w:color="auto" w:sz="4" w:space="0"/>
              <w:right w:val="single" w:color="auto" w:sz="4" w:space="0"/>
            </w:tcBorders>
            <w:noWrap w:val="0"/>
            <w:vAlign w:val="center"/>
          </w:tcPr>
          <w:p w14:paraId="18BCFA08">
            <w:pPr>
              <w:spacing w:line="360" w:lineRule="exact"/>
              <w:rPr>
                <w:rFonts w:hint="eastAsia" w:ascii="宋体" w:hAnsi="宋体"/>
                <w:b/>
                <w:szCs w:val="21"/>
              </w:rPr>
            </w:pPr>
            <w:r>
              <w:rPr>
                <w:rFonts w:hint="eastAsia" w:ascii="宋体" w:hAnsi="宋体"/>
                <w:b/>
                <w:szCs w:val="21"/>
              </w:rPr>
              <w:t>三、其他说明</w:t>
            </w:r>
          </w:p>
        </w:tc>
      </w:tr>
      <w:tr w14:paraId="5D30C0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00" w:type="pct"/>
            <w:gridSpan w:val="8"/>
            <w:tcBorders>
              <w:top w:val="single" w:color="auto" w:sz="4" w:space="0"/>
              <w:left w:val="single" w:color="auto" w:sz="4" w:space="0"/>
              <w:bottom w:val="single" w:color="auto" w:sz="4" w:space="0"/>
              <w:right w:val="single" w:color="auto" w:sz="4" w:space="0"/>
            </w:tcBorders>
            <w:noWrap w:val="0"/>
            <w:vAlign w:val="center"/>
          </w:tcPr>
          <w:p w14:paraId="6E640F02">
            <w:pPr>
              <w:spacing w:line="360" w:lineRule="exact"/>
              <w:ind w:firstLine="404" w:firstLineChars="200"/>
              <w:rPr>
                <w:rFonts w:hint="eastAsia" w:ascii="宋体" w:hAnsi="宋体" w:eastAsia="宋体" w:cs="Times New Roman"/>
                <w:spacing w:val="-4"/>
                <w:szCs w:val="21"/>
              </w:rPr>
            </w:pPr>
            <w:r>
              <w:rPr>
                <w:rFonts w:hint="eastAsia" w:ascii="宋体" w:hAnsi="宋体" w:eastAsia="宋体" w:cs="Times New Roman"/>
                <w:spacing w:val="-4"/>
                <w:szCs w:val="21"/>
              </w:rPr>
              <w:t>▲1.</w:t>
            </w:r>
            <w:r>
              <w:rPr>
                <w:rFonts w:hint="eastAsia" w:ascii="宋体" w:hAnsi="宋体" w:eastAsia="宋体" w:cs="Times New Roman"/>
                <w:b/>
                <w:bCs/>
                <w:spacing w:val="-4"/>
                <w:szCs w:val="21"/>
              </w:rPr>
              <w:t>投标人的分标投标总报价超所投分标最高限价或标的单价报价超单价控制价的作无效投标处理。</w:t>
            </w:r>
          </w:p>
          <w:p w14:paraId="69595396">
            <w:pPr>
              <w:spacing w:line="360" w:lineRule="exact"/>
              <w:ind w:firstLine="404" w:firstLineChars="200"/>
              <w:rPr>
                <w:rFonts w:hint="eastAsia" w:ascii="宋体" w:hAnsi="宋体"/>
                <w:szCs w:val="21"/>
              </w:rPr>
            </w:pPr>
            <w:r>
              <w:rPr>
                <w:rFonts w:hint="eastAsia" w:ascii="宋体" w:hAnsi="宋体"/>
                <w:spacing w:val="-4"/>
                <w:szCs w:val="21"/>
              </w:rPr>
              <w:t>▲</w:t>
            </w:r>
            <w:r>
              <w:rPr>
                <w:rFonts w:hint="eastAsia" w:ascii="宋体" w:hAnsi="宋体"/>
                <w:b w:val="0"/>
                <w:bCs/>
                <w:spacing w:val="-4"/>
                <w:szCs w:val="21"/>
              </w:rPr>
              <w:t>2.</w:t>
            </w:r>
            <w:r>
              <w:rPr>
                <w:rFonts w:hint="eastAsia" w:ascii="宋体" w:hAnsi="宋体"/>
                <w:b/>
                <w:bCs w:val="0"/>
                <w:spacing w:val="-4"/>
                <w:szCs w:val="21"/>
              </w:rPr>
              <w:t>投标人就本项目需求中全部内容作完整唯一报价，不完整响应或拆分投标的将导致投标无效。</w:t>
            </w:r>
          </w:p>
          <w:p w14:paraId="4E659E66">
            <w:pPr>
              <w:spacing w:line="360" w:lineRule="exact"/>
              <w:ind w:firstLine="420" w:firstLineChars="200"/>
              <w:rPr>
                <w:rFonts w:hint="eastAsia" w:ascii="宋体" w:hAnsi="宋体"/>
                <w:b/>
                <w:szCs w:val="21"/>
              </w:rPr>
            </w:pPr>
            <w:r>
              <w:rPr>
                <w:rFonts w:hint="eastAsia" w:ascii="宋体" w:hAnsi="宋体"/>
                <w:b w:val="0"/>
                <w:bCs/>
                <w:szCs w:val="21"/>
              </w:rPr>
              <w:t>3.“技术需求及要求”中有特殊要求的，按其要求执行；未作要求的，如有，投标文件中可提供产品生产商编写的有参数描述的产品说明书或彩页（应有详细的产品技术介绍、技术参数、产品图样照片等），当投标文件中提供的产品参数与该产品生产商提供的参数同一参数内容不符合时，以生产商资料为准。</w:t>
            </w:r>
          </w:p>
          <w:p w14:paraId="22A2A959">
            <w:pPr>
              <w:spacing w:line="360" w:lineRule="exact"/>
              <w:rPr>
                <w:rFonts w:ascii="宋体" w:hAnsi="宋体"/>
                <w:b/>
                <w:szCs w:val="21"/>
              </w:rPr>
            </w:pPr>
            <w:r>
              <w:rPr>
                <w:rFonts w:hint="eastAsia" w:ascii="宋体" w:hAnsi="宋体"/>
                <w:b/>
                <w:szCs w:val="21"/>
              </w:rPr>
              <w:t xml:space="preserve">   </w:t>
            </w:r>
            <w:r>
              <w:rPr>
                <w:rFonts w:hint="eastAsia" w:ascii="宋体" w:hAnsi="宋体"/>
                <w:bCs/>
                <w:szCs w:val="21"/>
              </w:rPr>
              <w:t xml:space="preserve"> 4.投标人可根据评分标准在投标文件提供项目实施方案、人员培训方案、技术支持服务方案、应急预案、售后服务方案、质保期证明、信誉及业绩证明。</w:t>
            </w:r>
          </w:p>
        </w:tc>
      </w:tr>
    </w:tbl>
    <w:p w14:paraId="58C73F9A">
      <w:pPr>
        <w:spacing w:line="360" w:lineRule="auto"/>
        <w:ind w:firstLine="308" w:firstLineChars="147"/>
        <w:jc w:val="left"/>
        <w:rPr>
          <w:rFonts w:hint="eastAsia" w:ascii="宋体" w:hAnsi="宋体"/>
        </w:rPr>
      </w:pPr>
    </w:p>
    <w:p w14:paraId="0FC8B02A">
      <w:pPr>
        <w:spacing w:line="360" w:lineRule="auto"/>
        <w:ind w:firstLine="308" w:firstLineChars="147"/>
        <w:jc w:val="left"/>
        <w:rPr>
          <w:rFonts w:hint="eastAsia" w:ascii="宋体" w:hAnsi="宋体"/>
        </w:rPr>
      </w:pPr>
    </w:p>
    <w:p w14:paraId="5D89C39E">
      <w:pPr>
        <w:spacing w:line="360" w:lineRule="exact"/>
        <w:jc w:val="left"/>
        <w:rPr>
          <w:rFonts w:ascii="宋体" w:hAnsi="宋体"/>
          <w:b/>
          <w:sz w:val="30"/>
          <w:szCs w:val="30"/>
        </w:rPr>
      </w:pPr>
      <w:r>
        <w:rPr>
          <w:rFonts w:hint="eastAsia" w:ascii="宋体" w:hAnsi="宋体"/>
          <w:b/>
          <w:sz w:val="28"/>
          <w:szCs w:val="28"/>
        </w:rPr>
        <w:t xml:space="preserve">分标4 </w:t>
      </w:r>
      <w:r>
        <w:rPr>
          <w:rFonts w:hint="eastAsia" w:ascii="宋体" w:hAnsi="宋体"/>
          <w:b/>
          <w:szCs w:val="21"/>
        </w:rPr>
        <w:t xml:space="preserve"> 采购预算：553.85万元</w:t>
      </w:r>
    </w:p>
    <w:p w14:paraId="2C6D84D7">
      <w:pPr>
        <w:spacing w:line="360" w:lineRule="exact"/>
        <w:jc w:val="left"/>
        <w:rPr>
          <w:rFonts w:ascii="宋体" w:hAnsi="宋体"/>
          <w:b/>
          <w:szCs w:val="21"/>
        </w:rPr>
      </w:pPr>
      <w:r>
        <w:rPr>
          <w:rFonts w:hint="eastAsia" w:ascii="宋体" w:hAnsi="宋体"/>
          <w:b/>
          <w:szCs w:val="21"/>
        </w:rPr>
        <w:t>本分标第</w:t>
      </w:r>
      <w:r>
        <w:rPr>
          <w:rFonts w:hint="eastAsia" w:ascii="宋体" w:hAnsi="宋体"/>
          <w:b/>
          <w:szCs w:val="21"/>
          <w:u w:val="single"/>
        </w:rPr>
        <w:t xml:space="preserve"> 1 </w:t>
      </w:r>
      <w:r>
        <w:rPr>
          <w:rFonts w:hint="eastAsia" w:ascii="宋体" w:hAnsi="宋体"/>
          <w:b/>
          <w:szCs w:val="21"/>
        </w:rPr>
        <w:t xml:space="preserve">项货物 </w:t>
      </w:r>
      <w:r>
        <w:rPr>
          <w:rFonts w:hint="eastAsia" w:ascii="宋体" w:hAnsi="宋体"/>
          <w:b/>
          <w:szCs w:val="21"/>
          <w:u w:val="single"/>
        </w:rPr>
        <w:t xml:space="preserve">加长臂挖掘机 </w:t>
      </w:r>
      <w:r>
        <w:rPr>
          <w:rFonts w:hint="eastAsia" w:ascii="宋体" w:hAnsi="宋体"/>
          <w:b/>
          <w:szCs w:val="21"/>
        </w:rPr>
        <w:t>为核心产品。</w:t>
      </w:r>
    </w:p>
    <w:tbl>
      <w:tblPr>
        <w:tblStyle w:val="50"/>
        <w:tblW w:w="4997"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43"/>
        <w:gridCol w:w="1118"/>
        <w:gridCol w:w="32"/>
        <w:gridCol w:w="867"/>
        <w:gridCol w:w="823"/>
        <w:gridCol w:w="4208"/>
        <w:gridCol w:w="1450"/>
      </w:tblGrid>
      <w:tr w14:paraId="495E18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48" w:type="pct"/>
            <w:tcBorders>
              <w:top w:val="single" w:color="000000" w:sz="4" w:space="0"/>
              <w:left w:val="single" w:color="000000" w:sz="4" w:space="0"/>
              <w:bottom w:val="single" w:color="000000" w:sz="4" w:space="0"/>
              <w:right w:val="single" w:color="000000" w:sz="4" w:space="0"/>
            </w:tcBorders>
            <w:noWrap w:val="0"/>
            <w:vAlign w:val="center"/>
          </w:tcPr>
          <w:p w14:paraId="381E6665">
            <w:pPr>
              <w:tabs>
                <w:tab w:val="left" w:pos="180"/>
                <w:tab w:val="left" w:pos="1620"/>
              </w:tabs>
              <w:spacing w:line="360" w:lineRule="exact"/>
              <w:jc w:val="center"/>
              <w:rPr>
                <w:rFonts w:ascii="宋体" w:hAnsi="宋体"/>
                <w:b/>
                <w:szCs w:val="21"/>
              </w:rPr>
            </w:pPr>
            <w:r>
              <w:rPr>
                <w:rFonts w:hint="eastAsia" w:ascii="宋体" w:hAnsi="宋体"/>
                <w:b/>
                <w:szCs w:val="21"/>
              </w:rPr>
              <w:t>序号</w:t>
            </w:r>
          </w:p>
        </w:tc>
        <w:tc>
          <w:tcPr>
            <w:tcW w:w="625" w:type="pct"/>
            <w:tcBorders>
              <w:top w:val="single" w:color="000000" w:sz="4" w:space="0"/>
              <w:left w:val="single" w:color="000000" w:sz="4" w:space="0"/>
              <w:bottom w:val="single" w:color="000000" w:sz="4" w:space="0"/>
              <w:right w:val="single" w:color="000000" w:sz="4" w:space="0"/>
            </w:tcBorders>
            <w:noWrap w:val="0"/>
            <w:vAlign w:val="center"/>
          </w:tcPr>
          <w:p w14:paraId="1D7B4703">
            <w:pPr>
              <w:tabs>
                <w:tab w:val="left" w:pos="180"/>
                <w:tab w:val="left" w:pos="1620"/>
              </w:tabs>
              <w:spacing w:line="360" w:lineRule="exact"/>
              <w:jc w:val="center"/>
              <w:rPr>
                <w:rFonts w:hint="eastAsia" w:ascii="宋体" w:hAnsi="宋体"/>
                <w:b/>
                <w:szCs w:val="21"/>
              </w:rPr>
            </w:pPr>
            <w:r>
              <w:rPr>
                <w:rFonts w:hint="eastAsia" w:ascii="宋体" w:hAnsi="宋体"/>
                <w:b/>
                <w:szCs w:val="21"/>
              </w:rPr>
              <w:t>标的名称</w:t>
            </w:r>
          </w:p>
        </w:tc>
        <w:tc>
          <w:tcPr>
            <w:tcW w:w="503" w:type="pct"/>
            <w:gridSpan w:val="2"/>
            <w:tcBorders>
              <w:top w:val="single" w:color="000000" w:sz="4" w:space="0"/>
              <w:left w:val="single" w:color="000000" w:sz="4" w:space="0"/>
              <w:bottom w:val="single" w:color="000000" w:sz="4" w:space="0"/>
              <w:right w:val="single" w:color="000000" w:sz="4" w:space="0"/>
            </w:tcBorders>
            <w:noWrap w:val="0"/>
            <w:vAlign w:val="center"/>
          </w:tcPr>
          <w:p w14:paraId="1B0B70E6">
            <w:pPr>
              <w:tabs>
                <w:tab w:val="left" w:pos="180"/>
                <w:tab w:val="left" w:pos="1620"/>
              </w:tabs>
              <w:spacing w:line="360" w:lineRule="exact"/>
              <w:jc w:val="center"/>
              <w:rPr>
                <w:rFonts w:hint="eastAsia" w:ascii="宋体" w:hAnsi="宋体"/>
                <w:b/>
                <w:szCs w:val="21"/>
              </w:rPr>
            </w:pPr>
            <w:r>
              <w:rPr>
                <w:rFonts w:hint="eastAsia" w:ascii="宋体" w:hAnsi="宋体"/>
                <w:b/>
                <w:szCs w:val="21"/>
              </w:rPr>
              <w:t>数量及单位</w:t>
            </w:r>
          </w:p>
        </w:tc>
        <w:tc>
          <w:tcPr>
            <w:tcW w:w="460" w:type="pct"/>
            <w:tcBorders>
              <w:top w:val="single" w:color="000000" w:sz="4" w:space="0"/>
              <w:left w:val="single" w:color="000000" w:sz="4" w:space="0"/>
              <w:bottom w:val="single" w:color="000000" w:sz="4" w:space="0"/>
              <w:right w:val="single" w:color="000000" w:sz="4" w:space="0"/>
            </w:tcBorders>
            <w:noWrap w:val="0"/>
            <w:vAlign w:val="center"/>
          </w:tcPr>
          <w:p w14:paraId="44CF3C64">
            <w:pPr>
              <w:tabs>
                <w:tab w:val="left" w:pos="180"/>
                <w:tab w:val="left" w:pos="1620"/>
              </w:tabs>
              <w:spacing w:line="360" w:lineRule="exact"/>
              <w:jc w:val="center"/>
              <w:rPr>
                <w:rFonts w:hint="eastAsia" w:ascii="宋体" w:hAnsi="宋体" w:cs="Arial"/>
                <w:b/>
                <w:szCs w:val="21"/>
              </w:rPr>
            </w:pPr>
            <w:r>
              <w:rPr>
                <w:rFonts w:hint="eastAsia" w:ascii="宋体" w:hAnsi="宋体" w:cs="Arial"/>
                <w:b/>
                <w:szCs w:val="21"/>
              </w:rPr>
              <w:t>所属</w:t>
            </w:r>
          </w:p>
          <w:p w14:paraId="1704638D">
            <w:pPr>
              <w:tabs>
                <w:tab w:val="left" w:pos="180"/>
                <w:tab w:val="left" w:pos="1620"/>
              </w:tabs>
              <w:spacing w:line="360" w:lineRule="exact"/>
              <w:jc w:val="center"/>
              <w:rPr>
                <w:rFonts w:hint="eastAsia" w:ascii="宋体" w:hAnsi="宋体"/>
                <w:b/>
                <w:szCs w:val="21"/>
              </w:rPr>
            </w:pPr>
            <w:r>
              <w:rPr>
                <w:rFonts w:hint="eastAsia" w:ascii="宋体" w:hAnsi="宋体" w:cs="Arial"/>
                <w:b/>
                <w:szCs w:val="21"/>
              </w:rPr>
              <w:t>行业</w:t>
            </w:r>
          </w:p>
        </w:tc>
        <w:tc>
          <w:tcPr>
            <w:tcW w:w="2350" w:type="pct"/>
            <w:tcBorders>
              <w:top w:val="single" w:color="000000" w:sz="4" w:space="0"/>
              <w:left w:val="single" w:color="000000" w:sz="4" w:space="0"/>
              <w:bottom w:val="single" w:color="000000" w:sz="4" w:space="0"/>
              <w:right w:val="single" w:color="000000" w:sz="4" w:space="0"/>
            </w:tcBorders>
            <w:noWrap w:val="0"/>
            <w:vAlign w:val="center"/>
          </w:tcPr>
          <w:p w14:paraId="3868D232">
            <w:pPr>
              <w:tabs>
                <w:tab w:val="left" w:pos="180"/>
                <w:tab w:val="left" w:pos="1620"/>
              </w:tabs>
              <w:spacing w:line="360" w:lineRule="exact"/>
              <w:jc w:val="center"/>
              <w:rPr>
                <w:rFonts w:hint="eastAsia" w:ascii="宋体" w:hAnsi="宋体"/>
                <w:b/>
                <w:szCs w:val="21"/>
              </w:rPr>
            </w:pPr>
            <w:r>
              <w:rPr>
                <w:rFonts w:hint="eastAsia" w:ascii="宋体" w:hAnsi="宋体"/>
                <w:b/>
                <w:szCs w:val="21"/>
              </w:rPr>
              <w:t>技术需求及要求</w:t>
            </w:r>
          </w:p>
        </w:tc>
        <w:tc>
          <w:tcPr>
            <w:tcW w:w="810" w:type="pct"/>
            <w:tcBorders>
              <w:top w:val="single" w:color="000000" w:sz="4" w:space="0"/>
              <w:left w:val="single" w:color="000000" w:sz="4" w:space="0"/>
              <w:bottom w:val="single" w:color="000000" w:sz="4" w:space="0"/>
              <w:right w:val="single" w:color="000000" w:sz="4" w:space="0"/>
            </w:tcBorders>
            <w:noWrap w:val="0"/>
            <w:vAlign w:val="center"/>
          </w:tcPr>
          <w:p w14:paraId="70B8C7FA">
            <w:pPr>
              <w:tabs>
                <w:tab w:val="left" w:pos="180"/>
                <w:tab w:val="left" w:pos="1620"/>
              </w:tabs>
              <w:spacing w:line="360" w:lineRule="exact"/>
              <w:jc w:val="center"/>
              <w:rPr>
                <w:rFonts w:hint="eastAsia" w:ascii="宋体" w:hAnsi="宋体"/>
                <w:b/>
                <w:szCs w:val="21"/>
              </w:rPr>
            </w:pPr>
            <w:r>
              <w:rPr>
                <w:rFonts w:hint="eastAsia" w:ascii="宋体" w:hAnsi="宋体"/>
                <w:b/>
                <w:szCs w:val="21"/>
              </w:rPr>
              <w:t>单价控制价【万元/台（套）】</w:t>
            </w:r>
          </w:p>
        </w:tc>
      </w:tr>
      <w:tr w14:paraId="7E60C2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48" w:type="pct"/>
            <w:tcBorders>
              <w:top w:val="single" w:color="000000" w:sz="4" w:space="0"/>
              <w:left w:val="single" w:color="000000" w:sz="4" w:space="0"/>
              <w:bottom w:val="single" w:color="000000" w:sz="4" w:space="0"/>
              <w:right w:val="single" w:color="000000" w:sz="4" w:space="0"/>
            </w:tcBorders>
            <w:noWrap w:val="0"/>
            <w:vAlign w:val="center"/>
          </w:tcPr>
          <w:p w14:paraId="410E6C68">
            <w:pPr>
              <w:snapToGrid w:val="0"/>
              <w:spacing w:line="360" w:lineRule="exact"/>
              <w:ind w:left="440" w:hanging="440"/>
              <w:rPr>
                <w:rFonts w:hint="eastAsia" w:ascii="宋体" w:hAnsi="宋体"/>
                <w:szCs w:val="21"/>
              </w:rPr>
            </w:pPr>
            <w:r>
              <w:rPr>
                <w:rFonts w:hint="eastAsia" w:ascii="宋体" w:hAnsi="宋体"/>
                <w:szCs w:val="21"/>
              </w:rPr>
              <w:t>1</w:t>
            </w:r>
          </w:p>
        </w:tc>
        <w:tc>
          <w:tcPr>
            <w:tcW w:w="625" w:type="pct"/>
            <w:tcBorders>
              <w:top w:val="single" w:color="000000" w:sz="4" w:space="0"/>
              <w:left w:val="single" w:color="000000" w:sz="4" w:space="0"/>
              <w:bottom w:val="single" w:color="auto" w:sz="4" w:space="0"/>
              <w:right w:val="single" w:color="000000" w:sz="4" w:space="0"/>
            </w:tcBorders>
            <w:noWrap w:val="0"/>
            <w:vAlign w:val="center"/>
          </w:tcPr>
          <w:p w14:paraId="39E3DC4E">
            <w:pPr>
              <w:widowControl/>
              <w:spacing w:line="360" w:lineRule="exact"/>
              <w:jc w:val="center"/>
              <w:textAlignment w:val="center"/>
              <w:rPr>
                <w:rFonts w:hint="eastAsia" w:ascii="宋体" w:hAnsi="宋体"/>
                <w:szCs w:val="21"/>
              </w:rPr>
            </w:pPr>
            <w:r>
              <w:rPr>
                <w:rFonts w:hint="eastAsia" w:ascii="宋体" w:hAnsi="宋体"/>
                <w:szCs w:val="21"/>
              </w:rPr>
              <w:t>加长臂挖掘机</w:t>
            </w:r>
          </w:p>
        </w:tc>
        <w:tc>
          <w:tcPr>
            <w:tcW w:w="503" w:type="pct"/>
            <w:gridSpan w:val="2"/>
            <w:tcBorders>
              <w:top w:val="single" w:color="000000" w:sz="4" w:space="0"/>
              <w:left w:val="single" w:color="000000" w:sz="4" w:space="0"/>
              <w:bottom w:val="single" w:color="auto" w:sz="4" w:space="0"/>
              <w:right w:val="single" w:color="000000" w:sz="4" w:space="0"/>
            </w:tcBorders>
            <w:noWrap w:val="0"/>
            <w:vAlign w:val="center"/>
          </w:tcPr>
          <w:p w14:paraId="04D6F46F">
            <w:pPr>
              <w:widowControl/>
              <w:spacing w:line="360" w:lineRule="exact"/>
              <w:jc w:val="center"/>
              <w:textAlignment w:val="center"/>
              <w:rPr>
                <w:rFonts w:hint="eastAsia" w:ascii="宋体" w:hAnsi="宋体"/>
                <w:szCs w:val="21"/>
              </w:rPr>
            </w:pPr>
            <w:r>
              <w:rPr>
                <w:rFonts w:hint="eastAsia" w:ascii="宋体" w:hAnsi="宋体"/>
                <w:szCs w:val="21"/>
              </w:rPr>
              <w:t>1台</w:t>
            </w:r>
          </w:p>
        </w:tc>
        <w:tc>
          <w:tcPr>
            <w:tcW w:w="460" w:type="pct"/>
            <w:tcBorders>
              <w:top w:val="single" w:color="000000" w:sz="4" w:space="0"/>
              <w:left w:val="single" w:color="000000" w:sz="4" w:space="0"/>
              <w:bottom w:val="single" w:color="auto" w:sz="4" w:space="0"/>
              <w:right w:val="single" w:color="000000" w:sz="4" w:space="0"/>
            </w:tcBorders>
            <w:noWrap w:val="0"/>
            <w:vAlign w:val="center"/>
          </w:tcPr>
          <w:p w14:paraId="760B7320">
            <w:pPr>
              <w:widowControl/>
              <w:spacing w:line="360" w:lineRule="exact"/>
              <w:jc w:val="center"/>
              <w:textAlignment w:val="center"/>
              <w:rPr>
                <w:rFonts w:hint="eastAsia" w:ascii="宋体" w:hAnsi="宋体"/>
                <w:szCs w:val="21"/>
              </w:rPr>
            </w:pPr>
            <w:r>
              <w:rPr>
                <w:rFonts w:hint="eastAsia" w:ascii="宋体" w:hAnsi="宋体"/>
                <w:szCs w:val="21"/>
              </w:rPr>
              <w:t>工业</w:t>
            </w:r>
          </w:p>
        </w:tc>
        <w:tc>
          <w:tcPr>
            <w:tcW w:w="2350" w:type="pct"/>
            <w:tcBorders>
              <w:top w:val="single" w:color="000000" w:sz="4" w:space="0"/>
              <w:left w:val="single" w:color="000000" w:sz="4" w:space="0"/>
              <w:bottom w:val="single" w:color="000000" w:sz="4" w:space="0"/>
              <w:right w:val="single" w:color="000000" w:sz="4" w:space="0"/>
            </w:tcBorders>
            <w:noWrap w:val="0"/>
            <w:vAlign w:val="center"/>
          </w:tcPr>
          <w:p w14:paraId="4999B5C9">
            <w:pPr>
              <w:widowControl/>
              <w:spacing w:line="360" w:lineRule="exact"/>
              <w:textAlignment w:val="top"/>
              <w:rPr>
                <w:rFonts w:hint="eastAsia" w:ascii="宋体" w:hAnsi="宋体"/>
                <w:szCs w:val="21"/>
              </w:rPr>
            </w:pPr>
            <w:r>
              <w:rPr>
                <w:rFonts w:hint="eastAsia" w:ascii="宋体" w:hAnsi="宋体"/>
                <w:szCs w:val="21"/>
              </w:rPr>
              <w:t>1.整机工作质量≥40t；</w:t>
            </w:r>
          </w:p>
          <w:p w14:paraId="1641AE96">
            <w:pPr>
              <w:widowControl/>
              <w:spacing w:line="360" w:lineRule="exact"/>
              <w:textAlignment w:val="top"/>
              <w:rPr>
                <w:rFonts w:hint="eastAsia" w:ascii="宋体" w:hAnsi="宋体"/>
                <w:szCs w:val="21"/>
              </w:rPr>
            </w:pPr>
            <w:r>
              <w:rPr>
                <w:rFonts w:hint="eastAsia" w:ascii="宋体" w:hAnsi="宋体"/>
                <w:szCs w:val="21"/>
              </w:rPr>
              <w:t>▲2.标准臂斗容≥2m³；</w:t>
            </w:r>
          </w:p>
          <w:p w14:paraId="4B5DE0EC">
            <w:pPr>
              <w:widowControl/>
              <w:spacing w:line="360" w:lineRule="exact"/>
              <w:textAlignment w:val="top"/>
              <w:rPr>
                <w:rFonts w:hint="eastAsia" w:ascii="宋体" w:hAnsi="宋体"/>
                <w:szCs w:val="21"/>
              </w:rPr>
            </w:pPr>
            <w:r>
              <w:rPr>
                <w:rFonts w:hint="eastAsia" w:ascii="宋体" w:hAnsi="宋体"/>
                <w:szCs w:val="21"/>
              </w:rPr>
              <w:t>▲3.铲斗类型：岩石斗；</w:t>
            </w:r>
          </w:p>
          <w:p w14:paraId="5C494EFE">
            <w:pPr>
              <w:widowControl/>
              <w:spacing w:line="360" w:lineRule="exact"/>
              <w:textAlignment w:val="top"/>
              <w:rPr>
                <w:rFonts w:hint="eastAsia" w:ascii="宋体" w:hAnsi="宋体"/>
                <w:szCs w:val="21"/>
              </w:rPr>
            </w:pPr>
            <w:r>
              <w:rPr>
                <w:rFonts w:hint="eastAsia" w:ascii="宋体" w:hAnsi="宋体"/>
                <w:szCs w:val="21"/>
              </w:rPr>
              <w:t>▲4.发动机功率≥210kW；</w:t>
            </w:r>
          </w:p>
          <w:p w14:paraId="24A20D38">
            <w:pPr>
              <w:widowControl/>
              <w:spacing w:line="360" w:lineRule="exact"/>
              <w:textAlignment w:val="top"/>
              <w:rPr>
                <w:rFonts w:hint="eastAsia" w:ascii="宋体" w:hAnsi="宋体"/>
                <w:szCs w:val="21"/>
              </w:rPr>
            </w:pPr>
            <w:r>
              <w:rPr>
                <w:rFonts w:hint="eastAsia" w:ascii="宋体" w:hAnsi="宋体"/>
                <w:szCs w:val="21"/>
              </w:rPr>
              <w:t>5.排放标准：满足非道路国IV排放标准；</w:t>
            </w:r>
          </w:p>
          <w:p w14:paraId="1907A388">
            <w:pPr>
              <w:widowControl/>
              <w:spacing w:line="360" w:lineRule="exact"/>
              <w:textAlignment w:val="top"/>
              <w:rPr>
                <w:rFonts w:hint="eastAsia" w:ascii="宋体" w:hAnsi="宋体"/>
                <w:szCs w:val="21"/>
              </w:rPr>
            </w:pPr>
            <w:r>
              <w:rPr>
                <w:rFonts w:hint="eastAsia" w:ascii="宋体" w:hAnsi="宋体"/>
                <w:szCs w:val="21"/>
              </w:rPr>
              <w:t>6.行走速度（高/低）≥5.0/2.5(km/h)；</w:t>
            </w:r>
          </w:p>
          <w:p w14:paraId="076F5579">
            <w:pPr>
              <w:widowControl/>
              <w:spacing w:line="360" w:lineRule="exact"/>
              <w:textAlignment w:val="top"/>
              <w:rPr>
                <w:rFonts w:hint="eastAsia" w:ascii="宋体" w:hAnsi="宋体"/>
                <w:szCs w:val="21"/>
              </w:rPr>
            </w:pPr>
            <w:r>
              <w:rPr>
                <w:rFonts w:hint="eastAsia" w:ascii="宋体" w:hAnsi="宋体"/>
                <w:szCs w:val="21"/>
              </w:rPr>
              <w:t>7.爬坡能力≥35°；</w:t>
            </w:r>
          </w:p>
          <w:p w14:paraId="1BC2210C">
            <w:pPr>
              <w:widowControl/>
              <w:spacing w:line="360" w:lineRule="exact"/>
              <w:textAlignment w:val="top"/>
              <w:rPr>
                <w:rFonts w:hint="eastAsia" w:ascii="宋体" w:hAnsi="宋体"/>
                <w:szCs w:val="21"/>
              </w:rPr>
            </w:pPr>
            <w:r>
              <w:rPr>
                <w:rFonts w:hint="eastAsia" w:ascii="宋体" w:hAnsi="宋体"/>
                <w:szCs w:val="21"/>
              </w:rPr>
              <w:t>8.回转速度≥9.0rpm；</w:t>
            </w:r>
          </w:p>
          <w:p w14:paraId="1A5E8501">
            <w:pPr>
              <w:widowControl/>
              <w:spacing w:line="360" w:lineRule="exact"/>
              <w:textAlignment w:val="top"/>
              <w:rPr>
                <w:rFonts w:hint="eastAsia" w:ascii="宋体" w:hAnsi="宋体"/>
                <w:szCs w:val="21"/>
              </w:rPr>
            </w:pPr>
            <w:r>
              <w:rPr>
                <w:rFonts w:hint="eastAsia" w:ascii="宋体" w:hAnsi="宋体"/>
                <w:szCs w:val="21"/>
              </w:rPr>
              <w:t>9.标准臂铲斗最大挖掘力≥245KN；</w:t>
            </w:r>
          </w:p>
          <w:p w14:paraId="01BC7DE7">
            <w:pPr>
              <w:widowControl/>
              <w:spacing w:line="360" w:lineRule="exact"/>
              <w:textAlignment w:val="top"/>
              <w:rPr>
                <w:rFonts w:hint="eastAsia" w:ascii="宋体" w:hAnsi="宋体"/>
                <w:szCs w:val="21"/>
              </w:rPr>
            </w:pPr>
            <w:r>
              <w:rPr>
                <w:rFonts w:hint="eastAsia" w:ascii="宋体" w:hAnsi="宋体"/>
                <w:szCs w:val="21"/>
              </w:rPr>
              <w:t>10.标准臂斗杆最大挖掘力≥205KN；</w:t>
            </w:r>
          </w:p>
          <w:p w14:paraId="4C3E4AE0">
            <w:pPr>
              <w:widowControl/>
              <w:spacing w:line="360" w:lineRule="exact"/>
              <w:textAlignment w:val="top"/>
              <w:rPr>
                <w:rFonts w:hint="eastAsia" w:ascii="宋体" w:hAnsi="宋体"/>
                <w:szCs w:val="21"/>
              </w:rPr>
            </w:pPr>
            <w:r>
              <w:rPr>
                <w:rFonts w:hint="eastAsia" w:ascii="宋体" w:hAnsi="宋体"/>
                <w:szCs w:val="21"/>
              </w:rPr>
              <w:t>11.标准臂最大挖掘高度≥9800mm；</w:t>
            </w:r>
          </w:p>
          <w:p w14:paraId="37C60EFA">
            <w:pPr>
              <w:widowControl/>
              <w:spacing w:line="360" w:lineRule="exact"/>
              <w:textAlignment w:val="top"/>
              <w:rPr>
                <w:rFonts w:hint="eastAsia" w:ascii="宋体" w:hAnsi="宋体"/>
                <w:szCs w:val="21"/>
              </w:rPr>
            </w:pPr>
            <w:r>
              <w:rPr>
                <w:rFonts w:hint="eastAsia" w:ascii="宋体" w:hAnsi="宋体"/>
                <w:szCs w:val="21"/>
              </w:rPr>
              <w:t>12.标准臂最大挖掘深度≥6800mm；</w:t>
            </w:r>
          </w:p>
          <w:p w14:paraId="5994D08E">
            <w:pPr>
              <w:widowControl/>
              <w:spacing w:line="360" w:lineRule="exact"/>
              <w:textAlignment w:val="top"/>
              <w:rPr>
                <w:rFonts w:hint="eastAsia" w:ascii="宋体" w:hAnsi="宋体"/>
                <w:szCs w:val="21"/>
              </w:rPr>
            </w:pPr>
            <w:r>
              <w:rPr>
                <w:rFonts w:hint="eastAsia" w:ascii="宋体" w:hAnsi="宋体"/>
                <w:szCs w:val="21"/>
              </w:rPr>
              <w:t>13.标准臂最大卸载高度≥6600mm；</w:t>
            </w:r>
          </w:p>
          <w:p w14:paraId="441E1D10">
            <w:pPr>
              <w:widowControl/>
              <w:spacing w:line="360" w:lineRule="exact"/>
              <w:textAlignment w:val="top"/>
              <w:rPr>
                <w:rFonts w:hint="eastAsia" w:ascii="宋体" w:hAnsi="宋体"/>
                <w:szCs w:val="21"/>
              </w:rPr>
            </w:pPr>
            <w:r>
              <w:rPr>
                <w:rFonts w:hint="eastAsia" w:ascii="宋体" w:hAnsi="宋体"/>
                <w:szCs w:val="21"/>
              </w:rPr>
              <w:t>14.加长臂长度结构形式：≥两段式；</w:t>
            </w:r>
          </w:p>
          <w:p w14:paraId="7514DC76">
            <w:pPr>
              <w:widowControl/>
              <w:spacing w:line="360" w:lineRule="exact"/>
              <w:textAlignment w:val="top"/>
              <w:rPr>
                <w:rFonts w:hint="eastAsia" w:ascii="宋体" w:hAnsi="宋体"/>
                <w:szCs w:val="21"/>
              </w:rPr>
            </w:pPr>
            <w:r>
              <w:rPr>
                <w:rFonts w:hint="eastAsia" w:ascii="宋体" w:hAnsi="宋体"/>
                <w:szCs w:val="21"/>
              </w:rPr>
              <w:t>▲15.加长臂斗容≥0.45m³；</w:t>
            </w:r>
          </w:p>
          <w:p w14:paraId="71D82F29">
            <w:pPr>
              <w:widowControl/>
              <w:spacing w:line="360" w:lineRule="exact"/>
              <w:textAlignment w:val="top"/>
              <w:rPr>
                <w:rFonts w:hint="eastAsia" w:ascii="宋体" w:hAnsi="宋体"/>
                <w:szCs w:val="21"/>
              </w:rPr>
            </w:pPr>
            <w:r>
              <w:rPr>
                <w:rFonts w:hint="eastAsia" w:ascii="宋体" w:hAnsi="宋体"/>
                <w:szCs w:val="21"/>
              </w:rPr>
              <w:t>▲16.加长臂作业半径≥22m；</w:t>
            </w:r>
          </w:p>
          <w:p w14:paraId="05B8BA70">
            <w:pPr>
              <w:widowControl/>
              <w:spacing w:line="360" w:lineRule="exact"/>
              <w:textAlignment w:val="top"/>
              <w:rPr>
                <w:rFonts w:hint="eastAsia" w:ascii="宋体" w:hAnsi="宋体"/>
                <w:szCs w:val="21"/>
              </w:rPr>
            </w:pPr>
            <w:r>
              <w:rPr>
                <w:rFonts w:hint="eastAsia" w:ascii="宋体" w:hAnsi="宋体"/>
                <w:szCs w:val="21"/>
              </w:rPr>
              <w:t>17.挖掘深度≥16m；</w:t>
            </w:r>
          </w:p>
          <w:p w14:paraId="78E7E8C0">
            <w:pPr>
              <w:widowControl/>
              <w:spacing w:line="360" w:lineRule="exact"/>
              <w:textAlignment w:val="top"/>
              <w:rPr>
                <w:rFonts w:hint="eastAsia" w:ascii="宋体" w:hAnsi="宋体"/>
                <w:szCs w:val="21"/>
              </w:rPr>
            </w:pPr>
            <w:r>
              <w:rPr>
                <w:rFonts w:hint="eastAsia" w:ascii="宋体" w:hAnsi="宋体"/>
                <w:szCs w:val="21"/>
              </w:rPr>
              <w:t>18.挖掘高度≥17m；</w:t>
            </w:r>
          </w:p>
          <w:p w14:paraId="7638F465">
            <w:pPr>
              <w:widowControl/>
              <w:spacing w:line="360" w:lineRule="exact"/>
              <w:textAlignment w:val="top"/>
              <w:rPr>
                <w:rFonts w:hint="eastAsia" w:ascii="宋体" w:hAnsi="宋体"/>
                <w:szCs w:val="21"/>
              </w:rPr>
            </w:pPr>
            <w:r>
              <w:rPr>
                <w:rFonts w:hint="eastAsia" w:ascii="宋体" w:hAnsi="宋体"/>
                <w:szCs w:val="21"/>
              </w:rPr>
              <w:t>19.适应环境温度：-20℃至+45℃；</w:t>
            </w:r>
          </w:p>
          <w:p w14:paraId="4C0DE0E7">
            <w:pPr>
              <w:widowControl/>
              <w:spacing w:line="360" w:lineRule="exact"/>
              <w:textAlignment w:val="top"/>
              <w:rPr>
                <w:rFonts w:hint="eastAsia" w:ascii="宋体" w:hAnsi="宋体"/>
                <w:szCs w:val="21"/>
              </w:rPr>
            </w:pPr>
            <w:r>
              <w:rPr>
                <w:rFonts w:hint="eastAsia" w:ascii="宋体" w:hAnsi="宋体"/>
                <w:szCs w:val="21"/>
              </w:rPr>
              <w:t>20.适用海拔高度≥4000m；</w:t>
            </w:r>
          </w:p>
          <w:p w14:paraId="0FEEF4EE">
            <w:pPr>
              <w:widowControl/>
              <w:spacing w:line="360" w:lineRule="exact"/>
              <w:textAlignment w:val="top"/>
              <w:rPr>
                <w:rFonts w:hint="eastAsia" w:ascii="宋体" w:hAnsi="宋体"/>
                <w:szCs w:val="21"/>
              </w:rPr>
            </w:pPr>
            <w:r>
              <w:rPr>
                <w:rFonts w:hint="eastAsia" w:ascii="宋体" w:hAnsi="宋体"/>
                <w:szCs w:val="21"/>
              </w:rPr>
              <w:t>21.驾驶室满足防翻滚（ROPS）和防落物（FOPS）标准，配置防飞溅防护网、冷暖空调、悬浮座椅、后置摄像头；</w:t>
            </w:r>
          </w:p>
          <w:p w14:paraId="53D9BA8B">
            <w:pPr>
              <w:widowControl/>
              <w:spacing w:line="360" w:lineRule="exact"/>
              <w:textAlignment w:val="top"/>
              <w:rPr>
                <w:rFonts w:hint="eastAsia" w:ascii="宋体" w:hAnsi="宋体"/>
                <w:szCs w:val="21"/>
              </w:rPr>
            </w:pPr>
            <w:r>
              <w:rPr>
                <w:rFonts w:hint="eastAsia" w:ascii="宋体" w:hAnsi="宋体"/>
                <w:szCs w:val="21"/>
              </w:rPr>
              <w:t>22.配置冷启动装置，冷启动能力达到-20℃；</w:t>
            </w:r>
          </w:p>
          <w:p w14:paraId="6AB95EB8">
            <w:pPr>
              <w:widowControl/>
              <w:spacing w:line="360" w:lineRule="exact"/>
              <w:textAlignment w:val="top"/>
              <w:rPr>
                <w:rFonts w:hint="eastAsia" w:ascii="宋体" w:hAnsi="宋体"/>
                <w:szCs w:val="21"/>
              </w:rPr>
            </w:pPr>
            <w:r>
              <w:rPr>
                <w:rFonts w:hint="eastAsia" w:ascii="宋体" w:hAnsi="宋体"/>
                <w:szCs w:val="21"/>
              </w:rPr>
              <w:t>23.配置标准臂（含铲斗）和加长臂（含铲斗）各1套。</w:t>
            </w:r>
          </w:p>
        </w:tc>
        <w:tc>
          <w:tcPr>
            <w:tcW w:w="810" w:type="pct"/>
            <w:tcBorders>
              <w:top w:val="single" w:color="000000" w:sz="4" w:space="0"/>
              <w:left w:val="single" w:color="000000" w:sz="4" w:space="0"/>
              <w:bottom w:val="single" w:color="000000" w:sz="4" w:space="0"/>
              <w:right w:val="single" w:color="000000" w:sz="4" w:space="0"/>
            </w:tcBorders>
            <w:noWrap w:val="0"/>
            <w:vAlign w:val="center"/>
          </w:tcPr>
          <w:p w14:paraId="1C85A7DC">
            <w:pPr>
              <w:widowControl/>
              <w:spacing w:line="360" w:lineRule="exact"/>
              <w:jc w:val="center"/>
              <w:textAlignment w:val="top"/>
              <w:rPr>
                <w:rFonts w:ascii="仿宋" w:hAnsi="仿宋" w:eastAsia="仿宋" w:cs="仿宋"/>
                <w:szCs w:val="21"/>
              </w:rPr>
            </w:pPr>
            <w:r>
              <w:rPr>
                <w:rFonts w:hint="eastAsia" w:ascii="仿宋" w:hAnsi="仿宋" w:eastAsia="仿宋" w:cs="仿宋"/>
                <w:szCs w:val="21"/>
              </w:rPr>
              <w:t>191.50</w:t>
            </w:r>
          </w:p>
        </w:tc>
      </w:tr>
      <w:tr w14:paraId="719E7C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48" w:type="pct"/>
            <w:tcBorders>
              <w:top w:val="single" w:color="000000" w:sz="4" w:space="0"/>
              <w:left w:val="single" w:color="000000" w:sz="4" w:space="0"/>
              <w:bottom w:val="single" w:color="000000" w:sz="4" w:space="0"/>
              <w:right w:val="single" w:color="000000" w:sz="4" w:space="0"/>
            </w:tcBorders>
            <w:noWrap w:val="0"/>
            <w:vAlign w:val="center"/>
          </w:tcPr>
          <w:p w14:paraId="3346CEAF">
            <w:pPr>
              <w:snapToGrid w:val="0"/>
              <w:spacing w:line="360" w:lineRule="exact"/>
              <w:ind w:left="440" w:hanging="440"/>
              <w:rPr>
                <w:rFonts w:hint="eastAsia" w:ascii="宋体" w:hAnsi="宋体"/>
                <w:szCs w:val="21"/>
              </w:rPr>
            </w:pPr>
            <w:r>
              <w:rPr>
                <w:rFonts w:hint="eastAsia" w:ascii="宋体" w:hAnsi="宋体"/>
                <w:szCs w:val="21"/>
              </w:rPr>
              <w:t>2</w:t>
            </w:r>
          </w:p>
        </w:tc>
        <w:tc>
          <w:tcPr>
            <w:tcW w:w="625" w:type="pct"/>
            <w:tcBorders>
              <w:top w:val="single" w:color="000000" w:sz="4" w:space="0"/>
              <w:left w:val="single" w:color="000000" w:sz="4" w:space="0"/>
              <w:bottom w:val="single" w:color="auto" w:sz="4" w:space="0"/>
              <w:right w:val="single" w:color="000000" w:sz="4" w:space="0"/>
            </w:tcBorders>
            <w:noWrap w:val="0"/>
            <w:vAlign w:val="center"/>
          </w:tcPr>
          <w:p w14:paraId="107B7530">
            <w:pPr>
              <w:widowControl/>
              <w:spacing w:line="360" w:lineRule="exact"/>
              <w:jc w:val="center"/>
              <w:textAlignment w:val="center"/>
              <w:rPr>
                <w:rFonts w:hint="eastAsia" w:ascii="宋体" w:hAnsi="宋体"/>
                <w:szCs w:val="21"/>
              </w:rPr>
            </w:pPr>
            <w:r>
              <w:rPr>
                <w:rFonts w:hint="eastAsia" w:ascii="宋体" w:hAnsi="宋体"/>
                <w:szCs w:val="21"/>
              </w:rPr>
              <w:t>无人驾驶履带挖掘机</w:t>
            </w:r>
          </w:p>
        </w:tc>
        <w:tc>
          <w:tcPr>
            <w:tcW w:w="503" w:type="pct"/>
            <w:gridSpan w:val="2"/>
            <w:tcBorders>
              <w:top w:val="single" w:color="000000" w:sz="4" w:space="0"/>
              <w:left w:val="single" w:color="000000" w:sz="4" w:space="0"/>
              <w:bottom w:val="single" w:color="auto" w:sz="4" w:space="0"/>
              <w:right w:val="single" w:color="000000" w:sz="4" w:space="0"/>
            </w:tcBorders>
            <w:noWrap w:val="0"/>
            <w:vAlign w:val="center"/>
          </w:tcPr>
          <w:p w14:paraId="71881EDC">
            <w:pPr>
              <w:widowControl/>
              <w:spacing w:line="360" w:lineRule="exact"/>
              <w:jc w:val="center"/>
              <w:textAlignment w:val="center"/>
              <w:rPr>
                <w:rFonts w:hint="eastAsia" w:ascii="宋体" w:hAnsi="宋体"/>
                <w:szCs w:val="21"/>
              </w:rPr>
            </w:pPr>
            <w:r>
              <w:rPr>
                <w:rFonts w:hint="eastAsia" w:ascii="宋体" w:hAnsi="宋体"/>
                <w:szCs w:val="21"/>
              </w:rPr>
              <w:t>1台</w:t>
            </w:r>
          </w:p>
        </w:tc>
        <w:tc>
          <w:tcPr>
            <w:tcW w:w="460" w:type="pct"/>
            <w:tcBorders>
              <w:top w:val="single" w:color="000000" w:sz="4" w:space="0"/>
              <w:left w:val="single" w:color="000000" w:sz="4" w:space="0"/>
              <w:bottom w:val="single" w:color="auto" w:sz="4" w:space="0"/>
              <w:right w:val="single" w:color="000000" w:sz="4" w:space="0"/>
            </w:tcBorders>
            <w:noWrap w:val="0"/>
            <w:vAlign w:val="center"/>
          </w:tcPr>
          <w:p w14:paraId="02549023">
            <w:pPr>
              <w:widowControl/>
              <w:spacing w:line="360" w:lineRule="exact"/>
              <w:jc w:val="center"/>
              <w:textAlignment w:val="center"/>
              <w:rPr>
                <w:rFonts w:hint="eastAsia" w:ascii="宋体" w:hAnsi="宋体"/>
                <w:szCs w:val="21"/>
              </w:rPr>
            </w:pPr>
            <w:r>
              <w:rPr>
                <w:rFonts w:hint="eastAsia" w:ascii="宋体" w:hAnsi="宋体"/>
                <w:szCs w:val="21"/>
              </w:rPr>
              <w:t>工业</w:t>
            </w:r>
          </w:p>
        </w:tc>
        <w:tc>
          <w:tcPr>
            <w:tcW w:w="2350" w:type="pct"/>
            <w:tcBorders>
              <w:top w:val="single" w:color="000000" w:sz="4" w:space="0"/>
              <w:left w:val="single" w:color="000000" w:sz="4" w:space="0"/>
              <w:bottom w:val="single" w:color="000000" w:sz="4" w:space="0"/>
              <w:right w:val="single" w:color="000000" w:sz="4" w:space="0"/>
            </w:tcBorders>
            <w:noWrap w:val="0"/>
            <w:vAlign w:val="center"/>
          </w:tcPr>
          <w:p w14:paraId="62BE12A9">
            <w:pPr>
              <w:widowControl/>
              <w:spacing w:line="360" w:lineRule="exact"/>
              <w:textAlignment w:val="top"/>
              <w:rPr>
                <w:rFonts w:hint="eastAsia" w:ascii="宋体" w:hAnsi="宋体"/>
                <w:szCs w:val="21"/>
              </w:rPr>
            </w:pPr>
            <w:r>
              <w:rPr>
                <w:rFonts w:hint="eastAsia" w:ascii="宋体" w:hAnsi="宋体"/>
                <w:szCs w:val="21"/>
              </w:rPr>
              <w:t>1.整机工作质量≥25t；</w:t>
            </w:r>
          </w:p>
          <w:p w14:paraId="0411ABF3">
            <w:pPr>
              <w:widowControl/>
              <w:spacing w:line="360" w:lineRule="exact"/>
              <w:textAlignment w:val="top"/>
              <w:rPr>
                <w:rFonts w:hint="eastAsia" w:ascii="宋体" w:hAnsi="宋体"/>
                <w:szCs w:val="21"/>
              </w:rPr>
            </w:pPr>
            <w:r>
              <w:rPr>
                <w:rFonts w:hint="eastAsia" w:ascii="宋体" w:hAnsi="宋体"/>
                <w:szCs w:val="21"/>
              </w:rPr>
              <w:t>▲2.标准斗容≥1m³；</w:t>
            </w:r>
          </w:p>
          <w:p w14:paraId="1281E0BF">
            <w:pPr>
              <w:widowControl/>
              <w:spacing w:line="360" w:lineRule="exact"/>
              <w:textAlignment w:val="top"/>
              <w:rPr>
                <w:rFonts w:hint="eastAsia" w:ascii="宋体" w:hAnsi="宋体"/>
                <w:szCs w:val="21"/>
              </w:rPr>
            </w:pPr>
            <w:r>
              <w:rPr>
                <w:rFonts w:hint="eastAsia" w:ascii="宋体" w:hAnsi="宋体"/>
                <w:szCs w:val="21"/>
              </w:rPr>
              <w:t>3.铲斗类型：岩石斗；</w:t>
            </w:r>
          </w:p>
          <w:p w14:paraId="0AABFEC2">
            <w:pPr>
              <w:widowControl/>
              <w:spacing w:line="360" w:lineRule="exact"/>
              <w:textAlignment w:val="top"/>
              <w:rPr>
                <w:rFonts w:hint="eastAsia" w:ascii="宋体" w:hAnsi="宋体"/>
                <w:szCs w:val="21"/>
              </w:rPr>
            </w:pPr>
            <w:r>
              <w:rPr>
                <w:rFonts w:hint="eastAsia" w:ascii="宋体" w:hAnsi="宋体"/>
                <w:szCs w:val="21"/>
              </w:rPr>
              <w:t>▲4.发动机功率≥150kw；</w:t>
            </w:r>
          </w:p>
          <w:p w14:paraId="707267A7">
            <w:pPr>
              <w:widowControl/>
              <w:spacing w:line="360" w:lineRule="exact"/>
              <w:textAlignment w:val="top"/>
              <w:rPr>
                <w:rFonts w:hint="eastAsia" w:ascii="宋体" w:hAnsi="宋体"/>
                <w:szCs w:val="21"/>
              </w:rPr>
            </w:pPr>
            <w:r>
              <w:rPr>
                <w:rFonts w:hint="eastAsia" w:ascii="宋体" w:hAnsi="宋体"/>
                <w:szCs w:val="21"/>
              </w:rPr>
              <w:t>5.排放标准：不低于非道路国四标准；</w:t>
            </w:r>
          </w:p>
          <w:p w14:paraId="146556B8">
            <w:pPr>
              <w:widowControl/>
              <w:spacing w:line="360" w:lineRule="exact"/>
              <w:textAlignment w:val="top"/>
              <w:rPr>
                <w:rFonts w:hint="eastAsia" w:ascii="宋体" w:hAnsi="宋体"/>
                <w:szCs w:val="21"/>
              </w:rPr>
            </w:pPr>
            <w:r>
              <w:rPr>
                <w:rFonts w:hint="eastAsia" w:ascii="宋体" w:hAnsi="宋体"/>
                <w:szCs w:val="21"/>
              </w:rPr>
              <w:t>6.行走速度(高/低)：≥5/3(km/h)；</w:t>
            </w:r>
          </w:p>
          <w:p w14:paraId="73DDC8F2">
            <w:pPr>
              <w:widowControl/>
              <w:spacing w:line="360" w:lineRule="exact"/>
              <w:textAlignment w:val="top"/>
              <w:rPr>
                <w:rFonts w:hint="eastAsia" w:ascii="宋体" w:hAnsi="宋体"/>
                <w:szCs w:val="21"/>
              </w:rPr>
            </w:pPr>
            <w:r>
              <w:rPr>
                <w:rFonts w:hint="eastAsia" w:ascii="宋体" w:hAnsi="宋体"/>
                <w:szCs w:val="21"/>
              </w:rPr>
              <w:t>7.爬坡能力≥35°；</w:t>
            </w:r>
          </w:p>
          <w:p w14:paraId="452B6B3F">
            <w:pPr>
              <w:widowControl/>
              <w:spacing w:line="360" w:lineRule="exact"/>
              <w:textAlignment w:val="top"/>
              <w:rPr>
                <w:rFonts w:hint="eastAsia" w:ascii="宋体" w:hAnsi="宋体"/>
                <w:szCs w:val="21"/>
              </w:rPr>
            </w:pPr>
            <w:r>
              <w:rPr>
                <w:rFonts w:hint="eastAsia" w:ascii="宋体" w:hAnsi="宋体"/>
                <w:szCs w:val="21"/>
              </w:rPr>
              <w:t>8.回转速度≥10rpm；</w:t>
            </w:r>
          </w:p>
          <w:p w14:paraId="02832B53">
            <w:pPr>
              <w:widowControl/>
              <w:spacing w:line="360" w:lineRule="exact"/>
              <w:textAlignment w:val="top"/>
              <w:rPr>
                <w:rFonts w:hint="eastAsia" w:ascii="宋体" w:hAnsi="宋体"/>
                <w:szCs w:val="21"/>
              </w:rPr>
            </w:pPr>
            <w:r>
              <w:rPr>
                <w:rFonts w:hint="eastAsia" w:ascii="宋体" w:hAnsi="宋体"/>
                <w:szCs w:val="21"/>
              </w:rPr>
              <w:t>9.铲斗最大挖掘力≥175KN；</w:t>
            </w:r>
          </w:p>
          <w:p w14:paraId="08178006">
            <w:pPr>
              <w:widowControl/>
              <w:spacing w:line="360" w:lineRule="exact"/>
              <w:textAlignment w:val="top"/>
              <w:rPr>
                <w:rFonts w:hint="eastAsia" w:ascii="宋体" w:hAnsi="宋体"/>
                <w:szCs w:val="21"/>
              </w:rPr>
            </w:pPr>
            <w:r>
              <w:rPr>
                <w:rFonts w:hint="eastAsia" w:ascii="宋体" w:hAnsi="宋体"/>
                <w:szCs w:val="21"/>
              </w:rPr>
              <w:t>10.斗杆最大挖掘力≥120KN；</w:t>
            </w:r>
          </w:p>
          <w:p w14:paraId="2085C41F">
            <w:pPr>
              <w:widowControl/>
              <w:spacing w:line="360" w:lineRule="exact"/>
              <w:textAlignment w:val="top"/>
              <w:rPr>
                <w:rFonts w:hint="eastAsia" w:ascii="宋体" w:hAnsi="宋体"/>
                <w:szCs w:val="21"/>
              </w:rPr>
            </w:pPr>
            <w:r>
              <w:rPr>
                <w:rFonts w:hint="eastAsia" w:ascii="宋体" w:hAnsi="宋体"/>
                <w:szCs w:val="21"/>
              </w:rPr>
              <w:t>11.适应环境温度:-20°C至+45°C；</w:t>
            </w:r>
          </w:p>
          <w:p w14:paraId="6821A237">
            <w:pPr>
              <w:widowControl/>
              <w:spacing w:line="360" w:lineRule="exact"/>
              <w:textAlignment w:val="top"/>
              <w:rPr>
                <w:rFonts w:hint="eastAsia" w:ascii="宋体" w:hAnsi="宋体"/>
                <w:szCs w:val="21"/>
              </w:rPr>
            </w:pPr>
            <w:r>
              <w:rPr>
                <w:rFonts w:hint="eastAsia" w:ascii="宋体" w:hAnsi="宋体"/>
                <w:szCs w:val="21"/>
              </w:rPr>
              <w:t>12.驾驶室满足防翻滚（ROPS）和防落物（FOPS）标准，配置防飞溅防护网、冷暖空调、悬浮座椅、后置摄像头、配置冷启动装置，冷启动能力达到-20℃；定位及通信系统功能：北斗定位，4G；</w:t>
            </w:r>
          </w:p>
          <w:p w14:paraId="0FF470F0">
            <w:pPr>
              <w:widowControl/>
              <w:spacing w:line="360" w:lineRule="exact"/>
              <w:textAlignment w:val="top"/>
              <w:rPr>
                <w:rFonts w:hint="eastAsia" w:ascii="宋体" w:hAnsi="宋体"/>
                <w:szCs w:val="21"/>
              </w:rPr>
            </w:pPr>
            <w:r>
              <w:rPr>
                <w:rFonts w:hint="eastAsia" w:ascii="宋体" w:hAnsi="宋体"/>
                <w:szCs w:val="21"/>
              </w:rPr>
              <w:t>▲13.操作模式：主机驾驶室内常规操作近程遥控器操作， 适用距离200米以内远程遥控舱操作，远程遥控距离由现场网络覆盖范围决定，无遥控距离限制；</w:t>
            </w:r>
          </w:p>
          <w:p w14:paraId="74DF6683">
            <w:pPr>
              <w:widowControl/>
              <w:spacing w:line="360" w:lineRule="exact"/>
              <w:textAlignment w:val="top"/>
              <w:rPr>
                <w:rFonts w:hint="eastAsia" w:ascii="宋体" w:hAnsi="宋体"/>
                <w:szCs w:val="21"/>
              </w:rPr>
            </w:pPr>
            <w:r>
              <w:rPr>
                <w:rFonts w:hint="eastAsia" w:ascii="宋体" w:hAnsi="宋体"/>
                <w:szCs w:val="21"/>
              </w:rPr>
              <w:t>14.近程遥控操作系统：采用便携式遥控器操作,主要作业功能采用操作摇杆控制,重量≤5.5kg,续航时间≥5h；</w:t>
            </w:r>
          </w:p>
          <w:p w14:paraId="48FB1458">
            <w:pPr>
              <w:widowControl/>
              <w:spacing w:line="360" w:lineRule="exact"/>
              <w:textAlignment w:val="top"/>
              <w:rPr>
                <w:rFonts w:hint="eastAsia" w:ascii="宋体" w:hAnsi="宋体"/>
                <w:szCs w:val="21"/>
              </w:rPr>
            </w:pPr>
            <w:r>
              <w:rPr>
                <w:rFonts w:hint="eastAsia" w:ascii="宋体" w:hAnsi="宋体"/>
                <w:szCs w:val="21"/>
              </w:rPr>
              <w:t>15.远程摇控操作系统：采用遥控舱进行操作，遥控舱配备1：1遥控模拟主机驾驶舱,通过多组摄像头采集挖掘机360°周视环境，摄像头图像采集不小于4路，其中3路分辨率≥720P, 1路≥1080P云台摄像头,无障碍遥控距离≥2km,图传延时≤300ms,数传延时≤30ms,动作延时≤100ms；</w:t>
            </w:r>
          </w:p>
          <w:p w14:paraId="69D5AFCB">
            <w:pPr>
              <w:widowControl/>
              <w:spacing w:line="360" w:lineRule="exact"/>
              <w:textAlignment w:val="top"/>
              <w:rPr>
                <w:rFonts w:hint="eastAsia" w:ascii="宋体" w:hAnsi="宋体"/>
                <w:szCs w:val="21"/>
              </w:rPr>
            </w:pPr>
            <w:r>
              <w:rPr>
                <w:rFonts w:hint="eastAsia" w:ascii="宋体" w:hAnsi="宋体"/>
                <w:szCs w:val="21"/>
              </w:rPr>
              <w:t>16.物联网监控系统：具备挖掘机运行状态监测和报警功能,可实现故障预警、倾覆预警、网络异常预警等,当出现紧急情况时,可通过紧急停机按钮,执行限制发动机转速、限制挖掘机工作装置动作；</w:t>
            </w:r>
          </w:p>
          <w:p w14:paraId="0C849DBA">
            <w:pPr>
              <w:widowControl/>
              <w:spacing w:line="360" w:lineRule="exact"/>
              <w:textAlignment w:val="top"/>
              <w:rPr>
                <w:rFonts w:hint="eastAsia" w:ascii="宋体" w:hAnsi="宋体"/>
                <w:szCs w:val="21"/>
              </w:rPr>
            </w:pPr>
            <w:r>
              <w:rPr>
                <w:rFonts w:hint="eastAsia" w:ascii="宋体" w:hAnsi="宋体"/>
                <w:szCs w:val="21"/>
              </w:rPr>
              <w:t>17.配置与主机配套的快速转换接头、破碎锤、双缸液压剪、强击夯、打桩锤、莲花抓斗各1套。</w:t>
            </w:r>
          </w:p>
        </w:tc>
        <w:tc>
          <w:tcPr>
            <w:tcW w:w="810" w:type="pct"/>
            <w:tcBorders>
              <w:top w:val="single" w:color="000000" w:sz="4" w:space="0"/>
              <w:left w:val="single" w:color="000000" w:sz="4" w:space="0"/>
              <w:bottom w:val="single" w:color="000000" w:sz="4" w:space="0"/>
              <w:right w:val="single" w:color="000000" w:sz="4" w:space="0"/>
            </w:tcBorders>
            <w:noWrap w:val="0"/>
            <w:vAlign w:val="center"/>
          </w:tcPr>
          <w:p w14:paraId="765D8C7C">
            <w:pPr>
              <w:widowControl/>
              <w:spacing w:line="360" w:lineRule="exact"/>
              <w:jc w:val="center"/>
              <w:textAlignment w:val="top"/>
              <w:rPr>
                <w:rStyle w:val="194"/>
                <w:rFonts w:hint="default" w:ascii="宋体" w:hAnsi="宋体" w:cs="Times New Roman"/>
                <w:sz w:val="21"/>
                <w:szCs w:val="21"/>
              </w:rPr>
            </w:pPr>
            <w:r>
              <w:rPr>
                <w:rStyle w:val="194"/>
                <w:rFonts w:hint="default" w:ascii="宋体" w:hAnsi="宋体"/>
                <w:sz w:val="21"/>
                <w:szCs w:val="21"/>
              </w:rPr>
              <w:t>232.00</w:t>
            </w:r>
          </w:p>
        </w:tc>
      </w:tr>
      <w:tr w14:paraId="65C2E4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48" w:type="pct"/>
            <w:tcBorders>
              <w:top w:val="single" w:color="000000" w:sz="4" w:space="0"/>
              <w:left w:val="single" w:color="000000" w:sz="4" w:space="0"/>
              <w:bottom w:val="single" w:color="000000" w:sz="4" w:space="0"/>
              <w:right w:val="single" w:color="000000" w:sz="4" w:space="0"/>
            </w:tcBorders>
            <w:noWrap w:val="0"/>
            <w:vAlign w:val="center"/>
          </w:tcPr>
          <w:p w14:paraId="37D5660A">
            <w:pPr>
              <w:snapToGrid w:val="0"/>
              <w:spacing w:line="360" w:lineRule="exact"/>
              <w:ind w:left="440" w:hanging="440"/>
              <w:rPr>
                <w:rFonts w:hint="eastAsia" w:ascii="宋体" w:hAnsi="宋体"/>
                <w:szCs w:val="21"/>
              </w:rPr>
            </w:pPr>
            <w:r>
              <w:rPr>
                <w:rFonts w:hint="eastAsia" w:ascii="宋体" w:hAnsi="宋体"/>
                <w:szCs w:val="21"/>
              </w:rPr>
              <w:t>3</w:t>
            </w:r>
          </w:p>
        </w:tc>
        <w:tc>
          <w:tcPr>
            <w:tcW w:w="625" w:type="pct"/>
            <w:tcBorders>
              <w:top w:val="single" w:color="000000" w:sz="4" w:space="0"/>
              <w:left w:val="single" w:color="000000" w:sz="4" w:space="0"/>
              <w:bottom w:val="single" w:color="auto" w:sz="4" w:space="0"/>
              <w:right w:val="single" w:color="000000" w:sz="4" w:space="0"/>
            </w:tcBorders>
            <w:noWrap w:val="0"/>
            <w:vAlign w:val="center"/>
          </w:tcPr>
          <w:p w14:paraId="33300BFA">
            <w:pPr>
              <w:widowControl/>
              <w:spacing w:line="360" w:lineRule="exact"/>
              <w:jc w:val="center"/>
              <w:textAlignment w:val="center"/>
              <w:rPr>
                <w:rFonts w:hint="eastAsia" w:ascii="宋体" w:hAnsi="宋体"/>
                <w:szCs w:val="21"/>
              </w:rPr>
            </w:pPr>
            <w:r>
              <w:rPr>
                <w:rFonts w:hint="eastAsia" w:ascii="宋体" w:hAnsi="宋体"/>
                <w:color w:val="000000"/>
                <w:szCs w:val="21"/>
              </w:rPr>
              <w:t>滑移装载机</w:t>
            </w:r>
          </w:p>
        </w:tc>
        <w:tc>
          <w:tcPr>
            <w:tcW w:w="503" w:type="pct"/>
            <w:gridSpan w:val="2"/>
            <w:tcBorders>
              <w:top w:val="single" w:color="000000" w:sz="4" w:space="0"/>
              <w:left w:val="single" w:color="000000" w:sz="4" w:space="0"/>
              <w:bottom w:val="single" w:color="auto" w:sz="4" w:space="0"/>
              <w:right w:val="single" w:color="000000" w:sz="4" w:space="0"/>
            </w:tcBorders>
            <w:noWrap w:val="0"/>
            <w:vAlign w:val="center"/>
          </w:tcPr>
          <w:p w14:paraId="05A80F2D">
            <w:pPr>
              <w:widowControl/>
              <w:spacing w:line="360" w:lineRule="exact"/>
              <w:jc w:val="center"/>
              <w:textAlignment w:val="center"/>
              <w:rPr>
                <w:rFonts w:hint="eastAsia" w:ascii="宋体" w:hAnsi="宋体"/>
                <w:szCs w:val="21"/>
              </w:rPr>
            </w:pPr>
            <w:r>
              <w:rPr>
                <w:rFonts w:hint="eastAsia" w:ascii="宋体" w:hAnsi="宋体"/>
                <w:szCs w:val="21"/>
              </w:rPr>
              <w:t>1台</w:t>
            </w:r>
          </w:p>
        </w:tc>
        <w:tc>
          <w:tcPr>
            <w:tcW w:w="460" w:type="pct"/>
            <w:tcBorders>
              <w:top w:val="single" w:color="000000" w:sz="4" w:space="0"/>
              <w:left w:val="single" w:color="000000" w:sz="4" w:space="0"/>
              <w:bottom w:val="single" w:color="auto" w:sz="4" w:space="0"/>
              <w:right w:val="single" w:color="000000" w:sz="4" w:space="0"/>
            </w:tcBorders>
            <w:noWrap w:val="0"/>
            <w:vAlign w:val="center"/>
          </w:tcPr>
          <w:p w14:paraId="20C822AA">
            <w:pPr>
              <w:widowControl/>
              <w:spacing w:line="360" w:lineRule="exact"/>
              <w:jc w:val="center"/>
              <w:textAlignment w:val="center"/>
              <w:rPr>
                <w:rFonts w:hint="eastAsia" w:ascii="宋体" w:hAnsi="宋体"/>
                <w:szCs w:val="21"/>
              </w:rPr>
            </w:pPr>
            <w:r>
              <w:rPr>
                <w:rFonts w:hint="eastAsia" w:ascii="宋体" w:hAnsi="宋体"/>
                <w:szCs w:val="21"/>
              </w:rPr>
              <w:t>工业</w:t>
            </w:r>
          </w:p>
        </w:tc>
        <w:tc>
          <w:tcPr>
            <w:tcW w:w="2350" w:type="pct"/>
            <w:tcBorders>
              <w:top w:val="single" w:color="000000" w:sz="4" w:space="0"/>
              <w:left w:val="single" w:color="000000" w:sz="4" w:space="0"/>
              <w:bottom w:val="single" w:color="000000" w:sz="4" w:space="0"/>
              <w:right w:val="single" w:color="000000" w:sz="4" w:space="0"/>
            </w:tcBorders>
            <w:noWrap w:val="0"/>
            <w:vAlign w:val="center"/>
          </w:tcPr>
          <w:p w14:paraId="22913E93">
            <w:pPr>
              <w:widowControl/>
              <w:spacing w:line="360" w:lineRule="exact"/>
              <w:textAlignment w:val="top"/>
              <w:rPr>
                <w:rFonts w:hint="eastAsia" w:ascii="宋体" w:hAnsi="宋体"/>
                <w:szCs w:val="21"/>
              </w:rPr>
            </w:pPr>
            <w:r>
              <w:rPr>
                <w:rFonts w:hint="eastAsia" w:ascii="宋体" w:hAnsi="宋体"/>
                <w:szCs w:val="21"/>
              </w:rPr>
              <w:t>1.操作质量 ≥3750Kg；</w:t>
            </w:r>
          </w:p>
          <w:p w14:paraId="3EDA167F">
            <w:pPr>
              <w:widowControl/>
              <w:spacing w:line="360" w:lineRule="exact"/>
              <w:textAlignment w:val="top"/>
              <w:rPr>
                <w:rFonts w:hint="eastAsia" w:ascii="宋体" w:hAnsi="宋体"/>
                <w:szCs w:val="21"/>
              </w:rPr>
            </w:pPr>
            <w:r>
              <w:rPr>
                <w:rFonts w:hint="eastAsia" w:ascii="宋体" w:hAnsi="宋体"/>
                <w:szCs w:val="21"/>
              </w:rPr>
              <w:t>2.额定载荷 ≥1180Kg；</w:t>
            </w:r>
          </w:p>
          <w:p w14:paraId="49C01B39">
            <w:pPr>
              <w:widowControl/>
              <w:spacing w:line="360" w:lineRule="exact"/>
              <w:textAlignment w:val="top"/>
              <w:rPr>
                <w:rFonts w:hint="eastAsia" w:ascii="宋体" w:hAnsi="宋体"/>
                <w:szCs w:val="21"/>
              </w:rPr>
            </w:pPr>
            <w:r>
              <w:rPr>
                <w:rFonts w:hint="eastAsia" w:ascii="宋体" w:hAnsi="宋体"/>
                <w:szCs w:val="21"/>
              </w:rPr>
              <w:t>3.倾翻载荷 ≥2360Kg；</w:t>
            </w:r>
          </w:p>
          <w:p w14:paraId="10722E2B">
            <w:pPr>
              <w:widowControl/>
              <w:spacing w:line="360" w:lineRule="exact"/>
              <w:textAlignment w:val="top"/>
              <w:rPr>
                <w:rFonts w:hint="eastAsia" w:ascii="宋体" w:hAnsi="宋体"/>
                <w:szCs w:val="21"/>
              </w:rPr>
            </w:pPr>
            <w:r>
              <w:rPr>
                <w:rFonts w:hint="eastAsia" w:ascii="宋体" w:hAnsi="宋体"/>
                <w:szCs w:val="21"/>
              </w:rPr>
              <w:t>▲4.发动机额定功率/转速≥53kw/2500rpm；</w:t>
            </w:r>
          </w:p>
          <w:p w14:paraId="1D99631B">
            <w:pPr>
              <w:widowControl/>
              <w:spacing w:line="360" w:lineRule="exact"/>
              <w:textAlignment w:val="top"/>
              <w:rPr>
                <w:rFonts w:hint="eastAsia" w:ascii="宋体" w:hAnsi="宋体"/>
                <w:szCs w:val="21"/>
              </w:rPr>
            </w:pPr>
            <w:r>
              <w:rPr>
                <w:rFonts w:hint="eastAsia" w:ascii="宋体" w:hAnsi="宋体"/>
                <w:szCs w:val="21"/>
              </w:rPr>
              <w:t>5.发动机最大扭矩≥291Nm；</w:t>
            </w:r>
          </w:p>
          <w:p w14:paraId="723607A4">
            <w:pPr>
              <w:widowControl/>
              <w:spacing w:line="360" w:lineRule="exact"/>
              <w:textAlignment w:val="top"/>
              <w:rPr>
                <w:rFonts w:hint="eastAsia" w:ascii="宋体" w:hAnsi="宋体"/>
                <w:szCs w:val="21"/>
              </w:rPr>
            </w:pPr>
            <w:r>
              <w:rPr>
                <w:rFonts w:hint="eastAsia" w:ascii="宋体" w:hAnsi="宋体"/>
                <w:szCs w:val="21"/>
              </w:rPr>
              <w:t>6.排放标准：国四；</w:t>
            </w:r>
          </w:p>
          <w:p w14:paraId="1C7E5C51">
            <w:pPr>
              <w:widowControl/>
              <w:spacing w:line="360" w:lineRule="exact"/>
              <w:textAlignment w:val="top"/>
              <w:rPr>
                <w:rFonts w:hint="eastAsia" w:ascii="宋体" w:hAnsi="宋体"/>
                <w:szCs w:val="21"/>
              </w:rPr>
            </w:pPr>
            <w:r>
              <w:rPr>
                <w:rFonts w:hint="eastAsia" w:ascii="宋体" w:hAnsi="宋体"/>
                <w:szCs w:val="21"/>
              </w:rPr>
              <w:t>7.斗容≥0.5m³；</w:t>
            </w:r>
          </w:p>
          <w:p w14:paraId="28501F02">
            <w:pPr>
              <w:widowControl/>
              <w:spacing w:line="360" w:lineRule="exact"/>
              <w:textAlignment w:val="top"/>
              <w:rPr>
                <w:rFonts w:hint="eastAsia" w:ascii="宋体" w:hAnsi="宋体"/>
                <w:szCs w:val="21"/>
              </w:rPr>
            </w:pPr>
            <w:r>
              <w:rPr>
                <w:rFonts w:hint="eastAsia" w:ascii="宋体" w:hAnsi="宋体"/>
                <w:szCs w:val="21"/>
              </w:rPr>
              <w:t>8.最大牵引力≥31KN；</w:t>
            </w:r>
          </w:p>
          <w:p w14:paraId="3DE55977">
            <w:pPr>
              <w:widowControl/>
              <w:spacing w:line="360" w:lineRule="exact"/>
              <w:textAlignment w:val="top"/>
              <w:rPr>
                <w:rFonts w:hint="eastAsia" w:ascii="宋体" w:hAnsi="宋体"/>
                <w:szCs w:val="21"/>
              </w:rPr>
            </w:pPr>
            <w:r>
              <w:rPr>
                <w:rFonts w:hint="eastAsia" w:ascii="宋体" w:hAnsi="宋体"/>
                <w:szCs w:val="21"/>
              </w:rPr>
              <w:t>9.接地比压≥45kPa；</w:t>
            </w:r>
          </w:p>
          <w:p w14:paraId="144D0324">
            <w:pPr>
              <w:widowControl/>
              <w:spacing w:line="360" w:lineRule="exact"/>
              <w:textAlignment w:val="top"/>
              <w:rPr>
                <w:rFonts w:hint="eastAsia" w:ascii="宋体" w:hAnsi="宋体"/>
                <w:szCs w:val="21"/>
              </w:rPr>
            </w:pPr>
            <w:r>
              <w:rPr>
                <w:rFonts w:hint="eastAsia" w:ascii="宋体" w:hAnsi="宋体"/>
                <w:szCs w:val="21"/>
              </w:rPr>
              <w:t>10.最大铲斗掘起力≥25KN；</w:t>
            </w:r>
          </w:p>
          <w:p w14:paraId="7C46C951">
            <w:pPr>
              <w:widowControl/>
              <w:spacing w:line="360" w:lineRule="exact"/>
              <w:textAlignment w:val="top"/>
              <w:rPr>
                <w:rFonts w:hint="eastAsia" w:ascii="宋体" w:hAnsi="宋体"/>
                <w:szCs w:val="21"/>
              </w:rPr>
            </w:pPr>
            <w:r>
              <w:rPr>
                <w:rFonts w:hint="eastAsia" w:ascii="宋体" w:hAnsi="宋体"/>
                <w:szCs w:val="21"/>
              </w:rPr>
              <w:t>11.最大动臂掘起力≥20KN；</w:t>
            </w:r>
          </w:p>
          <w:p w14:paraId="4DA491E9">
            <w:pPr>
              <w:widowControl/>
              <w:spacing w:line="360" w:lineRule="exact"/>
              <w:textAlignment w:val="top"/>
              <w:rPr>
                <w:rFonts w:hint="eastAsia" w:ascii="宋体" w:hAnsi="宋体"/>
                <w:szCs w:val="21"/>
              </w:rPr>
            </w:pPr>
            <w:r>
              <w:rPr>
                <w:rFonts w:hint="eastAsia" w:ascii="宋体" w:hAnsi="宋体"/>
                <w:szCs w:val="21"/>
              </w:rPr>
              <w:t>12.动臂提升时间≥4.2S；</w:t>
            </w:r>
          </w:p>
          <w:p w14:paraId="288023EF">
            <w:pPr>
              <w:widowControl/>
              <w:spacing w:line="360" w:lineRule="exact"/>
              <w:textAlignment w:val="top"/>
              <w:rPr>
                <w:rFonts w:hint="eastAsia" w:ascii="宋体" w:hAnsi="宋体"/>
                <w:szCs w:val="21"/>
              </w:rPr>
            </w:pPr>
            <w:r>
              <w:rPr>
                <w:rFonts w:hint="eastAsia" w:ascii="宋体" w:hAnsi="宋体"/>
                <w:szCs w:val="21"/>
              </w:rPr>
              <w:t>13.行走速度≥22km/h；</w:t>
            </w:r>
          </w:p>
          <w:p w14:paraId="46F85C14">
            <w:pPr>
              <w:widowControl/>
              <w:spacing w:line="360" w:lineRule="exact"/>
              <w:textAlignment w:val="top"/>
              <w:rPr>
                <w:rFonts w:hint="eastAsia" w:ascii="宋体" w:hAnsi="宋体"/>
                <w:szCs w:val="21"/>
              </w:rPr>
            </w:pPr>
            <w:r>
              <w:rPr>
                <w:rFonts w:hint="eastAsia" w:ascii="宋体" w:hAnsi="宋体"/>
                <w:szCs w:val="21"/>
              </w:rPr>
              <w:t xml:space="preserve">14.最小转弯半径 </w:t>
            </w:r>
            <w:r>
              <w:rPr>
                <w:rFonts w:hint="eastAsia"/>
              </w:rPr>
              <w:t>≤</w:t>
            </w:r>
            <w:r>
              <w:rPr>
                <w:rFonts w:hint="eastAsia" w:ascii="宋体" w:hAnsi="宋体"/>
                <w:szCs w:val="21"/>
              </w:rPr>
              <w:t>2300mm；</w:t>
            </w:r>
          </w:p>
          <w:p w14:paraId="2D6D61BE">
            <w:pPr>
              <w:widowControl/>
              <w:spacing w:line="360" w:lineRule="exact"/>
              <w:textAlignment w:val="top"/>
              <w:rPr>
                <w:rFonts w:hint="eastAsia" w:ascii="宋体" w:hAnsi="宋体"/>
                <w:szCs w:val="21"/>
              </w:rPr>
            </w:pPr>
            <w:r>
              <w:rPr>
                <w:rFonts w:hint="eastAsia" w:ascii="宋体" w:hAnsi="宋体"/>
                <w:szCs w:val="21"/>
              </w:rPr>
              <w:t>▲15.卸载高度 ≥2500mm；</w:t>
            </w:r>
          </w:p>
          <w:p w14:paraId="44642AA0">
            <w:pPr>
              <w:widowControl/>
              <w:spacing w:line="360" w:lineRule="exact"/>
              <w:textAlignment w:val="top"/>
              <w:rPr>
                <w:rFonts w:hint="eastAsia" w:ascii="宋体" w:hAnsi="宋体"/>
                <w:szCs w:val="21"/>
              </w:rPr>
            </w:pPr>
            <w:r>
              <w:rPr>
                <w:rFonts w:hint="eastAsia" w:ascii="宋体" w:hAnsi="宋体"/>
                <w:szCs w:val="21"/>
              </w:rPr>
              <w:t>16.整机带斗长度 ≥3800mm；</w:t>
            </w:r>
          </w:p>
          <w:p w14:paraId="5686FECC">
            <w:pPr>
              <w:widowControl/>
              <w:spacing w:line="360" w:lineRule="exact"/>
              <w:textAlignment w:val="top"/>
              <w:rPr>
                <w:rFonts w:hint="eastAsia" w:ascii="宋体" w:hAnsi="宋体"/>
                <w:szCs w:val="21"/>
              </w:rPr>
            </w:pPr>
            <w:r>
              <w:rPr>
                <w:rFonts w:hint="eastAsia" w:ascii="宋体" w:hAnsi="宋体"/>
                <w:szCs w:val="21"/>
              </w:rPr>
              <w:t>17.整机宽度≥1900mm；</w:t>
            </w:r>
          </w:p>
          <w:p w14:paraId="09FE8F24">
            <w:pPr>
              <w:widowControl/>
              <w:spacing w:line="360" w:lineRule="exact"/>
              <w:textAlignment w:val="top"/>
              <w:rPr>
                <w:rFonts w:hint="eastAsia" w:ascii="宋体" w:hAnsi="宋体"/>
                <w:szCs w:val="21"/>
              </w:rPr>
            </w:pPr>
            <w:r>
              <w:rPr>
                <w:rFonts w:hint="eastAsia" w:ascii="宋体" w:hAnsi="宋体"/>
                <w:szCs w:val="21"/>
              </w:rPr>
              <w:t>18.整机高度≥2000mm；</w:t>
            </w:r>
          </w:p>
          <w:p w14:paraId="799DE722">
            <w:pPr>
              <w:widowControl/>
              <w:spacing w:line="360" w:lineRule="exact"/>
              <w:textAlignment w:val="top"/>
              <w:rPr>
                <w:rFonts w:hint="eastAsia" w:ascii="宋体" w:hAnsi="宋体"/>
                <w:szCs w:val="21"/>
              </w:rPr>
            </w:pPr>
            <w:r>
              <w:rPr>
                <w:rFonts w:hint="eastAsia" w:ascii="宋体" w:hAnsi="宋体"/>
                <w:szCs w:val="21"/>
              </w:rPr>
              <w:t>19.驾驶室：驾驶室需配备恒温空调，确保室温保持在18℃～25℃，并为正压驾驶室；减震装置和吸音材料将震动降至最低且噪音≤75dB；</w:t>
            </w:r>
          </w:p>
          <w:p w14:paraId="0D2F002D">
            <w:pPr>
              <w:widowControl/>
              <w:spacing w:line="360" w:lineRule="exact"/>
              <w:textAlignment w:val="top"/>
              <w:rPr>
                <w:rFonts w:hint="eastAsia" w:ascii="宋体" w:hAnsi="宋体"/>
                <w:szCs w:val="21"/>
              </w:rPr>
            </w:pPr>
            <w:r>
              <w:rPr>
                <w:rFonts w:hint="eastAsia" w:ascii="宋体" w:hAnsi="宋体"/>
                <w:szCs w:val="21"/>
              </w:rPr>
              <w:t>20.其它配置要求：行走系统配置闭式液压行走系统、为保证维护一致性，行走泵与行走马达要求同一品牌。为操作舒适性，要求操作系统为先导液压系统，所有输出液压控制全部集成在手柄上。</w:t>
            </w:r>
          </w:p>
        </w:tc>
        <w:tc>
          <w:tcPr>
            <w:tcW w:w="810" w:type="pct"/>
            <w:tcBorders>
              <w:top w:val="single" w:color="000000" w:sz="4" w:space="0"/>
              <w:left w:val="single" w:color="000000" w:sz="4" w:space="0"/>
              <w:bottom w:val="single" w:color="000000" w:sz="4" w:space="0"/>
              <w:right w:val="single" w:color="000000" w:sz="4" w:space="0"/>
            </w:tcBorders>
            <w:noWrap w:val="0"/>
            <w:vAlign w:val="center"/>
          </w:tcPr>
          <w:p w14:paraId="509B3940">
            <w:pPr>
              <w:widowControl/>
              <w:spacing w:line="360" w:lineRule="exact"/>
              <w:jc w:val="center"/>
              <w:textAlignment w:val="top"/>
              <w:rPr>
                <w:rFonts w:ascii="宋体" w:hAnsi="宋体"/>
                <w:color w:val="000000"/>
                <w:szCs w:val="21"/>
              </w:rPr>
            </w:pPr>
            <w:r>
              <w:rPr>
                <w:rFonts w:hint="eastAsia" w:ascii="宋体" w:hAnsi="宋体"/>
                <w:color w:val="000000"/>
                <w:szCs w:val="21"/>
              </w:rPr>
              <w:t>55.55</w:t>
            </w:r>
          </w:p>
        </w:tc>
      </w:tr>
      <w:tr w14:paraId="610C79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jc w:val="center"/>
        </w:trPr>
        <w:tc>
          <w:tcPr>
            <w:tcW w:w="248" w:type="pct"/>
            <w:tcBorders>
              <w:top w:val="single" w:color="000000" w:sz="4" w:space="0"/>
              <w:left w:val="single" w:color="000000" w:sz="4" w:space="0"/>
              <w:bottom w:val="single" w:color="000000" w:sz="4" w:space="0"/>
              <w:right w:val="single" w:color="000000" w:sz="4" w:space="0"/>
            </w:tcBorders>
            <w:noWrap w:val="0"/>
            <w:vAlign w:val="center"/>
          </w:tcPr>
          <w:p w14:paraId="757A6E0A">
            <w:pPr>
              <w:snapToGrid w:val="0"/>
              <w:spacing w:line="360" w:lineRule="exact"/>
              <w:ind w:left="440" w:hanging="440"/>
              <w:rPr>
                <w:rFonts w:hint="eastAsia" w:ascii="宋体" w:hAnsi="宋体"/>
                <w:szCs w:val="21"/>
              </w:rPr>
            </w:pPr>
            <w:r>
              <w:rPr>
                <w:rFonts w:hint="eastAsia" w:ascii="宋体" w:hAnsi="宋体"/>
                <w:szCs w:val="21"/>
              </w:rPr>
              <w:t>4</w:t>
            </w:r>
          </w:p>
        </w:tc>
        <w:tc>
          <w:tcPr>
            <w:tcW w:w="625" w:type="pct"/>
            <w:tcBorders>
              <w:top w:val="single" w:color="000000" w:sz="4" w:space="0"/>
              <w:left w:val="single" w:color="000000" w:sz="4" w:space="0"/>
              <w:bottom w:val="single" w:color="auto" w:sz="4" w:space="0"/>
              <w:right w:val="single" w:color="000000" w:sz="4" w:space="0"/>
            </w:tcBorders>
            <w:noWrap w:val="0"/>
            <w:vAlign w:val="center"/>
          </w:tcPr>
          <w:p w14:paraId="5A5E52B4">
            <w:pPr>
              <w:widowControl/>
              <w:spacing w:line="360" w:lineRule="exact"/>
              <w:jc w:val="center"/>
              <w:textAlignment w:val="center"/>
              <w:rPr>
                <w:rFonts w:hint="eastAsia" w:ascii="宋体" w:hAnsi="宋体"/>
                <w:szCs w:val="21"/>
              </w:rPr>
            </w:pPr>
            <w:r>
              <w:rPr>
                <w:rFonts w:hint="eastAsia" w:ascii="宋体" w:hAnsi="宋体"/>
                <w:szCs w:val="21"/>
              </w:rPr>
              <w:t>装卸叉车</w:t>
            </w:r>
          </w:p>
        </w:tc>
        <w:tc>
          <w:tcPr>
            <w:tcW w:w="503" w:type="pct"/>
            <w:gridSpan w:val="2"/>
            <w:tcBorders>
              <w:top w:val="single" w:color="000000" w:sz="4" w:space="0"/>
              <w:left w:val="single" w:color="000000" w:sz="4" w:space="0"/>
              <w:bottom w:val="single" w:color="auto" w:sz="4" w:space="0"/>
              <w:right w:val="single" w:color="000000" w:sz="4" w:space="0"/>
            </w:tcBorders>
            <w:noWrap w:val="0"/>
            <w:vAlign w:val="center"/>
          </w:tcPr>
          <w:p w14:paraId="66462FFE">
            <w:pPr>
              <w:widowControl/>
              <w:spacing w:line="360" w:lineRule="exact"/>
              <w:jc w:val="center"/>
              <w:textAlignment w:val="center"/>
              <w:rPr>
                <w:rFonts w:hint="eastAsia" w:ascii="宋体" w:hAnsi="宋体"/>
                <w:szCs w:val="21"/>
              </w:rPr>
            </w:pPr>
            <w:r>
              <w:rPr>
                <w:rFonts w:hint="eastAsia" w:ascii="宋体" w:hAnsi="宋体"/>
                <w:szCs w:val="21"/>
              </w:rPr>
              <w:t>2台</w:t>
            </w:r>
          </w:p>
        </w:tc>
        <w:tc>
          <w:tcPr>
            <w:tcW w:w="460" w:type="pct"/>
            <w:tcBorders>
              <w:top w:val="single" w:color="000000" w:sz="4" w:space="0"/>
              <w:left w:val="single" w:color="000000" w:sz="4" w:space="0"/>
              <w:bottom w:val="single" w:color="auto" w:sz="4" w:space="0"/>
              <w:right w:val="single" w:color="000000" w:sz="4" w:space="0"/>
            </w:tcBorders>
            <w:noWrap w:val="0"/>
            <w:vAlign w:val="center"/>
          </w:tcPr>
          <w:p w14:paraId="0811D6B6">
            <w:pPr>
              <w:widowControl/>
              <w:spacing w:line="360" w:lineRule="exact"/>
              <w:jc w:val="center"/>
              <w:textAlignment w:val="center"/>
              <w:rPr>
                <w:rFonts w:hint="eastAsia" w:ascii="宋体" w:hAnsi="宋体"/>
                <w:szCs w:val="21"/>
              </w:rPr>
            </w:pPr>
            <w:r>
              <w:rPr>
                <w:rFonts w:hint="eastAsia" w:ascii="宋体" w:hAnsi="宋体"/>
                <w:szCs w:val="21"/>
              </w:rPr>
              <w:t>工业</w:t>
            </w:r>
          </w:p>
        </w:tc>
        <w:tc>
          <w:tcPr>
            <w:tcW w:w="2350" w:type="pct"/>
            <w:tcBorders>
              <w:top w:val="single" w:color="000000" w:sz="4" w:space="0"/>
              <w:left w:val="single" w:color="000000" w:sz="4" w:space="0"/>
              <w:bottom w:val="single" w:color="000000" w:sz="4" w:space="0"/>
              <w:right w:val="single" w:color="000000" w:sz="4" w:space="0"/>
            </w:tcBorders>
            <w:noWrap w:val="0"/>
            <w:vAlign w:val="center"/>
          </w:tcPr>
          <w:p w14:paraId="780A7DE2">
            <w:pPr>
              <w:widowControl/>
              <w:spacing w:line="360" w:lineRule="exact"/>
              <w:textAlignment w:val="top"/>
              <w:rPr>
                <w:rFonts w:hint="eastAsia" w:ascii="宋体" w:hAnsi="宋体"/>
                <w:szCs w:val="21"/>
              </w:rPr>
            </w:pPr>
            <w:r>
              <w:rPr>
                <w:rFonts w:hint="eastAsia" w:ascii="宋体" w:hAnsi="宋体"/>
                <w:szCs w:val="21"/>
              </w:rPr>
              <w:t>一、主要技术参数</w:t>
            </w:r>
          </w:p>
          <w:p w14:paraId="0DB9A9BA">
            <w:pPr>
              <w:widowControl/>
              <w:spacing w:line="360" w:lineRule="exact"/>
              <w:textAlignment w:val="top"/>
              <w:rPr>
                <w:rFonts w:hint="eastAsia" w:ascii="宋体" w:hAnsi="宋体"/>
                <w:szCs w:val="21"/>
              </w:rPr>
            </w:pPr>
            <w:r>
              <w:rPr>
                <w:rFonts w:hint="eastAsia" w:ascii="宋体" w:hAnsi="宋体"/>
                <w:szCs w:val="21"/>
              </w:rPr>
              <w:t xml:space="preserve">▲1.额定起升能力：5000Kg；                                                           </w:t>
            </w:r>
          </w:p>
          <w:p w14:paraId="06E00A0F">
            <w:pPr>
              <w:widowControl/>
              <w:spacing w:line="360" w:lineRule="exact"/>
              <w:textAlignment w:val="top"/>
              <w:rPr>
                <w:rFonts w:hint="eastAsia" w:ascii="宋体" w:hAnsi="宋体"/>
                <w:szCs w:val="21"/>
              </w:rPr>
            </w:pPr>
            <w:r>
              <w:rPr>
                <w:rFonts w:hint="eastAsia" w:ascii="宋体" w:hAnsi="宋体"/>
                <w:szCs w:val="21"/>
              </w:rPr>
              <w:t>▲2.最大起升高度6000mm（三级全自由提升门架）；</w:t>
            </w:r>
          </w:p>
          <w:p w14:paraId="1AA71250">
            <w:pPr>
              <w:widowControl/>
              <w:spacing w:line="360" w:lineRule="exact"/>
              <w:textAlignment w:val="top"/>
              <w:rPr>
                <w:rFonts w:hint="eastAsia" w:ascii="宋体" w:hAnsi="宋体"/>
                <w:szCs w:val="21"/>
              </w:rPr>
            </w:pPr>
            <w:r>
              <w:rPr>
                <w:rFonts w:hint="eastAsia" w:ascii="宋体" w:hAnsi="宋体"/>
                <w:szCs w:val="21"/>
              </w:rPr>
              <w:t xml:space="preserve">▲3.载荷中心距：600mm ；                                                              </w:t>
            </w:r>
          </w:p>
          <w:p w14:paraId="2B19E885">
            <w:pPr>
              <w:widowControl/>
              <w:spacing w:line="360" w:lineRule="exact"/>
              <w:textAlignment w:val="top"/>
              <w:rPr>
                <w:rFonts w:hint="eastAsia" w:ascii="宋体" w:hAnsi="宋体"/>
                <w:szCs w:val="21"/>
              </w:rPr>
            </w:pPr>
            <w:r>
              <w:rPr>
                <w:rFonts w:hint="eastAsia" w:ascii="宋体" w:hAnsi="宋体"/>
                <w:szCs w:val="21"/>
              </w:rPr>
              <w:t xml:space="preserve">4.货叉尺寸（长×宽×厚）：≥1520mm×150mm×60mm；                                         </w:t>
            </w:r>
          </w:p>
          <w:p w14:paraId="03692C6E">
            <w:pPr>
              <w:widowControl/>
              <w:spacing w:line="360" w:lineRule="exact"/>
              <w:textAlignment w:val="top"/>
              <w:rPr>
                <w:rFonts w:hint="eastAsia" w:ascii="宋体" w:hAnsi="宋体"/>
                <w:szCs w:val="21"/>
              </w:rPr>
            </w:pPr>
            <w:r>
              <w:rPr>
                <w:rFonts w:hint="eastAsia" w:ascii="宋体" w:hAnsi="宋体"/>
                <w:szCs w:val="21"/>
              </w:rPr>
              <w:t xml:space="preserve">▲5.发动机功率：≥50kW；  </w:t>
            </w:r>
          </w:p>
          <w:p w14:paraId="0ADCA49B">
            <w:pPr>
              <w:widowControl/>
              <w:spacing w:line="360" w:lineRule="exact"/>
              <w:textAlignment w:val="top"/>
              <w:rPr>
                <w:rFonts w:hint="eastAsia" w:ascii="宋体" w:hAnsi="宋体"/>
                <w:szCs w:val="21"/>
              </w:rPr>
            </w:pPr>
            <w:r>
              <w:rPr>
                <w:rFonts w:hint="eastAsia" w:ascii="宋体" w:hAnsi="宋体"/>
                <w:szCs w:val="21"/>
              </w:rPr>
              <w:t xml:space="preserve">6.蓄电池：12V/120Ah；                                                              </w:t>
            </w:r>
          </w:p>
          <w:p w14:paraId="6E5251AA">
            <w:pPr>
              <w:widowControl/>
              <w:spacing w:line="360" w:lineRule="exact"/>
              <w:textAlignment w:val="top"/>
              <w:rPr>
                <w:rFonts w:hint="eastAsia" w:ascii="宋体" w:hAnsi="宋体"/>
                <w:szCs w:val="21"/>
              </w:rPr>
            </w:pPr>
            <w:r>
              <w:rPr>
                <w:rFonts w:hint="eastAsia" w:ascii="宋体" w:hAnsi="宋体"/>
                <w:szCs w:val="21"/>
              </w:rPr>
              <w:t xml:space="preserve">7.自重：≥8t；   </w:t>
            </w:r>
          </w:p>
          <w:p w14:paraId="2B78FBC7">
            <w:pPr>
              <w:widowControl/>
              <w:spacing w:line="360" w:lineRule="exact"/>
              <w:textAlignment w:val="top"/>
              <w:rPr>
                <w:rFonts w:hint="eastAsia" w:ascii="宋体" w:hAnsi="宋体"/>
                <w:szCs w:val="21"/>
              </w:rPr>
            </w:pPr>
            <w:r>
              <w:rPr>
                <w:rFonts w:hint="eastAsia" w:ascii="宋体" w:hAnsi="宋体"/>
                <w:szCs w:val="21"/>
              </w:rPr>
              <w:t xml:space="preserve">8.司机座椅：配安全带；                                                          </w:t>
            </w:r>
          </w:p>
          <w:p w14:paraId="1383BFFB">
            <w:pPr>
              <w:widowControl/>
              <w:spacing w:line="360" w:lineRule="exact"/>
              <w:textAlignment w:val="top"/>
              <w:rPr>
                <w:rFonts w:hint="eastAsia" w:ascii="宋体" w:hAnsi="宋体"/>
                <w:szCs w:val="21"/>
              </w:rPr>
            </w:pPr>
            <w:r>
              <w:rPr>
                <w:rFonts w:hint="eastAsia" w:ascii="宋体" w:hAnsi="宋体"/>
                <w:szCs w:val="21"/>
              </w:rPr>
              <w:t xml:space="preserve">▲9.发动机排放要求：国四 ；                                                          </w:t>
            </w:r>
          </w:p>
          <w:p w14:paraId="26A6CD2C">
            <w:pPr>
              <w:widowControl/>
              <w:spacing w:line="360" w:lineRule="exact"/>
              <w:textAlignment w:val="top"/>
              <w:rPr>
                <w:rFonts w:hint="eastAsia" w:ascii="宋体" w:hAnsi="宋体"/>
                <w:szCs w:val="21"/>
              </w:rPr>
            </w:pPr>
            <w:r>
              <w:rPr>
                <w:rFonts w:hint="eastAsia" w:ascii="宋体" w:hAnsi="宋体"/>
                <w:szCs w:val="21"/>
              </w:rPr>
              <w:t>▲10.驱动形式：四驱；</w:t>
            </w:r>
          </w:p>
          <w:p w14:paraId="54331A09">
            <w:pPr>
              <w:widowControl/>
              <w:spacing w:line="360" w:lineRule="exact"/>
              <w:textAlignment w:val="top"/>
              <w:rPr>
                <w:rFonts w:hint="eastAsia" w:ascii="宋体" w:hAnsi="宋体"/>
                <w:szCs w:val="21"/>
              </w:rPr>
            </w:pPr>
            <w:r>
              <w:rPr>
                <w:rFonts w:hint="eastAsia" w:ascii="宋体" w:hAnsi="宋体"/>
                <w:szCs w:val="21"/>
              </w:rPr>
              <w:t>11.驱动桥差速器形式：前桥自适应限滑式差速器（LSD）；</w:t>
            </w:r>
          </w:p>
          <w:p w14:paraId="147E0144">
            <w:pPr>
              <w:widowControl/>
              <w:spacing w:line="360" w:lineRule="exact"/>
              <w:textAlignment w:val="top"/>
              <w:rPr>
                <w:rFonts w:hint="eastAsia" w:ascii="宋体" w:hAnsi="宋体"/>
                <w:szCs w:val="21"/>
              </w:rPr>
            </w:pPr>
            <w:r>
              <w:rPr>
                <w:rFonts w:hint="eastAsia" w:ascii="宋体" w:hAnsi="宋体"/>
                <w:szCs w:val="21"/>
              </w:rPr>
              <w:t xml:space="preserve">12.四驱传动形式：前后双输出变速箱；                              </w:t>
            </w:r>
          </w:p>
          <w:p w14:paraId="0F383482">
            <w:pPr>
              <w:widowControl/>
              <w:spacing w:line="360" w:lineRule="exact"/>
              <w:textAlignment w:val="top"/>
              <w:rPr>
                <w:rFonts w:hint="eastAsia" w:ascii="宋体" w:hAnsi="宋体"/>
                <w:szCs w:val="21"/>
              </w:rPr>
            </w:pPr>
            <w:r>
              <w:rPr>
                <w:rFonts w:hint="eastAsia" w:ascii="宋体" w:hAnsi="宋体"/>
                <w:szCs w:val="21"/>
              </w:rPr>
              <w:t>13.四驱切换方式：二驱/四驱切换（电子开关控制）。</w:t>
            </w:r>
          </w:p>
          <w:p w14:paraId="6F9984B3">
            <w:pPr>
              <w:widowControl/>
              <w:spacing w:line="360" w:lineRule="exact"/>
              <w:textAlignment w:val="top"/>
              <w:rPr>
                <w:rFonts w:hint="eastAsia" w:ascii="宋体" w:hAnsi="宋体"/>
                <w:szCs w:val="21"/>
              </w:rPr>
            </w:pPr>
            <w:r>
              <w:rPr>
                <w:rFonts w:hint="eastAsia" w:ascii="宋体" w:hAnsi="宋体"/>
                <w:szCs w:val="21"/>
              </w:rPr>
              <w:t>二、主要技术要求</w:t>
            </w:r>
          </w:p>
          <w:p w14:paraId="61D04EE7">
            <w:pPr>
              <w:widowControl/>
              <w:spacing w:line="360" w:lineRule="exact"/>
              <w:textAlignment w:val="top"/>
              <w:rPr>
                <w:rFonts w:hint="eastAsia" w:ascii="宋体" w:hAnsi="宋体"/>
                <w:szCs w:val="21"/>
              </w:rPr>
            </w:pPr>
            <w:r>
              <w:rPr>
                <w:rFonts w:hint="eastAsia" w:ascii="宋体" w:hAnsi="宋体"/>
                <w:szCs w:val="21"/>
              </w:rPr>
              <w:t>1.驾驶室：配置封闭式司机室，配置空调；司机室上方需配有遮阳棚；司机室顶梁的结构要合理布置，低座椅，配有安全带，室内净空高度以司机身高1.75m为基准，配置后视镜；配备至少1个≥2kgABC干粉灭火器，设有固定支架固定且便于取用；</w:t>
            </w:r>
          </w:p>
          <w:p w14:paraId="15B76BC6">
            <w:pPr>
              <w:widowControl/>
              <w:spacing w:line="360" w:lineRule="exact"/>
              <w:textAlignment w:val="top"/>
              <w:rPr>
                <w:rFonts w:hint="eastAsia" w:ascii="宋体" w:hAnsi="宋体"/>
                <w:szCs w:val="21"/>
              </w:rPr>
            </w:pPr>
            <w:r>
              <w:rPr>
                <w:rFonts w:hint="eastAsia" w:ascii="宋体" w:hAnsi="宋体"/>
                <w:szCs w:val="21"/>
              </w:rPr>
              <w:t>2.液压系统：整个液压系统密封可靠；工作操纵装置：具有操纵手柄，分别控制升降、倾斜调节动作。</w:t>
            </w:r>
          </w:p>
          <w:p w14:paraId="57C18E66">
            <w:pPr>
              <w:widowControl/>
              <w:spacing w:line="360" w:lineRule="exact"/>
              <w:textAlignment w:val="top"/>
              <w:rPr>
                <w:rFonts w:hint="eastAsia" w:ascii="宋体" w:hAnsi="宋体"/>
                <w:szCs w:val="21"/>
              </w:rPr>
            </w:pPr>
            <w:r>
              <w:rPr>
                <w:rFonts w:hint="eastAsia" w:ascii="宋体" w:hAnsi="宋体"/>
                <w:szCs w:val="21"/>
              </w:rPr>
              <w:t>3.制动系统</w:t>
            </w:r>
          </w:p>
          <w:p w14:paraId="51E95F5C">
            <w:pPr>
              <w:widowControl/>
              <w:spacing w:line="360" w:lineRule="exact"/>
              <w:textAlignment w:val="top"/>
              <w:rPr>
                <w:rFonts w:hint="eastAsia" w:ascii="宋体" w:hAnsi="宋体"/>
                <w:szCs w:val="21"/>
              </w:rPr>
            </w:pPr>
            <w:r>
              <w:rPr>
                <w:rFonts w:hint="eastAsia" w:ascii="宋体" w:hAnsi="宋体"/>
                <w:szCs w:val="21"/>
              </w:rPr>
              <w:t>3.1配置驻车制动和行车制动装置；驻车制动保证坡度满载工况时能停车制动；</w:t>
            </w:r>
          </w:p>
          <w:p w14:paraId="0E9951B6">
            <w:pPr>
              <w:widowControl/>
              <w:spacing w:line="360" w:lineRule="exact"/>
              <w:textAlignment w:val="top"/>
              <w:rPr>
                <w:rFonts w:hint="eastAsia" w:ascii="宋体" w:hAnsi="宋体"/>
                <w:szCs w:val="21"/>
              </w:rPr>
            </w:pPr>
            <w:r>
              <w:rPr>
                <w:rFonts w:hint="eastAsia" w:ascii="宋体" w:hAnsi="宋体"/>
                <w:szCs w:val="21"/>
              </w:rPr>
              <w:t>3.2 手刹手柄形式要符合规范要求。</w:t>
            </w:r>
          </w:p>
          <w:p w14:paraId="79878F23">
            <w:pPr>
              <w:widowControl/>
              <w:spacing w:line="360" w:lineRule="exact"/>
              <w:textAlignment w:val="top"/>
              <w:rPr>
                <w:rFonts w:hint="eastAsia" w:ascii="宋体" w:hAnsi="宋体"/>
                <w:szCs w:val="21"/>
              </w:rPr>
            </w:pPr>
            <w:r>
              <w:rPr>
                <w:rFonts w:hint="eastAsia" w:ascii="宋体" w:hAnsi="宋体"/>
                <w:szCs w:val="21"/>
              </w:rPr>
              <w:t>4.转向系统：全液压转向，采用带横置转向油缸的转向桥。</w:t>
            </w:r>
          </w:p>
          <w:p w14:paraId="4E4647E8">
            <w:pPr>
              <w:widowControl/>
              <w:spacing w:line="360" w:lineRule="exact"/>
              <w:textAlignment w:val="top"/>
              <w:rPr>
                <w:rFonts w:hint="eastAsia" w:ascii="宋体" w:hAnsi="宋体"/>
                <w:szCs w:val="21"/>
              </w:rPr>
            </w:pPr>
            <w:r>
              <w:rPr>
                <w:rFonts w:hint="eastAsia" w:ascii="宋体" w:hAnsi="宋体"/>
                <w:szCs w:val="21"/>
              </w:rPr>
              <w:t>5.电气系统</w:t>
            </w:r>
          </w:p>
          <w:p w14:paraId="23DEEABA">
            <w:pPr>
              <w:widowControl/>
              <w:spacing w:line="360" w:lineRule="exact"/>
              <w:textAlignment w:val="top"/>
              <w:rPr>
                <w:rFonts w:hint="eastAsia" w:ascii="宋体" w:hAnsi="宋体"/>
                <w:szCs w:val="21"/>
              </w:rPr>
            </w:pPr>
            <w:r>
              <w:rPr>
                <w:rFonts w:hint="eastAsia" w:ascii="宋体" w:hAnsi="宋体"/>
                <w:szCs w:val="21"/>
              </w:rPr>
              <w:t>5.1所有电气设备及部件都具有防腐蚀，防盐雾功能。所有供电回路设有短路保护；</w:t>
            </w:r>
          </w:p>
          <w:p w14:paraId="5CFCEB12">
            <w:pPr>
              <w:widowControl/>
              <w:spacing w:line="360" w:lineRule="exact"/>
              <w:textAlignment w:val="top"/>
              <w:rPr>
                <w:rFonts w:hint="eastAsia" w:ascii="宋体" w:hAnsi="宋体"/>
                <w:szCs w:val="21"/>
              </w:rPr>
            </w:pPr>
            <w:r>
              <w:rPr>
                <w:rFonts w:hint="eastAsia" w:ascii="宋体" w:hAnsi="宋体"/>
                <w:szCs w:val="21"/>
              </w:rPr>
              <w:t>5.2转向、行车、刹车灯、大灯用LED灯具。</w:t>
            </w:r>
          </w:p>
        </w:tc>
        <w:tc>
          <w:tcPr>
            <w:tcW w:w="810" w:type="pct"/>
            <w:tcBorders>
              <w:top w:val="single" w:color="000000" w:sz="4" w:space="0"/>
              <w:left w:val="single" w:color="000000" w:sz="4" w:space="0"/>
              <w:bottom w:val="single" w:color="000000" w:sz="4" w:space="0"/>
              <w:right w:val="single" w:color="000000" w:sz="4" w:space="0"/>
            </w:tcBorders>
            <w:noWrap w:val="0"/>
            <w:vAlign w:val="center"/>
          </w:tcPr>
          <w:p w14:paraId="0BCA2FB6">
            <w:pPr>
              <w:widowControl/>
              <w:spacing w:line="360" w:lineRule="exact"/>
              <w:jc w:val="center"/>
              <w:textAlignment w:val="top"/>
              <w:rPr>
                <w:rFonts w:ascii="宋体" w:hAnsi="宋体"/>
                <w:color w:val="000000"/>
                <w:szCs w:val="21"/>
              </w:rPr>
            </w:pPr>
            <w:r>
              <w:rPr>
                <w:rFonts w:hint="eastAsia" w:ascii="宋体" w:hAnsi="宋体"/>
                <w:color w:val="000000"/>
                <w:szCs w:val="21"/>
              </w:rPr>
              <w:t>37.40</w:t>
            </w:r>
          </w:p>
        </w:tc>
      </w:tr>
      <w:tr w14:paraId="751880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189" w:type="pct"/>
            <w:gridSpan w:val="6"/>
            <w:tcBorders>
              <w:top w:val="single" w:color="auto" w:sz="4" w:space="0"/>
              <w:left w:val="single" w:color="auto" w:sz="4" w:space="0"/>
              <w:bottom w:val="single" w:color="auto" w:sz="4" w:space="0"/>
              <w:right w:val="single" w:color="auto" w:sz="4" w:space="0"/>
            </w:tcBorders>
            <w:noWrap w:val="0"/>
            <w:vAlign w:val="top"/>
          </w:tcPr>
          <w:p w14:paraId="7E52BE64">
            <w:pPr>
              <w:spacing w:line="360" w:lineRule="exact"/>
              <w:rPr>
                <w:rFonts w:hint="eastAsia" w:ascii="宋体" w:hAnsi="宋体"/>
                <w:szCs w:val="21"/>
              </w:rPr>
            </w:pPr>
            <w:r>
              <w:rPr>
                <w:rFonts w:hint="eastAsia" w:ascii="宋体" w:hAnsi="宋体"/>
                <w:szCs w:val="21"/>
              </w:rPr>
              <w:t>▲</w:t>
            </w:r>
            <w:r>
              <w:rPr>
                <w:rFonts w:hint="eastAsia" w:ascii="宋体" w:hAnsi="宋体"/>
                <w:b/>
                <w:szCs w:val="21"/>
              </w:rPr>
              <w:t>一、商务要求</w:t>
            </w:r>
          </w:p>
        </w:tc>
        <w:tc>
          <w:tcPr>
            <w:tcW w:w="810" w:type="pct"/>
            <w:tcBorders>
              <w:top w:val="single" w:color="auto" w:sz="4" w:space="0"/>
              <w:left w:val="single" w:color="auto" w:sz="4" w:space="0"/>
              <w:bottom w:val="single" w:color="auto" w:sz="4" w:space="0"/>
              <w:right w:val="single" w:color="auto" w:sz="4" w:space="0"/>
            </w:tcBorders>
            <w:noWrap w:val="0"/>
            <w:vAlign w:val="top"/>
          </w:tcPr>
          <w:p w14:paraId="68B608C3">
            <w:pPr>
              <w:spacing w:line="360" w:lineRule="exact"/>
              <w:rPr>
                <w:rFonts w:hint="eastAsia" w:ascii="宋体" w:hAnsi="宋体"/>
                <w:szCs w:val="21"/>
              </w:rPr>
            </w:pPr>
          </w:p>
        </w:tc>
      </w:tr>
      <w:tr w14:paraId="0C1CC4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91" w:type="pct"/>
            <w:gridSpan w:val="3"/>
            <w:tcBorders>
              <w:top w:val="single" w:color="auto" w:sz="4" w:space="0"/>
              <w:left w:val="single" w:color="auto" w:sz="4" w:space="0"/>
              <w:bottom w:val="single" w:color="auto" w:sz="4" w:space="0"/>
              <w:right w:val="single" w:color="auto" w:sz="4" w:space="0"/>
            </w:tcBorders>
            <w:noWrap w:val="0"/>
            <w:vAlign w:val="center"/>
          </w:tcPr>
          <w:p w14:paraId="16BB4384">
            <w:pPr>
              <w:spacing w:line="360" w:lineRule="exact"/>
              <w:rPr>
                <w:rFonts w:hint="eastAsia" w:ascii="宋体" w:hAnsi="宋体"/>
                <w:szCs w:val="21"/>
              </w:rPr>
            </w:pPr>
            <w:r>
              <w:rPr>
                <w:rFonts w:hint="eastAsia" w:ascii="宋体" w:hAnsi="宋体"/>
                <w:szCs w:val="21"/>
              </w:rPr>
              <w:t>合同签订时间</w:t>
            </w:r>
          </w:p>
        </w:tc>
        <w:tc>
          <w:tcPr>
            <w:tcW w:w="4108" w:type="pct"/>
            <w:gridSpan w:val="4"/>
            <w:tcBorders>
              <w:top w:val="single" w:color="auto" w:sz="4" w:space="0"/>
              <w:left w:val="nil"/>
              <w:bottom w:val="single" w:color="auto" w:sz="4" w:space="0"/>
              <w:right w:val="single" w:color="auto" w:sz="4" w:space="0"/>
            </w:tcBorders>
            <w:noWrap w:val="0"/>
            <w:vAlign w:val="center"/>
          </w:tcPr>
          <w:p w14:paraId="06AB0C7B">
            <w:pPr>
              <w:spacing w:line="360" w:lineRule="exact"/>
              <w:rPr>
                <w:rFonts w:hint="eastAsia" w:ascii="宋体" w:hAnsi="宋体"/>
                <w:szCs w:val="21"/>
              </w:rPr>
            </w:pPr>
            <w:r>
              <w:rPr>
                <w:rFonts w:hint="eastAsia" w:ascii="宋体" w:hAnsi="宋体"/>
                <w:szCs w:val="21"/>
              </w:rPr>
              <w:t>自中标通知书发出之日起25日内与采购人完成合同签订。</w:t>
            </w:r>
          </w:p>
        </w:tc>
      </w:tr>
      <w:tr w14:paraId="0A92B9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91" w:type="pct"/>
            <w:gridSpan w:val="3"/>
            <w:tcBorders>
              <w:top w:val="single" w:color="auto" w:sz="4" w:space="0"/>
              <w:left w:val="single" w:color="auto" w:sz="4" w:space="0"/>
              <w:bottom w:val="single" w:color="auto" w:sz="4" w:space="0"/>
              <w:right w:val="single" w:color="auto" w:sz="4" w:space="0"/>
            </w:tcBorders>
            <w:noWrap w:val="0"/>
            <w:vAlign w:val="center"/>
          </w:tcPr>
          <w:p w14:paraId="716EC2A5">
            <w:pPr>
              <w:spacing w:line="360" w:lineRule="exact"/>
              <w:rPr>
                <w:rFonts w:hint="eastAsia" w:ascii="宋体" w:hAnsi="宋体"/>
                <w:szCs w:val="21"/>
              </w:rPr>
            </w:pPr>
            <w:r>
              <w:rPr>
                <w:rFonts w:hint="eastAsia" w:ascii="宋体" w:hAnsi="宋体"/>
                <w:szCs w:val="21"/>
              </w:rPr>
              <w:t>交付使用时间及地点</w:t>
            </w:r>
          </w:p>
        </w:tc>
        <w:tc>
          <w:tcPr>
            <w:tcW w:w="4108" w:type="pct"/>
            <w:gridSpan w:val="4"/>
            <w:tcBorders>
              <w:top w:val="single" w:color="auto" w:sz="4" w:space="0"/>
              <w:left w:val="nil"/>
              <w:bottom w:val="single" w:color="auto" w:sz="4" w:space="0"/>
              <w:right w:val="single" w:color="auto" w:sz="4" w:space="0"/>
            </w:tcBorders>
            <w:noWrap w:val="0"/>
            <w:vAlign w:val="center"/>
          </w:tcPr>
          <w:p w14:paraId="27BEBAF2">
            <w:pPr>
              <w:spacing w:line="360" w:lineRule="exact"/>
              <w:ind w:firstLine="420" w:firstLineChars="200"/>
              <w:rPr>
                <w:rFonts w:hint="eastAsia" w:ascii="宋体" w:hAnsi="宋体"/>
                <w:szCs w:val="21"/>
              </w:rPr>
            </w:pPr>
            <w:r>
              <w:rPr>
                <w:rFonts w:hint="eastAsia" w:ascii="宋体" w:hAnsi="宋体"/>
                <w:szCs w:val="21"/>
              </w:rPr>
              <w:t>1.交货时间：自合同签订之日起90日内交付。</w:t>
            </w:r>
          </w:p>
          <w:p w14:paraId="640E9173">
            <w:pPr>
              <w:spacing w:line="360" w:lineRule="exact"/>
              <w:ind w:firstLine="420" w:firstLineChars="200"/>
              <w:rPr>
                <w:rFonts w:hint="eastAsia" w:ascii="宋体" w:hAnsi="宋体"/>
                <w:szCs w:val="21"/>
              </w:rPr>
            </w:pPr>
            <w:r>
              <w:rPr>
                <w:rFonts w:hint="eastAsia" w:ascii="宋体" w:hAnsi="宋体"/>
                <w:szCs w:val="21"/>
              </w:rPr>
              <w:t>2.交货地点：广西区内采购人指定地点。交付货物清单同货物一并送达采购人；货物在交付前发生的风险均由中标供应商自行负责；未验收前保管工作由中标供应商自行负责。</w:t>
            </w:r>
          </w:p>
          <w:p w14:paraId="764EDFCB">
            <w:pPr>
              <w:spacing w:line="360" w:lineRule="exact"/>
              <w:ind w:firstLine="420" w:firstLineChars="200"/>
              <w:rPr>
                <w:rFonts w:hint="eastAsia" w:ascii="宋体" w:hAnsi="宋体"/>
                <w:szCs w:val="21"/>
              </w:rPr>
            </w:pPr>
            <w:r>
              <w:rPr>
                <w:rFonts w:hint="eastAsia" w:ascii="宋体" w:hAnsi="宋体"/>
                <w:szCs w:val="21"/>
              </w:rPr>
              <w:t>3.中标供应商承担货物运输、验收检测和提供货物说明书、技术培训、售后服务等其他类似的义务。</w:t>
            </w:r>
          </w:p>
          <w:p w14:paraId="7CF29379">
            <w:pPr>
              <w:spacing w:line="360" w:lineRule="exact"/>
              <w:ind w:firstLine="420" w:firstLineChars="200"/>
              <w:rPr>
                <w:rFonts w:hint="eastAsia" w:ascii="宋体" w:hAnsi="宋体"/>
                <w:szCs w:val="21"/>
              </w:rPr>
            </w:pPr>
            <w:r>
              <w:rPr>
                <w:rFonts w:hint="eastAsia" w:ascii="宋体" w:hAnsi="宋体"/>
                <w:szCs w:val="21"/>
              </w:rPr>
              <w:t>4.交货方式：现场交货。</w:t>
            </w:r>
          </w:p>
        </w:tc>
      </w:tr>
      <w:tr w14:paraId="6D022B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91" w:type="pct"/>
            <w:gridSpan w:val="3"/>
            <w:tcBorders>
              <w:top w:val="single" w:color="auto" w:sz="4" w:space="0"/>
              <w:left w:val="single" w:color="auto" w:sz="4" w:space="0"/>
              <w:bottom w:val="single" w:color="auto" w:sz="4" w:space="0"/>
              <w:right w:val="single" w:color="auto" w:sz="4" w:space="0"/>
            </w:tcBorders>
            <w:noWrap w:val="0"/>
            <w:vAlign w:val="center"/>
          </w:tcPr>
          <w:p w14:paraId="29C1A9D7">
            <w:pPr>
              <w:spacing w:line="360" w:lineRule="exact"/>
              <w:rPr>
                <w:rFonts w:hint="eastAsia" w:ascii="宋体" w:hAnsi="宋体"/>
                <w:szCs w:val="21"/>
              </w:rPr>
            </w:pPr>
            <w:r>
              <w:rPr>
                <w:rFonts w:hint="eastAsia" w:ascii="宋体" w:hAnsi="宋体"/>
                <w:szCs w:val="21"/>
              </w:rPr>
              <w:t>质保期</w:t>
            </w:r>
          </w:p>
        </w:tc>
        <w:tc>
          <w:tcPr>
            <w:tcW w:w="4108" w:type="pct"/>
            <w:gridSpan w:val="4"/>
            <w:tcBorders>
              <w:top w:val="single" w:color="auto" w:sz="4" w:space="0"/>
              <w:left w:val="nil"/>
              <w:bottom w:val="single" w:color="auto" w:sz="4" w:space="0"/>
              <w:right w:val="single" w:color="auto" w:sz="4" w:space="0"/>
            </w:tcBorders>
            <w:noWrap w:val="0"/>
            <w:vAlign w:val="center"/>
          </w:tcPr>
          <w:p w14:paraId="05932F22">
            <w:pPr>
              <w:spacing w:line="360" w:lineRule="exact"/>
              <w:ind w:firstLine="420" w:firstLineChars="200"/>
              <w:rPr>
                <w:rFonts w:hint="eastAsia" w:ascii="宋体" w:hAnsi="宋体"/>
                <w:szCs w:val="21"/>
              </w:rPr>
            </w:pPr>
            <w:r>
              <w:rPr>
                <w:rFonts w:hint="eastAsia" w:ascii="宋体" w:hAnsi="宋体"/>
                <w:szCs w:val="21"/>
              </w:rPr>
              <w:t>满足国家有关产品“三包”规定，且自本分标所有货物交付并最终验收合格之日起计算，质保期不少于3年。“技术需求及要求”中有特别要求的则以“技术需求及要求”为准。若厂家公开承诺质保期更长的，质保期从其承诺。</w:t>
            </w:r>
          </w:p>
        </w:tc>
      </w:tr>
      <w:tr w14:paraId="59725D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91" w:type="pct"/>
            <w:gridSpan w:val="3"/>
            <w:tcBorders>
              <w:top w:val="single" w:color="auto" w:sz="4" w:space="0"/>
              <w:left w:val="single" w:color="auto" w:sz="4" w:space="0"/>
              <w:bottom w:val="single" w:color="auto" w:sz="4" w:space="0"/>
              <w:right w:val="single" w:color="auto" w:sz="4" w:space="0"/>
            </w:tcBorders>
            <w:noWrap w:val="0"/>
            <w:vAlign w:val="center"/>
          </w:tcPr>
          <w:p w14:paraId="5F81283D">
            <w:pPr>
              <w:spacing w:line="360" w:lineRule="exact"/>
              <w:rPr>
                <w:rFonts w:hint="eastAsia" w:ascii="宋体" w:hAnsi="宋体"/>
                <w:szCs w:val="21"/>
              </w:rPr>
            </w:pPr>
            <w:r>
              <w:rPr>
                <w:rFonts w:hint="eastAsia" w:ascii="宋体" w:hAnsi="宋体"/>
                <w:szCs w:val="21"/>
              </w:rPr>
              <w:t>售后服务及技术服务要求</w:t>
            </w:r>
          </w:p>
        </w:tc>
        <w:tc>
          <w:tcPr>
            <w:tcW w:w="4108" w:type="pct"/>
            <w:gridSpan w:val="4"/>
            <w:tcBorders>
              <w:top w:val="single" w:color="auto" w:sz="4" w:space="0"/>
              <w:left w:val="nil"/>
              <w:bottom w:val="single" w:color="auto" w:sz="4" w:space="0"/>
              <w:right w:val="single" w:color="auto" w:sz="4" w:space="0"/>
            </w:tcBorders>
            <w:noWrap w:val="0"/>
            <w:vAlign w:val="center"/>
          </w:tcPr>
          <w:p w14:paraId="73A1B070">
            <w:pPr>
              <w:spacing w:line="360" w:lineRule="exact"/>
              <w:ind w:firstLine="422" w:firstLineChars="200"/>
              <w:rPr>
                <w:rFonts w:hint="eastAsia" w:ascii="宋体" w:hAnsi="宋体"/>
                <w:b/>
                <w:bCs/>
              </w:rPr>
            </w:pPr>
            <w:r>
              <w:rPr>
                <w:rFonts w:hint="eastAsia" w:ascii="宋体" w:hAnsi="宋体"/>
                <w:b/>
                <w:bCs/>
              </w:rPr>
              <w:t>（一）售后服务要求</w:t>
            </w:r>
          </w:p>
          <w:p w14:paraId="1867C3BA">
            <w:pPr>
              <w:spacing w:line="360" w:lineRule="exact"/>
              <w:ind w:firstLine="420" w:firstLineChars="200"/>
              <w:rPr>
                <w:rFonts w:hint="eastAsia" w:ascii="宋体" w:hAnsi="宋体" w:cs="Arial"/>
              </w:rPr>
            </w:pPr>
            <w:r>
              <w:rPr>
                <w:rFonts w:hint="eastAsia" w:ascii="宋体" w:hAnsi="宋体"/>
              </w:rPr>
              <w:t>1.中标后产品或服务由制造商（指产品生产制造商或服务实际提供人）负责质量保证期内的售后服务的，制造商提供的售后服务也应达到招标文件要求的标准，相关的售后服务费用由投标人向制造商支付，采购人不予另行支付。</w:t>
            </w:r>
          </w:p>
          <w:p w14:paraId="0AE867B5">
            <w:pPr>
              <w:spacing w:line="360" w:lineRule="exact"/>
              <w:ind w:firstLine="420" w:firstLineChars="200"/>
              <w:rPr>
                <w:rFonts w:hint="eastAsia" w:ascii="宋体" w:hAnsi="宋体"/>
              </w:rPr>
            </w:pPr>
            <w:r>
              <w:rPr>
                <w:rFonts w:hint="eastAsia" w:ascii="宋体" w:hAnsi="宋体"/>
              </w:rPr>
              <w:t>2.提供的货物必须是未使用过的全新货物，并负责送货上门。所供货物必须满足采购合同要求，并符合国家规定的质量标准，否则采购人有权退、换货，由此引发的费用及其他经济损失全部由中标供应商承担。</w:t>
            </w:r>
          </w:p>
          <w:p w14:paraId="0AE1EE5A">
            <w:pPr>
              <w:spacing w:line="360" w:lineRule="exact"/>
              <w:ind w:firstLine="420" w:firstLineChars="200"/>
              <w:rPr>
                <w:rFonts w:ascii="宋体" w:hAnsi="宋体"/>
              </w:rPr>
            </w:pPr>
            <w:r>
              <w:rPr>
                <w:rFonts w:hint="eastAsia" w:ascii="宋体" w:hAnsi="宋体"/>
              </w:rPr>
              <w:t>3.所提供货物安装或调试后进行技术性能、功能检测，按招标文件上的技术规格要求、中标供应商投标文件响应和承诺的技术参数及功能和国家等有关标准进行测试，涉及货物质量问题的中标供应商应在采购人指定期限内无条件退换；若退换后经采购人二次验收仍达不到要求的视为货物不合格，采购人可解除双方的供货合同；不合格项经核实属于投标时虚假响应的，采购人有权报政府采购监督管理部门申请解除合同，中标供应商自行承担相应法律后果。</w:t>
            </w:r>
          </w:p>
          <w:p w14:paraId="13ABA609">
            <w:pPr>
              <w:spacing w:line="360" w:lineRule="exact"/>
              <w:ind w:firstLine="420" w:firstLineChars="200"/>
              <w:rPr>
                <w:rFonts w:hint="eastAsia" w:ascii="宋体" w:hAnsi="宋体"/>
              </w:rPr>
            </w:pPr>
            <w:r>
              <w:rPr>
                <w:rFonts w:hint="eastAsia" w:ascii="宋体" w:hAnsi="宋体"/>
              </w:rPr>
              <w:t>4.在安装期、试运行期及最终验收后的质保期内，由于货物技术或质量问题而产生的故障，无论大小，中标供应商一律提供维修服务。质保期满后须提供终身维护服务。</w:t>
            </w:r>
          </w:p>
          <w:p w14:paraId="79874F5F">
            <w:pPr>
              <w:spacing w:line="360" w:lineRule="exact"/>
              <w:ind w:firstLine="420" w:firstLineChars="200"/>
              <w:rPr>
                <w:rFonts w:hint="eastAsia" w:ascii="宋体" w:hAnsi="宋体"/>
              </w:rPr>
            </w:pPr>
            <w:r>
              <w:rPr>
                <w:rFonts w:hint="eastAsia" w:ascii="宋体" w:hAnsi="宋体"/>
              </w:rPr>
              <w:t>5.货物交付并完成验收后，在质保期内，中标供应商接到采购人服务需求后，2小时内应做出明确回复，如有必要，中标供应商最近的售后服务点距离用户所在地500公里以内的，应保证在收到采购人服务通知后12小时内到达现场；中标供应商最近的售后服务点距离用户所在地500公里以外的（中国大陆地区），应保证在收到采购人缺陷通知后48小时内到达现场，产生一切费用由中标供应商承担，现场24小时内排查问题并处理完毕，确保货物能够正常使用。</w:t>
            </w:r>
          </w:p>
          <w:p w14:paraId="3E515697">
            <w:pPr>
              <w:spacing w:line="360" w:lineRule="exact"/>
              <w:ind w:firstLine="420" w:firstLineChars="200"/>
              <w:rPr>
                <w:rFonts w:hint="eastAsia" w:ascii="宋体" w:hAnsi="宋体"/>
              </w:rPr>
            </w:pPr>
            <w:r>
              <w:rPr>
                <w:rFonts w:hint="eastAsia" w:ascii="宋体" w:hAnsi="宋体"/>
              </w:rPr>
              <w:t>6.质保期内的维修工时及材料费用、维修人员的差旅费、宿费等由中标供应商承担。</w:t>
            </w:r>
          </w:p>
          <w:p w14:paraId="74D9EC15">
            <w:pPr>
              <w:spacing w:line="360" w:lineRule="exact"/>
              <w:ind w:firstLine="420" w:firstLineChars="200"/>
              <w:rPr>
                <w:rFonts w:ascii="宋体" w:hAnsi="宋体"/>
              </w:rPr>
            </w:pPr>
            <w:r>
              <w:rPr>
                <w:rFonts w:hint="eastAsia" w:ascii="宋体" w:hAnsi="宋体"/>
              </w:rPr>
              <w:t>7.质保期内，中标供应商提供上门维保检修服务，服务间隔不超过6个月。</w:t>
            </w:r>
          </w:p>
          <w:p w14:paraId="6E841052">
            <w:pPr>
              <w:spacing w:line="360" w:lineRule="exact"/>
              <w:ind w:firstLine="420" w:firstLineChars="200"/>
              <w:rPr>
                <w:rFonts w:ascii="宋体" w:hAnsi="宋体"/>
              </w:rPr>
            </w:pPr>
            <w:r>
              <w:rPr>
                <w:rFonts w:hint="eastAsia" w:ascii="宋体" w:hAnsi="宋体"/>
              </w:rPr>
              <w:t>8.在质保期内，如设备或零部件因非人力因素出现故障而造成短期停用，或同一缺陷经三次维修、调换后仍无法达到质量标准的，则认定该产品不合格，采购人有权将该货物无条件退货或要求更换。因故障造成的短期停用或因产品不合格导致更换的，质保期相应顺延。</w:t>
            </w:r>
          </w:p>
          <w:p w14:paraId="3EA2610E">
            <w:pPr>
              <w:spacing w:line="360" w:lineRule="exact"/>
              <w:ind w:firstLine="420" w:firstLineChars="200"/>
              <w:rPr>
                <w:rFonts w:ascii="宋体" w:hAnsi="宋体"/>
              </w:rPr>
            </w:pPr>
            <w:r>
              <w:rPr>
                <w:rFonts w:hint="eastAsia" w:ascii="宋体" w:hAnsi="宋体"/>
              </w:rPr>
              <w:t>9.在装备质保期到期前的两个月内，中标供应商应协助采购人对所有装备进行一次全面检查与维护，所有费用由中标供应商负责。</w:t>
            </w:r>
          </w:p>
          <w:p w14:paraId="5976EF42">
            <w:pPr>
              <w:spacing w:line="360" w:lineRule="exact"/>
              <w:ind w:firstLine="420" w:firstLineChars="200"/>
              <w:rPr>
                <w:rFonts w:hint="eastAsia" w:ascii="宋体" w:hAnsi="宋体"/>
              </w:rPr>
            </w:pPr>
            <w:r>
              <w:rPr>
                <w:rFonts w:hint="eastAsia" w:ascii="宋体" w:hAnsi="宋体"/>
              </w:rPr>
              <w:t>10.质保期外出现故障时，中标供应商应按质保期内时效规定提供维修服务，以优惠价格收取材料费及人工费。中标供应商应保证有偿提供采购人10年的备品备件及易损件供应。</w:t>
            </w:r>
          </w:p>
          <w:p w14:paraId="09893E68">
            <w:pPr>
              <w:spacing w:line="360" w:lineRule="exact"/>
              <w:ind w:firstLine="420" w:firstLineChars="200"/>
              <w:rPr>
                <w:rFonts w:hint="eastAsia" w:ascii="宋体" w:hAnsi="宋体"/>
              </w:rPr>
            </w:pPr>
            <w:r>
              <w:rPr>
                <w:rFonts w:hint="eastAsia" w:ascii="宋体" w:hAnsi="宋体"/>
              </w:rPr>
              <w:t>11.投标人或投标产品制造商针对项目提供有固定的维修服务点、能提供正常的技术、备品备件服务及产品数据升级。</w:t>
            </w:r>
          </w:p>
          <w:p w14:paraId="73BD7D60">
            <w:pPr>
              <w:spacing w:line="360" w:lineRule="exact"/>
              <w:ind w:firstLine="420" w:firstLineChars="200"/>
              <w:rPr>
                <w:rFonts w:ascii="宋体" w:hAnsi="宋体"/>
              </w:rPr>
            </w:pPr>
            <w:r>
              <w:rPr>
                <w:rFonts w:hint="eastAsia" w:ascii="宋体" w:hAnsi="宋体"/>
              </w:rPr>
              <w:t>12.在质保期内维修或更换缺陷部件的期限：中标供应商保证对装备维修随时响应，提供24小时售后服务电话，24小时售后服务电话如有变更，应至少在变更前15天以书面形式告知用户，并由用户书面确认。在质保期内，设备出现故障（非因操作不当造成），中标供应商接到采购人通知后，应在规定时间内到达现场修理，所需费用全部由中标供应商负担。规定时间为：中标供应商最近的售后服务点距离用户所在地500公里以内的，应保证在收到采购人缺陷通知后12小时内到达现场；中标供应商最近的售后服务点距离用户所在地500公里以外的（中国大陆地区），应保证在收到采购人缺陷通知后48小时内到达现场。如不能满足上述要求视为违约，单次赔偿金额为合同总价的0.5%（质保期内采购人有权从履约保证金中直接扣除），并由中标供应商承担因此造成的用户的经济损失。若出现重大故障，设备不能正常工作，质保期从设备修复后起重新计算。</w:t>
            </w:r>
          </w:p>
          <w:p w14:paraId="3FCD137E">
            <w:pPr>
              <w:spacing w:line="360" w:lineRule="exact"/>
              <w:ind w:firstLine="420" w:firstLineChars="200"/>
              <w:rPr>
                <w:rFonts w:hint="eastAsia" w:ascii="宋体" w:hAnsi="宋体"/>
              </w:rPr>
            </w:pPr>
            <w:r>
              <w:rPr>
                <w:rFonts w:hint="eastAsia" w:ascii="宋体" w:hAnsi="宋体"/>
              </w:rPr>
              <w:t>13.质保期内，如中标供应商公司被兼并或收购，兼并或收购后的公司有责任继续对采购人履行服务。</w:t>
            </w:r>
          </w:p>
          <w:p w14:paraId="512A4664">
            <w:pPr>
              <w:spacing w:line="360" w:lineRule="exact"/>
              <w:ind w:firstLine="422" w:firstLineChars="200"/>
              <w:rPr>
                <w:rFonts w:hint="eastAsia" w:ascii="宋体" w:hAnsi="宋体"/>
                <w:b/>
                <w:bCs/>
              </w:rPr>
            </w:pPr>
            <w:r>
              <w:rPr>
                <w:rFonts w:hint="eastAsia" w:ascii="宋体" w:hAnsi="宋体"/>
                <w:b/>
                <w:bCs/>
              </w:rPr>
              <w:t>（二）技术服务支持</w:t>
            </w:r>
          </w:p>
          <w:p w14:paraId="3397AD87">
            <w:pPr>
              <w:spacing w:line="360" w:lineRule="exact"/>
              <w:ind w:firstLine="420" w:firstLineChars="200"/>
              <w:rPr>
                <w:rFonts w:hint="eastAsia" w:ascii="宋体" w:hAnsi="宋体"/>
              </w:rPr>
            </w:pPr>
            <w:r>
              <w:rPr>
                <w:rFonts w:hint="eastAsia" w:ascii="宋体" w:hAnsi="宋体"/>
              </w:rPr>
              <w:t>1.根据采购人需求，进行软件和硬件的升级和更新，以保持设备的最佳性能。为采购人的单位员工提供设备或系统使用的培训和技术支持，以便这些人员能够有效对设备或系统应用的使用。</w:t>
            </w:r>
          </w:p>
          <w:p w14:paraId="79B73DBD">
            <w:pPr>
              <w:spacing w:line="360" w:lineRule="exact"/>
              <w:ind w:firstLine="420" w:firstLineChars="200"/>
              <w:rPr>
                <w:rFonts w:hint="eastAsia" w:ascii="宋体" w:hAnsi="宋体"/>
              </w:rPr>
            </w:pPr>
            <w:r>
              <w:rPr>
                <w:rFonts w:hint="eastAsia" w:ascii="宋体" w:hAnsi="宋体"/>
              </w:rPr>
              <w:t>2.技术保障服务</w:t>
            </w:r>
          </w:p>
          <w:p w14:paraId="2E207629">
            <w:pPr>
              <w:spacing w:line="360" w:lineRule="exact"/>
              <w:ind w:firstLine="420" w:firstLineChars="200"/>
              <w:rPr>
                <w:rFonts w:hint="eastAsia" w:ascii="宋体" w:hAnsi="宋体"/>
              </w:rPr>
            </w:pPr>
            <w:r>
              <w:rPr>
                <w:rFonts w:hint="eastAsia" w:ascii="宋体" w:hAnsi="宋体"/>
              </w:rPr>
              <w:t>定期巡检及时掌握设备或系统在使用过程中的各种情况，发现问题及时排除，在故障响应时间内检查采购人反映的问题，并按时维修或者提供备品备件排除故障，保证设备或系统正常运行、正常使用。</w:t>
            </w:r>
          </w:p>
          <w:p w14:paraId="4185ADAC">
            <w:pPr>
              <w:spacing w:line="360" w:lineRule="exact"/>
              <w:ind w:firstLine="420" w:firstLineChars="200"/>
              <w:rPr>
                <w:rFonts w:hint="eastAsia" w:ascii="宋体" w:hAnsi="宋体"/>
              </w:rPr>
            </w:pPr>
            <w:r>
              <w:rPr>
                <w:rFonts w:hint="eastAsia" w:ascii="宋体" w:hAnsi="宋体"/>
              </w:rPr>
              <w:t>3.技术培训服务</w:t>
            </w:r>
          </w:p>
          <w:p w14:paraId="58259CEC">
            <w:pPr>
              <w:spacing w:line="360" w:lineRule="exact"/>
              <w:ind w:firstLine="420" w:firstLineChars="200"/>
              <w:rPr>
                <w:rFonts w:hint="eastAsia" w:ascii="宋体" w:hAnsi="宋体"/>
              </w:rPr>
            </w:pPr>
            <w:r>
              <w:rPr>
                <w:rFonts w:hint="eastAsia" w:ascii="宋体" w:hAnsi="宋体"/>
              </w:rPr>
              <w:t>为采购人相关人员提供专业的技术培训服务，在质保期内每年不少于1次培训，根据实际需求，</w:t>
            </w:r>
            <w:r>
              <w:rPr>
                <w:rFonts w:hint="eastAsia"/>
              </w:rPr>
              <w:t>提供线下集中培训，线下培训地点由采购人安排。</w:t>
            </w:r>
          </w:p>
          <w:p w14:paraId="2E3D96E9">
            <w:pPr>
              <w:spacing w:line="360" w:lineRule="exact"/>
              <w:ind w:firstLine="420" w:firstLineChars="200"/>
              <w:rPr>
                <w:rFonts w:hint="eastAsia" w:ascii="宋体" w:hAnsi="宋体"/>
              </w:rPr>
            </w:pPr>
            <w:r>
              <w:rPr>
                <w:rFonts w:hint="eastAsia" w:ascii="宋体" w:hAnsi="宋体"/>
              </w:rPr>
              <w:t>培训服务包含以下内容：</w:t>
            </w:r>
          </w:p>
          <w:p w14:paraId="52EC1C43">
            <w:pPr>
              <w:spacing w:line="360" w:lineRule="exact"/>
              <w:ind w:firstLine="420" w:firstLineChars="200"/>
              <w:rPr>
                <w:rFonts w:hint="eastAsia" w:ascii="宋体" w:hAnsi="宋体"/>
              </w:rPr>
            </w:pPr>
            <w:r>
              <w:rPr>
                <w:rFonts w:hint="eastAsia" w:ascii="宋体" w:hAnsi="宋体"/>
              </w:rPr>
              <w:t>（1）基础操作培训：涵盖系统的基本操作、功能使用等。</w:t>
            </w:r>
          </w:p>
          <w:p w14:paraId="7D3AE22C">
            <w:pPr>
              <w:spacing w:line="360" w:lineRule="exact"/>
              <w:ind w:firstLine="420" w:firstLineChars="200"/>
              <w:rPr>
                <w:rFonts w:hint="eastAsia" w:ascii="宋体" w:hAnsi="宋体"/>
              </w:rPr>
            </w:pPr>
            <w:r>
              <w:rPr>
                <w:rFonts w:hint="eastAsia" w:ascii="宋体" w:hAnsi="宋体"/>
              </w:rPr>
              <w:t>（2）高级功能培训：针对特定的高级功能或模块进行深入培训。</w:t>
            </w:r>
          </w:p>
          <w:p w14:paraId="2FB5B78C">
            <w:pPr>
              <w:spacing w:line="360" w:lineRule="exact"/>
              <w:ind w:firstLine="420" w:firstLineChars="200"/>
              <w:rPr>
                <w:rFonts w:hint="eastAsia" w:ascii="宋体" w:hAnsi="宋体"/>
              </w:rPr>
            </w:pPr>
            <w:r>
              <w:rPr>
                <w:rFonts w:hint="eastAsia" w:ascii="宋体" w:hAnsi="宋体"/>
              </w:rPr>
              <w:t>（3）系统管理与维护：针对系统维护、故障排除等系统管理培训。</w:t>
            </w:r>
          </w:p>
          <w:p w14:paraId="16197557">
            <w:pPr>
              <w:spacing w:line="360" w:lineRule="exact"/>
              <w:ind w:firstLine="420" w:firstLineChars="200"/>
              <w:rPr>
                <w:rFonts w:hint="eastAsia" w:ascii="宋体" w:hAnsi="宋体"/>
              </w:rPr>
            </w:pPr>
            <w:r>
              <w:rPr>
                <w:rFonts w:hint="eastAsia" w:ascii="宋体" w:hAnsi="宋体"/>
              </w:rPr>
              <w:t>（4）制作下发详细的培训教材，培训课件，培训视频等。</w:t>
            </w:r>
          </w:p>
          <w:p w14:paraId="4A8E1283">
            <w:pPr>
              <w:spacing w:line="360" w:lineRule="exact"/>
              <w:ind w:firstLine="420" w:firstLineChars="200"/>
              <w:rPr>
                <w:rFonts w:hint="eastAsia" w:ascii="宋体" w:hAnsi="宋体"/>
              </w:rPr>
            </w:pPr>
            <w:r>
              <w:rPr>
                <w:rFonts w:hint="eastAsia" w:ascii="宋体" w:hAnsi="宋体"/>
              </w:rPr>
              <w:t>（5）提供后续培训服务，根据设备功能升级的调整、应用系统的升级、应用人员的变化，应用人员的能力提高等需求情况，根据特殊需求，提供针对性培训，培训方式为集中专题培训。</w:t>
            </w:r>
          </w:p>
          <w:p w14:paraId="5C14D1D2">
            <w:pPr>
              <w:spacing w:line="360" w:lineRule="exact"/>
              <w:ind w:firstLine="420" w:firstLineChars="200"/>
              <w:rPr>
                <w:rFonts w:hint="eastAsia" w:ascii="宋体" w:hAnsi="宋体"/>
                <w:color w:val="000000"/>
              </w:rPr>
            </w:pPr>
            <w:r>
              <w:rPr>
                <w:rFonts w:hint="eastAsia" w:ascii="宋体" w:hAnsi="宋体"/>
                <w:color w:val="000000"/>
              </w:rPr>
              <w:t>（6）为每台设备培训不少于2名操作人员，</w:t>
            </w:r>
            <w:r>
              <w:rPr>
                <w:rFonts w:hint="eastAsia" w:ascii="宋体" w:hAnsi="宋体"/>
                <w:color w:val="000000"/>
                <w:szCs w:val="21"/>
              </w:rPr>
              <w:t>且确保培训结束后操作人员能熟练操作设备</w:t>
            </w:r>
            <w:r>
              <w:rPr>
                <w:rFonts w:hint="eastAsia" w:ascii="宋体" w:hAnsi="宋体"/>
                <w:color w:val="000000"/>
              </w:rPr>
              <w:t>。</w:t>
            </w:r>
          </w:p>
          <w:p w14:paraId="217E9D69">
            <w:pPr>
              <w:spacing w:line="360" w:lineRule="exact"/>
              <w:ind w:firstLine="420" w:firstLineChars="200"/>
              <w:rPr>
                <w:rFonts w:hint="eastAsia" w:ascii="宋体" w:hAnsi="宋体"/>
                <w:color w:val="000000"/>
              </w:rPr>
            </w:pPr>
            <w:r>
              <w:rPr>
                <w:rFonts w:hint="eastAsia" w:ascii="宋体" w:hAnsi="宋体"/>
                <w:color w:val="000000"/>
              </w:rPr>
              <w:t>4.应急演练技术支撑服务</w:t>
            </w:r>
          </w:p>
          <w:p w14:paraId="4F7532A4">
            <w:pPr>
              <w:spacing w:line="360" w:lineRule="exact"/>
              <w:ind w:firstLine="420" w:firstLineChars="200"/>
              <w:rPr>
                <w:rFonts w:hint="eastAsia" w:ascii="宋体" w:hAnsi="宋体"/>
              </w:rPr>
            </w:pPr>
            <w:r>
              <w:rPr>
                <w:rFonts w:hint="eastAsia" w:ascii="宋体" w:hAnsi="宋体"/>
                <w:color w:val="000000"/>
              </w:rPr>
              <w:t>根据应急部门应急演练需要，提供应急演练技术支撑服务，包括但不限于通过模拟实际场景，测试</w:t>
            </w:r>
            <w:r>
              <w:rPr>
                <w:rFonts w:hint="eastAsia" w:ascii="宋体" w:hAnsi="宋体"/>
              </w:rPr>
              <w:t>团队成员间的沟通、协作与流程执行效率。</w:t>
            </w:r>
          </w:p>
          <w:p w14:paraId="7E0DF0CA">
            <w:pPr>
              <w:spacing w:line="360" w:lineRule="exact"/>
              <w:ind w:firstLine="420" w:firstLineChars="200"/>
              <w:rPr>
                <w:rFonts w:hint="eastAsia" w:ascii="宋体" w:hAnsi="宋体"/>
              </w:rPr>
            </w:pPr>
            <w:r>
              <w:rPr>
                <w:rFonts w:hint="eastAsia" w:ascii="宋体" w:hAnsi="宋体"/>
              </w:rPr>
              <w:t>5.应急现场技术支撑服务</w:t>
            </w:r>
          </w:p>
          <w:p w14:paraId="64AF7D3C">
            <w:pPr>
              <w:spacing w:line="360" w:lineRule="exact"/>
              <w:ind w:firstLine="420" w:firstLineChars="200"/>
              <w:rPr>
                <w:rFonts w:hint="eastAsia" w:ascii="宋体" w:hAnsi="宋体"/>
              </w:rPr>
            </w:pPr>
            <w:r>
              <w:rPr>
                <w:rFonts w:hint="eastAsia" w:ascii="宋体" w:hAnsi="宋体"/>
              </w:rPr>
              <w:t>设立专门的售后服务团队提供服务支持，提供现场技术支撑服务，确保用户能够及时获得帮助和解决问题。</w:t>
            </w:r>
          </w:p>
          <w:p w14:paraId="7E608661">
            <w:pPr>
              <w:spacing w:line="360" w:lineRule="exact"/>
              <w:ind w:firstLine="420" w:firstLineChars="200"/>
              <w:rPr>
                <w:rFonts w:hint="eastAsia" w:ascii="宋体" w:hAnsi="宋体"/>
              </w:rPr>
            </w:pPr>
            <w:r>
              <w:rPr>
                <w:rFonts w:hint="eastAsia" w:ascii="宋体" w:hAnsi="宋体"/>
              </w:rPr>
              <w:t>（1）技术咨询：解答采购人在使用产品或解决方案过程中遇到的技术问题。</w:t>
            </w:r>
          </w:p>
          <w:p w14:paraId="79AE4314">
            <w:pPr>
              <w:spacing w:line="360" w:lineRule="exact"/>
              <w:ind w:firstLine="420" w:firstLineChars="200"/>
              <w:rPr>
                <w:rFonts w:hint="eastAsia" w:ascii="宋体" w:hAnsi="宋体"/>
              </w:rPr>
            </w:pPr>
            <w:r>
              <w:rPr>
                <w:rFonts w:hint="eastAsia" w:ascii="宋体" w:hAnsi="宋体"/>
              </w:rPr>
              <w:t>（2）方案定制：根据采购人的具体需求，提供个性化的解决方案。</w:t>
            </w:r>
          </w:p>
          <w:p w14:paraId="51412A91">
            <w:pPr>
              <w:spacing w:line="360" w:lineRule="exact"/>
              <w:ind w:firstLine="420" w:firstLineChars="200"/>
              <w:rPr>
                <w:rFonts w:hint="eastAsia" w:ascii="宋体" w:hAnsi="宋体"/>
              </w:rPr>
            </w:pPr>
            <w:r>
              <w:rPr>
                <w:rFonts w:hint="eastAsia" w:ascii="宋体" w:hAnsi="宋体"/>
              </w:rPr>
              <w:t>（3）技术支持：在采购人遇到技术难题时，提供远程或现场的技术支持。</w:t>
            </w:r>
          </w:p>
          <w:p w14:paraId="10F88DBE">
            <w:pPr>
              <w:spacing w:line="360" w:lineRule="exact"/>
              <w:ind w:firstLine="420" w:firstLineChars="200"/>
              <w:rPr>
                <w:rFonts w:hint="eastAsia" w:ascii="宋体" w:hAnsi="宋体"/>
              </w:rPr>
            </w:pPr>
            <w:r>
              <w:rPr>
                <w:rFonts w:hint="eastAsia" w:ascii="宋体" w:hAnsi="宋体"/>
              </w:rPr>
              <w:t>（4）应急响应：接故障通知后，在规定时间内对故障进行及时处理，如不能在规定时间内解决，应提供应急预案及备用产品，以保证采购人应急使用。</w:t>
            </w:r>
          </w:p>
        </w:tc>
      </w:tr>
      <w:tr w14:paraId="235990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91" w:type="pct"/>
            <w:gridSpan w:val="3"/>
            <w:tcBorders>
              <w:top w:val="single" w:color="auto" w:sz="4" w:space="0"/>
              <w:left w:val="single" w:color="auto" w:sz="4" w:space="0"/>
              <w:bottom w:val="single" w:color="auto" w:sz="4" w:space="0"/>
              <w:right w:val="single" w:color="auto" w:sz="4" w:space="0"/>
            </w:tcBorders>
            <w:noWrap w:val="0"/>
            <w:vAlign w:val="center"/>
          </w:tcPr>
          <w:p w14:paraId="1815D4D5">
            <w:pPr>
              <w:spacing w:line="360" w:lineRule="exact"/>
              <w:rPr>
                <w:rFonts w:hint="eastAsia" w:ascii="宋体" w:hAnsi="宋体"/>
                <w:szCs w:val="21"/>
              </w:rPr>
            </w:pPr>
            <w:r>
              <w:rPr>
                <w:rFonts w:hint="eastAsia" w:ascii="宋体" w:hAnsi="宋体"/>
                <w:szCs w:val="21"/>
              </w:rPr>
              <w:t>付款方式</w:t>
            </w:r>
          </w:p>
        </w:tc>
        <w:tc>
          <w:tcPr>
            <w:tcW w:w="4108" w:type="pct"/>
            <w:gridSpan w:val="4"/>
            <w:tcBorders>
              <w:top w:val="single" w:color="auto" w:sz="4" w:space="0"/>
              <w:left w:val="nil"/>
              <w:bottom w:val="single" w:color="auto" w:sz="4" w:space="0"/>
              <w:right w:val="single" w:color="auto" w:sz="4" w:space="0"/>
            </w:tcBorders>
            <w:noWrap w:val="0"/>
            <w:vAlign w:val="center"/>
          </w:tcPr>
          <w:p w14:paraId="2447CB2C">
            <w:pPr>
              <w:spacing w:line="360" w:lineRule="exact"/>
              <w:ind w:firstLine="420" w:firstLineChars="200"/>
              <w:rPr>
                <w:rFonts w:hint="eastAsia" w:ascii="宋体" w:hAnsi="宋体"/>
                <w:szCs w:val="21"/>
              </w:rPr>
            </w:pPr>
            <w:r>
              <w:rPr>
                <w:rFonts w:hint="eastAsia" w:ascii="宋体" w:hAnsi="宋体"/>
                <w:szCs w:val="21"/>
              </w:rPr>
              <w:t>签订合同后中标供应商提供预付款同等价款保函【必须为无条件保函，且为独立保函（见索即付），由银行出具】后10个工作日内采购人支付合同款的40%作为预付款，本分标所有货物交付并最终验收合格后10个工作日内采购人付完剩余合同款。</w:t>
            </w:r>
          </w:p>
        </w:tc>
      </w:tr>
      <w:tr w14:paraId="0ED993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91" w:type="pct"/>
            <w:gridSpan w:val="3"/>
            <w:tcBorders>
              <w:top w:val="single" w:color="auto" w:sz="4" w:space="0"/>
              <w:left w:val="single" w:color="auto" w:sz="4" w:space="0"/>
              <w:bottom w:val="single" w:color="auto" w:sz="4" w:space="0"/>
              <w:right w:val="single" w:color="auto" w:sz="4" w:space="0"/>
            </w:tcBorders>
            <w:noWrap w:val="0"/>
            <w:vAlign w:val="center"/>
          </w:tcPr>
          <w:p w14:paraId="5F3467FC">
            <w:pPr>
              <w:spacing w:line="360" w:lineRule="exact"/>
              <w:rPr>
                <w:rFonts w:hint="eastAsia" w:ascii="宋体" w:hAnsi="宋体"/>
                <w:szCs w:val="21"/>
              </w:rPr>
            </w:pPr>
            <w:r>
              <w:rPr>
                <w:rFonts w:hint="eastAsia" w:ascii="宋体" w:hAnsi="宋体"/>
                <w:szCs w:val="21"/>
              </w:rPr>
              <w:t>报价及要求</w:t>
            </w:r>
          </w:p>
        </w:tc>
        <w:tc>
          <w:tcPr>
            <w:tcW w:w="4108" w:type="pct"/>
            <w:gridSpan w:val="4"/>
            <w:tcBorders>
              <w:top w:val="single" w:color="auto" w:sz="4" w:space="0"/>
              <w:left w:val="nil"/>
              <w:bottom w:val="single" w:color="auto" w:sz="4" w:space="0"/>
              <w:right w:val="single" w:color="auto" w:sz="4" w:space="0"/>
            </w:tcBorders>
            <w:noWrap w:val="0"/>
            <w:vAlign w:val="center"/>
          </w:tcPr>
          <w:p w14:paraId="635BDA7F">
            <w:pPr>
              <w:spacing w:line="360" w:lineRule="exact"/>
              <w:ind w:firstLine="420" w:firstLineChars="200"/>
              <w:rPr>
                <w:rFonts w:hint="eastAsia" w:ascii="宋体" w:hAnsi="宋体"/>
                <w:szCs w:val="21"/>
              </w:rPr>
            </w:pPr>
            <w:r>
              <w:rPr>
                <w:rFonts w:hint="eastAsia" w:ascii="宋体" w:hAnsi="宋体"/>
                <w:szCs w:val="21"/>
              </w:rPr>
              <w:t>1.投标人的投标报价为人民币含税价，总价包干且为采购人指定地点的现场交货价。投标报价包含货物及服务所需的一切费用总和，包括但不限于货物价格、标准附件、备品备件、专用工具、包装、运输、装卸、保管、验收、货物检验检测、培训、本项目招标文件要求的售后服务及技术服务要求、技术支持、人员服务、保险、招标代理服务费、税金等，以及合同明示所有责任、义务和一般风险等，采购人不再支付任何费用。</w:t>
            </w:r>
          </w:p>
          <w:p w14:paraId="21F967BA">
            <w:pPr>
              <w:spacing w:line="360" w:lineRule="exact"/>
              <w:ind w:firstLine="420" w:firstLineChars="200"/>
              <w:rPr>
                <w:rFonts w:hint="eastAsia" w:ascii="宋体" w:hAnsi="宋体"/>
                <w:szCs w:val="21"/>
              </w:rPr>
            </w:pPr>
            <w:r>
              <w:rPr>
                <w:rFonts w:hint="eastAsia" w:ascii="宋体" w:hAnsi="宋体"/>
                <w:szCs w:val="21"/>
              </w:rPr>
              <w:t>2.包装和运输</w:t>
            </w:r>
          </w:p>
          <w:p w14:paraId="10C9E9ED">
            <w:pPr>
              <w:spacing w:line="360" w:lineRule="exact"/>
              <w:ind w:firstLine="420" w:firstLineChars="200"/>
              <w:rPr>
                <w:rFonts w:hint="eastAsia" w:ascii="宋体" w:hAnsi="宋体"/>
                <w:szCs w:val="21"/>
              </w:rPr>
            </w:pPr>
            <w:r>
              <w:rPr>
                <w:rFonts w:hint="eastAsia" w:ascii="宋体" w:hAnsi="宋体"/>
                <w:szCs w:val="21"/>
              </w:rPr>
              <w:t>（1）原厂原包装，包装完好、完整无破损、未开封。</w:t>
            </w:r>
          </w:p>
          <w:p w14:paraId="1D0E07D9">
            <w:pPr>
              <w:spacing w:line="360" w:lineRule="exact"/>
              <w:ind w:firstLine="420" w:firstLineChars="200"/>
              <w:rPr>
                <w:rFonts w:hint="eastAsia" w:ascii="宋体" w:hAnsi="宋体"/>
                <w:szCs w:val="21"/>
              </w:rPr>
            </w:pPr>
            <w:r>
              <w:rPr>
                <w:rFonts w:hint="eastAsia" w:ascii="宋体" w:hAnsi="宋体"/>
                <w:szCs w:val="21"/>
              </w:rPr>
              <w:t>（2）包装及运输方式应综合考虑运输距离、防潮、防震、防破损、装卸等要求。</w:t>
            </w:r>
          </w:p>
          <w:p w14:paraId="43D9012B">
            <w:pPr>
              <w:spacing w:line="360" w:lineRule="exact"/>
              <w:ind w:firstLine="420" w:firstLineChars="200"/>
              <w:rPr>
                <w:rFonts w:hint="eastAsia" w:ascii="宋体" w:hAnsi="宋体"/>
                <w:szCs w:val="21"/>
              </w:rPr>
            </w:pPr>
            <w:r>
              <w:rPr>
                <w:rFonts w:hint="eastAsia" w:ascii="宋体" w:hAnsi="宋体"/>
                <w:szCs w:val="21"/>
              </w:rPr>
              <w:t>（3）国家对包装及运输有相关强制性标准或要求的，供应商应当执行。</w:t>
            </w:r>
          </w:p>
          <w:p w14:paraId="6F2F4C59">
            <w:pPr>
              <w:spacing w:line="360" w:lineRule="exact"/>
              <w:ind w:firstLine="420" w:firstLineChars="200"/>
              <w:rPr>
                <w:rFonts w:hint="eastAsia" w:ascii="宋体" w:hAnsi="宋体"/>
                <w:szCs w:val="21"/>
              </w:rPr>
            </w:pPr>
            <w:r>
              <w:rPr>
                <w:rFonts w:hint="eastAsia" w:ascii="宋体" w:hAnsi="宋体"/>
                <w:szCs w:val="21"/>
              </w:rPr>
              <w:t>（4）货物（含包装）运抵采购人指定交付地点前发生损坏的，相关损失由供应商自行承担。</w:t>
            </w:r>
          </w:p>
          <w:p w14:paraId="5395A46B">
            <w:pPr>
              <w:spacing w:line="360" w:lineRule="exact"/>
              <w:ind w:firstLine="420" w:firstLineChars="200"/>
              <w:rPr>
                <w:rFonts w:hint="eastAsia" w:ascii="宋体" w:hAnsi="宋体"/>
                <w:szCs w:val="21"/>
              </w:rPr>
            </w:pPr>
            <w:r>
              <w:rPr>
                <w:rFonts w:hint="eastAsia" w:ascii="宋体" w:hAnsi="宋体"/>
                <w:szCs w:val="21"/>
              </w:rPr>
              <w:t>3.保险。若供应商为本项目标的及标的涉及的相关材料、货物、人员、运输等购买保险的，相关费用由供应商自行承担。</w:t>
            </w:r>
          </w:p>
        </w:tc>
      </w:tr>
      <w:tr w14:paraId="608B8F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91" w:type="pct"/>
            <w:gridSpan w:val="3"/>
            <w:tcBorders>
              <w:top w:val="single" w:color="auto" w:sz="4" w:space="0"/>
              <w:left w:val="single" w:color="auto" w:sz="4" w:space="0"/>
              <w:bottom w:val="single" w:color="auto" w:sz="4" w:space="0"/>
              <w:right w:val="single" w:color="auto" w:sz="4" w:space="0"/>
            </w:tcBorders>
            <w:noWrap w:val="0"/>
            <w:vAlign w:val="center"/>
          </w:tcPr>
          <w:p w14:paraId="49045FEA">
            <w:pPr>
              <w:spacing w:line="360" w:lineRule="exact"/>
              <w:rPr>
                <w:rFonts w:hint="eastAsia" w:ascii="宋体" w:hAnsi="宋体"/>
                <w:szCs w:val="21"/>
              </w:rPr>
            </w:pPr>
            <w:r>
              <w:rPr>
                <w:rFonts w:hint="eastAsia" w:ascii="宋体" w:hAnsi="宋体"/>
                <w:szCs w:val="21"/>
              </w:rPr>
              <w:t>知识产权</w:t>
            </w:r>
          </w:p>
        </w:tc>
        <w:tc>
          <w:tcPr>
            <w:tcW w:w="4108" w:type="pct"/>
            <w:gridSpan w:val="4"/>
            <w:tcBorders>
              <w:top w:val="single" w:color="auto" w:sz="4" w:space="0"/>
              <w:left w:val="nil"/>
              <w:bottom w:val="single" w:color="auto" w:sz="4" w:space="0"/>
              <w:right w:val="single" w:color="auto" w:sz="4" w:space="0"/>
            </w:tcBorders>
            <w:noWrap w:val="0"/>
            <w:vAlign w:val="center"/>
          </w:tcPr>
          <w:p w14:paraId="412F69E0">
            <w:pPr>
              <w:spacing w:line="360" w:lineRule="exact"/>
              <w:ind w:right="-57" w:rightChars="-27" w:firstLine="420" w:firstLineChars="200"/>
              <w:jc w:val="left"/>
              <w:rPr>
                <w:rFonts w:hint="eastAsia" w:ascii="宋体" w:hAnsi="宋体"/>
                <w:szCs w:val="21"/>
              </w:rPr>
            </w:pPr>
            <w:r>
              <w:rPr>
                <w:rFonts w:hint="eastAsia" w:ascii="宋体" w:hAnsi="宋体"/>
                <w:szCs w:val="21"/>
              </w:rPr>
              <w:t>中标供应商保证所提供的货物及服务涉及到的知识产权和相关技术资料是合法取得的，采购人在使用货物及服务时不会侵犯任何第三方的专利权、商标权、工业设计权或其他权利，不会因为采购人的使用遭受第三方侵权指控，包括被责令致歉、停止使用、追偿或要求赔偿损失等，如果第三方提出侵权指控，中标供应商承担由此而引起的一切法律责任和费用；中标供应商负责解决由此引起的一切纠纷，采购人有权追究中标供应商的法律责任，其不利后果由中标供应商全部承担。</w:t>
            </w:r>
          </w:p>
        </w:tc>
      </w:tr>
      <w:tr w14:paraId="21E785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91" w:type="pct"/>
            <w:gridSpan w:val="3"/>
            <w:tcBorders>
              <w:top w:val="single" w:color="auto" w:sz="4" w:space="0"/>
              <w:left w:val="single" w:color="auto" w:sz="4" w:space="0"/>
              <w:bottom w:val="single" w:color="auto" w:sz="4" w:space="0"/>
              <w:right w:val="single" w:color="auto" w:sz="4" w:space="0"/>
            </w:tcBorders>
            <w:noWrap w:val="0"/>
            <w:vAlign w:val="center"/>
          </w:tcPr>
          <w:p w14:paraId="6C14B06D">
            <w:pPr>
              <w:snapToGrid w:val="0"/>
              <w:spacing w:line="360" w:lineRule="exact"/>
              <w:rPr>
                <w:rFonts w:hint="eastAsia" w:ascii="宋体" w:hAnsi="宋体"/>
                <w:szCs w:val="21"/>
              </w:rPr>
            </w:pPr>
            <w:r>
              <w:rPr>
                <w:rFonts w:hint="eastAsia" w:ascii="宋体" w:hAnsi="宋体"/>
                <w:szCs w:val="21"/>
              </w:rPr>
              <w:t>验收要求</w:t>
            </w:r>
          </w:p>
        </w:tc>
        <w:tc>
          <w:tcPr>
            <w:tcW w:w="4108" w:type="pct"/>
            <w:gridSpan w:val="4"/>
            <w:tcBorders>
              <w:top w:val="single" w:color="auto" w:sz="4" w:space="0"/>
              <w:left w:val="nil"/>
              <w:bottom w:val="single" w:color="auto" w:sz="4" w:space="0"/>
              <w:right w:val="single" w:color="auto" w:sz="4" w:space="0"/>
            </w:tcBorders>
            <w:noWrap w:val="0"/>
            <w:vAlign w:val="center"/>
          </w:tcPr>
          <w:p w14:paraId="2565F6A4">
            <w:pPr>
              <w:snapToGrid w:val="0"/>
              <w:spacing w:line="360" w:lineRule="exact"/>
              <w:ind w:firstLine="420" w:firstLineChars="200"/>
              <w:outlineLvl w:val="0"/>
              <w:rPr>
                <w:rFonts w:hint="eastAsia" w:ascii="宋体" w:hAnsi="宋体"/>
                <w:kern w:val="0"/>
                <w:szCs w:val="21"/>
              </w:rPr>
            </w:pPr>
            <w:r>
              <w:rPr>
                <w:rFonts w:hint="eastAsia" w:ascii="宋体" w:hAnsi="宋体"/>
                <w:kern w:val="0"/>
                <w:szCs w:val="21"/>
              </w:rPr>
              <w:t>1.采购人可以根据采购项目具体情况自行组织验收，或者委托第三方机构或部门开展采购项目履约验收工作，验收过程中所产生的费用均由中标供应商承担，投标人在投标报价时应考虑相关费用。</w:t>
            </w:r>
          </w:p>
          <w:p w14:paraId="13A08DFA">
            <w:pPr>
              <w:snapToGrid w:val="0"/>
              <w:spacing w:line="360" w:lineRule="exact"/>
              <w:ind w:firstLine="420" w:firstLineChars="200"/>
              <w:outlineLvl w:val="0"/>
              <w:rPr>
                <w:rFonts w:hint="eastAsia" w:ascii="宋体" w:hAnsi="宋体"/>
                <w:kern w:val="0"/>
                <w:szCs w:val="21"/>
              </w:rPr>
            </w:pPr>
            <w:r>
              <w:rPr>
                <w:rFonts w:hint="eastAsia" w:ascii="宋体" w:hAnsi="宋体"/>
                <w:kern w:val="0"/>
                <w:szCs w:val="21"/>
              </w:rPr>
              <w:t>2.在验收过程中发现中标供应商有违约问题，可暂缓资金结算，待违约问题解决后，方可办理资金结算事宜。</w:t>
            </w:r>
          </w:p>
          <w:p w14:paraId="35516433">
            <w:pPr>
              <w:snapToGrid w:val="0"/>
              <w:spacing w:line="360" w:lineRule="exact"/>
              <w:ind w:firstLine="420" w:firstLineChars="200"/>
              <w:outlineLvl w:val="0"/>
              <w:rPr>
                <w:rFonts w:hint="eastAsia" w:ascii="宋体" w:hAnsi="宋体"/>
                <w:kern w:val="0"/>
                <w:szCs w:val="21"/>
              </w:rPr>
            </w:pPr>
            <w:r>
              <w:rPr>
                <w:rFonts w:hint="eastAsia" w:ascii="宋体" w:hAnsi="宋体"/>
                <w:kern w:val="0"/>
                <w:szCs w:val="21"/>
              </w:rPr>
              <w:t>3.验收依据：按合同（含本招标文件采购需求、中标供应商投标文件承诺）要求及国家标准进行验收。</w:t>
            </w:r>
          </w:p>
          <w:p w14:paraId="438547E3">
            <w:pPr>
              <w:snapToGrid w:val="0"/>
              <w:spacing w:line="360" w:lineRule="exact"/>
              <w:ind w:firstLine="420" w:firstLineChars="200"/>
              <w:outlineLvl w:val="0"/>
              <w:rPr>
                <w:rFonts w:hint="eastAsia" w:ascii="宋体" w:hAnsi="宋体"/>
                <w:kern w:val="0"/>
                <w:szCs w:val="21"/>
              </w:rPr>
            </w:pPr>
            <w:r>
              <w:rPr>
                <w:rFonts w:hint="eastAsia" w:ascii="宋体" w:hAnsi="宋体"/>
                <w:kern w:val="0"/>
                <w:szCs w:val="21"/>
              </w:rPr>
              <w:t>4.验收程序及要求</w:t>
            </w:r>
          </w:p>
          <w:p w14:paraId="16C32C9F">
            <w:pPr>
              <w:snapToGrid w:val="0"/>
              <w:spacing w:line="360" w:lineRule="exact"/>
              <w:ind w:firstLine="420" w:firstLineChars="200"/>
              <w:outlineLvl w:val="0"/>
              <w:rPr>
                <w:rFonts w:hint="eastAsia" w:ascii="宋体" w:hAnsi="宋体"/>
                <w:kern w:val="0"/>
                <w:szCs w:val="21"/>
              </w:rPr>
            </w:pPr>
            <w:r>
              <w:rPr>
                <w:rFonts w:hint="eastAsia" w:ascii="宋体" w:hAnsi="宋体"/>
                <w:kern w:val="0"/>
                <w:szCs w:val="21"/>
              </w:rPr>
              <w:t>4.1验收程序</w:t>
            </w:r>
          </w:p>
          <w:p w14:paraId="2DF86F14">
            <w:pPr>
              <w:snapToGrid w:val="0"/>
              <w:spacing w:line="360" w:lineRule="exact"/>
              <w:ind w:firstLine="420" w:firstLineChars="200"/>
              <w:outlineLvl w:val="0"/>
              <w:rPr>
                <w:rFonts w:hint="eastAsia" w:ascii="宋体" w:hAnsi="宋体"/>
                <w:kern w:val="0"/>
                <w:szCs w:val="21"/>
              </w:rPr>
            </w:pPr>
            <w:r>
              <w:rPr>
                <w:rFonts w:hint="eastAsia" w:ascii="宋体" w:hAnsi="宋体"/>
                <w:kern w:val="0"/>
                <w:szCs w:val="21"/>
              </w:rPr>
              <w:t>（1）中标供应商按时间节点完成货物供货后，应及时整理技术资料并作出全面检查和整理，列出清单（包括但不限于招标文件采购需求及采购合同约定的附件、工具、技术资料、货物使用说明书、合格证等），作为采购人验收和使用的技术条件依据，清单应交给采购人；同时以书面形式通知采购人进行验收，采购人在收到通知后五个工作日内进行验收。货物生产厂家须派授权代表参加本项目交货验收，核实所交货物的真伪；中标供应商必须到场配合。</w:t>
            </w:r>
          </w:p>
          <w:p w14:paraId="57DF4470">
            <w:pPr>
              <w:snapToGrid w:val="0"/>
              <w:spacing w:line="360" w:lineRule="exact"/>
              <w:ind w:firstLine="420" w:firstLineChars="200"/>
              <w:outlineLvl w:val="0"/>
              <w:rPr>
                <w:rFonts w:hint="eastAsia" w:ascii="宋体" w:hAnsi="宋体"/>
                <w:kern w:val="0"/>
                <w:szCs w:val="21"/>
              </w:rPr>
            </w:pPr>
            <w:r>
              <w:rPr>
                <w:rFonts w:hint="eastAsia" w:ascii="宋体" w:hAnsi="宋体"/>
                <w:kern w:val="0"/>
                <w:szCs w:val="21"/>
              </w:rPr>
              <w:t>（2）中标供应商按采购人需求清单进行供货，货物交到指定地点后，双方现场进行货品清点。</w:t>
            </w:r>
          </w:p>
          <w:p w14:paraId="61EE43A3">
            <w:pPr>
              <w:snapToGrid w:val="0"/>
              <w:spacing w:line="360" w:lineRule="exact"/>
              <w:ind w:firstLine="420" w:firstLineChars="200"/>
              <w:outlineLvl w:val="0"/>
              <w:rPr>
                <w:rFonts w:hint="eastAsia" w:ascii="宋体" w:hAnsi="宋体"/>
                <w:kern w:val="0"/>
                <w:szCs w:val="21"/>
              </w:rPr>
            </w:pPr>
            <w:r>
              <w:rPr>
                <w:rFonts w:hint="eastAsia" w:ascii="宋体" w:hAnsi="宋体"/>
                <w:kern w:val="0"/>
                <w:szCs w:val="21"/>
              </w:rPr>
              <w:t>（3）验收小组依据招标文件技术参数条款要求和中标供应商投标响应文件内容，以及对所有需要进行核查的原件等逐条进行验收。供应商必须按投标文件和合同约定的品牌、规格供货，采购人在货物验收环节发现货物的技术参数指标不符合投标文件中技术参数响应的内容，验收不合格时，中标供应商必须在采购人指定的时间内无条件更换，由此造成的损失和责任由供应商承担；如二次验收仍不合格的，采购人有权拒收货物并单方面终止合同和追究中标供应商违约责任，中标供应商须赔偿由此给采购人造成的经济等方面损失，并视情形将违约情况上报政府采购监督管理部门，由此带来的一切责任由中标供应商自行承担。</w:t>
            </w:r>
          </w:p>
          <w:p w14:paraId="60FF0BE4">
            <w:pPr>
              <w:snapToGrid w:val="0"/>
              <w:spacing w:line="360" w:lineRule="exact"/>
              <w:ind w:firstLine="420" w:firstLineChars="200"/>
              <w:outlineLvl w:val="0"/>
              <w:rPr>
                <w:rFonts w:hint="eastAsia" w:ascii="宋体" w:hAnsi="宋体"/>
                <w:kern w:val="0"/>
                <w:szCs w:val="21"/>
              </w:rPr>
            </w:pPr>
            <w:r>
              <w:rPr>
                <w:rFonts w:hint="eastAsia" w:ascii="宋体" w:hAnsi="宋体"/>
                <w:kern w:val="0"/>
                <w:szCs w:val="21"/>
              </w:rPr>
              <w:t>（4）货物交付并验收合格，双方签署验收单，作为合同款结算依据。如出现停产等问题，供应商在获得厂家说明和承诺的前提下，经采购人同意可以用质量更优于合同约定的货物进行替代交付，价格不变。如采购人不同意更换的，供应商应同意采购人扣减对应货物的费用。</w:t>
            </w:r>
          </w:p>
          <w:p w14:paraId="282CFC33">
            <w:pPr>
              <w:snapToGrid w:val="0"/>
              <w:spacing w:line="360" w:lineRule="exact"/>
              <w:ind w:firstLine="420" w:firstLineChars="200"/>
              <w:outlineLvl w:val="0"/>
              <w:rPr>
                <w:rFonts w:hint="eastAsia" w:ascii="宋体" w:hAnsi="宋体"/>
                <w:kern w:val="0"/>
                <w:szCs w:val="21"/>
              </w:rPr>
            </w:pPr>
            <w:r>
              <w:rPr>
                <w:rFonts w:hint="eastAsia" w:ascii="宋体" w:hAnsi="宋体"/>
                <w:kern w:val="0"/>
                <w:szCs w:val="21"/>
              </w:rPr>
              <w:t>4.2验收要求</w:t>
            </w:r>
          </w:p>
          <w:p w14:paraId="16140062">
            <w:pPr>
              <w:snapToGrid w:val="0"/>
              <w:spacing w:line="360" w:lineRule="exact"/>
              <w:ind w:firstLine="420" w:firstLineChars="200"/>
              <w:outlineLvl w:val="0"/>
              <w:rPr>
                <w:rFonts w:hint="eastAsia" w:ascii="宋体" w:hAnsi="宋体"/>
                <w:kern w:val="0"/>
                <w:szCs w:val="21"/>
              </w:rPr>
            </w:pPr>
            <w:r>
              <w:rPr>
                <w:rFonts w:hint="eastAsia" w:ascii="宋体" w:hAnsi="宋体"/>
                <w:kern w:val="0"/>
                <w:szCs w:val="21"/>
              </w:rPr>
              <w:t>（1）在任一单项验收环节，采购人、中标供应商、投标产品生产厂家（厂家的代表须持制造商法人授权委托书参加验收）以及采购人委托第三方机构代表（如委托验收）均应在场，交付的货物及相关资料、备品备件等符合验收标准的为单项验收合格，不符合验收标准的为单项验收不合格。验收结果由采购人或采购人委托的第三方机构出具验收结果报告或验收书，列明各项标准的验收情况，由采购人、中标供应商、投标产品生产厂家各方代表以及采购人委托第三方机构代表（如委托验收）共同签字确认并加盖采购人公章。验收结果报告或验收书一式三份，采购人、中标供应商双方各一份，采购人委托第三方机构（如委托验收）一份。验收结果报告或验收书经四方代表签字后即视为验收结果已通知采购人、中标供应商双方。如中标供应商或制造商对验收结果有异议的，应在验收现场以书面的形式出具说明，否则视为认可验收结果。单项验收不合格的，中标供应商应在不同验收阶段的当次验收后5个工作日内就不符合要求项以补充、更换、修理等采购人认可的方式进行整改并重新验收，未按时进行整改或整改后重新验收仍不合格的视为最终验收不合格，采购人不予支付货款，中标供应商须退回采购人所付的所有货款，并向采购人支付合同总金额30%的违约金，且赔偿采购人因此而造成的所有损失。</w:t>
            </w:r>
          </w:p>
          <w:p w14:paraId="3093539E">
            <w:pPr>
              <w:snapToGrid w:val="0"/>
              <w:spacing w:line="360" w:lineRule="exact"/>
              <w:ind w:firstLine="420" w:firstLineChars="200"/>
              <w:outlineLvl w:val="0"/>
              <w:rPr>
                <w:rFonts w:hint="eastAsia" w:ascii="宋体" w:hAnsi="宋体"/>
                <w:kern w:val="0"/>
                <w:szCs w:val="21"/>
              </w:rPr>
            </w:pPr>
            <w:r>
              <w:rPr>
                <w:rFonts w:hint="eastAsia" w:ascii="宋体" w:hAnsi="宋体"/>
                <w:kern w:val="0"/>
                <w:szCs w:val="21"/>
              </w:rPr>
              <w:t>（2）对技术复杂的货物，采购人可请国家认可的专业检测机构参与验收，并由其出具质量检测报告，检测费用由中标供应商承担。</w:t>
            </w:r>
          </w:p>
          <w:p w14:paraId="693411F1">
            <w:pPr>
              <w:snapToGrid w:val="0"/>
              <w:spacing w:line="360" w:lineRule="exact"/>
              <w:ind w:firstLine="420" w:firstLineChars="200"/>
              <w:outlineLvl w:val="0"/>
              <w:rPr>
                <w:rFonts w:hint="eastAsia" w:ascii="宋体" w:hAnsi="宋体"/>
                <w:kern w:val="0"/>
                <w:szCs w:val="21"/>
              </w:rPr>
            </w:pPr>
            <w:r>
              <w:rPr>
                <w:rFonts w:hint="eastAsia" w:ascii="宋体" w:hAnsi="宋体"/>
                <w:kern w:val="0"/>
                <w:szCs w:val="21"/>
              </w:rPr>
              <w:t>（3）货物损毁、灭失的风险，自货物最终验收合格之日起由采购人承担。</w:t>
            </w:r>
          </w:p>
          <w:p w14:paraId="6A336534">
            <w:pPr>
              <w:snapToGrid w:val="0"/>
              <w:spacing w:line="360" w:lineRule="exact"/>
              <w:ind w:firstLine="420" w:firstLineChars="200"/>
              <w:outlineLvl w:val="0"/>
              <w:rPr>
                <w:rFonts w:hint="eastAsia" w:ascii="宋体" w:hAnsi="宋体"/>
                <w:kern w:val="0"/>
                <w:szCs w:val="21"/>
              </w:rPr>
            </w:pPr>
            <w:r>
              <w:rPr>
                <w:rFonts w:hint="eastAsia" w:ascii="宋体" w:hAnsi="宋体"/>
                <w:kern w:val="0"/>
                <w:szCs w:val="21"/>
              </w:rPr>
              <w:t>（4）依据国家和行业有关法规、技术标准规定和设计文件要求，结合项目现场实际情况进行验收质量抽查工作，由采购人或采购人委托的第三方机构进行抽查，抽查的数量，应不少于设备采购数量的1/3，且须兼顾每类设备。抽查验收不合格的，由中标供应商在规定时间内进行整改。</w:t>
            </w:r>
          </w:p>
          <w:p w14:paraId="268CD645">
            <w:pPr>
              <w:snapToGrid w:val="0"/>
              <w:spacing w:line="360" w:lineRule="exact"/>
              <w:ind w:firstLine="420" w:firstLineChars="200"/>
              <w:outlineLvl w:val="0"/>
              <w:rPr>
                <w:rFonts w:ascii="宋体" w:hAnsi="宋体"/>
                <w:kern w:val="0"/>
                <w:szCs w:val="21"/>
              </w:rPr>
            </w:pPr>
            <w:r>
              <w:rPr>
                <w:rFonts w:hint="eastAsia" w:ascii="宋体" w:hAnsi="宋体"/>
                <w:kern w:val="0"/>
                <w:szCs w:val="21"/>
              </w:rPr>
              <w:t>（5）验收地点及验收期限：到货验收地点为货物交付地点，其他验收地点为货物使用或安装地点；各单项验收应在采购人收到中标供应商的书面验收申请后5个工作日内组织。中标供应商在提出验收申请时，应确保已具备验收条件。</w:t>
            </w:r>
          </w:p>
          <w:p w14:paraId="70240F3F">
            <w:pPr>
              <w:snapToGrid w:val="0"/>
              <w:spacing w:line="360" w:lineRule="exact"/>
              <w:ind w:firstLine="420" w:firstLineChars="200"/>
              <w:outlineLvl w:val="0"/>
              <w:rPr>
                <w:rFonts w:ascii="宋体" w:hAnsi="宋体"/>
                <w:kern w:val="0"/>
                <w:szCs w:val="21"/>
              </w:rPr>
            </w:pPr>
            <w:r>
              <w:rPr>
                <w:rFonts w:hint="eastAsia" w:ascii="宋体" w:hAnsi="宋体"/>
                <w:kern w:val="0"/>
                <w:szCs w:val="21"/>
              </w:rPr>
              <w:t>（6）验收标准：</w:t>
            </w:r>
          </w:p>
          <w:p w14:paraId="535A80CC">
            <w:pPr>
              <w:snapToGrid w:val="0"/>
              <w:spacing w:line="360" w:lineRule="exact"/>
              <w:ind w:firstLine="420" w:firstLineChars="200"/>
              <w:outlineLvl w:val="0"/>
              <w:rPr>
                <w:rFonts w:ascii="宋体" w:hAnsi="宋体"/>
                <w:kern w:val="0"/>
                <w:szCs w:val="21"/>
              </w:rPr>
            </w:pPr>
            <w:r>
              <w:rPr>
                <w:rFonts w:hint="eastAsia" w:ascii="宋体" w:hAnsi="宋体"/>
                <w:kern w:val="0"/>
                <w:szCs w:val="21"/>
              </w:rPr>
              <w:t>按国家有关标准以及采购人招标文件的采购需求、中标供应商的投标文件响应及承诺与本合同约定进行验收。如果货物中有执行国家强制标准的，则验收标准不得低于国家强制标准。</w:t>
            </w:r>
          </w:p>
          <w:p w14:paraId="72309D5F">
            <w:pPr>
              <w:snapToGrid w:val="0"/>
              <w:spacing w:line="360" w:lineRule="exact"/>
              <w:ind w:firstLine="420" w:firstLineChars="200"/>
              <w:outlineLvl w:val="0"/>
              <w:rPr>
                <w:rFonts w:hint="eastAsia" w:ascii="宋体" w:hAnsi="宋体"/>
                <w:kern w:val="0"/>
                <w:szCs w:val="21"/>
              </w:rPr>
            </w:pPr>
            <w:r>
              <w:rPr>
                <w:rFonts w:hint="eastAsia" w:ascii="宋体" w:hAnsi="宋体"/>
                <w:kern w:val="0"/>
                <w:szCs w:val="21"/>
              </w:rPr>
              <w:t>（7）现场验收</w:t>
            </w:r>
          </w:p>
          <w:p w14:paraId="01E0A20E">
            <w:pPr>
              <w:snapToGrid w:val="0"/>
              <w:spacing w:line="360" w:lineRule="exact"/>
              <w:ind w:firstLine="420" w:firstLineChars="200"/>
              <w:outlineLvl w:val="0"/>
              <w:rPr>
                <w:rFonts w:hint="eastAsia" w:ascii="宋体" w:hAnsi="宋体"/>
                <w:kern w:val="0"/>
                <w:szCs w:val="21"/>
              </w:rPr>
            </w:pPr>
            <w:r>
              <w:rPr>
                <w:rFonts w:hint="eastAsia" w:ascii="宋体" w:hAnsi="宋体"/>
                <w:kern w:val="0"/>
                <w:szCs w:val="21"/>
              </w:rPr>
              <w:t>①依据产品供货清单共同对设备进行检查，并对产品的数量、品质（设备的外观颜色及状态、技术参数指标的核验、生产许可/出厂合格证、随机备品备件及工具、附属机具或配套设施、设备调试及试运行等方面的综合情况）进行逐项检查。验收时发现短缺、破损，采购人有权要求中标供应商立即补发和负责更换。</w:t>
            </w:r>
          </w:p>
          <w:p w14:paraId="4AF2C2A4">
            <w:pPr>
              <w:snapToGrid w:val="0"/>
              <w:spacing w:line="360" w:lineRule="exact"/>
              <w:ind w:firstLine="420" w:firstLineChars="200"/>
              <w:outlineLvl w:val="0"/>
              <w:rPr>
                <w:rFonts w:hint="eastAsia" w:ascii="宋体" w:hAnsi="宋体"/>
                <w:kern w:val="0"/>
                <w:szCs w:val="21"/>
              </w:rPr>
            </w:pPr>
            <w:r>
              <w:rPr>
                <w:rFonts w:hint="eastAsia" w:ascii="宋体" w:hAnsi="宋体"/>
                <w:kern w:val="0"/>
                <w:szCs w:val="21"/>
              </w:rPr>
              <w:t>②投标产品和设备经过双方检验认可后，签署验收报告，产品保修期自验收合格之日起算，由中标供应商提供货物保修文件。</w:t>
            </w:r>
          </w:p>
          <w:p w14:paraId="12E0D714">
            <w:pPr>
              <w:snapToGrid w:val="0"/>
              <w:spacing w:line="360" w:lineRule="exact"/>
              <w:ind w:firstLine="420" w:firstLineChars="200"/>
              <w:outlineLvl w:val="0"/>
              <w:rPr>
                <w:rFonts w:hint="eastAsia" w:ascii="宋体" w:hAnsi="宋体"/>
                <w:kern w:val="0"/>
                <w:szCs w:val="21"/>
              </w:rPr>
            </w:pPr>
            <w:r>
              <w:rPr>
                <w:rFonts w:hint="eastAsia" w:ascii="宋体" w:hAnsi="宋体"/>
                <w:kern w:val="0"/>
                <w:szCs w:val="21"/>
              </w:rPr>
              <w:t>③产品经过试运行（如有），所有性能指标达到要求时，可进行最终验收。在试运行期间，由于产品质量等造成某些指标达不到要求，允许中标供应商更换或进行调试，在全部达到要求时，双方签署最终验收文件。</w:t>
            </w:r>
          </w:p>
          <w:p w14:paraId="372B5C8D">
            <w:pPr>
              <w:snapToGrid w:val="0"/>
              <w:spacing w:line="360" w:lineRule="exact"/>
              <w:ind w:firstLine="420" w:firstLineChars="200"/>
              <w:outlineLvl w:val="0"/>
              <w:rPr>
                <w:rFonts w:hint="eastAsia" w:ascii="宋体" w:hAnsi="宋体"/>
                <w:kern w:val="0"/>
                <w:szCs w:val="21"/>
              </w:rPr>
            </w:pPr>
            <w:r>
              <w:rPr>
                <w:rFonts w:hint="eastAsia" w:ascii="宋体" w:hAnsi="宋体"/>
                <w:kern w:val="0"/>
                <w:szCs w:val="21"/>
              </w:rPr>
              <w:t>④验收过程中，如双方不能达成一致意见时，采购人可以邀请市级或以上质量技术监督部门对中标产品进行（设备参数指标符合度等方面）质量仲裁的检验鉴定，并向采购人出具合格的检验报告单。经市级或以上质量技术监督部门检验合格，验收小组无正当理由的须予以验收通过；检验不合格，中标供货商可于15日内重新向采购人提供经检验合格的设备，并自行承担产生的全部费用。</w:t>
            </w:r>
          </w:p>
          <w:p w14:paraId="741C899B">
            <w:pPr>
              <w:snapToGrid w:val="0"/>
              <w:spacing w:line="360" w:lineRule="exact"/>
              <w:ind w:firstLine="420" w:firstLineChars="200"/>
              <w:outlineLvl w:val="0"/>
              <w:rPr>
                <w:rFonts w:ascii="宋体" w:hAnsi="宋体"/>
                <w:kern w:val="0"/>
                <w:szCs w:val="21"/>
              </w:rPr>
            </w:pPr>
            <w:r>
              <w:rPr>
                <w:rFonts w:hint="eastAsia" w:ascii="宋体" w:hAnsi="宋体"/>
                <w:kern w:val="0"/>
                <w:szCs w:val="21"/>
              </w:rPr>
              <w:t>⑤如未能按期提供合格设备，采购人将终止采购并追究中标供应商相关赔偿责任。</w:t>
            </w:r>
          </w:p>
          <w:p w14:paraId="51A3DBE0">
            <w:pPr>
              <w:snapToGrid w:val="0"/>
              <w:spacing w:line="360" w:lineRule="exact"/>
              <w:ind w:firstLine="420" w:firstLineChars="200"/>
              <w:outlineLvl w:val="0"/>
              <w:rPr>
                <w:rFonts w:hint="eastAsia" w:ascii="宋体" w:hAnsi="宋体"/>
                <w:kern w:val="0"/>
                <w:szCs w:val="21"/>
              </w:rPr>
            </w:pPr>
            <w:r>
              <w:rPr>
                <w:rFonts w:hint="eastAsia" w:ascii="宋体" w:hAnsi="宋体"/>
                <w:kern w:val="0"/>
                <w:szCs w:val="21"/>
              </w:rPr>
              <w:t>5.其他未尽事宜应严格按照《关于印发广西壮族自治区政府采购项目履约验收管理办法的通知》[桂财采〔2015〕22号]以及《财政部关于进一步加强政府采购需求和履约验收管理的指导意见》[财库〔2016〕205号]规定执行。</w:t>
            </w:r>
          </w:p>
        </w:tc>
      </w:tr>
      <w:tr w14:paraId="59C985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91" w:type="pct"/>
            <w:gridSpan w:val="3"/>
            <w:tcBorders>
              <w:top w:val="single" w:color="auto" w:sz="4" w:space="0"/>
              <w:left w:val="single" w:color="auto" w:sz="4" w:space="0"/>
              <w:bottom w:val="single" w:color="auto" w:sz="4" w:space="0"/>
              <w:right w:val="single" w:color="auto" w:sz="4" w:space="0"/>
            </w:tcBorders>
            <w:noWrap w:val="0"/>
            <w:vAlign w:val="center"/>
          </w:tcPr>
          <w:p w14:paraId="76D9ECDE">
            <w:pPr>
              <w:snapToGrid w:val="0"/>
              <w:spacing w:line="360" w:lineRule="exact"/>
              <w:rPr>
                <w:rFonts w:hint="eastAsia" w:ascii="宋体" w:hAnsi="宋体"/>
                <w:szCs w:val="21"/>
              </w:rPr>
            </w:pPr>
            <w:r>
              <w:rPr>
                <w:rFonts w:hint="eastAsia" w:ascii="宋体" w:hAnsi="宋体"/>
                <w:szCs w:val="21"/>
              </w:rPr>
              <w:t>履约保证金</w:t>
            </w:r>
          </w:p>
        </w:tc>
        <w:tc>
          <w:tcPr>
            <w:tcW w:w="4108" w:type="pct"/>
            <w:gridSpan w:val="4"/>
            <w:tcBorders>
              <w:top w:val="single" w:color="auto" w:sz="4" w:space="0"/>
              <w:left w:val="nil"/>
              <w:bottom w:val="single" w:color="auto" w:sz="4" w:space="0"/>
              <w:right w:val="single" w:color="auto" w:sz="4" w:space="0"/>
            </w:tcBorders>
            <w:noWrap w:val="0"/>
            <w:vAlign w:val="top"/>
          </w:tcPr>
          <w:p w14:paraId="0B08528A">
            <w:pPr>
              <w:spacing w:line="340" w:lineRule="exact"/>
              <w:ind w:firstLine="420" w:firstLineChars="200"/>
              <w:rPr>
                <w:rFonts w:hint="eastAsia" w:ascii="宋体" w:hAnsi="宋体"/>
                <w:szCs w:val="21"/>
              </w:rPr>
            </w:pPr>
            <w:r>
              <w:rPr>
                <w:rFonts w:hint="eastAsia" w:ascii="宋体" w:hAnsi="宋体"/>
                <w:szCs w:val="21"/>
              </w:rPr>
              <w:t>1.履约保证金金额：按合同金额的5%收取。</w:t>
            </w:r>
            <w:r>
              <w:rPr>
                <w:rFonts w:hint="eastAsia" w:ascii="宋体" w:hAnsi="宋体"/>
                <w:bCs/>
                <w:spacing w:val="-4"/>
                <w:szCs w:val="21"/>
              </w:rPr>
              <w:t>（若中标供应商符合《政府采购促进中小企业发展管理办法》（财库〔2020〕46号）及《广西壮族自治区财政厅关于持续优化政府采购营商环境推动高质量发展的通知》（桂财采〔2024〕55号）规定的，履约保证金将按</w:t>
            </w:r>
            <w:r>
              <w:rPr>
                <w:rFonts w:hint="eastAsia" w:ascii="宋体" w:hAnsi="宋体"/>
                <w:szCs w:val="21"/>
              </w:rPr>
              <w:t>合同金额的</w:t>
            </w:r>
            <w:r>
              <w:rPr>
                <w:rFonts w:hint="eastAsia" w:ascii="宋体" w:hAnsi="宋体"/>
                <w:bCs/>
                <w:spacing w:val="-4"/>
                <w:szCs w:val="21"/>
              </w:rPr>
              <w:t>2%收取。）</w:t>
            </w:r>
          </w:p>
          <w:p w14:paraId="5CA23C42">
            <w:pPr>
              <w:spacing w:line="340" w:lineRule="exact"/>
              <w:ind w:firstLine="420" w:firstLineChars="200"/>
              <w:rPr>
                <w:rFonts w:hint="eastAsia" w:ascii="宋体" w:hAnsi="宋体"/>
                <w:szCs w:val="21"/>
              </w:rPr>
            </w:pPr>
            <w:r>
              <w:rPr>
                <w:rFonts w:hint="eastAsia" w:ascii="宋体" w:hAnsi="宋体"/>
                <w:szCs w:val="21"/>
              </w:rPr>
              <w:t>2.履约保证金递交方式：银行转账、支票、汇票、本票、保函等非现金方式。</w:t>
            </w:r>
          </w:p>
          <w:p w14:paraId="12452F6E">
            <w:pPr>
              <w:spacing w:line="340" w:lineRule="exact"/>
              <w:ind w:firstLine="420" w:firstLineChars="200"/>
              <w:rPr>
                <w:rFonts w:hint="eastAsia" w:ascii="宋体" w:hAnsi="宋体"/>
                <w:szCs w:val="21"/>
              </w:rPr>
            </w:pPr>
            <w:r>
              <w:rPr>
                <w:rFonts w:hint="eastAsia" w:ascii="宋体" w:hAnsi="宋体"/>
                <w:szCs w:val="21"/>
              </w:rPr>
              <w:t>3.履约保证金缴纳期限：自中标通知书发出之日起10个工作日内。</w:t>
            </w:r>
          </w:p>
          <w:p w14:paraId="2330A0E0">
            <w:pPr>
              <w:spacing w:line="340" w:lineRule="exact"/>
              <w:ind w:firstLine="420" w:firstLineChars="200"/>
              <w:rPr>
                <w:rFonts w:hint="eastAsia" w:ascii="宋体" w:hAnsi="宋体"/>
                <w:szCs w:val="21"/>
              </w:rPr>
            </w:pPr>
            <w:r>
              <w:rPr>
                <w:rFonts w:hint="eastAsia" w:ascii="宋体" w:hAnsi="宋体"/>
                <w:szCs w:val="21"/>
              </w:rPr>
              <w:t>4.履约保证金退付方式、时间及条件：履约保证金在项目履约完成（按合同约定履行完合同所有内容）后，由中标供应商向采购人提出申请，采购人在收到申请材料后对相关违约情况进行核对，如有违约或赔偿的，涉及违约的违约金和损失赔偿从履约保证金中扣减，如有剩余采购人在5个工作日内退还（不计利息）；不足扣减的，采购人有权从未支付的合同款中（如有）扣除；履约保证金不足以抵扣违约或赔偿的，采购人有权另外向中标供应商追偿损失。</w:t>
            </w:r>
          </w:p>
          <w:p w14:paraId="539B705B">
            <w:pPr>
              <w:spacing w:line="340" w:lineRule="exact"/>
              <w:ind w:firstLine="420" w:firstLineChars="200"/>
              <w:rPr>
                <w:rFonts w:hint="eastAsia" w:ascii="宋体" w:hAnsi="宋体"/>
                <w:szCs w:val="21"/>
              </w:rPr>
            </w:pPr>
            <w:r>
              <w:rPr>
                <w:rFonts w:hint="eastAsia" w:ascii="宋体" w:hAnsi="宋体"/>
                <w:szCs w:val="21"/>
              </w:rPr>
              <w:t>5.不予退还的情形：签订合同后，如中标供应商不按双方签订的合同规定履约，则其全部履约保证金不予退还。</w:t>
            </w:r>
          </w:p>
          <w:p w14:paraId="1848E913">
            <w:pPr>
              <w:spacing w:line="340" w:lineRule="exact"/>
              <w:ind w:firstLine="420" w:firstLineChars="200"/>
              <w:rPr>
                <w:rFonts w:hint="eastAsia" w:ascii="宋体" w:hAnsi="宋体"/>
                <w:szCs w:val="21"/>
              </w:rPr>
            </w:pPr>
            <w:r>
              <w:rPr>
                <w:rFonts w:hint="eastAsia" w:ascii="宋体" w:hAnsi="宋体"/>
                <w:szCs w:val="21"/>
              </w:rPr>
              <w:t xml:space="preserve">6.履约保证金指定账户： </w:t>
            </w:r>
          </w:p>
          <w:p w14:paraId="293F910F">
            <w:pPr>
              <w:spacing w:line="340" w:lineRule="exact"/>
              <w:ind w:firstLine="420" w:firstLineChars="200"/>
              <w:rPr>
                <w:rFonts w:hint="eastAsia" w:ascii="宋体" w:hAnsi="宋体"/>
                <w:szCs w:val="21"/>
                <w:u w:val="single"/>
              </w:rPr>
            </w:pPr>
            <w:r>
              <w:rPr>
                <w:rFonts w:hint="eastAsia" w:ascii="宋体" w:hAnsi="宋体"/>
                <w:szCs w:val="21"/>
                <w:u w:val="single"/>
              </w:rPr>
              <w:t xml:space="preserve">开户名称：广西壮族自治区公路发展中心 </w:t>
            </w:r>
          </w:p>
          <w:p w14:paraId="62C16D9D">
            <w:pPr>
              <w:spacing w:line="340" w:lineRule="exact"/>
              <w:ind w:firstLine="420" w:firstLineChars="200"/>
              <w:rPr>
                <w:rFonts w:hint="eastAsia" w:ascii="宋体" w:hAnsi="宋体"/>
                <w:szCs w:val="21"/>
                <w:u w:val="single"/>
              </w:rPr>
            </w:pPr>
            <w:r>
              <w:rPr>
                <w:rFonts w:hint="eastAsia" w:ascii="宋体" w:hAnsi="宋体"/>
                <w:szCs w:val="21"/>
                <w:u w:val="single"/>
              </w:rPr>
              <w:t xml:space="preserve">开户银行：工行南宁市市府支行  </w:t>
            </w:r>
          </w:p>
          <w:p w14:paraId="7C6351A4">
            <w:pPr>
              <w:snapToGrid w:val="0"/>
              <w:spacing w:line="360" w:lineRule="exact"/>
              <w:ind w:firstLine="420" w:firstLineChars="200"/>
              <w:outlineLvl w:val="0"/>
              <w:rPr>
                <w:rFonts w:hint="eastAsia" w:ascii="宋体" w:hAnsi="宋体"/>
                <w:kern w:val="0"/>
                <w:sz w:val="20"/>
                <w:szCs w:val="21"/>
                <w:u w:val="single"/>
              </w:rPr>
            </w:pPr>
            <w:r>
              <w:rPr>
                <w:rFonts w:hint="eastAsia" w:ascii="宋体" w:hAnsi="宋体"/>
                <w:kern w:val="2"/>
                <w:sz w:val="21"/>
                <w:szCs w:val="21"/>
                <w:u w:val="single"/>
              </w:rPr>
              <w:t xml:space="preserve">银行账号：2102174609221000218   </w:t>
            </w:r>
          </w:p>
        </w:tc>
      </w:tr>
      <w:tr w14:paraId="20D87B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00" w:type="pct"/>
            <w:gridSpan w:val="7"/>
            <w:tcBorders>
              <w:top w:val="single" w:color="auto" w:sz="4" w:space="0"/>
              <w:left w:val="single" w:color="auto" w:sz="4" w:space="0"/>
              <w:bottom w:val="single" w:color="auto" w:sz="4" w:space="0"/>
              <w:right w:val="single" w:color="auto" w:sz="4" w:space="0"/>
            </w:tcBorders>
            <w:noWrap w:val="0"/>
            <w:vAlign w:val="center"/>
          </w:tcPr>
          <w:p w14:paraId="4A69CB0C">
            <w:pPr>
              <w:spacing w:line="360" w:lineRule="exact"/>
              <w:rPr>
                <w:rFonts w:hint="eastAsia" w:ascii="宋体" w:hAnsi="宋体"/>
                <w:b/>
                <w:bCs/>
                <w:szCs w:val="21"/>
              </w:rPr>
            </w:pPr>
            <w:r>
              <w:rPr>
                <w:rFonts w:hint="eastAsia" w:ascii="宋体" w:hAnsi="宋体"/>
                <w:b/>
                <w:bCs/>
                <w:szCs w:val="21"/>
              </w:rPr>
              <w:t>二、与实现项目目标相关的其他要求</w:t>
            </w:r>
          </w:p>
        </w:tc>
      </w:tr>
      <w:tr w14:paraId="52ABFB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00" w:type="pct"/>
            <w:gridSpan w:val="7"/>
            <w:tcBorders>
              <w:top w:val="single" w:color="auto" w:sz="4" w:space="0"/>
              <w:left w:val="single" w:color="auto" w:sz="4" w:space="0"/>
              <w:bottom w:val="single" w:color="auto" w:sz="4" w:space="0"/>
              <w:right w:val="single" w:color="auto" w:sz="4" w:space="0"/>
            </w:tcBorders>
            <w:noWrap w:val="0"/>
            <w:vAlign w:val="center"/>
          </w:tcPr>
          <w:p w14:paraId="1629C1BF">
            <w:pPr>
              <w:spacing w:line="360" w:lineRule="exact"/>
              <w:rPr>
                <w:rFonts w:hint="eastAsia" w:ascii="宋体" w:hAnsi="宋体"/>
                <w:b/>
                <w:szCs w:val="21"/>
              </w:rPr>
            </w:pPr>
            <w:r>
              <w:rPr>
                <w:rFonts w:hint="eastAsia" w:ascii="宋体" w:hAnsi="宋体"/>
                <w:b/>
                <w:szCs w:val="21"/>
              </w:rPr>
              <w:t>（一）投标人的履约能力要求</w:t>
            </w:r>
          </w:p>
        </w:tc>
      </w:tr>
      <w:tr w14:paraId="00C8DE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91" w:type="pct"/>
            <w:gridSpan w:val="3"/>
            <w:tcBorders>
              <w:top w:val="single" w:color="auto" w:sz="4" w:space="0"/>
              <w:left w:val="single" w:color="auto" w:sz="4" w:space="0"/>
              <w:bottom w:val="single" w:color="auto" w:sz="4" w:space="0"/>
              <w:right w:val="single" w:color="auto" w:sz="4" w:space="0"/>
            </w:tcBorders>
            <w:noWrap w:val="0"/>
            <w:vAlign w:val="center"/>
          </w:tcPr>
          <w:p w14:paraId="76CA8CEE">
            <w:pPr>
              <w:spacing w:line="360" w:lineRule="exact"/>
              <w:rPr>
                <w:rFonts w:hint="eastAsia" w:ascii="宋体" w:hAnsi="宋体"/>
                <w:szCs w:val="21"/>
              </w:rPr>
            </w:pPr>
            <w:r>
              <w:rPr>
                <w:rFonts w:hint="eastAsia" w:ascii="宋体" w:hAnsi="宋体"/>
                <w:szCs w:val="21"/>
              </w:rPr>
              <w:t>质量管理、企业信用要求</w:t>
            </w:r>
          </w:p>
        </w:tc>
        <w:tc>
          <w:tcPr>
            <w:tcW w:w="4108" w:type="pct"/>
            <w:gridSpan w:val="4"/>
            <w:tcBorders>
              <w:top w:val="single" w:color="auto" w:sz="4" w:space="0"/>
              <w:left w:val="nil"/>
              <w:bottom w:val="single" w:color="auto" w:sz="4" w:space="0"/>
              <w:right w:val="single" w:color="auto" w:sz="4" w:space="0"/>
            </w:tcBorders>
            <w:noWrap w:val="0"/>
            <w:vAlign w:val="center"/>
          </w:tcPr>
          <w:p w14:paraId="738D604C">
            <w:pPr>
              <w:spacing w:line="360" w:lineRule="exact"/>
              <w:rPr>
                <w:rFonts w:hint="eastAsia" w:ascii="宋体" w:hAnsi="宋体"/>
                <w:szCs w:val="21"/>
              </w:rPr>
            </w:pPr>
            <w:r>
              <w:rPr>
                <w:rFonts w:hint="eastAsia" w:ascii="宋体" w:hAnsi="宋体"/>
                <w:szCs w:val="21"/>
              </w:rPr>
              <w:t>如有，请结合本招标文件第四章“评标办法及评分标准”在投标文件中自行提供。</w:t>
            </w:r>
          </w:p>
        </w:tc>
      </w:tr>
      <w:tr w14:paraId="58DD4F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91" w:type="pct"/>
            <w:gridSpan w:val="3"/>
            <w:tcBorders>
              <w:top w:val="single" w:color="auto" w:sz="4" w:space="0"/>
              <w:left w:val="single" w:color="auto" w:sz="4" w:space="0"/>
              <w:bottom w:val="single" w:color="auto" w:sz="4" w:space="0"/>
              <w:right w:val="single" w:color="auto" w:sz="4" w:space="0"/>
            </w:tcBorders>
            <w:noWrap w:val="0"/>
            <w:vAlign w:val="center"/>
          </w:tcPr>
          <w:p w14:paraId="3DF0D211">
            <w:pPr>
              <w:spacing w:line="360" w:lineRule="exact"/>
              <w:rPr>
                <w:rFonts w:hint="eastAsia" w:ascii="宋体" w:hAnsi="宋体"/>
                <w:szCs w:val="21"/>
              </w:rPr>
            </w:pPr>
            <w:r>
              <w:rPr>
                <w:rFonts w:hint="eastAsia" w:ascii="宋体" w:hAnsi="宋体"/>
                <w:szCs w:val="21"/>
              </w:rPr>
              <w:t>能力或者业绩要求</w:t>
            </w:r>
          </w:p>
        </w:tc>
        <w:tc>
          <w:tcPr>
            <w:tcW w:w="4108" w:type="pct"/>
            <w:gridSpan w:val="4"/>
            <w:tcBorders>
              <w:top w:val="single" w:color="auto" w:sz="4" w:space="0"/>
              <w:left w:val="nil"/>
              <w:bottom w:val="single" w:color="auto" w:sz="4" w:space="0"/>
              <w:right w:val="single" w:color="auto" w:sz="4" w:space="0"/>
            </w:tcBorders>
            <w:noWrap w:val="0"/>
            <w:vAlign w:val="center"/>
          </w:tcPr>
          <w:p w14:paraId="4154A081">
            <w:pPr>
              <w:spacing w:line="360" w:lineRule="exact"/>
              <w:rPr>
                <w:rFonts w:hint="eastAsia" w:ascii="宋体" w:hAnsi="宋体"/>
                <w:szCs w:val="21"/>
              </w:rPr>
            </w:pPr>
            <w:r>
              <w:rPr>
                <w:rFonts w:hint="eastAsia" w:ascii="宋体" w:hAnsi="宋体"/>
                <w:szCs w:val="21"/>
              </w:rPr>
              <w:t>如有，请结合本招标文件第四章“评标办法及评分标准”在投标文件中自行提供。</w:t>
            </w:r>
          </w:p>
        </w:tc>
      </w:tr>
      <w:tr w14:paraId="7D1D0C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00" w:type="pct"/>
            <w:gridSpan w:val="7"/>
            <w:tcBorders>
              <w:top w:val="single" w:color="auto" w:sz="4" w:space="0"/>
              <w:left w:val="single" w:color="auto" w:sz="4" w:space="0"/>
              <w:bottom w:val="single" w:color="auto" w:sz="4" w:space="0"/>
              <w:right w:val="single" w:color="auto" w:sz="4" w:space="0"/>
            </w:tcBorders>
            <w:noWrap w:val="0"/>
            <w:vAlign w:val="center"/>
          </w:tcPr>
          <w:p w14:paraId="40F2D995">
            <w:pPr>
              <w:spacing w:line="360" w:lineRule="exact"/>
              <w:rPr>
                <w:rFonts w:hint="eastAsia" w:ascii="宋体" w:hAnsi="宋体"/>
                <w:b/>
                <w:szCs w:val="21"/>
              </w:rPr>
            </w:pPr>
            <w:r>
              <w:rPr>
                <w:rFonts w:hint="eastAsia" w:ascii="宋体" w:hAnsi="宋体"/>
                <w:b/>
                <w:szCs w:val="21"/>
              </w:rPr>
              <w:t>（二）政策性加分条件</w:t>
            </w:r>
          </w:p>
        </w:tc>
      </w:tr>
      <w:tr w14:paraId="66A252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00" w:type="pct"/>
            <w:gridSpan w:val="7"/>
            <w:tcBorders>
              <w:top w:val="single" w:color="auto" w:sz="4" w:space="0"/>
              <w:left w:val="single" w:color="auto" w:sz="4" w:space="0"/>
              <w:bottom w:val="single" w:color="auto" w:sz="4" w:space="0"/>
              <w:right w:val="single" w:color="auto" w:sz="4" w:space="0"/>
            </w:tcBorders>
            <w:noWrap w:val="0"/>
            <w:vAlign w:val="center"/>
          </w:tcPr>
          <w:p w14:paraId="4AF7887F">
            <w:pPr>
              <w:spacing w:line="360" w:lineRule="exact"/>
              <w:rPr>
                <w:rFonts w:hint="eastAsia" w:ascii="宋体" w:hAnsi="宋体"/>
                <w:szCs w:val="21"/>
              </w:rPr>
            </w:pPr>
            <w:r>
              <w:rPr>
                <w:rFonts w:hint="eastAsia" w:ascii="宋体" w:hAnsi="宋体"/>
                <w:szCs w:val="21"/>
              </w:rPr>
              <w:t>符合节能环保等国家政策要求。</w:t>
            </w:r>
          </w:p>
        </w:tc>
      </w:tr>
      <w:tr w14:paraId="67E91F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00" w:type="pct"/>
            <w:gridSpan w:val="7"/>
            <w:tcBorders>
              <w:top w:val="single" w:color="auto" w:sz="4" w:space="0"/>
              <w:left w:val="single" w:color="auto" w:sz="4" w:space="0"/>
              <w:bottom w:val="single" w:color="auto" w:sz="4" w:space="0"/>
              <w:right w:val="single" w:color="auto" w:sz="4" w:space="0"/>
            </w:tcBorders>
            <w:noWrap w:val="0"/>
            <w:vAlign w:val="center"/>
          </w:tcPr>
          <w:p w14:paraId="5CEBF5F1">
            <w:pPr>
              <w:tabs>
                <w:tab w:val="left" w:pos="180"/>
                <w:tab w:val="left" w:pos="1620"/>
              </w:tabs>
              <w:spacing w:line="360" w:lineRule="exact"/>
              <w:rPr>
                <w:rFonts w:hint="eastAsia" w:ascii="宋体" w:hAnsi="宋体"/>
                <w:b/>
                <w:szCs w:val="21"/>
              </w:rPr>
            </w:pPr>
            <w:r>
              <w:rPr>
                <w:rFonts w:hint="eastAsia" w:ascii="宋体" w:hAnsi="宋体"/>
                <w:b/>
                <w:szCs w:val="21"/>
              </w:rPr>
              <w:t>（三）其他事项说明</w:t>
            </w:r>
          </w:p>
        </w:tc>
      </w:tr>
      <w:tr w14:paraId="67CC43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00" w:type="pct"/>
            <w:gridSpan w:val="7"/>
            <w:tcBorders>
              <w:top w:val="single" w:color="auto" w:sz="4" w:space="0"/>
              <w:left w:val="single" w:color="auto" w:sz="4" w:space="0"/>
              <w:bottom w:val="single" w:color="auto" w:sz="4" w:space="0"/>
              <w:right w:val="single" w:color="auto" w:sz="4" w:space="0"/>
            </w:tcBorders>
            <w:noWrap w:val="0"/>
            <w:vAlign w:val="center"/>
          </w:tcPr>
          <w:p w14:paraId="1FADD987">
            <w:pPr>
              <w:spacing w:line="360" w:lineRule="exact"/>
              <w:ind w:firstLine="411" w:firstLineChars="196"/>
              <w:rPr>
                <w:rFonts w:hint="eastAsia" w:ascii="宋体" w:hAnsi="宋体"/>
                <w:szCs w:val="21"/>
              </w:rPr>
            </w:pPr>
            <w:r>
              <w:rPr>
                <w:rFonts w:hint="eastAsia" w:ascii="宋体" w:hAnsi="宋体"/>
                <w:szCs w:val="21"/>
              </w:rPr>
              <w:t>货物实行强制标准认证制度、生产许可证制度、销售或经营许可证制度、注册证制度的，中标人均应提供相关有效的证书复印件。</w:t>
            </w:r>
          </w:p>
        </w:tc>
      </w:tr>
      <w:tr w14:paraId="219660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00" w:type="pct"/>
            <w:gridSpan w:val="7"/>
            <w:tcBorders>
              <w:top w:val="single" w:color="auto" w:sz="4" w:space="0"/>
              <w:left w:val="single" w:color="auto" w:sz="4" w:space="0"/>
              <w:bottom w:val="single" w:color="auto" w:sz="4" w:space="0"/>
              <w:right w:val="single" w:color="auto" w:sz="4" w:space="0"/>
            </w:tcBorders>
            <w:noWrap w:val="0"/>
            <w:vAlign w:val="center"/>
          </w:tcPr>
          <w:p w14:paraId="078B1F11">
            <w:pPr>
              <w:spacing w:line="360" w:lineRule="exact"/>
              <w:rPr>
                <w:rFonts w:hint="eastAsia" w:ascii="宋体" w:hAnsi="宋体"/>
                <w:b/>
                <w:szCs w:val="21"/>
              </w:rPr>
            </w:pPr>
            <w:r>
              <w:rPr>
                <w:rFonts w:hint="eastAsia" w:ascii="宋体" w:hAnsi="宋体"/>
                <w:b/>
                <w:szCs w:val="21"/>
              </w:rPr>
              <w:t>（四）进口产品及核心产品说明</w:t>
            </w:r>
          </w:p>
        </w:tc>
      </w:tr>
      <w:tr w14:paraId="76CEAB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00" w:type="pct"/>
            <w:gridSpan w:val="7"/>
            <w:tcBorders>
              <w:top w:val="single" w:color="auto" w:sz="4" w:space="0"/>
              <w:left w:val="single" w:color="auto" w:sz="4" w:space="0"/>
              <w:bottom w:val="single" w:color="auto" w:sz="4" w:space="0"/>
              <w:right w:val="single" w:color="auto" w:sz="4" w:space="0"/>
            </w:tcBorders>
            <w:noWrap w:val="0"/>
            <w:vAlign w:val="center"/>
          </w:tcPr>
          <w:p w14:paraId="167A31B2">
            <w:pPr>
              <w:spacing w:line="360" w:lineRule="exact"/>
              <w:ind w:firstLine="435"/>
              <w:rPr>
                <w:rFonts w:hint="eastAsia" w:ascii="宋体" w:hAnsi="宋体"/>
                <w:szCs w:val="21"/>
              </w:rPr>
            </w:pPr>
            <w:r>
              <w:rPr>
                <w:rFonts w:hint="eastAsia" w:ascii="宋体" w:hAnsi="宋体"/>
                <w:szCs w:val="21"/>
              </w:rPr>
              <w:t>1.本分标货物不接受进口产品（即通过中国海关报关验放进入中国境内且产自关境外的产品）参与投标，</w:t>
            </w:r>
            <w:r>
              <w:rPr>
                <w:rFonts w:hint="eastAsia" w:ascii="宋体" w:hAnsi="宋体"/>
                <w:b/>
                <w:szCs w:val="21"/>
              </w:rPr>
              <w:t>如有进口产品参与投标的作无效标处理</w:t>
            </w:r>
            <w:r>
              <w:rPr>
                <w:rFonts w:hint="eastAsia" w:ascii="宋体" w:hAnsi="宋体"/>
                <w:szCs w:val="21"/>
              </w:rPr>
              <w:t>。</w:t>
            </w:r>
          </w:p>
          <w:p w14:paraId="592906A8">
            <w:pPr>
              <w:spacing w:line="360" w:lineRule="exact"/>
              <w:ind w:firstLine="435"/>
              <w:rPr>
                <w:rFonts w:hint="eastAsia" w:ascii="宋体" w:hAnsi="宋体"/>
                <w:b/>
                <w:szCs w:val="21"/>
              </w:rPr>
            </w:pPr>
            <w:r>
              <w:rPr>
                <w:rFonts w:hint="eastAsia" w:ascii="宋体" w:hAnsi="宋体"/>
                <w:b/>
                <w:szCs w:val="21"/>
              </w:rPr>
              <w:t>2.本分标序号</w:t>
            </w:r>
            <w:r>
              <w:rPr>
                <w:rFonts w:hint="eastAsia" w:ascii="宋体" w:hAnsi="宋体"/>
                <w:b/>
                <w:szCs w:val="21"/>
                <w:u w:val="single"/>
              </w:rPr>
              <w:t xml:space="preserve"> 1 </w:t>
            </w:r>
            <w:r>
              <w:rPr>
                <w:rFonts w:hint="eastAsia" w:ascii="宋体" w:hAnsi="宋体"/>
                <w:b/>
                <w:szCs w:val="21"/>
              </w:rPr>
              <w:t>采购标的即为核心产品，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tc>
      </w:tr>
      <w:tr w14:paraId="3D811C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00" w:type="pct"/>
            <w:gridSpan w:val="7"/>
            <w:tcBorders>
              <w:top w:val="single" w:color="auto" w:sz="4" w:space="0"/>
              <w:left w:val="single" w:color="auto" w:sz="4" w:space="0"/>
              <w:bottom w:val="single" w:color="auto" w:sz="4" w:space="0"/>
              <w:right w:val="single" w:color="auto" w:sz="4" w:space="0"/>
            </w:tcBorders>
            <w:noWrap w:val="0"/>
            <w:vAlign w:val="center"/>
          </w:tcPr>
          <w:p w14:paraId="47D6EB64">
            <w:pPr>
              <w:spacing w:line="360" w:lineRule="exact"/>
              <w:rPr>
                <w:rFonts w:hint="eastAsia" w:ascii="宋体" w:hAnsi="宋体"/>
                <w:b/>
                <w:szCs w:val="21"/>
              </w:rPr>
            </w:pPr>
            <w:r>
              <w:rPr>
                <w:rFonts w:hint="eastAsia" w:ascii="宋体" w:hAnsi="宋体"/>
                <w:b/>
                <w:szCs w:val="21"/>
              </w:rPr>
              <w:t>三、其他说明</w:t>
            </w:r>
          </w:p>
        </w:tc>
      </w:tr>
      <w:tr w14:paraId="1AFDF6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00" w:type="pct"/>
            <w:gridSpan w:val="7"/>
            <w:tcBorders>
              <w:top w:val="single" w:color="auto" w:sz="4" w:space="0"/>
              <w:left w:val="single" w:color="auto" w:sz="4" w:space="0"/>
              <w:bottom w:val="single" w:color="auto" w:sz="4" w:space="0"/>
              <w:right w:val="single" w:color="auto" w:sz="4" w:space="0"/>
            </w:tcBorders>
            <w:noWrap w:val="0"/>
            <w:vAlign w:val="center"/>
          </w:tcPr>
          <w:p w14:paraId="2D8AEF8A">
            <w:pPr>
              <w:spacing w:line="360" w:lineRule="exact"/>
              <w:ind w:firstLine="404" w:firstLineChars="200"/>
              <w:rPr>
                <w:rFonts w:hint="eastAsia" w:ascii="宋体" w:hAnsi="宋体" w:eastAsia="宋体" w:cs="Times New Roman"/>
                <w:b/>
                <w:bCs/>
                <w:spacing w:val="-4"/>
                <w:szCs w:val="21"/>
              </w:rPr>
            </w:pPr>
            <w:r>
              <w:rPr>
                <w:rFonts w:hint="eastAsia" w:ascii="宋体" w:hAnsi="宋体" w:eastAsia="宋体" w:cs="Times New Roman"/>
                <w:spacing w:val="-4"/>
                <w:szCs w:val="21"/>
              </w:rPr>
              <w:t>▲</w:t>
            </w:r>
            <w:r>
              <w:rPr>
                <w:rFonts w:hint="eastAsia" w:ascii="宋体" w:hAnsi="宋体" w:eastAsia="宋体" w:cs="Times New Roman"/>
                <w:b/>
                <w:bCs/>
                <w:spacing w:val="-4"/>
                <w:szCs w:val="21"/>
              </w:rPr>
              <w:t>1.投标人的分标投标总报价超所投分标最高限价或标的单价报价超单价控制价的作无效投标处理。</w:t>
            </w:r>
          </w:p>
          <w:p w14:paraId="21B7D21C">
            <w:pPr>
              <w:spacing w:line="360" w:lineRule="exact"/>
              <w:ind w:firstLine="404" w:firstLineChars="200"/>
              <w:rPr>
                <w:rFonts w:hint="eastAsia" w:ascii="宋体" w:hAnsi="宋体"/>
                <w:b/>
                <w:bCs w:val="0"/>
                <w:spacing w:val="-4"/>
                <w:szCs w:val="21"/>
              </w:rPr>
            </w:pPr>
            <w:r>
              <w:rPr>
                <w:rFonts w:hint="eastAsia" w:ascii="宋体" w:hAnsi="宋体"/>
                <w:spacing w:val="-4"/>
                <w:szCs w:val="21"/>
              </w:rPr>
              <w:t>▲</w:t>
            </w:r>
            <w:r>
              <w:rPr>
                <w:rFonts w:hint="eastAsia" w:ascii="宋体" w:hAnsi="宋体"/>
                <w:b/>
                <w:bCs w:val="0"/>
                <w:spacing w:val="-4"/>
                <w:szCs w:val="21"/>
              </w:rPr>
              <w:t>2.投标人就本项目需求中全部内容作完整唯一报价，不完整响应或拆分投标的将导致投标无效。</w:t>
            </w:r>
          </w:p>
          <w:p w14:paraId="5EF6B1A4">
            <w:pPr>
              <w:spacing w:line="360" w:lineRule="exact"/>
              <w:ind w:firstLine="404" w:firstLineChars="200"/>
              <w:rPr>
                <w:rFonts w:hint="eastAsia" w:ascii="宋体" w:hAnsi="宋体"/>
                <w:b w:val="0"/>
                <w:bCs w:val="0"/>
                <w:spacing w:val="-4"/>
                <w:szCs w:val="21"/>
              </w:rPr>
            </w:pPr>
            <w:r>
              <w:rPr>
                <w:rFonts w:hint="eastAsia" w:ascii="宋体" w:hAnsi="宋体"/>
                <w:b w:val="0"/>
                <w:bCs w:val="0"/>
                <w:spacing w:val="-4"/>
                <w:szCs w:val="21"/>
              </w:rPr>
              <w:t>3.“技术需求及要求”中有特殊要求的，按其要求执行；未作要求的，如有，投标文件中可提供产品生产商编写的有参数描述的产品说明书或彩页（应有详细的产品技术介绍、技术参数、产品图样照片等），当投标文件中提供的产品参数与该产品生产商提供的参数同一参数内容不符合时，以生产商资料为准。</w:t>
            </w:r>
          </w:p>
          <w:p w14:paraId="32F34FF5">
            <w:pPr>
              <w:spacing w:line="360" w:lineRule="exact"/>
              <w:rPr>
                <w:rFonts w:ascii="宋体" w:hAnsi="宋体"/>
                <w:b/>
                <w:bCs/>
                <w:spacing w:val="-4"/>
                <w:szCs w:val="21"/>
              </w:rPr>
            </w:pPr>
            <w:r>
              <w:rPr>
                <w:rFonts w:hint="eastAsia" w:ascii="宋体" w:hAnsi="宋体"/>
                <w:b/>
                <w:bCs/>
                <w:spacing w:val="-4"/>
                <w:szCs w:val="21"/>
              </w:rPr>
              <w:t xml:space="preserve">    </w:t>
            </w:r>
            <w:r>
              <w:rPr>
                <w:rFonts w:hint="eastAsia" w:ascii="宋体" w:hAnsi="宋体"/>
                <w:spacing w:val="-4"/>
                <w:szCs w:val="21"/>
              </w:rPr>
              <w:t>4.投标人可根据评分标准在投标文件提供项目实施方案、人员培训方案、技术支持服务方案、应急预案、售后服务方案、质保期证明、信誉及业绩证明。</w:t>
            </w:r>
          </w:p>
        </w:tc>
      </w:tr>
    </w:tbl>
    <w:p w14:paraId="4CCE9F61">
      <w:pPr>
        <w:spacing w:line="360" w:lineRule="exact"/>
        <w:jc w:val="left"/>
        <w:rPr>
          <w:rFonts w:hint="eastAsia" w:ascii="宋体" w:hAnsi="宋体"/>
          <w:b/>
          <w:szCs w:val="21"/>
        </w:rPr>
        <w:sectPr>
          <w:pgSz w:w="11910" w:h="16840"/>
          <w:pgMar w:top="1520" w:right="1500" w:bottom="280" w:left="1680" w:header="720" w:footer="720" w:gutter="0"/>
          <w:cols w:space="720" w:num="1"/>
          <w:titlePg/>
          <w:docGrid w:linePitch="286" w:charSpace="0"/>
        </w:sectPr>
      </w:pPr>
    </w:p>
    <w:p w14:paraId="11695E73">
      <w:pPr>
        <w:spacing w:line="360" w:lineRule="exact"/>
        <w:jc w:val="left"/>
        <w:rPr>
          <w:rFonts w:ascii="宋体" w:hAnsi="宋体"/>
          <w:b/>
          <w:color w:val="FF0000"/>
          <w:sz w:val="30"/>
          <w:szCs w:val="30"/>
        </w:rPr>
      </w:pPr>
      <w:r>
        <w:rPr>
          <w:rFonts w:hint="eastAsia" w:ascii="宋体" w:hAnsi="宋体"/>
          <w:b/>
          <w:sz w:val="32"/>
          <w:szCs w:val="32"/>
        </w:rPr>
        <w:t xml:space="preserve">分标5  </w:t>
      </w:r>
      <w:r>
        <w:rPr>
          <w:rFonts w:hint="eastAsia" w:ascii="宋体" w:hAnsi="宋体"/>
          <w:b/>
          <w:szCs w:val="21"/>
        </w:rPr>
        <w:t>采购预算342.88万元</w:t>
      </w:r>
    </w:p>
    <w:p w14:paraId="0A6CC79D">
      <w:pPr>
        <w:spacing w:line="360" w:lineRule="exact"/>
        <w:jc w:val="left"/>
        <w:rPr>
          <w:rFonts w:ascii="宋体" w:hAnsi="宋体"/>
          <w:b/>
          <w:szCs w:val="21"/>
        </w:rPr>
      </w:pPr>
      <w:r>
        <w:rPr>
          <w:rFonts w:hint="eastAsia" w:ascii="宋体" w:hAnsi="宋体"/>
          <w:b/>
          <w:szCs w:val="21"/>
        </w:rPr>
        <w:t>本分标第</w:t>
      </w:r>
      <w:r>
        <w:rPr>
          <w:rFonts w:hint="eastAsia" w:ascii="宋体" w:hAnsi="宋体"/>
          <w:b/>
          <w:szCs w:val="21"/>
          <w:u w:val="single"/>
        </w:rPr>
        <w:t xml:space="preserve"> 1 </w:t>
      </w:r>
      <w:r>
        <w:rPr>
          <w:rFonts w:hint="eastAsia" w:ascii="宋体" w:hAnsi="宋体"/>
          <w:b/>
          <w:szCs w:val="21"/>
        </w:rPr>
        <w:t xml:space="preserve">项货物 </w:t>
      </w:r>
      <w:r>
        <w:rPr>
          <w:rFonts w:hint="eastAsia" w:ascii="宋体" w:hAnsi="宋体"/>
          <w:b/>
          <w:szCs w:val="21"/>
          <w:u w:val="single"/>
        </w:rPr>
        <w:t xml:space="preserve">步履式挖掘机 </w:t>
      </w:r>
      <w:r>
        <w:rPr>
          <w:rFonts w:hint="eastAsia" w:ascii="宋体" w:hAnsi="宋体"/>
          <w:b/>
          <w:szCs w:val="21"/>
        </w:rPr>
        <w:t>为核心产品。</w:t>
      </w:r>
    </w:p>
    <w:tbl>
      <w:tblPr>
        <w:tblStyle w:val="50"/>
        <w:tblW w:w="4997"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39"/>
        <w:gridCol w:w="1118"/>
        <w:gridCol w:w="32"/>
        <w:gridCol w:w="864"/>
        <w:gridCol w:w="823"/>
        <w:gridCol w:w="4215"/>
        <w:gridCol w:w="1450"/>
      </w:tblGrid>
      <w:tr w14:paraId="38944C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46" w:type="pct"/>
            <w:tcBorders>
              <w:top w:val="single" w:color="000000" w:sz="4" w:space="0"/>
              <w:left w:val="single" w:color="000000" w:sz="4" w:space="0"/>
              <w:bottom w:val="single" w:color="000000" w:sz="4" w:space="0"/>
              <w:right w:val="single" w:color="000000" w:sz="4" w:space="0"/>
            </w:tcBorders>
            <w:noWrap w:val="0"/>
            <w:vAlign w:val="center"/>
          </w:tcPr>
          <w:p w14:paraId="00F5D799">
            <w:pPr>
              <w:tabs>
                <w:tab w:val="left" w:pos="180"/>
                <w:tab w:val="left" w:pos="1620"/>
              </w:tabs>
              <w:spacing w:line="360" w:lineRule="exact"/>
              <w:jc w:val="center"/>
              <w:rPr>
                <w:rFonts w:ascii="宋体" w:hAnsi="宋体"/>
                <w:b/>
                <w:szCs w:val="21"/>
              </w:rPr>
            </w:pPr>
            <w:r>
              <w:rPr>
                <w:rFonts w:hint="eastAsia" w:ascii="宋体" w:hAnsi="宋体"/>
                <w:b/>
                <w:szCs w:val="21"/>
              </w:rPr>
              <w:t>序号</w:t>
            </w:r>
          </w:p>
        </w:tc>
        <w:tc>
          <w:tcPr>
            <w:tcW w:w="625" w:type="pct"/>
            <w:tcBorders>
              <w:top w:val="single" w:color="000000" w:sz="4" w:space="0"/>
              <w:left w:val="single" w:color="000000" w:sz="4" w:space="0"/>
              <w:bottom w:val="single" w:color="000000" w:sz="4" w:space="0"/>
              <w:right w:val="single" w:color="000000" w:sz="4" w:space="0"/>
            </w:tcBorders>
            <w:noWrap w:val="0"/>
            <w:vAlign w:val="center"/>
          </w:tcPr>
          <w:p w14:paraId="15DC4167">
            <w:pPr>
              <w:tabs>
                <w:tab w:val="left" w:pos="180"/>
                <w:tab w:val="left" w:pos="1620"/>
              </w:tabs>
              <w:spacing w:line="360" w:lineRule="exact"/>
              <w:jc w:val="center"/>
              <w:rPr>
                <w:rFonts w:hint="eastAsia" w:ascii="宋体" w:hAnsi="宋体"/>
                <w:b/>
                <w:szCs w:val="21"/>
              </w:rPr>
            </w:pPr>
            <w:r>
              <w:rPr>
                <w:rFonts w:hint="eastAsia" w:ascii="宋体" w:hAnsi="宋体"/>
                <w:b/>
                <w:szCs w:val="21"/>
              </w:rPr>
              <w:t>标的名称</w:t>
            </w:r>
          </w:p>
        </w:tc>
        <w:tc>
          <w:tcPr>
            <w:tcW w:w="501" w:type="pct"/>
            <w:gridSpan w:val="2"/>
            <w:tcBorders>
              <w:top w:val="single" w:color="000000" w:sz="4" w:space="0"/>
              <w:left w:val="single" w:color="000000" w:sz="4" w:space="0"/>
              <w:bottom w:val="single" w:color="000000" w:sz="4" w:space="0"/>
              <w:right w:val="single" w:color="000000" w:sz="4" w:space="0"/>
            </w:tcBorders>
            <w:noWrap w:val="0"/>
            <w:vAlign w:val="center"/>
          </w:tcPr>
          <w:p w14:paraId="3C654771">
            <w:pPr>
              <w:tabs>
                <w:tab w:val="left" w:pos="180"/>
                <w:tab w:val="left" w:pos="1620"/>
              </w:tabs>
              <w:spacing w:line="360" w:lineRule="exact"/>
              <w:jc w:val="center"/>
              <w:rPr>
                <w:rFonts w:hint="eastAsia" w:ascii="宋体" w:hAnsi="宋体"/>
                <w:b/>
                <w:szCs w:val="21"/>
              </w:rPr>
            </w:pPr>
            <w:r>
              <w:rPr>
                <w:rFonts w:hint="eastAsia" w:ascii="宋体" w:hAnsi="宋体"/>
                <w:b/>
                <w:szCs w:val="21"/>
              </w:rPr>
              <w:t>数量及单位</w:t>
            </w:r>
          </w:p>
        </w:tc>
        <w:tc>
          <w:tcPr>
            <w:tcW w:w="460" w:type="pct"/>
            <w:tcBorders>
              <w:top w:val="single" w:color="000000" w:sz="4" w:space="0"/>
              <w:left w:val="single" w:color="000000" w:sz="4" w:space="0"/>
              <w:bottom w:val="single" w:color="000000" w:sz="4" w:space="0"/>
              <w:right w:val="single" w:color="000000" w:sz="4" w:space="0"/>
            </w:tcBorders>
            <w:noWrap w:val="0"/>
            <w:vAlign w:val="center"/>
          </w:tcPr>
          <w:p w14:paraId="0CE7C515">
            <w:pPr>
              <w:tabs>
                <w:tab w:val="left" w:pos="180"/>
                <w:tab w:val="left" w:pos="1620"/>
              </w:tabs>
              <w:spacing w:line="360" w:lineRule="exact"/>
              <w:jc w:val="center"/>
              <w:rPr>
                <w:rFonts w:hint="eastAsia" w:ascii="宋体" w:hAnsi="宋体" w:cs="Arial"/>
                <w:b/>
                <w:szCs w:val="21"/>
              </w:rPr>
            </w:pPr>
            <w:r>
              <w:rPr>
                <w:rFonts w:hint="eastAsia" w:ascii="宋体" w:hAnsi="宋体" w:cs="Arial"/>
                <w:b/>
                <w:szCs w:val="21"/>
              </w:rPr>
              <w:t>所属</w:t>
            </w:r>
          </w:p>
          <w:p w14:paraId="228A77DC">
            <w:pPr>
              <w:tabs>
                <w:tab w:val="left" w:pos="180"/>
                <w:tab w:val="left" w:pos="1620"/>
              </w:tabs>
              <w:spacing w:line="360" w:lineRule="exact"/>
              <w:jc w:val="center"/>
              <w:rPr>
                <w:rFonts w:hint="eastAsia" w:ascii="宋体" w:hAnsi="宋体"/>
                <w:b/>
                <w:szCs w:val="21"/>
              </w:rPr>
            </w:pPr>
            <w:r>
              <w:rPr>
                <w:rFonts w:hint="eastAsia" w:ascii="宋体" w:hAnsi="宋体" w:cs="Arial"/>
                <w:b/>
                <w:szCs w:val="21"/>
              </w:rPr>
              <w:t>行业</w:t>
            </w:r>
          </w:p>
        </w:tc>
        <w:tc>
          <w:tcPr>
            <w:tcW w:w="2356" w:type="pct"/>
            <w:tcBorders>
              <w:top w:val="single" w:color="000000" w:sz="4" w:space="0"/>
              <w:left w:val="single" w:color="000000" w:sz="4" w:space="0"/>
              <w:bottom w:val="single" w:color="000000" w:sz="4" w:space="0"/>
              <w:right w:val="single" w:color="000000" w:sz="4" w:space="0"/>
            </w:tcBorders>
            <w:noWrap w:val="0"/>
            <w:vAlign w:val="center"/>
          </w:tcPr>
          <w:p w14:paraId="5B8FCF66">
            <w:pPr>
              <w:tabs>
                <w:tab w:val="left" w:pos="180"/>
                <w:tab w:val="left" w:pos="1620"/>
              </w:tabs>
              <w:spacing w:line="360" w:lineRule="exact"/>
              <w:jc w:val="center"/>
              <w:rPr>
                <w:rFonts w:hint="eastAsia" w:ascii="宋体" w:hAnsi="宋体"/>
                <w:b/>
                <w:szCs w:val="21"/>
              </w:rPr>
            </w:pPr>
            <w:r>
              <w:rPr>
                <w:rFonts w:hint="eastAsia" w:ascii="宋体" w:hAnsi="宋体"/>
                <w:b/>
                <w:szCs w:val="21"/>
              </w:rPr>
              <w:t>技术需求及要求</w:t>
            </w:r>
          </w:p>
        </w:tc>
        <w:tc>
          <w:tcPr>
            <w:tcW w:w="810" w:type="pct"/>
            <w:tcBorders>
              <w:top w:val="single" w:color="000000" w:sz="4" w:space="0"/>
              <w:left w:val="single" w:color="000000" w:sz="4" w:space="0"/>
              <w:bottom w:val="single" w:color="000000" w:sz="4" w:space="0"/>
              <w:right w:val="single" w:color="000000" w:sz="4" w:space="0"/>
            </w:tcBorders>
            <w:noWrap w:val="0"/>
            <w:vAlign w:val="center"/>
          </w:tcPr>
          <w:p w14:paraId="3241EA0E">
            <w:pPr>
              <w:tabs>
                <w:tab w:val="left" w:pos="180"/>
                <w:tab w:val="left" w:pos="1620"/>
              </w:tabs>
              <w:spacing w:line="360" w:lineRule="exact"/>
              <w:jc w:val="center"/>
              <w:rPr>
                <w:rFonts w:hint="eastAsia" w:ascii="宋体" w:hAnsi="宋体"/>
                <w:b/>
                <w:szCs w:val="21"/>
              </w:rPr>
            </w:pPr>
            <w:r>
              <w:rPr>
                <w:rFonts w:hint="eastAsia" w:ascii="宋体" w:hAnsi="宋体"/>
                <w:b/>
                <w:szCs w:val="21"/>
              </w:rPr>
              <w:t>单价控制价（万元）</w:t>
            </w:r>
          </w:p>
        </w:tc>
      </w:tr>
      <w:tr w14:paraId="0663EC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46" w:type="pct"/>
            <w:tcBorders>
              <w:top w:val="single" w:color="000000" w:sz="4" w:space="0"/>
              <w:left w:val="single" w:color="000000" w:sz="4" w:space="0"/>
              <w:bottom w:val="single" w:color="000000" w:sz="4" w:space="0"/>
              <w:right w:val="single" w:color="000000" w:sz="4" w:space="0"/>
            </w:tcBorders>
            <w:noWrap w:val="0"/>
            <w:vAlign w:val="center"/>
          </w:tcPr>
          <w:p w14:paraId="2072C082">
            <w:pPr>
              <w:snapToGrid w:val="0"/>
              <w:spacing w:line="360" w:lineRule="exact"/>
              <w:rPr>
                <w:rFonts w:hint="eastAsia" w:ascii="宋体" w:hAnsi="宋体"/>
                <w:szCs w:val="21"/>
              </w:rPr>
            </w:pPr>
            <w:r>
              <w:rPr>
                <w:rFonts w:hint="eastAsia" w:ascii="宋体" w:hAnsi="宋体"/>
                <w:szCs w:val="21"/>
              </w:rPr>
              <w:t>1</w:t>
            </w:r>
          </w:p>
        </w:tc>
        <w:tc>
          <w:tcPr>
            <w:tcW w:w="625" w:type="pct"/>
            <w:tcBorders>
              <w:top w:val="single" w:color="000000" w:sz="4" w:space="0"/>
              <w:left w:val="single" w:color="000000" w:sz="4" w:space="0"/>
              <w:bottom w:val="single" w:color="auto" w:sz="4" w:space="0"/>
              <w:right w:val="single" w:color="000000" w:sz="4" w:space="0"/>
            </w:tcBorders>
            <w:noWrap w:val="0"/>
            <w:vAlign w:val="center"/>
          </w:tcPr>
          <w:p w14:paraId="4037BBC7">
            <w:pPr>
              <w:widowControl/>
              <w:spacing w:line="360" w:lineRule="exact"/>
              <w:jc w:val="center"/>
              <w:textAlignment w:val="center"/>
              <w:rPr>
                <w:rFonts w:hint="eastAsia" w:ascii="宋体" w:hAnsi="宋体"/>
                <w:szCs w:val="21"/>
              </w:rPr>
            </w:pPr>
            <w:r>
              <w:rPr>
                <w:rFonts w:hint="eastAsia" w:ascii="宋体" w:hAnsi="宋体"/>
                <w:szCs w:val="21"/>
              </w:rPr>
              <w:t>步履式挖掘机</w:t>
            </w:r>
          </w:p>
        </w:tc>
        <w:tc>
          <w:tcPr>
            <w:tcW w:w="501" w:type="pct"/>
            <w:gridSpan w:val="2"/>
            <w:tcBorders>
              <w:top w:val="single" w:color="000000" w:sz="4" w:space="0"/>
              <w:left w:val="single" w:color="000000" w:sz="4" w:space="0"/>
              <w:bottom w:val="single" w:color="auto" w:sz="4" w:space="0"/>
              <w:right w:val="single" w:color="000000" w:sz="4" w:space="0"/>
            </w:tcBorders>
            <w:noWrap w:val="0"/>
            <w:vAlign w:val="center"/>
          </w:tcPr>
          <w:p w14:paraId="3B13B386">
            <w:pPr>
              <w:widowControl/>
              <w:spacing w:line="360" w:lineRule="exact"/>
              <w:jc w:val="center"/>
              <w:textAlignment w:val="center"/>
              <w:rPr>
                <w:rFonts w:hint="eastAsia" w:ascii="宋体" w:hAnsi="宋体"/>
                <w:szCs w:val="21"/>
              </w:rPr>
            </w:pPr>
            <w:r>
              <w:rPr>
                <w:rFonts w:hint="eastAsia" w:ascii="宋体" w:hAnsi="宋体"/>
                <w:szCs w:val="21"/>
              </w:rPr>
              <w:t>1台</w:t>
            </w:r>
          </w:p>
        </w:tc>
        <w:tc>
          <w:tcPr>
            <w:tcW w:w="460" w:type="pct"/>
            <w:tcBorders>
              <w:top w:val="single" w:color="000000" w:sz="4" w:space="0"/>
              <w:left w:val="single" w:color="000000" w:sz="4" w:space="0"/>
              <w:bottom w:val="single" w:color="auto" w:sz="4" w:space="0"/>
              <w:right w:val="single" w:color="000000" w:sz="4" w:space="0"/>
            </w:tcBorders>
            <w:noWrap w:val="0"/>
            <w:vAlign w:val="center"/>
          </w:tcPr>
          <w:p w14:paraId="591F4C55">
            <w:pPr>
              <w:widowControl/>
              <w:spacing w:line="360" w:lineRule="exact"/>
              <w:jc w:val="center"/>
              <w:textAlignment w:val="center"/>
              <w:rPr>
                <w:rFonts w:hint="eastAsia" w:ascii="宋体" w:hAnsi="宋体"/>
                <w:szCs w:val="21"/>
              </w:rPr>
            </w:pPr>
            <w:r>
              <w:rPr>
                <w:rFonts w:hint="eastAsia" w:ascii="宋体" w:hAnsi="宋体"/>
                <w:szCs w:val="21"/>
              </w:rPr>
              <w:t>工业</w:t>
            </w:r>
          </w:p>
        </w:tc>
        <w:tc>
          <w:tcPr>
            <w:tcW w:w="2356" w:type="pct"/>
            <w:tcBorders>
              <w:top w:val="single" w:color="000000" w:sz="4" w:space="0"/>
              <w:left w:val="single" w:color="000000" w:sz="4" w:space="0"/>
              <w:bottom w:val="single" w:color="000000" w:sz="4" w:space="0"/>
              <w:right w:val="single" w:color="000000" w:sz="4" w:space="0"/>
            </w:tcBorders>
            <w:noWrap w:val="0"/>
            <w:vAlign w:val="center"/>
          </w:tcPr>
          <w:p w14:paraId="6675624E">
            <w:pPr>
              <w:widowControl/>
              <w:spacing w:line="360" w:lineRule="exact"/>
              <w:textAlignment w:val="top"/>
              <w:rPr>
                <w:rFonts w:hint="eastAsia" w:ascii="宋体" w:hAnsi="宋体"/>
                <w:szCs w:val="21"/>
              </w:rPr>
            </w:pPr>
            <w:r>
              <w:rPr>
                <w:rFonts w:hint="eastAsia" w:ascii="宋体" w:hAnsi="宋体"/>
                <w:szCs w:val="21"/>
              </w:rPr>
              <w:t>1.整机工作质量≥20t；</w:t>
            </w:r>
          </w:p>
          <w:p w14:paraId="1375EF78">
            <w:pPr>
              <w:widowControl/>
              <w:spacing w:line="360" w:lineRule="exact"/>
              <w:textAlignment w:val="top"/>
              <w:rPr>
                <w:rFonts w:hint="eastAsia" w:ascii="宋体" w:hAnsi="宋体"/>
                <w:szCs w:val="21"/>
              </w:rPr>
            </w:pPr>
            <w:r>
              <w:rPr>
                <w:rFonts w:hint="eastAsia" w:ascii="宋体" w:hAnsi="宋体"/>
                <w:szCs w:val="21"/>
              </w:rPr>
              <w:t>▲2.斗容≥0.8m³；</w:t>
            </w:r>
          </w:p>
          <w:p w14:paraId="7C379ADB">
            <w:pPr>
              <w:widowControl/>
              <w:spacing w:line="360" w:lineRule="exact"/>
              <w:textAlignment w:val="top"/>
              <w:rPr>
                <w:rFonts w:hint="eastAsia" w:ascii="宋体" w:hAnsi="宋体"/>
                <w:szCs w:val="21"/>
              </w:rPr>
            </w:pPr>
            <w:r>
              <w:rPr>
                <w:rFonts w:hint="eastAsia" w:ascii="宋体" w:hAnsi="宋体"/>
                <w:szCs w:val="21"/>
              </w:rPr>
              <w:t>▲3.发动机额定功率≥210kW；</w:t>
            </w:r>
          </w:p>
          <w:p w14:paraId="553AB48C">
            <w:pPr>
              <w:widowControl/>
              <w:spacing w:line="360" w:lineRule="exact"/>
              <w:textAlignment w:val="top"/>
              <w:rPr>
                <w:rFonts w:hint="eastAsia" w:ascii="宋体" w:hAnsi="宋体"/>
                <w:szCs w:val="21"/>
              </w:rPr>
            </w:pPr>
            <w:r>
              <w:rPr>
                <w:rFonts w:hint="eastAsia" w:ascii="宋体" w:hAnsi="宋体"/>
                <w:szCs w:val="21"/>
              </w:rPr>
              <w:t>4.满足非道路国Ⅳ排放标准及以上；</w:t>
            </w:r>
          </w:p>
          <w:p w14:paraId="4FF9233E">
            <w:pPr>
              <w:widowControl/>
              <w:spacing w:line="360" w:lineRule="exact"/>
              <w:textAlignment w:val="top"/>
              <w:rPr>
                <w:rFonts w:hint="eastAsia" w:ascii="宋体" w:hAnsi="宋体"/>
                <w:szCs w:val="21"/>
              </w:rPr>
            </w:pPr>
            <w:r>
              <w:rPr>
                <w:rFonts w:hint="eastAsia" w:ascii="宋体" w:hAnsi="宋体"/>
                <w:szCs w:val="21"/>
              </w:rPr>
              <w:t>5.行走速度≥15km/h；</w:t>
            </w:r>
          </w:p>
          <w:p w14:paraId="4E7A7AE7">
            <w:pPr>
              <w:widowControl/>
              <w:spacing w:line="360" w:lineRule="exact"/>
              <w:textAlignment w:val="top"/>
              <w:rPr>
                <w:rFonts w:hint="eastAsia" w:ascii="宋体" w:hAnsi="宋体"/>
                <w:szCs w:val="21"/>
              </w:rPr>
            </w:pPr>
            <w:r>
              <w:rPr>
                <w:rFonts w:hint="eastAsia" w:ascii="宋体" w:hAnsi="宋体"/>
                <w:szCs w:val="21"/>
              </w:rPr>
              <w:t>6.回转速度≥10rpm；</w:t>
            </w:r>
          </w:p>
          <w:p w14:paraId="00158FC3">
            <w:pPr>
              <w:widowControl/>
              <w:spacing w:line="360" w:lineRule="exact"/>
              <w:textAlignment w:val="top"/>
              <w:rPr>
                <w:rFonts w:hint="eastAsia" w:ascii="宋体" w:hAnsi="宋体"/>
                <w:szCs w:val="21"/>
              </w:rPr>
            </w:pPr>
            <w:r>
              <w:rPr>
                <w:rFonts w:hint="eastAsia" w:ascii="宋体" w:hAnsi="宋体"/>
                <w:szCs w:val="21"/>
              </w:rPr>
              <w:t>▲7.最大步履爬坡能力≥45°；</w:t>
            </w:r>
          </w:p>
          <w:p w14:paraId="64143CF2">
            <w:pPr>
              <w:widowControl/>
              <w:spacing w:line="360" w:lineRule="exact"/>
              <w:textAlignment w:val="top"/>
              <w:rPr>
                <w:rFonts w:hint="eastAsia" w:ascii="宋体" w:hAnsi="宋体"/>
                <w:szCs w:val="21"/>
              </w:rPr>
            </w:pPr>
            <w:r>
              <w:rPr>
                <w:rFonts w:hint="eastAsia" w:ascii="宋体" w:hAnsi="宋体"/>
                <w:szCs w:val="21"/>
              </w:rPr>
              <w:t>8.最大适用作业坡度≥30°；</w:t>
            </w:r>
          </w:p>
          <w:p w14:paraId="03981BD2">
            <w:pPr>
              <w:widowControl/>
              <w:spacing w:line="360" w:lineRule="exact"/>
              <w:textAlignment w:val="top"/>
              <w:rPr>
                <w:rFonts w:hint="eastAsia" w:ascii="宋体" w:hAnsi="宋体"/>
                <w:szCs w:val="21"/>
              </w:rPr>
            </w:pPr>
            <w:r>
              <w:rPr>
                <w:rFonts w:hint="eastAsia" w:ascii="宋体" w:hAnsi="宋体"/>
                <w:szCs w:val="21"/>
              </w:rPr>
              <w:t>9.最大适用作业横向坡度≥30°；</w:t>
            </w:r>
          </w:p>
          <w:p w14:paraId="0D94479B">
            <w:pPr>
              <w:widowControl/>
              <w:spacing w:line="360" w:lineRule="exact"/>
              <w:textAlignment w:val="top"/>
              <w:rPr>
                <w:rFonts w:hint="eastAsia" w:ascii="宋体" w:hAnsi="宋体"/>
                <w:szCs w:val="21"/>
              </w:rPr>
            </w:pPr>
            <w:r>
              <w:rPr>
                <w:rFonts w:hint="eastAsia" w:ascii="宋体" w:hAnsi="宋体"/>
                <w:szCs w:val="21"/>
              </w:rPr>
              <w:t>10.最大作业半径≥8000mm；</w:t>
            </w:r>
          </w:p>
          <w:p w14:paraId="0BD20F5C">
            <w:pPr>
              <w:widowControl/>
              <w:spacing w:line="360" w:lineRule="exact"/>
              <w:textAlignment w:val="top"/>
              <w:rPr>
                <w:rFonts w:hint="eastAsia" w:ascii="宋体" w:hAnsi="宋体"/>
                <w:szCs w:val="21"/>
              </w:rPr>
            </w:pPr>
            <w:r>
              <w:rPr>
                <w:rFonts w:hint="eastAsia" w:ascii="宋体" w:hAnsi="宋体"/>
                <w:szCs w:val="21"/>
              </w:rPr>
              <w:t>11.最大作业深度≥6000mm；</w:t>
            </w:r>
          </w:p>
          <w:p w14:paraId="06E352D0">
            <w:pPr>
              <w:widowControl/>
              <w:spacing w:line="360" w:lineRule="exact"/>
              <w:textAlignment w:val="top"/>
              <w:rPr>
                <w:rFonts w:hint="eastAsia" w:ascii="宋体" w:hAnsi="宋体"/>
                <w:szCs w:val="21"/>
              </w:rPr>
            </w:pPr>
            <w:r>
              <w:rPr>
                <w:rFonts w:hint="eastAsia" w:ascii="宋体" w:hAnsi="宋体"/>
                <w:szCs w:val="21"/>
              </w:rPr>
              <w:t>12.最大作业高度≥9000mm；</w:t>
            </w:r>
          </w:p>
          <w:p w14:paraId="1B389B9B">
            <w:pPr>
              <w:widowControl/>
              <w:spacing w:line="360" w:lineRule="exact"/>
              <w:textAlignment w:val="top"/>
              <w:rPr>
                <w:rFonts w:hint="eastAsia" w:ascii="宋体" w:hAnsi="宋体"/>
                <w:szCs w:val="21"/>
              </w:rPr>
            </w:pPr>
            <w:r>
              <w:rPr>
                <w:rFonts w:hint="eastAsia" w:ascii="宋体" w:hAnsi="宋体"/>
                <w:szCs w:val="21"/>
              </w:rPr>
              <w:t>13.最大越障高度≥2500mm；</w:t>
            </w:r>
          </w:p>
          <w:p w14:paraId="635E0904">
            <w:pPr>
              <w:widowControl/>
              <w:spacing w:line="360" w:lineRule="exact"/>
              <w:textAlignment w:val="top"/>
              <w:rPr>
                <w:rFonts w:hint="eastAsia" w:ascii="宋体" w:hAnsi="宋体"/>
                <w:szCs w:val="21"/>
              </w:rPr>
            </w:pPr>
            <w:r>
              <w:rPr>
                <w:rFonts w:hint="eastAsia" w:ascii="宋体" w:hAnsi="宋体"/>
                <w:szCs w:val="21"/>
              </w:rPr>
              <w:t>14.最大涉水深度≥2000mm；</w:t>
            </w:r>
          </w:p>
          <w:p w14:paraId="2178B4C4">
            <w:pPr>
              <w:widowControl/>
              <w:spacing w:line="360" w:lineRule="exact"/>
              <w:textAlignment w:val="top"/>
              <w:rPr>
                <w:rFonts w:hint="eastAsia" w:ascii="宋体" w:hAnsi="宋体"/>
                <w:szCs w:val="21"/>
              </w:rPr>
            </w:pPr>
            <w:r>
              <w:rPr>
                <w:rFonts w:hint="eastAsia" w:ascii="宋体" w:hAnsi="宋体"/>
                <w:szCs w:val="21"/>
              </w:rPr>
              <w:t>15.最大跨越壕沟≥5000mm；</w:t>
            </w:r>
          </w:p>
          <w:p w14:paraId="19018CE2">
            <w:pPr>
              <w:widowControl/>
              <w:spacing w:line="360" w:lineRule="exact"/>
              <w:textAlignment w:val="top"/>
              <w:rPr>
                <w:rFonts w:hint="eastAsia" w:ascii="宋体" w:hAnsi="宋体"/>
                <w:szCs w:val="21"/>
              </w:rPr>
            </w:pPr>
            <w:r>
              <w:rPr>
                <w:rFonts w:hint="eastAsia" w:ascii="宋体" w:hAnsi="宋体"/>
                <w:szCs w:val="21"/>
              </w:rPr>
              <w:t>▲16.最大步距≥6500mm；</w:t>
            </w:r>
          </w:p>
          <w:p w14:paraId="47B1AAF0">
            <w:pPr>
              <w:widowControl/>
              <w:spacing w:line="360" w:lineRule="exact"/>
              <w:textAlignment w:val="top"/>
              <w:rPr>
                <w:rFonts w:hint="eastAsia" w:ascii="宋体" w:hAnsi="宋体"/>
                <w:szCs w:val="21"/>
              </w:rPr>
            </w:pPr>
            <w:r>
              <w:rPr>
                <w:rFonts w:hint="eastAsia" w:ascii="宋体" w:hAnsi="宋体"/>
                <w:szCs w:val="21"/>
              </w:rPr>
              <w:t>▲17.最大挖掘力≥120KN；</w:t>
            </w:r>
          </w:p>
          <w:p w14:paraId="38BFCABD">
            <w:pPr>
              <w:widowControl/>
              <w:spacing w:line="360" w:lineRule="exact"/>
              <w:textAlignment w:val="top"/>
              <w:rPr>
                <w:rFonts w:hint="eastAsia" w:ascii="宋体" w:hAnsi="宋体"/>
                <w:szCs w:val="21"/>
              </w:rPr>
            </w:pPr>
            <w:r>
              <w:rPr>
                <w:rFonts w:hint="eastAsia" w:ascii="宋体" w:hAnsi="宋体"/>
                <w:szCs w:val="21"/>
              </w:rPr>
              <w:t>18.适应环境温度：-20℃至+45℃；</w:t>
            </w:r>
          </w:p>
          <w:p w14:paraId="5904EFEE">
            <w:pPr>
              <w:widowControl/>
              <w:spacing w:line="360" w:lineRule="exact"/>
              <w:textAlignment w:val="top"/>
              <w:rPr>
                <w:rFonts w:hint="eastAsia" w:ascii="宋体" w:hAnsi="宋体"/>
                <w:szCs w:val="21"/>
              </w:rPr>
            </w:pPr>
            <w:r>
              <w:rPr>
                <w:rFonts w:hint="eastAsia" w:ascii="宋体" w:hAnsi="宋体"/>
                <w:szCs w:val="21"/>
              </w:rPr>
              <w:t>19.适用海拔高度≥4000m；</w:t>
            </w:r>
          </w:p>
          <w:p w14:paraId="05B7D164">
            <w:pPr>
              <w:widowControl/>
              <w:spacing w:line="360" w:lineRule="exact"/>
              <w:textAlignment w:val="top"/>
              <w:rPr>
                <w:rFonts w:hint="eastAsia" w:ascii="宋体" w:hAnsi="宋体"/>
                <w:szCs w:val="21"/>
              </w:rPr>
            </w:pPr>
            <w:r>
              <w:rPr>
                <w:rFonts w:hint="eastAsia" w:ascii="宋体" w:hAnsi="宋体"/>
                <w:szCs w:val="21"/>
              </w:rPr>
              <w:t>20.驾驶室满足防翻滚（ROPS）和防落物（FOPS）标准，配置冷暖空调；</w:t>
            </w:r>
          </w:p>
          <w:p w14:paraId="29A5BD56">
            <w:pPr>
              <w:widowControl/>
              <w:spacing w:line="360" w:lineRule="exact"/>
              <w:textAlignment w:val="top"/>
              <w:rPr>
                <w:rFonts w:hint="eastAsia" w:ascii="宋体" w:hAnsi="宋体"/>
                <w:szCs w:val="21"/>
              </w:rPr>
            </w:pPr>
            <w:r>
              <w:rPr>
                <w:rFonts w:hint="eastAsia" w:ascii="宋体" w:hAnsi="宋体"/>
                <w:szCs w:val="21"/>
              </w:rPr>
              <w:t>21.属具配置：破碎锤、液压剪、液压爪斗、快速转换接头等。</w:t>
            </w:r>
          </w:p>
        </w:tc>
        <w:tc>
          <w:tcPr>
            <w:tcW w:w="810" w:type="pct"/>
            <w:tcBorders>
              <w:top w:val="single" w:color="000000" w:sz="4" w:space="0"/>
              <w:left w:val="single" w:color="000000" w:sz="4" w:space="0"/>
              <w:bottom w:val="single" w:color="000000" w:sz="4" w:space="0"/>
              <w:right w:val="single" w:color="000000" w:sz="4" w:space="0"/>
            </w:tcBorders>
            <w:noWrap w:val="0"/>
            <w:vAlign w:val="center"/>
          </w:tcPr>
          <w:p w14:paraId="150FEDFA">
            <w:pPr>
              <w:widowControl/>
              <w:spacing w:line="360" w:lineRule="exact"/>
              <w:jc w:val="center"/>
              <w:textAlignment w:val="top"/>
              <w:rPr>
                <w:rFonts w:ascii="仿宋" w:hAnsi="仿宋" w:eastAsia="仿宋" w:cs="仿宋"/>
                <w:szCs w:val="21"/>
              </w:rPr>
            </w:pPr>
            <w:r>
              <w:rPr>
                <w:rFonts w:hint="eastAsia" w:ascii="仿宋" w:hAnsi="仿宋" w:eastAsia="仿宋" w:cs="仿宋"/>
                <w:szCs w:val="21"/>
              </w:rPr>
              <w:t>342.88</w:t>
            </w:r>
          </w:p>
        </w:tc>
      </w:tr>
      <w:tr w14:paraId="239FB5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189" w:type="pct"/>
            <w:gridSpan w:val="6"/>
            <w:tcBorders>
              <w:top w:val="single" w:color="auto" w:sz="4" w:space="0"/>
              <w:left w:val="single" w:color="auto" w:sz="4" w:space="0"/>
              <w:bottom w:val="single" w:color="auto" w:sz="4" w:space="0"/>
              <w:right w:val="single" w:color="auto" w:sz="4" w:space="0"/>
            </w:tcBorders>
            <w:noWrap w:val="0"/>
            <w:vAlign w:val="top"/>
          </w:tcPr>
          <w:p w14:paraId="277015D2">
            <w:pPr>
              <w:spacing w:line="360" w:lineRule="exact"/>
              <w:rPr>
                <w:rFonts w:hint="eastAsia" w:ascii="宋体" w:hAnsi="宋体"/>
                <w:szCs w:val="21"/>
              </w:rPr>
            </w:pPr>
            <w:r>
              <w:rPr>
                <w:rFonts w:hint="eastAsia" w:ascii="宋体" w:hAnsi="宋体"/>
                <w:szCs w:val="21"/>
              </w:rPr>
              <w:t>▲</w:t>
            </w:r>
            <w:r>
              <w:rPr>
                <w:rFonts w:hint="eastAsia" w:ascii="宋体" w:hAnsi="宋体"/>
                <w:b/>
                <w:szCs w:val="21"/>
              </w:rPr>
              <w:t>一、商务要求</w:t>
            </w:r>
          </w:p>
        </w:tc>
        <w:tc>
          <w:tcPr>
            <w:tcW w:w="810" w:type="pct"/>
            <w:tcBorders>
              <w:top w:val="single" w:color="auto" w:sz="4" w:space="0"/>
              <w:left w:val="single" w:color="auto" w:sz="4" w:space="0"/>
              <w:bottom w:val="single" w:color="auto" w:sz="4" w:space="0"/>
              <w:right w:val="single" w:color="auto" w:sz="4" w:space="0"/>
            </w:tcBorders>
            <w:noWrap w:val="0"/>
            <w:vAlign w:val="top"/>
          </w:tcPr>
          <w:p w14:paraId="40A9FE86">
            <w:pPr>
              <w:spacing w:line="360" w:lineRule="exact"/>
              <w:rPr>
                <w:rFonts w:hint="eastAsia" w:ascii="宋体" w:hAnsi="宋体"/>
                <w:szCs w:val="21"/>
              </w:rPr>
            </w:pPr>
          </w:p>
        </w:tc>
      </w:tr>
      <w:tr w14:paraId="165411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89" w:type="pct"/>
            <w:gridSpan w:val="3"/>
            <w:tcBorders>
              <w:top w:val="single" w:color="auto" w:sz="4" w:space="0"/>
              <w:left w:val="single" w:color="auto" w:sz="4" w:space="0"/>
              <w:bottom w:val="single" w:color="auto" w:sz="4" w:space="0"/>
              <w:right w:val="single" w:color="auto" w:sz="4" w:space="0"/>
            </w:tcBorders>
            <w:noWrap w:val="0"/>
            <w:vAlign w:val="center"/>
          </w:tcPr>
          <w:p w14:paraId="5CD07C9D">
            <w:pPr>
              <w:spacing w:line="360" w:lineRule="exact"/>
              <w:rPr>
                <w:rFonts w:hint="eastAsia" w:ascii="宋体" w:hAnsi="宋体"/>
                <w:szCs w:val="21"/>
              </w:rPr>
            </w:pPr>
            <w:r>
              <w:rPr>
                <w:rFonts w:hint="eastAsia" w:ascii="宋体" w:hAnsi="宋体"/>
                <w:szCs w:val="21"/>
              </w:rPr>
              <w:t>合同签订时间</w:t>
            </w:r>
          </w:p>
        </w:tc>
        <w:tc>
          <w:tcPr>
            <w:tcW w:w="4110" w:type="pct"/>
            <w:gridSpan w:val="4"/>
            <w:tcBorders>
              <w:top w:val="single" w:color="auto" w:sz="4" w:space="0"/>
              <w:left w:val="nil"/>
              <w:bottom w:val="single" w:color="auto" w:sz="4" w:space="0"/>
              <w:right w:val="single" w:color="auto" w:sz="4" w:space="0"/>
            </w:tcBorders>
            <w:noWrap w:val="0"/>
            <w:vAlign w:val="center"/>
          </w:tcPr>
          <w:p w14:paraId="5C528496">
            <w:pPr>
              <w:spacing w:line="360" w:lineRule="exact"/>
              <w:rPr>
                <w:rFonts w:hint="eastAsia" w:ascii="宋体" w:hAnsi="宋体"/>
                <w:szCs w:val="21"/>
              </w:rPr>
            </w:pPr>
            <w:r>
              <w:rPr>
                <w:rFonts w:hint="eastAsia" w:ascii="宋体" w:hAnsi="宋体"/>
                <w:szCs w:val="21"/>
              </w:rPr>
              <w:t>自中标通知书发出之日起25日内与采购人完成合同签订。</w:t>
            </w:r>
          </w:p>
        </w:tc>
      </w:tr>
      <w:tr w14:paraId="3EB12E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89" w:type="pct"/>
            <w:gridSpan w:val="3"/>
            <w:tcBorders>
              <w:top w:val="single" w:color="auto" w:sz="4" w:space="0"/>
              <w:left w:val="single" w:color="auto" w:sz="4" w:space="0"/>
              <w:bottom w:val="single" w:color="auto" w:sz="4" w:space="0"/>
              <w:right w:val="single" w:color="auto" w:sz="4" w:space="0"/>
            </w:tcBorders>
            <w:noWrap w:val="0"/>
            <w:vAlign w:val="center"/>
          </w:tcPr>
          <w:p w14:paraId="2AB230CD">
            <w:pPr>
              <w:spacing w:line="360" w:lineRule="exact"/>
              <w:rPr>
                <w:rFonts w:hint="eastAsia" w:ascii="宋体" w:hAnsi="宋体"/>
                <w:szCs w:val="21"/>
              </w:rPr>
            </w:pPr>
            <w:r>
              <w:rPr>
                <w:rFonts w:hint="eastAsia" w:ascii="宋体" w:hAnsi="宋体"/>
                <w:szCs w:val="21"/>
              </w:rPr>
              <w:t>交付使用时间及地点</w:t>
            </w:r>
          </w:p>
        </w:tc>
        <w:tc>
          <w:tcPr>
            <w:tcW w:w="4110" w:type="pct"/>
            <w:gridSpan w:val="4"/>
            <w:tcBorders>
              <w:top w:val="single" w:color="auto" w:sz="4" w:space="0"/>
              <w:left w:val="nil"/>
              <w:bottom w:val="single" w:color="auto" w:sz="4" w:space="0"/>
              <w:right w:val="single" w:color="auto" w:sz="4" w:space="0"/>
            </w:tcBorders>
            <w:noWrap w:val="0"/>
            <w:vAlign w:val="center"/>
          </w:tcPr>
          <w:p w14:paraId="34E4CE16">
            <w:pPr>
              <w:spacing w:line="360" w:lineRule="exact"/>
              <w:ind w:firstLine="420" w:firstLineChars="200"/>
              <w:rPr>
                <w:rFonts w:hint="eastAsia" w:ascii="宋体" w:hAnsi="宋体"/>
                <w:szCs w:val="21"/>
              </w:rPr>
            </w:pPr>
            <w:r>
              <w:rPr>
                <w:rFonts w:hint="eastAsia" w:ascii="宋体" w:hAnsi="宋体"/>
                <w:szCs w:val="21"/>
              </w:rPr>
              <w:t>1.交货时间：自合同签订之日起90日内交付。</w:t>
            </w:r>
          </w:p>
          <w:p w14:paraId="56064006">
            <w:pPr>
              <w:spacing w:line="360" w:lineRule="exact"/>
              <w:ind w:firstLine="420" w:firstLineChars="200"/>
              <w:rPr>
                <w:rFonts w:hint="eastAsia" w:ascii="宋体" w:hAnsi="宋体"/>
                <w:szCs w:val="21"/>
              </w:rPr>
            </w:pPr>
            <w:r>
              <w:rPr>
                <w:rFonts w:hint="eastAsia" w:ascii="宋体" w:hAnsi="宋体"/>
                <w:szCs w:val="21"/>
              </w:rPr>
              <w:t>2.交货地点：广西区内采购人指定地点。交付货物清单同货物一并送达采购人；货物在交付前发生的风险均由中标供应商自行负责；未验收前保管工作由中标供应商自行负责。</w:t>
            </w:r>
          </w:p>
          <w:p w14:paraId="5ECFA078">
            <w:pPr>
              <w:spacing w:line="360" w:lineRule="exact"/>
              <w:ind w:firstLine="420" w:firstLineChars="200"/>
              <w:rPr>
                <w:rFonts w:hint="eastAsia" w:ascii="宋体" w:hAnsi="宋体"/>
                <w:szCs w:val="21"/>
              </w:rPr>
            </w:pPr>
            <w:r>
              <w:rPr>
                <w:rFonts w:hint="eastAsia" w:ascii="宋体" w:hAnsi="宋体"/>
                <w:szCs w:val="21"/>
              </w:rPr>
              <w:t>3.中标供应商承担货物运输、验收检测和提供货物说明书、技术培训、售后服务等其他类似的义务。</w:t>
            </w:r>
          </w:p>
          <w:p w14:paraId="2F7DB013">
            <w:pPr>
              <w:spacing w:line="360" w:lineRule="exact"/>
              <w:ind w:firstLine="420" w:firstLineChars="200"/>
              <w:rPr>
                <w:rFonts w:hint="eastAsia" w:ascii="宋体" w:hAnsi="宋体"/>
                <w:szCs w:val="21"/>
              </w:rPr>
            </w:pPr>
            <w:r>
              <w:rPr>
                <w:rFonts w:hint="eastAsia" w:ascii="宋体" w:hAnsi="宋体"/>
                <w:szCs w:val="21"/>
              </w:rPr>
              <w:t>4.交货方式：现场交货。</w:t>
            </w:r>
          </w:p>
        </w:tc>
      </w:tr>
      <w:tr w14:paraId="488232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89" w:type="pct"/>
            <w:gridSpan w:val="3"/>
            <w:tcBorders>
              <w:top w:val="single" w:color="auto" w:sz="4" w:space="0"/>
              <w:left w:val="single" w:color="auto" w:sz="4" w:space="0"/>
              <w:bottom w:val="single" w:color="auto" w:sz="4" w:space="0"/>
              <w:right w:val="single" w:color="auto" w:sz="4" w:space="0"/>
            </w:tcBorders>
            <w:noWrap w:val="0"/>
            <w:vAlign w:val="center"/>
          </w:tcPr>
          <w:p w14:paraId="0E7D7503">
            <w:pPr>
              <w:spacing w:line="360" w:lineRule="exact"/>
              <w:rPr>
                <w:rFonts w:hint="eastAsia" w:ascii="宋体" w:hAnsi="宋体"/>
                <w:szCs w:val="21"/>
              </w:rPr>
            </w:pPr>
            <w:r>
              <w:rPr>
                <w:rFonts w:hint="eastAsia" w:ascii="宋体" w:hAnsi="宋体"/>
                <w:szCs w:val="21"/>
              </w:rPr>
              <w:t>质保期</w:t>
            </w:r>
          </w:p>
        </w:tc>
        <w:tc>
          <w:tcPr>
            <w:tcW w:w="4110" w:type="pct"/>
            <w:gridSpan w:val="4"/>
            <w:tcBorders>
              <w:top w:val="single" w:color="auto" w:sz="4" w:space="0"/>
              <w:left w:val="nil"/>
              <w:bottom w:val="single" w:color="auto" w:sz="4" w:space="0"/>
              <w:right w:val="single" w:color="auto" w:sz="4" w:space="0"/>
            </w:tcBorders>
            <w:noWrap w:val="0"/>
            <w:vAlign w:val="center"/>
          </w:tcPr>
          <w:p w14:paraId="4D2BE268">
            <w:pPr>
              <w:spacing w:line="360" w:lineRule="exact"/>
              <w:ind w:firstLine="420" w:firstLineChars="200"/>
              <w:rPr>
                <w:rFonts w:hint="eastAsia" w:ascii="宋体" w:hAnsi="宋体"/>
                <w:szCs w:val="21"/>
              </w:rPr>
            </w:pPr>
            <w:r>
              <w:rPr>
                <w:rFonts w:hint="eastAsia" w:ascii="宋体" w:hAnsi="宋体"/>
                <w:szCs w:val="21"/>
              </w:rPr>
              <w:t>满足国家有关产品“三包”规定，且自本分标所有货物交付并最终验收合格之日起计算，质保期不少于3年。“技术需求及要求”中有特别要求的则以“技术需求及要求”为准。若厂家公开承诺质保期更长的，质保期从其承诺。</w:t>
            </w:r>
          </w:p>
        </w:tc>
      </w:tr>
      <w:tr w14:paraId="4C9515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89" w:type="pct"/>
            <w:gridSpan w:val="3"/>
            <w:tcBorders>
              <w:top w:val="single" w:color="auto" w:sz="4" w:space="0"/>
              <w:left w:val="single" w:color="auto" w:sz="4" w:space="0"/>
              <w:bottom w:val="single" w:color="auto" w:sz="4" w:space="0"/>
              <w:right w:val="single" w:color="auto" w:sz="4" w:space="0"/>
            </w:tcBorders>
            <w:noWrap w:val="0"/>
            <w:vAlign w:val="center"/>
          </w:tcPr>
          <w:p w14:paraId="6F273B27">
            <w:pPr>
              <w:spacing w:line="360" w:lineRule="exact"/>
              <w:rPr>
                <w:rFonts w:hint="eastAsia" w:ascii="宋体" w:hAnsi="宋体"/>
                <w:szCs w:val="21"/>
              </w:rPr>
            </w:pPr>
            <w:r>
              <w:rPr>
                <w:rFonts w:hint="eastAsia" w:ascii="宋体" w:hAnsi="宋体"/>
                <w:szCs w:val="21"/>
              </w:rPr>
              <w:t>售后服务及技术服务要求</w:t>
            </w:r>
          </w:p>
        </w:tc>
        <w:tc>
          <w:tcPr>
            <w:tcW w:w="4110" w:type="pct"/>
            <w:gridSpan w:val="4"/>
            <w:tcBorders>
              <w:top w:val="single" w:color="auto" w:sz="4" w:space="0"/>
              <w:left w:val="nil"/>
              <w:bottom w:val="single" w:color="auto" w:sz="4" w:space="0"/>
              <w:right w:val="single" w:color="auto" w:sz="4" w:space="0"/>
            </w:tcBorders>
            <w:noWrap w:val="0"/>
            <w:vAlign w:val="center"/>
          </w:tcPr>
          <w:p w14:paraId="3DDDE981">
            <w:pPr>
              <w:spacing w:line="360" w:lineRule="exact"/>
              <w:ind w:firstLine="422" w:firstLineChars="200"/>
              <w:rPr>
                <w:rFonts w:ascii="宋体" w:hAnsi="宋体"/>
                <w:b/>
                <w:bCs/>
              </w:rPr>
            </w:pPr>
            <w:r>
              <w:rPr>
                <w:rFonts w:hint="eastAsia" w:ascii="宋体" w:hAnsi="宋体"/>
                <w:b/>
                <w:bCs/>
              </w:rPr>
              <w:t>（一）售后服务要求</w:t>
            </w:r>
          </w:p>
          <w:p w14:paraId="5FA4C022">
            <w:pPr>
              <w:spacing w:line="360" w:lineRule="exact"/>
              <w:ind w:firstLine="420" w:firstLineChars="200"/>
              <w:rPr>
                <w:rFonts w:hint="eastAsia" w:ascii="宋体" w:hAnsi="宋体" w:cs="Arial"/>
              </w:rPr>
            </w:pPr>
            <w:r>
              <w:rPr>
                <w:rFonts w:hint="eastAsia" w:ascii="宋体" w:hAnsi="宋体"/>
              </w:rPr>
              <w:t>1.中标后产品或服务由制造商（指产品生产制造商或服务实际提供人）负责质量保证期内的售后服务的，制造商提供的售后服务也应达到招标文件要求的标准，相关的售后服务费用由投标人向制造商支付，采购人不予另行支付。。</w:t>
            </w:r>
          </w:p>
          <w:p w14:paraId="70CF5567">
            <w:pPr>
              <w:spacing w:line="360" w:lineRule="exact"/>
              <w:ind w:firstLine="420" w:firstLineChars="200"/>
              <w:rPr>
                <w:rFonts w:hint="eastAsia" w:ascii="宋体" w:hAnsi="宋体"/>
              </w:rPr>
            </w:pPr>
            <w:r>
              <w:rPr>
                <w:rFonts w:hint="eastAsia" w:ascii="宋体" w:hAnsi="宋体"/>
              </w:rPr>
              <w:t>2.提供的货物必须是未使用过的全新货物，并负责送货上门。所供货物必须满足采购合同要求，并符合国家规定的质量标准，否则采购人有权退、换货，由此引发的费用及其他经济损失全部由中标供应商承担。</w:t>
            </w:r>
          </w:p>
          <w:p w14:paraId="7C978FD8">
            <w:pPr>
              <w:spacing w:line="360" w:lineRule="exact"/>
              <w:ind w:firstLine="420" w:firstLineChars="200"/>
              <w:rPr>
                <w:rFonts w:ascii="宋体" w:hAnsi="宋体"/>
              </w:rPr>
            </w:pPr>
            <w:r>
              <w:rPr>
                <w:rFonts w:hint="eastAsia" w:ascii="宋体" w:hAnsi="宋体"/>
              </w:rPr>
              <w:t>3.所提供货物安装或调试后进行技术性能、功能检测，按招标文件上的技术规格要求、中标供应商投标文件响应和承诺的技术参数及功能和国家等有关标准进行测试，涉及货物质量问题的中标供应商应在采购人指定期限内无条件退换；若退换后经采购人二次验收仍达不到要求的视为货物不合格，采购人可解除双方的供货合同；不合格项经核实属于投标时虚假响应的，采购人有权报政府采购监督管理部门申请解除合同，中标供应商自行承担相应法律后果。</w:t>
            </w:r>
          </w:p>
          <w:p w14:paraId="670F4D13">
            <w:pPr>
              <w:spacing w:line="360" w:lineRule="exact"/>
              <w:ind w:firstLine="420" w:firstLineChars="200"/>
              <w:rPr>
                <w:rFonts w:hint="eastAsia" w:ascii="宋体" w:hAnsi="宋体"/>
              </w:rPr>
            </w:pPr>
            <w:r>
              <w:rPr>
                <w:rFonts w:hint="eastAsia" w:ascii="宋体" w:hAnsi="宋体"/>
              </w:rPr>
              <w:t>4.在安装期、试运行期及最终验收后的质保期内，由于货物技术或质量问题而产生的故障，无论大小，中标供应商一律提供维修服务。质保期满后须提供终身维护服务。</w:t>
            </w:r>
          </w:p>
          <w:p w14:paraId="0E107984">
            <w:pPr>
              <w:spacing w:line="360" w:lineRule="exact"/>
              <w:ind w:firstLine="420" w:firstLineChars="200"/>
              <w:rPr>
                <w:rFonts w:hint="eastAsia" w:ascii="宋体" w:hAnsi="宋体"/>
              </w:rPr>
            </w:pPr>
            <w:r>
              <w:rPr>
                <w:rFonts w:hint="eastAsia" w:ascii="宋体" w:hAnsi="宋体"/>
              </w:rPr>
              <w:t>5.货物交付并完成验收后，在质保期内，中标供应商接到采购人服务需求后，2小时内应做出明确回复，如有必要，中标供应商最近的售后服务点距离用户所在地500公里以内的，应保证在收到采购人服务通知后12小时内到达现场；中标供应商最近的售后服务点距离用户所在地500公里以外的（中国大陆地区），应保证在收到采购人缺陷通知后48小时内到达现场，产生一切费用由中标供应商承担，现场24小时内排查问题并处理完毕，确保货物能够正常使用。</w:t>
            </w:r>
          </w:p>
          <w:p w14:paraId="3C1DEFE8">
            <w:pPr>
              <w:spacing w:line="360" w:lineRule="exact"/>
              <w:ind w:firstLine="420" w:firstLineChars="200"/>
              <w:rPr>
                <w:rFonts w:hint="eastAsia" w:ascii="宋体" w:hAnsi="宋体"/>
              </w:rPr>
            </w:pPr>
            <w:r>
              <w:rPr>
                <w:rFonts w:hint="eastAsia" w:ascii="宋体" w:hAnsi="宋体"/>
              </w:rPr>
              <w:t>6.质保期内的维修工时及材料费用、维修人员的差旅费、宿费等由中标供应商承担。</w:t>
            </w:r>
          </w:p>
          <w:p w14:paraId="56CCEA79">
            <w:pPr>
              <w:spacing w:line="360" w:lineRule="exact"/>
              <w:ind w:firstLine="420" w:firstLineChars="200"/>
              <w:rPr>
                <w:rFonts w:ascii="宋体" w:hAnsi="宋体"/>
              </w:rPr>
            </w:pPr>
            <w:r>
              <w:rPr>
                <w:rFonts w:hint="eastAsia" w:ascii="宋体" w:hAnsi="宋体"/>
              </w:rPr>
              <w:t>7.质保期内，中标供应商提供上门维保检修服务，服务间隔不超过6个月。</w:t>
            </w:r>
          </w:p>
          <w:p w14:paraId="23D9D35C">
            <w:pPr>
              <w:spacing w:line="360" w:lineRule="exact"/>
              <w:ind w:firstLine="420" w:firstLineChars="200"/>
              <w:rPr>
                <w:rFonts w:ascii="宋体" w:hAnsi="宋体"/>
              </w:rPr>
            </w:pPr>
            <w:r>
              <w:rPr>
                <w:rFonts w:hint="eastAsia" w:ascii="宋体" w:hAnsi="宋体"/>
              </w:rPr>
              <w:t>8.在质保期内，如设备或零部件因非人力因素出现故障而造成短期停用，或同一缺陷经三次维修、调换后仍无法达到质量标准的，则认定该产品不合格，采购人有权将该货物无条件退货或要求更换。因故障造成的短期停用或因产品不合格导致更换的，质保期相应顺延。</w:t>
            </w:r>
          </w:p>
          <w:p w14:paraId="6CC194FD">
            <w:pPr>
              <w:spacing w:line="360" w:lineRule="exact"/>
              <w:ind w:firstLine="420" w:firstLineChars="200"/>
              <w:rPr>
                <w:rFonts w:ascii="宋体" w:hAnsi="宋体"/>
              </w:rPr>
            </w:pPr>
            <w:r>
              <w:rPr>
                <w:rFonts w:hint="eastAsia" w:ascii="宋体" w:hAnsi="宋体"/>
              </w:rPr>
              <w:t>9.在装备质保期到期前的两个月内，中标供应商应协助采购人对所有装备进行一次全面检查与维护，所有费用由中标供应商负责。</w:t>
            </w:r>
          </w:p>
          <w:p w14:paraId="6B35C8B8">
            <w:pPr>
              <w:spacing w:line="360" w:lineRule="exact"/>
              <w:ind w:firstLine="420" w:firstLineChars="200"/>
              <w:rPr>
                <w:rFonts w:hint="eastAsia" w:ascii="宋体" w:hAnsi="宋体"/>
              </w:rPr>
            </w:pPr>
            <w:r>
              <w:rPr>
                <w:rFonts w:hint="eastAsia" w:ascii="宋体" w:hAnsi="宋体"/>
              </w:rPr>
              <w:t>10.质保期外出现故障时，中标供应商应按质保期内时效规定提供维修服务，以优惠价格收取材料费及人工费。中标供应商应保证有偿提供采购人10年的备品备件及易损件供应。</w:t>
            </w:r>
          </w:p>
          <w:p w14:paraId="06685808">
            <w:pPr>
              <w:spacing w:line="360" w:lineRule="exact"/>
              <w:ind w:firstLine="420" w:firstLineChars="200"/>
              <w:rPr>
                <w:rFonts w:hint="eastAsia" w:ascii="宋体" w:hAnsi="宋体"/>
              </w:rPr>
            </w:pPr>
            <w:r>
              <w:rPr>
                <w:rFonts w:hint="eastAsia" w:ascii="宋体" w:hAnsi="宋体"/>
              </w:rPr>
              <w:t>11.投标人或投标产品制造商针对项目提供有固定的维修服务点、能提供正常的技术、备品备件服务及产品数据升级。</w:t>
            </w:r>
          </w:p>
          <w:p w14:paraId="7EF86E51">
            <w:pPr>
              <w:spacing w:line="360" w:lineRule="exact"/>
              <w:ind w:firstLine="420" w:firstLineChars="200"/>
              <w:rPr>
                <w:rFonts w:ascii="宋体" w:hAnsi="宋体"/>
              </w:rPr>
            </w:pPr>
            <w:r>
              <w:rPr>
                <w:rFonts w:hint="eastAsia" w:ascii="宋体" w:hAnsi="宋体"/>
              </w:rPr>
              <w:t>12.在质保期内维修或更换缺陷部件的期限：中标供应商保证对装备维修随时响应，提供24小时售后服务电话，24小时售后服务电话如有变更，应至少在变更前15天以书面形式告知用户，并由用户书面确认。在质保期内，设备出现故障（非因操作不当造成），中标供应商接到采购人通知后，应在规定时间内到达现场修理，所需费用全部由中标供应商负担。规定时间为：中标供应商最近的售后服务点距离用户所在地500公里以内的，应保证在收到采购人缺陷通知后12小时内到达现场；中标供应商最近的售后服务点距离用户所在地500公里以外的（中国大陆地区），应保证在收到采购人缺陷通知后48小时内到达现场。如不能满足上述要求视为违约，单次赔偿金额为合同总价的0.5%（质保期内采购人有权从履约保证金中直接扣除），并由中标供应商承担因此造成的用户的经济损失。若出现重大故障，设备不能正常工作，质保期从设备修复后起重新计算。</w:t>
            </w:r>
          </w:p>
          <w:p w14:paraId="111B5B3F">
            <w:pPr>
              <w:spacing w:line="360" w:lineRule="exact"/>
              <w:ind w:firstLine="420" w:firstLineChars="200"/>
              <w:rPr>
                <w:rFonts w:hint="eastAsia" w:ascii="宋体" w:hAnsi="宋体"/>
              </w:rPr>
            </w:pPr>
            <w:r>
              <w:rPr>
                <w:rFonts w:hint="eastAsia" w:ascii="宋体" w:hAnsi="宋体"/>
              </w:rPr>
              <w:t>13.质保期内，如中标供应商公司被兼并或收购，兼并或收购后的公司有责任继续对采购人履行服务。</w:t>
            </w:r>
          </w:p>
          <w:p w14:paraId="5429FB43">
            <w:pPr>
              <w:spacing w:line="360" w:lineRule="exact"/>
              <w:ind w:firstLine="422" w:firstLineChars="200"/>
              <w:rPr>
                <w:rFonts w:hint="eastAsia" w:ascii="宋体" w:hAnsi="宋体"/>
                <w:b/>
                <w:bCs/>
              </w:rPr>
            </w:pPr>
            <w:r>
              <w:rPr>
                <w:rFonts w:hint="eastAsia" w:ascii="宋体" w:hAnsi="宋体"/>
                <w:b/>
                <w:bCs/>
              </w:rPr>
              <w:t>（二）技术服务支持</w:t>
            </w:r>
          </w:p>
          <w:p w14:paraId="63F0F91A">
            <w:pPr>
              <w:spacing w:line="360" w:lineRule="exact"/>
              <w:ind w:firstLine="420" w:firstLineChars="200"/>
              <w:rPr>
                <w:rFonts w:hint="eastAsia" w:ascii="宋体" w:hAnsi="宋体"/>
              </w:rPr>
            </w:pPr>
            <w:r>
              <w:rPr>
                <w:rFonts w:hint="eastAsia" w:ascii="宋体" w:hAnsi="宋体"/>
              </w:rPr>
              <w:t>1.根据采购人需求，进行软件和硬件的升级和更新，以保持设备的最佳性能。为采购人的单位员工提供设备或系统使用的培训和技术支持，以便这些人员能够有效对设备或系统应用的使用。</w:t>
            </w:r>
          </w:p>
          <w:p w14:paraId="62C68CAE">
            <w:pPr>
              <w:spacing w:line="360" w:lineRule="exact"/>
              <w:ind w:firstLine="420" w:firstLineChars="200"/>
              <w:rPr>
                <w:rFonts w:hint="eastAsia" w:ascii="宋体" w:hAnsi="宋体"/>
              </w:rPr>
            </w:pPr>
            <w:r>
              <w:rPr>
                <w:rFonts w:hint="eastAsia" w:ascii="宋体" w:hAnsi="宋体"/>
              </w:rPr>
              <w:t>2.技术保障服务</w:t>
            </w:r>
          </w:p>
          <w:p w14:paraId="6C9C4CE5">
            <w:pPr>
              <w:spacing w:line="360" w:lineRule="exact"/>
              <w:ind w:firstLine="420" w:firstLineChars="200"/>
              <w:rPr>
                <w:rFonts w:hint="eastAsia" w:ascii="宋体" w:hAnsi="宋体"/>
              </w:rPr>
            </w:pPr>
            <w:r>
              <w:rPr>
                <w:rFonts w:hint="eastAsia" w:ascii="宋体" w:hAnsi="宋体"/>
              </w:rPr>
              <w:t>定期巡检及时掌握设备或系统在使用过程中的各种情况，发现问题及时排除，在故障响应时间内检查采购人反映的问题，并按时维修或者提供备品备件排除故障，保证设备或系统正常运行、正常使用。</w:t>
            </w:r>
          </w:p>
          <w:p w14:paraId="39C3CBB3">
            <w:pPr>
              <w:spacing w:line="360" w:lineRule="exact"/>
              <w:ind w:firstLine="420" w:firstLineChars="200"/>
              <w:rPr>
                <w:rFonts w:hint="eastAsia" w:ascii="宋体" w:hAnsi="宋体"/>
              </w:rPr>
            </w:pPr>
            <w:r>
              <w:rPr>
                <w:rFonts w:hint="eastAsia" w:ascii="宋体" w:hAnsi="宋体"/>
              </w:rPr>
              <w:t>3.技术培训服务</w:t>
            </w:r>
          </w:p>
          <w:p w14:paraId="497E14D3">
            <w:pPr>
              <w:spacing w:line="360" w:lineRule="exact"/>
              <w:ind w:firstLine="420" w:firstLineChars="200"/>
              <w:rPr>
                <w:rFonts w:hint="eastAsia" w:ascii="宋体" w:hAnsi="宋体"/>
              </w:rPr>
            </w:pPr>
            <w:r>
              <w:rPr>
                <w:rFonts w:hint="eastAsia" w:ascii="宋体" w:hAnsi="宋体"/>
              </w:rPr>
              <w:t>为采购人相关人员提供专业的技术培训服务，每年不少于1次，根据实际需求，</w:t>
            </w:r>
            <w:r>
              <w:rPr>
                <w:rFonts w:hint="eastAsia"/>
              </w:rPr>
              <w:t>提供线下集中培训，线下培训地点由采购人安排。</w:t>
            </w:r>
          </w:p>
          <w:p w14:paraId="52930E1A">
            <w:pPr>
              <w:spacing w:line="360" w:lineRule="exact"/>
              <w:ind w:firstLine="420" w:firstLineChars="200"/>
              <w:rPr>
                <w:rFonts w:hint="eastAsia" w:ascii="宋体" w:hAnsi="宋体"/>
              </w:rPr>
            </w:pPr>
            <w:r>
              <w:rPr>
                <w:rFonts w:hint="eastAsia" w:ascii="宋体" w:hAnsi="宋体"/>
              </w:rPr>
              <w:t>培训服务包含以下内容：</w:t>
            </w:r>
          </w:p>
          <w:p w14:paraId="2CF83438">
            <w:pPr>
              <w:spacing w:line="360" w:lineRule="exact"/>
              <w:ind w:firstLine="420" w:firstLineChars="200"/>
              <w:rPr>
                <w:rFonts w:hint="eastAsia" w:ascii="宋体" w:hAnsi="宋体"/>
              </w:rPr>
            </w:pPr>
            <w:r>
              <w:rPr>
                <w:rFonts w:hint="eastAsia" w:ascii="宋体" w:hAnsi="宋体"/>
              </w:rPr>
              <w:t>（1）基础操作培训：涵盖系统的基本操作、功能使用等。</w:t>
            </w:r>
          </w:p>
          <w:p w14:paraId="5AD1B771">
            <w:pPr>
              <w:spacing w:line="360" w:lineRule="exact"/>
              <w:ind w:firstLine="420" w:firstLineChars="200"/>
              <w:rPr>
                <w:rFonts w:hint="eastAsia" w:ascii="宋体" w:hAnsi="宋体"/>
              </w:rPr>
            </w:pPr>
            <w:r>
              <w:rPr>
                <w:rFonts w:hint="eastAsia" w:ascii="宋体" w:hAnsi="宋体"/>
              </w:rPr>
              <w:t>（2）高级功能培训：针对特定的高级功能或模块进行深入培训。</w:t>
            </w:r>
          </w:p>
          <w:p w14:paraId="36FDAF78">
            <w:pPr>
              <w:spacing w:line="360" w:lineRule="exact"/>
              <w:ind w:firstLine="420" w:firstLineChars="200"/>
              <w:rPr>
                <w:rFonts w:hint="eastAsia" w:ascii="宋体" w:hAnsi="宋体"/>
              </w:rPr>
            </w:pPr>
            <w:r>
              <w:rPr>
                <w:rFonts w:hint="eastAsia" w:ascii="宋体" w:hAnsi="宋体"/>
              </w:rPr>
              <w:t>（3）系统管理与维护：针对系统维护、故障排除等系统管理培训。</w:t>
            </w:r>
          </w:p>
          <w:p w14:paraId="3AAED9FF">
            <w:pPr>
              <w:spacing w:line="360" w:lineRule="exact"/>
              <w:ind w:firstLine="420" w:firstLineChars="200"/>
              <w:rPr>
                <w:rFonts w:hint="eastAsia" w:ascii="宋体" w:hAnsi="宋体"/>
              </w:rPr>
            </w:pPr>
            <w:r>
              <w:rPr>
                <w:rFonts w:hint="eastAsia" w:ascii="宋体" w:hAnsi="宋体"/>
              </w:rPr>
              <w:t>（4）制作下发详细的培训教材，培训课件，培训视频等。</w:t>
            </w:r>
          </w:p>
          <w:p w14:paraId="7C04A775">
            <w:pPr>
              <w:spacing w:line="360" w:lineRule="exact"/>
              <w:ind w:firstLine="420" w:firstLineChars="200"/>
              <w:rPr>
                <w:rFonts w:hint="eastAsia" w:ascii="宋体" w:hAnsi="宋体"/>
                <w:color w:val="000000"/>
              </w:rPr>
            </w:pPr>
            <w:r>
              <w:rPr>
                <w:rFonts w:hint="eastAsia" w:ascii="宋体" w:hAnsi="宋体"/>
              </w:rPr>
              <w:t>（5）提供后续培训服务，根据设备功能升级的调整、应用系统的升级、应用人员的变化，应用人员的能力提高等需求情况，根据特殊需求，提供针对性</w:t>
            </w:r>
            <w:r>
              <w:rPr>
                <w:rFonts w:hint="eastAsia" w:ascii="宋体" w:hAnsi="宋体"/>
                <w:color w:val="000000"/>
              </w:rPr>
              <w:t>培训，培训方式为集中专题培训。</w:t>
            </w:r>
          </w:p>
          <w:p w14:paraId="5EB23A34">
            <w:pPr>
              <w:spacing w:line="360" w:lineRule="exact"/>
              <w:ind w:firstLine="420" w:firstLineChars="200"/>
              <w:rPr>
                <w:rFonts w:hint="eastAsia" w:ascii="宋体" w:hAnsi="宋体"/>
                <w:color w:val="000000"/>
              </w:rPr>
            </w:pPr>
            <w:r>
              <w:rPr>
                <w:rFonts w:hint="eastAsia" w:ascii="宋体" w:hAnsi="宋体"/>
                <w:color w:val="000000"/>
              </w:rPr>
              <w:t>（6）为每台设备培训不少于2名操作人员，</w:t>
            </w:r>
            <w:r>
              <w:rPr>
                <w:rFonts w:hint="eastAsia" w:ascii="宋体" w:hAnsi="宋体"/>
                <w:color w:val="000000"/>
                <w:szCs w:val="21"/>
              </w:rPr>
              <w:t>且确保培训结束后操作人员能熟练操作设备</w:t>
            </w:r>
            <w:r>
              <w:rPr>
                <w:rFonts w:hint="eastAsia" w:ascii="宋体" w:hAnsi="宋体"/>
                <w:color w:val="000000"/>
              </w:rPr>
              <w:t>。</w:t>
            </w:r>
          </w:p>
          <w:p w14:paraId="02360811">
            <w:pPr>
              <w:spacing w:line="360" w:lineRule="exact"/>
              <w:ind w:firstLine="420" w:firstLineChars="200"/>
              <w:rPr>
                <w:rFonts w:hint="eastAsia" w:ascii="宋体" w:hAnsi="宋体"/>
                <w:color w:val="000000"/>
              </w:rPr>
            </w:pPr>
            <w:r>
              <w:rPr>
                <w:rFonts w:hint="eastAsia" w:ascii="宋体" w:hAnsi="宋体"/>
                <w:color w:val="000000"/>
              </w:rPr>
              <w:t>4.应急演练技术支撑服务</w:t>
            </w:r>
          </w:p>
          <w:p w14:paraId="5B10BA50">
            <w:pPr>
              <w:spacing w:line="360" w:lineRule="exact"/>
              <w:ind w:firstLine="420" w:firstLineChars="200"/>
              <w:rPr>
                <w:rFonts w:hint="eastAsia" w:ascii="宋体" w:hAnsi="宋体"/>
                <w:color w:val="000000"/>
              </w:rPr>
            </w:pPr>
            <w:r>
              <w:rPr>
                <w:rFonts w:hint="eastAsia" w:ascii="宋体" w:hAnsi="宋体"/>
                <w:color w:val="000000"/>
              </w:rPr>
              <w:t>根据应急部门应急演练需要，提供应急演练技术支撑服务，包括但不限于通过模拟实际场景，测试团队成员间的沟通、协作与流程执行效率。</w:t>
            </w:r>
          </w:p>
          <w:p w14:paraId="20CE7996">
            <w:pPr>
              <w:spacing w:line="360" w:lineRule="exact"/>
              <w:ind w:firstLine="420" w:firstLineChars="200"/>
              <w:rPr>
                <w:rFonts w:hint="eastAsia" w:ascii="宋体" w:hAnsi="宋体"/>
                <w:color w:val="000000"/>
              </w:rPr>
            </w:pPr>
            <w:r>
              <w:rPr>
                <w:rFonts w:hint="eastAsia" w:ascii="宋体" w:hAnsi="宋体"/>
                <w:color w:val="000000"/>
              </w:rPr>
              <w:t>5.应急现场技术支撑服务</w:t>
            </w:r>
          </w:p>
          <w:p w14:paraId="6FB3A745">
            <w:pPr>
              <w:spacing w:line="360" w:lineRule="exact"/>
              <w:ind w:firstLine="420" w:firstLineChars="200"/>
              <w:rPr>
                <w:rFonts w:hint="eastAsia" w:ascii="宋体" w:hAnsi="宋体"/>
              </w:rPr>
            </w:pPr>
            <w:r>
              <w:rPr>
                <w:rFonts w:hint="eastAsia" w:ascii="宋体" w:hAnsi="宋体"/>
              </w:rPr>
              <w:t>设立专门的售后服务团队提供服务支持，提供现场技术支撑服务，确保用户能够及时获得帮助和解决问题。</w:t>
            </w:r>
          </w:p>
          <w:p w14:paraId="6202C3A3">
            <w:pPr>
              <w:spacing w:line="360" w:lineRule="exact"/>
              <w:ind w:firstLine="420" w:firstLineChars="200"/>
              <w:rPr>
                <w:rFonts w:hint="eastAsia" w:ascii="宋体" w:hAnsi="宋体"/>
              </w:rPr>
            </w:pPr>
            <w:r>
              <w:rPr>
                <w:rFonts w:hint="eastAsia" w:ascii="宋体" w:hAnsi="宋体"/>
              </w:rPr>
              <w:t>（1）技术咨询：解答采购人在使用产品或解决方案过程中遇到的技术问题。</w:t>
            </w:r>
          </w:p>
          <w:p w14:paraId="64DAD78A">
            <w:pPr>
              <w:spacing w:line="360" w:lineRule="exact"/>
              <w:ind w:firstLine="420" w:firstLineChars="200"/>
              <w:rPr>
                <w:rFonts w:hint="eastAsia" w:ascii="宋体" w:hAnsi="宋体"/>
              </w:rPr>
            </w:pPr>
            <w:r>
              <w:rPr>
                <w:rFonts w:hint="eastAsia" w:ascii="宋体" w:hAnsi="宋体"/>
              </w:rPr>
              <w:t>（2）方案定制：根据采购人的具体需求，提供个性化的解决方案。</w:t>
            </w:r>
          </w:p>
          <w:p w14:paraId="72C98411">
            <w:pPr>
              <w:spacing w:line="360" w:lineRule="exact"/>
              <w:ind w:firstLine="420" w:firstLineChars="200"/>
              <w:rPr>
                <w:rFonts w:hint="eastAsia" w:ascii="宋体" w:hAnsi="宋体"/>
              </w:rPr>
            </w:pPr>
            <w:r>
              <w:rPr>
                <w:rFonts w:hint="eastAsia" w:ascii="宋体" w:hAnsi="宋体"/>
              </w:rPr>
              <w:t>（3）技术支持：在采购人遇到技术难题时，提供远程或现场的技术支持。</w:t>
            </w:r>
          </w:p>
          <w:p w14:paraId="482F5F5D">
            <w:pPr>
              <w:spacing w:line="360" w:lineRule="exact"/>
              <w:ind w:firstLine="420" w:firstLineChars="200"/>
              <w:rPr>
                <w:rFonts w:hint="eastAsia" w:ascii="宋体" w:hAnsi="宋体"/>
              </w:rPr>
            </w:pPr>
            <w:r>
              <w:rPr>
                <w:rFonts w:hint="eastAsia" w:ascii="宋体" w:hAnsi="宋体"/>
              </w:rPr>
              <w:t>（4）应急响应：接故障通知后，在规定时间内对故障进行及时处理，如不能在规定时间内解决，应提供应急预案及备用产品，以保证采购人应急使用。</w:t>
            </w:r>
          </w:p>
        </w:tc>
      </w:tr>
      <w:tr w14:paraId="7D7E62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89" w:type="pct"/>
            <w:gridSpan w:val="3"/>
            <w:tcBorders>
              <w:top w:val="single" w:color="auto" w:sz="4" w:space="0"/>
              <w:left w:val="single" w:color="auto" w:sz="4" w:space="0"/>
              <w:bottom w:val="single" w:color="auto" w:sz="4" w:space="0"/>
              <w:right w:val="single" w:color="auto" w:sz="4" w:space="0"/>
            </w:tcBorders>
            <w:noWrap w:val="0"/>
            <w:vAlign w:val="center"/>
          </w:tcPr>
          <w:p w14:paraId="475FA88E">
            <w:pPr>
              <w:spacing w:line="360" w:lineRule="exact"/>
              <w:rPr>
                <w:rFonts w:hint="eastAsia" w:ascii="宋体" w:hAnsi="宋体"/>
                <w:szCs w:val="21"/>
              </w:rPr>
            </w:pPr>
            <w:r>
              <w:rPr>
                <w:rFonts w:hint="eastAsia" w:ascii="宋体" w:hAnsi="宋体"/>
                <w:szCs w:val="21"/>
              </w:rPr>
              <w:t>付款方式</w:t>
            </w:r>
          </w:p>
        </w:tc>
        <w:tc>
          <w:tcPr>
            <w:tcW w:w="4110" w:type="pct"/>
            <w:gridSpan w:val="4"/>
            <w:tcBorders>
              <w:top w:val="single" w:color="auto" w:sz="4" w:space="0"/>
              <w:left w:val="nil"/>
              <w:bottom w:val="single" w:color="auto" w:sz="4" w:space="0"/>
              <w:right w:val="single" w:color="auto" w:sz="4" w:space="0"/>
            </w:tcBorders>
            <w:noWrap w:val="0"/>
            <w:vAlign w:val="center"/>
          </w:tcPr>
          <w:p w14:paraId="486D7D65">
            <w:pPr>
              <w:spacing w:line="360" w:lineRule="exact"/>
              <w:ind w:firstLine="420" w:firstLineChars="200"/>
              <w:rPr>
                <w:rFonts w:hint="eastAsia" w:ascii="宋体" w:hAnsi="宋体"/>
                <w:szCs w:val="21"/>
              </w:rPr>
            </w:pPr>
            <w:r>
              <w:rPr>
                <w:rFonts w:hint="eastAsia" w:ascii="宋体" w:hAnsi="宋体"/>
                <w:szCs w:val="21"/>
              </w:rPr>
              <w:t>签订合同后中标供应商提供预付款同等价款保函【必须为无条件保函，且为独立保函（见索即付），由银行出具】后10个工作日内采购人支付合同款的40%作为预付款，本分标所有货物交付并最终验收合格后10个工作日内采购人付完剩余合同款。</w:t>
            </w:r>
          </w:p>
        </w:tc>
      </w:tr>
      <w:tr w14:paraId="408969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89" w:type="pct"/>
            <w:gridSpan w:val="3"/>
            <w:tcBorders>
              <w:top w:val="single" w:color="auto" w:sz="4" w:space="0"/>
              <w:left w:val="single" w:color="auto" w:sz="4" w:space="0"/>
              <w:bottom w:val="single" w:color="auto" w:sz="4" w:space="0"/>
              <w:right w:val="single" w:color="auto" w:sz="4" w:space="0"/>
            </w:tcBorders>
            <w:noWrap w:val="0"/>
            <w:vAlign w:val="center"/>
          </w:tcPr>
          <w:p w14:paraId="6D1EF376">
            <w:pPr>
              <w:spacing w:line="360" w:lineRule="exact"/>
              <w:rPr>
                <w:rFonts w:hint="eastAsia" w:ascii="宋体" w:hAnsi="宋体"/>
                <w:szCs w:val="21"/>
              </w:rPr>
            </w:pPr>
            <w:r>
              <w:rPr>
                <w:rFonts w:hint="eastAsia" w:ascii="宋体" w:hAnsi="宋体"/>
                <w:szCs w:val="21"/>
              </w:rPr>
              <w:t>报价及要求</w:t>
            </w:r>
          </w:p>
        </w:tc>
        <w:tc>
          <w:tcPr>
            <w:tcW w:w="4110" w:type="pct"/>
            <w:gridSpan w:val="4"/>
            <w:tcBorders>
              <w:top w:val="single" w:color="auto" w:sz="4" w:space="0"/>
              <w:left w:val="nil"/>
              <w:bottom w:val="single" w:color="auto" w:sz="4" w:space="0"/>
              <w:right w:val="single" w:color="auto" w:sz="4" w:space="0"/>
            </w:tcBorders>
            <w:noWrap w:val="0"/>
            <w:vAlign w:val="center"/>
          </w:tcPr>
          <w:p w14:paraId="440CA421">
            <w:pPr>
              <w:spacing w:line="360" w:lineRule="exact"/>
              <w:ind w:firstLine="420" w:firstLineChars="200"/>
              <w:rPr>
                <w:rFonts w:hint="eastAsia" w:ascii="宋体" w:hAnsi="宋体"/>
                <w:szCs w:val="21"/>
              </w:rPr>
            </w:pPr>
            <w:r>
              <w:rPr>
                <w:rFonts w:hint="eastAsia" w:ascii="宋体" w:hAnsi="宋体"/>
                <w:szCs w:val="21"/>
              </w:rPr>
              <w:t>1.投标人的投标报价为人民币含税价，总价包干且为采购人指定地点的现场交货价。投标报价包含货物及服务所需的一切费用总和，包括但不限于货物价格、标准附件、备品备件、专用工具、包装、运输、装卸、保管、验收、货物检验检测、培训、本项目招标文件要求的售后服务及技术服务要求、技术支持、人员服务、保险、招标代理服务费、税金等，以及合同明示所有责任、义务和一般风险等，采购人不再支付任何费用。</w:t>
            </w:r>
          </w:p>
          <w:p w14:paraId="1E950679">
            <w:pPr>
              <w:spacing w:line="360" w:lineRule="exact"/>
              <w:ind w:firstLine="420" w:firstLineChars="200"/>
              <w:rPr>
                <w:rFonts w:hint="eastAsia" w:ascii="宋体" w:hAnsi="宋体"/>
                <w:szCs w:val="21"/>
              </w:rPr>
            </w:pPr>
            <w:r>
              <w:rPr>
                <w:rFonts w:hint="eastAsia" w:ascii="宋体" w:hAnsi="宋体"/>
                <w:szCs w:val="21"/>
              </w:rPr>
              <w:t>2.包装和运输</w:t>
            </w:r>
          </w:p>
          <w:p w14:paraId="33677639">
            <w:pPr>
              <w:spacing w:line="360" w:lineRule="exact"/>
              <w:ind w:firstLine="420" w:firstLineChars="200"/>
              <w:rPr>
                <w:rFonts w:hint="eastAsia" w:ascii="宋体" w:hAnsi="宋体"/>
                <w:szCs w:val="21"/>
              </w:rPr>
            </w:pPr>
            <w:r>
              <w:rPr>
                <w:rFonts w:hint="eastAsia" w:ascii="宋体" w:hAnsi="宋体"/>
                <w:szCs w:val="21"/>
              </w:rPr>
              <w:t>（1）原厂原包装，包装完好、完整无破损、未开封。</w:t>
            </w:r>
          </w:p>
          <w:p w14:paraId="2CE1E2B8">
            <w:pPr>
              <w:spacing w:line="360" w:lineRule="exact"/>
              <w:ind w:firstLine="420" w:firstLineChars="200"/>
              <w:rPr>
                <w:rFonts w:hint="eastAsia" w:ascii="宋体" w:hAnsi="宋体"/>
                <w:szCs w:val="21"/>
              </w:rPr>
            </w:pPr>
            <w:r>
              <w:rPr>
                <w:rFonts w:hint="eastAsia" w:ascii="宋体" w:hAnsi="宋体"/>
                <w:szCs w:val="21"/>
              </w:rPr>
              <w:t>（2）包装及运输方式应综合考虑运输距离、防潮、防震、防破损、装卸等要求。</w:t>
            </w:r>
          </w:p>
          <w:p w14:paraId="5B94B550">
            <w:pPr>
              <w:spacing w:line="360" w:lineRule="exact"/>
              <w:ind w:firstLine="420" w:firstLineChars="200"/>
              <w:rPr>
                <w:rFonts w:hint="eastAsia" w:ascii="宋体" w:hAnsi="宋体"/>
                <w:szCs w:val="21"/>
              </w:rPr>
            </w:pPr>
            <w:r>
              <w:rPr>
                <w:rFonts w:hint="eastAsia" w:ascii="宋体" w:hAnsi="宋体"/>
                <w:szCs w:val="21"/>
              </w:rPr>
              <w:t>（3）国家对包装及运输有相关强制性标准或要求的，供应商应当执行。</w:t>
            </w:r>
          </w:p>
          <w:p w14:paraId="5D32DC12">
            <w:pPr>
              <w:spacing w:line="360" w:lineRule="exact"/>
              <w:ind w:firstLine="420" w:firstLineChars="200"/>
              <w:rPr>
                <w:rFonts w:hint="eastAsia" w:ascii="宋体" w:hAnsi="宋体"/>
                <w:szCs w:val="21"/>
              </w:rPr>
            </w:pPr>
            <w:r>
              <w:rPr>
                <w:rFonts w:hint="eastAsia" w:ascii="宋体" w:hAnsi="宋体"/>
                <w:szCs w:val="21"/>
              </w:rPr>
              <w:t>（4）货物（含包装）运抵采购人指定交付地点前发生损坏的，相关损失由供应商自行承担。</w:t>
            </w:r>
          </w:p>
          <w:p w14:paraId="14658FFE">
            <w:pPr>
              <w:spacing w:line="360" w:lineRule="exact"/>
              <w:ind w:firstLine="420" w:firstLineChars="200"/>
              <w:rPr>
                <w:rFonts w:hint="eastAsia" w:ascii="宋体" w:hAnsi="宋体"/>
                <w:szCs w:val="21"/>
              </w:rPr>
            </w:pPr>
            <w:r>
              <w:rPr>
                <w:rFonts w:hint="eastAsia" w:ascii="宋体" w:hAnsi="宋体"/>
                <w:szCs w:val="21"/>
              </w:rPr>
              <w:t>3.保险。若供应商为本项目标的及标的涉及的相关材料、货物、人员、运输等购买保险的，相关费用由供应商自行承担。</w:t>
            </w:r>
          </w:p>
        </w:tc>
      </w:tr>
      <w:tr w14:paraId="62D039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89" w:type="pct"/>
            <w:gridSpan w:val="3"/>
            <w:tcBorders>
              <w:top w:val="single" w:color="auto" w:sz="4" w:space="0"/>
              <w:left w:val="single" w:color="auto" w:sz="4" w:space="0"/>
              <w:bottom w:val="single" w:color="auto" w:sz="4" w:space="0"/>
              <w:right w:val="single" w:color="auto" w:sz="4" w:space="0"/>
            </w:tcBorders>
            <w:noWrap w:val="0"/>
            <w:vAlign w:val="center"/>
          </w:tcPr>
          <w:p w14:paraId="3EAA54BC">
            <w:pPr>
              <w:spacing w:line="360" w:lineRule="exact"/>
              <w:rPr>
                <w:rFonts w:hint="eastAsia" w:ascii="宋体" w:hAnsi="宋体"/>
                <w:szCs w:val="21"/>
              </w:rPr>
            </w:pPr>
            <w:r>
              <w:rPr>
                <w:rFonts w:hint="eastAsia" w:ascii="宋体" w:hAnsi="宋体"/>
                <w:szCs w:val="21"/>
              </w:rPr>
              <w:t>知识产权</w:t>
            </w:r>
          </w:p>
        </w:tc>
        <w:tc>
          <w:tcPr>
            <w:tcW w:w="4110" w:type="pct"/>
            <w:gridSpan w:val="4"/>
            <w:tcBorders>
              <w:top w:val="single" w:color="auto" w:sz="4" w:space="0"/>
              <w:left w:val="nil"/>
              <w:bottom w:val="single" w:color="auto" w:sz="4" w:space="0"/>
              <w:right w:val="single" w:color="auto" w:sz="4" w:space="0"/>
            </w:tcBorders>
            <w:noWrap w:val="0"/>
            <w:vAlign w:val="center"/>
          </w:tcPr>
          <w:p w14:paraId="673262A0">
            <w:pPr>
              <w:spacing w:line="360" w:lineRule="exact"/>
              <w:ind w:right="-57" w:rightChars="-27" w:firstLine="420" w:firstLineChars="200"/>
              <w:jc w:val="left"/>
              <w:rPr>
                <w:rFonts w:hint="eastAsia" w:ascii="宋体" w:hAnsi="宋体"/>
                <w:szCs w:val="21"/>
              </w:rPr>
            </w:pPr>
            <w:r>
              <w:rPr>
                <w:rFonts w:hint="eastAsia" w:ascii="宋体" w:hAnsi="宋体"/>
                <w:szCs w:val="21"/>
              </w:rPr>
              <w:t>中标供应商保证所提供的货物及服务涉及到的知识产权和相关技术资料是合法取得的，采购人在使用货物及服务时不会侵犯任何第三方的专利权、商标权、工业设计权或其他权利，不会因为采购人的使用遭受第三方侵权指控，包括被责令致歉、停止使用、追偿或要求赔偿损失等，如果第三方提出侵权指控，中标供应商承担由此而引起的一切法律责任和费用；中标供应商负责解决由此引起的一切纠纷，采购人有权追究中标供应商的法律责任，其不利后果由中标供应商全部承担。</w:t>
            </w:r>
          </w:p>
        </w:tc>
      </w:tr>
      <w:tr w14:paraId="75D5D7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89" w:type="pct"/>
            <w:gridSpan w:val="3"/>
            <w:tcBorders>
              <w:top w:val="single" w:color="auto" w:sz="4" w:space="0"/>
              <w:left w:val="single" w:color="auto" w:sz="4" w:space="0"/>
              <w:bottom w:val="single" w:color="auto" w:sz="4" w:space="0"/>
              <w:right w:val="single" w:color="auto" w:sz="4" w:space="0"/>
            </w:tcBorders>
            <w:noWrap w:val="0"/>
            <w:vAlign w:val="center"/>
          </w:tcPr>
          <w:p w14:paraId="7DC9F92F">
            <w:pPr>
              <w:snapToGrid w:val="0"/>
              <w:spacing w:line="360" w:lineRule="exact"/>
              <w:rPr>
                <w:rFonts w:hint="eastAsia" w:ascii="宋体" w:hAnsi="宋体"/>
                <w:szCs w:val="21"/>
              </w:rPr>
            </w:pPr>
            <w:r>
              <w:rPr>
                <w:rFonts w:hint="eastAsia" w:ascii="宋体" w:hAnsi="宋体"/>
                <w:szCs w:val="21"/>
              </w:rPr>
              <w:t>验收要求</w:t>
            </w:r>
          </w:p>
        </w:tc>
        <w:tc>
          <w:tcPr>
            <w:tcW w:w="4110" w:type="pct"/>
            <w:gridSpan w:val="4"/>
            <w:tcBorders>
              <w:top w:val="single" w:color="auto" w:sz="4" w:space="0"/>
              <w:left w:val="nil"/>
              <w:bottom w:val="single" w:color="auto" w:sz="4" w:space="0"/>
              <w:right w:val="single" w:color="auto" w:sz="4" w:space="0"/>
            </w:tcBorders>
            <w:noWrap w:val="0"/>
            <w:vAlign w:val="center"/>
          </w:tcPr>
          <w:p w14:paraId="6CBD2293">
            <w:pPr>
              <w:snapToGrid w:val="0"/>
              <w:spacing w:line="360" w:lineRule="exact"/>
              <w:ind w:firstLine="420" w:firstLineChars="200"/>
              <w:outlineLvl w:val="0"/>
              <w:rPr>
                <w:rFonts w:hint="eastAsia" w:ascii="宋体" w:hAnsi="宋体"/>
                <w:kern w:val="0"/>
                <w:szCs w:val="21"/>
              </w:rPr>
            </w:pPr>
            <w:r>
              <w:rPr>
                <w:rFonts w:hint="eastAsia" w:ascii="宋体" w:hAnsi="宋体"/>
                <w:kern w:val="0"/>
                <w:szCs w:val="21"/>
              </w:rPr>
              <w:t>1.采购人可以根据采购项目具体情况自行组织验收，或者委托第三方机构或部门开展采购项目履约验收工作，验收过程中所产生的费用均由中标供应商承担，投标人在投标报价时应考虑相关费用。</w:t>
            </w:r>
          </w:p>
          <w:p w14:paraId="515914FF">
            <w:pPr>
              <w:snapToGrid w:val="0"/>
              <w:spacing w:line="360" w:lineRule="exact"/>
              <w:ind w:firstLine="420" w:firstLineChars="200"/>
              <w:outlineLvl w:val="0"/>
              <w:rPr>
                <w:rFonts w:hint="eastAsia" w:ascii="宋体" w:hAnsi="宋体"/>
                <w:kern w:val="0"/>
                <w:szCs w:val="21"/>
              </w:rPr>
            </w:pPr>
            <w:r>
              <w:rPr>
                <w:rFonts w:hint="eastAsia" w:ascii="宋体" w:hAnsi="宋体"/>
                <w:kern w:val="0"/>
                <w:szCs w:val="21"/>
              </w:rPr>
              <w:t>2.在验收过程中发现中标供应商有违约问题，可暂缓资金结算，待违约问题解决后，方可办理资金结算事宜。</w:t>
            </w:r>
          </w:p>
          <w:p w14:paraId="2F75F773">
            <w:pPr>
              <w:snapToGrid w:val="0"/>
              <w:spacing w:line="360" w:lineRule="exact"/>
              <w:ind w:firstLine="420" w:firstLineChars="200"/>
              <w:outlineLvl w:val="0"/>
              <w:rPr>
                <w:rFonts w:hint="eastAsia" w:ascii="宋体" w:hAnsi="宋体"/>
                <w:kern w:val="0"/>
                <w:szCs w:val="21"/>
              </w:rPr>
            </w:pPr>
            <w:r>
              <w:rPr>
                <w:rFonts w:hint="eastAsia" w:ascii="宋体" w:hAnsi="宋体"/>
                <w:kern w:val="0"/>
                <w:szCs w:val="21"/>
              </w:rPr>
              <w:t>3.验收依据：按合同（含本招标文件采购需求、中标供应商投标文件承诺）要求及国家标准进行验收。</w:t>
            </w:r>
          </w:p>
          <w:p w14:paraId="74ABC9C9">
            <w:pPr>
              <w:snapToGrid w:val="0"/>
              <w:spacing w:line="360" w:lineRule="exact"/>
              <w:ind w:firstLine="420" w:firstLineChars="200"/>
              <w:outlineLvl w:val="0"/>
              <w:rPr>
                <w:rFonts w:hint="eastAsia" w:ascii="宋体" w:hAnsi="宋体"/>
                <w:kern w:val="0"/>
                <w:szCs w:val="21"/>
              </w:rPr>
            </w:pPr>
            <w:r>
              <w:rPr>
                <w:rFonts w:hint="eastAsia" w:ascii="宋体" w:hAnsi="宋体"/>
                <w:kern w:val="0"/>
                <w:szCs w:val="21"/>
              </w:rPr>
              <w:t>4.验收程序及要求</w:t>
            </w:r>
          </w:p>
          <w:p w14:paraId="2A15400C">
            <w:pPr>
              <w:snapToGrid w:val="0"/>
              <w:spacing w:line="360" w:lineRule="exact"/>
              <w:ind w:firstLine="420" w:firstLineChars="200"/>
              <w:outlineLvl w:val="0"/>
              <w:rPr>
                <w:rFonts w:hint="eastAsia" w:ascii="宋体" w:hAnsi="宋体"/>
                <w:kern w:val="0"/>
                <w:szCs w:val="21"/>
              </w:rPr>
            </w:pPr>
            <w:r>
              <w:rPr>
                <w:rFonts w:hint="eastAsia" w:ascii="宋体" w:hAnsi="宋体"/>
                <w:kern w:val="0"/>
                <w:szCs w:val="21"/>
              </w:rPr>
              <w:t>4.1验收程序</w:t>
            </w:r>
          </w:p>
          <w:p w14:paraId="025DC9A5">
            <w:pPr>
              <w:snapToGrid w:val="0"/>
              <w:spacing w:line="360" w:lineRule="exact"/>
              <w:ind w:firstLine="420" w:firstLineChars="200"/>
              <w:outlineLvl w:val="0"/>
              <w:rPr>
                <w:rFonts w:hint="eastAsia" w:ascii="宋体" w:hAnsi="宋体"/>
                <w:kern w:val="0"/>
                <w:szCs w:val="21"/>
              </w:rPr>
            </w:pPr>
            <w:r>
              <w:rPr>
                <w:rFonts w:hint="eastAsia" w:ascii="宋体" w:hAnsi="宋体"/>
                <w:kern w:val="0"/>
                <w:szCs w:val="21"/>
              </w:rPr>
              <w:t>（1）中标供应商按时间节点完成货物供货后，应及时整理技术资料并作出全面检查和整理，列出清单（包括但不限于招标文件采购需求及采购合同约定的附件、工具、技术资料、货物使用说明书、合格证等），作为采购人验收和使用的技术条件依据，清单应交给采购人；同时以书面形式通知采购人进行验收，采购人在收到通知后五个工作日内进行验收。货物生产厂家须派授权代表参加本项目交货验收，核实所交货物的真伪；中标供应商必须到场配合。</w:t>
            </w:r>
          </w:p>
          <w:p w14:paraId="31247BD8">
            <w:pPr>
              <w:snapToGrid w:val="0"/>
              <w:spacing w:line="360" w:lineRule="exact"/>
              <w:ind w:firstLine="420" w:firstLineChars="200"/>
              <w:outlineLvl w:val="0"/>
              <w:rPr>
                <w:rFonts w:hint="eastAsia" w:ascii="宋体" w:hAnsi="宋体"/>
                <w:kern w:val="0"/>
                <w:szCs w:val="21"/>
              </w:rPr>
            </w:pPr>
            <w:r>
              <w:rPr>
                <w:rFonts w:hint="eastAsia" w:ascii="宋体" w:hAnsi="宋体"/>
                <w:kern w:val="0"/>
                <w:szCs w:val="21"/>
              </w:rPr>
              <w:t>（2）中标供应商按采购人需求清单进行供货，货物交到指定地点后，双方现场进行货品清点。</w:t>
            </w:r>
          </w:p>
          <w:p w14:paraId="770734B8">
            <w:pPr>
              <w:snapToGrid w:val="0"/>
              <w:spacing w:line="360" w:lineRule="exact"/>
              <w:ind w:firstLine="420" w:firstLineChars="200"/>
              <w:outlineLvl w:val="0"/>
              <w:rPr>
                <w:rFonts w:hint="eastAsia" w:ascii="宋体" w:hAnsi="宋体"/>
                <w:kern w:val="0"/>
                <w:szCs w:val="21"/>
              </w:rPr>
            </w:pPr>
            <w:r>
              <w:rPr>
                <w:rFonts w:hint="eastAsia" w:ascii="宋体" w:hAnsi="宋体"/>
                <w:kern w:val="0"/>
                <w:szCs w:val="21"/>
              </w:rPr>
              <w:t>（3）验收小组依据招标文件技术参数条款要求和中标供应商投标响应文件内容，以及对所有需要进行核查的原件等逐条进行验收。供应商必须按投标文件和合同约定的品牌、规格供货，采购人在货物验收环节发现货物的技术参数指标不符合投标文件中技术参数响应的内容，验收不合格时，中标供应商必须在采购人指定的时间内无条件更换，由此造成的损失和责任由供应商承担；如二次验收仍不合格的，采购人有权拒收货物并单方面终止合同和追究中标供应商违约责任，中标供应商须赔偿由此给采购人造成的经济等方面损失，并视情形将违约情况上报政府采购监督管理部门，由此带来的一切责任由中标供应商自行承担。</w:t>
            </w:r>
          </w:p>
          <w:p w14:paraId="12D0B2D9">
            <w:pPr>
              <w:snapToGrid w:val="0"/>
              <w:spacing w:line="360" w:lineRule="exact"/>
              <w:ind w:firstLine="420" w:firstLineChars="200"/>
              <w:outlineLvl w:val="0"/>
              <w:rPr>
                <w:rFonts w:hint="eastAsia" w:ascii="宋体" w:hAnsi="宋体"/>
                <w:kern w:val="0"/>
                <w:szCs w:val="21"/>
              </w:rPr>
            </w:pPr>
            <w:r>
              <w:rPr>
                <w:rFonts w:hint="eastAsia" w:ascii="宋体" w:hAnsi="宋体"/>
                <w:kern w:val="0"/>
                <w:szCs w:val="21"/>
              </w:rPr>
              <w:t>（4）货物交付并验收合格，双方签署验收单，作为合同款结算依据。如出现停产等问题，供应商在获得厂家说明和承诺的前提下，经采购人同意可以用质量更优于合同约定的货物进行替代交付，价格不变。如采购人不同意更换的，供应商应同意采购人扣减对应货物的费用。</w:t>
            </w:r>
          </w:p>
          <w:p w14:paraId="08F8F48C">
            <w:pPr>
              <w:snapToGrid w:val="0"/>
              <w:spacing w:line="360" w:lineRule="exact"/>
              <w:ind w:firstLine="420" w:firstLineChars="200"/>
              <w:outlineLvl w:val="0"/>
              <w:rPr>
                <w:rFonts w:hint="eastAsia" w:ascii="宋体" w:hAnsi="宋体"/>
                <w:kern w:val="0"/>
                <w:szCs w:val="21"/>
              </w:rPr>
            </w:pPr>
            <w:r>
              <w:rPr>
                <w:rFonts w:hint="eastAsia" w:ascii="宋体" w:hAnsi="宋体"/>
                <w:kern w:val="0"/>
                <w:szCs w:val="21"/>
              </w:rPr>
              <w:t>4.2验收要求</w:t>
            </w:r>
          </w:p>
          <w:p w14:paraId="172E79C9">
            <w:pPr>
              <w:snapToGrid w:val="0"/>
              <w:spacing w:line="360" w:lineRule="exact"/>
              <w:ind w:firstLine="420" w:firstLineChars="200"/>
              <w:outlineLvl w:val="0"/>
              <w:rPr>
                <w:rFonts w:hint="eastAsia" w:ascii="宋体" w:hAnsi="宋体"/>
                <w:kern w:val="0"/>
                <w:szCs w:val="21"/>
              </w:rPr>
            </w:pPr>
            <w:r>
              <w:rPr>
                <w:rFonts w:hint="eastAsia" w:ascii="宋体" w:hAnsi="宋体"/>
                <w:kern w:val="0"/>
                <w:szCs w:val="21"/>
              </w:rPr>
              <w:t>（1）在任一单项验收环节，采购人、中标供应商、投标产品生产厂家（厂家的代表须持制造商法人授权委托书参加验收）以及采购人委托第三方机构代表（如委托验收）均应在场，交付的货物及相关资料、备品备件等符合验收标准的为单项验收合格，不符合验收标准的为单项验收不合格。验收结果由采购人或采购人委托的第三方机构出具验收结果报告或验收书，列明各项标准的验收情况，由采购人、中标供应商、投标产品生产厂家各方代表以及采购人委托第三方机构代表（如委托验收）共同签字确认并加盖采购人公章。验收结果报告或验收书一式三份，采购人、中标供应商双方各一份，采购人委托第三方机构（如委托验收）一份。验收结果报告或验收书经四方代表签字后即视为验收结果已通知采购人、中标供应商双方。如中标供应商或制造商对验收结果有异议的，应在验收现场以书面的形式出具说明，否则视为认可验收结果。单项验收不合格的，中标供应商应在不同验收阶段的当次验收后5个工作日内就不符合要求项以补充、更换、修理等采购人认可的方式进行整改并重新验收，未按时进行整改或整改后重新验收仍不合格的视为最终验收不合格，采购人不予支付货款，中标供应商须退回采购人所付的所有货款，并向采购人支付合同总金额30%的违约金，且赔偿采购人因此而造成的所有损失。</w:t>
            </w:r>
          </w:p>
          <w:p w14:paraId="4C8C392C">
            <w:pPr>
              <w:snapToGrid w:val="0"/>
              <w:spacing w:line="360" w:lineRule="exact"/>
              <w:ind w:firstLine="420" w:firstLineChars="200"/>
              <w:outlineLvl w:val="0"/>
              <w:rPr>
                <w:rFonts w:hint="eastAsia" w:ascii="宋体" w:hAnsi="宋体"/>
                <w:kern w:val="0"/>
                <w:szCs w:val="21"/>
              </w:rPr>
            </w:pPr>
            <w:r>
              <w:rPr>
                <w:rFonts w:hint="eastAsia" w:ascii="宋体" w:hAnsi="宋体"/>
                <w:kern w:val="0"/>
                <w:szCs w:val="21"/>
              </w:rPr>
              <w:t>（2）对技术复杂的货物，采购人可请国家认可的专业检测机构参与验收，并由其出具质量检测报告，检测费用由中标供应商承担。</w:t>
            </w:r>
          </w:p>
          <w:p w14:paraId="1578C779">
            <w:pPr>
              <w:snapToGrid w:val="0"/>
              <w:spacing w:line="360" w:lineRule="exact"/>
              <w:ind w:firstLine="420" w:firstLineChars="200"/>
              <w:outlineLvl w:val="0"/>
              <w:rPr>
                <w:rFonts w:hint="eastAsia" w:ascii="宋体" w:hAnsi="宋体"/>
                <w:kern w:val="0"/>
                <w:szCs w:val="21"/>
              </w:rPr>
            </w:pPr>
            <w:r>
              <w:rPr>
                <w:rFonts w:hint="eastAsia" w:ascii="宋体" w:hAnsi="宋体"/>
                <w:kern w:val="0"/>
                <w:szCs w:val="21"/>
              </w:rPr>
              <w:t>（3）货物损毁、灭失的风险，自货物最终验收合格之日起由采购人承担。</w:t>
            </w:r>
          </w:p>
          <w:p w14:paraId="543F6C34">
            <w:pPr>
              <w:snapToGrid w:val="0"/>
              <w:spacing w:line="360" w:lineRule="exact"/>
              <w:ind w:firstLine="420" w:firstLineChars="200"/>
              <w:outlineLvl w:val="0"/>
              <w:rPr>
                <w:rFonts w:hint="eastAsia" w:ascii="宋体" w:hAnsi="宋体"/>
                <w:kern w:val="0"/>
                <w:szCs w:val="21"/>
              </w:rPr>
            </w:pPr>
            <w:r>
              <w:rPr>
                <w:rFonts w:hint="eastAsia" w:ascii="宋体" w:hAnsi="宋体"/>
                <w:kern w:val="0"/>
                <w:szCs w:val="21"/>
              </w:rPr>
              <w:t>（4）依据国家和行业有关法规、技术标准规定和设计文件要求，结合项目现场实际情况进行验收质量抽查工作，由采购人或采购人委托的第三方机构进行抽查，抽查的数量，应不少于设备采购数量的1/3，且须兼顾每类设备。抽查验收不合格的，由中标供应商在规定时间内进行整改。</w:t>
            </w:r>
          </w:p>
          <w:p w14:paraId="5E3DB1D4">
            <w:pPr>
              <w:snapToGrid w:val="0"/>
              <w:spacing w:line="360" w:lineRule="exact"/>
              <w:ind w:firstLine="420" w:firstLineChars="200"/>
              <w:outlineLvl w:val="0"/>
              <w:rPr>
                <w:rFonts w:ascii="宋体" w:hAnsi="宋体"/>
                <w:kern w:val="0"/>
                <w:szCs w:val="21"/>
              </w:rPr>
            </w:pPr>
            <w:r>
              <w:rPr>
                <w:rFonts w:hint="eastAsia" w:ascii="宋体" w:hAnsi="宋体"/>
                <w:kern w:val="0"/>
                <w:szCs w:val="21"/>
              </w:rPr>
              <w:t>（5）验收地点及验收期限：到货验收地点为货物交付地点，其他验收地点为货物使用或安装地点；各单项验收应在采购人收到中标供应商的书面验收申请后5个工作日内组织。中标供应商在提出验收申请时，应确保已具备验收条件。</w:t>
            </w:r>
          </w:p>
          <w:p w14:paraId="76C6D51C">
            <w:pPr>
              <w:snapToGrid w:val="0"/>
              <w:spacing w:line="360" w:lineRule="exact"/>
              <w:ind w:firstLine="420" w:firstLineChars="200"/>
              <w:outlineLvl w:val="0"/>
              <w:rPr>
                <w:rFonts w:ascii="宋体" w:hAnsi="宋体"/>
                <w:kern w:val="0"/>
                <w:szCs w:val="21"/>
              </w:rPr>
            </w:pPr>
            <w:r>
              <w:rPr>
                <w:rFonts w:hint="eastAsia" w:ascii="宋体" w:hAnsi="宋体"/>
                <w:kern w:val="0"/>
                <w:szCs w:val="21"/>
              </w:rPr>
              <w:t>（6）验收标准：</w:t>
            </w:r>
          </w:p>
          <w:p w14:paraId="60138B33">
            <w:pPr>
              <w:snapToGrid w:val="0"/>
              <w:spacing w:line="360" w:lineRule="exact"/>
              <w:ind w:firstLine="420" w:firstLineChars="200"/>
              <w:outlineLvl w:val="0"/>
              <w:rPr>
                <w:rFonts w:ascii="宋体" w:hAnsi="宋体"/>
                <w:kern w:val="0"/>
                <w:szCs w:val="21"/>
              </w:rPr>
            </w:pPr>
            <w:r>
              <w:rPr>
                <w:rFonts w:hint="eastAsia" w:ascii="宋体" w:hAnsi="宋体"/>
                <w:kern w:val="0"/>
                <w:szCs w:val="21"/>
              </w:rPr>
              <w:t>按国家有关标准以及采购人招标文件的采购需求、中标供应商的投标文件响应及承诺与本合同约定进行验收。如果货物中有执行国家强制标准的，则验收标准不得低于国家强制标准。</w:t>
            </w:r>
          </w:p>
          <w:p w14:paraId="5974D83F">
            <w:pPr>
              <w:snapToGrid w:val="0"/>
              <w:spacing w:line="360" w:lineRule="exact"/>
              <w:ind w:firstLine="420" w:firstLineChars="200"/>
              <w:outlineLvl w:val="0"/>
              <w:rPr>
                <w:rFonts w:hint="eastAsia" w:ascii="宋体" w:hAnsi="宋体"/>
                <w:kern w:val="0"/>
                <w:szCs w:val="21"/>
              </w:rPr>
            </w:pPr>
            <w:r>
              <w:rPr>
                <w:rFonts w:hint="eastAsia" w:ascii="宋体" w:hAnsi="宋体"/>
                <w:kern w:val="0"/>
                <w:szCs w:val="21"/>
              </w:rPr>
              <w:t>（7）现场验收</w:t>
            </w:r>
          </w:p>
          <w:p w14:paraId="5CD90FD3">
            <w:pPr>
              <w:snapToGrid w:val="0"/>
              <w:spacing w:line="360" w:lineRule="exact"/>
              <w:ind w:firstLine="420" w:firstLineChars="200"/>
              <w:outlineLvl w:val="0"/>
              <w:rPr>
                <w:rFonts w:hint="eastAsia" w:ascii="宋体" w:hAnsi="宋体"/>
                <w:kern w:val="0"/>
                <w:szCs w:val="21"/>
              </w:rPr>
            </w:pPr>
            <w:r>
              <w:rPr>
                <w:rFonts w:hint="eastAsia" w:ascii="宋体" w:hAnsi="宋体"/>
                <w:kern w:val="0"/>
                <w:szCs w:val="21"/>
              </w:rPr>
              <w:t>①依据产品供货清单共同对设备进行检查，并对产品的数量、品质（设备的外观颜色及状态、技术参数指标的核验、生产许可/出厂合格证、随机备品备件及工具、附属机具或配套设施、设备调试及试运行等方面的综合情况）进行逐项检查。验收时发现短缺、破损，采购人有权要求中标供应商立即补发和负责更换。</w:t>
            </w:r>
          </w:p>
          <w:p w14:paraId="2CFBB64A">
            <w:pPr>
              <w:snapToGrid w:val="0"/>
              <w:spacing w:line="360" w:lineRule="exact"/>
              <w:ind w:firstLine="420" w:firstLineChars="200"/>
              <w:outlineLvl w:val="0"/>
              <w:rPr>
                <w:rFonts w:hint="eastAsia" w:ascii="宋体" w:hAnsi="宋体"/>
                <w:kern w:val="0"/>
                <w:szCs w:val="21"/>
              </w:rPr>
            </w:pPr>
            <w:r>
              <w:rPr>
                <w:rFonts w:hint="eastAsia" w:ascii="宋体" w:hAnsi="宋体"/>
                <w:kern w:val="0"/>
                <w:szCs w:val="21"/>
              </w:rPr>
              <w:t>②投标产品和设备经过双方检验认可后，签署验收报告，产品保修期自验收合格之日起算，由中标供应商提供货物保修文件。</w:t>
            </w:r>
          </w:p>
          <w:p w14:paraId="49178ED7">
            <w:pPr>
              <w:snapToGrid w:val="0"/>
              <w:spacing w:line="360" w:lineRule="exact"/>
              <w:ind w:firstLine="420" w:firstLineChars="200"/>
              <w:outlineLvl w:val="0"/>
              <w:rPr>
                <w:rFonts w:hint="eastAsia" w:ascii="宋体" w:hAnsi="宋体"/>
                <w:kern w:val="0"/>
                <w:szCs w:val="21"/>
              </w:rPr>
            </w:pPr>
            <w:r>
              <w:rPr>
                <w:rFonts w:hint="eastAsia" w:ascii="宋体" w:hAnsi="宋体"/>
                <w:kern w:val="0"/>
                <w:szCs w:val="21"/>
              </w:rPr>
              <w:t>③产品经过试运行（如有），所有性能指标达到要求时，可进行最终验收。在试运行期间，由于产品质量等造成某些指标达不到要求，允许中标供应商更换或进行调试，在全部达到要求时，双方签署最终验收文件。</w:t>
            </w:r>
          </w:p>
          <w:p w14:paraId="6A710ADE">
            <w:pPr>
              <w:snapToGrid w:val="0"/>
              <w:spacing w:line="360" w:lineRule="exact"/>
              <w:ind w:firstLine="420" w:firstLineChars="200"/>
              <w:outlineLvl w:val="0"/>
              <w:rPr>
                <w:rFonts w:hint="eastAsia" w:ascii="宋体" w:hAnsi="宋体"/>
                <w:kern w:val="0"/>
                <w:szCs w:val="21"/>
              </w:rPr>
            </w:pPr>
            <w:r>
              <w:rPr>
                <w:rFonts w:hint="eastAsia" w:ascii="宋体" w:hAnsi="宋体"/>
                <w:kern w:val="0"/>
                <w:szCs w:val="21"/>
              </w:rPr>
              <w:t>④验收过程中，如双方不能达成一致意见时，采购人可以邀请市级或以上质量技术监督部门对中标产品进行（设备参数指标符合度等方面）质量仲裁的检验鉴定，并向采购人出具合格的检验报告单。经市级或以上质量技术监督部门检验合格，验收小组无正当理由的须予以验收通过；检验不合格，中标供货商可于15日内重新向采购人提供经检验合格的设备，并自行承担产生的全部费用。</w:t>
            </w:r>
          </w:p>
          <w:p w14:paraId="06B73347">
            <w:pPr>
              <w:snapToGrid w:val="0"/>
              <w:spacing w:line="360" w:lineRule="exact"/>
              <w:ind w:firstLine="420" w:firstLineChars="200"/>
              <w:outlineLvl w:val="0"/>
              <w:rPr>
                <w:rFonts w:ascii="宋体" w:hAnsi="宋体"/>
                <w:kern w:val="0"/>
                <w:szCs w:val="21"/>
              </w:rPr>
            </w:pPr>
            <w:r>
              <w:rPr>
                <w:rFonts w:hint="eastAsia" w:ascii="宋体" w:hAnsi="宋体"/>
                <w:kern w:val="0"/>
                <w:szCs w:val="21"/>
              </w:rPr>
              <w:t>⑤如未能按期提供合格设备，采购人将终止采购并追究中标供应商相关赔偿责任。</w:t>
            </w:r>
          </w:p>
          <w:p w14:paraId="6A5603EA">
            <w:pPr>
              <w:snapToGrid w:val="0"/>
              <w:spacing w:line="360" w:lineRule="exact"/>
              <w:ind w:firstLine="420" w:firstLineChars="200"/>
              <w:outlineLvl w:val="0"/>
              <w:rPr>
                <w:rFonts w:hint="eastAsia" w:ascii="宋体" w:hAnsi="宋体"/>
                <w:kern w:val="0"/>
                <w:szCs w:val="21"/>
              </w:rPr>
            </w:pPr>
            <w:r>
              <w:rPr>
                <w:rFonts w:hint="eastAsia" w:ascii="宋体" w:hAnsi="宋体"/>
                <w:kern w:val="0"/>
                <w:szCs w:val="21"/>
              </w:rPr>
              <w:t>5.其他未尽事宜应严格按照《关于印发广西壮族自治区政府采购项目履约验收管理办法的通知》[桂财采〔2015〕22号]以及《财政部关于进一步加强政府采购需求和履约验收管理的指导意见》[财库〔2016〕205号]规定执行。</w:t>
            </w:r>
          </w:p>
        </w:tc>
      </w:tr>
      <w:tr w14:paraId="7E5F1A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89" w:type="pct"/>
            <w:gridSpan w:val="3"/>
            <w:tcBorders>
              <w:top w:val="single" w:color="auto" w:sz="4" w:space="0"/>
              <w:left w:val="single" w:color="auto" w:sz="4" w:space="0"/>
              <w:bottom w:val="single" w:color="auto" w:sz="4" w:space="0"/>
              <w:right w:val="single" w:color="auto" w:sz="4" w:space="0"/>
            </w:tcBorders>
            <w:noWrap w:val="0"/>
            <w:vAlign w:val="center"/>
          </w:tcPr>
          <w:p w14:paraId="7960AA8A">
            <w:pPr>
              <w:snapToGrid w:val="0"/>
              <w:spacing w:line="360" w:lineRule="exact"/>
              <w:rPr>
                <w:rFonts w:hint="eastAsia" w:ascii="宋体" w:hAnsi="宋体"/>
                <w:szCs w:val="21"/>
              </w:rPr>
            </w:pPr>
            <w:r>
              <w:rPr>
                <w:rFonts w:hint="eastAsia" w:ascii="宋体" w:hAnsi="宋体"/>
                <w:szCs w:val="21"/>
              </w:rPr>
              <w:t>履约保证金</w:t>
            </w:r>
          </w:p>
        </w:tc>
        <w:tc>
          <w:tcPr>
            <w:tcW w:w="4110" w:type="pct"/>
            <w:gridSpan w:val="4"/>
            <w:tcBorders>
              <w:top w:val="single" w:color="auto" w:sz="4" w:space="0"/>
              <w:left w:val="nil"/>
              <w:bottom w:val="single" w:color="auto" w:sz="4" w:space="0"/>
              <w:right w:val="single" w:color="auto" w:sz="4" w:space="0"/>
            </w:tcBorders>
            <w:noWrap w:val="0"/>
            <w:vAlign w:val="top"/>
          </w:tcPr>
          <w:p w14:paraId="2B43CE2F">
            <w:pPr>
              <w:spacing w:line="340" w:lineRule="exact"/>
              <w:ind w:firstLine="420" w:firstLineChars="200"/>
              <w:rPr>
                <w:rFonts w:hint="eastAsia" w:ascii="宋体" w:hAnsi="宋体"/>
                <w:szCs w:val="21"/>
              </w:rPr>
            </w:pPr>
            <w:r>
              <w:rPr>
                <w:rFonts w:hint="eastAsia" w:ascii="宋体" w:hAnsi="宋体"/>
                <w:szCs w:val="21"/>
              </w:rPr>
              <w:t>1.履约保证金金额：按合同金额的5%收取。</w:t>
            </w:r>
            <w:r>
              <w:rPr>
                <w:rFonts w:hint="eastAsia" w:ascii="宋体" w:hAnsi="宋体"/>
                <w:bCs/>
                <w:spacing w:val="-4"/>
                <w:szCs w:val="21"/>
              </w:rPr>
              <w:t>（若中标供应商符合《政府采购促进中小企业发展管理办法》（财库〔2020〕46号）及《广西壮族自治区财政厅关于持续优化政府采购营商环境推动高质量发展的通知》（桂财采〔2024〕55号）规定的，履约保证金将按</w:t>
            </w:r>
            <w:r>
              <w:rPr>
                <w:rFonts w:hint="eastAsia" w:ascii="宋体" w:hAnsi="宋体"/>
                <w:szCs w:val="21"/>
              </w:rPr>
              <w:t>合同金额的</w:t>
            </w:r>
            <w:r>
              <w:rPr>
                <w:rFonts w:hint="eastAsia" w:ascii="宋体" w:hAnsi="宋体"/>
                <w:bCs/>
                <w:spacing w:val="-4"/>
                <w:szCs w:val="21"/>
              </w:rPr>
              <w:t>2%收取。）</w:t>
            </w:r>
          </w:p>
          <w:p w14:paraId="67F496FB">
            <w:pPr>
              <w:spacing w:line="340" w:lineRule="exact"/>
              <w:ind w:firstLine="420" w:firstLineChars="200"/>
              <w:rPr>
                <w:rFonts w:hint="eastAsia" w:ascii="宋体" w:hAnsi="宋体"/>
                <w:szCs w:val="21"/>
              </w:rPr>
            </w:pPr>
            <w:r>
              <w:rPr>
                <w:rFonts w:hint="eastAsia" w:ascii="宋体" w:hAnsi="宋体"/>
                <w:szCs w:val="21"/>
              </w:rPr>
              <w:t>2.履约保证金递交方式：银行转账、支票、汇票、本票、保函等非现金方式。</w:t>
            </w:r>
          </w:p>
          <w:p w14:paraId="76D3ED6E">
            <w:pPr>
              <w:spacing w:line="340" w:lineRule="exact"/>
              <w:ind w:firstLine="420" w:firstLineChars="200"/>
              <w:rPr>
                <w:rFonts w:hint="eastAsia" w:ascii="宋体" w:hAnsi="宋体"/>
                <w:szCs w:val="21"/>
              </w:rPr>
            </w:pPr>
            <w:r>
              <w:rPr>
                <w:rFonts w:hint="eastAsia" w:ascii="宋体" w:hAnsi="宋体"/>
                <w:szCs w:val="21"/>
              </w:rPr>
              <w:t>3.履约保证金缴纳期限：自中标通知书发出之日起10个工作日内。</w:t>
            </w:r>
          </w:p>
          <w:p w14:paraId="67211CE8">
            <w:pPr>
              <w:spacing w:line="340" w:lineRule="exact"/>
              <w:ind w:firstLine="420" w:firstLineChars="200"/>
              <w:rPr>
                <w:rFonts w:hint="eastAsia" w:ascii="宋体" w:hAnsi="宋体"/>
                <w:szCs w:val="21"/>
              </w:rPr>
            </w:pPr>
            <w:r>
              <w:rPr>
                <w:rFonts w:hint="eastAsia" w:ascii="宋体" w:hAnsi="宋体"/>
                <w:szCs w:val="21"/>
              </w:rPr>
              <w:t>4.履约保证金退付方式、时间及条件：履约保证金在项目履约完成（按合同约定履行完合同所有内容）后，由中标供应商向采购人提出申请，采购人在收到申请材料后对相关违约情况进行核对，如有违约或赔偿的，涉及违约的违约金和损失赔偿从履约保证金中扣减，如有剩余采购人在5个工作日内退还（不计利息）；不足扣减的，采购人有权从未支付的合同款中（如有）扣除；履约保证金不足以抵扣违约或赔偿的，采购人有权另外向中标供应商追偿损失。</w:t>
            </w:r>
          </w:p>
          <w:p w14:paraId="16C68D42">
            <w:pPr>
              <w:spacing w:line="340" w:lineRule="exact"/>
              <w:ind w:firstLine="420" w:firstLineChars="200"/>
              <w:rPr>
                <w:rFonts w:hint="eastAsia" w:ascii="宋体" w:hAnsi="宋体"/>
                <w:szCs w:val="21"/>
              </w:rPr>
            </w:pPr>
            <w:r>
              <w:rPr>
                <w:rFonts w:hint="eastAsia" w:ascii="宋体" w:hAnsi="宋体"/>
                <w:szCs w:val="21"/>
              </w:rPr>
              <w:t>5.不予退还的情形：签订合同后，如中标供应商不按双方签订的合同规定履约，则其全部履约保证金不予退还。</w:t>
            </w:r>
          </w:p>
          <w:p w14:paraId="77A61789">
            <w:pPr>
              <w:spacing w:line="340" w:lineRule="exact"/>
              <w:ind w:firstLine="420" w:firstLineChars="200"/>
              <w:rPr>
                <w:rFonts w:hint="eastAsia" w:ascii="宋体" w:hAnsi="宋体"/>
                <w:szCs w:val="21"/>
              </w:rPr>
            </w:pPr>
            <w:r>
              <w:rPr>
                <w:rFonts w:hint="eastAsia" w:ascii="宋体" w:hAnsi="宋体"/>
                <w:szCs w:val="21"/>
              </w:rPr>
              <w:t xml:space="preserve">6.履约保证金指定账户： </w:t>
            </w:r>
          </w:p>
          <w:p w14:paraId="7D00D73D">
            <w:pPr>
              <w:spacing w:line="340" w:lineRule="exact"/>
              <w:ind w:firstLine="420" w:firstLineChars="200"/>
              <w:rPr>
                <w:rFonts w:hint="eastAsia" w:ascii="宋体" w:hAnsi="宋体"/>
                <w:szCs w:val="21"/>
                <w:u w:val="single"/>
              </w:rPr>
            </w:pPr>
            <w:r>
              <w:rPr>
                <w:rFonts w:hint="eastAsia" w:ascii="宋体" w:hAnsi="宋体"/>
                <w:szCs w:val="21"/>
                <w:u w:val="single"/>
              </w:rPr>
              <w:t xml:space="preserve">开户名称：广西壮族自治区公路发展中心 </w:t>
            </w:r>
          </w:p>
          <w:p w14:paraId="794AFEFA">
            <w:pPr>
              <w:spacing w:line="340" w:lineRule="exact"/>
              <w:ind w:firstLine="420" w:firstLineChars="200"/>
              <w:rPr>
                <w:rFonts w:hint="eastAsia" w:ascii="宋体" w:hAnsi="宋体"/>
                <w:szCs w:val="21"/>
                <w:u w:val="single"/>
              </w:rPr>
            </w:pPr>
            <w:r>
              <w:rPr>
                <w:rFonts w:hint="eastAsia" w:ascii="宋体" w:hAnsi="宋体"/>
                <w:szCs w:val="21"/>
                <w:u w:val="single"/>
              </w:rPr>
              <w:t xml:space="preserve">开户银行：工行南宁市市府支行  </w:t>
            </w:r>
          </w:p>
          <w:p w14:paraId="41B339F8">
            <w:pPr>
              <w:snapToGrid w:val="0"/>
              <w:spacing w:line="360" w:lineRule="exact"/>
              <w:ind w:firstLine="420" w:firstLineChars="200"/>
              <w:outlineLvl w:val="0"/>
              <w:rPr>
                <w:rFonts w:hint="eastAsia" w:ascii="宋体" w:hAnsi="宋体"/>
                <w:kern w:val="0"/>
                <w:sz w:val="20"/>
                <w:szCs w:val="21"/>
                <w:u w:val="single"/>
              </w:rPr>
            </w:pPr>
            <w:r>
              <w:rPr>
                <w:rFonts w:hint="eastAsia" w:ascii="宋体" w:hAnsi="宋体"/>
                <w:kern w:val="2"/>
                <w:sz w:val="21"/>
                <w:szCs w:val="21"/>
                <w:u w:val="single"/>
              </w:rPr>
              <w:t>银行账号：</w:t>
            </w:r>
            <w:r>
              <w:rPr>
                <w:rFonts w:hint="eastAsia" w:ascii="宋体" w:hAnsi="宋体"/>
                <w:szCs w:val="21"/>
                <w:u w:val="single"/>
              </w:rPr>
              <w:t xml:space="preserve">2102174609221000218   </w:t>
            </w:r>
          </w:p>
        </w:tc>
      </w:tr>
      <w:tr w14:paraId="394B7B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00" w:type="pct"/>
            <w:gridSpan w:val="7"/>
            <w:tcBorders>
              <w:top w:val="single" w:color="auto" w:sz="4" w:space="0"/>
              <w:left w:val="single" w:color="auto" w:sz="4" w:space="0"/>
              <w:bottom w:val="single" w:color="auto" w:sz="4" w:space="0"/>
              <w:right w:val="single" w:color="auto" w:sz="4" w:space="0"/>
            </w:tcBorders>
            <w:noWrap w:val="0"/>
            <w:vAlign w:val="center"/>
          </w:tcPr>
          <w:p w14:paraId="04677E23">
            <w:pPr>
              <w:spacing w:line="360" w:lineRule="exact"/>
              <w:rPr>
                <w:rFonts w:hint="eastAsia" w:ascii="宋体" w:hAnsi="宋体"/>
                <w:b/>
                <w:bCs/>
                <w:szCs w:val="21"/>
              </w:rPr>
            </w:pPr>
            <w:r>
              <w:rPr>
                <w:rFonts w:hint="eastAsia" w:ascii="宋体" w:hAnsi="宋体"/>
                <w:b/>
                <w:bCs/>
                <w:szCs w:val="21"/>
              </w:rPr>
              <w:t>二、与实现项目目标相关的其他要求</w:t>
            </w:r>
          </w:p>
        </w:tc>
      </w:tr>
      <w:tr w14:paraId="389B1F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00" w:type="pct"/>
            <w:gridSpan w:val="7"/>
            <w:tcBorders>
              <w:top w:val="single" w:color="auto" w:sz="4" w:space="0"/>
              <w:left w:val="single" w:color="auto" w:sz="4" w:space="0"/>
              <w:bottom w:val="single" w:color="auto" w:sz="4" w:space="0"/>
              <w:right w:val="single" w:color="auto" w:sz="4" w:space="0"/>
            </w:tcBorders>
            <w:noWrap w:val="0"/>
            <w:vAlign w:val="center"/>
          </w:tcPr>
          <w:p w14:paraId="2B190E63">
            <w:pPr>
              <w:spacing w:line="360" w:lineRule="exact"/>
              <w:rPr>
                <w:rFonts w:hint="eastAsia" w:ascii="宋体" w:hAnsi="宋体"/>
                <w:b/>
                <w:szCs w:val="21"/>
              </w:rPr>
            </w:pPr>
            <w:r>
              <w:rPr>
                <w:rFonts w:hint="eastAsia" w:ascii="宋体" w:hAnsi="宋体"/>
                <w:b/>
                <w:szCs w:val="21"/>
              </w:rPr>
              <w:t>（一）投标人的履约能力要求</w:t>
            </w:r>
          </w:p>
        </w:tc>
      </w:tr>
      <w:tr w14:paraId="3A5321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89" w:type="pct"/>
            <w:gridSpan w:val="3"/>
            <w:tcBorders>
              <w:top w:val="single" w:color="auto" w:sz="4" w:space="0"/>
              <w:left w:val="single" w:color="auto" w:sz="4" w:space="0"/>
              <w:bottom w:val="single" w:color="auto" w:sz="4" w:space="0"/>
              <w:right w:val="single" w:color="auto" w:sz="4" w:space="0"/>
            </w:tcBorders>
            <w:noWrap w:val="0"/>
            <w:vAlign w:val="center"/>
          </w:tcPr>
          <w:p w14:paraId="536D0401">
            <w:pPr>
              <w:spacing w:line="360" w:lineRule="exact"/>
              <w:rPr>
                <w:rFonts w:hint="eastAsia" w:ascii="宋体" w:hAnsi="宋体"/>
                <w:szCs w:val="21"/>
              </w:rPr>
            </w:pPr>
            <w:r>
              <w:rPr>
                <w:rFonts w:hint="eastAsia" w:ascii="宋体" w:hAnsi="宋体"/>
                <w:szCs w:val="21"/>
              </w:rPr>
              <w:t>质量管理、企业信用要求</w:t>
            </w:r>
          </w:p>
        </w:tc>
        <w:tc>
          <w:tcPr>
            <w:tcW w:w="4110" w:type="pct"/>
            <w:gridSpan w:val="4"/>
            <w:tcBorders>
              <w:top w:val="single" w:color="auto" w:sz="4" w:space="0"/>
              <w:left w:val="nil"/>
              <w:bottom w:val="single" w:color="auto" w:sz="4" w:space="0"/>
              <w:right w:val="single" w:color="auto" w:sz="4" w:space="0"/>
            </w:tcBorders>
            <w:noWrap w:val="0"/>
            <w:vAlign w:val="center"/>
          </w:tcPr>
          <w:p w14:paraId="1BA81223">
            <w:pPr>
              <w:spacing w:line="360" w:lineRule="exact"/>
              <w:rPr>
                <w:rFonts w:hint="eastAsia" w:ascii="宋体" w:hAnsi="宋体"/>
                <w:szCs w:val="21"/>
              </w:rPr>
            </w:pPr>
            <w:r>
              <w:rPr>
                <w:rFonts w:hint="eastAsia" w:ascii="宋体" w:hAnsi="宋体"/>
                <w:szCs w:val="21"/>
              </w:rPr>
              <w:t>如有，请结合本招标文件第四章“评标办法及评分标准”在投标文件中自行提供。</w:t>
            </w:r>
          </w:p>
        </w:tc>
      </w:tr>
      <w:tr w14:paraId="059D34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89" w:type="pct"/>
            <w:gridSpan w:val="3"/>
            <w:tcBorders>
              <w:top w:val="single" w:color="auto" w:sz="4" w:space="0"/>
              <w:left w:val="single" w:color="auto" w:sz="4" w:space="0"/>
              <w:bottom w:val="single" w:color="auto" w:sz="4" w:space="0"/>
              <w:right w:val="single" w:color="auto" w:sz="4" w:space="0"/>
            </w:tcBorders>
            <w:noWrap w:val="0"/>
            <w:vAlign w:val="center"/>
          </w:tcPr>
          <w:p w14:paraId="6994B5D1">
            <w:pPr>
              <w:spacing w:line="360" w:lineRule="exact"/>
              <w:rPr>
                <w:rFonts w:hint="eastAsia" w:ascii="宋体" w:hAnsi="宋体"/>
                <w:szCs w:val="21"/>
              </w:rPr>
            </w:pPr>
            <w:r>
              <w:rPr>
                <w:rFonts w:hint="eastAsia" w:ascii="宋体" w:hAnsi="宋体"/>
                <w:szCs w:val="21"/>
              </w:rPr>
              <w:t>能力或者业绩要求</w:t>
            </w:r>
          </w:p>
        </w:tc>
        <w:tc>
          <w:tcPr>
            <w:tcW w:w="4110" w:type="pct"/>
            <w:gridSpan w:val="4"/>
            <w:tcBorders>
              <w:top w:val="single" w:color="auto" w:sz="4" w:space="0"/>
              <w:left w:val="nil"/>
              <w:bottom w:val="single" w:color="auto" w:sz="4" w:space="0"/>
              <w:right w:val="single" w:color="auto" w:sz="4" w:space="0"/>
            </w:tcBorders>
            <w:noWrap w:val="0"/>
            <w:vAlign w:val="center"/>
          </w:tcPr>
          <w:p w14:paraId="4CE8CBAF">
            <w:pPr>
              <w:spacing w:line="360" w:lineRule="exact"/>
              <w:rPr>
                <w:rFonts w:hint="eastAsia" w:ascii="宋体" w:hAnsi="宋体"/>
                <w:szCs w:val="21"/>
              </w:rPr>
            </w:pPr>
            <w:r>
              <w:rPr>
                <w:rFonts w:hint="eastAsia" w:ascii="宋体" w:hAnsi="宋体"/>
                <w:szCs w:val="21"/>
              </w:rPr>
              <w:t>如有，请结合本招标文件第四章“评标办法及评分标准”在投标文件中自行提供。</w:t>
            </w:r>
          </w:p>
        </w:tc>
      </w:tr>
      <w:tr w14:paraId="1B9019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00" w:type="pct"/>
            <w:gridSpan w:val="7"/>
            <w:tcBorders>
              <w:top w:val="single" w:color="auto" w:sz="4" w:space="0"/>
              <w:left w:val="single" w:color="auto" w:sz="4" w:space="0"/>
              <w:bottom w:val="single" w:color="auto" w:sz="4" w:space="0"/>
              <w:right w:val="single" w:color="auto" w:sz="4" w:space="0"/>
            </w:tcBorders>
            <w:noWrap w:val="0"/>
            <w:vAlign w:val="center"/>
          </w:tcPr>
          <w:p w14:paraId="26731EAF">
            <w:pPr>
              <w:spacing w:line="360" w:lineRule="exact"/>
              <w:rPr>
                <w:rFonts w:hint="eastAsia" w:ascii="宋体" w:hAnsi="宋体"/>
                <w:b/>
                <w:szCs w:val="21"/>
              </w:rPr>
            </w:pPr>
            <w:r>
              <w:rPr>
                <w:rFonts w:hint="eastAsia" w:ascii="宋体" w:hAnsi="宋体"/>
                <w:b/>
                <w:szCs w:val="21"/>
              </w:rPr>
              <w:t>（二）政策性加分条件</w:t>
            </w:r>
          </w:p>
        </w:tc>
      </w:tr>
      <w:tr w14:paraId="385F38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00" w:type="pct"/>
            <w:gridSpan w:val="7"/>
            <w:tcBorders>
              <w:top w:val="single" w:color="auto" w:sz="4" w:space="0"/>
              <w:left w:val="single" w:color="auto" w:sz="4" w:space="0"/>
              <w:bottom w:val="single" w:color="auto" w:sz="4" w:space="0"/>
              <w:right w:val="single" w:color="auto" w:sz="4" w:space="0"/>
            </w:tcBorders>
            <w:noWrap w:val="0"/>
            <w:vAlign w:val="center"/>
          </w:tcPr>
          <w:p w14:paraId="2FB37321">
            <w:pPr>
              <w:spacing w:line="360" w:lineRule="exact"/>
              <w:rPr>
                <w:rFonts w:hint="eastAsia" w:ascii="宋体" w:hAnsi="宋体"/>
                <w:szCs w:val="21"/>
              </w:rPr>
            </w:pPr>
            <w:r>
              <w:rPr>
                <w:rFonts w:hint="eastAsia" w:ascii="宋体" w:hAnsi="宋体"/>
                <w:szCs w:val="21"/>
              </w:rPr>
              <w:t>符合节能环保等国家政策要求。</w:t>
            </w:r>
          </w:p>
        </w:tc>
      </w:tr>
      <w:tr w14:paraId="741ED6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00" w:type="pct"/>
            <w:gridSpan w:val="7"/>
            <w:tcBorders>
              <w:top w:val="single" w:color="auto" w:sz="4" w:space="0"/>
              <w:left w:val="single" w:color="auto" w:sz="4" w:space="0"/>
              <w:bottom w:val="single" w:color="auto" w:sz="4" w:space="0"/>
              <w:right w:val="single" w:color="auto" w:sz="4" w:space="0"/>
            </w:tcBorders>
            <w:noWrap w:val="0"/>
            <w:vAlign w:val="center"/>
          </w:tcPr>
          <w:p w14:paraId="0310EE87">
            <w:pPr>
              <w:tabs>
                <w:tab w:val="left" w:pos="180"/>
                <w:tab w:val="left" w:pos="1620"/>
              </w:tabs>
              <w:spacing w:line="360" w:lineRule="exact"/>
              <w:rPr>
                <w:rFonts w:hint="eastAsia" w:ascii="宋体" w:hAnsi="宋体"/>
                <w:b/>
                <w:szCs w:val="21"/>
              </w:rPr>
            </w:pPr>
            <w:r>
              <w:rPr>
                <w:rFonts w:hint="eastAsia" w:ascii="宋体" w:hAnsi="宋体"/>
                <w:b/>
                <w:szCs w:val="21"/>
              </w:rPr>
              <w:t>（三）其他事项说明</w:t>
            </w:r>
          </w:p>
        </w:tc>
      </w:tr>
      <w:tr w14:paraId="639BA6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00" w:type="pct"/>
            <w:gridSpan w:val="7"/>
            <w:tcBorders>
              <w:top w:val="single" w:color="auto" w:sz="4" w:space="0"/>
              <w:left w:val="single" w:color="auto" w:sz="4" w:space="0"/>
              <w:bottom w:val="single" w:color="auto" w:sz="4" w:space="0"/>
              <w:right w:val="single" w:color="auto" w:sz="4" w:space="0"/>
            </w:tcBorders>
            <w:noWrap w:val="0"/>
            <w:vAlign w:val="center"/>
          </w:tcPr>
          <w:p w14:paraId="12EE12A7">
            <w:pPr>
              <w:spacing w:line="360" w:lineRule="exact"/>
              <w:ind w:firstLine="411" w:firstLineChars="196"/>
              <w:rPr>
                <w:rFonts w:hint="eastAsia" w:ascii="宋体" w:hAnsi="宋体"/>
                <w:szCs w:val="21"/>
              </w:rPr>
            </w:pPr>
            <w:r>
              <w:rPr>
                <w:rFonts w:hint="eastAsia" w:ascii="宋体" w:hAnsi="宋体"/>
                <w:szCs w:val="21"/>
              </w:rPr>
              <w:t>货物实行强制标准认证制度、生产许可证制度、销售或经营许可证制度、注册证制度的，中标人均应提供相关有效的证书复印件。</w:t>
            </w:r>
          </w:p>
        </w:tc>
      </w:tr>
      <w:tr w14:paraId="2BACDA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00" w:type="pct"/>
            <w:gridSpan w:val="7"/>
            <w:tcBorders>
              <w:top w:val="single" w:color="auto" w:sz="4" w:space="0"/>
              <w:left w:val="single" w:color="auto" w:sz="4" w:space="0"/>
              <w:bottom w:val="single" w:color="auto" w:sz="4" w:space="0"/>
              <w:right w:val="single" w:color="auto" w:sz="4" w:space="0"/>
            </w:tcBorders>
            <w:noWrap w:val="0"/>
            <w:vAlign w:val="center"/>
          </w:tcPr>
          <w:p w14:paraId="26D0504D">
            <w:pPr>
              <w:spacing w:line="360" w:lineRule="exact"/>
              <w:rPr>
                <w:rFonts w:hint="eastAsia" w:ascii="宋体" w:hAnsi="宋体"/>
                <w:b/>
                <w:szCs w:val="21"/>
              </w:rPr>
            </w:pPr>
            <w:r>
              <w:rPr>
                <w:rFonts w:hint="eastAsia" w:ascii="宋体" w:hAnsi="宋体"/>
                <w:b/>
                <w:szCs w:val="21"/>
              </w:rPr>
              <w:t>（四）进口产品及核心产品说明</w:t>
            </w:r>
          </w:p>
        </w:tc>
      </w:tr>
      <w:tr w14:paraId="1F20DB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00" w:type="pct"/>
            <w:gridSpan w:val="7"/>
            <w:tcBorders>
              <w:top w:val="single" w:color="auto" w:sz="4" w:space="0"/>
              <w:left w:val="single" w:color="auto" w:sz="4" w:space="0"/>
              <w:bottom w:val="single" w:color="auto" w:sz="4" w:space="0"/>
              <w:right w:val="single" w:color="auto" w:sz="4" w:space="0"/>
            </w:tcBorders>
            <w:noWrap w:val="0"/>
            <w:vAlign w:val="center"/>
          </w:tcPr>
          <w:p w14:paraId="1B73048D">
            <w:pPr>
              <w:spacing w:line="360" w:lineRule="exact"/>
              <w:ind w:firstLine="435"/>
              <w:rPr>
                <w:rFonts w:hint="eastAsia" w:ascii="宋体" w:hAnsi="宋体"/>
                <w:szCs w:val="21"/>
              </w:rPr>
            </w:pPr>
            <w:r>
              <w:rPr>
                <w:rFonts w:hint="eastAsia" w:ascii="宋体" w:hAnsi="宋体"/>
                <w:szCs w:val="21"/>
              </w:rPr>
              <w:t>1.本分标货物不接受进口产品（即通过中国海关报关验放进入中国境内且产自关境外的产品）参与投标，</w:t>
            </w:r>
            <w:r>
              <w:rPr>
                <w:rFonts w:hint="eastAsia" w:ascii="宋体" w:hAnsi="宋体"/>
                <w:b/>
                <w:szCs w:val="21"/>
              </w:rPr>
              <w:t>如有进口产品参与投标的作无效标处理</w:t>
            </w:r>
            <w:r>
              <w:rPr>
                <w:rFonts w:hint="eastAsia" w:ascii="宋体" w:hAnsi="宋体"/>
                <w:szCs w:val="21"/>
              </w:rPr>
              <w:t>。</w:t>
            </w:r>
          </w:p>
          <w:p w14:paraId="038B493E">
            <w:pPr>
              <w:spacing w:line="360" w:lineRule="exact"/>
              <w:ind w:firstLine="435"/>
              <w:rPr>
                <w:rFonts w:hint="eastAsia" w:ascii="宋体" w:hAnsi="宋体"/>
                <w:b/>
                <w:szCs w:val="21"/>
              </w:rPr>
            </w:pPr>
            <w:r>
              <w:rPr>
                <w:rFonts w:hint="eastAsia" w:ascii="宋体" w:hAnsi="宋体"/>
                <w:b/>
                <w:szCs w:val="21"/>
              </w:rPr>
              <w:t>2.本分标序号</w:t>
            </w:r>
            <w:r>
              <w:rPr>
                <w:rFonts w:hint="eastAsia" w:ascii="宋体" w:hAnsi="宋体"/>
                <w:b/>
                <w:szCs w:val="21"/>
                <w:u w:val="single"/>
              </w:rPr>
              <w:t xml:space="preserve"> 1 </w:t>
            </w:r>
            <w:r>
              <w:rPr>
                <w:rFonts w:hint="eastAsia" w:ascii="宋体" w:hAnsi="宋体"/>
                <w:b/>
                <w:szCs w:val="21"/>
              </w:rPr>
              <w:t>采购标的即为核心产品，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tc>
      </w:tr>
      <w:tr w14:paraId="4CA352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00" w:type="pct"/>
            <w:gridSpan w:val="7"/>
            <w:tcBorders>
              <w:top w:val="single" w:color="auto" w:sz="4" w:space="0"/>
              <w:left w:val="single" w:color="auto" w:sz="4" w:space="0"/>
              <w:bottom w:val="single" w:color="auto" w:sz="4" w:space="0"/>
              <w:right w:val="single" w:color="auto" w:sz="4" w:space="0"/>
            </w:tcBorders>
            <w:noWrap w:val="0"/>
            <w:vAlign w:val="center"/>
          </w:tcPr>
          <w:p w14:paraId="7A29E34B">
            <w:pPr>
              <w:spacing w:line="360" w:lineRule="exact"/>
              <w:rPr>
                <w:rFonts w:hint="eastAsia" w:ascii="宋体" w:hAnsi="宋体"/>
                <w:b/>
                <w:szCs w:val="21"/>
              </w:rPr>
            </w:pPr>
            <w:r>
              <w:rPr>
                <w:rFonts w:hint="eastAsia" w:ascii="宋体" w:hAnsi="宋体"/>
                <w:b/>
                <w:szCs w:val="21"/>
              </w:rPr>
              <w:t>三、其他说明</w:t>
            </w:r>
          </w:p>
        </w:tc>
      </w:tr>
      <w:tr w14:paraId="62ECFB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00" w:type="pct"/>
            <w:gridSpan w:val="7"/>
            <w:tcBorders>
              <w:top w:val="single" w:color="auto" w:sz="4" w:space="0"/>
              <w:left w:val="single" w:color="auto" w:sz="4" w:space="0"/>
              <w:bottom w:val="single" w:color="auto" w:sz="4" w:space="0"/>
              <w:right w:val="single" w:color="auto" w:sz="4" w:space="0"/>
            </w:tcBorders>
            <w:noWrap w:val="0"/>
            <w:vAlign w:val="center"/>
          </w:tcPr>
          <w:p w14:paraId="4468B051">
            <w:pPr>
              <w:spacing w:line="360" w:lineRule="exact"/>
              <w:ind w:firstLine="420" w:firstLineChars="200"/>
              <w:rPr>
                <w:rFonts w:hint="eastAsia" w:ascii="宋体" w:hAnsi="宋体"/>
                <w:b/>
                <w:bCs/>
                <w:szCs w:val="21"/>
              </w:rPr>
            </w:pPr>
            <w:r>
              <w:rPr>
                <w:rFonts w:hint="eastAsia" w:ascii="宋体" w:hAnsi="宋体"/>
                <w:szCs w:val="21"/>
              </w:rPr>
              <w:t>▲</w:t>
            </w:r>
            <w:r>
              <w:rPr>
                <w:rFonts w:hint="eastAsia" w:ascii="宋体" w:hAnsi="宋体"/>
                <w:b/>
                <w:bCs/>
                <w:szCs w:val="21"/>
              </w:rPr>
              <w:t>1.</w:t>
            </w:r>
            <w:r>
              <w:rPr>
                <w:rFonts w:hint="eastAsia" w:ascii="宋体" w:hAnsi="宋体" w:eastAsia="宋体" w:cs="Times New Roman"/>
                <w:b/>
                <w:bCs/>
                <w:spacing w:val="-4"/>
                <w:szCs w:val="21"/>
              </w:rPr>
              <w:t>投标人的分标投标总报价超所投分标最高限价或标的单价报价超单价控制价的作无效投标处理。</w:t>
            </w:r>
          </w:p>
          <w:p w14:paraId="023672F2">
            <w:pPr>
              <w:spacing w:line="360" w:lineRule="exact"/>
              <w:ind w:firstLine="406" w:firstLineChars="200"/>
              <w:rPr>
                <w:rFonts w:hint="eastAsia" w:ascii="宋体" w:hAnsi="宋体"/>
                <w:b/>
                <w:bCs/>
                <w:spacing w:val="-4"/>
                <w:szCs w:val="21"/>
              </w:rPr>
            </w:pPr>
            <w:r>
              <w:rPr>
                <w:rFonts w:hint="eastAsia" w:ascii="宋体" w:hAnsi="宋体"/>
                <w:b/>
                <w:bCs/>
                <w:spacing w:val="-4"/>
                <w:szCs w:val="21"/>
              </w:rPr>
              <w:t>▲2.投标人就本项目需求中全部内容作完整唯一报价，不完整响应或拆分投标的将导致投标无效。</w:t>
            </w:r>
          </w:p>
          <w:p w14:paraId="052B2D62">
            <w:pPr>
              <w:spacing w:line="360" w:lineRule="exact"/>
              <w:ind w:firstLine="420" w:firstLineChars="200"/>
              <w:rPr>
                <w:rFonts w:hint="eastAsia" w:ascii="宋体" w:hAnsi="宋体"/>
                <w:b w:val="0"/>
                <w:bCs/>
                <w:szCs w:val="21"/>
              </w:rPr>
            </w:pPr>
            <w:r>
              <w:rPr>
                <w:rFonts w:hint="eastAsia" w:ascii="宋体" w:hAnsi="宋体"/>
                <w:b w:val="0"/>
                <w:bCs/>
                <w:szCs w:val="21"/>
              </w:rPr>
              <w:t>3.“技术需求及要求”中有特殊要求的，按其要求执行；未作要求的，如有，投标文件中可提供产品生产商编写的有参数描述的产品说明书或彩页（应有详细的产品技术介绍、技术参数、产品图样照片等），当投标文件中提供的产品参数与该产品生产商提供的参数同一参数内容不符合时，以生产商资料为准。</w:t>
            </w:r>
          </w:p>
          <w:p w14:paraId="094714A9">
            <w:pPr>
              <w:spacing w:line="360" w:lineRule="exact"/>
              <w:rPr>
                <w:rFonts w:ascii="宋体" w:hAnsi="宋体"/>
                <w:b/>
                <w:szCs w:val="21"/>
              </w:rPr>
            </w:pPr>
            <w:r>
              <w:rPr>
                <w:rFonts w:hint="eastAsia" w:ascii="宋体" w:hAnsi="宋体"/>
                <w:b/>
                <w:szCs w:val="21"/>
              </w:rPr>
              <w:t xml:space="preserve">    </w:t>
            </w:r>
            <w:r>
              <w:rPr>
                <w:rFonts w:hint="eastAsia" w:ascii="宋体" w:hAnsi="宋体"/>
                <w:bCs/>
                <w:szCs w:val="21"/>
              </w:rPr>
              <w:t>4.投标人可根据评分标准在投标文件提供项目实施方案、人员培训方案、技术支持服务方案、应急预案、售后服务方案、质保期证明、信誉及业绩证明。</w:t>
            </w:r>
          </w:p>
        </w:tc>
      </w:tr>
    </w:tbl>
    <w:p w14:paraId="1FE12DC2">
      <w:pPr>
        <w:spacing w:line="360" w:lineRule="auto"/>
        <w:ind w:firstLine="308" w:firstLineChars="147"/>
        <w:jc w:val="left"/>
        <w:rPr>
          <w:rFonts w:hint="eastAsia" w:ascii="宋体" w:hAnsi="宋体"/>
        </w:rPr>
      </w:pPr>
    </w:p>
    <w:p w14:paraId="5552835D">
      <w:pPr>
        <w:spacing w:line="428" w:lineRule="exact"/>
        <w:rPr>
          <w:rFonts w:hint="eastAsia" w:ascii="黑体" w:hAnsi="黑体" w:eastAsia="黑体" w:cs="黑体"/>
          <w:sz w:val="32"/>
          <w:szCs w:val="32"/>
        </w:rPr>
        <w:sectPr>
          <w:pgSz w:w="11910" w:h="16840"/>
          <w:pgMar w:top="1520" w:right="1500" w:bottom="280" w:left="1680" w:header="720" w:footer="720" w:gutter="0"/>
          <w:cols w:space="720" w:num="1"/>
          <w:titlePg/>
          <w:docGrid w:linePitch="286" w:charSpace="0"/>
        </w:sectPr>
      </w:pPr>
    </w:p>
    <w:p w14:paraId="542882BA">
      <w:pPr>
        <w:spacing w:line="428" w:lineRule="exact"/>
        <w:rPr>
          <w:rFonts w:ascii="Arial Unicode MS" w:hAnsi="Arial Unicode MS" w:eastAsia="Arial Unicode MS" w:cs="Arial Unicode MS"/>
          <w:sz w:val="32"/>
          <w:szCs w:val="32"/>
        </w:rPr>
      </w:pPr>
      <w:r>
        <w:rPr>
          <w:rFonts w:hint="eastAsia" w:ascii="黑体" w:hAnsi="黑体" w:eastAsia="黑体" w:cs="黑体"/>
          <w:sz w:val="32"/>
          <w:szCs w:val="32"/>
        </w:rPr>
        <w:t>附件1：</w:t>
      </w:r>
    </w:p>
    <w:p w14:paraId="0180FED5">
      <w:pPr>
        <w:spacing w:before="7"/>
        <w:rPr>
          <w:rFonts w:hint="eastAsia" w:ascii="Arial Unicode MS" w:hAnsi="Arial Unicode MS" w:eastAsia="Arial Unicode MS" w:cs="Arial Unicode MS"/>
          <w:sz w:val="17"/>
          <w:szCs w:val="17"/>
        </w:rPr>
      </w:pPr>
    </w:p>
    <w:p w14:paraId="5E0F7335">
      <w:pPr>
        <w:spacing w:line="528" w:lineRule="exact"/>
        <w:ind w:left="1871"/>
        <w:rPr>
          <w:rFonts w:hint="eastAsia" w:ascii="Arial Unicode MS" w:hAnsi="Arial Unicode MS" w:eastAsia="Arial Unicode MS" w:cs="Arial Unicode MS"/>
          <w:sz w:val="40"/>
          <w:szCs w:val="40"/>
        </w:rPr>
      </w:pPr>
      <w:r>
        <w:rPr>
          <w:rFonts w:hint="eastAsia" w:ascii="方正小标宋简体" w:hAnsi="方正小标宋简体" w:eastAsia="方正小标宋简体" w:cs="方正小标宋简体"/>
          <w:sz w:val="44"/>
          <w:szCs w:val="44"/>
        </w:rPr>
        <w:t>节能产品政府采购品目清单</w:t>
      </w:r>
    </w:p>
    <w:tbl>
      <w:tblPr>
        <w:tblStyle w:val="5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5"/>
        <w:gridCol w:w="1492"/>
        <w:gridCol w:w="1571"/>
        <w:gridCol w:w="1435"/>
        <w:gridCol w:w="3743"/>
      </w:tblGrid>
      <w:tr w14:paraId="02986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tcBorders>
              <w:top w:val="single" w:color="000000" w:sz="4" w:space="0"/>
              <w:left w:val="single" w:color="000000" w:sz="4" w:space="0"/>
              <w:bottom w:val="single" w:color="000000" w:sz="4" w:space="0"/>
              <w:right w:val="single" w:color="000000" w:sz="4" w:space="0"/>
            </w:tcBorders>
            <w:noWrap w:val="0"/>
            <w:vAlign w:val="center"/>
          </w:tcPr>
          <w:p w14:paraId="735E74C7">
            <w:pPr>
              <w:jc w:val="center"/>
              <w:rPr>
                <w:rFonts w:ascii="Calibri" w:hAnsi="Calibri"/>
                <w:szCs w:val="22"/>
              </w:rPr>
            </w:pPr>
            <w:r>
              <w:rPr>
                <w:rFonts w:hint="eastAsia" w:ascii="宋体" w:hAnsi="宋体" w:cs="宋体"/>
                <w:b/>
                <w:bCs/>
                <w:w w:val="99"/>
              </w:rPr>
              <w:t>品目序号</w:t>
            </w:r>
          </w:p>
        </w:tc>
        <w:tc>
          <w:tcPr>
            <w:tcW w:w="2514" w:type="pct"/>
            <w:gridSpan w:val="3"/>
            <w:tcBorders>
              <w:top w:val="single" w:color="000000" w:sz="4" w:space="0"/>
              <w:left w:val="single" w:color="000000" w:sz="4" w:space="0"/>
              <w:bottom w:val="single" w:color="000000" w:sz="4" w:space="0"/>
              <w:right w:val="single" w:color="000000" w:sz="4" w:space="0"/>
            </w:tcBorders>
            <w:noWrap w:val="0"/>
            <w:vAlign w:val="center"/>
          </w:tcPr>
          <w:p w14:paraId="582836C0">
            <w:pPr>
              <w:jc w:val="center"/>
              <w:rPr>
                <w:rFonts w:ascii="Calibri" w:hAnsi="Calibri"/>
                <w:szCs w:val="22"/>
              </w:rPr>
            </w:pPr>
            <w:r>
              <w:rPr>
                <w:rFonts w:hint="eastAsia" w:ascii="宋体" w:hAnsi="宋体" w:cs="宋体"/>
                <w:b/>
                <w:bCs/>
                <w:w w:val="99"/>
              </w:rPr>
              <w:t>名称</w:t>
            </w:r>
          </w:p>
        </w:tc>
        <w:tc>
          <w:tcPr>
            <w:tcW w:w="2092" w:type="pct"/>
            <w:tcBorders>
              <w:top w:val="single" w:color="000000" w:sz="4" w:space="0"/>
              <w:left w:val="single" w:color="000000" w:sz="4" w:space="0"/>
              <w:bottom w:val="single" w:color="000000" w:sz="4" w:space="0"/>
              <w:right w:val="single" w:color="000000" w:sz="4" w:space="0"/>
            </w:tcBorders>
            <w:noWrap w:val="0"/>
            <w:vAlign w:val="center"/>
          </w:tcPr>
          <w:p w14:paraId="2DAC6737">
            <w:pPr>
              <w:jc w:val="center"/>
              <w:rPr>
                <w:rFonts w:ascii="Calibri" w:hAnsi="Calibri"/>
                <w:szCs w:val="22"/>
              </w:rPr>
            </w:pPr>
            <w:r>
              <w:rPr>
                <w:rFonts w:hint="eastAsia" w:ascii="宋体" w:hAnsi="宋体" w:cs="宋体"/>
                <w:b/>
                <w:bCs/>
                <w:w w:val="99"/>
              </w:rPr>
              <w:t>依据的标准</w:t>
            </w:r>
          </w:p>
        </w:tc>
      </w:tr>
      <w:tr w14:paraId="157BE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restart"/>
            <w:tcBorders>
              <w:top w:val="single" w:color="000000" w:sz="4" w:space="0"/>
              <w:left w:val="single" w:color="000000" w:sz="4" w:space="0"/>
              <w:bottom w:val="single" w:color="000000" w:sz="4" w:space="0"/>
              <w:right w:val="single" w:color="000000" w:sz="4" w:space="0"/>
            </w:tcBorders>
            <w:noWrap w:val="0"/>
            <w:vAlign w:val="center"/>
          </w:tcPr>
          <w:p w14:paraId="6F6B1731">
            <w:pPr>
              <w:jc w:val="center"/>
              <w:rPr>
                <w:rFonts w:ascii="宋体" w:hAnsi="宋体"/>
                <w:szCs w:val="21"/>
              </w:rPr>
            </w:pPr>
            <w:r>
              <w:rPr>
                <w:rFonts w:hint="eastAsia" w:ascii="宋体" w:hAnsi="宋体"/>
                <w:szCs w:val="21"/>
              </w:rPr>
              <w:t>1</w:t>
            </w:r>
          </w:p>
        </w:tc>
        <w:tc>
          <w:tcPr>
            <w:tcW w:w="834" w:type="pct"/>
            <w:vMerge w:val="restart"/>
            <w:tcBorders>
              <w:top w:val="single" w:color="000000" w:sz="4" w:space="0"/>
              <w:left w:val="single" w:color="000000" w:sz="4" w:space="0"/>
              <w:bottom w:val="single" w:color="000000" w:sz="4" w:space="0"/>
              <w:right w:val="single" w:color="000000" w:sz="4" w:space="0"/>
            </w:tcBorders>
            <w:noWrap w:val="0"/>
            <w:vAlign w:val="center"/>
          </w:tcPr>
          <w:p w14:paraId="4BF14715">
            <w:pPr>
              <w:jc w:val="center"/>
              <w:rPr>
                <w:rFonts w:ascii="宋体" w:hAnsi="宋体"/>
                <w:szCs w:val="21"/>
              </w:rPr>
            </w:pPr>
            <w:r>
              <w:rPr>
                <w:rFonts w:hint="eastAsia" w:ascii="宋体" w:hAnsi="宋体" w:cs="仿宋_GB2312"/>
                <w:szCs w:val="21"/>
              </w:rPr>
              <w:t>A02010100</w:t>
            </w:r>
            <w:r>
              <w:rPr>
                <w:rFonts w:hint="eastAsia" w:ascii="宋体" w:hAnsi="宋体" w:cs="宋体"/>
                <w:w w:val="99"/>
                <w:szCs w:val="21"/>
              </w:rPr>
              <w:t>计算机</w:t>
            </w:r>
          </w:p>
        </w:tc>
        <w:tc>
          <w:tcPr>
            <w:tcW w:w="878" w:type="pct"/>
            <w:tcBorders>
              <w:top w:val="single" w:color="000000" w:sz="4" w:space="0"/>
              <w:left w:val="single" w:color="000000" w:sz="4" w:space="0"/>
              <w:bottom w:val="single" w:color="000000" w:sz="4" w:space="0"/>
              <w:right w:val="single" w:color="000000" w:sz="4" w:space="0"/>
            </w:tcBorders>
            <w:noWrap w:val="0"/>
            <w:vAlign w:val="center"/>
          </w:tcPr>
          <w:p w14:paraId="77729904">
            <w:pPr>
              <w:pStyle w:val="111"/>
              <w:spacing w:before="93"/>
              <w:ind w:left="7" w:right="5"/>
              <w:jc w:val="center"/>
              <w:rPr>
                <w:rFonts w:ascii="宋体" w:hAnsi="宋体" w:cs="宋体"/>
                <w:kern w:val="2"/>
                <w:sz w:val="21"/>
                <w:szCs w:val="21"/>
              </w:rPr>
            </w:pPr>
            <w:r>
              <w:rPr>
                <w:rFonts w:hint="eastAsia" w:ascii="宋体" w:hAnsi="宋体" w:cs="宋体"/>
                <w:w w:val="99"/>
                <w:kern w:val="2"/>
                <w:sz w:val="21"/>
                <w:szCs w:val="21"/>
              </w:rPr>
              <w:t>★</w:t>
            </w:r>
            <w:r>
              <w:rPr>
                <w:rFonts w:hint="eastAsia" w:ascii="宋体" w:hAnsi="宋体" w:cs="仿宋_GB2312"/>
                <w:kern w:val="2"/>
                <w:sz w:val="21"/>
                <w:szCs w:val="21"/>
              </w:rPr>
              <w:t>A02010105</w:t>
            </w:r>
            <w:r>
              <w:rPr>
                <w:rFonts w:hint="eastAsia" w:ascii="宋体" w:hAnsi="宋体" w:cs="宋体"/>
                <w:w w:val="99"/>
                <w:kern w:val="2"/>
                <w:sz w:val="21"/>
                <w:szCs w:val="21"/>
              </w:rPr>
              <w:t>台式计算机</w:t>
            </w: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795DAAAB">
            <w:pPr>
              <w:jc w:val="center"/>
              <w:rPr>
                <w:rFonts w:ascii="宋体" w:hAnsi="宋体"/>
                <w:szCs w:val="21"/>
              </w:rPr>
            </w:pPr>
          </w:p>
        </w:tc>
        <w:tc>
          <w:tcPr>
            <w:tcW w:w="2092" w:type="pct"/>
            <w:tcBorders>
              <w:top w:val="single" w:color="000000" w:sz="4" w:space="0"/>
              <w:left w:val="single" w:color="000000" w:sz="4" w:space="0"/>
              <w:bottom w:val="single" w:color="000000" w:sz="4" w:space="0"/>
              <w:right w:val="single" w:color="000000" w:sz="4" w:space="0"/>
            </w:tcBorders>
            <w:noWrap w:val="0"/>
            <w:vAlign w:val="top"/>
          </w:tcPr>
          <w:p w14:paraId="69570833">
            <w:pPr>
              <w:pStyle w:val="111"/>
              <w:spacing w:before="93"/>
              <w:ind w:left="7" w:right="4"/>
              <w:rPr>
                <w:rFonts w:ascii="宋体" w:hAnsi="宋体" w:cs="宋体"/>
                <w:kern w:val="2"/>
                <w:sz w:val="21"/>
                <w:szCs w:val="21"/>
                <w:lang w:eastAsia="zh-CN"/>
              </w:rPr>
            </w:pPr>
            <w:r>
              <w:rPr>
                <w:rFonts w:hint="eastAsia" w:ascii="宋体" w:hAnsi="宋体" w:cs="宋体"/>
                <w:spacing w:val="12"/>
                <w:w w:val="99"/>
                <w:kern w:val="2"/>
                <w:sz w:val="21"/>
                <w:szCs w:val="21"/>
                <w:lang w:eastAsia="zh-CN"/>
              </w:rPr>
              <w:t>《微型计算机能效限定</w:t>
            </w:r>
            <w:r>
              <w:rPr>
                <w:rFonts w:hint="eastAsia" w:ascii="宋体" w:hAnsi="宋体" w:cs="宋体"/>
                <w:spacing w:val="9"/>
                <w:w w:val="99"/>
                <w:kern w:val="2"/>
                <w:sz w:val="21"/>
                <w:szCs w:val="21"/>
                <w:lang w:eastAsia="zh-CN"/>
              </w:rPr>
              <w:t>值</w:t>
            </w:r>
            <w:r>
              <w:rPr>
                <w:rFonts w:hint="eastAsia" w:ascii="宋体" w:hAnsi="宋体" w:cs="宋体"/>
                <w:spacing w:val="12"/>
                <w:w w:val="99"/>
                <w:kern w:val="2"/>
                <w:sz w:val="21"/>
                <w:szCs w:val="21"/>
                <w:lang w:eastAsia="zh-CN"/>
              </w:rPr>
              <w:t>及能</w:t>
            </w:r>
            <w:r>
              <w:rPr>
                <w:rFonts w:hint="eastAsia" w:ascii="宋体" w:hAnsi="宋体" w:cs="宋体"/>
                <w:w w:val="99"/>
                <w:kern w:val="2"/>
                <w:sz w:val="21"/>
                <w:szCs w:val="21"/>
                <w:lang w:eastAsia="zh-CN"/>
              </w:rPr>
              <w:t>效等级》（</w:t>
            </w:r>
            <w:r>
              <w:rPr>
                <w:rFonts w:hint="eastAsia" w:ascii="宋体" w:hAnsi="宋体" w:cs="宋体"/>
                <w:spacing w:val="1"/>
                <w:w w:val="99"/>
                <w:kern w:val="2"/>
                <w:sz w:val="21"/>
                <w:szCs w:val="21"/>
                <w:lang w:eastAsia="zh-CN"/>
              </w:rPr>
              <w:t>G</w:t>
            </w:r>
            <w:r>
              <w:rPr>
                <w:rFonts w:hint="eastAsia" w:ascii="宋体" w:hAnsi="宋体" w:cs="宋体"/>
                <w:w w:val="99"/>
                <w:kern w:val="2"/>
                <w:sz w:val="21"/>
                <w:szCs w:val="21"/>
                <w:lang w:eastAsia="zh-CN"/>
              </w:rPr>
              <w:t>B</w:t>
            </w:r>
            <w:r>
              <w:rPr>
                <w:rFonts w:hint="eastAsia" w:ascii="宋体" w:hAnsi="宋体" w:cs="宋体"/>
                <w:spacing w:val="1"/>
                <w:w w:val="99"/>
                <w:kern w:val="2"/>
                <w:sz w:val="21"/>
                <w:szCs w:val="21"/>
                <w:lang w:eastAsia="zh-CN"/>
              </w:rPr>
              <w:t>28380</w:t>
            </w:r>
            <w:r>
              <w:rPr>
                <w:rFonts w:hint="eastAsia" w:ascii="宋体" w:hAnsi="宋体" w:cs="宋体"/>
                <w:w w:val="99"/>
                <w:kern w:val="2"/>
                <w:sz w:val="21"/>
                <w:szCs w:val="21"/>
                <w:lang w:eastAsia="zh-CN"/>
              </w:rPr>
              <w:t>）</w:t>
            </w:r>
          </w:p>
        </w:tc>
      </w:tr>
      <w:tr w14:paraId="132EC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continue"/>
            <w:tcBorders>
              <w:top w:val="single" w:color="000000" w:sz="4" w:space="0"/>
              <w:left w:val="single" w:color="000000" w:sz="4" w:space="0"/>
              <w:bottom w:val="single" w:color="000000" w:sz="4" w:space="0"/>
              <w:right w:val="single" w:color="000000" w:sz="4" w:space="0"/>
            </w:tcBorders>
            <w:noWrap w:val="0"/>
            <w:vAlign w:val="center"/>
          </w:tcPr>
          <w:p w14:paraId="212450A5">
            <w:pPr>
              <w:widowControl/>
              <w:jc w:val="left"/>
              <w:rPr>
                <w:rFonts w:ascii="宋体" w:hAnsi="宋体"/>
                <w:szCs w:val="21"/>
              </w:rPr>
            </w:pPr>
          </w:p>
        </w:tc>
        <w:tc>
          <w:tcPr>
            <w:tcW w:w="834" w:type="pct"/>
            <w:vMerge w:val="continue"/>
            <w:tcBorders>
              <w:top w:val="single" w:color="000000" w:sz="4" w:space="0"/>
              <w:left w:val="single" w:color="000000" w:sz="4" w:space="0"/>
              <w:bottom w:val="single" w:color="000000" w:sz="4" w:space="0"/>
              <w:right w:val="single" w:color="000000" w:sz="4" w:space="0"/>
            </w:tcBorders>
            <w:noWrap w:val="0"/>
            <w:vAlign w:val="center"/>
          </w:tcPr>
          <w:p w14:paraId="7A3E67F0">
            <w:pPr>
              <w:widowControl/>
              <w:jc w:val="left"/>
              <w:rPr>
                <w:rFonts w:ascii="宋体" w:hAnsi="宋体"/>
                <w:szCs w:val="21"/>
              </w:rPr>
            </w:pPr>
          </w:p>
        </w:tc>
        <w:tc>
          <w:tcPr>
            <w:tcW w:w="878" w:type="pct"/>
            <w:tcBorders>
              <w:top w:val="single" w:color="000000" w:sz="4" w:space="0"/>
              <w:left w:val="single" w:color="000000" w:sz="4" w:space="0"/>
              <w:bottom w:val="single" w:color="000000" w:sz="4" w:space="0"/>
              <w:right w:val="single" w:color="000000" w:sz="4" w:space="0"/>
            </w:tcBorders>
            <w:noWrap w:val="0"/>
            <w:vAlign w:val="center"/>
          </w:tcPr>
          <w:p w14:paraId="076C4F58">
            <w:pPr>
              <w:pStyle w:val="111"/>
              <w:spacing w:before="44"/>
              <w:ind w:left="7" w:right="5"/>
              <w:jc w:val="center"/>
              <w:rPr>
                <w:rFonts w:ascii="宋体" w:hAnsi="宋体" w:cs="宋体"/>
                <w:kern w:val="2"/>
                <w:sz w:val="21"/>
                <w:szCs w:val="21"/>
              </w:rPr>
            </w:pPr>
            <w:r>
              <w:rPr>
                <w:rFonts w:hint="eastAsia" w:ascii="宋体" w:hAnsi="宋体" w:cs="宋体"/>
                <w:w w:val="99"/>
                <w:kern w:val="2"/>
                <w:sz w:val="21"/>
                <w:szCs w:val="21"/>
              </w:rPr>
              <w:t>★</w:t>
            </w:r>
            <w:r>
              <w:rPr>
                <w:rFonts w:hint="eastAsia" w:ascii="宋体" w:hAnsi="宋体" w:cs="仿宋_GB2312"/>
                <w:kern w:val="2"/>
                <w:sz w:val="21"/>
                <w:szCs w:val="21"/>
              </w:rPr>
              <w:t>A02010108</w:t>
            </w:r>
            <w:r>
              <w:rPr>
                <w:rFonts w:hint="eastAsia" w:ascii="宋体" w:hAnsi="宋体" w:cs="宋体"/>
                <w:w w:val="99"/>
                <w:kern w:val="2"/>
                <w:sz w:val="21"/>
                <w:szCs w:val="21"/>
              </w:rPr>
              <w:t>便携式计算机</w:t>
            </w: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43D66C75">
            <w:pPr>
              <w:jc w:val="center"/>
              <w:rPr>
                <w:rFonts w:ascii="宋体" w:hAnsi="宋体"/>
                <w:szCs w:val="21"/>
              </w:rPr>
            </w:pPr>
          </w:p>
        </w:tc>
        <w:tc>
          <w:tcPr>
            <w:tcW w:w="2092" w:type="pct"/>
            <w:tcBorders>
              <w:top w:val="single" w:color="000000" w:sz="4" w:space="0"/>
              <w:left w:val="single" w:color="000000" w:sz="4" w:space="0"/>
              <w:bottom w:val="single" w:color="000000" w:sz="4" w:space="0"/>
              <w:right w:val="single" w:color="000000" w:sz="4" w:space="0"/>
            </w:tcBorders>
            <w:noWrap w:val="0"/>
            <w:vAlign w:val="top"/>
          </w:tcPr>
          <w:p w14:paraId="62FAA2ED">
            <w:pPr>
              <w:pStyle w:val="111"/>
              <w:spacing w:before="44"/>
              <w:ind w:left="7" w:right="4"/>
              <w:rPr>
                <w:rFonts w:ascii="宋体" w:hAnsi="宋体" w:cs="宋体"/>
                <w:kern w:val="2"/>
                <w:sz w:val="21"/>
                <w:szCs w:val="21"/>
                <w:lang w:eastAsia="zh-CN"/>
              </w:rPr>
            </w:pPr>
            <w:r>
              <w:rPr>
                <w:rFonts w:hint="eastAsia" w:ascii="宋体" w:hAnsi="宋体" w:cs="宋体"/>
                <w:spacing w:val="12"/>
                <w:w w:val="99"/>
                <w:kern w:val="2"/>
                <w:sz w:val="21"/>
                <w:szCs w:val="21"/>
                <w:lang w:eastAsia="zh-CN"/>
              </w:rPr>
              <w:t>《微型计算机能效限定</w:t>
            </w:r>
            <w:r>
              <w:rPr>
                <w:rFonts w:hint="eastAsia" w:ascii="宋体" w:hAnsi="宋体" w:cs="宋体"/>
                <w:spacing w:val="9"/>
                <w:w w:val="99"/>
                <w:kern w:val="2"/>
                <w:sz w:val="21"/>
                <w:szCs w:val="21"/>
                <w:lang w:eastAsia="zh-CN"/>
              </w:rPr>
              <w:t>值</w:t>
            </w:r>
            <w:r>
              <w:rPr>
                <w:rFonts w:hint="eastAsia" w:ascii="宋体" w:hAnsi="宋体" w:cs="宋体"/>
                <w:spacing w:val="12"/>
                <w:w w:val="99"/>
                <w:kern w:val="2"/>
                <w:sz w:val="21"/>
                <w:szCs w:val="21"/>
                <w:lang w:eastAsia="zh-CN"/>
              </w:rPr>
              <w:t>及能</w:t>
            </w:r>
            <w:r>
              <w:rPr>
                <w:rFonts w:hint="eastAsia" w:ascii="宋体" w:hAnsi="宋体" w:cs="宋体"/>
                <w:w w:val="99"/>
                <w:kern w:val="2"/>
                <w:sz w:val="21"/>
                <w:szCs w:val="21"/>
                <w:lang w:eastAsia="zh-CN"/>
              </w:rPr>
              <w:t>效等级》（</w:t>
            </w:r>
            <w:r>
              <w:rPr>
                <w:rFonts w:hint="eastAsia" w:ascii="宋体" w:hAnsi="宋体" w:cs="宋体"/>
                <w:spacing w:val="1"/>
                <w:w w:val="99"/>
                <w:kern w:val="2"/>
                <w:sz w:val="21"/>
                <w:szCs w:val="21"/>
                <w:lang w:eastAsia="zh-CN"/>
              </w:rPr>
              <w:t>G</w:t>
            </w:r>
            <w:r>
              <w:rPr>
                <w:rFonts w:hint="eastAsia" w:ascii="宋体" w:hAnsi="宋体" w:cs="宋体"/>
                <w:w w:val="99"/>
                <w:kern w:val="2"/>
                <w:sz w:val="21"/>
                <w:szCs w:val="21"/>
                <w:lang w:eastAsia="zh-CN"/>
              </w:rPr>
              <w:t>B</w:t>
            </w:r>
            <w:r>
              <w:rPr>
                <w:rFonts w:hint="eastAsia" w:ascii="宋体" w:hAnsi="宋体" w:cs="宋体"/>
                <w:spacing w:val="1"/>
                <w:w w:val="99"/>
                <w:kern w:val="2"/>
                <w:sz w:val="21"/>
                <w:szCs w:val="21"/>
                <w:lang w:eastAsia="zh-CN"/>
              </w:rPr>
              <w:t>28380</w:t>
            </w:r>
            <w:r>
              <w:rPr>
                <w:rFonts w:hint="eastAsia" w:ascii="宋体" w:hAnsi="宋体" w:cs="宋体"/>
                <w:w w:val="99"/>
                <w:kern w:val="2"/>
                <w:sz w:val="21"/>
                <w:szCs w:val="21"/>
                <w:lang w:eastAsia="zh-CN"/>
              </w:rPr>
              <w:t>）</w:t>
            </w:r>
          </w:p>
        </w:tc>
      </w:tr>
      <w:tr w14:paraId="2B1AD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continue"/>
            <w:tcBorders>
              <w:top w:val="single" w:color="000000" w:sz="4" w:space="0"/>
              <w:left w:val="single" w:color="000000" w:sz="4" w:space="0"/>
              <w:bottom w:val="single" w:color="000000" w:sz="4" w:space="0"/>
              <w:right w:val="single" w:color="000000" w:sz="4" w:space="0"/>
            </w:tcBorders>
            <w:noWrap w:val="0"/>
            <w:vAlign w:val="center"/>
          </w:tcPr>
          <w:p w14:paraId="4F79CCFF">
            <w:pPr>
              <w:widowControl/>
              <w:jc w:val="left"/>
              <w:rPr>
                <w:rFonts w:ascii="宋体" w:hAnsi="宋体"/>
                <w:szCs w:val="21"/>
              </w:rPr>
            </w:pPr>
          </w:p>
        </w:tc>
        <w:tc>
          <w:tcPr>
            <w:tcW w:w="834" w:type="pct"/>
            <w:vMerge w:val="continue"/>
            <w:tcBorders>
              <w:top w:val="single" w:color="000000" w:sz="4" w:space="0"/>
              <w:left w:val="single" w:color="000000" w:sz="4" w:space="0"/>
              <w:bottom w:val="single" w:color="000000" w:sz="4" w:space="0"/>
              <w:right w:val="single" w:color="000000" w:sz="4" w:space="0"/>
            </w:tcBorders>
            <w:noWrap w:val="0"/>
            <w:vAlign w:val="center"/>
          </w:tcPr>
          <w:p w14:paraId="2ECD38C5">
            <w:pPr>
              <w:widowControl/>
              <w:jc w:val="left"/>
              <w:rPr>
                <w:rFonts w:ascii="宋体" w:hAnsi="宋体"/>
                <w:szCs w:val="21"/>
              </w:rPr>
            </w:pPr>
          </w:p>
        </w:tc>
        <w:tc>
          <w:tcPr>
            <w:tcW w:w="878" w:type="pct"/>
            <w:tcBorders>
              <w:top w:val="single" w:color="000000" w:sz="4" w:space="0"/>
              <w:left w:val="single" w:color="000000" w:sz="4" w:space="0"/>
              <w:bottom w:val="single" w:color="000000" w:sz="4" w:space="0"/>
              <w:right w:val="single" w:color="000000" w:sz="4" w:space="0"/>
            </w:tcBorders>
            <w:noWrap w:val="0"/>
            <w:vAlign w:val="center"/>
          </w:tcPr>
          <w:p w14:paraId="3AAA9B12">
            <w:pPr>
              <w:pStyle w:val="111"/>
              <w:spacing w:before="64"/>
              <w:ind w:left="7" w:right="5"/>
              <w:jc w:val="center"/>
              <w:rPr>
                <w:rFonts w:ascii="宋体" w:hAnsi="宋体" w:cs="宋体"/>
                <w:kern w:val="2"/>
                <w:sz w:val="21"/>
                <w:szCs w:val="21"/>
                <w:lang w:eastAsia="zh-CN"/>
              </w:rPr>
            </w:pPr>
            <w:r>
              <w:rPr>
                <w:rFonts w:hint="eastAsia" w:ascii="宋体" w:hAnsi="宋体" w:cs="宋体"/>
                <w:w w:val="99"/>
                <w:kern w:val="2"/>
                <w:sz w:val="21"/>
                <w:szCs w:val="21"/>
                <w:lang w:eastAsia="zh-CN"/>
              </w:rPr>
              <w:t>★</w:t>
            </w:r>
            <w:r>
              <w:rPr>
                <w:rFonts w:hint="eastAsia" w:ascii="宋体" w:hAnsi="宋体" w:cs="仿宋_GB2312"/>
                <w:kern w:val="2"/>
                <w:sz w:val="21"/>
                <w:szCs w:val="21"/>
                <w:lang w:eastAsia="zh-CN"/>
              </w:rPr>
              <w:t>A02010109平板式计算机</w:t>
            </w: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7165A268">
            <w:pPr>
              <w:jc w:val="center"/>
              <w:rPr>
                <w:rFonts w:ascii="宋体" w:hAnsi="宋体"/>
                <w:szCs w:val="21"/>
              </w:rPr>
            </w:pPr>
          </w:p>
        </w:tc>
        <w:tc>
          <w:tcPr>
            <w:tcW w:w="2092" w:type="pct"/>
            <w:tcBorders>
              <w:top w:val="single" w:color="000000" w:sz="4" w:space="0"/>
              <w:left w:val="single" w:color="000000" w:sz="4" w:space="0"/>
              <w:bottom w:val="single" w:color="000000" w:sz="4" w:space="0"/>
              <w:right w:val="single" w:color="000000" w:sz="4" w:space="0"/>
            </w:tcBorders>
            <w:noWrap w:val="0"/>
            <w:vAlign w:val="top"/>
          </w:tcPr>
          <w:p w14:paraId="748C5B95">
            <w:pPr>
              <w:pStyle w:val="111"/>
              <w:spacing w:before="64"/>
              <w:ind w:left="7" w:right="4"/>
              <w:rPr>
                <w:rFonts w:ascii="宋体" w:hAnsi="宋体" w:cs="宋体"/>
                <w:kern w:val="2"/>
                <w:sz w:val="21"/>
                <w:szCs w:val="21"/>
                <w:lang w:eastAsia="zh-CN"/>
              </w:rPr>
            </w:pPr>
            <w:r>
              <w:rPr>
                <w:rFonts w:hint="eastAsia" w:ascii="宋体" w:hAnsi="宋体" w:cs="宋体"/>
                <w:spacing w:val="12"/>
                <w:w w:val="99"/>
                <w:kern w:val="2"/>
                <w:sz w:val="21"/>
                <w:szCs w:val="21"/>
                <w:lang w:eastAsia="zh-CN"/>
              </w:rPr>
              <w:t>《微型计算机能效限定</w:t>
            </w:r>
            <w:r>
              <w:rPr>
                <w:rFonts w:hint="eastAsia" w:ascii="宋体" w:hAnsi="宋体" w:cs="宋体"/>
                <w:spacing w:val="9"/>
                <w:w w:val="99"/>
                <w:kern w:val="2"/>
                <w:sz w:val="21"/>
                <w:szCs w:val="21"/>
                <w:lang w:eastAsia="zh-CN"/>
              </w:rPr>
              <w:t>值</w:t>
            </w:r>
            <w:r>
              <w:rPr>
                <w:rFonts w:hint="eastAsia" w:ascii="宋体" w:hAnsi="宋体" w:cs="宋体"/>
                <w:spacing w:val="12"/>
                <w:w w:val="99"/>
                <w:kern w:val="2"/>
                <w:sz w:val="21"/>
                <w:szCs w:val="21"/>
                <w:lang w:eastAsia="zh-CN"/>
              </w:rPr>
              <w:t>及能</w:t>
            </w:r>
            <w:r>
              <w:rPr>
                <w:rFonts w:hint="eastAsia" w:ascii="宋体" w:hAnsi="宋体" w:cs="宋体"/>
                <w:w w:val="99"/>
                <w:kern w:val="2"/>
                <w:sz w:val="21"/>
                <w:szCs w:val="21"/>
                <w:lang w:eastAsia="zh-CN"/>
              </w:rPr>
              <w:t>效等级》（</w:t>
            </w:r>
            <w:r>
              <w:rPr>
                <w:rFonts w:hint="eastAsia" w:ascii="宋体" w:hAnsi="宋体" w:cs="宋体"/>
                <w:spacing w:val="1"/>
                <w:w w:val="99"/>
                <w:kern w:val="2"/>
                <w:sz w:val="21"/>
                <w:szCs w:val="21"/>
                <w:lang w:eastAsia="zh-CN"/>
              </w:rPr>
              <w:t>G</w:t>
            </w:r>
            <w:r>
              <w:rPr>
                <w:rFonts w:hint="eastAsia" w:ascii="宋体" w:hAnsi="宋体" w:cs="宋体"/>
                <w:w w:val="99"/>
                <w:kern w:val="2"/>
                <w:sz w:val="21"/>
                <w:szCs w:val="21"/>
                <w:lang w:eastAsia="zh-CN"/>
              </w:rPr>
              <w:t>B</w:t>
            </w:r>
            <w:r>
              <w:rPr>
                <w:rFonts w:hint="eastAsia" w:ascii="宋体" w:hAnsi="宋体" w:cs="宋体"/>
                <w:spacing w:val="1"/>
                <w:w w:val="99"/>
                <w:kern w:val="2"/>
                <w:sz w:val="21"/>
                <w:szCs w:val="21"/>
                <w:lang w:eastAsia="zh-CN"/>
              </w:rPr>
              <w:t>28380</w:t>
            </w:r>
            <w:r>
              <w:rPr>
                <w:rFonts w:hint="eastAsia" w:ascii="宋体" w:hAnsi="宋体" w:cs="宋体"/>
                <w:w w:val="99"/>
                <w:kern w:val="2"/>
                <w:sz w:val="21"/>
                <w:szCs w:val="21"/>
                <w:lang w:eastAsia="zh-CN"/>
              </w:rPr>
              <w:t>）</w:t>
            </w:r>
          </w:p>
        </w:tc>
      </w:tr>
      <w:tr w14:paraId="0D529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restart"/>
            <w:tcBorders>
              <w:top w:val="single" w:color="000000" w:sz="4" w:space="0"/>
              <w:left w:val="single" w:color="000000" w:sz="4" w:space="0"/>
              <w:bottom w:val="single" w:color="000000" w:sz="4" w:space="0"/>
              <w:right w:val="single" w:color="000000" w:sz="4" w:space="0"/>
            </w:tcBorders>
            <w:noWrap w:val="0"/>
            <w:vAlign w:val="center"/>
          </w:tcPr>
          <w:p w14:paraId="0E2DE204">
            <w:pPr>
              <w:jc w:val="center"/>
              <w:rPr>
                <w:rFonts w:ascii="宋体" w:hAnsi="宋体"/>
                <w:szCs w:val="21"/>
              </w:rPr>
            </w:pPr>
            <w:r>
              <w:rPr>
                <w:rFonts w:hint="eastAsia" w:ascii="宋体" w:hAnsi="宋体"/>
                <w:szCs w:val="21"/>
              </w:rPr>
              <w:t>2</w:t>
            </w:r>
          </w:p>
        </w:tc>
        <w:tc>
          <w:tcPr>
            <w:tcW w:w="834" w:type="pct"/>
            <w:vMerge w:val="restart"/>
            <w:tcBorders>
              <w:top w:val="single" w:color="000000" w:sz="4" w:space="0"/>
              <w:left w:val="single" w:color="000000" w:sz="4" w:space="0"/>
              <w:bottom w:val="single" w:color="000000" w:sz="4" w:space="0"/>
              <w:right w:val="single" w:color="000000" w:sz="4" w:space="0"/>
            </w:tcBorders>
            <w:noWrap w:val="0"/>
            <w:vAlign w:val="center"/>
          </w:tcPr>
          <w:p w14:paraId="012FB6A2">
            <w:pPr>
              <w:pStyle w:val="111"/>
              <w:ind w:left="7"/>
              <w:jc w:val="center"/>
              <w:rPr>
                <w:rFonts w:ascii="宋体" w:hAnsi="宋体" w:cs="宋体"/>
                <w:kern w:val="2"/>
                <w:sz w:val="21"/>
                <w:szCs w:val="21"/>
              </w:rPr>
            </w:pPr>
            <w:r>
              <w:rPr>
                <w:rFonts w:hint="eastAsia" w:ascii="宋体" w:hAnsi="宋体" w:cs="仿宋_GB2312"/>
                <w:kern w:val="2"/>
                <w:sz w:val="21"/>
                <w:szCs w:val="21"/>
              </w:rPr>
              <w:t>A02020000</w:t>
            </w:r>
            <w:r>
              <w:rPr>
                <w:rFonts w:hint="eastAsia" w:ascii="宋体" w:hAnsi="宋体" w:cs="宋体"/>
                <w:w w:val="99"/>
                <w:kern w:val="2"/>
                <w:sz w:val="21"/>
                <w:szCs w:val="21"/>
              </w:rPr>
              <w:t>办公设备</w:t>
            </w:r>
          </w:p>
        </w:tc>
        <w:tc>
          <w:tcPr>
            <w:tcW w:w="878" w:type="pct"/>
            <w:vMerge w:val="restart"/>
            <w:tcBorders>
              <w:top w:val="single" w:color="000000" w:sz="4" w:space="0"/>
              <w:left w:val="single" w:color="000000" w:sz="4" w:space="0"/>
              <w:bottom w:val="single" w:color="000000" w:sz="4" w:space="0"/>
              <w:right w:val="single" w:color="000000" w:sz="4" w:space="0"/>
            </w:tcBorders>
            <w:noWrap w:val="0"/>
            <w:vAlign w:val="center"/>
          </w:tcPr>
          <w:p w14:paraId="1D7AE4F4">
            <w:pPr>
              <w:jc w:val="center"/>
              <w:rPr>
                <w:rFonts w:ascii="宋体" w:hAnsi="宋体"/>
                <w:szCs w:val="21"/>
              </w:rPr>
            </w:pPr>
            <w:r>
              <w:rPr>
                <w:rFonts w:hint="eastAsia" w:ascii="宋体" w:hAnsi="宋体" w:cs="宋体"/>
                <w:spacing w:val="1"/>
                <w:w w:val="99"/>
                <w:szCs w:val="21"/>
              </w:rPr>
              <w:t>A02021000</w:t>
            </w:r>
            <w:r>
              <w:rPr>
                <w:rFonts w:hint="eastAsia" w:ascii="宋体" w:hAnsi="宋体" w:cs="Arial"/>
                <w:szCs w:val="21"/>
                <w:shd w:val="clear" w:color="auto" w:fill="FFFFFF"/>
              </w:rPr>
              <w:t>打印机</w:t>
            </w: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13ACD2F1">
            <w:pPr>
              <w:jc w:val="center"/>
              <w:rPr>
                <w:rFonts w:ascii="宋体" w:hAnsi="宋体"/>
                <w:szCs w:val="21"/>
              </w:rPr>
            </w:pPr>
            <w:r>
              <w:rPr>
                <w:rFonts w:hint="eastAsia" w:ascii="宋体" w:hAnsi="宋体"/>
                <w:szCs w:val="21"/>
              </w:rPr>
              <w:t>A02021001 A3黑白打印机</w:t>
            </w:r>
          </w:p>
        </w:tc>
        <w:tc>
          <w:tcPr>
            <w:tcW w:w="2092" w:type="pct"/>
            <w:tcBorders>
              <w:top w:val="single" w:color="000000" w:sz="4" w:space="0"/>
              <w:left w:val="single" w:color="000000" w:sz="4" w:space="0"/>
              <w:bottom w:val="single" w:color="000000" w:sz="4" w:space="0"/>
              <w:right w:val="single" w:color="000000" w:sz="4" w:space="0"/>
            </w:tcBorders>
            <w:noWrap w:val="0"/>
            <w:vAlign w:val="top"/>
          </w:tcPr>
          <w:p w14:paraId="5472F5A4">
            <w:pPr>
              <w:pStyle w:val="111"/>
              <w:spacing w:before="52"/>
              <w:ind w:left="7" w:right="7"/>
              <w:rPr>
                <w:rFonts w:ascii="宋体" w:hAnsi="宋体" w:cs="宋体"/>
                <w:kern w:val="2"/>
                <w:sz w:val="21"/>
                <w:szCs w:val="21"/>
                <w:lang w:eastAsia="zh-CN"/>
              </w:rPr>
            </w:pPr>
            <w:r>
              <w:rPr>
                <w:rFonts w:hint="eastAsia" w:ascii="宋体" w:hAnsi="宋体" w:cs="宋体"/>
                <w:w w:val="99"/>
                <w:kern w:val="2"/>
                <w:sz w:val="21"/>
                <w:szCs w:val="21"/>
                <w:lang w:eastAsia="zh-CN"/>
              </w:rPr>
              <w:t>《复印</w:t>
            </w:r>
            <w:r>
              <w:rPr>
                <w:rFonts w:hint="eastAsia" w:ascii="宋体" w:hAnsi="宋体" w:cs="宋体"/>
                <w:spacing w:val="2"/>
                <w:w w:val="99"/>
                <w:kern w:val="2"/>
                <w:sz w:val="21"/>
                <w:szCs w:val="21"/>
                <w:lang w:eastAsia="zh-CN"/>
              </w:rPr>
              <w:t>机</w:t>
            </w:r>
            <w:r>
              <w:rPr>
                <w:rFonts w:hint="eastAsia" w:ascii="宋体" w:hAnsi="宋体" w:cs="宋体"/>
                <w:spacing w:val="-58"/>
                <w:w w:val="99"/>
                <w:kern w:val="2"/>
                <w:sz w:val="21"/>
                <w:szCs w:val="21"/>
                <w:lang w:eastAsia="zh-CN"/>
              </w:rPr>
              <w:t>、</w:t>
            </w:r>
            <w:r>
              <w:rPr>
                <w:rFonts w:hint="eastAsia" w:ascii="宋体" w:hAnsi="宋体" w:cs="宋体"/>
                <w:spacing w:val="2"/>
                <w:w w:val="99"/>
                <w:kern w:val="2"/>
                <w:sz w:val="21"/>
                <w:szCs w:val="21"/>
                <w:lang w:eastAsia="zh-CN"/>
              </w:rPr>
              <w:t>打</w:t>
            </w:r>
            <w:r>
              <w:rPr>
                <w:rFonts w:hint="eastAsia" w:ascii="宋体" w:hAnsi="宋体" w:cs="宋体"/>
                <w:w w:val="99"/>
                <w:kern w:val="2"/>
                <w:sz w:val="21"/>
                <w:szCs w:val="21"/>
                <w:lang w:eastAsia="zh-CN"/>
              </w:rPr>
              <w:t>印机</w:t>
            </w:r>
            <w:r>
              <w:rPr>
                <w:rFonts w:hint="eastAsia" w:ascii="宋体" w:hAnsi="宋体" w:cs="宋体"/>
                <w:spacing w:val="2"/>
                <w:w w:val="99"/>
                <w:kern w:val="2"/>
                <w:sz w:val="21"/>
                <w:szCs w:val="21"/>
                <w:lang w:eastAsia="zh-CN"/>
              </w:rPr>
              <w:t>和</w:t>
            </w:r>
            <w:r>
              <w:rPr>
                <w:rFonts w:hint="eastAsia" w:ascii="宋体" w:hAnsi="宋体" w:cs="宋体"/>
                <w:w w:val="99"/>
                <w:kern w:val="2"/>
                <w:sz w:val="21"/>
                <w:szCs w:val="21"/>
                <w:lang w:eastAsia="zh-CN"/>
              </w:rPr>
              <w:t>传真</w:t>
            </w:r>
            <w:r>
              <w:rPr>
                <w:rFonts w:hint="eastAsia" w:ascii="宋体" w:hAnsi="宋体" w:cs="宋体"/>
                <w:spacing w:val="2"/>
                <w:w w:val="99"/>
                <w:kern w:val="2"/>
                <w:sz w:val="21"/>
                <w:szCs w:val="21"/>
                <w:lang w:eastAsia="zh-CN"/>
              </w:rPr>
              <w:t>机</w:t>
            </w:r>
            <w:r>
              <w:rPr>
                <w:rFonts w:hint="eastAsia" w:ascii="宋体" w:hAnsi="宋体" w:cs="宋体"/>
                <w:w w:val="99"/>
                <w:kern w:val="2"/>
                <w:sz w:val="21"/>
                <w:szCs w:val="21"/>
                <w:lang w:eastAsia="zh-CN"/>
              </w:rPr>
              <w:t>能效限定值及</w:t>
            </w:r>
            <w:r>
              <w:rPr>
                <w:rFonts w:hint="eastAsia" w:ascii="宋体" w:hAnsi="宋体" w:cs="宋体"/>
                <w:spacing w:val="2"/>
                <w:w w:val="99"/>
                <w:kern w:val="2"/>
                <w:sz w:val="21"/>
                <w:szCs w:val="21"/>
                <w:lang w:eastAsia="zh-CN"/>
              </w:rPr>
              <w:t>能</w:t>
            </w:r>
            <w:r>
              <w:rPr>
                <w:rFonts w:hint="eastAsia" w:ascii="宋体" w:hAnsi="宋体" w:cs="宋体"/>
                <w:w w:val="99"/>
                <w:kern w:val="2"/>
                <w:sz w:val="21"/>
                <w:szCs w:val="21"/>
                <w:lang w:eastAsia="zh-CN"/>
              </w:rPr>
              <w:t>效等</w:t>
            </w:r>
            <w:r>
              <w:rPr>
                <w:rFonts w:hint="eastAsia" w:ascii="宋体" w:hAnsi="宋体" w:cs="宋体"/>
                <w:spacing w:val="2"/>
                <w:w w:val="99"/>
                <w:kern w:val="2"/>
                <w:sz w:val="21"/>
                <w:szCs w:val="21"/>
                <w:lang w:eastAsia="zh-CN"/>
              </w:rPr>
              <w:t>级</w:t>
            </w:r>
            <w:r>
              <w:rPr>
                <w:rFonts w:hint="eastAsia" w:ascii="宋体" w:hAnsi="宋体" w:cs="宋体"/>
                <w:w w:val="99"/>
                <w:kern w:val="2"/>
                <w:sz w:val="21"/>
                <w:szCs w:val="21"/>
                <w:lang w:eastAsia="zh-CN"/>
              </w:rPr>
              <w:t>》（</w:t>
            </w:r>
            <w:r>
              <w:rPr>
                <w:rFonts w:hint="eastAsia" w:ascii="宋体" w:hAnsi="宋体" w:cs="宋体"/>
                <w:spacing w:val="1"/>
                <w:w w:val="99"/>
                <w:kern w:val="2"/>
                <w:sz w:val="21"/>
                <w:szCs w:val="21"/>
                <w:lang w:eastAsia="zh-CN"/>
              </w:rPr>
              <w:t>G</w:t>
            </w:r>
            <w:r>
              <w:rPr>
                <w:rFonts w:hint="eastAsia" w:ascii="宋体" w:hAnsi="宋体" w:cs="宋体"/>
                <w:w w:val="99"/>
                <w:kern w:val="2"/>
                <w:sz w:val="21"/>
                <w:szCs w:val="21"/>
                <w:lang w:eastAsia="zh-CN"/>
              </w:rPr>
              <w:t>B</w:t>
            </w:r>
            <w:r>
              <w:rPr>
                <w:rFonts w:hint="eastAsia" w:ascii="宋体" w:hAnsi="宋体" w:cs="宋体"/>
                <w:spacing w:val="1"/>
                <w:w w:val="99"/>
                <w:kern w:val="2"/>
                <w:sz w:val="21"/>
                <w:szCs w:val="21"/>
                <w:lang w:eastAsia="zh-CN"/>
              </w:rPr>
              <w:t>21</w:t>
            </w:r>
            <w:r>
              <w:rPr>
                <w:rFonts w:hint="eastAsia" w:ascii="宋体" w:hAnsi="宋体" w:cs="宋体"/>
                <w:w w:val="99"/>
                <w:kern w:val="2"/>
                <w:sz w:val="21"/>
                <w:szCs w:val="21"/>
                <w:lang w:eastAsia="zh-CN"/>
              </w:rPr>
              <w:t>52</w:t>
            </w:r>
            <w:r>
              <w:rPr>
                <w:rFonts w:hint="eastAsia" w:ascii="宋体" w:hAnsi="宋体" w:cs="宋体"/>
                <w:spacing w:val="1"/>
                <w:w w:val="99"/>
                <w:kern w:val="2"/>
                <w:sz w:val="21"/>
                <w:szCs w:val="21"/>
                <w:lang w:eastAsia="zh-CN"/>
              </w:rPr>
              <w:t>1</w:t>
            </w:r>
            <w:r>
              <w:rPr>
                <w:rFonts w:hint="eastAsia" w:ascii="宋体" w:hAnsi="宋体" w:cs="宋体"/>
                <w:w w:val="99"/>
                <w:kern w:val="2"/>
                <w:sz w:val="21"/>
                <w:szCs w:val="21"/>
                <w:lang w:eastAsia="zh-CN"/>
              </w:rPr>
              <w:t>）</w:t>
            </w:r>
          </w:p>
        </w:tc>
      </w:tr>
      <w:tr w14:paraId="27D68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continue"/>
            <w:tcBorders>
              <w:top w:val="single" w:color="000000" w:sz="4" w:space="0"/>
              <w:left w:val="single" w:color="000000" w:sz="4" w:space="0"/>
              <w:bottom w:val="single" w:color="000000" w:sz="4" w:space="0"/>
              <w:right w:val="single" w:color="000000" w:sz="4" w:space="0"/>
            </w:tcBorders>
            <w:noWrap w:val="0"/>
            <w:vAlign w:val="center"/>
          </w:tcPr>
          <w:p w14:paraId="5C340972">
            <w:pPr>
              <w:widowControl/>
              <w:jc w:val="left"/>
              <w:rPr>
                <w:rFonts w:ascii="宋体" w:hAnsi="宋体"/>
                <w:szCs w:val="21"/>
              </w:rPr>
            </w:pPr>
          </w:p>
        </w:tc>
        <w:tc>
          <w:tcPr>
            <w:tcW w:w="834" w:type="pct"/>
            <w:vMerge w:val="continue"/>
            <w:tcBorders>
              <w:top w:val="single" w:color="000000" w:sz="4" w:space="0"/>
              <w:left w:val="single" w:color="000000" w:sz="4" w:space="0"/>
              <w:bottom w:val="single" w:color="000000" w:sz="4" w:space="0"/>
              <w:right w:val="single" w:color="000000" w:sz="4" w:space="0"/>
            </w:tcBorders>
            <w:noWrap w:val="0"/>
            <w:vAlign w:val="center"/>
          </w:tcPr>
          <w:p w14:paraId="3990D13B">
            <w:pPr>
              <w:widowControl/>
              <w:jc w:val="left"/>
              <w:rPr>
                <w:rFonts w:ascii="宋体" w:hAnsi="宋体" w:cs="宋体"/>
                <w:szCs w:val="21"/>
              </w:rPr>
            </w:pPr>
          </w:p>
        </w:tc>
        <w:tc>
          <w:tcPr>
            <w:tcW w:w="878" w:type="pct"/>
            <w:vMerge w:val="continue"/>
            <w:tcBorders>
              <w:top w:val="single" w:color="000000" w:sz="4" w:space="0"/>
              <w:left w:val="single" w:color="000000" w:sz="4" w:space="0"/>
              <w:bottom w:val="single" w:color="000000" w:sz="4" w:space="0"/>
              <w:right w:val="single" w:color="000000" w:sz="4" w:space="0"/>
            </w:tcBorders>
            <w:noWrap w:val="0"/>
            <w:vAlign w:val="center"/>
          </w:tcPr>
          <w:p w14:paraId="5C7D0684">
            <w:pPr>
              <w:widowControl/>
              <w:jc w:val="left"/>
              <w:rPr>
                <w:rFonts w:ascii="宋体" w:hAnsi="宋体"/>
                <w:szCs w:val="21"/>
              </w:rPr>
            </w:pP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2A027DA7">
            <w:pPr>
              <w:jc w:val="center"/>
              <w:rPr>
                <w:rFonts w:ascii="宋体" w:hAnsi="宋体"/>
                <w:szCs w:val="21"/>
              </w:rPr>
            </w:pPr>
            <w:r>
              <w:rPr>
                <w:rFonts w:hint="eastAsia" w:ascii="宋体" w:hAnsi="宋体"/>
                <w:szCs w:val="21"/>
              </w:rPr>
              <w:t>A02021002 A3彩色打印机</w:t>
            </w:r>
          </w:p>
        </w:tc>
        <w:tc>
          <w:tcPr>
            <w:tcW w:w="2092" w:type="pct"/>
            <w:tcBorders>
              <w:top w:val="single" w:color="000000" w:sz="4" w:space="0"/>
              <w:left w:val="single" w:color="000000" w:sz="4" w:space="0"/>
              <w:bottom w:val="single" w:color="000000" w:sz="4" w:space="0"/>
              <w:right w:val="single" w:color="000000" w:sz="4" w:space="0"/>
            </w:tcBorders>
            <w:noWrap w:val="0"/>
            <w:vAlign w:val="top"/>
          </w:tcPr>
          <w:p w14:paraId="76A7AF5E">
            <w:pPr>
              <w:pStyle w:val="111"/>
              <w:spacing w:before="52"/>
              <w:ind w:left="7" w:right="7"/>
              <w:rPr>
                <w:rFonts w:ascii="宋体" w:hAnsi="宋体" w:cs="宋体"/>
                <w:kern w:val="2"/>
                <w:sz w:val="21"/>
                <w:szCs w:val="21"/>
                <w:lang w:eastAsia="zh-CN"/>
              </w:rPr>
            </w:pPr>
            <w:r>
              <w:rPr>
                <w:rFonts w:hint="eastAsia" w:ascii="宋体" w:hAnsi="宋体" w:cs="宋体"/>
                <w:w w:val="99"/>
                <w:kern w:val="2"/>
                <w:sz w:val="21"/>
                <w:szCs w:val="21"/>
                <w:lang w:eastAsia="zh-CN"/>
              </w:rPr>
              <w:t>《复印</w:t>
            </w:r>
            <w:r>
              <w:rPr>
                <w:rFonts w:hint="eastAsia" w:ascii="宋体" w:hAnsi="宋体" w:cs="宋体"/>
                <w:spacing w:val="2"/>
                <w:w w:val="99"/>
                <w:kern w:val="2"/>
                <w:sz w:val="21"/>
                <w:szCs w:val="21"/>
                <w:lang w:eastAsia="zh-CN"/>
              </w:rPr>
              <w:t>机</w:t>
            </w:r>
            <w:r>
              <w:rPr>
                <w:rFonts w:hint="eastAsia" w:ascii="宋体" w:hAnsi="宋体" w:cs="宋体"/>
                <w:spacing w:val="-58"/>
                <w:w w:val="99"/>
                <w:kern w:val="2"/>
                <w:sz w:val="21"/>
                <w:szCs w:val="21"/>
                <w:lang w:eastAsia="zh-CN"/>
              </w:rPr>
              <w:t>、</w:t>
            </w:r>
            <w:r>
              <w:rPr>
                <w:rFonts w:hint="eastAsia" w:ascii="宋体" w:hAnsi="宋体" w:cs="宋体"/>
                <w:spacing w:val="2"/>
                <w:w w:val="99"/>
                <w:kern w:val="2"/>
                <w:sz w:val="21"/>
                <w:szCs w:val="21"/>
                <w:lang w:eastAsia="zh-CN"/>
              </w:rPr>
              <w:t>打</w:t>
            </w:r>
            <w:r>
              <w:rPr>
                <w:rFonts w:hint="eastAsia" w:ascii="宋体" w:hAnsi="宋体" w:cs="宋体"/>
                <w:w w:val="99"/>
                <w:kern w:val="2"/>
                <w:sz w:val="21"/>
                <w:szCs w:val="21"/>
                <w:lang w:eastAsia="zh-CN"/>
              </w:rPr>
              <w:t>印机</w:t>
            </w:r>
            <w:r>
              <w:rPr>
                <w:rFonts w:hint="eastAsia" w:ascii="宋体" w:hAnsi="宋体" w:cs="宋体"/>
                <w:spacing w:val="2"/>
                <w:w w:val="99"/>
                <w:kern w:val="2"/>
                <w:sz w:val="21"/>
                <w:szCs w:val="21"/>
                <w:lang w:eastAsia="zh-CN"/>
              </w:rPr>
              <w:t>和</w:t>
            </w:r>
            <w:r>
              <w:rPr>
                <w:rFonts w:hint="eastAsia" w:ascii="宋体" w:hAnsi="宋体" w:cs="宋体"/>
                <w:w w:val="99"/>
                <w:kern w:val="2"/>
                <w:sz w:val="21"/>
                <w:szCs w:val="21"/>
                <w:lang w:eastAsia="zh-CN"/>
              </w:rPr>
              <w:t>传真</w:t>
            </w:r>
            <w:r>
              <w:rPr>
                <w:rFonts w:hint="eastAsia" w:ascii="宋体" w:hAnsi="宋体" w:cs="宋体"/>
                <w:spacing w:val="2"/>
                <w:w w:val="99"/>
                <w:kern w:val="2"/>
                <w:sz w:val="21"/>
                <w:szCs w:val="21"/>
                <w:lang w:eastAsia="zh-CN"/>
              </w:rPr>
              <w:t>机</w:t>
            </w:r>
            <w:r>
              <w:rPr>
                <w:rFonts w:hint="eastAsia" w:ascii="宋体" w:hAnsi="宋体" w:cs="宋体"/>
                <w:w w:val="99"/>
                <w:kern w:val="2"/>
                <w:sz w:val="21"/>
                <w:szCs w:val="21"/>
                <w:lang w:eastAsia="zh-CN"/>
              </w:rPr>
              <w:t>能效限定值及</w:t>
            </w:r>
            <w:r>
              <w:rPr>
                <w:rFonts w:hint="eastAsia" w:ascii="宋体" w:hAnsi="宋体" w:cs="宋体"/>
                <w:spacing w:val="2"/>
                <w:w w:val="99"/>
                <w:kern w:val="2"/>
                <w:sz w:val="21"/>
                <w:szCs w:val="21"/>
                <w:lang w:eastAsia="zh-CN"/>
              </w:rPr>
              <w:t>能</w:t>
            </w:r>
            <w:r>
              <w:rPr>
                <w:rFonts w:hint="eastAsia" w:ascii="宋体" w:hAnsi="宋体" w:cs="宋体"/>
                <w:w w:val="99"/>
                <w:kern w:val="2"/>
                <w:sz w:val="21"/>
                <w:szCs w:val="21"/>
                <w:lang w:eastAsia="zh-CN"/>
              </w:rPr>
              <w:t>效等</w:t>
            </w:r>
            <w:r>
              <w:rPr>
                <w:rFonts w:hint="eastAsia" w:ascii="宋体" w:hAnsi="宋体" w:cs="宋体"/>
                <w:spacing w:val="2"/>
                <w:w w:val="99"/>
                <w:kern w:val="2"/>
                <w:sz w:val="21"/>
                <w:szCs w:val="21"/>
                <w:lang w:eastAsia="zh-CN"/>
              </w:rPr>
              <w:t>级</w:t>
            </w:r>
            <w:r>
              <w:rPr>
                <w:rFonts w:hint="eastAsia" w:ascii="宋体" w:hAnsi="宋体" w:cs="宋体"/>
                <w:w w:val="99"/>
                <w:kern w:val="2"/>
                <w:sz w:val="21"/>
                <w:szCs w:val="21"/>
                <w:lang w:eastAsia="zh-CN"/>
              </w:rPr>
              <w:t>》（</w:t>
            </w:r>
            <w:r>
              <w:rPr>
                <w:rFonts w:hint="eastAsia" w:ascii="宋体" w:hAnsi="宋体" w:cs="宋体"/>
                <w:spacing w:val="1"/>
                <w:w w:val="99"/>
                <w:kern w:val="2"/>
                <w:sz w:val="21"/>
                <w:szCs w:val="21"/>
                <w:lang w:eastAsia="zh-CN"/>
              </w:rPr>
              <w:t>G</w:t>
            </w:r>
            <w:r>
              <w:rPr>
                <w:rFonts w:hint="eastAsia" w:ascii="宋体" w:hAnsi="宋体" w:cs="宋体"/>
                <w:w w:val="99"/>
                <w:kern w:val="2"/>
                <w:sz w:val="21"/>
                <w:szCs w:val="21"/>
                <w:lang w:eastAsia="zh-CN"/>
              </w:rPr>
              <w:t>B</w:t>
            </w:r>
            <w:r>
              <w:rPr>
                <w:rFonts w:hint="eastAsia" w:ascii="宋体" w:hAnsi="宋体" w:cs="宋体"/>
                <w:spacing w:val="1"/>
                <w:w w:val="99"/>
                <w:kern w:val="2"/>
                <w:sz w:val="21"/>
                <w:szCs w:val="21"/>
                <w:lang w:eastAsia="zh-CN"/>
              </w:rPr>
              <w:t>21</w:t>
            </w:r>
            <w:r>
              <w:rPr>
                <w:rFonts w:hint="eastAsia" w:ascii="宋体" w:hAnsi="宋体" w:cs="宋体"/>
                <w:w w:val="99"/>
                <w:kern w:val="2"/>
                <w:sz w:val="21"/>
                <w:szCs w:val="21"/>
                <w:lang w:eastAsia="zh-CN"/>
              </w:rPr>
              <w:t>52</w:t>
            </w:r>
            <w:r>
              <w:rPr>
                <w:rFonts w:hint="eastAsia" w:ascii="宋体" w:hAnsi="宋体" w:cs="宋体"/>
                <w:spacing w:val="1"/>
                <w:w w:val="99"/>
                <w:kern w:val="2"/>
                <w:sz w:val="21"/>
                <w:szCs w:val="21"/>
                <w:lang w:eastAsia="zh-CN"/>
              </w:rPr>
              <w:t>1</w:t>
            </w:r>
            <w:r>
              <w:rPr>
                <w:rFonts w:hint="eastAsia" w:ascii="宋体" w:hAnsi="宋体" w:cs="宋体"/>
                <w:w w:val="99"/>
                <w:kern w:val="2"/>
                <w:sz w:val="21"/>
                <w:szCs w:val="21"/>
                <w:lang w:eastAsia="zh-CN"/>
              </w:rPr>
              <w:t>）</w:t>
            </w:r>
          </w:p>
        </w:tc>
      </w:tr>
      <w:tr w14:paraId="23829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continue"/>
            <w:tcBorders>
              <w:top w:val="single" w:color="000000" w:sz="4" w:space="0"/>
              <w:left w:val="single" w:color="000000" w:sz="4" w:space="0"/>
              <w:bottom w:val="single" w:color="000000" w:sz="4" w:space="0"/>
              <w:right w:val="single" w:color="000000" w:sz="4" w:space="0"/>
            </w:tcBorders>
            <w:noWrap w:val="0"/>
            <w:vAlign w:val="center"/>
          </w:tcPr>
          <w:p w14:paraId="663102FE">
            <w:pPr>
              <w:widowControl/>
              <w:jc w:val="left"/>
              <w:rPr>
                <w:rFonts w:ascii="宋体" w:hAnsi="宋体"/>
                <w:szCs w:val="21"/>
              </w:rPr>
            </w:pPr>
          </w:p>
        </w:tc>
        <w:tc>
          <w:tcPr>
            <w:tcW w:w="834" w:type="pct"/>
            <w:vMerge w:val="continue"/>
            <w:tcBorders>
              <w:top w:val="single" w:color="000000" w:sz="4" w:space="0"/>
              <w:left w:val="single" w:color="000000" w:sz="4" w:space="0"/>
              <w:bottom w:val="single" w:color="000000" w:sz="4" w:space="0"/>
              <w:right w:val="single" w:color="000000" w:sz="4" w:space="0"/>
            </w:tcBorders>
            <w:noWrap w:val="0"/>
            <w:vAlign w:val="center"/>
          </w:tcPr>
          <w:p w14:paraId="5922FE7F">
            <w:pPr>
              <w:widowControl/>
              <w:jc w:val="left"/>
              <w:rPr>
                <w:rFonts w:ascii="宋体" w:hAnsi="宋体" w:cs="宋体"/>
                <w:szCs w:val="21"/>
              </w:rPr>
            </w:pPr>
          </w:p>
        </w:tc>
        <w:tc>
          <w:tcPr>
            <w:tcW w:w="878" w:type="pct"/>
            <w:vMerge w:val="continue"/>
            <w:tcBorders>
              <w:top w:val="single" w:color="000000" w:sz="4" w:space="0"/>
              <w:left w:val="single" w:color="000000" w:sz="4" w:space="0"/>
              <w:bottom w:val="single" w:color="000000" w:sz="4" w:space="0"/>
              <w:right w:val="single" w:color="000000" w:sz="4" w:space="0"/>
            </w:tcBorders>
            <w:noWrap w:val="0"/>
            <w:vAlign w:val="center"/>
          </w:tcPr>
          <w:p w14:paraId="453F192E">
            <w:pPr>
              <w:widowControl/>
              <w:jc w:val="left"/>
              <w:rPr>
                <w:rFonts w:ascii="宋体" w:hAnsi="宋体"/>
                <w:szCs w:val="21"/>
              </w:rPr>
            </w:pP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2C2FBB92">
            <w:pPr>
              <w:jc w:val="center"/>
              <w:rPr>
                <w:rFonts w:ascii="宋体" w:hAnsi="宋体"/>
                <w:szCs w:val="21"/>
              </w:rPr>
            </w:pPr>
            <w:r>
              <w:rPr>
                <w:rFonts w:hint="eastAsia" w:ascii="宋体" w:hAnsi="宋体"/>
                <w:szCs w:val="21"/>
              </w:rPr>
              <w:t>A02021003 A4黑白打印机</w:t>
            </w:r>
          </w:p>
        </w:tc>
        <w:tc>
          <w:tcPr>
            <w:tcW w:w="2092" w:type="pct"/>
            <w:tcBorders>
              <w:top w:val="single" w:color="000000" w:sz="4" w:space="0"/>
              <w:left w:val="single" w:color="000000" w:sz="4" w:space="0"/>
              <w:bottom w:val="single" w:color="000000" w:sz="4" w:space="0"/>
              <w:right w:val="single" w:color="000000" w:sz="4" w:space="0"/>
            </w:tcBorders>
            <w:noWrap w:val="0"/>
            <w:vAlign w:val="top"/>
          </w:tcPr>
          <w:p w14:paraId="5FAA56EB">
            <w:pPr>
              <w:pStyle w:val="111"/>
              <w:spacing w:before="52"/>
              <w:ind w:left="7" w:right="7"/>
              <w:rPr>
                <w:rFonts w:ascii="宋体" w:hAnsi="宋体" w:cs="宋体"/>
                <w:kern w:val="2"/>
                <w:sz w:val="21"/>
                <w:szCs w:val="21"/>
                <w:lang w:eastAsia="zh-CN"/>
              </w:rPr>
            </w:pPr>
            <w:r>
              <w:rPr>
                <w:rFonts w:hint="eastAsia" w:ascii="宋体" w:hAnsi="宋体" w:cs="宋体"/>
                <w:w w:val="99"/>
                <w:kern w:val="2"/>
                <w:sz w:val="21"/>
                <w:szCs w:val="21"/>
                <w:lang w:eastAsia="zh-CN"/>
              </w:rPr>
              <w:t>《复印</w:t>
            </w:r>
            <w:r>
              <w:rPr>
                <w:rFonts w:hint="eastAsia" w:ascii="宋体" w:hAnsi="宋体" w:cs="宋体"/>
                <w:spacing w:val="2"/>
                <w:w w:val="99"/>
                <w:kern w:val="2"/>
                <w:sz w:val="21"/>
                <w:szCs w:val="21"/>
                <w:lang w:eastAsia="zh-CN"/>
              </w:rPr>
              <w:t>机</w:t>
            </w:r>
            <w:r>
              <w:rPr>
                <w:rFonts w:hint="eastAsia" w:ascii="宋体" w:hAnsi="宋体" w:cs="宋体"/>
                <w:spacing w:val="-58"/>
                <w:w w:val="99"/>
                <w:kern w:val="2"/>
                <w:sz w:val="21"/>
                <w:szCs w:val="21"/>
                <w:lang w:eastAsia="zh-CN"/>
              </w:rPr>
              <w:t>、</w:t>
            </w:r>
            <w:r>
              <w:rPr>
                <w:rFonts w:hint="eastAsia" w:ascii="宋体" w:hAnsi="宋体" w:cs="宋体"/>
                <w:spacing w:val="2"/>
                <w:w w:val="99"/>
                <w:kern w:val="2"/>
                <w:sz w:val="21"/>
                <w:szCs w:val="21"/>
                <w:lang w:eastAsia="zh-CN"/>
              </w:rPr>
              <w:t>打</w:t>
            </w:r>
            <w:r>
              <w:rPr>
                <w:rFonts w:hint="eastAsia" w:ascii="宋体" w:hAnsi="宋体" w:cs="宋体"/>
                <w:w w:val="99"/>
                <w:kern w:val="2"/>
                <w:sz w:val="21"/>
                <w:szCs w:val="21"/>
                <w:lang w:eastAsia="zh-CN"/>
              </w:rPr>
              <w:t>印机</w:t>
            </w:r>
            <w:r>
              <w:rPr>
                <w:rFonts w:hint="eastAsia" w:ascii="宋体" w:hAnsi="宋体" w:cs="宋体"/>
                <w:spacing w:val="2"/>
                <w:w w:val="99"/>
                <w:kern w:val="2"/>
                <w:sz w:val="21"/>
                <w:szCs w:val="21"/>
                <w:lang w:eastAsia="zh-CN"/>
              </w:rPr>
              <w:t>和</w:t>
            </w:r>
            <w:r>
              <w:rPr>
                <w:rFonts w:hint="eastAsia" w:ascii="宋体" w:hAnsi="宋体" w:cs="宋体"/>
                <w:w w:val="99"/>
                <w:kern w:val="2"/>
                <w:sz w:val="21"/>
                <w:szCs w:val="21"/>
                <w:lang w:eastAsia="zh-CN"/>
              </w:rPr>
              <w:t>传真</w:t>
            </w:r>
            <w:r>
              <w:rPr>
                <w:rFonts w:hint="eastAsia" w:ascii="宋体" w:hAnsi="宋体" w:cs="宋体"/>
                <w:spacing w:val="2"/>
                <w:w w:val="99"/>
                <w:kern w:val="2"/>
                <w:sz w:val="21"/>
                <w:szCs w:val="21"/>
                <w:lang w:eastAsia="zh-CN"/>
              </w:rPr>
              <w:t>机</w:t>
            </w:r>
            <w:r>
              <w:rPr>
                <w:rFonts w:hint="eastAsia" w:ascii="宋体" w:hAnsi="宋体" w:cs="宋体"/>
                <w:w w:val="99"/>
                <w:kern w:val="2"/>
                <w:sz w:val="21"/>
                <w:szCs w:val="21"/>
                <w:lang w:eastAsia="zh-CN"/>
              </w:rPr>
              <w:t>能效限定值及</w:t>
            </w:r>
            <w:r>
              <w:rPr>
                <w:rFonts w:hint="eastAsia" w:ascii="宋体" w:hAnsi="宋体" w:cs="宋体"/>
                <w:spacing w:val="2"/>
                <w:w w:val="99"/>
                <w:kern w:val="2"/>
                <w:sz w:val="21"/>
                <w:szCs w:val="21"/>
                <w:lang w:eastAsia="zh-CN"/>
              </w:rPr>
              <w:t>能</w:t>
            </w:r>
            <w:r>
              <w:rPr>
                <w:rFonts w:hint="eastAsia" w:ascii="宋体" w:hAnsi="宋体" w:cs="宋体"/>
                <w:w w:val="99"/>
                <w:kern w:val="2"/>
                <w:sz w:val="21"/>
                <w:szCs w:val="21"/>
                <w:lang w:eastAsia="zh-CN"/>
              </w:rPr>
              <w:t>效等</w:t>
            </w:r>
            <w:r>
              <w:rPr>
                <w:rFonts w:hint="eastAsia" w:ascii="宋体" w:hAnsi="宋体" w:cs="宋体"/>
                <w:spacing w:val="2"/>
                <w:w w:val="99"/>
                <w:kern w:val="2"/>
                <w:sz w:val="21"/>
                <w:szCs w:val="21"/>
                <w:lang w:eastAsia="zh-CN"/>
              </w:rPr>
              <w:t>级</w:t>
            </w:r>
            <w:r>
              <w:rPr>
                <w:rFonts w:hint="eastAsia" w:ascii="宋体" w:hAnsi="宋体" w:cs="宋体"/>
                <w:w w:val="99"/>
                <w:kern w:val="2"/>
                <w:sz w:val="21"/>
                <w:szCs w:val="21"/>
                <w:lang w:eastAsia="zh-CN"/>
              </w:rPr>
              <w:t>》（</w:t>
            </w:r>
            <w:r>
              <w:rPr>
                <w:rFonts w:hint="eastAsia" w:ascii="宋体" w:hAnsi="宋体" w:cs="宋体"/>
                <w:spacing w:val="1"/>
                <w:w w:val="99"/>
                <w:kern w:val="2"/>
                <w:sz w:val="21"/>
                <w:szCs w:val="21"/>
                <w:lang w:eastAsia="zh-CN"/>
              </w:rPr>
              <w:t>G</w:t>
            </w:r>
            <w:r>
              <w:rPr>
                <w:rFonts w:hint="eastAsia" w:ascii="宋体" w:hAnsi="宋体" w:cs="宋体"/>
                <w:w w:val="99"/>
                <w:kern w:val="2"/>
                <w:sz w:val="21"/>
                <w:szCs w:val="21"/>
                <w:lang w:eastAsia="zh-CN"/>
              </w:rPr>
              <w:t>B</w:t>
            </w:r>
            <w:r>
              <w:rPr>
                <w:rFonts w:hint="eastAsia" w:ascii="宋体" w:hAnsi="宋体" w:cs="宋体"/>
                <w:spacing w:val="1"/>
                <w:w w:val="99"/>
                <w:kern w:val="2"/>
                <w:sz w:val="21"/>
                <w:szCs w:val="21"/>
                <w:lang w:eastAsia="zh-CN"/>
              </w:rPr>
              <w:t>21</w:t>
            </w:r>
            <w:r>
              <w:rPr>
                <w:rFonts w:hint="eastAsia" w:ascii="宋体" w:hAnsi="宋体" w:cs="宋体"/>
                <w:w w:val="99"/>
                <w:kern w:val="2"/>
                <w:sz w:val="21"/>
                <w:szCs w:val="21"/>
                <w:lang w:eastAsia="zh-CN"/>
              </w:rPr>
              <w:t>52</w:t>
            </w:r>
            <w:r>
              <w:rPr>
                <w:rFonts w:hint="eastAsia" w:ascii="宋体" w:hAnsi="宋体" w:cs="宋体"/>
                <w:spacing w:val="1"/>
                <w:w w:val="99"/>
                <w:kern w:val="2"/>
                <w:sz w:val="21"/>
                <w:szCs w:val="21"/>
                <w:lang w:eastAsia="zh-CN"/>
              </w:rPr>
              <w:t>1</w:t>
            </w:r>
            <w:r>
              <w:rPr>
                <w:rFonts w:hint="eastAsia" w:ascii="宋体" w:hAnsi="宋体" w:cs="宋体"/>
                <w:w w:val="99"/>
                <w:kern w:val="2"/>
                <w:sz w:val="21"/>
                <w:szCs w:val="21"/>
                <w:lang w:eastAsia="zh-CN"/>
              </w:rPr>
              <w:t>）</w:t>
            </w:r>
          </w:p>
        </w:tc>
      </w:tr>
      <w:tr w14:paraId="26FA3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continue"/>
            <w:tcBorders>
              <w:top w:val="single" w:color="000000" w:sz="4" w:space="0"/>
              <w:left w:val="single" w:color="000000" w:sz="4" w:space="0"/>
              <w:bottom w:val="single" w:color="000000" w:sz="4" w:space="0"/>
              <w:right w:val="single" w:color="000000" w:sz="4" w:space="0"/>
            </w:tcBorders>
            <w:noWrap w:val="0"/>
            <w:vAlign w:val="center"/>
          </w:tcPr>
          <w:p w14:paraId="46322C7D">
            <w:pPr>
              <w:widowControl/>
              <w:jc w:val="left"/>
              <w:rPr>
                <w:rFonts w:ascii="宋体" w:hAnsi="宋体"/>
                <w:szCs w:val="21"/>
              </w:rPr>
            </w:pPr>
          </w:p>
        </w:tc>
        <w:tc>
          <w:tcPr>
            <w:tcW w:w="834" w:type="pct"/>
            <w:vMerge w:val="continue"/>
            <w:tcBorders>
              <w:top w:val="single" w:color="000000" w:sz="4" w:space="0"/>
              <w:left w:val="single" w:color="000000" w:sz="4" w:space="0"/>
              <w:bottom w:val="single" w:color="000000" w:sz="4" w:space="0"/>
              <w:right w:val="single" w:color="000000" w:sz="4" w:space="0"/>
            </w:tcBorders>
            <w:noWrap w:val="0"/>
            <w:vAlign w:val="center"/>
          </w:tcPr>
          <w:p w14:paraId="12BB0291">
            <w:pPr>
              <w:widowControl/>
              <w:jc w:val="left"/>
              <w:rPr>
                <w:rFonts w:ascii="宋体" w:hAnsi="宋体" w:cs="宋体"/>
                <w:szCs w:val="21"/>
              </w:rPr>
            </w:pPr>
          </w:p>
        </w:tc>
        <w:tc>
          <w:tcPr>
            <w:tcW w:w="878" w:type="pct"/>
            <w:vMerge w:val="continue"/>
            <w:tcBorders>
              <w:top w:val="single" w:color="000000" w:sz="4" w:space="0"/>
              <w:left w:val="single" w:color="000000" w:sz="4" w:space="0"/>
              <w:bottom w:val="single" w:color="000000" w:sz="4" w:space="0"/>
              <w:right w:val="single" w:color="000000" w:sz="4" w:space="0"/>
            </w:tcBorders>
            <w:noWrap w:val="0"/>
            <w:vAlign w:val="center"/>
          </w:tcPr>
          <w:p w14:paraId="5EB8FFB4">
            <w:pPr>
              <w:widowControl/>
              <w:jc w:val="left"/>
              <w:rPr>
                <w:rFonts w:ascii="宋体" w:hAnsi="宋体"/>
                <w:szCs w:val="21"/>
              </w:rPr>
            </w:pP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133A76F2">
            <w:pPr>
              <w:jc w:val="center"/>
              <w:rPr>
                <w:rFonts w:ascii="宋体" w:hAnsi="宋体"/>
                <w:szCs w:val="21"/>
              </w:rPr>
            </w:pPr>
            <w:r>
              <w:rPr>
                <w:rFonts w:hint="eastAsia" w:ascii="宋体" w:hAnsi="宋体"/>
                <w:szCs w:val="21"/>
              </w:rPr>
              <w:t>A02021004 A4彩色打印机</w:t>
            </w:r>
          </w:p>
        </w:tc>
        <w:tc>
          <w:tcPr>
            <w:tcW w:w="2092" w:type="pct"/>
            <w:tcBorders>
              <w:top w:val="single" w:color="000000" w:sz="4" w:space="0"/>
              <w:left w:val="single" w:color="000000" w:sz="4" w:space="0"/>
              <w:bottom w:val="single" w:color="000000" w:sz="4" w:space="0"/>
              <w:right w:val="single" w:color="000000" w:sz="4" w:space="0"/>
            </w:tcBorders>
            <w:noWrap w:val="0"/>
            <w:vAlign w:val="top"/>
          </w:tcPr>
          <w:p w14:paraId="00752B2C">
            <w:pPr>
              <w:pStyle w:val="111"/>
              <w:spacing w:before="52"/>
              <w:ind w:left="7" w:right="7"/>
              <w:rPr>
                <w:rFonts w:ascii="宋体" w:hAnsi="宋体" w:cs="宋体"/>
                <w:kern w:val="2"/>
                <w:sz w:val="21"/>
                <w:szCs w:val="21"/>
                <w:lang w:eastAsia="zh-CN"/>
              </w:rPr>
            </w:pPr>
            <w:r>
              <w:rPr>
                <w:rFonts w:hint="eastAsia" w:ascii="宋体" w:hAnsi="宋体" w:cs="宋体"/>
                <w:w w:val="99"/>
                <w:kern w:val="2"/>
                <w:sz w:val="21"/>
                <w:szCs w:val="21"/>
                <w:lang w:eastAsia="zh-CN"/>
              </w:rPr>
              <w:t>《复印</w:t>
            </w:r>
            <w:r>
              <w:rPr>
                <w:rFonts w:hint="eastAsia" w:ascii="宋体" w:hAnsi="宋体" w:cs="宋体"/>
                <w:spacing w:val="2"/>
                <w:w w:val="99"/>
                <w:kern w:val="2"/>
                <w:sz w:val="21"/>
                <w:szCs w:val="21"/>
                <w:lang w:eastAsia="zh-CN"/>
              </w:rPr>
              <w:t>机</w:t>
            </w:r>
            <w:r>
              <w:rPr>
                <w:rFonts w:hint="eastAsia" w:ascii="宋体" w:hAnsi="宋体" w:cs="宋体"/>
                <w:spacing w:val="-58"/>
                <w:w w:val="99"/>
                <w:kern w:val="2"/>
                <w:sz w:val="21"/>
                <w:szCs w:val="21"/>
                <w:lang w:eastAsia="zh-CN"/>
              </w:rPr>
              <w:t>、</w:t>
            </w:r>
            <w:r>
              <w:rPr>
                <w:rFonts w:hint="eastAsia" w:ascii="宋体" w:hAnsi="宋体" w:cs="宋体"/>
                <w:spacing w:val="2"/>
                <w:w w:val="99"/>
                <w:kern w:val="2"/>
                <w:sz w:val="21"/>
                <w:szCs w:val="21"/>
                <w:lang w:eastAsia="zh-CN"/>
              </w:rPr>
              <w:t>打</w:t>
            </w:r>
            <w:r>
              <w:rPr>
                <w:rFonts w:hint="eastAsia" w:ascii="宋体" w:hAnsi="宋体" w:cs="宋体"/>
                <w:w w:val="99"/>
                <w:kern w:val="2"/>
                <w:sz w:val="21"/>
                <w:szCs w:val="21"/>
                <w:lang w:eastAsia="zh-CN"/>
              </w:rPr>
              <w:t>印机</w:t>
            </w:r>
            <w:r>
              <w:rPr>
                <w:rFonts w:hint="eastAsia" w:ascii="宋体" w:hAnsi="宋体" w:cs="宋体"/>
                <w:spacing w:val="2"/>
                <w:w w:val="99"/>
                <w:kern w:val="2"/>
                <w:sz w:val="21"/>
                <w:szCs w:val="21"/>
                <w:lang w:eastAsia="zh-CN"/>
              </w:rPr>
              <w:t>和</w:t>
            </w:r>
            <w:r>
              <w:rPr>
                <w:rFonts w:hint="eastAsia" w:ascii="宋体" w:hAnsi="宋体" w:cs="宋体"/>
                <w:w w:val="99"/>
                <w:kern w:val="2"/>
                <w:sz w:val="21"/>
                <w:szCs w:val="21"/>
                <w:lang w:eastAsia="zh-CN"/>
              </w:rPr>
              <w:t>传真</w:t>
            </w:r>
            <w:r>
              <w:rPr>
                <w:rFonts w:hint="eastAsia" w:ascii="宋体" w:hAnsi="宋体" w:cs="宋体"/>
                <w:spacing w:val="2"/>
                <w:w w:val="99"/>
                <w:kern w:val="2"/>
                <w:sz w:val="21"/>
                <w:szCs w:val="21"/>
                <w:lang w:eastAsia="zh-CN"/>
              </w:rPr>
              <w:t>机</w:t>
            </w:r>
            <w:r>
              <w:rPr>
                <w:rFonts w:hint="eastAsia" w:ascii="宋体" w:hAnsi="宋体" w:cs="宋体"/>
                <w:w w:val="99"/>
                <w:kern w:val="2"/>
                <w:sz w:val="21"/>
                <w:szCs w:val="21"/>
                <w:lang w:eastAsia="zh-CN"/>
              </w:rPr>
              <w:t>能效限定值及</w:t>
            </w:r>
            <w:r>
              <w:rPr>
                <w:rFonts w:hint="eastAsia" w:ascii="宋体" w:hAnsi="宋体" w:cs="宋体"/>
                <w:spacing w:val="2"/>
                <w:w w:val="99"/>
                <w:kern w:val="2"/>
                <w:sz w:val="21"/>
                <w:szCs w:val="21"/>
                <w:lang w:eastAsia="zh-CN"/>
              </w:rPr>
              <w:t>能</w:t>
            </w:r>
            <w:r>
              <w:rPr>
                <w:rFonts w:hint="eastAsia" w:ascii="宋体" w:hAnsi="宋体" w:cs="宋体"/>
                <w:w w:val="99"/>
                <w:kern w:val="2"/>
                <w:sz w:val="21"/>
                <w:szCs w:val="21"/>
                <w:lang w:eastAsia="zh-CN"/>
              </w:rPr>
              <w:t>效等</w:t>
            </w:r>
            <w:r>
              <w:rPr>
                <w:rFonts w:hint="eastAsia" w:ascii="宋体" w:hAnsi="宋体" w:cs="宋体"/>
                <w:spacing w:val="2"/>
                <w:w w:val="99"/>
                <w:kern w:val="2"/>
                <w:sz w:val="21"/>
                <w:szCs w:val="21"/>
                <w:lang w:eastAsia="zh-CN"/>
              </w:rPr>
              <w:t>级</w:t>
            </w:r>
            <w:r>
              <w:rPr>
                <w:rFonts w:hint="eastAsia" w:ascii="宋体" w:hAnsi="宋体" w:cs="宋体"/>
                <w:w w:val="99"/>
                <w:kern w:val="2"/>
                <w:sz w:val="21"/>
                <w:szCs w:val="21"/>
                <w:lang w:eastAsia="zh-CN"/>
              </w:rPr>
              <w:t>》（</w:t>
            </w:r>
            <w:r>
              <w:rPr>
                <w:rFonts w:hint="eastAsia" w:ascii="宋体" w:hAnsi="宋体" w:cs="宋体"/>
                <w:spacing w:val="1"/>
                <w:w w:val="99"/>
                <w:kern w:val="2"/>
                <w:sz w:val="21"/>
                <w:szCs w:val="21"/>
                <w:lang w:eastAsia="zh-CN"/>
              </w:rPr>
              <w:t>G</w:t>
            </w:r>
            <w:r>
              <w:rPr>
                <w:rFonts w:hint="eastAsia" w:ascii="宋体" w:hAnsi="宋体" w:cs="宋体"/>
                <w:w w:val="99"/>
                <w:kern w:val="2"/>
                <w:sz w:val="21"/>
                <w:szCs w:val="21"/>
                <w:lang w:eastAsia="zh-CN"/>
              </w:rPr>
              <w:t>B</w:t>
            </w:r>
            <w:r>
              <w:rPr>
                <w:rFonts w:hint="eastAsia" w:ascii="宋体" w:hAnsi="宋体" w:cs="宋体"/>
                <w:spacing w:val="1"/>
                <w:w w:val="99"/>
                <w:kern w:val="2"/>
                <w:sz w:val="21"/>
                <w:szCs w:val="21"/>
                <w:lang w:eastAsia="zh-CN"/>
              </w:rPr>
              <w:t>21</w:t>
            </w:r>
            <w:r>
              <w:rPr>
                <w:rFonts w:hint="eastAsia" w:ascii="宋体" w:hAnsi="宋体" w:cs="宋体"/>
                <w:w w:val="99"/>
                <w:kern w:val="2"/>
                <w:sz w:val="21"/>
                <w:szCs w:val="21"/>
                <w:lang w:eastAsia="zh-CN"/>
              </w:rPr>
              <w:t>52</w:t>
            </w:r>
            <w:r>
              <w:rPr>
                <w:rFonts w:hint="eastAsia" w:ascii="宋体" w:hAnsi="宋体" w:cs="宋体"/>
                <w:spacing w:val="1"/>
                <w:w w:val="99"/>
                <w:kern w:val="2"/>
                <w:sz w:val="21"/>
                <w:szCs w:val="21"/>
                <w:lang w:eastAsia="zh-CN"/>
              </w:rPr>
              <w:t>1</w:t>
            </w:r>
            <w:r>
              <w:rPr>
                <w:rFonts w:hint="eastAsia" w:ascii="宋体" w:hAnsi="宋体" w:cs="宋体"/>
                <w:w w:val="99"/>
                <w:kern w:val="2"/>
                <w:sz w:val="21"/>
                <w:szCs w:val="21"/>
                <w:lang w:eastAsia="zh-CN"/>
              </w:rPr>
              <w:t>）</w:t>
            </w:r>
          </w:p>
        </w:tc>
      </w:tr>
      <w:tr w14:paraId="78C38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continue"/>
            <w:tcBorders>
              <w:top w:val="single" w:color="000000" w:sz="4" w:space="0"/>
              <w:left w:val="single" w:color="000000" w:sz="4" w:space="0"/>
              <w:bottom w:val="single" w:color="000000" w:sz="4" w:space="0"/>
              <w:right w:val="single" w:color="000000" w:sz="4" w:space="0"/>
            </w:tcBorders>
            <w:noWrap w:val="0"/>
            <w:vAlign w:val="center"/>
          </w:tcPr>
          <w:p w14:paraId="393B29A2">
            <w:pPr>
              <w:widowControl/>
              <w:jc w:val="left"/>
              <w:rPr>
                <w:rFonts w:ascii="宋体" w:hAnsi="宋体"/>
                <w:szCs w:val="21"/>
              </w:rPr>
            </w:pPr>
          </w:p>
        </w:tc>
        <w:tc>
          <w:tcPr>
            <w:tcW w:w="834" w:type="pct"/>
            <w:vMerge w:val="continue"/>
            <w:tcBorders>
              <w:top w:val="single" w:color="000000" w:sz="4" w:space="0"/>
              <w:left w:val="single" w:color="000000" w:sz="4" w:space="0"/>
              <w:bottom w:val="single" w:color="000000" w:sz="4" w:space="0"/>
              <w:right w:val="single" w:color="000000" w:sz="4" w:space="0"/>
            </w:tcBorders>
            <w:noWrap w:val="0"/>
            <w:vAlign w:val="center"/>
          </w:tcPr>
          <w:p w14:paraId="74430021">
            <w:pPr>
              <w:widowControl/>
              <w:jc w:val="left"/>
              <w:rPr>
                <w:rFonts w:ascii="宋体" w:hAnsi="宋体" w:cs="宋体"/>
                <w:szCs w:val="21"/>
              </w:rPr>
            </w:pPr>
          </w:p>
        </w:tc>
        <w:tc>
          <w:tcPr>
            <w:tcW w:w="878" w:type="pct"/>
            <w:vMerge w:val="continue"/>
            <w:tcBorders>
              <w:top w:val="single" w:color="000000" w:sz="4" w:space="0"/>
              <w:left w:val="single" w:color="000000" w:sz="4" w:space="0"/>
              <w:bottom w:val="single" w:color="000000" w:sz="4" w:space="0"/>
              <w:right w:val="single" w:color="000000" w:sz="4" w:space="0"/>
            </w:tcBorders>
            <w:noWrap w:val="0"/>
            <w:vAlign w:val="center"/>
          </w:tcPr>
          <w:p w14:paraId="0F7426C0">
            <w:pPr>
              <w:widowControl/>
              <w:jc w:val="left"/>
              <w:rPr>
                <w:rFonts w:ascii="宋体" w:hAnsi="宋体"/>
                <w:szCs w:val="21"/>
              </w:rPr>
            </w:pP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79725AF1">
            <w:pPr>
              <w:jc w:val="center"/>
              <w:rPr>
                <w:rFonts w:ascii="宋体" w:hAnsi="宋体"/>
                <w:szCs w:val="21"/>
              </w:rPr>
            </w:pPr>
            <w:r>
              <w:rPr>
                <w:rFonts w:hint="eastAsia" w:ascii="宋体" w:hAnsi="宋体"/>
                <w:szCs w:val="21"/>
              </w:rPr>
              <w:t>A02021005 3D打印机</w:t>
            </w:r>
          </w:p>
        </w:tc>
        <w:tc>
          <w:tcPr>
            <w:tcW w:w="2092" w:type="pct"/>
            <w:tcBorders>
              <w:top w:val="single" w:color="000000" w:sz="4" w:space="0"/>
              <w:left w:val="single" w:color="000000" w:sz="4" w:space="0"/>
              <w:bottom w:val="single" w:color="000000" w:sz="4" w:space="0"/>
              <w:right w:val="single" w:color="000000" w:sz="4" w:space="0"/>
            </w:tcBorders>
            <w:noWrap w:val="0"/>
            <w:vAlign w:val="top"/>
          </w:tcPr>
          <w:p w14:paraId="38F12E95">
            <w:pPr>
              <w:pStyle w:val="111"/>
              <w:spacing w:before="52"/>
              <w:ind w:left="7" w:right="7"/>
              <w:rPr>
                <w:rFonts w:ascii="宋体" w:hAnsi="宋体" w:cs="宋体"/>
                <w:kern w:val="2"/>
                <w:sz w:val="21"/>
                <w:szCs w:val="21"/>
                <w:lang w:eastAsia="zh-CN"/>
              </w:rPr>
            </w:pPr>
            <w:r>
              <w:rPr>
                <w:rFonts w:hint="eastAsia" w:ascii="宋体" w:hAnsi="宋体" w:cs="宋体"/>
                <w:w w:val="99"/>
                <w:kern w:val="2"/>
                <w:sz w:val="21"/>
                <w:szCs w:val="21"/>
                <w:lang w:eastAsia="zh-CN"/>
              </w:rPr>
              <w:t>《复印</w:t>
            </w:r>
            <w:r>
              <w:rPr>
                <w:rFonts w:hint="eastAsia" w:ascii="宋体" w:hAnsi="宋体" w:cs="宋体"/>
                <w:spacing w:val="2"/>
                <w:w w:val="99"/>
                <w:kern w:val="2"/>
                <w:sz w:val="21"/>
                <w:szCs w:val="21"/>
                <w:lang w:eastAsia="zh-CN"/>
              </w:rPr>
              <w:t>机</w:t>
            </w:r>
            <w:r>
              <w:rPr>
                <w:rFonts w:hint="eastAsia" w:ascii="宋体" w:hAnsi="宋体" w:cs="宋体"/>
                <w:spacing w:val="-58"/>
                <w:w w:val="99"/>
                <w:kern w:val="2"/>
                <w:sz w:val="21"/>
                <w:szCs w:val="21"/>
                <w:lang w:eastAsia="zh-CN"/>
              </w:rPr>
              <w:t>、</w:t>
            </w:r>
            <w:r>
              <w:rPr>
                <w:rFonts w:hint="eastAsia" w:ascii="宋体" w:hAnsi="宋体" w:cs="宋体"/>
                <w:spacing w:val="2"/>
                <w:w w:val="99"/>
                <w:kern w:val="2"/>
                <w:sz w:val="21"/>
                <w:szCs w:val="21"/>
                <w:lang w:eastAsia="zh-CN"/>
              </w:rPr>
              <w:t>打</w:t>
            </w:r>
            <w:r>
              <w:rPr>
                <w:rFonts w:hint="eastAsia" w:ascii="宋体" w:hAnsi="宋体" w:cs="宋体"/>
                <w:w w:val="99"/>
                <w:kern w:val="2"/>
                <w:sz w:val="21"/>
                <w:szCs w:val="21"/>
                <w:lang w:eastAsia="zh-CN"/>
              </w:rPr>
              <w:t>印机</w:t>
            </w:r>
            <w:r>
              <w:rPr>
                <w:rFonts w:hint="eastAsia" w:ascii="宋体" w:hAnsi="宋体" w:cs="宋体"/>
                <w:spacing w:val="2"/>
                <w:w w:val="99"/>
                <w:kern w:val="2"/>
                <w:sz w:val="21"/>
                <w:szCs w:val="21"/>
                <w:lang w:eastAsia="zh-CN"/>
              </w:rPr>
              <w:t>和</w:t>
            </w:r>
            <w:r>
              <w:rPr>
                <w:rFonts w:hint="eastAsia" w:ascii="宋体" w:hAnsi="宋体" w:cs="宋体"/>
                <w:w w:val="99"/>
                <w:kern w:val="2"/>
                <w:sz w:val="21"/>
                <w:szCs w:val="21"/>
                <w:lang w:eastAsia="zh-CN"/>
              </w:rPr>
              <w:t>传真</w:t>
            </w:r>
            <w:r>
              <w:rPr>
                <w:rFonts w:hint="eastAsia" w:ascii="宋体" w:hAnsi="宋体" w:cs="宋体"/>
                <w:spacing w:val="2"/>
                <w:w w:val="99"/>
                <w:kern w:val="2"/>
                <w:sz w:val="21"/>
                <w:szCs w:val="21"/>
                <w:lang w:eastAsia="zh-CN"/>
              </w:rPr>
              <w:t>机</w:t>
            </w:r>
            <w:r>
              <w:rPr>
                <w:rFonts w:hint="eastAsia" w:ascii="宋体" w:hAnsi="宋体" w:cs="宋体"/>
                <w:w w:val="99"/>
                <w:kern w:val="2"/>
                <w:sz w:val="21"/>
                <w:szCs w:val="21"/>
                <w:lang w:eastAsia="zh-CN"/>
              </w:rPr>
              <w:t>能效限定值及</w:t>
            </w:r>
            <w:r>
              <w:rPr>
                <w:rFonts w:hint="eastAsia" w:ascii="宋体" w:hAnsi="宋体" w:cs="宋体"/>
                <w:spacing w:val="2"/>
                <w:w w:val="99"/>
                <w:kern w:val="2"/>
                <w:sz w:val="21"/>
                <w:szCs w:val="21"/>
                <w:lang w:eastAsia="zh-CN"/>
              </w:rPr>
              <w:t>能</w:t>
            </w:r>
            <w:r>
              <w:rPr>
                <w:rFonts w:hint="eastAsia" w:ascii="宋体" w:hAnsi="宋体" w:cs="宋体"/>
                <w:w w:val="99"/>
                <w:kern w:val="2"/>
                <w:sz w:val="21"/>
                <w:szCs w:val="21"/>
                <w:lang w:eastAsia="zh-CN"/>
              </w:rPr>
              <w:t>效等</w:t>
            </w:r>
            <w:r>
              <w:rPr>
                <w:rFonts w:hint="eastAsia" w:ascii="宋体" w:hAnsi="宋体" w:cs="宋体"/>
                <w:spacing w:val="2"/>
                <w:w w:val="99"/>
                <w:kern w:val="2"/>
                <w:sz w:val="21"/>
                <w:szCs w:val="21"/>
                <w:lang w:eastAsia="zh-CN"/>
              </w:rPr>
              <w:t>级</w:t>
            </w:r>
            <w:r>
              <w:rPr>
                <w:rFonts w:hint="eastAsia" w:ascii="宋体" w:hAnsi="宋体" w:cs="宋体"/>
                <w:w w:val="99"/>
                <w:kern w:val="2"/>
                <w:sz w:val="21"/>
                <w:szCs w:val="21"/>
                <w:lang w:eastAsia="zh-CN"/>
              </w:rPr>
              <w:t>》（</w:t>
            </w:r>
            <w:r>
              <w:rPr>
                <w:rFonts w:hint="eastAsia" w:ascii="宋体" w:hAnsi="宋体" w:cs="宋体"/>
                <w:spacing w:val="1"/>
                <w:w w:val="99"/>
                <w:kern w:val="2"/>
                <w:sz w:val="21"/>
                <w:szCs w:val="21"/>
                <w:lang w:eastAsia="zh-CN"/>
              </w:rPr>
              <w:t>G</w:t>
            </w:r>
            <w:r>
              <w:rPr>
                <w:rFonts w:hint="eastAsia" w:ascii="宋体" w:hAnsi="宋体" w:cs="宋体"/>
                <w:w w:val="99"/>
                <w:kern w:val="2"/>
                <w:sz w:val="21"/>
                <w:szCs w:val="21"/>
                <w:lang w:eastAsia="zh-CN"/>
              </w:rPr>
              <w:t>B</w:t>
            </w:r>
            <w:r>
              <w:rPr>
                <w:rFonts w:hint="eastAsia" w:ascii="宋体" w:hAnsi="宋体" w:cs="宋体"/>
                <w:spacing w:val="1"/>
                <w:w w:val="99"/>
                <w:kern w:val="2"/>
                <w:sz w:val="21"/>
                <w:szCs w:val="21"/>
                <w:lang w:eastAsia="zh-CN"/>
              </w:rPr>
              <w:t>21</w:t>
            </w:r>
            <w:r>
              <w:rPr>
                <w:rFonts w:hint="eastAsia" w:ascii="宋体" w:hAnsi="宋体" w:cs="宋体"/>
                <w:w w:val="99"/>
                <w:kern w:val="2"/>
                <w:sz w:val="21"/>
                <w:szCs w:val="21"/>
                <w:lang w:eastAsia="zh-CN"/>
              </w:rPr>
              <w:t>52</w:t>
            </w:r>
            <w:r>
              <w:rPr>
                <w:rFonts w:hint="eastAsia" w:ascii="宋体" w:hAnsi="宋体" w:cs="宋体"/>
                <w:spacing w:val="1"/>
                <w:w w:val="99"/>
                <w:kern w:val="2"/>
                <w:sz w:val="21"/>
                <w:szCs w:val="21"/>
                <w:lang w:eastAsia="zh-CN"/>
              </w:rPr>
              <w:t>1</w:t>
            </w:r>
            <w:r>
              <w:rPr>
                <w:rFonts w:hint="eastAsia" w:ascii="宋体" w:hAnsi="宋体" w:cs="宋体"/>
                <w:w w:val="99"/>
                <w:kern w:val="2"/>
                <w:sz w:val="21"/>
                <w:szCs w:val="21"/>
                <w:lang w:eastAsia="zh-CN"/>
              </w:rPr>
              <w:t>）</w:t>
            </w:r>
          </w:p>
        </w:tc>
      </w:tr>
      <w:tr w14:paraId="5CCED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continue"/>
            <w:tcBorders>
              <w:top w:val="single" w:color="000000" w:sz="4" w:space="0"/>
              <w:left w:val="single" w:color="000000" w:sz="4" w:space="0"/>
              <w:bottom w:val="single" w:color="000000" w:sz="4" w:space="0"/>
              <w:right w:val="single" w:color="000000" w:sz="4" w:space="0"/>
            </w:tcBorders>
            <w:noWrap w:val="0"/>
            <w:vAlign w:val="center"/>
          </w:tcPr>
          <w:p w14:paraId="2880A1F4">
            <w:pPr>
              <w:widowControl/>
              <w:jc w:val="left"/>
              <w:rPr>
                <w:rFonts w:ascii="宋体" w:hAnsi="宋体"/>
                <w:szCs w:val="21"/>
              </w:rPr>
            </w:pPr>
          </w:p>
        </w:tc>
        <w:tc>
          <w:tcPr>
            <w:tcW w:w="834" w:type="pct"/>
            <w:vMerge w:val="continue"/>
            <w:tcBorders>
              <w:top w:val="single" w:color="000000" w:sz="4" w:space="0"/>
              <w:left w:val="single" w:color="000000" w:sz="4" w:space="0"/>
              <w:bottom w:val="single" w:color="000000" w:sz="4" w:space="0"/>
              <w:right w:val="single" w:color="000000" w:sz="4" w:space="0"/>
            </w:tcBorders>
            <w:noWrap w:val="0"/>
            <w:vAlign w:val="center"/>
          </w:tcPr>
          <w:p w14:paraId="7DC22A0D">
            <w:pPr>
              <w:widowControl/>
              <w:jc w:val="left"/>
              <w:rPr>
                <w:rFonts w:ascii="宋体" w:hAnsi="宋体" w:cs="宋体"/>
                <w:szCs w:val="21"/>
              </w:rPr>
            </w:pPr>
          </w:p>
        </w:tc>
        <w:tc>
          <w:tcPr>
            <w:tcW w:w="878" w:type="pct"/>
            <w:vMerge w:val="continue"/>
            <w:tcBorders>
              <w:top w:val="single" w:color="000000" w:sz="4" w:space="0"/>
              <w:left w:val="single" w:color="000000" w:sz="4" w:space="0"/>
              <w:bottom w:val="single" w:color="000000" w:sz="4" w:space="0"/>
              <w:right w:val="single" w:color="000000" w:sz="4" w:space="0"/>
            </w:tcBorders>
            <w:noWrap w:val="0"/>
            <w:vAlign w:val="center"/>
          </w:tcPr>
          <w:p w14:paraId="42AC66DC">
            <w:pPr>
              <w:widowControl/>
              <w:jc w:val="left"/>
              <w:rPr>
                <w:rFonts w:ascii="宋体" w:hAnsi="宋体"/>
                <w:szCs w:val="21"/>
              </w:rPr>
            </w:pP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3BD61C97">
            <w:pPr>
              <w:jc w:val="center"/>
              <w:rPr>
                <w:rFonts w:ascii="宋体" w:hAnsi="宋体"/>
                <w:szCs w:val="21"/>
              </w:rPr>
            </w:pPr>
            <w:r>
              <w:rPr>
                <w:rFonts w:hint="eastAsia" w:ascii="宋体" w:hAnsi="宋体"/>
                <w:szCs w:val="21"/>
              </w:rPr>
              <w:t>A02021006票据打印机</w:t>
            </w:r>
          </w:p>
        </w:tc>
        <w:tc>
          <w:tcPr>
            <w:tcW w:w="2092" w:type="pct"/>
            <w:tcBorders>
              <w:top w:val="single" w:color="000000" w:sz="4" w:space="0"/>
              <w:left w:val="single" w:color="000000" w:sz="4" w:space="0"/>
              <w:bottom w:val="single" w:color="000000" w:sz="4" w:space="0"/>
              <w:right w:val="single" w:color="000000" w:sz="4" w:space="0"/>
            </w:tcBorders>
            <w:noWrap w:val="0"/>
            <w:vAlign w:val="top"/>
          </w:tcPr>
          <w:p w14:paraId="1E5B7A1E">
            <w:pPr>
              <w:pStyle w:val="111"/>
              <w:spacing w:before="52"/>
              <w:ind w:left="7" w:right="7"/>
              <w:rPr>
                <w:rFonts w:ascii="宋体" w:hAnsi="宋体" w:cs="宋体"/>
                <w:kern w:val="2"/>
                <w:sz w:val="21"/>
                <w:szCs w:val="21"/>
                <w:lang w:eastAsia="zh-CN"/>
              </w:rPr>
            </w:pPr>
            <w:r>
              <w:rPr>
                <w:rFonts w:hint="eastAsia" w:ascii="宋体" w:hAnsi="宋体" w:cs="宋体"/>
                <w:w w:val="99"/>
                <w:kern w:val="2"/>
                <w:sz w:val="21"/>
                <w:szCs w:val="21"/>
                <w:lang w:eastAsia="zh-CN"/>
              </w:rPr>
              <w:t>《复印</w:t>
            </w:r>
            <w:r>
              <w:rPr>
                <w:rFonts w:hint="eastAsia" w:ascii="宋体" w:hAnsi="宋体" w:cs="宋体"/>
                <w:spacing w:val="2"/>
                <w:w w:val="99"/>
                <w:kern w:val="2"/>
                <w:sz w:val="21"/>
                <w:szCs w:val="21"/>
                <w:lang w:eastAsia="zh-CN"/>
              </w:rPr>
              <w:t>机</w:t>
            </w:r>
            <w:r>
              <w:rPr>
                <w:rFonts w:hint="eastAsia" w:ascii="宋体" w:hAnsi="宋体" w:cs="宋体"/>
                <w:spacing w:val="-58"/>
                <w:w w:val="99"/>
                <w:kern w:val="2"/>
                <w:sz w:val="21"/>
                <w:szCs w:val="21"/>
                <w:lang w:eastAsia="zh-CN"/>
              </w:rPr>
              <w:t>、</w:t>
            </w:r>
            <w:r>
              <w:rPr>
                <w:rFonts w:hint="eastAsia" w:ascii="宋体" w:hAnsi="宋体" w:cs="宋体"/>
                <w:spacing w:val="2"/>
                <w:w w:val="99"/>
                <w:kern w:val="2"/>
                <w:sz w:val="21"/>
                <w:szCs w:val="21"/>
                <w:lang w:eastAsia="zh-CN"/>
              </w:rPr>
              <w:t>打</w:t>
            </w:r>
            <w:r>
              <w:rPr>
                <w:rFonts w:hint="eastAsia" w:ascii="宋体" w:hAnsi="宋体" w:cs="宋体"/>
                <w:w w:val="99"/>
                <w:kern w:val="2"/>
                <w:sz w:val="21"/>
                <w:szCs w:val="21"/>
                <w:lang w:eastAsia="zh-CN"/>
              </w:rPr>
              <w:t>印机</w:t>
            </w:r>
            <w:r>
              <w:rPr>
                <w:rFonts w:hint="eastAsia" w:ascii="宋体" w:hAnsi="宋体" w:cs="宋体"/>
                <w:spacing w:val="2"/>
                <w:w w:val="99"/>
                <w:kern w:val="2"/>
                <w:sz w:val="21"/>
                <w:szCs w:val="21"/>
                <w:lang w:eastAsia="zh-CN"/>
              </w:rPr>
              <w:t>和</w:t>
            </w:r>
            <w:r>
              <w:rPr>
                <w:rFonts w:hint="eastAsia" w:ascii="宋体" w:hAnsi="宋体" w:cs="宋体"/>
                <w:w w:val="99"/>
                <w:kern w:val="2"/>
                <w:sz w:val="21"/>
                <w:szCs w:val="21"/>
                <w:lang w:eastAsia="zh-CN"/>
              </w:rPr>
              <w:t>传真</w:t>
            </w:r>
            <w:r>
              <w:rPr>
                <w:rFonts w:hint="eastAsia" w:ascii="宋体" w:hAnsi="宋体" w:cs="宋体"/>
                <w:spacing w:val="2"/>
                <w:w w:val="99"/>
                <w:kern w:val="2"/>
                <w:sz w:val="21"/>
                <w:szCs w:val="21"/>
                <w:lang w:eastAsia="zh-CN"/>
              </w:rPr>
              <w:t>机</w:t>
            </w:r>
            <w:r>
              <w:rPr>
                <w:rFonts w:hint="eastAsia" w:ascii="宋体" w:hAnsi="宋体" w:cs="宋体"/>
                <w:w w:val="99"/>
                <w:kern w:val="2"/>
                <w:sz w:val="21"/>
                <w:szCs w:val="21"/>
                <w:lang w:eastAsia="zh-CN"/>
              </w:rPr>
              <w:t>能效限定值及</w:t>
            </w:r>
            <w:r>
              <w:rPr>
                <w:rFonts w:hint="eastAsia" w:ascii="宋体" w:hAnsi="宋体" w:cs="宋体"/>
                <w:spacing w:val="2"/>
                <w:w w:val="99"/>
                <w:kern w:val="2"/>
                <w:sz w:val="21"/>
                <w:szCs w:val="21"/>
                <w:lang w:eastAsia="zh-CN"/>
              </w:rPr>
              <w:t>能</w:t>
            </w:r>
            <w:r>
              <w:rPr>
                <w:rFonts w:hint="eastAsia" w:ascii="宋体" w:hAnsi="宋体" w:cs="宋体"/>
                <w:w w:val="99"/>
                <w:kern w:val="2"/>
                <w:sz w:val="21"/>
                <w:szCs w:val="21"/>
                <w:lang w:eastAsia="zh-CN"/>
              </w:rPr>
              <w:t>效等</w:t>
            </w:r>
            <w:r>
              <w:rPr>
                <w:rFonts w:hint="eastAsia" w:ascii="宋体" w:hAnsi="宋体" w:cs="宋体"/>
                <w:spacing w:val="2"/>
                <w:w w:val="99"/>
                <w:kern w:val="2"/>
                <w:sz w:val="21"/>
                <w:szCs w:val="21"/>
                <w:lang w:eastAsia="zh-CN"/>
              </w:rPr>
              <w:t>级</w:t>
            </w:r>
            <w:r>
              <w:rPr>
                <w:rFonts w:hint="eastAsia" w:ascii="宋体" w:hAnsi="宋体" w:cs="宋体"/>
                <w:w w:val="99"/>
                <w:kern w:val="2"/>
                <w:sz w:val="21"/>
                <w:szCs w:val="21"/>
                <w:lang w:eastAsia="zh-CN"/>
              </w:rPr>
              <w:t>》（</w:t>
            </w:r>
            <w:r>
              <w:rPr>
                <w:rFonts w:hint="eastAsia" w:ascii="宋体" w:hAnsi="宋体" w:cs="宋体"/>
                <w:spacing w:val="1"/>
                <w:w w:val="99"/>
                <w:kern w:val="2"/>
                <w:sz w:val="21"/>
                <w:szCs w:val="21"/>
                <w:lang w:eastAsia="zh-CN"/>
              </w:rPr>
              <w:t>G</w:t>
            </w:r>
            <w:r>
              <w:rPr>
                <w:rFonts w:hint="eastAsia" w:ascii="宋体" w:hAnsi="宋体" w:cs="宋体"/>
                <w:w w:val="99"/>
                <w:kern w:val="2"/>
                <w:sz w:val="21"/>
                <w:szCs w:val="21"/>
                <w:lang w:eastAsia="zh-CN"/>
              </w:rPr>
              <w:t>B</w:t>
            </w:r>
            <w:r>
              <w:rPr>
                <w:rFonts w:hint="eastAsia" w:ascii="宋体" w:hAnsi="宋体" w:cs="宋体"/>
                <w:spacing w:val="1"/>
                <w:w w:val="99"/>
                <w:kern w:val="2"/>
                <w:sz w:val="21"/>
                <w:szCs w:val="21"/>
                <w:lang w:eastAsia="zh-CN"/>
              </w:rPr>
              <w:t>21</w:t>
            </w:r>
            <w:r>
              <w:rPr>
                <w:rFonts w:hint="eastAsia" w:ascii="宋体" w:hAnsi="宋体" w:cs="宋体"/>
                <w:w w:val="99"/>
                <w:kern w:val="2"/>
                <w:sz w:val="21"/>
                <w:szCs w:val="21"/>
                <w:lang w:eastAsia="zh-CN"/>
              </w:rPr>
              <w:t>52</w:t>
            </w:r>
            <w:r>
              <w:rPr>
                <w:rFonts w:hint="eastAsia" w:ascii="宋体" w:hAnsi="宋体" w:cs="宋体"/>
                <w:spacing w:val="1"/>
                <w:w w:val="99"/>
                <w:kern w:val="2"/>
                <w:sz w:val="21"/>
                <w:szCs w:val="21"/>
                <w:lang w:eastAsia="zh-CN"/>
              </w:rPr>
              <w:t>1</w:t>
            </w:r>
            <w:r>
              <w:rPr>
                <w:rFonts w:hint="eastAsia" w:ascii="宋体" w:hAnsi="宋体" w:cs="宋体"/>
                <w:w w:val="99"/>
                <w:kern w:val="2"/>
                <w:sz w:val="21"/>
                <w:szCs w:val="21"/>
                <w:lang w:eastAsia="zh-CN"/>
              </w:rPr>
              <w:t>）</w:t>
            </w:r>
          </w:p>
        </w:tc>
      </w:tr>
      <w:tr w14:paraId="5E4B4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continue"/>
            <w:tcBorders>
              <w:top w:val="single" w:color="000000" w:sz="4" w:space="0"/>
              <w:left w:val="single" w:color="000000" w:sz="4" w:space="0"/>
              <w:bottom w:val="single" w:color="000000" w:sz="4" w:space="0"/>
              <w:right w:val="single" w:color="000000" w:sz="4" w:space="0"/>
            </w:tcBorders>
            <w:noWrap w:val="0"/>
            <w:vAlign w:val="center"/>
          </w:tcPr>
          <w:p w14:paraId="279A714F">
            <w:pPr>
              <w:widowControl/>
              <w:jc w:val="left"/>
              <w:rPr>
                <w:rFonts w:ascii="宋体" w:hAnsi="宋体"/>
                <w:szCs w:val="21"/>
              </w:rPr>
            </w:pPr>
          </w:p>
        </w:tc>
        <w:tc>
          <w:tcPr>
            <w:tcW w:w="834" w:type="pct"/>
            <w:vMerge w:val="continue"/>
            <w:tcBorders>
              <w:top w:val="single" w:color="000000" w:sz="4" w:space="0"/>
              <w:left w:val="single" w:color="000000" w:sz="4" w:space="0"/>
              <w:bottom w:val="single" w:color="000000" w:sz="4" w:space="0"/>
              <w:right w:val="single" w:color="000000" w:sz="4" w:space="0"/>
            </w:tcBorders>
            <w:noWrap w:val="0"/>
            <w:vAlign w:val="center"/>
          </w:tcPr>
          <w:p w14:paraId="5DAE7455">
            <w:pPr>
              <w:widowControl/>
              <w:jc w:val="left"/>
              <w:rPr>
                <w:rFonts w:ascii="宋体" w:hAnsi="宋体" w:cs="宋体"/>
                <w:szCs w:val="21"/>
              </w:rPr>
            </w:pPr>
          </w:p>
        </w:tc>
        <w:tc>
          <w:tcPr>
            <w:tcW w:w="878" w:type="pct"/>
            <w:vMerge w:val="continue"/>
            <w:tcBorders>
              <w:top w:val="single" w:color="000000" w:sz="4" w:space="0"/>
              <w:left w:val="single" w:color="000000" w:sz="4" w:space="0"/>
              <w:bottom w:val="single" w:color="000000" w:sz="4" w:space="0"/>
              <w:right w:val="single" w:color="000000" w:sz="4" w:space="0"/>
            </w:tcBorders>
            <w:noWrap w:val="0"/>
            <w:vAlign w:val="center"/>
          </w:tcPr>
          <w:p w14:paraId="301490A0">
            <w:pPr>
              <w:widowControl/>
              <w:jc w:val="left"/>
              <w:rPr>
                <w:rFonts w:ascii="宋体" w:hAnsi="宋体"/>
                <w:szCs w:val="21"/>
              </w:rPr>
            </w:pP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210F73CF">
            <w:pPr>
              <w:jc w:val="center"/>
              <w:rPr>
                <w:rFonts w:ascii="宋体" w:hAnsi="宋体"/>
                <w:szCs w:val="21"/>
              </w:rPr>
            </w:pPr>
            <w:r>
              <w:rPr>
                <w:rFonts w:hint="eastAsia" w:ascii="宋体" w:hAnsi="宋体"/>
                <w:szCs w:val="21"/>
              </w:rPr>
              <w:t>A02021007条码打印机</w:t>
            </w:r>
          </w:p>
        </w:tc>
        <w:tc>
          <w:tcPr>
            <w:tcW w:w="2092" w:type="pct"/>
            <w:tcBorders>
              <w:top w:val="single" w:color="000000" w:sz="4" w:space="0"/>
              <w:left w:val="single" w:color="000000" w:sz="4" w:space="0"/>
              <w:bottom w:val="single" w:color="000000" w:sz="4" w:space="0"/>
              <w:right w:val="single" w:color="000000" w:sz="4" w:space="0"/>
            </w:tcBorders>
            <w:noWrap w:val="0"/>
            <w:vAlign w:val="top"/>
          </w:tcPr>
          <w:p w14:paraId="29F7D857">
            <w:pPr>
              <w:pStyle w:val="111"/>
              <w:spacing w:before="52"/>
              <w:ind w:left="7" w:right="7"/>
              <w:rPr>
                <w:rFonts w:ascii="宋体" w:hAnsi="宋体" w:cs="宋体"/>
                <w:kern w:val="2"/>
                <w:sz w:val="21"/>
                <w:szCs w:val="21"/>
                <w:lang w:eastAsia="zh-CN"/>
              </w:rPr>
            </w:pPr>
            <w:r>
              <w:rPr>
                <w:rFonts w:hint="eastAsia" w:ascii="宋体" w:hAnsi="宋体" w:cs="宋体"/>
                <w:w w:val="99"/>
                <w:kern w:val="2"/>
                <w:sz w:val="21"/>
                <w:szCs w:val="21"/>
                <w:lang w:eastAsia="zh-CN"/>
              </w:rPr>
              <w:t>《复印</w:t>
            </w:r>
            <w:r>
              <w:rPr>
                <w:rFonts w:hint="eastAsia" w:ascii="宋体" w:hAnsi="宋体" w:cs="宋体"/>
                <w:spacing w:val="2"/>
                <w:w w:val="99"/>
                <w:kern w:val="2"/>
                <w:sz w:val="21"/>
                <w:szCs w:val="21"/>
                <w:lang w:eastAsia="zh-CN"/>
              </w:rPr>
              <w:t>机</w:t>
            </w:r>
            <w:r>
              <w:rPr>
                <w:rFonts w:hint="eastAsia" w:ascii="宋体" w:hAnsi="宋体" w:cs="宋体"/>
                <w:spacing w:val="-58"/>
                <w:w w:val="99"/>
                <w:kern w:val="2"/>
                <w:sz w:val="21"/>
                <w:szCs w:val="21"/>
                <w:lang w:eastAsia="zh-CN"/>
              </w:rPr>
              <w:t>、</w:t>
            </w:r>
            <w:r>
              <w:rPr>
                <w:rFonts w:hint="eastAsia" w:ascii="宋体" w:hAnsi="宋体" w:cs="宋体"/>
                <w:spacing w:val="2"/>
                <w:w w:val="99"/>
                <w:kern w:val="2"/>
                <w:sz w:val="21"/>
                <w:szCs w:val="21"/>
                <w:lang w:eastAsia="zh-CN"/>
              </w:rPr>
              <w:t>打</w:t>
            </w:r>
            <w:r>
              <w:rPr>
                <w:rFonts w:hint="eastAsia" w:ascii="宋体" w:hAnsi="宋体" w:cs="宋体"/>
                <w:w w:val="99"/>
                <w:kern w:val="2"/>
                <w:sz w:val="21"/>
                <w:szCs w:val="21"/>
                <w:lang w:eastAsia="zh-CN"/>
              </w:rPr>
              <w:t>印机</w:t>
            </w:r>
            <w:r>
              <w:rPr>
                <w:rFonts w:hint="eastAsia" w:ascii="宋体" w:hAnsi="宋体" w:cs="宋体"/>
                <w:spacing w:val="2"/>
                <w:w w:val="99"/>
                <w:kern w:val="2"/>
                <w:sz w:val="21"/>
                <w:szCs w:val="21"/>
                <w:lang w:eastAsia="zh-CN"/>
              </w:rPr>
              <w:t>和</w:t>
            </w:r>
            <w:r>
              <w:rPr>
                <w:rFonts w:hint="eastAsia" w:ascii="宋体" w:hAnsi="宋体" w:cs="宋体"/>
                <w:w w:val="99"/>
                <w:kern w:val="2"/>
                <w:sz w:val="21"/>
                <w:szCs w:val="21"/>
                <w:lang w:eastAsia="zh-CN"/>
              </w:rPr>
              <w:t>传真</w:t>
            </w:r>
            <w:r>
              <w:rPr>
                <w:rFonts w:hint="eastAsia" w:ascii="宋体" w:hAnsi="宋体" w:cs="宋体"/>
                <w:spacing w:val="2"/>
                <w:w w:val="99"/>
                <w:kern w:val="2"/>
                <w:sz w:val="21"/>
                <w:szCs w:val="21"/>
                <w:lang w:eastAsia="zh-CN"/>
              </w:rPr>
              <w:t>机</w:t>
            </w:r>
            <w:r>
              <w:rPr>
                <w:rFonts w:hint="eastAsia" w:ascii="宋体" w:hAnsi="宋体" w:cs="宋体"/>
                <w:w w:val="99"/>
                <w:kern w:val="2"/>
                <w:sz w:val="21"/>
                <w:szCs w:val="21"/>
                <w:lang w:eastAsia="zh-CN"/>
              </w:rPr>
              <w:t>能效限定值及</w:t>
            </w:r>
            <w:r>
              <w:rPr>
                <w:rFonts w:hint="eastAsia" w:ascii="宋体" w:hAnsi="宋体" w:cs="宋体"/>
                <w:spacing w:val="2"/>
                <w:w w:val="99"/>
                <w:kern w:val="2"/>
                <w:sz w:val="21"/>
                <w:szCs w:val="21"/>
                <w:lang w:eastAsia="zh-CN"/>
              </w:rPr>
              <w:t>能</w:t>
            </w:r>
            <w:r>
              <w:rPr>
                <w:rFonts w:hint="eastAsia" w:ascii="宋体" w:hAnsi="宋体" w:cs="宋体"/>
                <w:w w:val="99"/>
                <w:kern w:val="2"/>
                <w:sz w:val="21"/>
                <w:szCs w:val="21"/>
                <w:lang w:eastAsia="zh-CN"/>
              </w:rPr>
              <w:t>效等</w:t>
            </w:r>
            <w:r>
              <w:rPr>
                <w:rFonts w:hint="eastAsia" w:ascii="宋体" w:hAnsi="宋体" w:cs="宋体"/>
                <w:spacing w:val="2"/>
                <w:w w:val="99"/>
                <w:kern w:val="2"/>
                <w:sz w:val="21"/>
                <w:szCs w:val="21"/>
                <w:lang w:eastAsia="zh-CN"/>
              </w:rPr>
              <w:t>级</w:t>
            </w:r>
            <w:r>
              <w:rPr>
                <w:rFonts w:hint="eastAsia" w:ascii="宋体" w:hAnsi="宋体" w:cs="宋体"/>
                <w:w w:val="99"/>
                <w:kern w:val="2"/>
                <w:sz w:val="21"/>
                <w:szCs w:val="21"/>
                <w:lang w:eastAsia="zh-CN"/>
              </w:rPr>
              <w:t>》（</w:t>
            </w:r>
            <w:r>
              <w:rPr>
                <w:rFonts w:hint="eastAsia" w:ascii="宋体" w:hAnsi="宋体" w:cs="宋体"/>
                <w:spacing w:val="1"/>
                <w:w w:val="99"/>
                <w:kern w:val="2"/>
                <w:sz w:val="21"/>
                <w:szCs w:val="21"/>
                <w:lang w:eastAsia="zh-CN"/>
              </w:rPr>
              <w:t>G</w:t>
            </w:r>
            <w:r>
              <w:rPr>
                <w:rFonts w:hint="eastAsia" w:ascii="宋体" w:hAnsi="宋体" w:cs="宋体"/>
                <w:w w:val="99"/>
                <w:kern w:val="2"/>
                <w:sz w:val="21"/>
                <w:szCs w:val="21"/>
                <w:lang w:eastAsia="zh-CN"/>
              </w:rPr>
              <w:t>B</w:t>
            </w:r>
            <w:r>
              <w:rPr>
                <w:rFonts w:hint="eastAsia" w:ascii="宋体" w:hAnsi="宋体" w:cs="宋体"/>
                <w:spacing w:val="1"/>
                <w:w w:val="99"/>
                <w:kern w:val="2"/>
                <w:sz w:val="21"/>
                <w:szCs w:val="21"/>
                <w:lang w:eastAsia="zh-CN"/>
              </w:rPr>
              <w:t>21</w:t>
            </w:r>
            <w:r>
              <w:rPr>
                <w:rFonts w:hint="eastAsia" w:ascii="宋体" w:hAnsi="宋体" w:cs="宋体"/>
                <w:w w:val="99"/>
                <w:kern w:val="2"/>
                <w:sz w:val="21"/>
                <w:szCs w:val="21"/>
                <w:lang w:eastAsia="zh-CN"/>
              </w:rPr>
              <w:t>52</w:t>
            </w:r>
            <w:r>
              <w:rPr>
                <w:rFonts w:hint="eastAsia" w:ascii="宋体" w:hAnsi="宋体" w:cs="宋体"/>
                <w:spacing w:val="1"/>
                <w:w w:val="99"/>
                <w:kern w:val="2"/>
                <w:sz w:val="21"/>
                <w:szCs w:val="21"/>
                <w:lang w:eastAsia="zh-CN"/>
              </w:rPr>
              <w:t>1</w:t>
            </w:r>
            <w:r>
              <w:rPr>
                <w:rFonts w:hint="eastAsia" w:ascii="宋体" w:hAnsi="宋体" w:cs="宋体"/>
                <w:w w:val="99"/>
                <w:kern w:val="2"/>
                <w:sz w:val="21"/>
                <w:szCs w:val="21"/>
                <w:lang w:eastAsia="zh-CN"/>
              </w:rPr>
              <w:t>）</w:t>
            </w:r>
          </w:p>
        </w:tc>
      </w:tr>
      <w:tr w14:paraId="035F2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continue"/>
            <w:tcBorders>
              <w:top w:val="single" w:color="000000" w:sz="4" w:space="0"/>
              <w:left w:val="single" w:color="000000" w:sz="4" w:space="0"/>
              <w:bottom w:val="single" w:color="000000" w:sz="4" w:space="0"/>
              <w:right w:val="single" w:color="000000" w:sz="4" w:space="0"/>
            </w:tcBorders>
            <w:noWrap w:val="0"/>
            <w:vAlign w:val="center"/>
          </w:tcPr>
          <w:p w14:paraId="5FEC70F0">
            <w:pPr>
              <w:widowControl/>
              <w:jc w:val="left"/>
              <w:rPr>
                <w:rFonts w:ascii="宋体" w:hAnsi="宋体"/>
                <w:szCs w:val="21"/>
              </w:rPr>
            </w:pPr>
          </w:p>
        </w:tc>
        <w:tc>
          <w:tcPr>
            <w:tcW w:w="834" w:type="pct"/>
            <w:vMerge w:val="continue"/>
            <w:tcBorders>
              <w:top w:val="single" w:color="000000" w:sz="4" w:space="0"/>
              <w:left w:val="single" w:color="000000" w:sz="4" w:space="0"/>
              <w:bottom w:val="single" w:color="000000" w:sz="4" w:space="0"/>
              <w:right w:val="single" w:color="000000" w:sz="4" w:space="0"/>
            </w:tcBorders>
            <w:noWrap w:val="0"/>
            <w:vAlign w:val="center"/>
          </w:tcPr>
          <w:p w14:paraId="14AF689E">
            <w:pPr>
              <w:widowControl/>
              <w:jc w:val="left"/>
              <w:rPr>
                <w:rFonts w:ascii="宋体" w:hAnsi="宋体" w:cs="宋体"/>
                <w:szCs w:val="21"/>
              </w:rPr>
            </w:pPr>
          </w:p>
        </w:tc>
        <w:tc>
          <w:tcPr>
            <w:tcW w:w="878" w:type="pct"/>
            <w:vMerge w:val="continue"/>
            <w:tcBorders>
              <w:top w:val="single" w:color="000000" w:sz="4" w:space="0"/>
              <w:left w:val="single" w:color="000000" w:sz="4" w:space="0"/>
              <w:bottom w:val="single" w:color="000000" w:sz="4" w:space="0"/>
              <w:right w:val="single" w:color="000000" w:sz="4" w:space="0"/>
            </w:tcBorders>
            <w:noWrap w:val="0"/>
            <w:vAlign w:val="center"/>
          </w:tcPr>
          <w:p w14:paraId="5F362975">
            <w:pPr>
              <w:widowControl/>
              <w:jc w:val="left"/>
              <w:rPr>
                <w:rFonts w:ascii="宋体" w:hAnsi="宋体"/>
                <w:szCs w:val="21"/>
              </w:rPr>
            </w:pP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393F5D0C">
            <w:pPr>
              <w:jc w:val="center"/>
              <w:rPr>
                <w:rFonts w:ascii="宋体" w:hAnsi="宋体"/>
                <w:szCs w:val="21"/>
              </w:rPr>
            </w:pPr>
            <w:r>
              <w:rPr>
                <w:rFonts w:hint="eastAsia" w:ascii="宋体" w:hAnsi="宋体"/>
                <w:szCs w:val="21"/>
              </w:rPr>
              <w:t>A02021008地址打印机</w:t>
            </w:r>
          </w:p>
        </w:tc>
        <w:tc>
          <w:tcPr>
            <w:tcW w:w="2092" w:type="pct"/>
            <w:tcBorders>
              <w:top w:val="single" w:color="000000" w:sz="4" w:space="0"/>
              <w:left w:val="single" w:color="000000" w:sz="4" w:space="0"/>
              <w:bottom w:val="single" w:color="000000" w:sz="4" w:space="0"/>
              <w:right w:val="single" w:color="000000" w:sz="4" w:space="0"/>
            </w:tcBorders>
            <w:noWrap w:val="0"/>
            <w:vAlign w:val="top"/>
          </w:tcPr>
          <w:p w14:paraId="7ACBCC87">
            <w:pPr>
              <w:pStyle w:val="111"/>
              <w:spacing w:before="52"/>
              <w:ind w:left="7" w:right="7"/>
              <w:rPr>
                <w:rFonts w:ascii="宋体" w:hAnsi="宋体" w:cs="宋体"/>
                <w:kern w:val="2"/>
                <w:sz w:val="21"/>
                <w:szCs w:val="21"/>
                <w:lang w:eastAsia="zh-CN"/>
              </w:rPr>
            </w:pPr>
            <w:r>
              <w:rPr>
                <w:rFonts w:hint="eastAsia" w:ascii="宋体" w:hAnsi="宋体" w:cs="宋体"/>
                <w:w w:val="99"/>
                <w:kern w:val="2"/>
                <w:sz w:val="21"/>
                <w:szCs w:val="21"/>
                <w:lang w:eastAsia="zh-CN"/>
              </w:rPr>
              <w:t>《复印</w:t>
            </w:r>
            <w:r>
              <w:rPr>
                <w:rFonts w:hint="eastAsia" w:ascii="宋体" w:hAnsi="宋体" w:cs="宋体"/>
                <w:spacing w:val="2"/>
                <w:w w:val="99"/>
                <w:kern w:val="2"/>
                <w:sz w:val="21"/>
                <w:szCs w:val="21"/>
                <w:lang w:eastAsia="zh-CN"/>
              </w:rPr>
              <w:t>机</w:t>
            </w:r>
            <w:r>
              <w:rPr>
                <w:rFonts w:hint="eastAsia" w:ascii="宋体" w:hAnsi="宋体" w:cs="宋体"/>
                <w:spacing w:val="-58"/>
                <w:w w:val="99"/>
                <w:kern w:val="2"/>
                <w:sz w:val="21"/>
                <w:szCs w:val="21"/>
                <w:lang w:eastAsia="zh-CN"/>
              </w:rPr>
              <w:t>、</w:t>
            </w:r>
            <w:r>
              <w:rPr>
                <w:rFonts w:hint="eastAsia" w:ascii="宋体" w:hAnsi="宋体" w:cs="宋体"/>
                <w:spacing w:val="2"/>
                <w:w w:val="99"/>
                <w:kern w:val="2"/>
                <w:sz w:val="21"/>
                <w:szCs w:val="21"/>
                <w:lang w:eastAsia="zh-CN"/>
              </w:rPr>
              <w:t>打</w:t>
            </w:r>
            <w:r>
              <w:rPr>
                <w:rFonts w:hint="eastAsia" w:ascii="宋体" w:hAnsi="宋体" w:cs="宋体"/>
                <w:w w:val="99"/>
                <w:kern w:val="2"/>
                <w:sz w:val="21"/>
                <w:szCs w:val="21"/>
                <w:lang w:eastAsia="zh-CN"/>
              </w:rPr>
              <w:t>印机</w:t>
            </w:r>
            <w:r>
              <w:rPr>
                <w:rFonts w:hint="eastAsia" w:ascii="宋体" w:hAnsi="宋体" w:cs="宋体"/>
                <w:spacing w:val="2"/>
                <w:w w:val="99"/>
                <w:kern w:val="2"/>
                <w:sz w:val="21"/>
                <w:szCs w:val="21"/>
                <w:lang w:eastAsia="zh-CN"/>
              </w:rPr>
              <w:t>和</w:t>
            </w:r>
            <w:r>
              <w:rPr>
                <w:rFonts w:hint="eastAsia" w:ascii="宋体" w:hAnsi="宋体" w:cs="宋体"/>
                <w:w w:val="99"/>
                <w:kern w:val="2"/>
                <w:sz w:val="21"/>
                <w:szCs w:val="21"/>
                <w:lang w:eastAsia="zh-CN"/>
              </w:rPr>
              <w:t>传真</w:t>
            </w:r>
            <w:r>
              <w:rPr>
                <w:rFonts w:hint="eastAsia" w:ascii="宋体" w:hAnsi="宋体" w:cs="宋体"/>
                <w:spacing w:val="2"/>
                <w:w w:val="99"/>
                <w:kern w:val="2"/>
                <w:sz w:val="21"/>
                <w:szCs w:val="21"/>
                <w:lang w:eastAsia="zh-CN"/>
              </w:rPr>
              <w:t>机</w:t>
            </w:r>
            <w:r>
              <w:rPr>
                <w:rFonts w:hint="eastAsia" w:ascii="宋体" w:hAnsi="宋体" w:cs="宋体"/>
                <w:w w:val="99"/>
                <w:kern w:val="2"/>
                <w:sz w:val="21"/>
                <w:szCs w:val="21"/>
                <w:lang w:eastAsia="zh-CN"/>
              </w:rPr>
              <w:t>能效限定值及</w:t>
            </w:r>
            <w:r>
              <w:rPr>
                <w:rFonts w:hint="eastAsia" w:ascii="宋体" w:hAnsi="宋体" w:cs="宋体"/>
                <w:spacing w:val="2"/>
                <w:w w:val="99"/>
                <w:kern w:val="2"/>
                <w:sz w:val="21"/>
                <w:szCs w:val="21"/>
                <w:lang w:eastAsia="zh-CN"/>
              </w:rPr>
              <w:t>能</w:t>
            </w:r>
            <w:r>
              <w:rPr>
                <w:rFonts w:hint="eastAsia" w:ascii="宋体" w:hAnsi="宋体" w:cs="宋体"/>
                <w:w w:val="99"/>
                <w:kern w:val="2"/>
                <w:sz w:val="21"/>
                <w:szCs w:val="21"/>
                <w:lang w:eastAsia="zh-CN"/>
              </w:rPr>
              <w:t>效等</w:t>
            </w:r>
            <w:r>
              <w:rPr>
                <w:rFonts w:hint="eastAsia" w:ascii="宋体" w:hAnsi="宋体" w:cs="宋体"/>
                <w:spacing w:val="2"/>
                <w:w w:val="99"/>
                <w:kern w:val="2"/>
                <w:sz w:val="21"/>
                <w:szCs w:val="21"/>
                <w:lang w:eastAsia="zh-CN"/>
              </w:rPr>
              <w:t>级</w:t>
            </w:r>
            <w:r>
              <w:rPr>
                <w:rFonts w:hint="eastAsia" w:ascii="宋体" w:hAnsi="宋体" w:cs="宋体"/>
                <w:w w:val="99"/>
                <w:kern w:val="2"/>
                <w:sz w:val="21"/>
                <w:szCs w:val="21"/>
                <w:lang w:eastAsia="zh-CN"/>
              </w:rPr>
              <w:t>》（</w:t>
            </w:r>
            <w:r>
              <w:rPr>
                <w:rFonts w:hint="eastAsia" w:ascii="宋体" w:hAnsi="宋体" w:cs="宋体"/>
                <w:spacing w:val="1"/>
                <w:w w:val="99"/>
                <w:kern w:val="2"/>
                <w:sz w:val="21"/>
                <w:szCs w:val="21"/>
                <w:lang w:eastAsia="zh-CN"/>
              </w:rPr>
              <w:t>G</w:t>
            </w:r>
            <w:r>
              <w:rPr>
                <w:rFonts w:hint="eastAsia" w:ascii="宋体" w:hAnsi="宋体" w:cs="宋体"/>
                <w:w w:val="99"/>
                <w:kern w:val="2"/>
                <w:sz w:val="21"/>
                <w:szCs w:val="21"/>
                <w:lang w:eastAsia="zh-CN"/>
              </w:rPr>
              <w:t>B</w:t>
            </w:r>
            <w:r>
              <w:rPr>
                <w:rFonts w:hint="eastAsia" w:ascii="宋体" w:hAnsi="宋体" w:cs="宋体"/>
                <w:spacing w:val="1"/>
                <w:w w:val="99"/>
                <w:kern w:val="2"/>
                <w:sz w:val="21"/>
                <w:szCs w:val="21"/>
                <w:lang w:eastAsia="zh-CN"/>
              </w:rPr>
              <w:t>21</w:t>
            </w:r>
            <w:r>
              <w:rPr>
                <w:rFonts w:hint="eastAsia" w:ascii="宋体" w:hAnsi="宋体" w:cs="宋体"/>
                <w:w w:val="99"/>
                <w:kern w:val="2"/>
                <w:sz w:val="21"/>
                <w:szCs w:val="21"/>
                <w:lang w:eastAsia="zh-CN"/>
              </w:rPr>
              <w:t>52</w:t>
            </w:r>
            <w:r>
              <w:rPr>
                <w:rFonts w:hint="eastAsia" w:ascii="宋体" w:hAnsi="宋体" w:cs="宋体"/>
                <w:spacing w:val="1"/>
                <w:w w:val="99"/>
                <w:kern w:val="2"/>
                <w:sz w:val="21"/>
                <w:szCs w:val="21"/>
                <w:lang w:eastAsia="zh-CN"/>
              </w:rPr>
              <w:t>1</w:t>
            </w:r>
            <w:r>
              <w:rPr>
                <w:rFonts w:hint="eastAsia" w:ascii="宋体" w:hAnsi="宋体" w:cs="宋体"/>
                <w:w w:val="99"/>
                <w:kern w:val="2"/>
                <w:sz w:val="21"/>
                <w:szCs w:val="21"/>
                <w:lang w:eastAsia="zh-CN"/>
              </w:rPr>
              <w:t>）</w:t>
            </w:r>
          </w:p>
        </w:tc>
      </w:tr>
      <w:tr w14:paraId="7332C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continue"/>
            <w:tcBorders>
              <w:top w:val="single" w:color="000000" w:sz="4" w:space="0"/>
              <w:left w:val="single" w:color="000000" w:sz="4" w:space="0"/>
              <w:bottom w:val="single" w:color="000000" w:sz="4" w:space="0"/>
              <w:right w:val="single" w:color="000000" w:sz="4" w:space="0"/>
            </w:tcBorders>
            <w:noWrap w:val="0"/>
            <w:vAlign w:val="center"/>
          </w:tcPr>
          <w:p w14:paraId="71EE5F5A">
            <w:pPr>
              <w:widowControl/>
              <w:jc w:val="left"/>
              <w:rPr>
                <w:rFonts w:ascii="宋体" w:hAnsi="宋体"/>
                <w:szCs w:val="21"/>
              </w:rPr>
            </w:pPr>
          </w:p>
        </w:tc>
        <w:tc>
          <w:tcPr>
            <w:tcW w:w="834" w:type="pct"/>
            <w:vMerge w:val="continue"/>
            <w:tcBorders>
              <w:top w:val="single" w:color="000000" w:sz="4" w:space="0"/>
              <w:left w:val="single" w:color="000000" w:sz="4" w:space="0"/>
              <w:bottom w:val="single" w:color="000000" w:sz="4" w:space="0"/>
              <w:right w:val="single" w:color="000000" w:sz="4" w:space="0"/>
            </w:tcBorders>
            <w:noWrap w:val="0"/>
            <w:vAlign w:val="center"/>
          </w:tcPr>
          <w:p w14:paraId="28CF018A">
            <w:pPr>
              <w:widowControl/>
              <w:jc w:val="left"/>
              <w:rPr>
                <w:rFonts w:ascii="宋体" w:hAnsi="宋体" w:cs="宋体"/>
                <w:szCs w:val="21"/>
              </w:rPr>
            </w:pPr>
          </w:p>
        </w:tc>
        <w:tc>
          <w:tcPr>
            <w:tcW w:w="878" w:type="pct"/>
            <w:vMerge w:val="continue"/>
            <w:tcBorders>
              <w:top w:val="single" w:color="000000" w:sz="4" w:space="0"/>
              <w:left w:val="single" w:color="000000" w:sz="4" w:space="0"/>
              <w:bottom w:val="single" w:color="000000" w:sz="4" w:space="0"/>
              <w:right w:val="single" w:color="000000" w:sz="4" w:space="0"/>
            </w:tcBorders>
            <w:noWrap w:val="0"/>
            <w:vAlign w:val="center"/>
          </w:tcPr>
          <w:p w14:paraId="7890E7F5">
            <w:pPr>
              <w:widowControl/>
              <w:jc w:val="left"/>
              <w:rPr>
                <w:rFonts w:ascii="宋体" w:hAnsi="宋体"/>
                <w:szCs w:val="21"/>
              </w:rPr>
            </w:pP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0674B78E">
            <w:pPr>
              <w:jc w:val="center"/>
              <w:rPr>
                <w:rFonts w:ascii="宋体" w:hAnsi="宋体"/>
                <w:szCs w:val="21"/>
              </w:rPr>
            </w:pPr>
            <w:r>
              <w:rPr>
                <w:rFonts w:hint="eastAsia" w:ascii="宋体" w:hAnsi="宋体"/>
                <w:szCs w:val="21"/>
              </w:rPr>
              <w:t>A02021099其他打印机</w:t>
            </w:r>
          </w:p>
        </w:tc>
        <w:tc>
          <w:tcPr>
            <w:tcW w:w="2092" w:type="pct"/>
            <w:tcBorders>
              <w:top w:val="single" w:color="000000" w:sz="4" w:space="0"/>
              <w:left w:val="single" w:color="000000" w:sz="4" w:space="0"/>
              <w:bottom w:val="single" w:color="000000" w:sz="4" w:space="0"/>
              <w:right w:val="single" w:color="000000" w:sz="4" w:space="0"/>
            </w:tcBorders>
            <w:noWrap w:val="0"/>
            <w:vAlign w:val="top"/>
          </w:tcPr>
          <w:p w14:paraId="716A5BEA">
            <w:pPr>
              <w:pStyle w:val="111"/>
              <w:spacing w:before="52"/>
              <w:ind w:left="7" w:right="7"/>
              <w:rPr>
                <w:rFonts w:ascii="宋体" w:hAnsi="宋体" w:cs="宋体"/>
                <w:kern w:val="2"/>
                <w:sz w:val="21"/>
                <w:szCs w:val="21"/>
                <w:lang w:eastAsia="zh-CN"/>
              </w:rPr>
            </w:pPr>
            <w:r>
              <w:rPr>
                <w:rFonts w:hint="eastAsia" w:ascii="宋体" w:hAnsi="宋体" w:cs="宋体"/>
                <w:w w:val="99"/>
                <w:kern w:val="2"/>
                <w:sz w:val="21"/>
                <w:szCs w:val="21"/>
                <w:lang w:eastAsia="zh-CN"/>
              </w:rPr>
              <w:t>《复印</w:t>
            </w:r>
            <w:r>
              <w:rPr>
                <w:rFonts w:hint="eastAsia" w:ascii="宋体" w:hAnsi="宋体" w:cs="宋体"/>
                <w:spacing w:val="2"/>
                <w:w w:val="99"/>
                <w:kern w:val="2"/>
                <w:sz w:val="21"/>
                <w:szCs w:val="21"/>
                <w:lang w:eastAsia="zh-CN"/>
              </w:rPr>
              <w:t>机</w:t>
            </w:r>
            <w:r>
              <w:rPr>
                <w:rFonts w:hint="eastAsia" w:ascii="宋体" w:hAnsi="宋体" w:cs="宋体"/>
                <w:spacing w:val="-58"/>
                <w:w w:val="99"/>
                <w:kern w:val="2"/>
                <w:sz w:val="21"/>
                <w:szCs w:val="21"/>
                <w:lang w:eastAsia="zh-CN"/>
              </w:rPr>
              <w:t>、</w:t>
            </w:r>
            <w:r>
              <w:rPr>
                <w:rFonts w:hint="eastAsia" w:ascii="宋体" w:hAnsi="宋体" w:cs="宋体"/>
                <w:spacing w:val="2"/>
                <w:w w:val="99"/>
                <w:kern w:val="2"/>
                <w:sz w:val="21"/>
                <w:szCs w:val="21"/>
                <w:lang w:eastAsia="zh-CN"/>
              </w:rPr>
              <w:t>打</w:t>
            </w:r>
            <w:r>
              <w:rPr>
                <w:rFonts w:hint="eastAsia" w:ascii="宋体" w:hAnsi="宋体" w:cs="宋体"/>
                <w:w w:val="99"/>
                <w:kern w:val="2"/>
                <w:sz w:val="21"/>
                <w:szCs w:val="21"/>
                <w:lang w:eastAsia="zh-CN"/>
              </w:rPr>
              <w:t>印机</w:t>
            </w:r>
            <w:r>
              <w:rPr>
                <w:rFonts w:hint="eastAsia" w:ascii="宋体" w:hAnsi="宋体" w:cs="宋体"/>
                <w:spacing w:val="2"/>
                <w:w w:val="99"/>
                <w:kern w:val="2"/>
                <w:sz w:val="21"/>
                <w:szCs w:val="21"/>
                <w:lang w:eastAsia="zh-CN"/>
              </w:rPr>
              <w:t>和</w:t>
            </w:r>
            <w:r>
              <w:rPr>
                <w:rFonts w:hint="eastAsia" w:ascii="宋体" w:hAnsi="宋体" w:cs="宋体"/>
                <w:w w:val="99"/>
                <w:kern w:val="2"/>
                <w:sz w:val="21"/>
                <w:szCs w:val="21"/>
                <w:lang w:eastAsia="zh-CN"/>
              </w:rPr>
              <w:t>传真</w:t>
            </w:r>
            <w:r>
              <w:rPr>
                <w:rFonts w:hint="eastAsia" w:ascii="宋体" w:hAnsi="宋体" w:cs="宋体"/>
                <w:spacing w:val="2"/>
                <w:w w:val="99"/>
                <w:kern w:val="2"/>
                <w:sz w:val="21"/>
                <w:szCs w:val="21"/>
                <w:lang w:eastAsia="zh-CN"/>
              </w:rPr>
              <w:t>机</w:t>
            </w:r>
            <w:r>
              <w:rPr>
                <w:rFonts w:hint="eastAsia" w:ascii="宋体" w:hAnsi="宋体" w:cs="宋体"/>
                <w:w w:val="99"/>
                <w:kern w:val="2"/>
                <w:sz w:val="21"/>
                <w:szCs w:val="21"/>
                <w:lang w:eastAsia="zh-CN"/>
              </w:rPr>
              <w:t>能效限定值及</w:t>
            </w:r>
            <w:r>
              <w:rPr>
                <w:rFonts w:hint="eastAsia" w:ascii="宋体" w:hAnsi="宋体" w:cs="宋体"/>
                <w:spacing w:val="2"/>
                <w:w w:val="99"/>
                <w:kern w:val="2"/>
                <w:sz w:val="21"/>
                <w:szCs w:val="21"/>
                <w:lang w:eastAsia="zh-CN"/>
              </w:rPr>
              <w:t>能</w:t>
            </w:r>
            <w:r>
              <w:rPr>
                <w:rFonts w:hint="eastAsia" w:ascii="宋体" w:hAnsi="宋体" w:cs="宋体"/>
                <w:w w:val="99"/>
                <w:kern w:val="2"/>
                <w:sz w:val="21"/>
                <w:szCs w:val="21"/>
                <w:lang w:eastAsia="zh-CN"/>
              </w:rPr>
              <w:t>效等</w:t>
            </w:r>
            <w:r>
              <w:rPr>
                <w:rFonts w:hint="eastAsia" w:ascii="宋体" w:hAnsi="宋体" w:cs="宋体"/>
                <w:spacing w:val="2"/>
                <w:w w:val="99"/>
                <w:kern w:val="2"/>
                <w:sz w:val="21"/>
                <w:szCs w:val="21"/>
                <w:lang w:eastAsia="zh-CN"/>
              </w:rPr>
              <w:t>级</w:t>
            </w:r>
            <w:r>
              <w:rPr>
                <w:rFonts w:hint="eastAsia" w:ascii="宋体" w:hAnsi="宋体" w:cs="宋体"/>
                <w:w w:val="99"/>
                <w:kern w:val="2"/>
                <w:sz w:val="21"/>
                <w:szCs w:val="21"/>
                <w:lang w:eastAsia="zh-CN"/>
              </w:rPr>
              <w:t>》（</w:t>
            </w:r>
            <w:r>
              <w:rPr>
                <w:rFonts w:hint="eastAsia" w:ascii="宋体" w:hAnsi="宋体" w:cs="宋体"/>
                <w:spacing w:val="1"/>
                <w:w w:val="99"/>
                <w:kern w:val="2"/>
                <w:sz w:val="21"/>
                <w:szCs w:val="21"/>
                <w:lang w:eastAsia="zh-CN"/>
              </w:rPr>
              <w:t>G</w:t>
            </w:r>
            <w:r>
              <w:rPr>
                <w:rFonts w:hint="eastAsia" w:ascii="宋体" w:hAnsi="宋体" w:cs="宋体"/>
                <w:w w:val="99"/>
                <w:kern w:val="2"/>
                <w:sz w:val="21"/>
                <w:szCs w:val="21"/>
                <w:lang w:eastAsia="zh-CN"/>
              </w:rPr>
              <w:t>B</w:t>
            </w:r>
            <w:r>
              <w:rPr>
                <w:rFonts w:hint="eastAsia" w:ascii="宋体" w:hAnsi="宋体" w:cs="宋体"/>
                <w:spacing w:val="1"/>
                <w:w w:val="99"/>
                <w:kern w:val="2"/>
                <w:sz w:val="21"/>
                <w:szCs w:val="21"/>
                <w:lang w:eastAsia="zh-CN"/>
              </w:rPr>
              <w:t>21</w:t>
            </w:r>
            <w:r>
              <w:rPr>
                <w:rFonts w:hint="eastAsia" w:ascii="宋体" w:hAnsi="宋体" w:cs="宋体"/>
                <w:w w:val="99"/>
                <w:kern w:val="2"/>
                <w:sz w:val="21"/>
                <w:szCs w:val="21"/>
                <w:lang w:eastAsia="zh-CN"/>
              </w:rPr>
              <w:t>52</w:t>
            </w:r>
            <w:r>
              <w:rPr>
                <w:rFonts w:hint="eastAsia" w:ascii="宋体" w:hAnsi="宋体" w:cs="宋体"/>
                <w:spacing w:val="1"/>
                <w:w w:val="99"/>
                <w:kern w:val="2"/>
                <w:sz w:val="21"/>
                <w:szCs w:val="21"/>
                <w:lang w:eastAsia="zh-CN"/>
              </w:rPr>
              <w:t>1</w:t>
            </w:r>
            <w:r>
              <w:rPr>
                <w:rFonts w:hint="eastAsia" w:ascii="宋体" w:hAnsi="宋体" w:cs="宋体"/>
                <w:w w:val="99"/>
                <w:kern w:val="2"/>
                <w:sz w:val="21"/>
                <w:szCs w:val="21"/>
                <w:lang w:eastAsia="zh-CN"/>
              </w:rPr>
              <w:t>）</w:t>
            </w:r>
          </w:p>
        </w:tc>
      </w:tr>
      <w:tr w14:paraId="229A2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continue"/>
            <w:tcBorders>
              <w:top w:val="single" w:color="000000" w:sz="4" w:space="0"/>
              <w:left w:val="single" w:color="000000" w:sz="4" w:space="0"/>
              <w:bottom w:val="single" w:color="000000" w:sz="4" w:space="0"/>
              <w:right w:val="single" w:color="000000" w:sz="4" w:space="0"/>
            </w:tcBorders>
            <w:noWrap w:val="0"/>
            <w:vAlign w:val="center"/>
          </w:tcPr>
          <w:p w14:paraId="59B2C5A7">
            <w:pPr>
              <w:widowControl/>
              <w:jc w:val="left"/>
              <w:rPr>
                <w:rFonts w:ascii="宋体" w:hAnsi="宋体"/>
                <w:szCs w:val="21"/>
              </w:rPr>
            </w:pPr>
          </w:p>
        </w:tc>
        <w:tc>
          <w:tcPr>
            <w:tcW w:w="834" w:type="pct"/>
            <w:vMerge w:val="continue"/>
            <w:tcBorders>
              <w:top w:val="single" w:color="000000" w:sz="4" w:space="0"/>
              <w:left w:val="single" w:color="000000" w:sz="4" w:space="0"/>
              <w:bottom w:val="single" w:color="000000" w:sz="4" w:space="0"/>
              <w:right w:val="single" w:color="000000" w:sz="4" w:space="0"/>
            </w:tcBorders>
            <w:noWrap w:val="0"/>
            <w:vAlign w:val="center"/>
          </w:tcPr>
          <w:p w14:paraId="0FF2BEC4">
            <w:pPr>
              <w:widowControl/>
              <w:jc w:val="left"/>
              <w:rPr>
                <w:rFonts w:ascii="宋体" w:hAnsi="宋体" w:cs="宋体"/>
                <w:szCs w:val="21"/>
              </w:rPr>
            </w:pPr>
          </w:p>
        </w:tc>
        <w:tc>
          <w:tcPr>
            <w:tcW w:w="878" w:type="pct"/>
            <w:vMerge w:val="restart"/>
            <w:tcBorders>
              <w:top w:val="single" w:color="000000" w:sz="4" w:space="0"/>
              <w:left w:val="single" w:color="000000" w:sz="4" w:space="0"/>
              <w:bottom w:val="single" w:color="000000" w:sz="4" w:space="0"/>
              <w:right w:val="single" w:color="000000" w:sz="4" w:space="0"/>
            </w:tcBorders>
            <w:noWrap w:val="0"/>
            <w:vAlign w:val="center"/>
          </w:tcPr>
          <w:p w14:paraId="0D176122">
            <w:pPr>
              <w:jc w:val="center"/>
              <w:rPr>
                <w:rFonts w:ascii="宋体" w:hAnsi="宋体"/>
                <w:szCs w:val="21"/>
              </w:rPr>
            </w:pPr>
            <w:r>
              <w:rPr>
                <w:rFonts w:hint="eastAsia" w:ascii="宋体" w:hAnsi="宋体"/>
                <w:szCs w:val="21"/>
              </w:rPr>
              <w:t>A02021100输入输出设备</w:t>
            </w: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7F315DA2">
            <w:pPr>
              <w:jc w:val="center"/>
              <w:rPr>
                <w:rFonts w:ascii="宋体" w:hAnsi="宋体"/>
                <w:szCs w:val="21"/>
              </w:rPr>
            </w:pPr>
            <w:r>
              <w:rPr>
                <w:rFonts w:hint="eastAsia" w:ascii="宋体" w:hAnsi="宋体"/>
                <w:szCs w:val="21"/>
              </w:rPr>
              <w:t>A02021104液晶显示器</w:t>
            </w:r>
          </w:p>
        </w:tc>
        <w:tc>
          <w:tcPr>
            <w:tcW w:w="2092" w:type="pct"/>
            <w:tcBorders>
              <w:top w:val="single" w:color="000000" w:sz="4" w:space="0"/>
              <w:left w:val="single" w:color="000000" w:sz="4" w:space="0"/>
              <w:bottom w:val="single" w:color="000000" w:sz="4" w:space="0"/>
              <w:right w:val="single" w:color="000000" w:sz="4" w:space="0"/>
            </w:tcBorders>
            <w:noWrap w:val="0"/>
            <w:vAlign w:val="center"/>
          </w:tcPr>
          <w:p w14:paraId="0A52E611">
            <w:pPr>
              <w:rPr>
                <w:rFonts w:ascii="宋体" w:hAnsi="宋体"/>
                <w:szCs w:val="21"/>
              </w:rPr>
            </w:pPr>
            <w:r>
              <w:rPr>
                <w:rFonts w:hint="eastAsia" w:ascii="宋体" w:hAnsi="宋体" w:cs="宋体"/>
                <w:spacing w:val="12"/>
                <w:w w:val="99"/>
                <w:szCs w:val="21"/>
              </w:rPr>
              <w:t>《计算机显示器能效限</w:t>
            </w:r>
            <w:r>
              <w:rPr>
                <w:rFonts w:hint="eastAsia" w:ascii="宋体" w:hAnsi="宋体" w:cs="宋体"/>
                <w:spacing w:val="9"/>
                <w:w w:val="99"/>
                <w:szCs w:val="21"/>
              </w:rPr>
              <w:t>定</w:t>
            </w:r>
            <w:r>
              <w:rPr>
                <w:rFonts w:hint="eastAsia" w:ascii="宋体" w:hAnsi="宋体" w:cs="宋体"/>
                <w:spacing w:val="12"/>
                <w:w w:val="99"/>
                <w:szCs w:val="21"/>
              </w:rPr>
              <w:t>值及</w:t>
            </w:r>
            <w:r>
              <w:rPr>
                <w:rFonts w:hint="eastAsia" w:ascii="宋体" w:hAnsi="宋体" w:cs="宋体"/>
                <w:w w:val="99"/>
                <w:szCs w:val="21"/>
              </w:rPr>
              <w:t>能效等级</w:t>
            </w:r>
            <w:r>
              <w:rPr>
                <w:rFonts w:hint="eastAsia" w:ascii="宋体" w:hAnsi="宋体" w:cs="宋体"/>
                <w:spacing w:val="2"/>
                <w:w w:val="99"/>
                <w:szCs w:val="21"/>
              </w:rPr>
              <w:t>》</w:t>
            </w:r>
            <w:r>
              <w:rPr>
                <w:rFonts w:hint="eastAsia" w:ascii="宋体" w:hAnsi="宋体" w:cs="宋体"/>
                <w:w w:val="99"/>
                <w:szCs w:val="21"/>
              </w:rPr>
              <w:t>（</w:t>
            </w:r>
            <w:r>
              <w:rPr>
                <w:rFonts w:hint="eastAsia" w:ascii="宋体" w:hAnsi="宋体" w:cs="宋体"/>
                <w:spacing w:val="1"/>
                <w:w w:val="99"/>
                <w:szCs w:val="21"/>
              </w:rPr>
              <w:t>G</w:t>
            </w:r>
            <w:r>
              <w:rPr>
                <w:rFonts w:hint="eastAsia" w:ascii="宋体" w:hAnsi="宋体" w:cs="宋体"/>
                <w:w w:val="99"/>
                <w:szCs w:val="21"/>
              </w:rPr>
              <w:t>B</w:t>
            </w:r>
            <w:r>
              <w:rPr>
                <w:rFonts w:hint="eastAsia" w:ascii="宋体" w:hAnsi="宋体" w:cs="宋体"/>
                <w:spacing w:val="1"/>
                <w:w w:val="99"/>
                <w:szCs w:val="21"/>
              </w:rPr>
              <w:t>21</w:t>
            </w:r>
            <w:r>
              <w:rPr>
                <w:rFonts w:hint="eastAsia" w:ascii="宋体" w:hAnsi="宋体" w:cs="宋体"/>
                <w:w w:val="99"/>
                <w:szCs w:val="21"/>
              </w:rPr>
              <w:t>52</w:t>
            </w:r>
            <w:r>
              <w:rPr>
                <w:rFonts w:hint="eastAsia" w:ascii="宋体" w:hAnsi="宋体" w:cs="宋体"/>
                <w:spacing w:val="1"/>
                <w:w w:val="99"/>
                <w:szCs w:val="21"/>
              </w:rPr>
              <w:t>0</w:t>
            </w:r>
            <w:r>
              <w:rPr>
                <w:rFonts w:hint="eastAsia" w:ascii="宋体" w:hAnsi="宋体" w:cs="宋体"/>
                <w:w w:val="99"/>
                <w:szCs w:val="21"/>
              </w:rPr>
              <w:t>）</w:t>
            </w:r>
          </w:p>
        </w:tc>
      </w:tr>
      <w:tr w14:paraId="25891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continue"/>
            <w:tcBorders>
              <w:top w:val="single" w:color="000000" w:sz="4" w:space="0"/>
              <w:left w:val="single" w:color="000000" w:sz="4" w:space="0"/>
              <w:bottom w:val="single" w:color="000000" w:sz="4" w:space="0"/>
              <w:right w:val="single" w:color="000000" w:sz="4" w:space="0"/>
            </w:tcBorders>
            <w:noWrap w:val="0"/>
            <w:vAlign w:val="center"/>
          </w:tcPr>
          <w:p w14:paraId="204B3BBE">
            <w:pPr>
              <w:widowControl/>
              <w:jc w:val="left"/>
              <w:rPr>
                <w:rFonts w:ascii="宋体" w:hAnsi="宋体"/>
                <w:szCs w:val="21"/>
              </w:rPr>
            </w:pPr>
          </w:p>
        </w:tc>
        <w:tc>
          <w:tcPr>
            <w:tcW w:w="834" w:type="pct"/>
            <w:vMerge w:val="continue"/>
            <w:tcBorders>
              <w:top w:val="single" w:color="000000" w:sz="4" w:space="0"/>
              <w:left w:val="single" w:color="000000" w:sz="4" w:space="0"/>
              <w:bottom w:val="single" w:color="000000" w:sz="4" w:space="0"/>
              <w:right w:val="single" w:color="000000" w:sz="4" w:space="0"/>
            </w:tcBorders>
            <w:noWrap w:val="0"/>
            <w:vAlign w:val="center"/>
          </w:tcPr>
          <w:p w14:paraId="4998A5AF">
            <w:pPr>
              <w:widowControl/>
              <w:jc w:val="left"/>
              <w:rPr>
                <w:rFonts w:ascii="宋体" w:hAnsi="宋体" w:cs="宋体"/>
                <w:szCs w:val="21"/>
              </w:rPr>
            </w:pPr>
          </w:p>
        </w:tc>
        <w:tc>
          <w:tcPr>
            <w:tcW w:w="878" w:type="pct"/>
            <w:vMerge w:val="continue"/>
            <w:tcBorders>
              <w:top w:val="single" w:color="000000" w:sz="4" w:space="0"/>
              <w:left w:val="single" w:color="000000" w:sz="4" w:space="0"/>
              <w:bottom w:val="single" w:color="000000" w:sz="4" w:space="0"/>
              <w:right w:val="single" w:color="000000" w:sz="4" w:space="0"/>
            </w:tcBorders>
            <w:noWrap w:val="0"/>
            <w:vAlign w:val="center"/>
          </w:tcPr>
          <w:p w14:paraId="04C5C1AC">
            <w:pPr>
              <w:widowControl/>
              <w:jc w:val="left"/>
              <w:rPr>
                <w:rFonts w:ascii="宋体" w:hAnsi="宋体"/>
                <w:szCs w:val="21"/>
              </w:rPr>
            </w:pP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3F368DAA">
            <w:pPr>
              <w:jc w:val="center"/>
              <w:rPr>
                <w:rFonts w:ascii="宋体" w:hAnsi="宋体"/>
                <w:szCs w:val="21"/>
              </w:rPr>
            </w:pPr>
            <w:r>
              <w:rPr>
                <w:rFonts w:hint="eastAsia" w:ascii="宋体" w:hAnsi="宋体"/>
                <w:szCs w:val="21"/>
              </w:rPr>
              <w:t>A02021118扫描仪</w:t>
            </w:r>
          </w:p>
        </w:tc>
        <w:tc>
          <w:tcPr>
            <w:tcW w:w="2092" w:type="pct"/>
            <w:tcBorders>
              <w:top w:val="single" w:color="000000" w:sz="4" w:space="0"/>
              <w:left w:val="single" w:color="000000" w:sz="4" w:space="0"/>
              <w:bottom w:val="single" w:color="000000" w:sz="4" w:space="0"/>
              <w:right w:val="single" w:color="000000" w:sz="4" w:space="0"/>
            </w:tcBorders>
            <w:noWrap w:val="0"/>
            <w:vAlign w:val="center"/>
          </w:tcPr>
          <w:p w14:paraId="16077A81">
            <w:pPr>
              <w:rPr>
                <w:rFonts w:ascii="宋体" w:hAnsi="宋体"/>
                <w:szCs w:val="21"/>
              </w:rPr>
            </w:pPr>
            <w:r>
              <w:rPr>
                <w:rFonts w:hint="eastAsia" w:ascii="宋体" w:hAnsi="宋体" w:cs="宋体"/>
                <w:w w:val="99"/>
                <w:szCs w:val="21"/>
              </w:rPr>
              <w:t>参</w:t>
            </w:r>
            <w:r>
              <w:rPr>
                <w:rFonts w:hint="eastAsia" w:ascii="宋体" w:hAnsi="宋体" w:cs="宋体"/>
                <w:spacing w:val="-29"/>
                <w:w w:val="99"/>
                <w:szCs w:val="21"/>
              </w:rPr>
              <w:t>照</w:t>
            </w:r>
            <w:r>
              <w:rPr>
                <w:rFonts w:hint="eastAsia" w:ascii="宋体" w:hAnsi="宋体" w:cs="宋体"/>
                <w:w w:val="99"/>
                <w:szCs w:val="21"/>
              </w:rPr>
              <w:t>《</w:t>
            </w:r>
            <w:r>
              <w:rPr>
                <w:rFonts w:hint="eastAsia" w:ascii="宋体" w:hAnsi="宋体" w:cs="宋体"/>
                <w:spacing w:val="2"/>
                <w:w w:val="99"/>
                <w:szCs w:val="21"/>
              </w:rPr>
              <w:t>复</w:t>
            </w:r>
            <w:r>
              <w:rPr>
                <w:rFonts w:hint="eastAsia" w:ascii="宋体" w:hAnsi="宋体" w:cs="宋体"/>
                <w:w w:val="99"/>
                <w:szCs w:val="21"/>
              </w:rPr>
              <w:t>印</w:t>
            </w:r>
            <w:r>
              <w:rPr>
                <w:rFonts w:hint="eastAsia" w:ascii="宋体" w:hAnsi="宋体" w:cs="宋体"/>
                <w:spacing w:val="2"/>
                <w:w w:val="99"/>
                <w:szCs w:val="21"/>
              </w:rPr>
              <w:t>机</w:t>
            </w:r>
            <w:r>
              <w:rPr>
                <w:rFonts w:hint="eastAsia" w:ascii="宋体" w:hAnsi="宋体" w:cs="宋体"/>
                <w:spacing w:val="-29"/>
                <w:w w:val="99"/>
                <w:szCs w:val="21"/>
              </w:rPr>
              <w:t>、</w:t>
            </w:r>
            <w:r>
              <w:rPr>
                <w:rFonts w:hint="eastAsia" w:ascii="宋体" w:hAnsi="宋体" w:cs="宋体"/>
                <w:w w:val="99"/>
                <w:szCs w:val="21"/>
              </w:rPr>
              <w:t>打</w:t>
            </w:r>
            <w:r>
              <w:rPr>
                <w:rFonts w:hint="eastAsia" w:ascii="宋体" w:hAnsi="宋体" w:cs="宋体"/>
                <w:spacing w:val="2"/>
                <w:w w:val="99"/>
                <w:szCs w:val="21"/>
              </w:rPr>
              <w:t>印</w:t>
            </w:r>
            <w:r>
              <w:rPr>
                <w:rFonts w:hint="eastAsia" w:ascii="宋体" w:hAnsi="宋体" w:cs="宋体"/>
                <w:w w:val="99"/>
                <w:szCs w:val="21"/>
              </w:rPr>
              <w:t>机和</w:t>
            </w:r>
            <w:r>
              <w:rPr>
                <w:rFonts w:hint="eastAsia" w:ascii="宋体" w:hAnsi="宋体" w:cs="宋体"/>
                <w:spacing w:val="2"/>
                <w:w w:val="99"/>
                <w:szCs w:val="21"/>
              </w:rPr>
              <w:t>传</w:t>
            </w:r>
            <w:r>
              <w:rPr>
                <w:rFonts w:hint="eastAsia" w:ascii="宋体" w:hAnsi="宋体" w:cs="宋体"/>
                <w:w w:val="99"/>
                <w:szCs w:val="21"/>
              </w:rPr>
              <w:t>真机能效限定</w:t>
            </w:r>
            <w:r>
              <w:rPr>
                <w:rFonts w:hint="eastAsia" w:ascii="宋体" w:hAnsi="宋体" w:cs="宋体"/>
                <w:spacing w:val="2"/>
                <w:w w:val="99"/>
                <w:szCs w:val="21"/>
              </w:rPr>
              <w:t>值</w:t>
            </w:r>
            <w:r>
              <w:rPr>
                <w:rFonts w:hint="eastAsia" w:ascii="宋体" w:hAnsi="宋体" w:cs="宋体"/>
                <w:w w:val="99"/>
                <w:szCs w:val="21"/>
              </w:rPr>
              <w:t>及能</w:t>
            </w:r>
            <w:r>
              <w:rPr>
                <w:rFonts w:hint="eastAsia" w:ascii="宋体" w:hAnsi="宋体" w:cs="宋体"/>
                <w:spacing w:val="2"/>
                <w:w w:val="99"/>
                <w:szCs w:val="21"/>
              </w:rPr>
              <w:t>效</w:t>
            </w:r>
            <w:r>
              <w:rPr>
                <w:rFonts w:hint="eastAsia" w:ascii="宋体" w:hAnsi="宋体" w:cs="宋体"/>
                <w:w w:val="99"/>
                <w:szCs w:val="21"/>
              </w:rPr>
              <w:t>等级</w:t>
            </w:r>
            <w:r>
              <w:rPr>
                <w:rFonts w:hint="eastAsia" w:ascii="宋体" w:hAnsi="宋体" w:cs="宋体"/>
                <w:spacing w:val="-106"/>
                <w:w w:val="99"/>
                <w:szCs w:val="21"/>
              </w:rPr>
              <w:t>》</w:t>
            </w:r>
            <w:r>
              <w:rPr>
                <w:rFonts w:hint="eastAsia" w:ascii="宋体" w:hAnsi="宋体" w:cs="宋体"/>
                <w:w w:val="99"/>
                <w:szCs w:val="21"/>
              </w:rPr>
              <w:t>（</w:t>
            </w:r>
            <w:r>
              <w:rPr>
                <w:rFonts w:hint="eastAsia" w:ascii="宋体" w:hAnsi="宋体" w:cs="宋体"/>
                <w:spacing w:val="1"/>
                <w:w w:val="99"/>
                <w:szCs w:val="21"/>
              </w:rPr>
              <w:t>G</w:t>
            </w:r>
            <w:r>
              <w:rPr>
                <w:rFonts w:hint="eastAsia" w:ascii="宋体" w:hAnsi="宋体" w:cs="宋体"/>
                <w:w w:val="99"/>
                <w:szCs w:val="21"/>
              </w:rPr>
              <w:t>B</w:t>
            </w:r>
            <w:r>
              <w:rPr>
                <w:rFonts w:hint="eastAsia" w:ascii="宋体" w:hAnsi="宋体" w:cs="宋体"/>
                <w:spacing w:val="1"/>
                <w:w w:val="99"/>
                <w:szCs w:val="21"/>
              </w:rPr>
              <w:t>2152</w:t>
            </w:r>
            <w:r>
              <w:rPr>
                <w:rFonts w:hint="eastAsia" w:ascii="宋体" w:hAnsi="宋体" w:cs="宋体"/>
                <w:w w:val="99"/>
                <w:szCs w:val="21"/>
              </w:rPr>
              <w:t>1）</w:t>
            </w:r>
            <w:r>
              <w:rPr>
                <w:rFonts w:hint="eastAsia" w:ascii="宋体" w:hAnsi="宋体" w:cs="宋体"/>
                <w:spacing w:val="2"/>
                <w:w w:val="99"/>
                <w:szCs w:val="21"/>
              </w:rPr>
              <w:t>中</w:t>
            </w:r>
            <w:r>
              <w:rPr>
                <w:rFonts w:hint="eastAsia" w:ascii="宋体" w:hAnsi="宋体" w:cs="宋体"/>
                <w:spacing w:val="4"/>
                <w:w w:val="99"/>
                <w:szCs w:val="21"/>
              </w:rPr>
              <w:t>打印速</w:t>
            </w:r>
            <w:r>
              <w:rPr>
                <w:rFonts w:hint="eastAsia" w:ascii="宋体" w:hAnsi="宋体" w:cs="宋体"/>
                <w:spacing w:val="2"/>
                <w:w w:val="99"/>
                <w:szCs w:val="21"/>
              </w:rPr>
              <w:t>度</w:t>
            </w:r>
            <w:r>
              <w:rPr>
                <w:rFonts w:hint="eastAsia" w:ascii="宋体" w:hAnsi="宋体" w:cs="宋体"/>
                <w:w w:val="99"/>
                <w:szCs w:val="21"/>
              </w:rPr>
              <w:t>为</w:t>
            </w:r>
            <w:r>
              <w:rPr>
                <w:rFonts w:hint="eastAsia" w:ascii="宋体" w:hAnsi="宋体" w:cs="宋体"/>
                <w:spacing w:val="1"/>
                <w:w w:val="99"/>
                <w:szCs w:val="21"/>
              </w:rPr>
              <w:t>1</w:t>
            </w:r>
            <w:r>
              <w:rPr>
                <w:rFonts w:hint="eastAsia" w:ascii="宋体" w:hAnsi="宋体" w:cs="宋体"/>
                <w:w w:val="99"/>
                <w:szCs w:val="21"/>
              </w:rPr>
              <w:t>5</w:t>
            </w:r>
            <w:r>
              <w:rPr>
                <w:rFonts w:hint="eastAsia" w:ascii="宋体" w:hAnsi="宋体" w:cs="宋体"/>
                <w:spacing w:val="2"/>
                <w:w w:val="99"/>
                <w:szCs w:val="21"/>
              </w:rPr>
              <w:t>页</w:t>
            </w:r>
            <w:r>
              <w:rPr>
                <w:rFonts w:hint="eastAsia" w:ascii="宋体" w:hAnsi="宋体" w:cs="宋体"/>
                <w:spacing w:val="5"/>
                <w:w w:val="99"/>
                <w:szCs w:val="21"/>
              </w:rPr>
              <w:t>/</w:t>
            </w:r>
            <w:r>
              <w:rPr>
                <w:rFonts w:hint="eastAsia" w:ascii="宋体" w:hAnsi="宋体" w:cs="宋体"/>
                <w:spacing w:val="4"/>
                <w:w w:val="99"/>
                <w:szCs w:val="21"/>
              </w:rPr>
              <w:t>分的</w:t>
            </w:r>
            <w:r>
              <w:rPr>
                <w:rFonts w:hint="eastAsia" w:ascii="宋体" w:hAnsi="宋体" w:cs="宋体"/>
                <w:spacing w:val="2"/>
                <w:w w:val="99"/>
                <w:szCs w:val="21"/>
              </w:rPr>
              <w:t>针</w:t>
            </w:r>
            <w:r>
              <w:rPr>
                <w:rFonts w:hint="eastAsia" w:ascii="宋体" w:hAnsi="宋体" w:cs="宋体"/>
                <w:spacing w:val="4"/>
                <w:w w:val="99"/>
                <w:szCs w:val="21"/>
              </w:rPr>
              <w:t>式</w:t>
            </w:r>
            <w:r>
              <w:rPr>
                <w:rFonts w:hint="eastAsia" w:ascii="宋体" w:hAnsi="宋体" w:cs="宋体"/>
                <w:w w:val="99"/>
                <w:szCs w:val="21"/>
              </w:rPr>
              <w:t>打印机相</w:t>
            </w:r>
            <w:r>
              <w:rPr>
                <w:rFonts w:hint="eastAsia" w:ascii="宋体" w:hAnsi="宋体" w:cs="宋体"/>
                <w:spacing w:val="2"/>
                <w:w w:val="99"/>
                <w:szCs w:val="21"/>
              </w:rPr>
              <w:t>关</w:t>
            </w:r>
            <w:r>
              <w:rPr>
                <w:rFonts w:hint="eastAsia" w:ascii="宋体" w:hAnsi="宋体" w:cs="宋体"/>
                <w:w w:val="99"/>
                <w:szCs w:val="21"/>
              </w:rPr>
              <w:t>要求</w:t>
            </w:r>
          </w:p>
        </w:tc>
      </w:tr>
      <w:tr w14:paraId="67BA6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tcBorders>
              <w:top w:val="single" w:color="000000" w:sz="4" w:space="0"/>
              <w:left w:val="single" w:color="000000" w:sz="4" w:space="0"/>
              <w:bottom w:val="single" w:color="000000" w:sz="4" w:space="0"/>
              <w:right w:val="single" w:color="000000" w:sz="4" w:space="0"/>
            </w:tcBorders>
            <w:noWrap w:val="0"/>
            <w:vAlign w:val="center"/>
          </w:tcPr>
          <w:p w14:paraId="2A4FCB43">
            <w:pPr>
              <w:jc w:val="center"/>
              <w:rPr>
                <w:rFonts w:ascii="宋体" w:hAnsi="宋体"/>
                <w:szCs w:val="21"/>
              </w:rPr>
            </w:pPr>
            <w:r>
              <w:rPr>
                <w:rFonts w:hint="eastAsia" w:ascii="宋体" w:hAnsi="宋体"/>
                <w:w w:val="99"/>
                <w:szCs w:val="21"/>
              </w:rPr>
              <w:t>3</w:t>
            </w:r>
          </w:p>
        </w:tc>
        <w:tc>
          <w:tcPr>
            <w:tcW w:w="834" w:type="pct"/>
            <w:tcBorders>
              <w:top w:val="single" w:color="000000" w:sz="4" w:space="0"/>
              <w:left w:val="single" w:color="000000" w:sz="4" w:space="0"/>
              <w:bottom w:val="single" w:color="000000" w:sz="4" w:space="0"/>
              <w:right w:val="single" w:color="000000" w:sz="4" w:space="0"/>
            </w:tcBorders>
            <w:noWrap w:val="0"/>
            <w:vAlign w:val="center"/>
          </w:tcPr>
          <w:p w14:paraId="087A3A3E">
            <w:pPr>
              <w:jc w:val="center"/>
              <w:rPr>
                <w:rFonts w:ascii="宋体" w:hAnsi="宋体"/>
                <w:szCs w:val="21"/>
              </w:rPr>
            </w:pPr>
            <w:r>
              <w:rPr>
                <w:rFonts w:hint="eastAsia" w:ascii="宋体" w:hAnsi="宋体"/>
                <w:szCs w:val="21"/>
              </w:rPr>
              <w:t>A02020200投影仪</w:t>
            </w:r>
          </w:p>
        </w:tc>
        <w:tc>
          <w:tcPr>
            <w:tcW w:w="878" w:type="pct"/>
            <w:tcBorders>
              <w:top w:val="single" w:color="000000" w:sz="4" w:space="0"/>
              <w:left w:val="single" w:color="000000" w:sz="4" w:space="0"/>
              <w:bottom w:val="single" w:color="000000" w:sz="4" w:space="0"/>
              <w:right w:val="single" w:color="000000" w:sz="4" w:space="0"/>
            </w:tcBorders>
            <w:noWrap w:val="0"/>
            <w:vAlign w:val="center"/>
          </w:tcPr>
          <w:p w14:paraId="5EF49177">
            <w:pPr>
              <w:jc w:val="center"/>
              <w:rPr>
                <w:rFonts w:ascii="宋体" w:hAnsi="宋体"/>
                <w:szCs w:val="21"/>
              </w:rPr>
            </w:pP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526895BC">
            <w:pPr>
              <w:jc w:val="center"/>
              <w:rPr>
                <w:rFonts w:ascii="宋体" w:hAnsi="宋体"/>
                <w:szCs w:val="21"/>
              </w:rPr>
            </w:pPr>
          </w:p>
        </w:tc>
        <w:tc>
          <w:tcPr>
            <w:tcW w:w="2092" w:type="pct"/>
            <w:tcBorders>
              <w:top w:val="single" w:color="000000" w:sz="4" w:space="0"/>
              <w:left w:val="single" w:color="000000" w:sz="4" w:space="0"/>
              <w:bottom w:val="single" w:color="000000" w:sz="4" w:space="0"/>
              <w:right w:val="single" w:color="000000" w:sz="4" w:space="0"/>
            </w:tcBorders>
            <w:noWrap w:val="0"/>
            <w:vAlign w:val="center"/>
          </w:tcPr>
          <w:p w14:paraId="07D12291">
            <w:pPr>
              <w:rPr>
                <w:rFonts w:ascii="宋体" w:hAnsi="宋体"/>
                <w:szCs w:val="21"/>
              </w:rPr>
            </w:pPr>
            <w:r>
              <w:rPr>
                <w:rFonts w:hint="eastAsia" w:ascii="宋体" w:hAnsi="宋体" w:cs="宋体"/>
                <w:w w:val="99"/>
                <w:szCs w:val="21"/>
              </w:rPr>
              <w:t>《投影</w:t>
            </w:r>
            <w:r>
              <w:rPr>
                <w:rFonts w:hint="eastAsia" w:ascii="宋体" w:hAnsi="宋体" w:cs="宋体"/>
                <w:spacing w:val="2"/>
                <w:w w:val="99"/>
                <w:szCs w:val="21"/>
              </w:rPr>
              <w:t>机</w:t>
            </w:r>
            <w:r>
              <w:rPr>
                <w:rFonts w:hint="eastAsia" w:ascii="宋体" w:hAnsi="宋体" w:cs="宋体"/>
                <w:w w:val="99"/>
                <w:szCs w:val="21"/>
              </w:rPr>
              <w:t>能效</w:t>
            </w:r>
            <w:r>
              <w:rPr>
                <w:rFonts w:hint="eastAsia" w:ascii="宋体" w:hAnsi="宋体" w:cs="宋体"/>
                <w:spacing w:val="2"/>
                <w:w w:val="99"/>
                <w:szCs w:val="21"/>
              </w:rPr>
              <w:t>限</w:t>
            </w:r>
            <w:r>
              <w:rPr>
                <w:rFonts w:hint="eastAsia" w:ascii="宋体" w:hAnsi="宋体" w:cs="宋体"/>
                <w:w w:val="99"/>
                <w:szCs w:val="21"/>
              </w:rPr>
              <w:t>定值</w:t>
            </w:r>
            <w:r>
              <w:rPr>
                <w:rFonts w:hint="eastAsia" w:ascii="宋体" w:hAnsi="宋体" w:cs="宋体"/>
                <w:spacing w:val="2"/>
                <w:w w:val="99"/>
                <w:szCs w:val="21"/>
              </w:rPr>
              <w:t>及</w:t>
            </w:r>
            <w:r>
              <w:rPr>
                <w:rFonts w:hint="eastAsia" w:ascii="宋体" w:hAnsi="宋体" w:cs="宋体"/>
                <w:w w:val="99"/>
                <w:szCs w:val="21"/>
              </w:rPr>
              <w:t>能</w:t>
            </w:r>
            <w:r>
              <w:rPr>
                <w:rFonts w:hint="eastAsia" w:ascii="宋体" w:hAnsi="宋体" w:cs="宋体"/>
                <w:spacing w:val="2"/>
                <w:w w:val="99"/>
                <w:szCs w:val="21"/>
              </w:rPr>
              <w:t>效</w:t>
            </w:r>
            <w:r>
              <w:rPr>
                <w:rFonts w:hint="eastAsia" w:ascii="宋体" w:hAnsi="宋体" w:cs="宋体"/>
                <w:w w:val="99"/>
                <w:szCs w:val="21"/>
              </w:rPr>
              <w:t>等级》（</w:t>
            </w:r>
            <w:r>
              <w:rPr>
                <w:rFonts w:hint="eastAsia" w:ascii="宋体" w:hAnsi="宋体" w:cs="宋体"/>
                <w:spacing w:val="1"/>
                <w:w w:val="99"/>
                <w:szCs w:val="21"/>
              </w:rPr>
              <w:t>G</w:t>
            </w:r>
            <w:r>
              <w:rPr>
                <w:rFonts w:hint="eastAsia" w:ascii="宋体" w:hAnsi="宋体" w:cs="宋体"/>
                <w:w w:val="99"/>
                <w:szCs w:val="21"/>
              </w:rPr>
              <w:t>B</w:t>
            </w:r>
            <w:r>
              <w:rPr>
                <w:rFonts w:hint="eastAsia" w:ascii="宋体" w:hAnsi="宋体" w:cs="宋体"/>
                <w:spacing w:val="1"/>
                <w:w w:val="99"/>
                <w:szCs w:val="21"/>
              </w:rPr>
              <w:t>3</w:t>
            </w:r>
            <w:r>
              <w:rPr>
                <w:rFonts w:hint="eastAsia" w:ascii="宋体" w:hAnsi="宋体" w:cs="宋体"/>
                <w:w w:val="99"/>
                <w:szCs w:val="21"/>
              </w:rPr>
              <w:t>20</w:t>
            </w:r>
            <w:r>
              <w:rPr>
                <w:rFonts w:hint="eastAsia" w:ascii="宋体" w:hAnsi="宋体" w:cs="宋体"/>
                <w:spacing w:val="1"/>
                <w:w w:val="99"/>
                <w:szCs w:val="21"/>
              </w:rPr>
              <w:t>28</w:t>
            </w:r>
            <w:r>
              <w:rPr>
                <w:rFonts w:hint="eastAsia" w:ascii="宋体" w:hAnsi="宋体" w:cs="宋体"/>
                <w:w w:val="99"/>
                <w:szCs w:val="21"/>
              </w:rPr>
              <w:t>）</w:t>
            </w:r>
          </w:p>
        </w:tc>
      </w:tr>
      <w:tr w14:paraId="6D540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tcBorders>
              <w:top w:val="single" w:color="000000" w:sz="4" w:space="0"/>
              <w:left w:val="single" w:color="000000" w:sz="4" w:space="0"/>
              <w:bottom w:val="single" w:color="000000" w:sz="4" w:space="0"/>
              <w:right w:val="single" w:color="000000" w:sz="4" w:space="0"/>
            </w:tcBorders>
            <w:noWrap w:val="0"/>
            <w:vAlign w:val="center"/>
          </w:tcPr>
          <w:p w14:paraId="24FB7258">
            <w:pPr>
              <w:jc w:val="center"/>
              <w:rPr>
                <w:rFonts w:ascii="宋体" w:hAnsi="宋体"/>
                <w:szCs w:val="21"/>
              </w:rPr>
            </w:pPr>
            <w:r>
              <w:rPr>
                <w:rFonts w:hint="eastAsia" w:ascii="宋体" w:hAnsi="宋体"/>
                <w:szCs w:val="21"/>
              </w:rPr>
              <w:t>4</w:t>
            </w:r>
          </w:p>
        </w:tc>
        <w:tc>
          <w:tcPr>
            <w:tcW w:w="834" w:type="pct"/>
            <w:tcBorders>
              <w:top w:val="single" w:color="000000" w:sz="4" w:space="0"/>
              <w:left w:val="single" w:color="000000" w:sz="4" w:space="0"/>
              <w:bottom w:val="single" w:color="000000" w:sz="4" w:space="0"/>
              <w:right w:val="single" w:color="000000" w:sz="4" w:space="0"/>
            </w:tcBorders>
            <w:noWrap w:val="0"/>
            <w:vAlign w:val="center"/>
          </w:tcPr>
          <w:p w14:paraId="11F0E5DC">
            <w:pPr>
              <w:pStyle w:val="111"/>
              <w:spacing w:before="66"/>
              <w:ind w:left="7"/>
              <w:jc w:val="center"/>
              <w:rPr>
                <w:rFonts w:ascii="宋体" w:hAnsi="宋体" w:cs="宋体"/>
                <w:kern w:val="2"/>
                <w:sz w:val="21"/>
                <w:szCs w:val="21"/>
              </w:rPr>
            </w:pPr>
            <w:r>
              <w:rPr>
                <w:rFonts w:hint="eastAsia" w:ascii="宋体" w:hAnsi="宋体" w:cs="仿宋_GB2312"/>
                <w:kern w:val="2"/>
                <w:sz w:val="21"/>
                <w:szCs w:val="21"/>
              </w:rPr>
              <w:t>A02020400</w:t>
            </w:r>
            <w:r>
              <w:rPr>
                <w:rFonts w:hint="eastAsia" w:ascii="宋体" w:hAnsi="宋体" w:cs="宋体"/>
                <w:w w:val="99"/>
                <w:kern w:val="2"/>
                <w:sz w:val="21"/>
                <w:szCs w:val="21"/>
              </w:rPr>
              <w:t>多功能一体机</w:t>
            </w:r>
          </w:p>
        </w:tc>
        <w:tc>
          <w:tcPr>
            <w:tcW w:w="878" w:type="pct"/>
            <w:tcBorders>
              <w:top w:val="single" w:color="000000" w:sz="4" w:space="0"/>
              <w:left w:val="single" w:color="000000" w:sz="4" w:space="0"/>
              <w:bottom w:val="single" w:color="000000" w:sz="4" w:space="0"/>
              <w:right w:val="single" w:color="000000" w:sz="4" w:space="0"/>
            </w:tcBorders>
            <w:noWrap w:val="0"/>
            <w:vAlign w:val="center"/>
          </w:tcPr>
          <w:p w14:paraId="13CE9619">
            <w:pPr>
              <w:jc w:val="center"/>
              <w:rPr>
                <w:rFonts w:ascii="宋体" w:hAnsi="宋体"/>
                <w:szCs w:val="21"/>
              </w:rPr>
            </w:pP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2586A6F2">
            <w:pPr>
              <w:jc w:val="center"/>
              <w:rPr>
                <w:rFonts w:ascii="宋体" w:hAnsi="宋体"/>
                <w:szCs w:val="21"/>
              </w:rPr>
            </w:pPr>
          </w:p>
        </w:tc>
        <w:tc>
          <w:tcPr>
            <w:tcW w:w="2092" w:type="pct"/>
            <w:tcBorders>
              <w:top w:val="single" w:color="000000" w:sz="4" w:space="0"/>
              <w:left w:val="single" w:color="000000" w:sz="4" w:space="0"/>
              <w:bottom w:val="single" w:color="000000" w:sz="4" w:space="0"/>
              <w:right w:val="single" w:color="000000" w:sz="4" w:space="0"/>
            </w:tcBorders>
            <w:noWrap w:val="0"/>
            <w:vAlign w:val="center"/>
          </w:tcPr>
          <w:p w14:paraId="0A64712F">
            <w:pPr>
              <w:rPr>
                <w:rFonts w:ascii="宋体" w:hAnsi="宋体"/>
                <w:szCs w:val="21"/>
              </w:rPr>
            </w:pPr>
            <w:r>
              <w:rPr>
                <w:rFonts w:hint="eastAsia" w:ascii="宋体" w:hAnsi="宋体" w:cs="宋体"/>
                <w:w w:val="99"/>
                <w:szCs w:val="21"/>
              </w:rPr>
              <w:t>《复印</w:t>
            </w:r>
            <w:r>
              <w:rPr>
                <w:rFonts w:hint="eastAsia" w:ascii="宋体" w:hAnsi="宋体" w:cs="宋体"/>
                <w:spacing w:val="2"/>
                <w:w w:val="99"/>
                <w:szCs w:val="21"/>
              </w:rPr>
              <w:t>机</w:t>
            </w:r>
            <w:r>
              <w:rPr>
                <w:rFonts w:hint="eastAsia" w:ascii="宋体" w:hAnsi="宋体" w:cs="宋体"/>
                <w:spacing w:val="-58"/>
                <w:w w:val="99"/>
                <w:szCs w:val="21"/>
              </w:rPr>
              <w:t>、</w:t>
            </w:r>
            <w:r>
              <w:rPr>
                <w:rFonts w:hint="eastAsia" w:ascii="宋体" w:hAnsi="宋体" w:cs="宋体"/>
                <w:spacing w:val="2"/>
                <w:w w:val="99"/>
                <w:szCs w:val="21"/>
              </w:rPr>
              <w:t>打</w:t>
            </w:r>
            <w:r>
              <w:rPr>
                <w:rFonts w:hint="eastAsia" w:ascii="宋体" w:hAnsi="宋体" w:cs="宋体"/>
                <w:w w:val="99"/>
                <w:szCs w:val="21"/>
              </w:rPr>
              <w:t>印机</w:t>
            </w:r>
            <w:r>
              <w:rPr>
                <w:rFonts w:hint="eastAsia" w:ascii="宋体" w:hAnsi="宋体" w:cs="宋体"/>
                <w:spacing w:val="2"/>
                <w:w w:val="99"/>
                <w:szCs w:val="21"/>
              </w:rPr>
              <w:t>和</w:t>
            </w:r>
            <w:r>
              <w:rPr>
                <w:rFonts w:hint="eastAsia" w:ascii="宋体" w:hAnsi="宋体" w:cs="宋体"/>
                <w:w w:val="99"/>
                <w:szCs w:val="21"/>
              </w:rPr>
              <w:t>传真</w:t>
            </w:r>
            <w:r>
              <w:rPr>
                <w:rFonts w:hint="eastAsia" w:ascii="宋体" w:hAnsi="宋体" w:cs="宋体"/>
                <w:spacing w:val="2"/>
                <w:w w:val="99"/>
                <w:szCs w:val="21"/>
              </w:rPr>
              <w:t>机</w:t>
            </w:r>
            <w:r>
              <w:rPr>
                <w:rFonts w:hint="eastAsia" w:ascii="宋体" w:hAnsi="宋体" w:cs="宋体"/>
                <w:w w:val="99"/>
                <w:szCs w:val="21"/>
              </w:rPr>
              <w:t>能效限定值及</w:t>
            </w:r>
            <w:r>
              <w:rPr>
                <w:rFonts w:hint="eastAsia" w:ascii="宋体" w:hAnsi="宋体" w:cs="宋体"/>
                <w:spacing w:val="2"/>
                <w:w w:val="99"/>
                <w:szCs w:val="21"/>
              </w:rPr>
              <w:t>能</w:t>
            </w:r>
            <w:r>
              <w:rPr>
                <w:rFonts w:hint="eastAsia" w:ascii="宋体" w:hAnsi="宋体" w:cs="宋体"/>
                <w:w w:val="99"/>
                <w:szCs w:val="21"/>
              </w:rPr>
              <w:t>效等</w:t>
            </w:r>
            <w:r>
              <w:rPr>
                <w:rFonts w:hint="eastAsia" w:ascii="宋体" w:hAnsi="宋体" w:cs="宋体"/>
                <w:spacing w:val="2"/>
                <w:w w:val="99"/>
                <w:szCs w:val="21"/>
              </w:rPr>
              <w:t>级</w:t>
            </w:r>
            <w:r>
              <w:rPr>
                <w:rFonts w:hint="eastAsia" w:ascii="宋体" w:hAnsi="宋体" w:cs="宋体"/>
                <w:w w:val="99"/>
                <w:szCs w:val="21"/>
              </w:rPr>
              <w:t>》（</w:t>
            </w:r>
            <w:r>
              <w:rPr>
                <w:rFonts w:hint="eastAsia" w:ascii="宋体" w:hAnsi="宋体" w:cs="宋体"/>
                <w:spacing w:val="1"/>
                <w:w w:val="99"/>
                <w:szCs w:val="21"/>
              </w:rPr>
              <w:t>G</w:t>
            </w:r>
            <w:r>
              <w:rPr>
                <w:rFonts w:hint="eastAsia" w:ascii="宋体" w:hAnsi="宋体" w:cs="宋体"/>
                <w:w w:val="99"/>
                <w:szCs w:val="21"/>
              </w:rPr>
              <w:t>B</w:t>
            </w:r>
            <w:r>
              <w:rPr>
                <w:rFonts w:hint="eastAsia" w:ascii="宋体" w:hAnsi="宋体" w:cs="宋体"/>
                <w:spacing w:val="1"/>
                <w:w w:val="99"/>
                <w:szCs w:val="21"/>
              </w:rPr>
              <w:t>21</w:t>
            </w:r>
            <w:r>
              <w:rPr>
                <w:rFonts w:hint="eastAsia" w:ascii="宋体" w:hAnsi="宋体" w:cs="宋体"/>
                <w:w w:val="99"/>
                <w:szCs w:val="21"/>
              </w:rPr>
              <w:t>52</w:t>
            </w:r>
            <w:r>
              <w:rPr>
                <w:rFonts w:hint="eastAsia" w:ascii="宋体" w:hAnsi="宋体" w:cs="宋体"/>
                <w:spacing w:val="1"/>
                <w:w w:val="99"/>
                <w:szCs w:val="21"/>
              </w:rPr>
              <w:t>1</w:t>
            </w:r>
            <w:r>
              <w:rPr>
                <w:rFonts w:hint="eastAsia" w:ascii="宋体" w:hAnsi="宋体" w:cs="宋体"/>
                <w:w w:val="99"/>
                <w:szCs w:val="21"/>
              </w:rPr>
              <w:t>）</w:t>
            </w:r>
          </w:p>
        </w:tc>
      </w:tr>
      <w:tr w14:paraId="65697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tcBorders>
              <w:top w:val="single" w:color="000000" w:sz="4" w:space="0"/>
              <w:left w:val="single" w:color="000000" w:sz="4" w:space="0"/>
              <w:bottom w:val="single" w:color="000000" w:sz="4" w:space="0"/>
              <w:right w:val="single" w:color="000000" w:sz="4" w:space="0"/>
            </w:tcBorders>
            <w:noWrap w:val="0"/>
            <w:vAlign w:val="center"/>
          </w:tcPr>
          <w:p w14:paraId="4456176D">
            <w:pPr>
              <w:pStyle w:val="111"/>
              <w:spacing w:before="160"/>
              <w:ind w:right="1"/>
              <w:jc w:val="center"/>
              <w:rPr>
                <w:rFonts w:ascii="宋体" w:hAnsi="宋体" w:cs="宋体"/>
                <w:kern w:val="2"/>
                <w:sz w:val="21"/>
                <w:szCs w:val="21"/>
              </w:rPr>
            </w:pPr>
            <w:r>
              <w:rPr>
                <w:rFonts w:hint="eastAsia" w:ascii="宋体" w:hAnsi="宋体"/>
                <w:w w:val="99"/>
                <w:kern w:val="2"/>
                <w:sz w:val="21"/>
                <w:szCs w:val="21"/>
              </w:rPr>
              <w:t>5</w:t>
            </w:r>
          </w:p>
        </w:tc>
        <w:tc>
          <w:tcPr>
            <w:tcW w:w="834" w:type="pct"/>
            <w:tcBorders>
              <w:top w:val="single" w:color="000000" w:sz="4" w:space="0"/>
              <w:left w:val="single" w:color="000000" w:sz="4" w:space="0"/>
              <w:bottom w:val="single" w:color="000000" w:sz="4" w:space="0"/>
              <w:right w:val="single" w:color="000000" w:sz="4" w:space="0"/>
            </w:tcBorders>
            <w:noWrap w:val="0"/>
            <w:vAlign w:val="center"/>
          </w:tcPr>
          <w:p w14:paraId="05204716">
            <w:pPr>
              <w:pStyle w:val="111"/>
              <w:spacing w:before="160"/>
              <w:ind w:left="7"/>
              <w:jc w:val="center"/>
              <w:rPr>
                <w:rFonts w:ascii="宋体" w:hAnsi="宋体" w:cs="宋体"/>
                <w:kern w:val="2"/>
                <w:sz w:val="21"/>
                <w:szCs w:val="21"/>
              </w:rPr>
            </w:pPr>
            <w:r>
              <w:rPr>
                <w:rFonts w:hint="eastAsia" w:ascii="宋体" w:hAnsi="宋体" w:cs="仿宋_GB2312"/>
                <w:kern w:val="2"/>
                <w:sz w:val="21"/>
                <w:szCs w:val="21"/>
              </w:rPr>
              <w:t>A02051900</w:t>
            </w:r>
            <w:r>
              <w:rPr>
                <w:rFonts w:hint="eastAsia" w:ascii="宋体" w:hAnsi="宋体" w:cs="宋体"/>
                <w:w w:val="99"/>
                <w:kern w:val="2"/>
                <w:sz w:val="21"/>
                <w:szCs w:val="21"/>
              </w:rPr>
              <w:t>泵</w:t>
            </w:r>
          </w:p>
        </w:tc>
        <w:tc>
          <w:tcPr>
            <w:tcW w:w="878" w:type="pct"/>
            <w:tcBorders>
              <w:top w:val="single" w:color="000000" w:sz="4" w:space="0"/>
              <w:left w:val="single" w:color="000000" w:sz="4" w:space="0"/>
              <w:bottom w:val="single" w:color="000000" w:sz="4" w:space="0"/>
              <w:right w:val="single" w:color="000000" w:sz="4" w:space="0"/>
            </w:tcBorders>
            <w:noWrap w:val="0"/>
            <w:vAlign w:val="center"/>
          </w:tcPr>
          <w:p w14:paraId="38CC79D6">
            <w:pPr>
              <w:pStyle w:val="111"/>
              <w:spacing w:before="160"/>
              <w:ind w:left="7"/>
              <w:jc w:val="center"/>
              <w:rPr>
                <w:rFonts w:ascii="宋体" w:hAnsi="宋体" w:cs="宋体"/>
                <w:kern w:val="2"/>
                <w:sz w:val="21"/>
                <w:szCs w:val="21"/>
              </w:rPr>
            </w:pPr>
            <w:r>
              <w:rPr>
                <w:rFonts w:hint="eastAsia" w:ascii="宋体" w:hAnsi="宋体" w:cs="宋体"/>
                <w:spacing w:val="1"/>
                <w:w w:val="99"/>
                <w:kern w:val="2"/>
                <w:sz w:val="21"/>
                <w:szCs w:val="21"/>
              </w:rPr>
              <w:t>A02</w:t>
            </w:r>
            <w:r>
              <w:rPr>
                <w:rFonts w:hint="eastAsia" w:ascii="宋体" w:hAnsi="宋体" w:cs="宋体"/>
                <w:w w:val="99"/>
                <w:kern w:val="2"/>
                <w:sz w:val="21"/>
                <w:szCs w:val="21"/>
              </w:rPr>
              <w:t>05</w:t>
            </w:r>
            <w:r>
              <w:rPr>
                <w:rFonts w:hint="eastAsia" w:ascii="宋体" w:hAnsi="宋体" w:cs="宋体"/>
                <w:spacing w:val="1"/>
                <w:w w:val="99"/>
                <w:kern w:val="2"/>
                <w:sz w:val="21"/>
                <w:szCs w:val="21"/>
              </w:rPr>
              <w:t>1</w:t>
            </w:r>
            <w:r>
              <w:rPr>
                <w:rFonts w:hint="eastAsia" w:ascii="宋体" w:hAnsi="宋体" w:cs="宋体"/>
                <w:w w:val="99"/>
                <w:kern w:val="2"/>
                <w:sz w:val="21"/>
                <w:szCs w:val="21"/>
              </w:rPr>
              <w:t>901离心泵</w:t>
            </w: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066036A3">
            <w:pPr>
              <w:jc w:val="center"/>
              <w:rPr>
                <w:rFonts w:ascii="宋体" w:hAnsi="宋体"/>
                <w:szCs w:val="21"/>
              </w:rPr>
            </w:pPr>
          </w:p>
        </w:tc>
        <w:tc>
          <w:tcPr>
            <w:tcW w:w="2092" w:type="pct"/>
            <w:tcBorders>
              <w:top w:val="single" w:color="000000" w:sz="4" w:space="0"/>
              <w:left w:val="single" w:color="000000" w:sz="4" w:space="0"/>
              <w:bottom w:val="single" w:color="000000" w:sz="4" w:space="0"/>
              <w:right w:val="single" w:color="000000" w:sz="4" w:space="0"/>
            </w:tcBorders>
            <w:noWrap w:val="0"/>
            <w:vAlign w:val="top"/>
          </w:tcPr>
          <w:p w14:paraId="017F8A2D">
            <w:pPr>
              <w:pStyle w:val="111"/>
              <w:spacing w:before="4" w:line="276" w:lineRule="auto"/>
              <w:ind w:left="7" w:right="4"/>
              <w:rPr>
                <w:rFonts w:ascii="宋体" w:hAnsi="宋体" w:cs="宋体"/>
                <w:kern w:val="2"/>
                <w:sz w:val="21"/>
                <w:szCs w:val="21"/>
                <w:lang w:eastAsia="zh-CN"/>
              </w:rPr>
            </w:pPr>
            <w:r>
              <w:rPr>
                <w:rFonts w:hint="eastAsia" w:ascii="宋体" w:hAnsi="宋体" w:cs="宋体"/>
                <w:spacing w:val="12"/>
                <w:w w:val="99"/>
                <w:kern w:val="2"/>
                <w:sz w:val="21"/>
                <w:szCs w:val="21"/>
                <w:lang w:eastAsia="zh-CN"/>
              </w:rPr>
              <w:t>《清水离心泵能效限定</w:t>
            </w:r>
            <w:r>
              <w:rPr>
                <w:rFonts w:hint="eastAsia" w:ascii="宋体" w:hAnsi="宋体" w:cs="宋体"/>
                <w:spacing w:val="9"/>
                <w:w w:val="99"/>
                <w:kern w:val="2"/>
                <w:sz w:val="21"/>
                <w:szCs w:val="21"/>
                <w:lang w:eastAsia="zh-CN"/>
              </w:rPr>
              <w:t>值</w:t>
            </w:r>
            <w:r>
              <w:rPr>
                <w:rFonts w:hint="eastAsia" w:ascii="宋体" w:hAnsi="宋体" w:cs="宋体"/>
                <w:spacing w:val="12"/>
                <w:w w:val="99"/>
                <w:kern w:val="2"/>
                <w:sz w:val="21"/>
                <w:szCs w:val="21"/>
                <w:lang w:eastAsia="zh-CN"/>
              </w:rPr>
              <w:t>及节</w:t>
            </w:r>
            <w:r>
              <w:rPr>
                <w:rFonts w:hint="eastAsia" w:ascii="宋体" w:hAnsi="宋体" w:cs="宋体"/>
                <w:w w:val="99"/>
                <w:kern w:val="2"/>
                <w:sz w:val="21"/>
                <w:szCs w:val="21"/>
                <w:lang w:eastAsia="zh-CN"/>
              </w:rPr>
              <w:t>能评价值</w:t>
            </w:r>
            <w:r>
              <w:rPr>
                <w:rFonts w:hint="eastAsia" w:ascii="宋体" w:hAnsi="宋体" w:cs="宋体"/>
                <w:spacing w:val="2"/>
                <w:w w:val="99"/>
                <w:kern w:val="2"/>
                <w:sz w:val="21"/>
                <w:szCs w:val="21"/>
                <w:lang w:eastAsia="zh-CN"/>
              </w:rPr>
              <w:t>》</w:t>
            </w:r>
            <w:r>
              <w:rPr>
                <w:rFonts w:hint="eastAsia" w:ascii="宋体" w:hAnsi="宋体" w:cs="宋体"/>
                <w:w w:val="99"/>
                <w:kern w:val="2"/>
                <w:sz w:val="21"/>
                <w:szCs w:val="21"/>
                <w:lang w:eastAsia="zh-CN"/>
              </w:rPr>
              <w:t>（</w:t>
            </w:r>
            <w:r>
              <w:rPr>
                <w:rFonts w:hint="eastAsia" w:ascii="宋体" w:hAnsi="宋体" w:cs="宋体"/>
                <w:spacing w:val="1"/>
                <w:w w:val="99"/>
                <w:kern w:val="2"/>
                <w:sz w:val="21"/>
                <w:szCs w:val="21"/>
                <w:lang w:eastAsia="zh-CN"/>
              </w:rPr>
              <w:t>G</w:t>
            </w:r>
            <w:r>
              <w:rPr>
                <w:rFonts w:hint="eastAsia" w:ascii="宋体" w:hAnsi="宋体" w:cs="宋体"/>
                <w:w w:val="99"/>
                <w:kern w:val="2"/>
                <w:sz w:val="21"/>
                <w:szCs w:val="21"/>
                <w:lang w:eastAsia="zh-CN"/>
              </w:rPr>
              <w:t>B</w:t>
            </w:r>
            <w:r>
              <w:rPr>
                <w:rFonts w:hint="eastAsia" w:ascii="宋体" w:hAnsi="宋体" w:cs="宋体"/>
                <w:spacing w:val="1"/>
                <w:w w:val="99"/>
                <w:kern w:val="2"/>
                <w:sz w:val="21"/>
                <w:szCs w:val="21"/>
                <w:lang w:eastAsia="zh-CN"/>
              </w:rPr>
              <w:t>19</w:t>
            </w:r>
            <w:r>
              <w:rPr>
                <w:rFonts w:hint="eastAsia" w:ascii="宋体" w:hAnsi="宋体" w:cs="宋体"/>
                <w:w w:val="99"/>
                <w:kern w:val="2"/>
                <w:sz w:val="21"/>
                <w:szCs w:val="21"/>
                <w:lang w:eastAsia="zh-CN"/>
              </w:rPr>
              <w:t>76</w:t>
            </w:r>
            <w:r>
              <w:rPr>
                <w:rFonts w:hint="eastAsia" w:ascii="宋体" w:hAnsi="宋体" w:cs="宋体"/>
                <w:spacing w:val="1"/>
                <w:w w:val="99"/>
                <w:kern w:val="2"/>
                <w:sz w:val="21"/>
                <w:szCs w:val="21"/>
                <w:lang w:eastAsia="zh-CN"/>
              </w:rPr>
              <w:t>2</w:t>
            </w:r>
            <w:r>
              <w:rPr>
                <w:rFonts w:hint="eastAsia" w:ascii="宋体" w:hAnsi="宋体" w:cs="宋体"/>
                <w:w w:val="99"/>
                <w:kern w:val="2"/>
                <w:sz w:val="21"/>
                <w:szCs w:val="21"/>
                <w:lang w:eastAsia="zh-CN"/>
              </w:rPr>
              <w:t>）</w:t>
            </w:r>
          </w:p>
        </w:tc>
      </w:tr>
      <w:tr w14:paraId="55D80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restart"/>
            <w:tcBorders>
              <w:top w:val="single" w:color="000000" w:sz="4" w:space="0"/>
              <w:left w:val="single" w:color="000000" w:sz="4" w:space="0"/>
              <w:bottom w:val="single" w:color="000000" w:sz="4" w:space="0"/>
              <w:right w:val="single" w:color="000000" w:sz="4" w:space="0"/>
            </w:tcBorders>
            <w:noWrap w:val="0"/>
            <w:vAlign w:val="center"/>
          </w:tcPr>
          <w:p w14:paraId="0DF6B8ED">
            <w:pPr>
              <w:jc w:val="center"/>
              <w:rPr>
                <w:rFonts w:ascii="宋体" w:hAnsi="宋体"/>
                <w:szCs w:val="21"/>
              </w:rPr>
            </w:pPr>
            <w:r>
              <w:rPr>
                <w:rFonts w:hint="eastAsia" w:ascii="宋体" w:hAnsi="宋体"/>
                <w:szCs w:val="21"/>
              </w:rPr>
              <w:t>6</w:t>
            </w:r>
          </w:p>
        </w:tc>
        <w:tc>
          <w:tcPr>
            <w:tcW w:w="834" w:type="pct"/>
            <w:vMerge w:val="restart"/>
            <w:tcBorders>
              <w:top w:val="single" w:color="000000" w:sz="4" w:space="0"/>
              <w:left w:val="single" w:color="000000" w:sz="4" w:space="0"/>
              <w:bottom w:val="single" w:color="000000" w:sz="4" w:space="0"/>
              <w:right w:val="single" w:color="000000" w:sz="4" w:space="0"/>
            </w:tcBorders>
            <w:noWrap w:val="0"/>
            <w:vAlign w:val="center"/>
          </w:tcPr>
          <w:p w14:paraId="4508E26F">
            <w:pPr>
              <w:pStyle w:val="111"/>
              <w:jc w:val="center"/>
              <w:rPr>
                <w:rFonts w:ascii="宋体" w:hAnsi="宋体" w:cs="宋体"/>
                <w:kern w:val="2"/>
                <w:sz w:val="21"/>
                <w:szCs w:val="21"/>
              </w:rPr>
            </w:pPr>
            <w:r>
              <w:rPr>
                <w:rFonts w:hint="eastAsia" w:ascii="宋体" w:hAnsi="宋体" w:cs="仿宋_GB2312"/>
                <w:kern w:val="2"/>
                <w:sz w:val="21"/>
                <w:szCs w:val="21"/>
              </w:rPr>
              <w:t>A02052300</w:t>
            </w:r>
            <w:r>
              <w:rPr>
                <w:rFonts w:hint="eastAsia" w:ascii="宋体" w:hAnsi="宋体" w:cs="宋体"/>
                <w:w w:val="99"/>
                <w:kern w:val="2"/>
                <w:sz w:val="21"/>
                <w:szCs w:val="21"/>
              </w:rPr>
              <w:t>制冷空调设备</w:t>
            </w:r>
          </w:p>
        </w:tc>
        <w:tc>
          <w:tcPr>
            <w:tcW w:w="878" w:type="pct"/>
            <w:vMerge w:val="restart"/>
            <w:tcBorders>
              <w:top w:val="single" w:color="000000" w:sz="4" w:space="0"/>
              <w:left w:val="single" w:color="000000" w:sz="4" w:space="0"/>
              <w:bottom w:val="single" w:color="000000" w:sz="4" w:space="0"/>
              <w:right w:val="single" w:color="000000" w:sz="4" w:space="0"/>
            </w:tcBorders>
            <w:noWrap w:val="0"/>
            <w:vAlign w:val="center"/>
          </w:tcPr>
          <w:p w14:paraId="3BECD4DF">
            <w:pPr>
              <w:pStyle w:val="111"/>
              <w:spacing w:line="276" w:lineRule="auto"/>
              <w:ind w:right="5"/>
              <w:jc w:val="center"/>
              <w:rPr>
                <w:rFonts w:ascii="宋体" w:hAnsi="宋体" w:cs="宋体"/>
                <w:kern w:val="2"/>
                <w:sz w:val="21"/>
                <w:szCs w:val="21"/>
              </w:rPr>
            </w:pPr>
            <w:r>
              <w:rPr>
                <w:rFonts w:hint="eastAsia" w:ascii="宋体" w:hAnsi="宋体" w:cs="宋体"/>
                <w:w w:val="99"/>
                <w:kern w:val="2"/>
                <w:sz w:val="21"/>
                <w:szCs w:val="21"/>
              </w:rPr>
              <w:t>★</w:t>
            </w:r>
            <w:r>
              <w:rPr>
                <w:rFonts w:hint="eastAsia" w:ascii="宋体" w:hAnsi="宋体" w:cs="宋体"/>
                <w:spacing w:val="1"/>
                <w:w w:val="99"/>
                <w:kern w:val="2"/>
                <w:sz w:val="21"/>
                <w:szCs w:val="21"/>
              </w:rPr>
              <w:t>A020</w:t>
            </w:r>
            <w:r>
              <w:rPr>
                <w:rFonts w:hint="eastAsia" w:ascii="宋体" w:hAnsi="宋体" w:cs="宋体"/>
                <w:w w:val="99"/>
                <w:kern w:val="2"/>
                <w:sz w:val="21"/>
                <w:szCs w:val="21"/>
              </w:rPr>
              <w:t>52</w:t>
            </w:r>
            <w:r>
              <w:rPr>
                <w:rFonts w:hint="eastAsia" w:ascii="宋体" w:hAnsi="宋体" w:cs="宋体"/>
                <w:spacing w:val="1"/>
                <w:w w:val="99"/>
                <w:kern w:val="2"/>
                <w:sz w:val="21"/>
                <w:szCs w:val="21"/>
              </w:rPr>
              <w:t>3</w:t>
            </w:r>
            <w:r>
              <w:rPr>
                <w:rFonts w:hint="eastAsia" w:ascii="宋体" w:hAnsi="宋体" w:cs="宋体"/>
                <w:w w:val="99"/>
                <w:kern w:val="2"/>
                <w:sz w:val="21"/>
                <w:szCs w:val="21"/>
              </w:rPr>
              <w:t>01制冷压缩机</w:t>
            </w: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5DAB70DC">
            <w:pPr>
              <w:pStyle w:val="111"/>
              <w:jc w:val="center"/>
              <w:rPr>
                <w:rFonts w:ascii="宋体" w:hAnsi="宋体" w:cs="宋体"/>
                <w:kern w:val="2"/>
                <w:sz w:val="21"/>
                <w:szCs w:val="21"/>
              </w:rPr>
            </w:pPr>
            <w:r>
              <w:rPr>
                <w:rFonts w:hint="eastAsia" w:ascii="宋体" w:hAnsi="宋体" w:cs="宋体"/>
                <w:w w:val="99"/>
                <w:kern w:val="2"/>
                <w:sz w:val="21"/>
                <w:szCs w:val="21"/>
              </w:rPr>
              <w:t>冷水机组</w:t>
            </w:r>
          </w:p>
        </w:tc>
        <w:tc>
          <w:tcPr>
            <w:tcW w:w="2092" w:type="pct"/>
            <w:tcBorders>
              <w:top w:val="single" w:color="000000" w:sz="4" w:space="0"/>
              <w:left w:val="single" w:color="000000" w:sz="4" w:space="0"/>
              <w:bottom w:val="single" w:color="000000" w:sz="4" w:space="0"/>
              <w:right w:val="single" w:color="000000" w:sz="4" w:space="0"/>
            </w:tcBorders>
            <w:noWrap w:val="0"/>
            <w:vAlign w:val="top"/>
          </w:tcPr>
          <w:p w14:paraId="1A6198BA">
            <w:pPr>
              <w:pStyle w:val="111"/>
              <w:spacing w:before="30" w:line="276" w:lineRule="auto"/>
              <w:ind w:left="7" w:right="4"/>
              <w:jc w:val="both"/>
              <w:rPr>
                <w:rFonts w:ascii="宋体" w:hAnsi="宋体" w:cs="宋体"/>
                <w:kern w:val="2"/>
                <w:sz w:val="21"/>
                <w:szCs w:val="21"/>
                <w:lang w:eastAsia="zh-CN"/>
              </w:rPr>
            </w:pPr>
            <w:r>
              <w:rPr>
                <w:rFonts w:hint="eastAsia" w:ascii="宋体" w:hAnsi="宋体" w:cs="宋体"/>
                <w:spacing w:val="12"/>
                <w:w w:val="99"/>
                <w:kern w:val="2"/>
                <w:sz w:val="21"/>
                <w:szCs w:val="21"/>
                <w:lang w:eastAsia="zh-CN"/>
              </w:rPr>
              <w:t>《冷水机组能效限定值</w:t>
            </w:r>
            <w:r>
              <w:rPr>
                <w:rFonts w:hint="eastAsia" w:ascii="宋体" w:hAnsi="宋体" w:cs="宋体"/>
                <w:spacing w:val="9"/>
                <w:w w:val="99"/>
                <w:kern w:val="2"/>
                <w:sz w:val="21"/>
                <w:szCs w:val="21"/>
                <w:lang w:eastAsia="zh-CN"/>
              </w:rPr>
              <w:t>及</w:t>
            </w:r>
            <w:r>
              <w:rPr>
                <w:rFonts w:hint="eastAsia" w:ascii="宋体" w:hAnsi="宋体" w:cs="宋体"/>
                <w:spacing w:val="12"/>
                <w:w w:val="99"/>
                <w:kern w:val="2"/>
                <w:sz w:val="21"/>
                <w:szCs w:val="21"/>
                <w:lang w:eastAsia="zh-CN"/>
              </w:rPr>
              <w:t>能效</w:t>
            </w:r>
            <w:r>
              <w:rPr>
                <w:rFonts w:hint="eastAsia" w:ascii="宋体" w:hAnsi="宋体" w:cs="宋体"/>
                <w:w w:val="99"/>
                <w:kern w:val="2"/>
                <w:sz w:val="21"/>
                <w:szCs w:val="21"/>
                <w:lang w:eastAsia="zh-CN"/>
              </w:rPr>
              <w:t>等级</w:t>
            </w:r>
            <w:r>
              <w:rPr>
                <w:rFonts w:hint="eastAsia" w:ascii="宋体" w:hAnsi="宋体" w:cs="宋体"/>
                <w:spacing w:val="-3"/>
                <w:w w:val="99"/>
                <w:kern w:val="2"/>
                <w:sz w:val="21"/>
                <w:szCs w:val="21"/>
                <w:lang w:eastAsia="zh-CN"/>
              </w:rPr>
              <w:t>》</w:t>
            </w:r>
            <w:r>
              <w:rPr>
                <w:rFonts w:hint="eastAsia" w:ascii="宋体" w:hAnsi="宋体" w:cs="宋体"/>
                <w:w w:val="99"/>
                <w:kern w:val="2"/>
                <w:sz w:val="21"/>
                <w:szCs w:val="21"/>
                <w:lang w:eastAsia="zh-CN"/>
              </w:rPr>
              <w:t>（</w:t>
            </w:r>
            <w:r>
              <w:rPr>
                <w:rFonts w:hint="eastAsia" w:ascii="宋体" w:hAnsi="宋体" w:cs="宋体"/>
                <w:spacing w:val="1"/>
                <w:w w:val="99"/>
                <w:kern w:val="2"/>
                <w:sz w:val="21"/>
                <w:szCs w:val="21"/>
                <w:lang w:eastAsia="zh-CN"/>
              </w:rPr>
              <w:t>G</w:t>
            </w:r>
            <w:r>
              <w:rPr>
                <w:rFonts w:hint="eastAsia" w:ascii="宋体" w:hAnsi="宋体" w:cs="宋体"/>
                <w:w w:val="99"/>
                <w:kern w:val="2"/>
                <w:sz w:val="21"/>
                <w:szCs w:val="21"/>
                <w:lang w:eastAsia="zh-CN"/>
              </w:rPr>
              <w:t>B</w:t>
            </w:r>
            <w:r>
              <w:rPr>
                <w:rFonts w:hint="eastAsia" w:ascii="宋体" w:hAnsi="宋体" w:cs="宋体"/>
                <w:spacing w:val="1"/>
                <w:w w:val="99"/>
                <w:kern w:val="2"/>
                <w:sz w:val="21"/>
                <w:szCs w:val="21"/>
                <w:lang w:eastAsia="zh-CN"/>
              </w:rPr>
              <w:t>195</w:t>
            </w:r>
            <w:r>
              <w:rPr>
                <w:rFonts w:hint="eastAsia" w:ascii="宋体" w:hAnsi="宋体" w:cs="宋体"/>
                <w:w w:val="99"/>
                <w:kern w:val="2"/>
                <w:sz w:val="21"/>
                <w:szCs w:val="21"/>
                <w:lang w:eastAsia="zh-CN"/>
              </w:rPr>
              <w:t>77</w:t>
            </w:r>
            <w:r>
              <w:rPr>
                <w:rFonts w:hint="eastAsia" w:ascii="宋体" w:hAnsi="宋体" w:cs="宋体"/>
                <w:spacing w:val="-3"/>
                <w:w w:val="99"/>
                <w:kern w:val="2"/>
                <w:sz w:val="21"/>
                <w:szCs w:val="21"/>
                <w:lang w:eastAsia="zh-CN"/>
              </w:rPr>
              <w:t>），</w:t>
            </w:r>
            <w:r>
              <w:rPr>
                <w:rFonts w:hint="eastAsia" w:ascii="宋体" w:hAnsi="宋体" w:cs="宋体"/>
                <w:w w:val="99"/>
                <w:kern w:val="2"/>
                <w:sz w:val="21"/>
                <w:szCs w:val="21"/>
                <w:lang w:eastAsia="zh-CN"/>
              </w:rPr>
              <w:t>《低</w:t>
            </w:r>
            <w:r>
              <w:rPr>
                <w:rFonts w:hint="eastAsia" w:ascii="宋体" w:hAnsi="宋体" w:cs="宋体"/>
                <w:spacing w:val="2"/>
                <w:w w:val="99"/>
                <w:kern w:val="2"/>
                <w:sz w:val="21"/>
                <w:szCs w:val="21"/>
                <w:lang w:eastAsia="zh-CN"/>
              </w:rPr>
              <w:t>环</w:t>
            </w:r>
            <w:r>
              <w:rPr>
                <w:rFonts w:hint="eastAsia" w:ascii="宋体" w:hAnsi="宋体" w:cs="宋体"/>
                <w:w w:val="99"/>
                <w:kern w:val="2"/>
                <w:sz w:val="21"/>
                <w:szCs w:val="21"/>
                <w:lang w:eastAsia="zh-CN"/>
              </w:rPr>
              <w:t>境温度空气源</w:t>
            </w:r>
            <w:r>
              <w:rPr>
                <w:rFonts w:hint="eastAsia" w:ascii="宋体" w:hAnsi="宋体" w:cs="宋体"/>
                <w:spacing w:val="2"/>
                <w:w w:val="99"/>
                <w:kern w:val="2"/>
                <w:sz w:val="21"/>
                <w:szCs w:val="21"/>
                <w:lang w:eastAsia="zh-CN"/>
              </w:rPr>
              <w:t>热</w:t>
            </w:r>
            <w:r>
              <w:rPr>
                <w:rFonts w:hint="eastAsia" w:ascii="宋体" w:hAnsi="宋体" w:cs="宋体"/>
                <w:spacing w:val="-29"/>
                <w:w w:val="99"/>
                <w:kern w:val="2"/>
                <w:sz w:val="21"/>
                <w:szCs w:val="21"/>
                <w:lang w:eastAsia="zh-CN"/>
              </w:rPr>
              <w:t>泵</w:t>
            </w:r>
            <w:r>
              <w:rPr>
                <w:rFonts w:hint="eastAsia" w:ascii="宋体" w:hAnsi="宋体" w:cs="宋体"/>
                <w:spacing w:val="2"/>
                <w:w w:val="99"/>
                <w:kern w:val="2"/>
                <w:sz w:val="21"/>
                <w:szCs w:val="21"/>
                <w:lang w:eastAsia="zh-CN"/>
              </w:rPr>
              <w:t>（</w:t>
            </w:r>
            <w:r>
              <w:rPr>
                <w:rFonts w:hint="eastAsia" w:ascii="宋体" w:hAnsi="宋体" w:cs="宋体"/>
                <w:w w:val="99"/>
                <w:kern w:val="2"/>
                <w:sz w:val="21"/>
                <w:szCs w:val="21"/>
                <w:lang w:eastAsia="zh-CN"/>
              </w:rPr>
              <w:t>冷水</w:t>
            </w:r>
            <w:r>
              <w:rPr>
                <w:rFonts w:hint="eastAsia" w:ascii="宋体" w:hAnsi="宋体" w:cs="宋体"/>
                <w:spacing w:val="-27"/>
                <w:w w:val="99"/>
                <w:kern w:val="2"/>
                <w:sz w:val="21"/>
                <w:szCs w:val="21"/>
                <w:lang w:eastAsia="zh-CN"/>
              </w:rPr>
              <w:t>）</w:t>
            </w:r>
            <w:r>
              <w:rPr>
                <w:rFonts w:hint="eastAsia" w:ascii="宋体" w:hAnsi="宋体" w:cs="宋体"/>
                <w:w w:val="99"/>
                <w:kern w:val="2"/>
                <w:sz w:val="21"/>
                <w:szCs w:val="21"/>
                <w:lang w:eastAsia="zh-CN"/>
              </w:rPr>
              <w:t>机组</w:t>
            </w:r>
            <w:r>
              <w:rPr>
                <w:rFonts w:hint="eastAsia" w:ascii="宋体" w:hAnsi="宋体" w:cs="宋体"/>
                <w:spacing w:val="2"/>
                <w:w w:val="99"/>
                <w:kern w:val="2"/>
                <w:sz w:val="21"/>
                <w:szCs w:val="21"/>
                <w:lang w:eastAsia="zh-CN"/>
              </w:rPr>
              <w:t>能</w:t>
            </w:r>
            <w:r>
              <w:rPr>
                <w:rFonts w:hint="eastAsia" w:ascii="宋体" w:hAnsi="宋体" w:cs="宋体"/>
                <w:w w:val="99"/>
                <w:kern w:val="2"/>
                <w:sz w:val="21"/>
                <w:szCs w:val="21"/>
                <w:lang w:eastAsia="zh-CN"/>
              </w:rPr>
              <w:t>效限定值及能</w:t>
            </w:r>
            <w:r>
              <w:rPr>
                <w:rFonts w:hint="eastAsia" w:ascii="宋体" w:hAnsi="宋体" w:cs="宋体"/>
                <w:spacing w:val="2"/>
                <w:w w:val="99"/>
                <w:kern w:val="2"/>
                <w:sz w:val="21"/>
                <w:szCs w:val="21"/>
                <w:lang w:eastAsia="zh-CN"/>
              </w:rPr>
              <w:t>效</w:t>
            </w:r>
            <w:r>
              <w:rPr>
                <w:rFonts w:hint="eastAsia" w:ascii="宋体" w:hAnsi="宋体" w:cs="宋体"/>
                <w:w w:val="99"/>
                <w:kern w:val="2"/>
                <w:sz w:val="21"/>
                <w:szCs w:val="21"/>
                <w:lang w:eastAsia="zh-CN"/>
              </w:rPr>
              <w:t>等级</w:t>
            </w:r>
            <w:r>
              <w:rPr>
                <w:rFonts w:hint="eastAsia" w:ascii="宋体" w:hAnsi="宋体" w:cs="宋体"/>
                <w:spacing w:val="2"/>
                <w:w w:val="99"/>
                <w:kern w:val="2"/>
                <w:sz w:val="21"/>
                <w:szCs w:val="21"/>
                <w:lang w:eastAsia="zh-CN"/>
              </w:rPr>
              <w:t>》</w:t>
            </w:r>
            <w:r>
              <w:rPr>
                <w:rFonts w:hint="eastAsia" w:ascii="宋体" w:hAnsi="宋体" w:cs="宋体"/>
                <w:w w:val="99"/>
                <w:kern w:val="2"/>
                <w:sz w:val="21"/>
                <w:szCs w:val="21"/>
                <w:lang w:eastAsia="zh-CN"/>
              </w:rPr>
              <w:t>（</w:t>
            </w:r>
            <w:r>
              <w:rPr>
                <w:rFonts w:hint="eastAsia" w:ascii="宋体" w:hAnsi="宋体" w:cs="宋体"/>
                <w:spacing w:val="1"/>
                <w:w w:val="99"/>
                <w:kern w:val="2"/>
                <w:sz w:val="21"/>
                <w:szCs w:val="21"/>
                <w:lang w:eastAsia="zh-CN"/>
              </w:rPr>
              <w:t>G</w:t>
            </w:r>
            <w:r>
              <w:rPr>
                <w:rFonts w:hint="eastAsia" w:ascii="宋体" w:hAnsi="宋体" w:cs="宋体"/>
                <w:w w:val="99"/>
                <w:kern w:val="2"/>
                <w:sz w:val="21"/>
                <w:szCs w:val="21"/>
                <w:lang w:eastAsia="zh-CN"/>
              </w:rPr>
              <w:t>B</w:t>
            </w:r>
            <w:r>
              <w:rPr>
                <w:rFonts w:hint="eastAsia" w:ascii="宋体" w:hAnsi="宋体" w:cs="宋体"/>
                <w:spacing w:val="1"/>
                <w:w w:val="99"/>
                <w:kern w:val="2"/>
                <w:sz w:val="21"/>
                <w:szCs w:val="21"/>
                <w:lang w:eastAsia="zh-CN"/>
              </w:rPr>
              <w:t>37</w:t>
            </w:r>
            <w:r>
              <w:rPr>
                <w:rFonts w:hint="eastAsia" w:ascii="宋体" w:hAnsi="宋体" w:cs="宋体"/>
                <w:w w:val="99"/>
                <w:kern w:val="2"/>
                <w:sz w:val="21"/>
                <w:szCs w:val="21"/>
                <w:lang w:eastAsia="zh-CN"/>
              </w:rPr>
              <w:t>48</w:t>
            </w:r>
            <w:r>
              <w:rPr>
                <w:rFonts w:hint="eastAsia" w:ascii="宋体" w:hAnsi="宋体" w:cs="宋体"/>
                <w:spacing w:val="-2"/>
                <w:w w:val="99"/>
                <w:kern w:val="2"/>
                <w:sz w:val="21"/>
                <w:szCs w:val="21"/>
                <w:lang w:eastAsia="zh-CN"/>
              </w:rPr>
              <w:t>0</w:t>
            </w:r>
            <w:r>
              <w:rPr>
                <w:rFonts w:hint="eastAsia" w:ascii="宋体" w:hAnsi="宋体" w:cs="宋体"/>
                <w:w w:val="99"/>
                <w:kern w:val="2"/>
                <w:sz w:val="21"/>
                <w:szCs w:val="21"/>
                <w:lang w:eastAsia="zh-CN"/>
              </w:rPr>
              <w:t>）</w:t>
            </w:r>
          </w:p>
        </w:tc>
      </w:tr>
      <w:tr w14:paraId="73E96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continue"/>
            <w:tcBorders>
              <w:top w:val="single" w:color="000000" w:sz="4" w:space="0"/>
              <w:left w:val="single" w:color="000000" w:sz="4" w:space="0"/>
              <w:bottom w:val="single" w:color="000000" w:sz="4" w:space="0"/>
              <w:right w:val="single" w:color="000000" w:sz="4" w:space="0"/>
            </w:tcBorders>
            <w:noWrap w:val="0"/>
            <w:vAlign w:val="center"/>
          </w:tcPr>
          <w:p w14:paraId="657C6800">
            <w:pPr>
              <w:widowControl/>
              <w:jc w:val="left"/>
              <w:rPr>
                <w:rFonts w:ascii="宋体" w:hAnsi="宋体"/>
                <w:szCs w:val="21"/>
              </w:rPr>
            </w:pPr>
          </w:p>
        </w:tc>
        <w:tc>
          <w:tcPr>
            <w:tcW w:w="834" w:type="pct"/>
            <w:vMerge w:val="continue"/>
            <w:tcBorders>
              <w:top w:val="single" w:color="000000" w:sz="4" w:space="0"/>
              <w:left w:val="single" w:color="000000" w:sz="4" w:space="0"/>
              <w:bottom w:val="single" w:color="000000" w:sz="4" w:space="0"/>
              <w:right w:val="single" w:color="000000" w:sz="4" w:space="0"/>
            </w:tcBorders>
            <w:noWrap w:val="0"/>
            <w:vAlign w:val="center"/>
          </w:tcPr>
          <w:p w14:paraId="2FA6A42C">
            <w:pPr>
              <w:widowControl/>
              <w:jc w:val="left"/>
              <w:rPr>
                <w:rFonts w:ascii="宋体" w:hAnsi="宋体" w:cs="宋体"/>
                <w:szCs w:val="21"/>
              </w:rPr>
            </w:pPr>
          </w:p>
        </w:tc>
        <w:tc>
          <w:tcPr>
            <w:tcW w:w="878" w:type="pct"/>
            <w:vMerge w:val="continue"/>
            <w:tcBorders>
              <w:top w:val="single" w:color="000000" w:sz="4" w:space="0"/>
              <w:left w:val="single" w:color="000000" w:sz="4" w:space="0"/>
              <w:bottom w:val="single" w:color="000000" w:sz="4" w:space="0"/>
              <w:right w:val="single" w:color="000000" w:sz="4" w:space="0"/>
            </w:tcBorders>
            <w:noWrap w:val="0"/>
            <w:vAlign w:val="center"/>
          </w:tcPr>
          <w:p w14:paraId="06A3F68D">
            <w:pPr>
              <w:widowControl/>
              <w:jc w:val="left"/>
              <w:rPr>
                <w:rFonts w:ascii="宋体" w:hAnsi="宋体" w:cs="宋体"/>
                <w:szCs w:val="21"/>
              </w:rPr>
            </w:pP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4760B857">
            <w:pPr>
              <w:jc w:val="center"/>
              <w:rPr>
                <w:rFonts w:ascii="宋体" w:hAnsi="宋体"/>
                <w:szCs w:val="21"/>
              </w:rPr>
            </w:pPr>
            <w:r>
              <w:rPr>
                <w:rFonts w:hint="eastAsia" w:ascii="宋体" w:hAnsi="宋体"/>
                <w:szCs w:val="21"/>
              </w:rPr>
              <w:t>溴化锂吸收式冷水机组</w:t>
            </w:r>
          </w:p>
        </w:tc>
        <w:tc>
          <w:tcPr>
            <w:tcW w:w="2092" w:type="pct"/>
            <w:tcBorders>
              <w:top w:val="single" w:color="000000" w:sz="4" w:space="0"/>
              <w:left w:val="single" w:color="000000" w:sz="4" w:space="0"/>
              <w:bottom w:val="single" w:color="000000" w:sz="4" w:space="0"/>
              <w:right w:val="single" w:color="000000" w:sz="4" w:space="0"/>
            </w:tcBorders>
            <w:noWrap w:val="0"/>
            <w:vAlign w:val="center"/>
          </w:tcPr>
          <w:p w14:paraId="1E724F1B">
            <w:pPr>
              <w:pStyle w:val="111"/>
              <w:spacing w:before="93"/>
              <w:ind w:left="7"/>
              <w:rPr>
                <w:rFonts w:ascii="宋体" w:hAnsi="宋体" w:cs="宋体"/>
                <w:w w:val="99"/>
                <w:kern w:val="2"/>
                <w:sz w:val="21"/>
                <w:szCs w:val="21"/>
                <w:lang w:eastAsia="zh-CN"/>
              </w:rPr>
            </w:pPr>
            <w:r>
              <w:rPr>
                <w:rFonts w:hint="eastAsia" w:ascii="宋体" w:hAnsi="宋体" w:cs="宋体"/>
                <w:w w:val="99"/>
                <w:kern w:val="2"/>
                <w:sz w:val="21"/>
                <w:szCs w:val="21"/>
                <w:lang w:eastAsia="zh-CN"/>
              </w:rPr>
              <w:t>《溴化锂吸收式冷水机组能效限</w:t>
            </w:r>
          </w:p>
          <w:p w14:paraId="2715CCB0">
            <w:pPr>
              <w:rPr>
                <w:rFonts w:ascii="宋体" w:hAnsi="宋体"/>
                <w:szCs w:val="21"/>
              </w:rPr>
            </w:pPr>
            <w:r>
              <w:rPr>
                <w:rFonts w:hint="eastAsia" w:ascii="宋体" w:hAnsi="宋体" w:cs="宋体"/>
                <w:w w:val="99"/>
                <w:szCs w:val="21"/>
              </w:rPr>
              <w:t>定值及能效等级》（GB29540）</w:t>
            </w:r>
          </w:p>
        </w:tc>
      </w:tr>
      <w:tr w14:paraId="66C1F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continue"/>
            <w:tcBorders>
              <w:top w:val="single" w:color="000000" w:sz="4" w:space="0"/>
              <w:left w:val="single" w:color="000000" w:sz="4" w:space="0"/>
              <w:bottom w:val="single" w:color="000000" w:sz="4" w:space="0"/>
              <w:right w:val="single" w:color="000000" w:sz="4" w:space="0"/>
            </w:tcBorders>
            <w:noWrap w:val="0"/>
            <w:vAlign w:val="center"/>
          </w:tcPr>
          <w:p w14:paraId="6A2F23FA">
            <w:pPr>
              <w:widowControl/>
              <w:jc w:val="left"/>
              <w:rPr>
                <w:rFonts w:ascii="宋体" w:hAnsi="宋体"/>
                <w:szCs w:val="21"/>
              </w:rPr>
            </w:pPr>
          </w:p>
        </w:tc>
        <w:tc>
          <w:tcPr>
            <w:tcW w:w="834" w:type="pct"/>
            <w:vMerge w:val="continue"/>
            <w:tcBorders>
              <w:top w:val="single" w:color="000000" w:sz="4" w:space="0"/>
              <w:left w:val="single" w:color="000000" w:sz="4" w:space="0"/>
              <w:bottom w:val="single" w:color="000000" w:sz="4" w:space="0"/>
              <w:right w:val="single" w:color="000000" w:sz="4" w:space="0"/>
            </w:tcBorders>
            <w:noWrap w:val="0"/>
            <w:vAlign w:val="center"/>
          </w:tcPr>
          <w:p w14:paraId="5F4207F0">
            <w:pPr>
              <w:widowControl/>
              <w:jc w:val="left"/>
              <w:rPr>
                <w:rFonts w:ascii="宋体" w:hAnsi="宋体" w:cs="宋体"/>
                <w:szCs w:val="21"/>
              </w:rPr>
            </w:pPr>
          </w:p>
        </w:tc>
        <w:tc>
          <w:tcPr>
            <w:tcW w:w="878" w:type="pct"/>
            <w:vMerge w:val="restart"/>
            <w:tcBorders>
              <w:top w:val="single" w:color="000000" w:sz="4" w:space="0"/>
              <w:left w:val="single" w:color="000000" w:sz="4" w:space="0"/>
              <w:bottom w:val="single" w:color="000000" w:sz="4" w:space="0"/>
              <w:right w:val="single" w:color="000000" w:sz="4" w:space="0"/>
            </w:tcBorders>
            <w:noWrap w:val="0"/>
            <w:vAlign w:val="center"/>
          </w:tcPr>
          <w:p w14:paraId="52608911">
            <w:pPr>
              <w:pStyle w:val="111"/>
              <w:spacing w:line="276" w:lineRule="auto"/>
              <w:ind w:right="5"/>
              <w:jc w:val="center"/>
              <w:rPr>
                <w:rFonts w:ascii="宋体" w:hAnsi="宋体" w:cs="宋体"/>
                <w:kern w:val="2"/>
                <w:sz w:val="21"/>
                <w:szCs w:val="21"/>
              </w:rPr>
            </w:pPr>
            <w:r>
              <w:rPr>
                <w:rFonts w:hint="eastAsia" w:ascii="宋体" w:hAnsi="宋体" w:cs="宋体"/>
                <w:w w:val="99"/>
                <w:kern w:val="2"/>
                <w:sz w:val="21"/>
                <w:szCs w:val="21"/>
              </w:rPr>
              <w:t>★A02052305空调机组</w:t>
            </w: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6AA8492B">
            <w:pPr>
              <w:pStyle w:val="111"/>
              <w:spacing w:before="4" w:line="276" w:lineRule="auto"/>
              <w:ind w:left="7" w:right="7"/>
              <w:jc w:val="center"/>
              <w:rPr>
                <w:rFonts w:ascii="宋体" w:hAnsi="宋体" w:cs="宋体"/>
                <w:w w:val="99"/>
                <w:kern w:val="2"/>
                <w:sz w:val="21"/>
                <w:szCs w:val="21"/>
                <w:lang w:eastAsia="zh-CN"/>
              </w:rPr>
            </w:pPr>
            <w:r>
              <w:rPr>
                <w:rFonts w:hint="eastAsia" w:ascii="宋体" w:hAnsi="宋体" w:cs="宋体"/>
                <w:w w:val="99"/>
                <w:kern w:val="2"/>
                <w:sz w:val="21"/>
                <w:szCs w:val="21"/>
                <w:lang w:eastAsia="zh-CN"/>
              </w:rPr>
              <w:t>多联式空调（热泵）机组（制冷量&gt;14000W）</w:t>
            </w:r>
          </w:p>
        </w:tc>
        <w:tc>
          <w:tcPr>
            <w:tcW w:w="2092" w:type="pct"/>
            <w:tcBorders>
              <w:top w:val="single" w:color="000000" w:sz="4" w:space="0"/>
              <w:left w:val="single" w:color="000000" w:sz="4" w:space="0"/>
              <w:bottom w:val="single" w:color="000000" w:sz="4" w:space="0"/>
              <w:right w:val="single" w:color="000000" w:sz="4" w:space="0"/>
            </w:tcBorders>
            <w:noWrap w:val="0"/>
            <w:vAlign w:val="top"/>
          </w:tcPr>
          <w:p w14:paraId="2BCFFC68">
            <w:pPr>
              <w:pStyle w:val="111"/>
              <w:spacing w:before="160" w:line="276" w:lineRule="auto"/>
              <w:ind w:left="7" w:right="7"/>
              <w:rPr>
                <w:rFonts w:ascii="宋体" w:hAnsi="宋体" w:cs="宋体"/>
                <w:kern w:val="2"/>
                <w:sz w:val="21"/>
                <w:szCs w:val="21"/>
                <w:lang w:eastAsia="zh-CN"/>
              </w:rPr>
            </w:pPr>
            <w:r>
              <w:rPr>
                <w:rFonts w:hint="eastAsia" w:ascii="宋体" w:hAnsi="宋体" w:cs="宋体"/>
                <w:w w:val="99"/>
                <w:kern w:val="2"/>
                <w:sz w:val="21"/>
                <w:szCs w:val="21"/>
                <w:lang w:eastAsia="zh-CN"/>
              </w:rPr>
              <w:t>《多联式空调（热泵）机组能效限定值及能源效率等级》（GB21454）</w:t>
            </w:r>
          </w:p>
        </w:tc>
      </w:tr>
      <w:tr w14:paraId="70F32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continue"/>
            <w:tcBorders>
              <w:top w:val="single" w:color="000000" w:sz="4" w:space="0"/>
              <w:left w:val="single" w:color="000000" w:sz="4" w:space="0"/>
              <w:bottom w:val="single" w:color="000000" w:sz="4" w:space="0"/>
              <w:right w:val="single" w:color="000000" w:sz="4" w:space="0"/>
            </w:tcBorders>
            <w:noWrap w:val="0"/>
            <w:vAlign w:val="center"/>
          </w:tcPr>
          <w:p w14:paraId="4A13E12B">
            <w:pPr>
              <w:widowControl/>
              <w:jc w:val="left"/>
              <w:rPr>
                <w:rFonts w:ascii="宋体" w:hAnsi="宋体"/>
                <w:szCs w:val="21"/>
              </w:rPr>
            </w:pPr>
          </w:p>
        </w:tc>
        <w:tc>
          <w:tcPr>
            <w:tcW w:w="834" w:type="pct"/>
            <w:vMerge w:val="continue"/>
            <w:tcBorders>
              <w:top w:val="single" w:color="000000" w:sz="4" w:space="0"/>
              <w:left w:val="single" w:color="000000" w:sz="4" w:space="0"/>
              <w:bottom w:val="single" w:color="000000" w:sz="4" w:space="0"/>
              <w:right w:val="single" w:color="000000" w:sz="4" w:space="0"/>
            </w:tcBorders>
            <w:noWrap w:val="0"/>
            <w:vAlign w:val="center"/>
          </w:tcPr>
          <w:p w14:paraId="477F6843">
            <w:pPr>
              <w:widowControl/>
              <w:jc w:val="left"/>
              <w:rPr>
                <w:rFonts w:ascii="宋体" w:hAnsi="宋体" w:cs="宋体"/>
                <w:szCs w:val="21"/>
              </w:rPr>
            </w:pPr>
          </w:p>
        </w:tc>
        <w:tc>
          <w:tcPr>
            <w:tcW w:w="878" w:type="pct"/>
            <w:vMerge w:val="continue"/>
            <w:tcBorders>
              <w:top w:val="single" w:color="000000" w:sz="4" w:space="0"/>
              <w:left w:val="single" w:color="000000" w:sz="4" w:space="0"/>
              <w:bottom w:val="single" w:color="000000" w:sz="4" w:space="0"/>
              <w:right w:val="single" w:color="000000" w:sz="4" w:space="0"/>
            </w:tcBorders>
            <w:noWrap w:val="0"/>
            <w:vAlign w:val="center"/>
          </w:tcPr>
          <w:p w14:paraId="5A270FA3">
            <w:pPr>
              <w:widowControl/>
              <w:jc w:val="left"/>
              <w:rPr>
                <w:rFonts w:ascii="宋体" w:hAnsi="宋体" w:cs="宋体"/>
                <w:szCs w:val="21"/>
              </w:rPr>
            </w:pP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214371AC">
            <w:pPr>
              <w:jc w:val="center"/>
              <w:rPr>
                <w:rFonts w:ascii="宋体" w:hAnsi="宋体"/>
                <w:szCs w:val="21"/>
              </w:rPr>
            </w:pPr>
            <w:r>
              <w:rPr>
                <w:rFonts w:hint="eastAsia" w:ascii="宋体" w:hAnsi="宋体" w:cs="宋体"/>
                <w:w w:val="99"/>
                <w:szCs w:val="21"/>
              </w:rPr>
              <w:t>单元式空气调节机</w:t>
            </w:r>
          </w:p>
        </w:tc>
        <w:tc>
          <w:tcPr>
            <w:tcW w:w="2092" w:type="pct"/>
            <w:tcBorders>
              <w:top w:val="single" w:color="000000" w:sz="4" w:space="0"/>
              <w:left w:val="single" w:color="000000" w:sz="4" w:space="0"/>
              <w:bottom w:val="single" w:color="000000" w:sz="4" w:space="0"/>
              <w:right w:val="single" w:color="000000" w:sz="4" w:space="0"/>
            </w:tcBorders>
            <w:noWrap w:val="0"/>
            <w:vAlign w:val="top"/>
          </w:tcPr>
          <w:p w14:paraId="51EE816E">
            <w:pPr>
              <w:rPr>
                <w:rFonts w:ascii="宋体" w:hAnsi="宋体"/>
                <w:szCs w:val="21"/>
              </w:rPr>
            </w:pPr>
            <w:r>
              <w:rPr>
                <w:rFonts w:hint="eastAsia" w:ascii="宋体" w:hAnsi="宋体" w:cs="宋体"/>
                <w:w w:val="99"/>
                <w:szCs w:val="21"/>
              </w:rPr>
              <w:t>《单元式空气调节机能效限定值及能效等级》（GB19576）《风管送风式空调机组能效限定值及能效等级》（GB37479）</w:t>
            </w:r>
          </w:p>
        </w:tc>
      </w:tr>
      <w:tr w14:paraId="5946C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continue"/>
            <w:tcBorders>
              <w:top w:val="single" w:color="000000" w:sz="4" w:space="0"/>
              <w:left w:val="single" w:color="000000" w:sz="4" w:space="0"/>
              <w:bottom w:val="single" w:color="000000" w:sz="4" w:space="0"/>
              <w:right w:val="single" w:color="000000" w:sz="4" w:space="0"/>
            </w:tcBorders>
            <w:noWrap w:val="0"/>
            <w:vAlign w:val="center"/>
          </w:tcPr>
          <w:p w14:paraId="51641B88">
            <w:pPr>
              <w:widowControl/>
              <w:jc w:val="left"/>
              <w:rPr>
                <w:rFonts w:ascii="宋体" w:hAnsi="宋体"/>
                <w:szCs w:val="21"/>
              </w:rPr>
            </w:pPr>
          </w:p>
        </w:tc>
        <w:tc>
          <w:tcPr>
            <w:tcW w:w="834" w:type="pct"/>
            <w:vMerge w:val="continue"/>
            <w:tcBorders>
              <w:top w:val="single" w:color="000000" w:sz="4" w:space="0"/>
              <w:left w:val="single" w:color="000000" w:sz="4" w:space="0"/>
              <w:bottom w:val="single" w:color="000000" w:sz="4" w:space="0"/>
              <w:right w:val="single" w:color="000000" w:sz="4" w:space="0"/>
            </w:tcBorders>
            <w:noWrap w:val="0"/>
            <w:vAlign w:val="center"/>
          </w:tcPr>
          <w:p w14:paraId="7F75D086">
            <w:pPr>
              <w:widowControl/>
              <w:jc w:val="left"/>
              <w:rPr>
                <w:rFonts w:ascii="宋体" w:hAnsi="宋体" w:cs="宋体"/>
                <w:szCs w:val="21"/>
              </w:rPr>
            </w:pPr>
          </w:p>
        </w:tc>
        <w:tc>
          <w:tcPr>
            <w:tcW w:w="878" w:type="pct"/>
            <w:tcBorders>
              <w:top w:val="single" w:color="000000" w:sz="4" w:space="0"/>
              <w:left w:val="single" w:color="000000" w:sz="4" w:space="0"/>
              <w:bottom w:val="single" w:color="000000" w:sz="4" w:space="0"/>
              <w:right w:val="single" w:color="000000" w:sz="4" w:space="0"/>
            </w:tcBorders>
            <w:noWrap w:val="0"/>
            <w:vAlign w:val="center"/>
          </w:tcPr>
          <w:p w14:paraId="694A6605">
            <w:pPr>
              <w:pStyle w:val="111"/>
              <w:spacing w:before="83"/>
              <w:ind w:left="7"/>
              <w:jc w:val="center"/>
              <w:rPr>
                <w:rFonts w:ascii="宋体" w:hAnsi="宋体" w:cs="宋体"/>
                <w:w w:val="99"/>
                <w:kern w:val="2"/>
                <w:sz w:val="21"/>
                <w:szCs w:val="21"/>
                <w:lang w:eastAsia="zh-CN"/>
              </w:rPr>
            </w:pPr>
            <w:r>
              <w:rPr>
                <w:rFonts w:hint="eastAsia" w:ascii="宋体" w:hAnsi="宋体" w:cs="宋体"/>
                <w:w w:val="99"/>
                <w:kern w:val="2"/>
                <w:sz w:val="21"/>
                <w:szCs w:val="21"/>
                <w:lang w:eastAsia="zh-CN"/>
              </w:rPr>
              <w:t>★A02052309专用制冷、空调设备</w:t>
            </w: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474DD062">
            <w:pPr>
              <w:pStyle w:val="111"/>
              <w:jc w:val="center"/>
              <w:rPr>
                <w:rFonts w:ascii="宋体" w:hAnsi="宋体" w:cs="宋体"/>
                <w:kern w:val="2"/>
                <w:sz w:val="21"/>
                <w:szCs w:val="21"/>
              </w:rPr>
            </w:pPr>
            <w:r>
              <w:rPr>
                <w:rFonts w:hint="eastAsia" w:ascii="宋体" w:hAnsi="宋体" w:cs="宋体"/>
                <w:w w:val="99"/>
                <w:kern w:val="2"/>
                <w:sz w:val="21"/>
                <w:szCs w:val="21"/>
              </w:rPr>
              <w:t>机房空调</w:t>
            </w:r>
          </w:p>
        </w:tc>
        <w:tc>
          <w:tcPr>
            <w:tcW w:w="2092" w:type="pct"/>
            <w:tcBorders>
              <w:top w:val="single" w:color="000000" w:sz="4" w:space="0"/>
              <w:left w:val="single" w:color="000000" w:sz="4" w:space="0"/>
              <w:bottom w:val="single" w:color="000000" w:sz="4" w:space="0"/>
              <w:right w:val="single" w:color="000000" w:sz="4" w:space="0"/>
            </w:tcBorders>
            <w:noWrap w:val="0"/>
            <w:vAlign w:val="top"/>
          </w:tcPr>
          <w:p w14:paraId="664E0EA7">
            <w:pPr>
              <w:pStyle w:val="111"/>
              <w:spacing w:before="83"/>
              <w:ind w:left="7"/>
              <w:rPr>
                <w:rFonts w:ascii="宋体" w:hAnsi="宋体" w:cs="宋体"/>
                <w:w w:val="99"/>
                <w:kern w:val="2"/>
                <w:sz w:val="21"/>
                <w:szCs w:val="21"/>
                <w:lang w:eastAsia="zh-CN"/>
              </w:rPr>
            </w:pPr>
            <w:r>
              <w:rPr>
                <w:rFonts w:hint="eastAsia" w:ascii="宋体" w:hAnsi="宋体" w:cs="宋体"/>
                <w:w w:val="99"/>
                <w:kern w:val="2"/>
                <w:sz w:val="21"/>
                <w:szCs w:val="21"/>
                <w:lang w:eastAsia="zh-CN"/>
              </w:rPr>
              <w:t>《单元式空气调节机能效限定值</w:t>
            </w:r>
          </w:p>
          <w:p w14:paraId="34B7DABC">
            <w:pPr>
              <w:pStyle w:val="111"/>
              <w:spacing w:before="83"/>
              <w:ind w:left="7"/>
              <w:rPr>
                <w:rFonts w:ascii="宋体" w:hAnsi="宋体" w:cs="宋体"/>
                <w:kern w:val="2"/>
                <w:sz w:val="21"/>
                <w:szCs w:val="21"/>
                <w:lang w:eastAsia="zh-CN"/>
              </w:rPr>
            </w:pPr>
            <w:r>
              <w:rPr>
                <w:rFonts w:hint="eastAsia" w:ascii="宋体" w:hAnsi="宋体" w:cs="宋体"/>
                <w:w w:val="99"/>
                <w:kern w:val="2"/>
                <w:sz w:val="21"/>
                <w:szCs w:val="21"/>
                <w:lang w:eastAsia="zh-CN"/>
              </w:rPr>
              <w:t>及能效等级》（GB19576）</w:t>
            </w:r>
          </w:p>
        </w:tc>
      </w:tr>
      <w:tr w14:paraId="1C4BB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continue"/>
            <w:tcBorders>
              <w:top w:val="single" w:color="000000" w:sz="4" w:space="0"/>
              <w:left w:val="single" w:color="000000" w:sz="4" w:space="0"/>
              <w:bottom w:val="single" w:color="000000" w:sz="4" w:space="0"/>
              <w:right w:val="single" w:color="000000" w:sz="4" w:space="0"/>
            </w:tcBorders>
            <w:noWrap w:val="0"/>
            <w:vAlign w:val="center"/>
          </w:tcPr>
          <w:p w14:paraId="5BAD1259">
            <w:pPr>
              <w:widowControl/>
              <w:jc w:val="left"/>
              <w:rPr>
                <w:rFonts w:ascii="宋体" w:hAnsi="宋体"/>
                <w:szCs w:val="21"/>
              </w:rPr>
            </w:pPr>
          </w:p>
        </w:tc>
        <w:tc>
          <w:tcPr>
            <w:tcW w:w="834" w:type="pct"/>
            <w:vMerge w:val="continue"/>
            <w:tcBorders>
              <w:top w:val="single" w:color="000000" w:sz="4" w:space="0"/>
              <w:left w:val="single" w:color="000000" w:sz="4" w:space="0"/>
              <w:bottom w:val="single" w:color="000000" w:sz="4" w:space="0"/>
              <w:right w:val="single" w:color="000000" w:sz="4" w:space="0"/>
            </w:tcBorders>
            <w:noWrap w:val="0"/>
            <w:vAlign w:val="center"/>
          </w:tcPr>
          <w:p w14:paraId="54FBCAF1">
            <w:pPr>
              <w:widowControl/>
              <w:jc w:val="left"/>
              <w:rPr>
                <w:rFonts w:ascii="宋体" w:hAnsi="宋体" w:cs="宋体"/>
                <w:szCs w:val="21"/>
              </w:rPr>
            </w:pPr>
          </w:p>
        </w:tc>
        <w:tc>
          <w:tcPr>
            <w:tcW w:w="878" w:type="pct"/>
            <w:tcBorders>
              <w:top w:val="single" w:color="000000" w:sz="4" w:space="0"/>
              <w:left w:val="single" w:color="000000" w:sz="4" w:space="0"/>
              <w:bottom w:val="single" w:color="000000" w:sz="4" w:space="0"/>
              <w:right w:val="single" w:color="000000" w:sz="4" w:space="0"/>
            </w:tcBorders>
            <w:noWrap w:val="0"/>
            <w:vAlign w:val="center"/>
          </w:tcPr>
          <w:p w14:paraId="5AA2343C">
            <w:pPr>
              <w:pStyle w:val="111"/>
              <w:spacing w:line="254" w:lineRule="exact"/>
              <w:ind w:left="7"/>
              <w:jc w:val="center"/>
              <w:rPr>
                <w:rFonts w:ascii="宋体" w:hAnsi="宋体" w:cs="宋体"/>
                <w:w w:val="99"/>
                <w:kern w:val="2"/>
                <w:sz w:val="21"/>
                <w:szCs w:val="21"/>
              </w:rPr>
            </w:pPr>
            <w:r>
              <w:rPr>
                <w:rFonts w:hint="eastAsia" w:ascii="宋体" w:hAnsi="宋体" w:cs="宋体"/>
                <w:w w:val="99"/>
                <w:kern w:val="2"/>
                <w:sz w:val="21"/>
                <w:szCs w:val="21"/>
              </w:rPr>
              <w:t>A02052399其他制冷</w:t>
            </w:r>
          </w:p>
          <w:p w14:paraId="0F802C53">
            <w:pPr>
              <w:pStyle w:val="111"/>
              <w:spacing w:line="254" w:lineRule="exact"/>
              <w:ind w:left="7"/>
              <w:jc w:val="center"/>
              <w:rPr>
                <w:rFonts w:ascii="宋体" w:hAnsi="宋体" w:cs="宋体"/>
                <w:kern w:val="2"/>
                <w:sz w:val="21"/>
                <w:szCs w:val="21"/>
              </w:rPr>
            </w:pPr>
            <w:r>
              <w:rPr>
                <w:rFonts w:hint="eastAsia" w:ascii="宋体" w:hAnsi="宋体" w:cs="宋体"/>
                <w:w w:val="99"/>
                <w:kern w:val="2"/>
                <w:sz w:val="21"/>
                <w:szCs w:val="21"/>
              </w:rPr>
              <w:t>空调设备</w:t>
            </w: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669BD7A6">
            <w:pPr>
              <w:widowControl/>
              <w:jc w:val="center"/>
              <w:rPr>
                <w:rFonts w:ascii="宋体" w:hAnsi="宋体" w:cs="宋体"/>
                <w:szCs w:val="21"/>
                <w:lang w:eastAsia="en-US"/>
              </w:rPr>
            </w:pPr>
            <w:r>
              <w:rPr>
                <w:rFonts w:hint="eastAsia" w:ascii="宋体" w:hAnsi="宋体" w:cs="宋体"/>
                <w:w w:val="99"/>
                <w:szCs w:val="21"/>
              </w:rPr>
              <w:t>冷却塔</w:t>
            </w:r>
          </w:p>
        </w:tc>
        <w:tc>
          <w:tcPr>
            <w:tcW w:w="2092" w:type="pct"/>
            <w:tcBorders>
              <w:top w:val="single" w:color="000000" w:sz="4" w:space="0"/>
              <w:left w:val="single" w:color="000000" w:sz="4" w:space="0"/>
              <w:bottom w:val="single" w:color="000000" w:sz="4" w:space="0"/>
              <w:right w:val="single" w:color="000000" w:sz="4" w:space="0"/>
            </w:tcBorders>
            <w:noWrap w:val="0"/>
            <w:vAlign w:val="top"/>
          </w:tcPr>
          <w:p w14:paraId="607BF267">
            <w:pPr>
              <w:pStyle w:val="111"/>
              <w:spacing w:line="254" w:lineRule="exact"/>
              <w:ind w:left="7"/>
              <w:rPr>
                <w:rFonts w:ascii="宋体" w:hAnsi="宋体" w:cs="宋体"/>
                <w:w w:val="99"/>
                <w:kern w:val="2"/>
                <w:sz w:val="21"/>
                <w:szCs w:val="21"/>
                <w:lang w:eastAsia="zh-CN"/>
              </w:rPr>
            </w:pPr>
            <w:r>
              <w:rPr>
                <w:rFonts w:hint="eastAsia" w:ascii="宋体" w:hAnsi="宋体" w:cs="宋体"/>
                <w:w w:val="99"/>
                <w:kern w:val="2"/>
                <w:sz w:val="21"/>
                <w:szCs w:val="21"/>
                <w:lang w:eastAsia="zh-CN"/>
              </w:rPr>
              <w:t>《机械通风冷却塔第1部分：中小型开式冷却塔》（GB/T7190.1）</w:t>
            </w:r>
          </w:p>
          <w:p w14:paraId="33247D29">
            <w:pPr>
              <w:pStyle w:val="111"/>
              <w:spacing w:line="254" w:lineRule="exact"/>
              <w:ind w:left="7"/>
              <w:rPr>
                <w:rFonts w:ascii="宋体" w:hAnsi="宋体" w:cs="宋体"/>
                <w:kern w:val="2"/>
                <w:sz w:val="21"/>
                <w:szCs w:val="21"/>
                <w:lang w:eastAsia="zh-CN"/>
              </w:rPr>
            </w:pPr>
            <w:r>
              <w:rPr>
                <w:rFonts w:hint="eastAsia" w:ascii="宋体" w:hAnsi="宋体" w:cs="宋体"/>
                <w:w w:val="99"/>
                <w:kern w:val="2"/>
                <w:sz w:val="21"/>
                <w:szCs w:val="21"/>
                <w:lang w:eastAsia="zh-CN"/>
              </w:rPr>
              <w:t>《机械通风冷却塔第2部分：大型开式冷却塔》（GB/T7190.2）</w:t>
            </w:r>
          </w:p>
        </w:tc>
      </w:tr>
      <w:tr w14:paraId="4737F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tcBorders>
              <w:top w:val="single" w:color="000000" w:sz="4" w:space="0"/>
              <w:left w:val="single" w:color="000000" w:sz="4" w:space="0"/>
              <w:bottom w:val="single" w:color="000000" w:sz="4" w:space="0"/>
              <w:right w:val="single" w:color="000000" w:sz="4" w:space="0"/>
            </w:tcBorders>
            <w:noWrap w:val="0"/>
            <w:vAlign w:val="center"/>
          </w:tcPr>
          <w:p w14:paraId="07AA7801">
            <w:pPr>
              <w:pStyle w:val="111"/>
              <w:ind w:right="1"/>
              <w:jc w:val="center"/>
              <w:rPr>
                <w:rFonts w:ascii="宋体" w:hAnsi="宋体" w:cs="宋体"/>
                <w:kern w:val="2"/>
                <w:sz w:val="21"/>
                <w:szCs w:val="21"/>
              </w:rPr>
            </w:pPr>
            <w:r>
              <w:rPr>
                <w:rFonts w:hint="eastAsia" w:ascii="宋体" w:hAnsi="宋体"/>
                <w:w w:val="99"/>
                <w:kern w:val="2"/>
                <w:sz w:val="21"/>
                <w:szCs w:val="21"/>
              </w:rPr>
              <w:t>7</w:t>
            </w:r>
          </w:p>
        </w:tc>
        <w:tc>
          <w:tcPr>
            <w:tcW w:w="834" w:type="pct"/>
            <w:tcBorders>
              <w:top w:val="single" w:color="000000" w:sz="4" w:space="0"/>
              <w:left w:val="single" w:color="000000" w:sz="4" w:space="0"/>
              <w:bottom w:val="single" w:color="000000" w:sz="4" w:space="0"/>
              <w:right w:val="single" w:color="000000" w:sz="4" w:space="0"/>
            </w:tcBorders>
            <w:noWrap w:val="0"/>
            <w:vAlign w:val="center"/>
          </w:tcPr>
          <w:p w14:paraId="3DFD520D">
            <w:pPr>
              <w:pStyle w:val="111"/>
              <w:jc w:val="center"/>
              <w:rPr>
                <w:rFonts w:ascii="宋体" w:hAnsi="宋体" w:cs="宋体"/>
                <w:kern w:val="2"/>
                <w:sz w:val="21"/>
                <w:szCs w:val="21"/>
              </w:rPr>
            </w:pPr>
            <w:r>
              <w:rPr>
                <w:rFonts w:hint="eastAsia" w:ascii="宋体" w:hAnsi="宋体" w:cs="仿宋_GB2312"/>
                <w:kern w:val="2"/>
                <w:sz w:val="21"/>
                <w:szCs w:val="21"/>
              </w:rPr>
              <w:t>A02060100</w:t>
            </w:r>
            <w:r>
              <w:rPr>
                <w:rFonts w:hint="eastAsia" w:ascii="宋体" w:hAnsi="宋体" w:cs="宋体"/>
                <w:w w:val="99"/>
                <w:kern w:val="2"/>
                <w:sz w:val="21"/>
                <w:szCs w:val="21"/>
              </w:rPr>
              <w:t>电机</w:t>
            </w:r>
          </w:p>
        </w:tc>
        <w:tc>
          <w:tcPr>
            <w:tcW w:w="878" w:type="pct"/>
            <w:tcBorders>
              <w:top w:val="single" w:color="000000" w:sz="4" w:space="0"/>
              <w:left w:val="single" w:color="000000" w:sz="4" w:space="0"/>
              <w:bottom w:val="single" w:color="000000" w:sz="4" w:space="0"/>
              <w:right w:val="single" w:color="000000" w:sz="4" w:space="0"/>
            </w:tcBorders>
            <w:noWrap w:val="0"/>
            <w:vAlign w:val="center"/>
          </w:tcPr>
          <w:p w14:paraId="5792B91D">
            <w:pPr>
              <w:jc w:val="center"/>
              <w:rPr>
                <w:rFonts w:ascii="宋体" w:hAnsi="宋体"/>
                <w:szCs w:val="21"/>
              </w:rPr>
            </w:pP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773C69E9">
            <w:pPr>
              <w:jc w:val="center"/>
              <w:rPr>
                <w:rFonts w:ascii="宋体" w:hAnsi="宋体"/>
                <w:szCs w:val="21"/>
              </w:rPr>
            </w:pPr>
          </w:p>
        </w:tc>
        <w:tc>
          <w:tcPr>
            <w:tcW w:w="2092" w:type="pct"/>
            <w:tcBorders>
              <w:top w:val="single" w:color="000000" w:sz="4" w:space="0"/>
              <w:left w:val="single" w:color="000000" w:sz="4" w:space="0"/>
              <w:bottom w:val="single" w:color="000000" w:sz="4" w:space="0"/>
              <w:right w:val="single" w:color="000000" w:sz="4" w:space="0"/>
            </w:tcBorders>
            <w:noWrap w:val="0"/>
            <w:vAlign w:val="top"/>
          </w:tcPr>
          <w:p w14:paraId="0B4F88D2">
            <w:pPr>
              <w:pStyle w:val="111"/>
              <w:spacing w:before="52" w:line="276" w:lineRule="auto"/>
              <w:ind w:left="7" w:right="4"/>
              <w:rPr>
                <w:rFonts w:ascii="宋体" w:hAnsi="宋体" w:cs="宋体"/>
                <w:kern w:val="2"/>
                <w:sz w:val="21"/>
                <w:szCs w:val="21"/>
                <w:lang w:eastAsia="zh-CN"/>
              </w:rPr>
            </w:pPr>
            <w:r>
              <w:rPr>
                <w:rFonts w:hint="eastAsia" w:ascii="宋体" w:hAnsi="宋体" w:cs="宋体"/>
                <w:w w:val="99"/>
                <w:kern w:val="2"/>
                <w:sz w:val="21"/>
                <w:szCs w:val="21"/>
                <w:lang w:eastAsia="zh-CN"/>
              </w:rPr>
              <w:t>《中小型三相异步电动机能效限定值及能效等级》（GB18613）</w:t>
            </w:r>
          </w:p>
        </w:tc>
      </w:tr>
      <w:tr w14:paraId="6B3E6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tcBorders>
              <w:top w:val="single" w:color="000000" w:sz="4" w:space="0"/>
              <w:left w:val="single" w:color="000000" w:sz="4" w:space="0"/>
              <w:bottom w:val="single" w:color="000000" w:sz="4" w:space="0"/>
              <w:right w:val="single" w:color="000000" w:sz="4" w:space="0"/>
            </w:tcBorders>
            <w:noWrap w:val="0"/>
            <w:vAlign w:val="center"/>
          </w:tcPr>
          <w:p w14:paraId="2B0B4201">
            <w:pPr>
              <w:pStyle w:val="111"/>
              <w:ind w:right="1"/>
              <w:jc w:val="center"/>
              <w:rPr>
                <w:rFonts w:ascii="宋体" w:hAnsi="宋体" w:cs="宋体"/>
                <w:kern w:val="2"/>
                <w:sz w:val="21"/>
                <w:szCs w:val="21"/>
              </w:rPr>
            </w:pPr>
            <w:r>
              <w:rPr>
                <w:rFonts w:hint="eastAsia" w:ascii="宋体" w:hAnsi="宋体"/>
                <w:w w:val="99"/>
                <w:kern w:val="2"/>
                <w:sz w:val="21"/>
                <w:szCs w:val="21"/>
              </w:rPr>
              <w:t>8</w:t>
            </w:r>
          </w:p>
        </w:tc>
        <w:tc>
          <w:tcPr>
            <w:tcW w:w="834" w:type="pct"/>
            <w:tcBorders>
              <w:top w:val="single" w:color="000000" w:sz="4" w:space="0"/>
              <w:left w:val="single" w:color="000000" w:sz="4" w:space="0"/>
              <w:bottom w:val="single" w:color="000000" w:sz="4" w:space="0"/>
              <w:right w:val="single" w:color="000000" w:sz="4" w:space="0"/>
            </w:tcBorders>
            <w:noWrap w:val="0"/>
            <w:vAlign w:val="center"/>
          </w:tcPr>
          <w:p w14:paraId="19161D14">
            <w:pPr>
              <w:pStyle w:val="111"/>
              <w:spacing w:before="30"/>
              <w:ind w:left="7"/>
              <w:jc w:val="center"/>
              <w:rPr>
                <w:rFonts w:ascii="宋体" w:hAnsi="宋体" w:cs="宋体"/>
                <w:kern w:val="2"/>
                <w:sz w:val="21"/>
                <w:szCs w:val="21"/>
              </w:rPr>
            </w:pPr>
            <w:r>
              <w:rPr>
                <w:rFonts w:hint="eastAsia" w:ascii="宋体" w:hAnsi="宋体" w:cs="仿宋_GB2312"/>
                <w:kern w:val="2"/>
                <w:sz w:val="21"/>
                <w:szCs w:val="21"/>
              </w:rPr>
              <w:t>A02060200</w:t>
            </w:r>
            <w:r>
              <w:rPr>
                <w:rFonts w:hint="eastAsia" w:ascii="宋体" w:hAnsi="宋体" w:cs="宋体"/>
                <w:w w:val="99"/>
                <w:kern w:val="2"/>
                <w:sz w:val="21"/>
                <w:szCs w:val="21"/>
              </w:rPr>
              <w:t>变压</w:t>
            </w:r>
          </w:p>
        </w:tc>
        <w:tc>
          <w:tcPr>
            <w:tcW w:w="878" w:type="pct"/>
            <w:tcBorders>
              <w:top w:val="single" w:color="000000" w:sz="4" w:space="0"/>
              <w:left w:val="single" w:color="000000" w:sz="4" w:space="0"/>
              <w:bottom w:val="single" w:color="000000" w:sz="4" w:space="0"/>
              <w:right w:val="single" w:color="000000" w:sz="4" w:space="0"/>
            </w:tcBorders>
            <w:noWrap w:val="0"/>
            <w:vAlign w:val="center"/>
          </w:tcPr>
          <w:p w14:paraId="1BC2B007">
            <w:pPr>
              <w:pStyle w:val="111"/>
              <w:jc w:val="center"/>
              <w:rPr>
                <w:rFonts w:ascii="宋体" w:hAnsi="宋体" w:cs="宋体"/>
                <w:kern w:val="2"/>
                <w:sz w:val="21"/>
                <w:szCs w:val="21"/>
              </w:rPr>
            </w:pPr>
            <w:r>
              <w:rPr>
                <w:rFonts w:hint="eastAsia" w:ascii="宋体" w:hAnsi="宋体" w:cs="宋体"/>
                <w:w w:val="99"/>
                <w:kern w:val="2"/>
                <w:sz w:val="21"/>
                <w:szCs w:val="21"/>
              </w:rPr>
              <w:t>配电变压器</w:t>
            </w: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27A8D1AF">
            <w:pPr>
              <w:jc w:val="center"/>
              <w:rPr>
                <w:rFonts w:ascii="宋体" w:hAnsi="宋体"/>
                <w:szCs w:val="21"/>
              </w:rPr>
            </w:pPr>
          </w:p>
        </w:tc>
        <w:tc>
          <w:tcPr>
            <w:tcW w:w="2092" w:type="pct"/>
            <w:tcBorders>
              <w:top w:val="single" w:color="000000" w:sz="4" w:space="0"/>
              <w:left w:val="single" w:color="000000" w:sz="4" w:space="0"/>
              <w:bottom w:val="single" w:color="000000" w:sz="4" w:space="0"/>
              <w:right w:val="single" w:color="000000" w:sz="4" w:space="0"/>
            </w:tcBorders>
            <w:noWrap w:val="0"/>
            <w:vAlign w:val="top"/>
          </w:tcPr>
          <w:p w14:paraId="70F0BB97">
            <w:pPr>
              <w:pStyle w:val="111"/>
              <w:spacing w:before="30"/>
              <w:ind w:left="7"/>
              <w:rPr>
                <w:rFonts w:ascii="宋体" w:hAnsi="宋体" w:cs="宋体"/>
                <w:kern w:val="2"/>
                <w:sz w:val="21"/>
                <w:szCs w:val="21"/>
                <w:lang w:eastAsia="zh-CN"/>
              </w:rPr>
            </w:pPr>
            <w:r>
              <w:rPr>
                <w:rFonts w:hint="eastAsia" w:ascii="宋体" w:hAnsi="宋体"/>
                <w:kern w:val="2"/>
                <w:sz w:val="21"/>
                <w:szCs w:val="21"/>
                <w:lang w:eastAsia="zh-CN"/>
              </w:rPr>
              <w:t>《三相配电变压器能效限定值及能效等级》（GB 20052）</w:t>
            </w:r>
          </w:p>
        </w:tc>
      </w:tr>
      <w:tr w14:paraId="03636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tcBorders>
              <w:top w:val="single" w:color="000000" w:sz="4" w:space="0"/>
              <w:left w:val="single" w:color="000000" w:sz="4" w:space="0"/>
              <w:bottom w:val="single" w:color="000000" w:sz="4" w:space="0"/>
              <w:right w:val="single" w:color="000000" w:sz="4" w:space="0"/>
            </w:tcBorders>
            <w:noWrap w:val="0"/>
            <w:vAlign w:val="center"/>
          </w:tcPr>
          <w:p w14:paraId="1B44A80D">
            <w:pPr>
              <w:pStyle w:val="111"/>
              <w:ind w:right="1"/>
              <w:jc w:val="center"/>
              <w:rPr>
                <w:rFonts w:ascii="宋体" w:hAnsi="宋体" w:cs="宋体"/>
                <w:kern w:val="2"/>
                <w:sz w:val="21"/>
                <w:szCs w:val="21"/>
              </w:rPr>
            </w:pPr>
            <w:r>
              <w:rPr>
                <w:rFonts w:hint="eastAsia" w:ascii="宋体" w:hAnsi="宋体"/>
                <w:w w:val="99"/>
                <w:kern w:val="2"/>
                <w:sz w:val="21"/>
                <w:szCs w:val="21"/>
              </w:rPr>
              <w:t>9</w:t>
            </w:r>
          </w:p>
        </w:tc>
        <w:tc>
          <w:tcPr>
            <w:tcW w:w="834" w:type="pct"/>
            <w:tcBorders>
              <w:top w:val="single" w:color="000000" w:sz="4" w:space="0"/>
              <w:left w:val="single" w:color="000000" w:sz="4" w:space="0"/>
              <w:bottom w:val="single" w:color="000000" w:sz="4" w:space="0"/>
              <w:right w:val="single" w:color="000000" w:sz="4" w:space="0"/>
            </w:tcBorders>
            <w:noWrap w:val="0"/>
            <w:vAlign w:val="center"/>
          </w:tcPr>
          <w:p w14:paraId="77D4C257">
            <w:pPr>
              <w:pStyle w:val="111"/>
              <w:spacing w:before="126"/>
              <w:ind w:left="7"/>
              <w:jc w:val="center"/>
              <w:rPr>
                <w:rFonts w:ascii="宋体" w:hAnsi="宋体" w:cs="宋体"/>
                <w:kern w:val="2"/>
                <w:sz w:val="21"/>
                <w:szCs w:val="21"/>
              </w:rPr>
            </w:pPr>
            <w:r>
              <w:rPr>
                <w:rFonts w:hint="eastAsia" w:ascii="宋体" w:hAnsi="宋体" w:cs="宋体"/>
                <w:w w:val="99"/>
                <w:kern w:val="2"/>
                <w:sz w:val="21"/>
                <w:szCs w:val="21"/>
              </w:rPr>
              <w:t>★A02060900镇流器</w:t>
            </w:r>
          </w:p>
        </w:tc>
        <w:tc>
          <w:tcPr>
            <w:tcW w:w="878" w:type="pct"/>
            <w:tcBorders>
              <w:top w:val="single" w:color="000000" w:sz="4" w:space="0"/>
              <w:left w:val="single" w:color="000000" w:sz="4" w:space="0"/>
              <w:bottom w:val="single" w:color="000000" w:sz="4" w:space="0"/>
              <w:right w:val="single" w:color="000000" w:sz="4" w:space="0"/>
            </w:tcBorders>
            <w:noWrap w:val="0"/>
            <w:vAlign w:val="center"/>
          </w:tcPr>
          <w:p w14:paraId="490A9874">
            <w:pPr>
              <w:pStyle w:val="111"/>
              <w:jc w:val="center"/>
              <w:rPr>
                <w:rFonts w:ascii="宋体" w:hAnsi="宋体" w:cs="宋体"/>
                <w:kern w:val="2"/>
                <w:sz w:val="21"/>
                <w:szCs w:val="21"/>
              </w:rPr>
            </w:pPr>
            <w:r>
              <w:rPr>
                <w:rFonts w:hint="eastAsia" w:ascii="宋体" w:hAnsi="宋体" w:cs="宋体"/>
                <w:w w:val="99"/>
                <w:kern w:val="2"/>
                <w:sz w:val="21"/>
                <w:szCs w:val="21"/>
              </w:rPr>
              <w:t>管型荧光灯镇流器</w:t>
            </w: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2E95002E">
            <w:pPr>
              <w:jc w:val="center"/>
              <w:rPr>
                <w:rFonts w:ascii="宋体" w:hAnsi="宋体"/>
                <w:szCs w:val="21"/>
              </w:rPr>
            </w:pPr>
          </w:p>
        </w:tc>
        <w:tc>
          <w:tcPr>
            <w:tcW w:w="2092" w:type="pct"/>
            <w:tcBorders>
              <w:top w:val="single" w:color="000000" w:sz="4" w:space="0"/>
              <w:left w:val="single" w:color="000000" w:sz="4" w:space="0"/>
              <w:bottom w:val="single" w:color="000000" w:sz="4" w:space="0"/>
              <w:right w:val="single" w:color="000000" w:sz="4" w:space="0"/>
            </w:tcBorders>
            <w:noWrap w:val="0"/>
            <w:vAlign w:val="top"/>
          </w:tcPr>
          <w:p w14:paraId="00D20020">
            <w:pPr>
              <w:pStyle w:val="111"/>
              <w:spacing w:before="126"/>
              <w:ind w:left="7"/>
              <w:rPr>
                <w:rFonts w:ascii="宋体" w:hAnsi="宋体" w:cs="宋体"/>
                <w:kern w:val="2"/>
                <w:sz w:val="21"/>
                <w:szCs w:val="21"/>
                <w:lang w:eastAsia="zh-CN"/>
              </w:rPr>
            </w:pPr>
            <w:r>
              <w:rPr>
                <w:rFonts w:hint="eastAsia" w:ascii="宋体" w:hAnsi="宋体" w:cs="宋体"/>
                <w:w w:val="99"/>
                <w:kern w:val="2"/>
                <w:sz w:val="21"/>
                <w:szCs w:val="21"/>
                <w:lang w:eastAsia="zh-CN"/>
              </w:rPr>
              <w:t>《管形荧光灯镇流器能效限定值及能效等级》（GB17896）</w:t>
            </w:r>
          </w:p>
        </w:tc>
      </w:tr>
      <w:tr w14:paraId="6C21C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restart"/>
            <w:tcBorders>
              <w:top w:val="single" w:color="000000" w:sz="4" w:space="0"/>
              <w:left w:val="single" w:color="000000" w:sz="4" w:space="0"/>
              <w:bottom w:val="single" w:color="000000" w:sz="4" w:space="0"/>
              <w:right w:val="single" w:color="000000" w:sz="4" w:space="0"/>
            </w:tcBorders>
            <w:noWrap w:val="0"/>
            <w:vAlign w:val="center"/>
          </w:tcPr>
          <w:p w14:paraId="53DA2417">
            <w:pPr>
              <w:pStyle w:val="111"/>
              <w:jc w:val="center"/>
              <w:rPr>
                <w:rFonts w:ascii="宋体" w:hAnsi="宋体" w:cs="宋体"/>
                <w:kern w:val="2"/>
                <w:sz w:val="21"/>
                <w:szCs w:val="21"/>
              </w:rPr>
            </w:pPr>
            <w:r>
              <w:rPr>
                <w:rFonts w:hint="eastAsia" w:ascii="宋体" w:hAnsi="宋体"/>
                <w:w w:val="99"/>
                <w:kern w:val="2"/>
                <w:sz w:val="21"/>
                <w:szCs w:val="21"/>
              </w:rPr>
              <w:t>10</w:t>
            </w:r>
          </w:p>
        </w:tc>
        <w:tc>
          <w:tcPr>
            <w:tcW w:w="834" w:type="pct"/>
            <w:vMerge w:val="restart"/>
            <w:tcBorders>
              <w:top w:val="single" w:color="000000" w:sz="4" w:space="0"/>
              <w:left w:val="single" w:color="000000" w:sz="4" w:space="0"/>
              <w:bottom w:val="single" w:color="000000" w:sz="4" w:space="0"/>
              <w:right w:val="single" w:color="000000" w:sz="4" w:space="0"/>
            </w:tcBorders>
            <w:noWrap w:val="0"/>
            <w:vAlign w:val="center"/>
          </w:tcPr>
          <w:p w14:paraId="3B6075B7">
            <w:pPr>
              <w:pStyle w:val="111"/>
              <w:jc w:val="center"/>
              <w:rPr>
                <w:rFonts w:ascii="宋体" w:hAnsi="宋体" w:cs="宋体"/>
                <w:kern w:val="2"/>
                <w:sz w:val="21"/>
                <w:szCs w:val="21"/>
              </w:rPr>
            </w:pPr>
            <w:r>
              <w:rPr>
                <w:rFonts w:hint="eastAsia" w:ascii="宋体" w:hAnsi="宋体" w:cs="宋体"/>
                <w:w w:val="99"/>
                <w:kern w:val="2"/>
                <w:sz w:val="21"/>
                <w:szCs w:val="21"/>
              </w:rPr>
              <w:t>A02061800生活用电器</w:t>
            </w:r>
          </w:p>
        </w:tc>
        <w:tc>
          <w:tcPr>
            <w:tcW w:w="878" w:type="pct"/>
            <w:tcBorders>
              <w:top w:val="single" w:color="000000" w:sz="4" w:space="0"/>
              <w:left w:val="single" w:color="000000" w:sz="4" w:space="0"/>
              <w:bottom w:val="single" w:color="000000" w:sz="4" w:space="0"/>
              <w:right w:val="single" w:color="000000" w:sz="4" w:space="0"/>
            </w:tcBorders>
            <w:noWrap w:val="0"/>
            <w:vAlign w:val="center"/>
          </w:tcPr>
          <w:p w14:paraId="17ABAD0E">
            <w:pPr>
              <w:pStyle w:val="111"/>
              <w:jc w:val="center"/>
              <w:rPr>
                <w:rFonts w:ascii="宋体" w:hAnsi="宋体" w:cs="宋体"/>
                <w:kern w:val="2"/>
                <w:sz w:val="21"/>
                <w:szCs w:val="21"/>
              </w:rPr>
            </w:pPr>
            <w:r>
              <w:rPr>
                <w:rFonts w:hint="eastAsia" w:ascii="宋体" w:hAnsi="宋体" w:cs="宋体"/>
                <w:w w:val="99"/>
                <w:kern w:val="2"/>
                <w:sz w:val="21"/>
                <w:szCs w:val="21"/>
              </w:rPr>
              <w:t>A02061801电冰箱</w:t>
            </w: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463FB935">
            <w:pPr>
              <w:jc w:val="center"/>
              <w:rPr>
                <w:rFonts w:ascii="宋体" w:hAnsi="宋体"/>
                <w:szCs w:val="21"/>
              </w:rPr>
            </w:pPr>
          </w:p>
        </w:tc>
        <w:tc>
          <w:tcPr>
            <w:tcW w:w="2092" w:type="pct"/>
            <w:tcBorders>
              <w:top w:val="single" w:color="000000" w:sz="4" w:space="0"/>
              <w:left w:val="single" w:color="000000" w:sz="4" w:space="0"/>
              <w:bottom w:val="single" w:color="000000" w:sz="4" w:space="0"/>
              <w:right w:val="single" w:color="000000" w:sz="4" w:space="0"/>
            </w:tcBorders>
            <w:noWrap w:val="0"/>
            <w:vAlign w:val="top"/>
          </w:tcPr>
          <w:p w14:paraId="23F1F99D">
            <w:pPr>
              <w:pStyle w:val="111"/>
              <w:spacing w:before="126"/>
              <w:ind w:left="7"/>
              <w:rPr>
                <w:rFonts w:ascii="宋体" w:hAnsi="宋体" w:cs="宋体"/>
                <w:w w:val="99"/>
                <w:kern w:val="2"/>
                <w:sz w:val="21"/>
                <w:szCs w:val="21"/>
                <w:lang w:eastAsia="zh-CN"/>
              </w:rPr>
            </w:pPr>
            <w:r>
              <w:rPr>
                <w:rFonts w:hint="eastAsia" w:ascii="宋体" w:hAnsi="宋体" w:cs="宋体"/>
                <w:w w:val="99"/>
                <w:kern w:val="2"/>
                <w:sz w:val="21"/>
                <w:szCs w:val="21"/>
                <w:lang w:eastAsia="zh-CN"/>
              </w:rPr>
              <w:t>《家用电冰箱耗电量限定值及能效等级》（GB12021.2）</w:t>
            </w:r>
          </w:p>
        </w:tc>
      </w:tr>
      <w:tr w14:paraId="5DBDB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continue"/>
            <w:tcBorders>
              <w:top w:val="single" w:color="000000" w:sz="4" w:space="0"/>
              <w:left w:val="single" w:color="000000" w:sz="4" w:space="0"/>
              <w:bottom w:val="single" w:color="000000" w:sz="4" w:space="0"/>
              <w:right w:val="single" w:color="000000" w:sz="4" w:space="0"/>
            </w:tcBorders>
            <w:noWrap w:val="0"/>
            <w:vAlign w:val="center"/>
          </w:tcPr>
          <w:p w14:paraId="55BC9F33">
            <w:pPr>
              <w:widowControl/>
              <w:jc w:val="left"/>
              <w:rPr>
                <w:rFonts w:ascii="宋体" w:hAnsi="宋体" w:cs="宋体"/>
                <w:szCs w:val="21"/>
              </w:rPr>
            </w:pPr>
          </w:p>
        </w:tc>
        <w:tc>
          <w:tcPr>
            <w:tcW w:w="834" w:type="pct"/>
            <w:vMerge w:val="continue"/>
            <w:tcBorders>
              <w:top w:val="single" w:color="000000" w:sz="4" w:space="0"/>
              <w:left w:val="single" w:color="000000" w:sz="4" w:space="0"/>
              <w:bottom w:val="single" w:color="000000" w:sz="4" w:space="0"/>
              <w:right w:val="single" w:color="000000" w:sz="4" w:space="0"/>
            </w:tcBorders>
            <w:noWrap w:val="0"/>
            <w:vAlign w:val="center"/>
          </w:tcPr>
          <w:p w14:paraId="338E9CC7">
            <w:pPr>
              <w:widowControl/>
              <w:jc w:val="left"/>
              <w:rPr>
                <w:rFonts w:ascii="宋体" w:hAnsi="宋体" w:cs="宋体"/>
                <w:szCs w:val="21"/>
              </w:rPr>
            </w:pPr>
          </w:p>
        </w:tc>
        <w:tc>
          <w:tcPr>
            <w:tcW w:w="878" w:type="pct"/>
            <w:vMerge w:val="restart"/>
            <w:tcBorders>
              <w:top w:val="single" w:color="000000" w:sz="4" w:space="0"/>
              <w:left w:val="single" w:color="000000" w:sz="4" w:space="0"/>
              <w:bottom w:val="single" w:color="000000" w:sz="4" w:space="0"/>
              <w:right w:val="single" w:color="000000" w:sz="4" w:space="0"/>
            </w:tcBorders>
            <w:noWrap w:val="0"/>
            <w:vAlign w:val="center"/>
          </w:tcPr>
          <w:p w14:paraId="71158C46">
            <w:pPr>
              <w:pStyle w:val="111"/>
              <w:spacing w:before="171"/>
              <w:jc w:val="center"/>
              <w:rPr>
                <w:rFonts w:ascii="宋体" w:hAnsi="宋体" w:cs="宋体"/>
                <w:kern w:val="2"/>
                <w:sz w:val="21"/>
                <w:szCs w:val="21"/>
              </w:rPr>
            </w:pPr>
            <w:r>
              <w:rPr>
                <w:rFonts w:hint="eastAsia" w:ascii="宋体" w:hAnsi="宋体" w:cs="宋体"/>
                <w:w w:val="99"/>
                <w:kern w:val="2"/>
                <w:sz w:val="21"/>
                <w:szCs w:val="21"/>
              </w:rPr>
              <w:t>★</w:t>
            </w:r>
            <w:r>
              <w:rPr>
                <w:rFonts w:hint="eastAsia" w:ascii="宋体" w:hAnsi="宋体" w:cs="仿宋_GB2312"/>
                <w:kern w:val="2"/>
                <w:sz w:val="21"/>
                <w:szCs w:val="21"/>
              </w:rPr>
              <w:t>A02061804</w:t>
            </w:r>
            <w:r>
              <w:rPr>
                <w:rFonts w:hint="eastAsia" w:ascii="宋体" w:hAnsi="宋体" w:cs="宋体"/>
                <w:w w:val="99"/>
                <w:kern w:val="2"/>
                <w:sz w:val="21"/>
                <w:szCs w:val="21"/>
              </w:rPr>
              <w:t>空调机</w:t>
            </w: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116E95DF">
            <w:pPr>
              <w:pStyle w:val="111"/>
              <w:jc w:val="center"/>
              <w:rPr>
                <w:rFonts w:ascii="宋体" w:hAnsi="宋体" w:cs="宋体"/>
                <w:kern w:val="2"/>
                <w:sz w:val="21"/>
                <w:szCs w:val="21"/>
              </w:rPr>
            </w:pPr>
            <w:r>
              <w:rPr>
                <w:rFonts w:hint="eastAsia" w:ascii="宋体" w:hAnsi="宋体" w:cs="宋体"/>
                <w:w w:val="99"/>
                <w:kern w:val="2"/>
                <w:sz w:val="21"/>
                <w:szCs w:val="21"/>
              </w:rPr>
              <w:t>房间空气调节器</w:t>
            </w:r>
          </w:p>
        </w:tc>
        <w:tc>
          <w:tcPr>
            <w:tcW w:w="2092" w:type="pct"/>
            <w:tcBorders>
              <w:top w:val="single" w:color="000000" w:sz="4" w:space="0"/>
              <w:left w:val="single" w:color="000000" w:sz="4" w:space="0"/>
              <w:bottom w:val="single" w:color="000000" w:sz="4" w:space="0"/>
              <w:right w:val="single" w:color="000000" w:sz="4" w:space="0"/>
            </w:tcBorders>
            <w:noWrap w:val="0"/>
            <w:vAlign w:val="top"/>
          </w:tcPr>
          <w:p w14:paraId="4B2A4204">
            <w:pPr>
              <w:pStyle w:val="111"/>
              <w:spacing w:line="256" w:lineRule="exact"/>
              <w:ind w:left="7"/>
              <w:rPr>
                <w:rFonts w:ascii="宋体" w:hAnsi="宋体" w:cs="宋体"/>
                <w:kern w:val="2"/>
                <w:sz w:val="21"/>
                <w:szCs w:val="21"/>
                <w:lang w:eastAsia="zh-CN"/>
              </w:rPr>
            </w:pPr>
            <w:r>
              <w:rPr>
                <w:rFonts w:hint="eastAsia" w:ascii="宋体" w:hAnsi="宋体" w:cs="宋体"/>
                <w:w w:val="99"/>
                <w:kern w:val="2"/>
                <w:sz w:val="21"/>
                <w:szCs w:val="21"/>
                <w:lang w:eastAsia="zh-CN"/>
              </w:rPr>
              <w:t>《房间空气调节器能效限定值及能效等级》（GB21455-2019）</w:t>
            </w:r>
          </w:p>
        </w:tc>
      </w:tr>
      <w:tr w14:paraId="5E093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continue"/>
            <w:tcBorders>
              <w:top w:val="single" w:color="000000" w:sz="4" w:space="0"/>
              <w:left w:val="single" w:color="000000" w:sz="4" w:space="0"/>
              <w:bottom w:val="single" w:color="000000" w:sz="4" w:space="0"/>
              <w:right w:val="single" w:color="000000" w:sz="4" w:space="0"/>
            </w:tcBorders>
            <w:noWrap w:val="0"/>
            <w:vAlign w:val="center"/>
          </w:tcPr>
          <w:p w14:paraId="65415278">
            <w:pPr>
              <w:widowControl/>
              <w:jc w:val="left"/>
              <w:rPr>
                <w:rFonts w:ascii="宋体" w:hAnsi="宋体" w:cs="宋体"/>
                <w:szCs w:val="21"/>
              </w:rPr>
            </w:pPr>
          </w:p>
        </w:tc>
        <w:tc>
          <w:tcPr>
            <w:tcW w:w="834" w:type="pct"/>
            <w:vMerge w:val="continue"/>
            <w:tcBorders>
              <w:top w:val="single" w:color="000000" w:sz="4" w:space="0"/>
              <w:left w:val="single" w:color="000000" w:sz="4" w:space="0"/>
              <w:bottom w:val="single" w:color="000000" w:sz="4" w:space="0"/>
              <w:right w:val="single" w:color="000000" w:sz="4" w:space="0"/>
            </w:tcBorders>
            <w:noWrap w:val="0"/>
            <w:vAlign w:val="center"/>
          </w:tcPr>
          <w:p w14:paraId="2C75C57F">
            <w:pPr>
              <w:widowControl/>
              <w:jc w:val="left"/>
              <w:rPr>
                <w:rFonts w:ascii="宋体" w:hAnsi="宋体" w:cs="宋体"/>
                <w:szCs w:val="21"/>
              </w:rPr>
            </w:pPr>
          </w:p>
        </w:tc>
        <w:tc>
          <w:tcPr>
            <w:tcW w:w="878" w:type="pct"/>
            <w:vMerge w:val="continue"/>
            <w:tcBorders>
              <w:top w:val="single" w:color="000000" w:sz="4" w:space="0"/>
              <w:left w:val="single" w:color="000000" w:sz="4" w:space="0"/>
              <w:bottom w:val="single" w:color="000000" w:sz="4" w:space="0"/>
              <w:right w:val="single" w:color="000000" w:sz="4" w:space="0"/>
            </w:tcBorders>
            <w:noWrap w:val="0"/>
            <w:vAlign w:val="center"/>
          </w:tcPr>
          <w:p w14:paraId="4F79A68A">
            <w:pPr>
              <w:widowControl/>
              <w:jc w:val="left"/>
              <w:rPr>
                <w:rFonts w:ascii="宋体" w:hAnsi="宋体" w:cs="宋体"/>
                <w:szCs w:val="21"/>
              </w:rPr>
            </w:pP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0E04598A">
            <w:pPr>
              <w:pStyle w:val="111"/>
              <w:spacing w:before="4" w:line="276" w:lineRule="auto"/>
              <w:ind w:left="7" w:right="7"/>
              <w:jc w:val="center"/>
              <w:rPr>
                <w:rFonts w:ascii="宋体" w:hAnsi="宋体" w:cs="宋体"/>
                <w:kern w:val="2"/>
                <w:sz w:val="21"/>
                <w:szCs w:val="21"/>
                <w:lang w:eastAsia="zh-CN"/>
              </w:rPr>
            </w:pPr>
            <w:r>
              <w:rPr>
                <w:rFonts w:hint="eastAsia" w:ascii="宋体" w:hAnsi="宋体" w:cs="宋体"/>
                <w:w w:val="99"/>
                <w:kern w:val="2"/>
                <w:sz w:val="21"/>
                <w:szCs w:val="21"/>
                <w:lang w:eastAsia="zh-CN"/>
              </w:rPr>
              <w:t>多联式空调（热泵）机组（制冷量≤ 14000W）</w:t>
            </w:r>
          </w:p>
        </w:tc>
        <w:tc>
          <w:tcPr>
            <w:tcW w:w="2092" w:type="pct"/>
            <w:tcBorders>
              <w:top w:val="single" w:color="000000" w:sz="4" w:space="0"/>
              <w:left w:val="single" w:color="000000" w:sz="4" w:space="0"/>
              <w:bottom w:val="single" w:color="000000" w:sz="4" w:space="0"/>
              <w:right w:val="single" w:color="000000" w:sz="4" w:space="0"/>
            </w:tcBorders>
            <w:noWrap w:val="0"/>
            <w:vAlign w:val="top"/>
          </w:tcPr>
          <w:p w14:paraId="4BD58B0A">
            <w:pPr>
              <w:pStyle w:val="111"/>
              <w:spacing w:before="160" w:line="276" w:lineRule="auto"/>
              <w:ind w:left="7" w:right="7"/>
              <w:rPr>
                <w:rFonts w:ascii="宋体" w:hAnsi="宋体" w:cs="宋体"/>
                <w:kern w:val="2"/>
                <w:sz w:val="21"/>
                <w:szCs w:val="21"/>
                <w:lang w:eastAsia="zh-CN"/>
              </w:rPr>
            </w:pPr>
            <w:r>
              <w:rPr>
                <w:rFonts w:hint="eastAsia" w:ascii="宋体" w:hAnsi="宋体" w:cs="宋体"/>
                <w:w w:val="99"/>
                <w:kern w:val="2"/>
                <w:sz w:val="21"/>
                <w:szCs w:val="21"/>
                <w:lang w:eastAsia="zh-CN"/>
              </w:rPr>
              <w:t>《多联式空调（热泵）机组能效限定值及能源效率等级》（GB21454）</w:t>
            </w:r>
          </w:p>
        </w:tc>
      </w:tr>
      <w:tr w14:paraId="4BDEF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continue"/>
            <w:tcBorders>
              <w:top w:val="single" w:color="000000" w:sz="4" w:space="0"/>
              <w:left w:val="single" w:color="000000" w:sz="4" w:space="0"/>
              <w:bottom w:val="single" w:color="000000" w:sz="4" w:space="0"/>
              <w:right w:val="single" w:color="000000" w:sz="4" w:space="0"/>
            </w:tcBorders>
            <w:noWrap w:val="0"/>
            <w:vAlign w:val="center"/>
          </w:tcPr>
          <w:p w14:paraId="293939FB">
            <w:pPr>
              <w:widowControl/>
              <w:jc w:val="left"/>
              <w:rPr>
                <w:rFonts w:ascii="宋体" w:hAnsi="宋体" w:cs="宋体"/>
                <w:szCs w:val="21"/>
              </w:rPr>
            </w:pPr>
          </w:p>
        </w:tc>
        <w:tc>
          <w:tcPr>
            <w:tcW w:w="834" w:type="pct"/>
            <w:vMerge w:val="continue"/>
            <w:tcBorders>
              <w:top w:val="single" w:color="000000" w:sz="4" w:space="0"/>
              <w:left w:val="single" w:color="000000" w:sz="4" w:space="0"/>
              <w:bottom w:val="single" w:color="000000" w:sz="4" w:space="0"/>
              <w:right w:val="single" w:color="000000" w:sz="4" w:space="0"/>
            </w:tcBorders>
            <w:noWrap w:val="0"/>
            <w:vAlign w:val="center"/>
          </w:tcPr>
          <w:p w14:paraId="66352614">
            <w:pPr>
              <w:widowControl/>
              <w:jc w:val="left"/>
              <w:rPr>
                <w:rFonts w:ascii="宋体" w:hAnsi="宋体" w:cs="宋体"/>
                <w:szCs w:val="21"/>
              </w:rPr>
            </w:pPr>
          </w:p>
        </w:tc>
        <w:tc>
          <w:tcPr>
            <w:tcW w:w="878" w:type="pct"/>
            <w:vMerge w:val="continue"/>
            <w:tcBorders>
              <w:top w:val="single" w:color="000000" w:sz="4" w:space="0"/>
              <w:left w:val="single" w:color="000000" w:sz="4" w:space="0"/>
              <w:bottom w:val="single" w:color="000000" w:sz="4" w:space="0"/>
              <w:right w:val="single" w:color="000000" w:sz="4" w:space="0"/>
            </w:tcBorders>
            <w:noWrap w:val="0"/>
            <w:vAlign w:val="center"/>
          </w:tcPr>
          <w:p w14:paraId="7944074A">
            <w:pPr>
              <w:widowControl/>
              <w:jc w:val="left"/>
              <w:rPr>
                <w:rFonts w:ascii="宋体" w:hAnsi="宋体" w:cs="宋体"/>
                <w:szCs w:val="21"/>
              </w:rPr>
            </w:pP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1ABACEC1">
            <w:pPr>
              <w:pStyle w:val="111"/>
              <w:jc w:val="center"/>
              <w:rPr>
                <w:rFonts w:ascii="宋体" w:hAnsi="宋体" w:cs="宋体"/>
                <w:kern w:val="2"/>
                <w:sz w:val="21"/>
                <w:szCs w:val="21"/>
                <w:lang w:eastAsia="zh-CN"/>
              </w:rPr>
            </w:pPr>
            <w:r>
              <w:rPr>
                <w:rFonts w:hint="eastAsia" w:ascii="宋体" w:hAnsi="宋体" w:cs="宋体"/>
                <w:w w:val="99"/>
                <w:kern w:val="2"/>
                <w:sz w:val="21"/>
                <w:szCs w:val="21"/>
                <w:lang w:eastAsia="zh-CN"/>
              </w:rPr>
              <w:t>单元式空气调节机（制冷量≤ 14000W）</w:t>
            </w:r>
          </w:p>
        </w:tc>
        <w:tc>
          <w:tcPr>
            <w:tcW w:w="2092" w:type="pct"/>
            <w:tcBorders>
              <w:top w:val="single" w:color="000000" w:sz="4" w:space="0"/>
              <w:left w:val="single" w:color="000000" w:sz="4" w:space="0"/>
              <w:bottom w:val="single" w:color="000000" w:sz="4" w:space="0"/>
              <w:right w:val="single" w:color="000000" w:sz="4" w:space="0"/>
            </w:tcBorders>
            <w:noWrap w:val="0"/>
            <w:vAlign w:val="top"/>
          </w:tcPr>
          <w:p w14:paraId="5876D39C">
            <w:pPr>
              <w:pStyle w:val="111"/>
              <w:spacing w:before="4"/>
              <w:ind w:left="7"/>
              <w:rPr>
                <w:rFonts w:ascii="宋体" w:hAnsi="宋体" w:cs="宋体"/>
                <w:kern w:val="2"/>
                <w:sz w:val="21"/>
                <w:szCs w:val="21"/>
                <w:lang w:eastAsia="zh-CN"/>
              </w:rPr>
            </w:pPr>
            <w:r>
              <w:rPr>
                <w:rFonts w:hint="eastAsia" w:ascii="宋体" w:hAnsi="宋体" w:cs="宋体"/>
                <w:w w:val="99"/>
                <w:kern w:val="2"/>
                <w:sz w:val="21"/>
                <w:szCs w:val="21"/>
                <w:lang w:eastAsia="zh-CN"/>
              </w:rPr>
              <w:t>《单元式空气调节机能效限定值及能源效率等级》（GB19576）《风管送风式空调机组能效限定值及能效等级》（GB37479）</w:t>
            </w:r>
          </w:p>
        </w:tc>
      </w:tr>
      <w:tr w14:paraId="28BF3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continue"/>
            <w:tcBorders>
              <w:top w:val="single" w:color="000000" w:sz="4" w:space="0"/>
              <w:left w:val="single" w:color="000000" w:sz="4" w:space="0"/>
              <w:bottom w:val="single" w:color="000000" w:sz="4" w:space="0"/>
              <w:right w:val="single" w:color="000000" w:sz="4" w:space="0"/>
            </w:tcBorders>
            <w:noWrap w:val="0"/>
            <w:vAlign w:val="center"/>
          </w:tcPr>
          <w:p w14:paraId="408171F3">
            <w:pPr>
              <w:widowControl/>
              <w:jc w:val="left"/>
              <w:rPr>
                <w:rFonts w:ascii="宋体" w:hAnsi="宋体" w:cs="宋体"/>
                <w:szCs w:val="21"/>
              </w:rPr>
            </w:pPr>
          </w:p>
        </w:tc>
        <w:tc>
          <w:tcPr>
            <w:tcW w:w="834" w:type="pct"/>
            <w:vMerge w:val="continue"/>
            <w:tcBorders>
              <w:top w:val="single" w:color="000000" w:sz="4" w:space="0"/>
              <w:left w:val="single" w:color="000000" w:sz="4" w:space="0"/>
              <w:bottom w:val="single" w:color="000000" w:sz="4" w:space="0"/>
              <w:right w:val="single" w:color="000000" w:sz="4" w:space="0"/>
            </w:tcBorders>
            <w:noWrap w:val="0"/>
            <w:vAlign w:val="center"/>
          </w:tcPr>
          <w:p w14:paraId="4B185528">
            <w:pPr>
              <w:widowControl/>
              <w:jc w:val="left"/>
              <w:rPr>
                <w:rFonts w:ascii="宋体" w:hAnsi="宋体" w:cs="宋体"/>
                <w:szCs w:val="21"/>
              </w:rPr>
            </w:pPr>
          </w:p>
        </w:tc>
        <w:tc>
          <w:tcPr>
            <w:tcW w:w="878" w:type="pct"/>
            <w:tcBorders>
              <w:top w:val="single" w:color="000000" w:sz="4" w:space="0"/>
              <w:left w:val="single" w:color="000000" w:sz="4" w:space="0"/>
              <w:bottom w:val="single" w:color="000000" w:sz="4" w:space="0"/>
              <w:right w:val="single" w:color="000000" w:sz="4" w:space="0"/>
            </w:tcBorders>
            <w:noWrap w:val="0"/>
            <w:vAlign w:val="center"/>
          </w:tcPr>
          <w:p w14:paraId="302A8286">
            <w:pPr>
              <w:pStyle w:val="111"/>
              <w:spacing w:before="162"/>
              <w:ind w:left="7"/>
              <w:jc w:val="center"/>
              <w:rPr>
                <w:rFonts w:ascii="宋体" w:hAnsi="宋体" w:cs="宋体"/>
                <w:kern w:val="2"/>
                <w:sz w:val="21"/>
                <w:szCs w:val="21"/>
              </w:rPr>
            </w:pPr>
            <w:r>
              <w:rPr>
                <w:rFonts w:hint="eastAsia" w:ascii="宋体" w:hAnsi="宋体" w:cs="仿宋_GB2312"/>
                <w:kern w:val="2"/>
                <w:sz w:val="21"/>
                <w:szCs w:val="21"/>
              </w:rPr>
              <w:t>A02061810</w:t>
            </w:r>
            <w:r>
              <w:rPr>
                <w:rFonts w:hint="eastAsia" w:ascii="宋体" w:hAnsi="宋体" w:cs="宋体"/>
                <w:w w:val="99"/>
                <w:kern w:val="2"/>
                <w:sz w:val="21"/>
                <w:szCs w:val="21"/>
              </w:rPr>
              <w:t>洗衣机</w:t>
            </w: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4D929282">
            <w:pPr>
              <w:jc w:val="center"/>
              <w:rPr>
                <w:rFonts w:ascii="宋体" w:hAnsi="宋体"/>
                <w:szCs w:val="21"/>
              </w:rPr>
            </w:pPr>
          </w:p>
        </w:tc>
        <w:tc>
          <w:tcPr>
            <w:tcW w:w="2092" w:type="pct"/>
            <w:tcBorders>
              <w:top w:val="single" w:color="000000" w:sz="4" w:space="0"/>
              <w:left w:val="single" w:color="000000" w:sz="4" w:space="0"/>
              <w:bottom w:val="single" w:color="000000" w:sz="4" w:space="0"/>
              <w:right w:val="single" w:color="000000" w:sz="4" w:space="0"/>
            </w:tcBorders>
            <w:noWrap w:val="0"/>
            <w:vAlign w:val="top"/>
          </w:tcPr>
          <w:p w14:paraId="04C7F888">
            <w:pPr>
              <w:pStyle w:val="111"/>
              <w:spacing w:before="6" w:line="276" w:lineRule="auto"/>
              <w:ind w:left="7" w:right="4"/>
              <w:rPr>
                <w:rFonts w:ascii="宋体" w:hAnsi="宋体" w:cs="宋体"/>
                <w:kern w:val="2"/>
                <w:sz w:val="21"/>
                <w:szCs w:val="21"/>
                <w:lang w:eastAsia="zh-CN"/>
              </w:rPr>
            </w:pPr>
            <w:r>
              <w:rPr>
                <w:rFonts w:hint="eastAsia" w:ascii="宋体" w:hAnsi="宋体" w:cs="宋体"/>
                <w:w w:val="99"/>
                <w:kern w:val="2"/>
                <w:sz w:val="21"/>
                <w:szCs w:val="21"/>
                <w:lang w:eastAsia="zh-CN"/>
              </w:rPr>
              <w:t>《电动洗衣机能效水效限定值及等级》（GB12021.4）</w:t>
            </w:r>
          </w:p>
        </w:tc>
      </w:tr>
      <w:tr w14:paraId="2B03F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continue"/>
            <w:tcBorders>
              <w:top w:val="single" w:color="000000" w:sz="4" w:space="0"/>
              <w:left w:val="single" w:color="000000" w:sz="4" w:space="0"/>
              <w:bottom w:val="single" w:color="000000" w:sz="4" w:space="0"/>
              <w:right w:val="single" w:color="000000" w:sz="4" w:space="0"/>
            </w:tcBorders>
            <w:noWrap w:val="0"/>
            <w:vAlign w:val="center"/>
          </w:tcPr>
          <w:p w14:paraId="65E21B3F">
            <w:pPr>
              <w:widowControl/>
              <w:jc w:val="left"/>
              <w:rPr>
                <w:rFonts w:ascii="宋体" w:hAnsi="宋体" w:cs="宋体"/>
                <w:szCs w:val="21"/>
              </w:rPr>
            </w:pPr>
          </w:p>
        </w:tc>
        <w:tc>
          <w:tcPr>
            <w:tcW w:w="834" w:type="pct"/>
            <w:vMerge w:val="continue"/>
            <w:tcBorders>
              <w:top w:val="single" w:color="000000" w:sz="4" w:space="0"/>
              <w:left w:val="single" w:color="000000" w:sz="4" w:space="0"/>
              <w:bottom w:val="single" w:color="000000" w:sz="4" w:space="0"/>
              <w:right w:val="single" w:color="000000" w:sz="4" w:space="0"/>
            </w:tcBorders>
            <w:noWrap w:val="0"/>
            <w:vAlign w:val="center"/>
          </w:tcPr>
          <w:p w14:paraId="41610BBE">
            <w:pPr>
              <w:widowControl/>
              <w:jc w:val="left"/>
              <w:rPr>
                <w:rFonts w:ascii="宋体" w:hAnsi="宋体" w:cs="宋体"/>
                <w:szCs w:val="21"/>
              </w:rPr>
            </w:pPr>
          </w:p>
        </w:tc>
        <w:tc>
          <w:tcPr>
            <w:tcW w:w="878" w:type="pct"/>
            <w:vMerge w:val="restart"/>
            <w:tcBorders>
              <w:top w:val="single" w:color="000000" w:sz="4" w:space="0"/>
              <w:left w:val="single" w:color="000000" w:sz="4" w:space="0"/>
              <w:bottom w:val="single" w:color="000000" w:sz="4" w:space="0"/>
              <w:right w:val="single" w:color="000000" w:sz="4" w:space="0"/>
            </w:tcBorders>
            <w:noWrap w:val="0"/>
            <w:vAlign w:val="center"/>
          </w:tcPr>
          <w:p w14:paraId="1B20F31F">
            <w:pPr>
              <w:pStyle w:val="111"/>
              <w:spacing w:before="161"/>
              <w:jc w:val="center"/>
              <w:rPr>
                <w:rFonts w:ascii="宋体" w:hAnsi="宋体" w:cs="宋体"/>
                <w:kern w:val="2"/>
                <w:sz w:val="21"/>
                <w:szCs w:val="21"/>
              </w:rPr>
            </w:pPr>
            <w:r>
              <w:rPr>
                <w:rFonts w:hint="eastAsia" w:ascii="宋体" w:hAnsi="宋体" w:cs="仿宋_GB2312"/>
                <w:kern w:val="2"/>
                <w:sz w:val="21"/>
                <w:szCs w:val="21"/>
              </w:rPr>
              <w:t>A02061819</w:t>
            </w:r>
            <w:r>
              <w:rPr>
                <w:rFonts w:hint="eastAsia" w:ascii="宋体" w:hAnsi="宋体" w:cs="宋体"/>
                <w:w w:val="99"/>
                <w:kern w:val="2"/>
                <w:sz w:val="21"/>
                <w:szCs w:val="21"/>
              </w:rPr>
              <w:t>热水器</w:t>
            </w: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6638AFF7">
            <w:pPr>
              <w:pStyle w:val="111"/>
              <w:jc w:val="center"/>
              <w:rPr>
                <w:rFonts w:ascii="宋体" w:hAnsi="宋体" w:cs="宋体"/>
                <w:kern w:val="2"/>
                <w:sz w:val="21"/>
                <w:szCs w:val="21"/>
              </w:rPr>
            </w:pPr>
            <w:r>
              <w:rPr>
                <w:rFonts w:hint="eastAsia" w:ascii="宋体" w:hAnsi="宋体" w:cs="宋体"/>
                <w:w w:val="99"/>
                <w:kern w:val="2"/>
                <w:sz w:val="21"/>
                <w:szCs w:val="21"/>
              </w:rPr>
              <w:t>★电热</w:t>
            </w:r>
            <w:r>
              <w:rPr>
                <w:rFonts w:hint="eastAsia" w:ascii="宋体" w:hAnsi="宋体" w:cs="宋体"/>
                <w:spacing w:val="2"/>
                <w:w w:val="99"/>
                <w:kern w:val="2"/>
                <w:sz w:val="21"/>
                <w:szCs w:val="21"/>
              </w:rPr>
              <w:t>水</w:t>
            </w:r>
            <w:r>
              <w:rPr>
                <w:rFonts w:hint="eastAsia" w:ascii="宋体" w:hAnsi="宋体" w:cs="宋体"/>
                <w:w w:val="99"/>
                <w:kern w:val="2"/>
                <w:sz w:val="21"/>
                <w:szCs w:val="21"/>
              </w:rPr>
              <w:t>器</w:t>
            </w:r>
          </w:p>
        </w:tc>
        <w:tc>
          <w:tcPr>
            <w:tcW w:w="2092" w:type="pct"/>
            <w:tcBorders>
              <w:top w:val="single" w:color="000000" w:sz="4" w:space="0"/>
              <w:left w:val="single" w:color="000000" w:sz="4" w:space="0"/>
              <w:bottom w:val="single" w:color="000000" w:sz="4" w:space="0"/>
              <w:right w:val="single" w:color="000000" w:sz="4" w:space="0"/>
            </w:tcBorders>
            <w:noWrap w:val="0"/>
            <w:vAlign w:val="top"/>
          </w:tcPr>
          <w:p w14:paraId="30782FC2">
            <w:pPr>
              <w:pStyle w:val="111"/>
              <w:tabs>
                <w:tab w:val="left" w:pos="1608"/>
              </w:tabs>
              <w:spacing w:before="52" w:line="276" w:lineRule="auto"/>
              <w:ind w:left="7" w:right="4"/>
              <w:rPr>
                <w:rFonts w:ascii="宋体" w:hAnsi="宋体" w:cs="宋体"/>
                <w:kern w:val="2"/>
                <w:sz w:val="21"/>
                <w:szCs w:val="21"/>
                <w:lang w:eastAsia="zh-CN"/>
              </w:rPr>
            </w:pPr>
            <w:r>
              <w:rPr>
                <w:rFonts w:hint="eastAsia" w:ascii="宋体" w:hAnsi="宋体" w:cs="宋体"/>
                <w:spacing w:val="12"/>
                <w:w w:val="99"/>
                <w:kern w:val="2"/>
                <w:sz w:val="21"/>
                <w:szCs w:val="21"/>
                <w:lang w:eastAsia="zh-CN"/>
              </w:rPr>
              <w:t>《储水式电热水器能效</w:t>
            </w:r>
            <w:r>
              <w:rPr>
                <w:rFonts w:hint="eastAsia" w:ascii="宋体" w:hAnsi="宋体" w:cs="宋体"/>
                <w:spacing w:val="9"/>
                <w:w w:val="99"/>
                <w:kern w:val="2"/>
                <w:sz w:val="21"/>
                <w:szCs w:val="21"/>
                <w:lang w:eastAsia="zh-CN"/>
              </w:rPr>
              <w:t>限</w:t>
            </w:r>
            <w:r>
              <w:rPr>
                <w:rFonts w:hint="eastAsia" w:ascii="宋体" w:hAnsi="宋体" w:cs="宋体"/>
                <w:spacing w:val="12"/>
                <w:w w:val="99"/>
                <w:kern w:val="2"/>
                <w:sz w:val="21"/>
                <w:szCs w:val="21"/>
                <w:lang w:eastAsia="zh-CN"/>
              </w:rPr>
              <w:t>定值</w:t>
            </w:r>
            <w:r>
              <w:rPr>
                <w:rFonts w:hint="eastAsia" w:ascii="宋体" w:hAnsi="宋体" w:cs="宋体"/>
                <w:w w:val="99"/>
                <w:kern w:val="2"/>
                <w:sz w:val="21"/>
                <w:szCs w:val="21"/>
                <w:lang w:eastAsia="zh-CN"/>
              </w:rPr>
              <w:t>及能效等</w:t>
            </w:r>
            <w:r>
              <w:rPr>
                <w:rFonts w:hint="eastAsia" w:ascii="宋体" w:hAnsi="宋体" w:cs="宋体"/>
                <w:spacing w:val="2"/>
                <w:w w:val="99"/>
                <w:kern w:val="2"/>
                <w:sz w:val="21"/>
                <w:szCs w:val="21"/>
                <w:lang w:eastAsia="zh-CN"/>
              </w:rPr>
              <w:t>级</w:t>
            </w:r>
            <w:r>
              <w:rPr>
                <w:rFonts w:hint="eastAsia" w:ascii="宋体" w:hAnsi="宋体" w:cs="宋体"/>
                <w:w w:val="99"/>
                <w:kern w:val="2"/>
                <w:sz w:val="21"/>
                <w:szCs w:val="21"/>
                <w:lang w:eastAsia="zh-CN"/>
              </w:rPr>
              <w:t>》（</w:t>
            </w:r>
            <w:r>
              <w:rPr>
                <w:rFonts w:hint="eastAsia" w:ascii="宋体" w:hAnsi="宋体" w:cs="宋体"/>
                <w:spacing w:val="1"/>
                <w:w w:val="99"/>
                <w:kern w:val="2"/>
                <w:sz w:val="21"/>
                <w:szCs w:val="21"/>
                <w:lang w:eastAsia="zh-CN"/>
              </w:rPr>
              <w:t>G</w:t>
            </w:r>
            <w:r>
              <w:rPr>
                <w:rFonts w:hint="eastAsia" w:ascii="宋体" w:hAnsi="宋体" w:cs="宋体"/>
                <w:w w:val="99"/>
                <w:kern w:val="2"/>
                <w:sz w:val="21"/>
                <w:szCs w:val="21"/>
                <w:lang w:eastAsia="zh-CN"/>
              </w:rPr>
              <w:t>B</w:t>
            </w:r>
            <w:r>
              <w:rPr>
                <w:rFonts w:hint="eastAsia" w:ascii="宋体" w:hAnsi="宋体" w:cs="宋体"/>
                <w:spacing w:val="1"/>
                <w:w w:val="99"/>
                <w:kern w:val="2"/>
                <w:sz w:val="21"/>
                <w:szCs w:val="21"/>
                <w:lang w:eastAsia="zh-CN"/>
              </w:rPr>
              <w:t>21</w:t>
            </w:r>
            <w:r>
              <w:rPr>
                <w:rFonts w:hint="eastAsia" w:ascii="宋体" w:hAnsi="宋体" w:cs="宋体"/>
                <w:w w:val="99"/>
                <w:kern w:val="2"/>
                <w:sz w:val="21"/>
                <w:szCs w:val="21"/>
                <w:lang w:eastAsia="zh-CN"/>
              </w:rPr>
              <w:t>51</w:t>
            </w:r>
            <w:r>
              <w:rPr>
                <w:rFonts w:hint="eastAsia" w:ascii="宋体" w:hAnsi="宋体" w:cs="宋体"/>
                <w:spacing w:val="1"/>
                <w:w w:val="99"/>
                <w:kern w:val="2"/>
                <w:sz w:val="21"/>
                <w:szCs w:val="21"/>
                <w:lang w:eastAsia="zh-CN"/>
              </w:rPr>
              <w:t>9</w:t>
            </w:r>
            <w:r>
              <w:rPr>
                <w:rFonts w:hint="eastAsia" w:ascii="宋体" w:hAnsi="宋体" w:cs="宋体"/>
                <w:w w:val="99"/>
                <w:kern w:val="2"/>
                <w:sz w:val="21"/>
                <w:szCs w:val="21"/>
                <w:lang w:eastAsia="zh-CN"/>
              </w:rPr>
              <w:t>）</w:t>
            </w:r>
          </w:p>
        </w:tc>
      </w:tr>
      <w:tr w14:paraId="6BAC5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continue"/>
            <w:tcBorders>
              <w:top w:val="single" w:color="000000" w:sz="4" w:space="0"/>
              <w:left w:val="single" w:color="000000" w:sz="4" w:space="0"/>
              <w:bottom w:val="single" w:color="000000" w:sz="4" w:space="0"/>
              <w:right w:val="single" w:color="000000" w:sz="4" w:space="0"/>
            </w:tcBorders>
            <w:noWrap w:val="0"/>
            <w:vAlign w:val="center"/>
          </w:tcPr>
          <w:p w14:paraId="5230A696">
            <w:pPr>
              <w:widowControl/>
              <w:jc w:val="left"/>
              <w:rPr>
                <w:rFonts w:ascii="宋体" w:hAnsi="宋体" w:cs="宋体"/>
                <w:szCs w:val="21"/>
              </w:rPr>
            </w:pPr>
          </w:p>
        </w:tc>
        <w:tc>
          <w:tcPr>
            <w:tcW w:w="834" w:type="pct"/>
            <w:vMerge w:val="continue"/>
            <w:tcBorders>
              <w:top w:val="single" w:color="000000" w:sz="4" w:space="0"/>
              <w:left w:val="single" w:color="000000" w:sz="4" w:space="0"/>
              <w:bottom w:val="single" w:color="000000" w:sz="4" w:space="0"/>
              <w:right w:val="single" w:color="000000" w:sz="4" w:space="0"/>
            </w:tcBorders>
            <w:noWrap w:val="0"/>
            <w:vAlign w:val="center"/>
          </w:tcPr>
          <w:p w14:paraId="306C2E9E">
            <w:pPr>
              <w:widowControl/>
              <w:jc w:val="left"/>
              <w:rPr>
                <w:rFonts w:ascii="宋体" w:hAnsi="宋体" w:cs="宋体"/>
                <w:szCs w:val="21"/>
              </w:rPr>
            </w:pPr>
          </w:p>
        </w:tc>
        <w:tc>
          <w:tcPr>
            <w:tcW w:w="878" w:type="pct"/>
            <w:vMerge w:val="continue"/>
            <w:tcBorders>
              <w:top w:val="single" w:color="000000" w:sz="4" w:space="0"/>
              <w:left w:val="single" w:color="000000" w:sz="4" w:space="0"/>
              <w:bottom w:val="single" w:color="000000" w:sz="4" w:space="0"/>
              <w:right w:val="single" w:color="000000" w:sz="4" w:space="0"/>
            </w:tcBorders>
            <w:noWrap w:val="0"/>
            <w:vAlign w:val="center"/>
          </w:tcPr>
          <w:p w14:paraId="136802FE">
            <w:pPr>
              <w:widowControl/>
              <w:jc w:val="left"/>
              <w:rPr>
                <w:rFonts w:ascii="宋体" w:hAnsi="宋体" w:cs="宋体"/>
                <w:szCs w:val="21"/>
              </w:rPr>
            </w:pP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36CE79C0">
            <w:pPr>
              <w:pStyle w:val="111"/>
              <w:jc w:val="center"/>
              <w:rPr>
                <w:rFonts w:ascii="宋体" w:hAnsi="宋体" w:cs="宋体"/>
                <w:kern w:val="2"/>
                <w:sz w:val="21"/>
                <w:szCs w:val="21"/>
              </w:rPr>
            </w:pPr>
            <w:r>
              <w:rPr>
                <w:rFonts w:hint="eastAsia" w:ascii="宋体" w:hAnsi="宋体" w:cs="宋体"/>
                <w:w w:val="99"/>
                <w:kern w:val="2"/>
                <w:sz w:val="21"/>
                <w:szCs w:val="21"/>
              </w:rPr>
              <w:t>燃气热</w:t>
            </w:r>
            <w:r>
              <w:rPr>
                <w:rFonts w:hint="eastAsia" w:ascii="宋体" w:hAnsi="宋体" w:cs="宋体"/>
                <w:spacing w:val="2"/>
                <w:w w:val="99"/>
                <w:kern w:val="2"/>
                <w:sz w:val="21"/>
                <w:szCs w:val="21"/>
              </w:rPr>
              <w:t>水</w:t>
            </w:r>
            <w:r>
              <w:rPr>
                <w:rFonts w:hint="eastAsia" w:ascii="宋体" w:hAnsi="宋体" w:cs="宋体"/>
                <w:w w:val="99"/>
                <w:kern w:val="2"/>
                <w:sz w:val="21"/>
                <w:szCs w:val="21"/>
              </w:rPr>
              <w:t>器</w:t>
            </w:r>
          </w:p>
        </w:tc>
        <w:tc>
          <w:tcPr>
            <w:tcW w:w="2092" w:type="pct"/>
            <w:tcBorders>
              <w:top w:val="single" w:color="000000" w:sz="4" w:space="0"/>
              <w:left w:val="single" w:color="000000" w:sz="4" w:space="0"/>
              <w:bottom w:val="single" w:color="000000" w:sz="4" w:space="0"/>
              <w:right w:val="single" w:color="000000" w:sz="4" w:space="0"/>
            </w:tcBorders>
            <w:noWrap w:val="0"/>
            <w:vAlign w:val="top"/>
          </w:tcPr>
          <w:p w14:paraId="4E149C35">
            <w:pPr>
              <w:pStyle w:val="111"/>
              <w:spacing w:before="4" w:line="276" w:lineRule="auto"/>
              <w:ind w:left="7" w:right="4"/>
              <w:rPr>
                <w:rFonts w:ascii="宋体" w:hAnsi="宋体" w:cs="宋体"/>
                <w:kern w:val="2"/>
                <w:sz w:val="21"/>
                <w:szCs w:val="21"/>
                <w:lang w:eastAsia="zh-CN"/>
              </w:rPr>
            </w:pPr>
            <w:r>
              <w:rPr>
                <w:rFonts w:hint="eastAsia" w:ascii="宋体" w:hAnsi="宋体" w:cs="宋体"/>
                <w:spacing w:val="12"/>
                <w:w w:val="99"/>
                <w:kern w:val="2"/>
                <w:sz w:val="21"/>
                <w:szCs w:val="21"/>
                <w:lang w:eastAsia="zh-CN"/>
              </w:rPr>
              <w:t>《家用燃气快速热水器</w:t>
            </w:r>
            <w:r>
              <w:rPr>
                <w:rFonts w:hint="eastAsia" w:ascii="宋体" w:hAnsi="宋体" w:cs="宋体"/>
                <w:spacing w:val="9"/>
                <w:w w:val="99"/>
                <w:kern w:val="2"/>
                <w:sz w:val="21"/>
                <w:szCs w:val="21"/>
                <w:lang w:eastAsia="zh-CN"/>
              </w:rPr>
              <w:t>和</w:t>
            </w:r>
            <w:r>
              <w:rPr>
                <w:rFonts w:hint="eastAsia" w:ascii="宋体" w:hAnsi="宋体" w:cs="宋体"/>
                <w:spacing w:val="12"/>
                <w:w w:val="99"/>
                <w:kern w:val="2"/>
                <w:sz w:val="21"/>
                <w:szCs w:val="21"/>
                <w:lang w:eastAsia="zh-CN"/>
              </w:rPr>
              <w:t>燃气</w:t>
            </w:r>
            <w:r>
              <w:rPr>
                <w:rFonts w:hint="eastAsia" w:ascii="宋体" w:hAnsi="宋体" w:cs="宋体"/>
                <w:w w:val="99"/>
                <w:kern w:val="2"/>
                <w:sz w:val="21"/>
                <w:szCs w:val="21"/>
                <w:lang w:eastAsia="zh-CN"/>
              </w:rPr>
              <w:t>采暖热水</w:t>
            </w:r>
            <w:r>
              <w:rPr>
                <w:rFonts w:hint="eastAsia" w:ascii="宋体" w:hAnsi="宋体" w:cs="宋体"/>
                <w:spacing w:val="2"/>
                <w:w w:val="99"/>
                <w:kern w:val="2"/>
                <w:sz w:val="21"/>
                <w:szCs w:val="21"/>
                <w:lang w:eastAsia="zh-CN"/>
              </w:rPr>
              <w:t>炉</w:t>
            </w:r>
            <w:r>
              <w:rPr>
                <w:rFonts w:hint="eastAsia" w:ascii="宋体" w:hAnsi="宋体" w:cs="宋体"/>
                <w:w w:val="99"/>
                <w:kern w:val="2"/>
                <w:sz w:val="21"/>
                <w:szCs w:val="21"/>
                <w:lang w:eastAsia="zh-CN"/>
              </w:rPr>
              <w:t>能效</w:t>
            </w:r>
            <w:r>
              <w:rPr>
                <w:rFonts w:hint="eastAsia" w:ascii="宋体" w:hAnsi="宋体" w:cs="宋体"/>
                <w:spacing w:val="2"/>
                <w:w w:val="99"/>
                <w:kern w:val="2"/>
                <w:sz w:val="21"/>
                <w:szCs w:val="21"/>
                <w:lang w:eastAsia="zh-CN"/>
              </w:rPr>
              <w:t>限</w:t>
            </w:r>
            <w:r>
              <w:rPr>
                <w:rFonts w:hint="eastAsia" w:ascii="宋体" w:hAnsi="宋体" w:cs="宋体"/>
                <w:w w:val="99"/>
                <w:kern w:val="2"/>
                <w:sz w:val="21"/>
                <w:szCs w:val="21"/>
                <w:lang w:eastAsia="zh-CN"/>
              </w:rPr>
              <w:t>定值</w:t>
            </w:r>
            <w:r>
              <w:rPr>
                <w:rFonts w:hint="eastAsia" w:ascii="宋体" w:hAnsi="宋体" w:cs="宋体"/>
                <w:spacing w:val="2"/>
                <w:w w:val="99"/>
                <w:kern w:val="2"/>
                <w:sz w:val="21"/>
                <w:szCs w:val="21"/>
                <w:lang w:eastAsia="zh-CN"/>
              </w:rPr>
              <w:t>及</w:t>
            </w:r>
            <w:r>
              <w:rPr>
                <w:rFonts w:hint="eastAsia" w:ascii="宋体" w:hAnsi="宋体" w:cs="宋体"/>
                <w:w w:val="99"/>
                <w:kern w:val="2"/>
                <w:sz w:val="21"/>
                <w:szCs w:val="21"/>
                <w:lang w:eastAsia="zh-CN"/>
              </w:rPr>
              <w:t>能</w:t>
            </w:r>
            <w:r>
              <w:rPr>
                <w:rFonts w:hint="eastAsia" w:ascii="宋体" w:hAnsi="宋体" w:cs="宋体"/>
                <w:spacing w:val="2"/>
                <w:w w:val="99"/>
                <w:kern w:val="2"/>
                <w:sz w:val="21"/>
                <w:szCs w:val="21"/>
                <w:lang w:eastAsia="zh-CN"/>
              </w:rPr>
              <w:t>效</w:t>
            </w:r>
            <w:r>
              <w:rPr>
                <w:rFonts w:hint="eastAsia" w:ascii="宋体" w:hAnsi="宋体" w:cs="宋体"/>
                <w:w w:val="99"/>
                <w:kern w:val="2"/>
                <w:sz w:val="21"/>
                <w:szCs w:val="21"/>
                <w:lang w:eastAsia="zh-CN"/>
              </w:rPr>
              <w:t>等级》（</w:t>
            </w:r>
            <w:r>
              <w:rPr>
                <w:rFonts w:hint="eastAsia" w:ascii="宋体" w:hAnsi="宋体" w:cs="宋体"/>
                <w:spacing w:val="1"/>
                <w:w w:val="99"/>
                <w:kern w:val="2"/>
                <w:sz w:val="21"/>
                <w:szCs w:val="21"/>
                <w:lang w:eastAsia="zh-CN"/>
              </w:rPr>
              <w:t>G</w:t>
            </w:r>
            <w:r>
              <w:rPr>
                <w:rFonts w:hint="eastAsia" w:ascii="宋体" w:hAnsi="宋体" w:cs="宋体"/>
                <w:w w:val="99"/>
                <w:kern w:val="2"/>
                <w:sz w:val="21"/>
                <w:szCs w:val="21"/>
                <w:lang w:eastAsia="zh-CN"/>
              </w:rPr>
              <w:t>B</w:t>
            </w:r>
            <w:r>
              <w:rPr>
                <w:rFonts w:hint="eastAsia" w:ascii="宋体" w:hAnsi="宋体" w:cs="宋体"/>
                <w:spacing w:val="1"/>
                <w:w w:val="99"/>
                <w:kern w:val="2"/>
                <w:sz w:val="21"/>
                <w:szCs w:val="21"/>
                <w:lang w:eastAsia="zh-CN"/>
              </w:rPr>
              <w:t>2</w:t>
            </w:r>
            <w:r>
              <w:rPr>
                <w:rFonts w:hint="eastAsia" w:ascii="宋体" w:hAnsi="宋体" w:cs="宋体"/>
                <w:w w:val="99"/>
                <w:kern w:val="2"/>
                <w:sz w:val="21"/>
                <w:szCs w:val="21"/>
                <w:lang w:eastAsia="zh-CN"/>
              </w:rPr>
              <w:t>06</w:t>
            </w:r>
            <w:r>
              <w:rPr>
                <w:rFonts w:hint="eastAsia" w:ascii="宋体" w:hAnsi="宋体" w:cs="宋体"/>
                <w:spacing w:val="1"/>
                <w:w w:val="99"/>
                <w:kern w:val="2"/>
                <w:sz w:val="21"/>
                <w:szCs w:val="21"/>
                <w:lang w:eastAsia="zh-CN"/>
              </w:rPr>
              <w:t>65</w:t>
            </w:r>
            <w:r>
              <w:rPr>
                <w:rFonts w:hint="eastAsia" w:ascii="宋体" w:hAnsi="宋体" w:cs="宋体"/>
                <w:w w:val="99"/>
                <w:kern w:val="2"/>
                <w:sz w:val="21"/>
                <w:szCs w:val="21"/>
                <w:lang w:eastAsia="zh-CN"/>
              </w:rPr>
              <w:t>）</w:t>
            </w:r>
          </w:p>
        </w:tc>
      </w:tr>
      <w:tr w14:paraId="22C35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continue"/>
            <w:tcBorders>
              <w:top w:val="single" w:color="000000" w:sz="4" w:space="0"/>
              <w:left w:val="single" w:color="000000" w:sz="4" w:space="0"/>
              <w:bottom w:val="single" w:color="000000" w:sz="4" w:space="0"/>
              <w:right w:val="single" w:color="000000" w:sz="4" w:space="0"/>
            </w:tcBorders>
            <w:noWrap w:val="0"/>
            <w:vAlign w:val="center"/>
          </w:tcPr>
          <w:p w14:paraId="009CF8BD">
            <w:pPr>
              <w:widowControl/>
              <w:jc w:val="left"/>
              <w:rPr>
                <w:rFonts w:ascii="宋体" w:hAnsi="宋体" w:cs="宋体"/>
                <w:szCs w:val="21"/>
              </w:rPr>
            </w:pPr>
          </w:p>
        </w:tc>
        <w:tc>
          <w:tcPr>
            <w:tcW w:w="834" w:type="pct"/>
            <w:vMerge w:val="continue"/>
            <w:tcBorders>
              <w:top w:val="single" w:color="000000" w:sz="4" w:space="0"/>
              <w:left w:val="single" w:color="000000" w:sz="4" w:space="0"/>
              <w:bottom w:val="single" w:color="000000" w:sz="4" w:space="0"/>
              <w:right w:val="single" w:color="000000" w:sz="4" w:space="0"/>
            </w:tcBorders>
            <w:noWrap w:val="0"/>
            <w:vAlign w:val="center"/>
          </w:tcPr>
          <w:p w14:paraId="2185457A">
            <w:pPr>
              <w:widowControl/>
              <w:jc w:val="left"/>
              <w:rPr>
                <w:rFonts w:ascii="宋体" w:hAnsi="宋体" w:cs="宋体"/>
                <w:szCs w:val="21"/>
              </w:rPr>
            </w:pPr>
          </w:p>
        </w:tc>
        <w:tc>
          <w:tcPr>
            <w:tcW w:w="878" w:type="pct"/>
            <w:vMerge w:val="continue"/>
            <w:tcBorders>
              <w:top w:val="single" w:color="000000" w:sz="4" w:space="0"/>
              <w:left w:val="single" w:color="000000" w:sz="4" w:space="0"/>
              <w:bottom w:val="single" w:color="000000" w:sz="4" w:space="0"/>
              <w:right w:val="single" w:color="000000" w:sz="4" w:space="0"/>
            </w:tcBorders>
            <w:noWrap w:val="0"/>
            <w:vAlign w:val="center"/>
          </w:tcPr>
          <w:p w14:paraId="31838013">
            <w:pPr>
              <w:widowControl/>
              <w:jc w:val="left"/>
              <w:rPr>
                <w:rFonts w:ascii="宋体" w:hAnsi="宋体" w:cs="宋体"/>
                <w:szCs w:val="21"/>
              </w:rPr>
            </w:pP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676F5ADA">
            <w:pPr>
              <w:pStyle w:val="111"/>
              <w:jc w:val="center"/>
              <w:rPr>
                <w:rFonts w:ascii="宋体" w:hAnsi="宋体" w:cs="宋体"/>
                <w:kern w:val="2"/>
                <w:sz w:val="21"/>
                <w:szCs w:val="21"/>
              </w:rPr>
            </w:pPr>
            <w:r>
              <w:rPr>
                <w:rFonts w:hint="eastAsia" w:ascii="宋体" w:hAnsi="宋体" w:cs="宋体"/>
                <w:w w:val="99"/>
                <w:kern w:val="2"/>
                <w:sz w:val="21"/>
                <w:szCs w:val="21"/>
              </w:rPr>
              <w:t>热泵热</w:t>
            </w:r>
            <w:r>
              <w:rPr>
                <w:rFonts w:hint="eastAsia" w:ascii="宋体" w:hAnsi="宋体" w:cs="宋体"/>
                <w:spacing w:val="2"/>
                <w:w w:val="99"/>
                <w:kern w:val="2"/>
                <w:sz w:val="21"/>
                <w:szCs w:val="21"/>
              </w:rPr>
              <w:t>水</w:t>
            </w:r>
            <w:r>
              <w:rPr>
                <w:rFonts w:hint="eastAsia" w:ascii="宋体" w:hAnsi="宋体" w:cs="宋体"/>
                <w:w w:val="99"/>
                <w:kern w:val="2"/>
                <w:sz w:val="21"/>
                <w:szCs w:val="21"/>
              </w:rPr>
              <w:t>器</w:t>
            </w:r>
          </w:p>
        </w:tc>
        <w:tc>
          <w:tcPr>
            <w:tcW w:w="2092" w:type="pct"/>
            <w:tcBorders>
              <w:top w:val="single" w:color="000000" w:sz="4" w:space="0"/>
              <w:left w:val="single" w:color="000000" w:sz="4" w:space="0"/>
              <w:bottom w:val="single" w:color="000000" w:sz="4" w:space="0"/>
              <w:right w:val="single" w:color="000000" w:sz="4" w:space="0"/>
            </w:tcBorders>
            <w:noWrap w:val="0"/>
            <w:vAlign w:val="top"/>
          </w:tcPr>
          <w:p w14:paraId="59E645C5">
            <w:pPr>
              <w:pStyle w:val="111"/>
              <w:spacing w:before="93" w:line="276" w:lineRule="auto"/>
              <w:ind w:left="7" w:right="7"/>
              <w:rPr>
                <w:rFonts w:ascii="宋体" w:hAnsi="宋体" w:cs="宋体"/>
                <w:kern w:val="2"/>
                <w:sz w:val="21"/>
                <w:szCs w:val="21"/>
                <w:lang w:eastAsia="zh-CN"/>
              </w:rPr>
            </w:pPr>
            <w:r>
              <w:rPr>
                <w:rFonts w:hint="eastAsia" w:ascii="宋体" w:hAnsi="宋体" w:cs="宋体"/>
                <w:w w:val="99"/>
                <w:kern w:val="2"/>
                <w:sz w:val="21"/>
                <w:szCs w:val="21"/>
                <w:lang w:eastAsia="zh-CN"/>
              </w:rPr>
              <w:t>《热泵</w:t>
            </w:r>
            <w:r>
              <w:rPr>
                <w:rFonts w:hint="eastAsia" w:ascii="宋体" w:hAnsi="宋体" w:cs="宋体"/>
                <w:spacing w:val="2"/>
                <w:w w:val="99"/>
                <w:kern w:val="2"/>
                <w:sz w:val="21"/>
                <w:szCs w:val="21"/>
                <w:lang w:eastAsia="zh-CN"/>
              </w:rPr>
              <w:t>热</w:t>
            </w:r>
            <w:r>
              <w:rPr>
                <w:rFonts w:hint="eastAsia" w:ascii="宋体" w:hAnsi="宋体" w:cs="宋体"/>
                <w:w w:val="99"/>
                <w:kern w:val="2"/>
                <w:sz w:val="21"/>
                <w:szCs w:val="21"/>
                <w:lang w:eastAsia="zh-CN"/>
              </w:rPr>
              <w:t>水</w:t>
            </w:r>
            <w:r>
              <w:rPr>
                <w:rFonts w:hint="eastAsia" w:ascii="宋体" w:hAnsi="宋体" w:cs="宋体"/>
                <w:spacing w:val="-27"/>
                <w:w w:val="99"/>
                <w:kern w:val="2"/>
                <w:sz w:val="21"/>
                <w:szCs w:val="21"/>
                <w:lang w:eastAsia="zh-CN"/>
              </w:rPr>
              <w:t>机</w:t>
            </w:r>
            <w:r>
              <w:rPr>
                <w:rFonts w:hint="eastAsia" w:ascii="宋体" w:hAnsi="宋体" w:cs="宋体"/>
                <w:w w:val="99"/>
                <w:kern w:val="2"/>
                <w:sz w:val="21"/>
                <w:szCs w:val="21"/>
                <w:lang w:eastAsia="zh-CN"/>
              </w:rPr>
              <w:t>（器</w:t>
            </w:r>
            <w:r>
              <w:rPr>
                <w:rFonts w:hint="eastAsia" w:ascii="宋体" w:hAnsi="宋体" w:cs="宋体"/>
                <w:spacing w:val="-27"/>
                <w:w w:val="99"/>
                <w:kern w:val="2"/>
                <w:sz w:val="21"/>
                <w:szCs w:val="21"/>
                <w:lang w:eastAsia="zh-CN"/>
              </w:rPr>
              <w:t>）</w:t>
            </w:r>
            <w:r>
              <w:rPr>
                <w:rFonts w:hint="eastAsia" w:ascii="宋体" w:hAnsi="宋体" w:cs="宋体"/>
                <w:w w:val="99"/>
                <w:kern w:val="2"/>
                <w:sz w:val="21"/>
                <w:szCs w:val="21"/>
                <w:lang w:eastAsia="zh-CN"/>
              </w:rPr>
              <w:t>能效</w:t>
            </w:r>
            <w:r>
              <w:rPr>
                <w:rFonts w:hint="eastAsia" w:ascii="宋体" w:hAnsi="宋体" w:cs="宋体"/>
                <w:spacing w:val="2"/>
                <w:w w:val="99"/>
                <w:kern w:val="2"/>
                <w:sz w:val="21"/>
                <w:szCs w:val="21"/>
                <w:lang w:eastAsia="zh-CN"/>
              </w:rPr>
              <w:t>限</w:t>
            </w:r>
            <w:r>
              <w:rPr>
                <w:rFonts w:hint="eastAsia" w:ascii="宋体" w:hAnsi="宋体" w:cs="宋体"/>
                <w:w w:val="99"/>
                <w:kern w:val="2"/>
                <w:sz w:val="21"/>
                <w:szCs w:val="21"/>
                <w:lang w:eastAsia="zh-CN"/>
              </w:rPr>
              <w:t>定值及能效等</w:t>
            </w:r>
            <w:r>
              <w:rPr>
                <w:rFonts w:hint="eastAsia" w:ascii="宋体" w:hAnsi="宋体" w:cs="宋体"/>
                <w:spacing w:val="2"/>
                <w:w w:val="99"/>
                <w:kern w:val="2"/>
                <w:sz w:val="21"/>
                <w:szCs w:val="21"/>
                <w:lang w:eastAsia="zh-CN"/>
              </w:rPr>
              <w:t>级</w:t>
            </w:r>
            <w:r>
              <w:rPr>
                <w:rFonts w:hint="eastAsia" w:ascii="宋体" w:hAnsi="宋体" w:cs="宋体"/>
                <w:w w:val="99"/>
                <w:kern w:val="2"/>
                <w:sz w:val="21"/>
                <w:szCs w:val="21"/>
                <w:lang w:eastAsia="zh-CN"/>
              </w:rPr>
              <w:t>》（</w:t>
            </w:r>
            <w:r>
              <w:rPr>
                <w:rFonts w:hint="eastAsia" w:ascii="宋体" w:hAnsi="宋体" w:cs="宋体"/>
                <w:spacing w:val="1"/>
                <w:w w:val="99"/>
                <w:kern w:val="2"/>
                <w:sz w:val="21"/>
                <w:szCs w:val="21"/>
                <w:lang w:eastAsia="zh-CN"/>
              </w:rPr>
              <w:t>G</w:t>
            </w:r>
            <w:r>
              <w:rPr>
                <w:rFonts w:hint="eastAsia" w:ascii="宋体" w:hAnsi="宋体" w:cs="宋体"/>
                <w:w w:val="99"/>
                <w:kern w:val="2"/>
                <w:sz w:val="21"/>
                <w:szCs w:val="21"/>
                <w:lang w:eastAsia="zh-CN"/>
              </w:rPr>
              <w:t>B</w:t>
            </w:r>
            <w:r>
              <w:rPr>
                <w:rFonts w:hint="eastAsia" w:ascii="宋体" w:hAnsi="宋体" w:cs="宋体"/>
                <w:spacing w:val="1"/>
                <w:w w:val="99"/>
                <w:kern w:val="2"/>
                <w:sz w:val="21"/>
                <w:szCs w:val="21"/>
                <w:lang w:eastAsia="zh-CN"/>
              </w:rPr>
              <w:t>295</w:t>
            </w:r>
            <w:r>
              <w:rPr>
                <w:rFonts w:hint="eastAsia" w:ascii="宋体" w:hAnsi="宋体" w:cs="宋体"/>
                <w:w w:val="99"/>
                <w:kern w:val="2"/>
                <w:sz w:val="21"/>
                <w:szCs w:val="21"/>
                <w:lang w:eastAsia="zh-CN"/>
              </w:rPr>
              <w:t>4</w:t>
            </w:r>
            <w:r>
              <w:rPr>
                <w:rFonts w:hint="eastAsia" w:ascii="宋体" w:hAnsi="宋体" w:cs="宋体"/>
                <w:spacing w:val="-1"/>
                <w:w w:val="99"/>
                <w:kern w:val="2"/>
                <w:sz w:val="21"/>
                <w:szCs w:val="21"/>
                <w:lang w:eastAsia="zh-CN"/>
              </w:rPr>
              <w:t>1</w:t>
            </w:r>
            <w:r>
              <w:rPr>
                <w:rFonts w:hint="eastAsia" w:ascii="宋体" w:hAnsi="宋体" w:cs="宋体"/>
                <w:w w:val="99"/>
                <w:kern w:val="2"/>
                <w:sz w:val="21"/>
                <w:szCs w:val="21"/>
                <w:lang w:eastAsia="zh-CN"/>
              </w:rPr>
              <w:t>）</w:t>
            </w:r>
          </w:p>
        </w:tc>
      </w:tr>
      <w:tr w14:paraId="16B6B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continue"/>
            <w:tcBorders>
              <w:top w:val="single" w:color="000000" w:sz="4" w:space="0"/>
              <w:left w:val="single" w:color="000000" w:sz="4" w:space="0"/>
              <w:bottom w:val="single" w:color="000000" w:sz="4" w:space="0"/>
              <w:right w:val="single" w:color="000000" w:sz="4" w:space="0"/>
            </w:tcBorders>
            <w:noWrap w:val="0"/>
            <w:vAlign w:val="center"/>
          </w:tcPr>
          <w:p w14:paraId="31DD1B9B">
            <w:pPr>
              <w:widowControl/>
              <w:jc w:val="left"/>
              <w:rPr>
                <w:rFonts w:ascii="宋体" w:hAnsi="宋体" w:cs="宋体"/>
                <w:szCs w:val="21"/>
              </w:rPr>
            </w:pPr>
          </w:p>
        </w:tc>
        <w:tc>
          <w:tcPr>
            <w:tcW w:w="834" w:type="pct"/>
            <w:vMerge w:val="continue"/>
            <w:tcBorders>
              <w:top w:val="single" w:color="000000" w:sz="4" w:space="0"/>
              <w:left w:val="single" w:color="000000" w:sz="4" w:space="0"/>
              <w:bottom w:val="single" w:color="000000" w:sz="4" w:space="0"/>
              <w:right w:val="single" w:color="000000" w:sz="4" w:space="0"/>
            </w:tcBorders>
            <w:noWrap w:val="0"/>
            <w:vAlign w:val="center"/>
          </w:tcPr>
          <w:p w14:paraId="4267B7CD">
            <w:pPr>
              <w:widowControl/>
              <w:jc w:val="left"/>
              <w:rPr>
                <w:rFonts w:ascii="宋体" w:hAnsi="宋体" w:cs="宋体"/>
                <w:szCs w:val="21"/>
              </w:rPr>
            </w:pPr>
          </w:p>
        </w:tc>
        <w:tc>
          <w:tcPr>
            <w:tcW w:w="878" w:type="pct"/>
            <w:vMerge w:val="continue"/>
            <w:tcBorders>
              <w:top w:val="single" w:color="000000" w:sz="4" w:space="0"/>
              <w:left w:val="single" w:color="000000" w:sz="4" w:space="0"/>
              <w:bottom w:val="single" w:color="000000" w:sz="4" w:space="0"/>
              <w:right w:val="single" w:color="000000" w:sz="4" w:space="0"/>
            </w:tcBorders>
            <w:noWrap w:val="0"/>
            <w:vAlign w:val="center"/>
          </w:tcPr>
          <w:p w14:paraId="780F79A7">
            <w:pPr>
              <w:widowControl/>
              <w:jc w:val="left"/>
              <w:rPr>
                <w:rFonts w:ascii="宋体" w:hAnsi="宋体" w:cs="宋体"/>
                <w:szCs w:val="21"/>
              </w:rPr>
            </w:pP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0E2BECE3">
            <w:pPr>
              <w:pStyle w:val="111"/>
              <w:jc w:val="center"/>
              <w:rPr>
                <w:rFonts w:ascii="宋体" w:hAnsi="宋体" w:cs="宋体"/>
                <w:kern w:val="2"/>
                <w:sz w:val="21"/>
                <w:szCs w:val="21"/>
              </w:rPr>
            </w:pPr>
            <w:r>
              <w:rPr>
                <w:rFonts w:hint="eastAsia" w:ascii="宋体" w:hAnsi="宋体" w:cs="宋体"/>
                <w:w w:val="99"/>
                <w:kern w:val="2"/>
                <w:sz w:val="21"/>
                <w:szCs w:val="21"/>
              </w:rPr>
              <w:t>太阳能</w:t>
            </w:r>
            <w:r>
              <w:rPr>
                <w:rFonts w:hint="eastAsia" w:ascii="宋体" w:hAnsi="宋体" w:cs="宋体"/>
                <w:spacing w:val="2"/>
                <w:w w:val="99"/>
                <w:kern w:val="2"/>
                <w:sz w:val="21"/>
                <w:szCs w:val="21"/>
              </w:rPr>
              <w:t>热</w:t>
            </w:r>
            <w:r>
              <w:rPr>
                <w:rFonts w:hint="eastAsia" w:ascii="宋体" w:hAnsi="宋体" w:cs="宋体"/>
                <w:w w:val="99"/>
                <w:kern w:val="2"/>
                <w:sz w:val="21"/>
                <w:szCs w:val="21"/>
              </w:rPr>
              <w:t>水系统</w:t>
            </w:r>
          </w:p>
        </w:tc>
        <w:tc>
          <w:tcPr>
            <w:tcW w:w="2092" w:type="pct"/>
            <w:tcBorders>
              <w:top w:val="single" w:color="000000" w:sz="4" w:space="0"/>
              <w:left w:val="single" w:color="000000" w:sz="4" w:space="0"/>
              <w:bottom w:val="single" w:color="000000" w:sz="4" w:space="0"/>
              <w:right w:val="single" w:color="000000" w:sz="4" w:space="0"/>
            </w:tcBorders>
            <w:noWrap w:val="0"/>
            <w:vAlign w:val="top"/>
          </w:tcPr>
          <w:p w14:paraId="4B3DB433">
            <w:pPr>
              <w:pStyle w:val="111"/>
              <w:spacing w:before="52" w:line="276" w:lineRule="auto"/>
              <w:ind w:left="7" w:right="4"/>
              <w:rPr>
                <w:rFonts w:ascii="宋体" w:hAnsi="宋体" w:cs="宋体"/>
                <w:kern w:val="2"/>
                <w:sz w:val="21"/>
                <w:szCs w:val="21"/>
                <w:lang w:eastAsia="zh-CN"/>
              </w:rPr>
            </w:pPr>
            <w:r>
              <w:rPr>
                <w:rFonts w:hint="eastAsia" w:ascii="宋体" w:hAnsi="宋体" w:cs="宋体"/>
                <w:spacing w:val="12"/>
                <w:w w:val="99"/>
                <w:kern w:val="2"/>
                <w:sz w:val="21"/>
                <w:szCs w:val="21"/>
                <w:lang w:eastAsia="zh-CN"/>
              </w:rPr>
              <w:t>《家用太阳能热水系统</w:t>
            </w:r>
            <w:r>
              <w:rPr>
                <w:rFonts w:hint="eastAsia" w:ascii="宋体" w:hAnsi="宋体" w:cs="宋体"/>
                <w:spacing w:val="9"/>
                <w:w w:val="99"/>
                <w:kern w:val="2"/>
                <w:sz w:val="21"/>
                <w:szCs w:val="21"/>
                <w:lang w:eastAsia="zh-CN"/>
              </w:rPr>
              <w:t>能</w:t>
            </w:r>
            <w:r>
              <w:rPr>
                <w:rFonts w:hint="eastAsia" w:ascii="宋体" w:hAnsi="宋体" w:cs="宋体"/>
                <w:spacing w:val="12"/>
                <w:w w:val="99"/>
                <w:kern w:val="2"/>
                <w:sz w:val="21"/>
                <w:szCs w:val="21"/>
                <w:lang w:eastAsia="zh-CN"/>
              </w:rPr>
              <w:t>效限</w:t>
            </w:r>
            <w:r>
              <w:rPr>
                <w:rFonts w:hint="eastAsia" w:ascii="宋体" w:hAnsi="宋体" w:cs="宋体"/>
                <w:w w:val="99"/>
                <w:kern w:val="2"/>
                <w:sz w:val="21"/>
                <w:szCs w:val="21"/>
                <w:lang w:eastAsia="zh-CN"/>
              </w:rPr>
              <w:t>定值及能</w:t>
            </w:r>
            <w:r>
              <w:rPr>
                <w:rFonts w:hint="eastAsia" w:ascii="宋体" w:hAnsi="宋体" w:cs="宋体"/>
                <w:spacing w:val="2"/>
                <w:w w:val="99"/>
                <w:kern w:val="2"/>
                <w:sz w:val="21"/>
                <w:szCs w:val="21"/>
                <w:lang w:eastAsia="zh-CN"/>
              </w:rPr>
              <w:t>效</w:t>
            </w:r>
            <w:r>
              <w:rPr>
                <w:rFonts w:hint="eastAsia" w:ascii="宋体" w:hAnsi="宋体" w:cs="宋体"/>
                <w:w w:val="99"/>
                <w:kern w:val="2"/>
                <w:sz w:val="21"/>
                <w:szCs w:val="21"/>
                <w:lang w:eastAsia="zh-CN"/>
              </w:rPr>
              <w:t>等级</w:t>
            </w:r>
            <w:r>
              <w:rPr>
                <w:rFonts w:hint="eastAsia" w:ascii="宋体" w:hAnsi="宋体" w:cs="宋体"/>
                <w:spacing w:val="2"/>
                <w:w w:val="99"/>
                <w:kern w:val="2"/>
                <w:sz w:val="21"/>
                <w:szCs w:val="21"/>
                <w:lang w:eastAsia="zh-CN"/>
              </w:rPr>
              <w:t>》</w:t>
            </w:r>
            <w:r>
              <w:rPr>
                <w:rFonts w:hint="eastAsia" w:ascii="宋体" w:hAnsi="宋体" w:cs="宋体"/>
                <w:w w:val="99"/>
                <w:kern w:val="2"/>
                <w:sz w:val="21"/>
                <w:szCs w:val="21"/>
                <w:lang w:eastAsia="zh-CN"/>
              </w:rPr>
              <w:t>（</w:t>
            </w:r>
            <w:r>
              <w:rPr>
                <w:rFonts w:hint="eastAsia" w:ascii="宋体" w:hAnsi="宋体" w:cs="宋体"/>
                <w:spacing w:val="1"/>
                <w:w w:val="99"/>
                <w:kern w:val="2"/>
                <w:sz w:val="21"/>
                <w:szCs w:val="21"/>
                <w:lang w:eastAsia="zh-CN"/>
              </w:rPr>
              <w:t>G</w:t>
            </w:r>
            <w:r>
              <w:rPr>
                <w:rFonts w:hint="eastAsia" w:ascii="宋体" w:hAnsi="宋体" w:cs="宋体"/>
                <w:w w:val="99"/>
                <w:kern w:val="2"/>
                <w:sz w:val="21"/>
                <w:szCs w:val="21"/>
                <w:lang w:eastAsia="zh-CN"/>
              </w:rPr>
              <w:t>B</w:t>
            </w:r>
            <w:r>
              <w:rPr>
                <w:rFonts w:hint="eastAsia" w:ascii="宋体" w:hAnsi="宋体" w:cs="宋体"/>
                <w:spacing w:val="1"/>
                <w:w w:val="99"/>
                <w:kern w:val="2"/>
                <w:sz w:val="21"/>
                <w:szCs w:val="21"/>
                <w:lang w:eastAsia="zh-CN"/>
              </w:rPr>
              <w:t>26</w:t>
            </w:r>
            <w:r>
              <w:rPr>
                <w:rFonts w:hint="eastAsia" w:ascii="宋体" w:hAnsi="宋体" w:cs="宋体"/>
                <w:w w:val="99"/>
                <w:kern w:val="2"/>
                <w:sz w:val="21"/>
                <w:szCs w:val="21"/>
                <w:lang w:eastAsia="zh-CN"/>
              </w:rPr>
              <w:t>96</w:t>
            </w:r>
            <w:r>
              <w:rPr>
                <w:rFonts w:hint="eastAsia" w:ascii="宋体" w:hAnsi="宋体" w:cs="宋体"/>
                <w:spacing w:val="-2"/>
                <w:w w:val="99"/>
                <w:kern w:val="2"/>
                <w:sz w:val="21"/>
                <w:szCs w:val="21"/>
                <w:lang w:eastAsia="zh-CN"/>
              </w:rPr>
              <w:t>9</w:t>
            </w:r>
            <w:r>
              <w:rPr>
                <w:rFonts w:hint="eastAsia" w:ascii="宋体" w:hAnsi="宋体" w:cs="宋体"/>
                <w:w w:val="99"/>
                <w:kern w:val="2"/>
                <w:sz w:val="21"/>
                <w:szCs w:val="21"/>
                <w:lang w:eastAsia="zh-CN"/>
              </w:rPr>
              <w:t>）</w:t>
            </w:r>
          </w:p>
        </w:tc>
      </w:tr>
      <w:tr w14:paraId="2B6A7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restart"/>
            <w:tcBorders>
              <w:top w:val="single" w:color="000000" w:sz="4" w:space="0"/>
              <w:left w:val="single" w:color="000000" w:sz="4" w:space="0"/>
              <w:bottom w:val="single" w:color="000000" w:sz="4" w:space="0"/>
              <w:right w:val="single" w:color="000000" w:sz="4" w:space="0"/>
            </w:tcBorders>
            <w:noWrap w:val="0"/>
            <w:vAlign w:val="center"/>
          </w:tcPr>
          <w:p w14:paraId="4008254B">
            <w:pPr>
              <w:pStyle w:val="111"/>
              <w:jc w:val="center"/>
              <w:rPr>
                <w:rFonts w:ascii="宋体" w:hAnsi="宋体" w:cs="宋体"/>
                <w:kern w:val="2"/>
                <w:sz w:val="21"/>
                <w:szCs w:val="21"/>
              </w:rPr>
            </w:pPr>
            <w:r>
              <w:rPr>
                <w:rFonts w:hint="eastAsia" w:ascii="宋体" w:hAnsi="宋体"/>
                <w:spacing w:val="1"/>
                <w:w w:val="99"/>
                <w:kern w:val="2"/>
                <w:sz w:val="21"/>
                <w:szCs w:val="21"/>
              </w:rPr>
              <w:t>1</w:t>
            </w:r>
            <w:r>
              <w:rPr>
                <w:rFonts w:hint="eastAsia" w:ascii="宋体" w:hAnsi="宋体"/>
                <w:w w:val="99"/>
                <w:kern w:val="2"/>
                <w:sz w:val="21"/>
                <w:szCs w:val="21"/>
              </w:rPr>
              <w:t>1</w:t>
            </w:r>
          </w:p>
        </w:tc>
        <w:tc>
          <w:tcPr>
            <w:tcW w:w="834" w:type="pct"/>
            <w:vMerge w:val="restart"/>
            <w:tcBorders>
              <w:top w:val="single" w:color="000000" w:sz="4" w:space="0"/>
              <w:left w:val="single" w:color="000000" w:sz="4" w:space="0"/>
              <w:bottom w:val="single" w:color="000000" w:sz="4" w:space="0"/>
              <w:right w:val="single" w:color="000000" w:sz="4" w:space="0"/>
            </w:tcBorders>
            <w:noWrap w:val="0"/>
            <w:vAlign w:val="center"/>
          </w:tcPr>
          <w:p w14:paraId="747794B0">
            <w:pPr>
              <w:pStyle w:val="111"/>
              <w:spacing w:before="157"/>
              <w:jc w:val="center"/>
              <w:rPr>
                <w:rFonts w:ascii="宋体" w:hAnsi="宋体" w:cs="宋体"/>
                <w:kern w:val="2"/>
                <w:sz w:val="21"/>
                <w:szCs w:val="21"/>
              </w:rPr>
            </w:pPr>
            <w:r>
              <w:rPr>
                <w:rFonts w:hint="eastAsia" w:ascii="宋体" w:hAnsi="宋体" w:cs="宋体"/>
                <w:spacing w:val="1"/>
                <w:w w:val="99"/>
                <w:kern w:val="2"/>
                <w:sz w:val="21"/>
                <w:szCs w:val="21"/>
              </w:rPr>
              <w:t>A02</w:t>
            </w:r>
            <w:r>
              <w:rPr>
                <w:rFonts w:hint="eastAsia" w:ascii="宋体" w:hAnsi="宋体" w:cs="宋体"/>
                <w:w w:val="99"/>
                <w:kern w:val="2"/>
                <w:sz w:val="21"/>
                <w:szCs w:val="21"/>
              </w:rPr>
              <w:t>06</w:t>
            </w:r>
            <w:r>
              <w:rPr>
                <w:rFonts w:hint="eastAsia" w:ascii="宋体" w:hAnsi="宋体" w:cs="宋体"/>
                <w:spacing w:val="1"/>
                <w:w w:val="99"/>
                <w:kern w:val="2"/>
                <w:sz w:val="21"/>
                <w:szCs w:val="21"/>
              </w:rPr>
              <w:t>1</w:t>
            </w:r>
            <w:r>
              <w:rPr>
                <w:rFonts w:hint="eastAsia" w:ascii="宋体" w:hAnsi="宋体" w:cs="宋体"/>
                <w:w w:val="99"/>
                <w:kern w:val="2"/>
                <w:sz w:val="21"/>
                <w:szCs w:val="21"/>
              </w:rPr>
              <w:t>900照明设备</w:t>
            </w:r>
          </w:p>
        </w:tc>
        <w:tc>
          <w:tcPr>
            <w:tcW w:w="878" w:type="pct"/>
            <w:tcBorders>
              <w:top w:val="single" w:color="000000" w:sz="4" w:space="0"/>
              <w:left w:val="single" w:color="000000" w:sz="4" w:space="0"/>
              <w:bottom w:val="single" w:color="000000" w:sz="4" w:space="0"/>
              <w:right w:val="single" w:color="000000" w:sz="4" w:space="0"/>
            </w:tcBorders>
            <w:noWrap w:val="0"/>
            <w:vAlign w:val="center"/>
          </w:tcPr>
          <w:p w14:paraId="00D6A68C">
            <w:pPr>
              <w:pStyle w:val="111"/>
              <w:spacing w:before="133" w:line="276" w:lineRule="auto"/>
              <w:ind w:left="7" w:right="7"/>
              <w:jc w:val="center"/>
              <w:rPr>
                <w:rFonts w:ascii="宋体" w:hAnsi="宋体" w:cs="宋体"/>
                <w:kern w:val="2"/>
                <w:sz w:val="21"/>
                <w:szCs w:val="21"/>
                <w:lang w:eastAsia="zh-CN"/>
              </w:rPr>
            </w:pPr>
            <w:r>
              <w:rPr>
                <w:rFonts w:hint="eastAsia" w:ascii="宋体" w:hAnsi="宋体" w:cs="宋体"/>
                <w:w w:val="99"/>
                <w:kern w:val="2"/>
                <w:sz w:val="21"/>
                <w:szCs w:val="21"/>
                <w:lang w:eastAsia="zh-CN"/>
              </w:rPr>
              <w:t>★普通照明用双端荧光灯</w:t>
            </w: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68E49574">
            <w:pPr>
              <w:jc w:val="center"/>
              <w:rPr>
                <w:rFonts w:ascii="宋体" w:hAnsi="宋体"/>
                <w:szCs w:val="21"/>
              </w:rPr>
            </w:pPr>
          </w:p>
        </w:tc>
        <w:tc>
          <w:tcPr>
            <w:tcW w:w="2092" w:type="pct"/>
            <w:tcBorders>
              <w:top w:val="single" w:color="000000" w:sz="4" w:space="0"/>
              <w:left w:val="single" w:color="000000" w:sz="4" w:space="0"/>
              <w:bottom w:val="single" w:color="000000" w:sz="4" w:space="0"/>
              <w:right w:val="single" w:color="000000" w:sz="4" w:space="0"/>
            </w:tcBorders>
            <w:noWrap w:val="0"/>
            <w:vAlign w:val="top"/>
          </w:tcPr>
          <w:p w14:paraId="2E92EA3E">
            <w:pPr>
              <w:pStyle w:val="111"/>
              <w:spacing w:before="133" w:line="276" w:lineRule="auto"/>
              <w:ind w:left="7" w:right="4"/>
              <w:rPr>
                <w:rFonts w:ascii="宋体" w:hAnsi="宋体" w:cs="宋体"/>
                <w:kern w:val="2"/>
                <w:sz w:val="21"/>
                <w:szCs w:val="21"/>
                <w:lang w:eastAsia="zh-CN"/>
              </w:rPr>
            </w:pPr>
            <w:r>
              <w:rPr>
                <w:rFonts w:hint="eastAsia" w:ascii="宋体" w:hAnsi="宋体" w:cs="宋体"/>
                <w:spacing w:val="10"/>
                <w:kern w:val="2"/>
                <w:sz w:val="21"/>
                <w:szCs w:val="21"/>
                <w:lang w:eastAsia="zh-CN"/>
              </w:rPr>
              <w:t>《普通照明用双端荧光灯能效限定值及能效等级》（GB19043）</w:t>
            </w:r>
          </w:p>
        </w:tc>
      </w:tr>
      <w:tr w14:paraId="2B0FD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continue"/>
            <w:tcBorders>
              <w:top w:val="single" w:color="000000" w:sz="4" w:space="0"/>
              <w:left w:val="single" w:color="000000" w:sz="4" w:space="0"/>
              <w:bottom w:val="single" w:color="000000" w:sz="4" w:space="0"/>
              <w:right w:val="single" w:color="000000" w:sz="4" w:space="0"/>
            </w:tcBorders>
            <w:noWrap w:val="0"/>
            <w:vAlign w:val="center"/>
          </w:tcPr>
          <w:p w14:paraId="2234C4E2">
            <w:pPr>
              <w:widowControl/>
              <w:jc w:val="left"/>
              <w:rPr>
                <w:rFonts w:ascii="宋体" w:hAnsi="宋体" w:cs="宋体"/>
                <w:szCs w:val="21"/>
              </w:rPr>
            </w:pPr>
          </w:p>
        </w:tc>
        <w:tc>
          <w:tcPr>
            <w:tcW w:w="834" w:type="pct"/>
            <w:vMerge w:val="continue"/>
            <w:tcBorders>
              <w:top w:val="single" w:color="000000" w:sz="4" w:space="0"/>
              <w:left w:val="single" w:color="000000" w:sz="4" w:space="0"/>
              <w:bottom w:val="single" w:color="000000" w:sz="4" w:space="0"/>
              <w:right w:val="single" w:color="000000" w:sz="4" w:space="0"/>
            </w:tcBorders>
            <w:noWrap w:val="0"/>
            <w:vAlign w:val="center"/>
          </w:tcPr>
          <w:p w14:paraId="05AB0B15">
            <w:pPr>
              <w:widowControl/>
              <w:jc w:val="left"/>
              <w:rPr>
                <w:rFonts w:ascii="宋体" w:hAnsi="宋体" w:cs="宋体"/>
                <w:szCs w:val="21"/>
              </w:rPr>
            </w:pPr>
          </w:p>
        </w:tc>
        <w:tc>
          <w:tcPr>
            <w:tcW w:w="878" w:type="pct"/>
            <w:tcBorders>
              <w:top w:val="single" w:color="000000" w:sz="4" w:space="0"/>
              <w:left w:val="single" w:color="000000" w:sz="4" w:space="0"/>
              <w:bottom w:val="single" w:color="000000" w:sz="4" w:space="0"/>
              <w:right w:val="single" w:color="000000" w:sz="4" w:space="0"/>
            </w:tcBorders>
            <w:noWrap w:val="0"/>
            <w:vAlign w:val="center"/>
          </w:tcPr>
          <w:p w14:paraId="2D5BD73D">
            <w:pPr>
              <w:pStyle w:val="111"/>
              <w:spacing w:before="92" w:line="276" w:lineRule="auto"/>
              <w:ind w:left="7" w:right="2"/>
              <w:jc w:val="center"/>
              <w:rPr>
                <w:rFonts w:ascii="宋体" w:hAnsi="宋体" w:cs="宋体"/>
                <w:kern w:val="2"/>
                <w:sz w:val="21"/>
                <w:szCs w:val="21"/>
              </w:rPr>
            </w:pPr>
            <w:r>
              <w:rPr>
                <w:rFonts w:hint="eastAsia" w:ascii="宋体" w:hAnsi="宋体" w:cs="宋体"/>
                <w:spacing w:val="1"/>
                <w:w w:val="99"/>
                <w:kern w:val="2"/>
                <w:sz w:val="21"/>
                <w:szCs w:val="21"/>
              </w:rPr>
              <w:t>LE</w:t>
            </w:r>
            <w:r>
              <w:rPr>
                <w:rFonts w:hint="eastAsia" w:ascii="宋体" w:hAnsi="宋体" w:cs="宋体"/>
                <w:w w:val="99"/>
                <w:kern w:val="2"/>
                <w:sz w:val="21"/>
                <w:szCs w:val="21"/>
              </w:rPr>
              <w:t>D</w:t>
            </w:r>
            <w:r>
              <w:rPr>
                <w:rFonts w:hint="eastAsia" w:ascii="宋体" w:hAnsi="宋体" w:cs="宋体"/>
                <w:spacing w:val="12"/>
                <w:w w:val="99"/>
                <w:kern w:val="2"/>
                <w:sz w:val="21"/>
                <w:szCs w:val="21"/>
              </w:rPr>
              <w:t>道</w:t>
            </w:r>
            <w:r>
              <w:rPr>
                <w:rFonts w:hint="eastAsia" w:ascii="宋体" w:hAnsi="宋体" w:cs="宋体"/>
                <w:spacing w:val="9"/>
                <w:w w:val="99"/>
                <w:kern w:val="2"/>
                <w:sz w:val="21"/>
                <w:szCs w:val="21"/>
              </w:rPr>
              <w:t>路</w:t>
            </w:r>
            <w:r>
              <w:rPr>
                <w:rFonts w:hint="eastAsia" w:ascii="宋体" w:hAnsi="宋体" w:cs="宋体"/>
                <w:spacing w:val="13"/>
                <w:w w:val="99"/>
                <w:kern w:val="2"/>
                <w:sz w:val="21"/>
                <w:szCs w:val="21"/>
              </w:rPr>
              <w:t>/</w:t>
            </w:r>
            <w:r>
              <w:rPr>
                <w:rFonts w:hint="eastAsia" w:ascii="宋体" w:hAnsi="宋体" w:cs="宋体"/>
                <w:spacing w:val="12"/>
                <w:w w:val="99"/>
                <w:kern w:val="2"/>
                <w:sz w:val="21"/>
                <w:szCs w:val="21"/>
              </w:rPr>
              <w:t>隧道照</w:t>
            </w:r>
            <w:r>
              <w:rPr>
                <w:rFonts w:hint="eastAsia" w:ascii="宋体" w:hAnsi="宋体" w:cs="宋体"/>
                <w:w w:val="99"/>
                <w:kern w:val="2"/>
                <w:sz w:val="21"/>
                <w:szCs w:val="21"/>
              </w:rPr>
              <w:t>明产品</w:t>
            </w: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6C7996D7">
            <w:pPr>
              <w:jc w:val="center"/>
              <w:rPr>
                <w:rFonts w:ascii="宋体" w:hAnsi="宋体"/>
                <w:szCs w:val="21"/>
              </w:rPr>
            </w:pPr>
          </w:p>
        </w:tc>
        <w:tc>
          <w:tcPr>
            <w:tcW w:w="2092" w:type="pct"/>
            <w:tcBorders>
              <w:top w:val="single" w:color="000000" w:sz="4" w:space="0"/>
              <w:left w:val="single" w:color="000000" w:sz="4" w:space="0"/>
              <w:bottom w:val="single" w:color="000000" w:sz="4" w:space="0"/>
              <w:right w:val="single" w:color="000000" w:sz="4" w:space="0"/>
            </w:tcBorders>
            <w:noWrap w:val="0"/>
            <w:vAlign w:val="top"/>
          </w:tcPr>
          <w:p w14:paraId="53110E70">
            <w:pPr>
              <w:pStyle w:val="111"/>
              <w:spacing w:before="92" w:line="276" w:lineRule="auto"/>
              <w:ind w:left="7" w:right="7"/>
              <w:rPr>
                <w:rFonts w:ascii="宋体" w:hAnsi="宋体" w:cs="宋体"/>
                <w:kern w:val="2"/>
                <w:sz w:val="21"/>
                <w:szCs w:val="21"/>
                <w:lang w:eastAsia="zh-CN"/>
              </w:rPr>
            </w:pPr>
            <w:r>
              <w:rPr>
                <w:rFonts w:hint="eastAsia" w:ascii="宋体" w:hAnsi="宋体" w:cs="宋体"/>
                <w:spacing w:val="10"/>
                <w:kern w:val="2"/>
                <w:sz w:val="21"/>
                <w:szCs w:val="21"/>
                <w:lang w:eastAsia="zh-CN"/>
              </w:rPr>
              <w:t>《道路和隧道照明用LED灯具能效限定值及能效等级》（GB37478</w:t>
            </w:r>
            <w:r>
              <w:rPr>
                <w:rFonts w:ascii="宋体" w:hAnsi="宋体" w:cs="宋体"/>
                <w:spacing w:val="10"/>
                <w:kern w:val="2"/>
                <w:sz w:val="21"/>
                <w:szCs w:val="21"/>
                <w:lang w:eastAsia="zh-CN"/>
              </w:rPr>
              <w:t>）</w:t>
            </w:r>
          </w:p>
        </w:tc>
      </w:tr>
      <w:tr w14:paraId="348FA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continue"/>
            <w:tcBorders>
              <w:top w:val="single" w:color="000000" w:sz="4" w:space="0"/>
              <w:left w:val="single" w:color="000000" w:sz="4" w:space="0"/>
              <w:bottom w:val="single" w:color="000000" w:sz="4" w:space="0"/>
              <w:right w:val="single" w:color="000000" w:sz="4" w:space="0"/>
            </w:tcBorders>
            <w:noWrap w:val="0"/>
            <w:vAlign w:val="center"/>
          </w:tcPr>
          <w:p w14:paraId="116AD9A8">
            <w:pPr>
              <w:widowControl/>
              <w:jc w:val="left"/>
              <w:rPr>
                <w:rFonts w:ascii="宋体" w:hAnsi="宋体" w:cs="宋体"/>
                <w:szCs w:val="21"/>
              </w:rPr>
            </w:pPr>
          </w:p>
        </w:tc>
        <w:tc>
          <w:tcPr>
            <w:tcW w:w="834" w:type="pct"/>
            <w:vMerge w:val="continue"/>
            <w:tcBorders>
              <w:top w:val="single" w:color="000000" w:sz="4" w:space="0"/>
              <w:left w:val="single" w:color="000000" w:sz="4" w:space="0"/>
              <w:bottom w:val="single" w:color="000000" w:sz="4" w:space="0"/>
              <w:right w:val="single" w:color="000000" w:sz="4" w:space="0"/>
            </w:tcBorders>
            <w:noWrap w:val="0"/>
            <w:vAlign w:val="center"/>
          </w:tcPr>
          <w:p w14:paraId="469C4489">
            <w:pPr>
              <w:widowControl/>
              <w:jc w:val="left"/>
              <w:rPr>
                <w:rFonts w:ascii="宋体" w:hAnsi="宋体" w:cs="宋体"/>
                <w:szCs w:val="21"/>
              </w:rPr>
            </w:pPr>
          </w:p>
        </w:tc>
        <w:tc>
          <w:tcPr>
            <w:tcW w:w="878" w:type="pct"/>
            <w:tcBorders>
              <w:top w:val="single" w:color="000000" w:sz="4" w:space="0"/>
              <w:left w:val="single" w:color="000000" w:sz="4" w:space="0"/>
              <w:bottom w:val="single" w:color="000000" w:sz="4" w:space="0"/>
              <w:right w:val="single" w:color="000000" w:sz="4" w:space="0"/>
            </w:tcBorders>
            <w:noWrap w:val="0"/>
            <w:vAlign w:val="center"/>
          </w:tcPr>
          <w:p w14:paraId="162ECD0A">
            <w:pPr>
              <w:pStyle w:val="111"/>
              <w:jc w:val="center"/>
              <w:rPr>
                <w:rFonts w:ascii="宋体" w:hAnsi="宋体" w:cs="宋体"/>
                <w:kern w:val="2"/>
                <w:sz w:val="21"/>
                <w:szCs w:val="21"/>
              </w:rPr>
            </w:pPr>
            <w:r>
              <w:rPr>
                <w:rFonts w:hint="eastAsia" w:ascii="宋体" w:hAnsi="宋体" w:cs="宋体"/>
                <w:spacing w:val="1"/>
                <w:w w:val="99"/>
                <w:kern w:val="2"/>
                <w:sz w:val="21"/>
                <w:szCs w:val="21"/>
              </w:rPr>
              <w:t>LE</w:t>
            </w:r>
            <w:r>
              <w:rPr>
                <w:rFonts w:hint="eastAsia" w:ascii="宋体" w:hAnsi="宋体" w:cs="宋体"/>
                <w:w w:val="99"/>
                <w:kern w:val="2"/>
                <w:sz w:val="21"/>
                <w:szCs w:val="21"/>
              </w:rPr>
              <w:t>D筒灯</w:t>
            </w: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0334435D">
            <w:pPr>
              <w:jc w:val="center"/>
              <w:rPr>
                <w:rFonts w:ascii="宋体" w:hAnsi="宋体"/>
                <w:szCs w:val="21"/>
              </w:rPr>
            </w:pPr>
          </w:p>
        </w:tc>
        <w:tc>
          <w:tcPr>
            <w:tcW w:w="2092" w:type="pct"/>
            <w:tcBorders>
              <w:top w:val="single" w:color="000000" w:sz="4" w:space="0"/>
              <w:left w:val="single" w:color="000000" w:sz="4" w:space="0"/>
              <w:bottom w:val="single" w:color="000000" w:sz="4" w:space="0"/>
              <w:right w:val="single" w:color="000000" w:sz="4" w:space="0"/>
            </w:tcBorders>
            <w:noWrap w:val="0"/>
            <w:vAlign w:val="top"/>
          </w:tcPr>
          <w:p w14:paraId="7E54EB2C">
            <w:pPr>
              <w:pStyle w:val="111"/>
              <w:spacing w:before="83" w:line="276" w:lineRule="auto"/>
              <w:ind w:left="7" w:right="7"/>
              <w:rPr>
                <w:rFonts w:ascii="宋体" w:hAnsi="宋体" w:cs="宋体"/>
                <w:kern w:val="2"/>
                <w:sz w:val="21"/>
                <w:szCs w:val="21"/>
                <w:lang w:eastAsia="zh-CN"/>
              </w:rPr>
            </w:pPr>
            <w:r>
              <w:rPr>
                <w:rFonts w:hint="eastAsia" w:ascii="宋体" w:hAnsi="宋体" w:cs="宋体"/>
                <w:spacing w:val="10"/>
                <w:kern w:val="2"/>
                <w:sz w:val="21"/>
                <w:szCs w:val="21"/>
                <w:lang w:eastAsia="zh-CN"/>
              </w:rPr>
              <w:t>《室内照明用LED产品能效限定值及能效等级》（GB30255）</w:t>
            </w:r>
          </w:p>
        </w:tc>
      </w:tr>
      <w:tr w14:paraId="69BE3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continue"/>
            <w:tcBorders>
              <w:top w:val="single" w:color="000000" w:sz="4" w:space="0"/>
              <w:left w:val="single" w:color="000000" w:sz="4" w:space="0"/>
              <w:bottom w:val="single" w:color="000000" w:sz="4" w:space="0"/>
              <w:right w:val="single" w:color="000000" w:sz="4" w:space="0"/>
            </w:tcBorders>
            <w:noWrap w:val="0"/>
            <w:vAlign w:val="center"/>
          </w:tcPr>
          <w:p w14:paraId="592BD958">
            <w:pPr>
              <w:widowControl/>
              <w:jc w:val="left"/>
              <w:rPr>
                <w:rFonts w:ascii="宋体" w:hAnsi="宋体" w:cs="宋体"/>
                <w:szCs w:val="21"/>
              </w:rPr>
            </w:pPr>
          </w:p>
        </w:tc>
        <w:tc>
          <w:tcPr>
            <w:tcW w:w="834" w:type="pct"/>
            <w:vMerge w:val="continue"/>
            <w:tcBorders>
              <w:top w:val="single" w:color="000000" w:sz="4" w:space="0"/>
              <w:left w:val="single" w:color="000000" w:sz="4" w:space="0"/>
              <w:bottom w:val="single" w:color="000000" w:sz="4" w:space="0"/>
              <w:right w:val="single" w:color="000000" w:sz="4" w:space="0"/>
            </w:tcBorders>
            <w:noWrap w:val="0"/>
            <w:vAlign w:val="center"/>
          </w:tcPr>
          <w:p w14:paraId="370C6EB4">
            <w:pPr>
              <w:widowControl/>
              <w:jc w:val="left"/>
              <w:rPr>
                <w:rFonts w:ascii="宋体" w:hAnsi="宋体" w:cs="宋体"/>
                <w:szCs w:val="21"/>
              </w:rPr>
            </w:pPr>
          </w:p>
        </w:tc>
        <w:tc>
          <w:tcPr>
            <w:tcW w:w="878" w:type="pct"/>
            <w:tcBorders>
              <w:top w:val="single" w:color="000000" w:sz="4" w:space="0"/>
              <w:left w:val="single" w:color="000000" w:sz="4" w:space="0"/>
              <w:bottom w:val="single" w:color="000000" w:sz="4" w:space="0"/>
              <w:right w:val="single" w:color="000000" w:sz="4" w:space="0"/>
            </w:tcBorders>
            <w:noWrap w:val="0"/>
            <w:vAlign w:val="center"/>
          </w:tcPr>
          <w:p w14:paraId="3DFC6FE1">
            <w:pPr>
              <w:pStyle w:val="111"/>
              <w:spacing w:line="276" w:lineRule="auto"/>
              <w:ind w:right="7"/>
              <w:jc w:val="center"/>
              <w:rPr>
                <w:rFonts w:ascii="宋体" w:hAnsi="宋体" w:cs="宋体"/>
                <w:kern w:val="2"/>
                <w:sz w:val="21"/>
                <w:szCs w:val="21"/>
                <w:lang w:eastAsia="zh-CN"/>
              </w:rPr>
            </w:pPr>
            <w:r>
              <w:rPr>
                <w:rFonts w:hint="eastAsia" w:ascii="宋体" w:hAnsi="宋体" w:cs="宋体"/>
                <w:w w:val="99"/>
                <w:kern w:val="2"/>
                <w:sz w:val="21"/>
                <w:szCs w:val="21"/>
                <w:lang w:eastAsia="zh-CN"/>
              </w:rPr>
              <w:t>普</w:t>
            </w:r>
            <w:r>
              <w:rPr>
                <w:rFonts w:hint="eastAsia" w:ascii="宋体" w:hAnsi="宋体" w:cs="宋体"/>
                <w:spacing w:val="24"/>
                <w:w w:val="99"/>
                <w:kern w:val="2"/>
                <w:sz w:val="21"/>
                <w:szCs w:val="21"/>
                <w:lang w:eastAsia="zh-CN"/>
              </w:rPr>
              <w:t>通</w:t>
            </w:r>
            <w:r>
              <w:rPr>
                <w:rFonts w:hint="eastAsia" w:ascii="宋体" w:hAnsi="宋体" w:cs="宋体"/>
                <w:w w:val="99"/>
                <w:kern w:val="2"/>
                <w:sz w:val="21"/>
                <w:szCs w:val="21"/>
                <w:lang w:eastAsia="zh-CN"/>
              </w:rPr>
              <w:t>照明用非</w:t>
            </w:r>
            <w:r>
              <w:rPr>
                <w:rFonts w:hint="eastAsia" w:ascii="宋体" w:hAnsi="宋体" w:cs="宋体"/>
                <w:spacing w:val="24"/>
                <w:w w:val="99"/>
                <w:kern w:val="2"/>
                <w:sz w:val="21"/>
                <w:szCs w:val="21"/>
                <w:lang w:eastAsia="zh-CN"/>
              </w:rPr>
              <w:t>定</w:t>
            </w:r>
            <w:r>
              <w:rPr>
                <w:rFonts w:hint="eastAsia" w:ascii="宋体" w:hAnsi="宋体" w:cs="宋体"/>
                <w:w w:val="99"/>
                <w:kern w:val="2"/>
                <w:sz w:val="21"/>
                <w:szCs w:val="21"/>
                <w:lang w:eastAsia="zh-CN"/>
              </w:rPr>
              <w:t>向自镇流</w:t>
            </w:r>
            <w:r>
              <w:rPr>
                <w:rFonts w:hint="eastAsia" w:ascii="宋体" w:hAnsi="宋体" w:cs="宋体"/>
                <w:spacing w:val="1"/>
                <w:w w:val="99"/>
                <w:kern w:val="2"/>
                <w:sz w:val="21"/>
                <w:szCs w:val="21"/>
                <w:lang w:eastAsia="zh-CN"/>
              </w:rPr>
              <w:t>LE</w:t>
            </w:r>
            <w:r>
              <w:rPr>
                <w:rFonts w:hint="eastAsia" w:ascii="宋体" w:hAnsi="宋体" w:cs="宋体"/>
                <w:w w:val="99"/>
                <w:kern w:val="2"/>
                <w:sz w:val="21"/>
                <w:szCs w:val="21"/>
                <w:lang w:eastAsia="zh-CN"/>
              </w:rPr>
              <w:t>D灯</w:t>
            </w: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5DF6A74F">
            <w:pPr>
              <w:jc w:val="center"/>
              <w:rPr>
                <w:rFonts w:ascii="宋体" w:hAnsi="宋体"/>
                <w:szCs w:val="21"/>
              </w:rPr>
            </w:pPr>
          </w:p>
        </w:tc>
        <w:tc>
          <w:tcPr>
            <w:tcW w:w="2092" w:type="pct"/>
            <w:tcBorders>
              <w:top w:val="single" w:color="000000" w:sz="4" w:space="0"/>
              <w:left w:val="single" w:color="000000" w:sz="4" w:space="0"/>
              <w:bottom w:val="single" w:color="000000" w:sz="4" w:space="0"/>
              <w:right w:val="single" w:color="000000" w:sz="4" w:space="0"/>
            </w:tcBorders>
            <w:noWrap w:val="0"/>
            <w:vAlign w:val="top"/>
          </w:tcPr>
          <w:p w14:paraId="4E9BB2AE">
            <w:pPr>
              <w:pStyle w:val="111"/>
              <w:spacing w:line="276" w:lineRule="auto"/>
              <w:ind w:left="7" w:right="7"/>
              <w:rPr>
                <w:rFonts w:ascii="宋体" w:hAnsi="宋体" w:cs="宋体"/>
                <w:kern w:val="2"/>
                <w:sz w:val="21"/>
                <w:szCs w:val="21"/>
                <w:lang w:eastAsia="zh-CN"/>
              </w:rPr>
            </w:pPr>
            <w:r>
              <w:rPr>
                <w:rFonts w:hint="eastAsia" w:ascii="宋体" w:hAnsi="宋体" w:cs="宋体"/>
                <w:spacing w:val="10"/>
                <w:kern w:val="2"/>
                <w:sz w:val="21"/>
                <w:szCs w:val="21"/>
                <w:lang w:eastAsia="zh-CN"/>
              </w:rPr>
              <w:t>《室内照明用LED产品能效限定值及能效等级》（GB30255）</w:t>
            </w:r>
          </w:p>
        </w:tc>
      </w:tr>
      <w:tr w14:paraId="65615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tcBorders>
              <w:top w:val="single" w:color="000000" w:sz="4" w:space="0"/>
              <w:left w:val="single" w:color="000000" w:sz="4" w:space="0"/>
              <w:bottom w:val="single" w:color="000000" w:sz="4" w:space="0"/>
              <w:right w:val="single" w:color="000000" w:sz="4" w:space="0"/>
            </w:tcBorders>
            <w:noWrap w:val="0"/>
            <w:vAlign w:val="center"/>
          </w:tcPr>
          <w:p w14:paraId="6C66368A">
            <w:pPr>
              <w:pStyle w:val="111"/>
              <w:jc w:val="center"/>
              <w:rPr>
                <w:rFonts w:ascii="宋体" w:hAnsi="宋体" w:cs="宋体"/>
                <w:kern w:val="2"/>
                <w:sz w:val="21"/>
                <w:szCs w:val="21"/>
              </w:rPr>
            </w:pPr>
            <w:r>
              <w:rPr>
                <w:rFonts w:hint="eastAsia" w:ascii="宋体" w:hAnsi="宋体"/>
                <w:spacing w:val="1"/>
                <w:w w:val="99"/>
                <w:kern w:val="2"/>
                <w:sz w:val="21"/>
                <w:szCs w:val="21"/>
              </w:rPr>
              <w:t>1</w:t>
            </w:r>
            <w:r>
              <w:rPr>
                <w:rFonts w:hint="eastAsia" w:ascii="宋体" w:hAnsi="宋体"/>
                <w:w w:val="99"/>
                <w:kern w:val="2"/>
                <w:sz w:val="21"/>
                <w:szCs w:val="21"/>
              </w:rPr>
              <w:t>2</w:t>
            </w:r>
          </w:p>
        </w:tc>
        <w:tc>
          <w:tcPr>
            <w:tcW w:w="834" w:type="pct"/>
            <w:tcBorders>
              <w:top w:val="single" w:color="000000" w:sz="4" w:space="0"/>
              <w:left w:val="single" w:color="000000" w:sz="4" w:space="0"/>
              <w:bottom w:val="single" w:color="000000" w:sz="4" w:space="0"/>
              <w:right w:val="single" w:color="000000" w:sz="4" w:space="0"/>
            </w:tcBorders>
            <w:noWrap w:val="0"/>
            <w:vAlign w:val="center"/>
          </w:tcPr>
          <w:p w14:paraId="04C9F1B7">
            <w:pPr>
              <w:pStyle w:val="111"/>
              <w:spacing w:before="81"/>
              <w:ind w:left="7"/>
              <w:jc w:val="center"/>
              <w:rPr>
                <w:rFonts w:ascii="宋体" w:hAnsi="宋体" w:cs="宋体"/>
                <w:kern w:val="2"/>
                <w:sz w:val="21"/>
                <w:szCs w:val="21"/>
              </w:rPr>
            </w:pPr>
            <w:r>
              <w:rPr>
                <w:rFonts w:hint="eastAsia" w:ascii="宋体" w:hAnsi="宋体" w:cs="宋体"/>
                <w:w w:val="99"/>
                <w:kern w:val="2"/>
                <w:sz w:val="21"/>
                <w:szCs w:val="21"/>
              </w:rPr>
              <w:t>★</w:t>
            </w:r>
            <w:r>
              <w:rPr>
                <w:rFonts w:hint="eastAsia" w:ascii="宋体" w:hAnsi="宋体" w:cs="宋体"/>
                <w:spacing w:val="1"/>
                <w:w w:val="99"/>
                <w:kern w:val="2"/>
                <w:sz w:val="21"/>
                <w:szCs w:val="21"/>
              </w:rPr>
              <w:t>A020</w:t>
            </w:r>
            <w:r>
              <w:rPr>
                <w:rFonts w:hint="eastAsia" w:ascii="宋体" w:hAnsi="宋体" w:cs="宋体"/>
                <w:w w:val="99"/>
                <w:kern w:val="2"/>
                <w:sz w:val="21"/>
                <w:szCs w:val="21"/>
              </w:rPr>
              <w:t>91000电视设备</w:t>
            </w:r>
          </w:p>
        </w:tc>
        <w:tc>
          <w:tcPr>
            <w:tcW w:w="878" w:type="pct"/>
            <w:tcBorders>
              <w:top w:val="single" w:color="000000" w:sz="4" w:space="0"/>
              <w:left w:val="single" w:color="000000" w:sz="4" w:space="0"/>
              <w:bottom w:val="single" w:color="000000" w:sz="4" w:space="0"/>
              <w:right w:val="single" w:color="000000" w:sz="4" w:space="0"/>
            </w:tcBorders>
            <w:noWrap w:val="0"/>
            <w:vAlign w:val="center"/>
          </w:tcPr>
          <w:p w14:paraId="6565C683">
            <w:pPr>
              <w:pStyle w:val="111"/>
              <w:spacing w:before="81" w:line="276" w:lineRule="auto"/>
              <w:ind w:left="7" w:right="5"/>
              <w:jc w:val="center"/>
              <w:rPr>
                <w:rFonts w:ascii="宋体" w:hAnsi="宋体" w:cs="宋体"/>
                <w:kern w:val="2"/>
                <w:sz w:val="21"/>
                <w:szCs w:val="21"/>
                <w:lang w:eastAsia="zh-CN"/>
              </w:rPr>
            </w:pPr>
            <w:r>
              <w:rPr>
                <w:rFonts w:hint="eastAsia" w:ascii="宋体" w:hAnsi="宋体" w:cs="宋体"/>
                <w:spacing w:val="1"/>
                <w:w w:val="99"/>
                <w:kern w:val="2"/>
                <w:sz w:val="21"/>
                <w:szCs w:val="21"/>
                <w:lang w:eastAsia="zh-CN"/>
              </w:rPr>
              <w:t>A02</w:t>
            </w:r>
            <w:r>
              <w:rPr>
                <w:rFonts w:hint="eastAsia" w:ascii="宋体" w:hAnsi="宋体" w:cs="宋体"/>
                <w:w w:val="99"/>
                <w:kern w:val="2"/>
                <w:sz w:val="21"/>
                <w:szCs w:val="21"/>
                <w:lang w:eastAsia="zh-CN"/>
              </w:rPr>
              <w:t>09</w:t>
            </w:r>
            <w:r>
              <w:rPr>
                <w:rFonts w:hint="eastAsia" w:ascii="宋体" w:hAnsi="宋体" w:cs="宋体"/>
                <w:spacing w:val="1"/>
                <w:w w:val="99"/>
                <w:kern w:val="2"/>
                <w:sz w:val="21"/>
                <w:szCs w:val="21"/>
                <w:lang w:eastAsia="zh-CN"/>
              </w:rPr>
              <w:t>1</w:t>
            </w:r>
            <w:r>
              <w:rPr>
                <w:rFonts w:hint="eastAsia" w:ascii="宋体" w:hAnsi="宋体" w:cs="宋体"/>
                <w:w w:val="99"/>
                <w:kern w:val="2"/>
                <w:sz w:val="21"/>
                <w:szCs w:val="21"/>
                <w:lang w:eastAsia="zh-CN"/>
              </w:rPr>
              <w:t>001普通电视设备（</w:t>
            </w:r>
            <w:r>
              <w:rPr>
                <w:rFonts w:hint="eastAsia" w:ascii="宋体" w:hAnsi="宋体" w:cs="宋体"/>
                <w:spacing w:val="2"/>
                <w:w w:val="99"/>
                <w:kern w:val="2"/>
                <w:sz w:val="21"/>
                <w:szCs w:val="21"/>
                <w:lang w:eastAsia="zh-CN"/>
              </w:rPr>
              <w:t>电</w:t>
            </w:r>
            <w:r>
              <w:rPr>
                <w:rFonts w:hint="eastAsia" w:ascii="宋体" w:hAnsi="宋体" w:cs="宋体"/>
                <w:w w:val="99"/>
                <w:kern w:val="2"/>
                <w:sz w:val="21"/>
                <w:szCs w:val="21"/>
                <w:lang w:eastAsia="zh-CN"/>
              </w:rPr>
              <w:t>视机）</w:t>
            </w: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3C8D0632">
            <w:pPr>
              <w:jc w:val="center"/>
              <w:rPr>
                <w:rFonts w:ascii="宋体" w:hAnsi="宋体"/>
                <w:szCs w:val="21"/>
              </w:rPr>
            </w:pPr>
          </w:p>
        </w:tc>
        <w:tc>
          <w:tcPr>
            <w:tcW w:w="2092" w:type="pct"/>
            <w:tcBorders>
              <w:top w:val="single" w:color="000000" w:sz="4" w:space="0"/>
              <w:left w:val="single" w:color="000000" w:sz="4" w:space="0"/>
              <w:bottom w:val="single" w:color="000000" w:sz="4" w:space="0"/>
              <w:right w:val="single" w:color="000000" w:sz="4" w:space="0"/>
            </w:tcBorders>
            <w:noWrap w:val="0"/>
            <w:vAlign w:val="top"/>
          </w:tcPr>
          <w:p w14:paraId="73F1FB28">
            <w:pPr>
              <w:pStyle w:val="111"/>
              <w:spacing w:before="81" w:line="276" w:lineRule="auto"/>
              <w:ind w:left="7" w:right="4"/>
              <w:rPr>
                <w:rFonts w:ascii="宋体" w:hAnsi="宋体" w:cs="宋体"/>
                <w:kern w:val="2"/>
                <w:sz w:val="21"/>
                <w:szCs w:val="21"/>
                <w:lang w:eastAsia="zh-CN"/>
              </w:rPr>
            </w:pPr>
            <w:r>
              <w:rPr>
                <w:rFonts w:hint="eastAsia" w:ascii="宋体" w:hAnsi="宋体" w:cs="宋体"/>
                <w:spacing w:val="12"/>
                <w:w w:val="99"/>
                <w:kern w:val="2"/>
                <w:sz w:val="21"/>
                <w:szCs w:val="21"/>
                <w:lang w:eastAsia="zh-CN"/>
              </w:rPr>
              <w:t>《平板电视与机顶盒能效限定值及能效等级</w:t>
            </w:r>
            <w:r>
              <w:rPr>
                <w:rFonts w:hint="eastAsia" w:ascii="宋体" w:hAnsi="宋体" w:cs="宋体"/>
                <w:w w:val="99"/>
                <w:kern w:val="2"/>
                <w:sz w:val="21"/>
                <w:szCs w:val="21"/>
                <w:lang w:eastAsia="zh-CN"/>
              </w:rPr>
              <w:t>》（</w:t>
            </w:r>
            <w:r>
              <w:rPr>
                <w:rFonts w:hint="eastAsia" w:ascii="宋体" w:hAnsi="宋体" w:cs="宋体"/>
                <w:spacing w:val="1"/>
                <w:w w:val="99"/>
                <w:kern w:val="2"/>
                <w:sz w:val="21"/>
                <w:szCs w:val="21"/>
                <w:lang w:eastAsia="zh-CN"/>
              </w:rPr>
              <w:t>G</w:t>
            </w:r>
            <w:r>
              <w:rPr>
                <w:rFonts w:hint="eastAsia" w:ascii="宋体" w:hAnsi="宋体" w:cs="宋体"/>
                <w:w w:val="99"/>
                <w:kern w:val="2"/>
                <w:sz w:val="21"/>
                <w:szCs w:val="21"/>
                <w:lang w:eastAsia="zh-CN"/>
              </w:rPr>
              <w:t>B</w:t>
            </w:r>
            <w:r>
              <w:rPr>
                <w:rFonts w:hint="eastAsia" w:ascii="宋体" w:hAnsi="宋体" w:cs="宋体"/>
                <w:spacing w:val="1"/>
                <w:w w:val="99"/>
                <w:kern w:val="2"/>
                <w:sz w:val="21"/>
                <w:szCs w:val="21"/>
                <w:lang w:eastAsia="zh-CN"/>
              </w:rPr>
              <w:t>248</w:t>
            </w:r>
            <w:r>
              <w:rPr>
                <w:rFonts w:hint="eastAsia" w:ascii="宋体" w:hAnsi="宋体" w:cs="宋体"/>
                <w:w w:val="99"/>
                <w:kern w:val="2"/>
                <w:sz w:val="21"/>
                <w:szCs w:val="21"/>
                <w:lang w:eastAsia="zh-CN"/>
              </w:rPr>
              <w:t>50）</w:t>
            </w:r>
          </w:p>
        </w:tc>
      </w:tr>
      <w:tr w14:paraId="12BE7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tcBorders>
              <w:top w:val="single" w:color="000000" w:sz="4" w:space="0"/>
              <w:left w:val="single" w:color="000000" w:sz="4" w:space="0"/>
              <w:bottom w:val="single" w:color="000000" w:sz="4" w:space="0"/>
              <w:right w:val="single" w:color="000000" w:sz="4" w:space="0"/>
            </w:tcBorders>
            <w:noWrap w:val="0"/>
            <w:vAlign w:val="center"/>
          </w:tcPr>
          <w:p w14:paraId="0C55C821">
            <w:pPr>
              <w:pStyle w:val="111"/>
              <w:jc w:val="center"/>
              <w:rPr>
                <w:rFonts w:ascii="宋体" w:hAnsi="宋体" w:cs="宋体"/>
                <w:kern w:val="2"/>
                <w:sz w:val="21"/>
                <w:szCs w:val="21"/>
              </w:rPr>
            </w:pPr>
            <w:r>
              <w:rPr>
                <w:rFonts w:hint="eastAsia" w:ascii="宋体" w:hAnsi="宋体"/>
                <w:spacing w:val="1"/>
                <w:w w:val="99"/>
                <w:kern w:val="2"/>
                <w:sz w:val="21"/>
                <w:szCs w:val="21"/>
              </w:rPr>
              <w:t>1</w:t>
            </w:r>
            <w:r>
              <w:rPr>
                <w:rFonts w:hint="eastAsia" w:ascii="宋体" w:hAnsi="宋体"/>
                <w:w w:val="99"/>
                <w:kern w:val="2"/>
                <w:sz w:val="21"/>
                <w:szCs w:val="21"/>
              </w:rPr>
              <w:t>3</w:t>
            </w:r>
          </w:p>
        </w:tc>
        <w:tc>
          <w:tcPr>
            <w:tcW w:w="834" w:type="pct"/>
            <w:tcBorders>
              <w:top w:val="single" w:color="000000" w:sz="4" w:space="0"/>
              <w:left w:val="single" w:color="000000" w:sz="4" w:space="0"/>
              <w:bottom w:val="single" w:color="000000" w:sz="4" w:space="0"/>
              <w:right w:val="single" w:color="000000" w:sz="4" w:space="0"/>
            </w:tcBorders>
            <w:noWrap w:val="0"/>
            <w:vAlign w:val="center"/>
          </w:tcPr>
          <w:p w14:paraId="5CC6C217">
            <w:pPr>
              <w:pStyle w:val="111"/>
              <w:jc w:val="center"/>
              <w:rPr>
                <w:rFonts w:ascii="宋体" w:hAnsi="宋体" w:cs="宋体"/>
                <w:kern w:val="2"/>
                <w:sz w:val="21"/>
                <w:szCs w:val="21"/>
              </w:rPr>
            </w:pPr>
            <w:r>
              <w:rPr>
                <w:rFonts w:hint="eastAsia" w:ascii="宋体" w:hAnsi="宋体" w:cs="宋体"/>
                <w:w w:val="99"/>
                <w:kern w:val="2"/>
                <w:sz w:val="21"/>
                <w:szCs w:val="21"/>
              </w:rPr>
              <w:t>★</w:t>
            </w:r>
            <w:r>
              <w:rPr>
                <w:rFonts w:hint="eastAsia" w:ascii="宋体" w:hAnsi="宋体" w:cs="宋体"/>
                <w:spacing w:val="1"/>
                <w:w w:val="99"/>
                <w:kern w:val="2"/>
                <w:sz w:val="21"/>
                <w:szCs w:val="21"/>
              </w:rPr>
              <w:t>A020</w:t>
            </w:r>
            <w:r>
              <w:rPr>
                <w:rFonts w:hint="eastAsia" w:ascii="宋体" w:hAnsi="宋体" w:cs="宋体"/>
                <w:w w:val="99"/>
                <w:kern w:val="2"/>
                <w:sz w:val="21"/>
                <w:szCs w:val="21"/>
              </w:rPr>
              <w:t>91100视频设备</w:t>
            </w:r>
          </w:p>
        </w:tc>
        <w:tc>
          <w:tcPr>
            <w:tcW w:w="878" w:type="pct"/>
            <w:tcBorders>
              <w:top w:val="single" w:color="000000" w:sz="4" w:space="0"/>
              <w:left w:val="single" w:color="000000" w:sz="4" w:space="0"/>
              <w:bottom w:val="single" w:color="000000" w:sz="4" w:space="0"/>
              <w:right w:val="single" w:color="000000" w:sz="4" w:space="0"/>
            </w:tcBorders>
            <w:noWrap w:val="0"/>
            <w:vAlign w:val="center"/>
          </w:tcPr>
          <w:p w14:paraId="710E8512">
            <w:pPr>
              <w:pStyle w:val="111"/>
              <w:spacing w:line="276" w:lineRule="auto"/>
              <w:ind w:right="5"/>
              <w:jc w:val="center"/>
              <w:rPr>
                <w:rFonts w:ascii="宋体" w:hAnsi="宋体" w:cs="宋体"/>
                <w:kern w:val="2"/>
                <w:sz w:val="21"/>
                <w:szCs w:val="21"/>
              </w:rPr>
            </w:pPr>
            <w:r>
              <w:rPr>
                <w:rFonts w:hint="eastAsia" w:ascii="宋体" w:hAnsi="宋体" w:cs="宋体"/>
                <w:spacing w:val="1"/>
                <w:w w:val="99"/>
                <w:kern w:val="2"/>
                <w:sz w:val="21"/>
                <w:szCs w:val="21"/>
              </w:rPr>
              <w:t>A02</w:t>
            </w:r>
            <w:r>
              <w:rPr>
                <w:rFonts w:hint="eastAsia" w:ascii="宋体" w:hAnsi="宋体" w:cs="宋体"/>
                <w:w w:val="99"/>
                <w:kern w:val="2"/>
                <w:sz w:val="21"/>
                <w:szCs w:val="21"/>
              </w:rPr>
              <w:t>09</w:t>
            </w:r>
            <w:r>
              <w:rPr>
                <w:rFonts w:hint="eastAsia" w:ascii="宋体" w:hAnsi="宋体" w:cs="宋体"/>
                <w:spacing w:val="1"/>
                <w:w w:val="99"/>
                <w:kern w:val="2"/>
                <w:sz w:val="21"/>
                <w:szCs w:val="21"/>
              </w:rPr>
              <w:t>1</w:t>
            </w:r>
            <w:r>
              <w:rPr>
                <w:rFonts w:hint="eastAsia" w:ascii="宋体" w:hAnsi="宋体" w:cs="宋体"/>
                <w:w w:val="99"/>
                <w:kern w:val="2"/>
                <w:sz w:val="21"/>
                <w:szCs w:val="21"/>
              </w:rPr>
              <w:t>107视频监控设备</w:t>
            </w: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1E13C9E7">
            <w:pPr>
              <w:pStyle w:val="111"/>
              <w:jc w:val="center"/>
              <w:rPr>
                <w:rFonts w:ascii="宋体" w:hAnsi="宋体" w:cs="宋体"/>
                <w:kern w:val="2"/>
                <w:sz w:val="21"/>
                <w:szCs w:val="21"/>
              </w:rPr>
            </w:pPr>
            <w:r>
              <w:rPr>
                <w:rFonts w:hint="eastAsia" w:ascii="宋体" w:hAnsi="宋体" w:cs="宋体"/>
                <w:w w:val="99"/>
                <w:kern w:val="2"/>
                <w:sz w:val="21"/>
                <w:szCs w:val="21"/>
              </w:rPr>
              <w:t>监视器</w:t>
            </w:r>
          </w:p>
        </w:tc>
        <w:tc>
          <w:tcPr>
            <w:tcW w:w="2092" w:type="pct"/>
            <w:tcBorders>
              <w:top w:val="single" w:color="000000" w:sz="4" w:space="0"/>
              <w:left w:val="single" w:color="000000" w:sz="4" w:space="0"/>
              <w:bottom w:val="single" w:color="000000" w:sz="4" w:space="0"/>
              <w:right w:val="single" w:color="000000" w:sz="4" w:space="0"/>
            </w:tcBorders>
            <w:noWrap w:val="0"/>
            <w:vAlign w:val="top"/>
          </w:tcPr>
          <w:p w14:paraId="31F8E861">
            <w:pPr>
              <w:pStyle w:val="111"/>
              <w:spacing w:before="28" w:line="276" w:lineRule="auto"/>
              <w:ind w:left="7" w:right="5"/>
              <w:rPr>
                <w:rFonts w:ascii="宋体" w:hAnsi="宋体" w:cs="宋体"/>
                <w:kern w:val="2"/>
                <w:sz w:val="21"/>
                <w:szCs w:val="21"/>
                <w:lang w:eastAsia="zh-CN"/>
              </w:rPr>
            </w:pPr>
            <w:r>
              <w:rPr>
                <w:rFonts w:hint="eastAsia" w:ascii="宋体" w:hAnsi="宋体" w:cs="宋体"/>
                <w:spacing w:val="12"/>
                <w:w w:val="99"/>
                <w:kern w:val="2"/>
                <w:sz w:val="21"/>
                <w:szCs w:val="21"/>
                <w:lang w:eastAsia="zh-CN"/>
              </w:rPr>
              <w:t>以射频信号为主要信号</w:t>
            </w:r>
            <w:r>
              <w:rPr>
                <w:rFonts w:hint="eastAsia" w:ascii="宋体" w:hAnsi="宋体" w:cs="宋体"/>
                <w:spacing w:val="9"/>
                <w:w w:val="99"/>
                <w:kern w:val="2"/>
                <w:sz w:val="21"/>
                <w:szCs w:val="21"/>
                <w:lang w:eastAsia="zh-CN"/>
              </w:rPr>
              <w:t>输</w:t>
            </w:r>
            <w:r>
              <w:rPr>
                <w:rFonts w:hint="eastAsia" w:ascii="宋体" w:hAnsi="宋体" w:cs="宋体"/>
                <w:spacing w:val="12"/>
                <w:w w:val="99"/>
                <w:kern w:val="2"/>
                <w:sz w:val="21"/>
                <w:szCs w:val="21"/>
                <w:lang w:eastAsia="zh-CN"/>
              </w:rPr>
              <w:t>入的</w:t>
            </w:r>
            <w:r>
              <w:rPr>
                <w:rFonts w:hint="eastAsia" w:ascii="宋体" w:hAnsi="宋体" w:cs="宋体"/>
                <w:w w:val="99"/>
                <w:kern w:val="2"/>
                <w:sz w:val="21"/>
                <w:szCs w:val="21"/>
                <w:lang w:eastAsia="zh-CN"/>
              </w:rPr>
              <w:t>监视器应</w:t>
            </w:r>
            <w:r>
              <w:rPr>
                <w:rFonts w:hint="eastAsia" w:ascii="宋体" w:hAnsi="宋体" w:cs="宋体"/>
                <w:spacing w:val="2"/>
                <w:w w:val="99"/>
                <w:kern w:val="2"/>
                <w:sz w:val="21"/>
                <w:szCs w:val="21"/>
                <w:lang w:eastAsia="zh-CN"/>
              </w:rPr>
              <w:t>符</w:t>
            </w:r>
            <w:r>
              <w:rPr>
                <w:rFonts w:hint="eastAsia" w:ascii="宋体" w:hAnsi="宋体" w:cs="宋体"/>
                <w:spacing w:val="-58"/>
                <w:w w:val="99"/>
                <w:kern w:val="2"/>
                <w:sz w:val="21"/>
                <w:szCs w:val="21"/>
                <w:lang w:eastAsia="zh-CN"/>
              </w:rPr>
              <w:t>合</w:t>
            </w:r>
            <w:r>
              <w:rPr>
                <w:rFonts w:hint="eastAsia" w:ascii="宋体" w:hAnsi="宋体" w:cs="宋体"/>
                <w:spacing w:val="2"/>
                <w:w w:val="99"/>
                <w:kern w:val="2"/>
                <w:sz w:val="21"/>
                <w:szCs w:val="21"/>
                <w:lang w:eastAsia="zh-CN"/>
              </w:rPr>
              <w:t>《</w:t>
            </w:r>
            <w:r>
              <w:rPr>
                <w:rFonts w:hint="eastAsia" w:ascii="宋体" w:hAnsi="宋体" w:cs="宋体"/>
                <w:w w:val="99"/>
                <w:kern w:val="2"/>
                <w:sz w:val="21"/>
                <w:szCs w:val="21"/>
                <w:lang w:eastAsia="zh-CN"/>
              </w:rPr>
              <w:t>平板电视与机顶盒能效限定值及能效等级》（</w:t>
            </w:r>
            <w:r>
              <w:rPr>
                <w:rFonts w:hint="eastAsia" w:ascii="宋体" w:hAnsi="宋体" w:cs="宋体"/>
                <w:spacing w:val="1"/>
                <w:w w:val="99"/>
                <w:kern w:val="2"/>
                <w:sz w:val="21"/>
                <w:szCs w:val="21"/>
                <w:lang w:eastAsia="zh-CN"/>
              </w:rPr>
              <w:t>G</w:t>
            </w:r>
            <w:r>
              <w:rPr>
                <w:rFonts w:hint="eastAsia" w:ascii="宋体" w:hAnsi="宋体" w:cs="宋体"/>
                <w:w w:val="99"/>
                <w:kern w:val="2"/>
                <w:sz w:val="21"/>
                <w:szCs w:val="21"/>
                <w:lang w:eastAsia="zh-CN"/>
              </w:rPr>
              <w:t>B</w:t>
            </w:r>
            <w:r>
              <w:rPr>
                <w:rFonts w:hint="eastAsia" w:ascii="宋体" w:hAnsi="宋体" w:cs="宋体"/>
                <w:spacing w:val="1"/>
                <w:w w:val="99"/>
                <w:kern w:val="2"/>
                <w:sz w:val="21"/>
                <w:szCs w:val="21"/>
                <w:lang w:eastAsia="zh-CN"/>
              </w:rPr>
              <w:t>24850</w:t>
            </w:r>
            <w:r>
              <w:rPr>
                <w:rFonts w:hint="eastAsia" w:ascii="宋体" w:hAnsi="宋体" w:cs="宋体"/>
                <w:spacing w:val="-3"/>
                <w:w w:val="99"/>
                <w:kern w:val="2"/>
                <w:sz w:val="21"/>
                <w:szCs w:val="21"/>
                <w:lang w:eastAsia="zh-CN"/>
              </w:rPr>
              <w:t>）</w:t>
            </w:r>
            <w:r>
              <w:rPr>
                <w:rFonts w:hint="eastAsia" w:ascii="宋体" w:hAnsi="宋体" w:cs="宋体"/>
                <w:w w:val="99"/>
                <w:kern w:val="2"/>
                <w:sz w:val="21"/>
                <w:szCs w:val="21"/>
                <w:lang w:eastAsia="zh-CN"/>
              </w:rPr>
              <w:t>，</w:t>
            </w:r>
            <w:r>
              <w:rPr>
                <w:rFonts w:hint="eastAsia" w:ascii="宋体" w:hAnsi="宋体" w:cs="宋体"/>
                <w:spacing w:val="12"/>
                <w:w w:val="99"/>
                <w:kern w:val="2"/>
                <w:sz w:val="21"/>
                <w:szCs w:val="21"/>
                <w:lang w:eastAsia="zh-CN"/>
              </w:rPr>
              <w:t>以数字信号为主要信号</w:t>
            </w:r>
            <w:r>
              <w:rPr>
                <w:rFonts w:hint="eastAsia" w:ascii="宋体" w:hAnsi="宋体" w:cs="宋体"/>
                <w:spacing w:val="9"/>
                <w:w w:val="99"/>
                <w:kern w:val="2"/>
                <w:sz w:val="21"/>
                <w:szCs w:val="21"/>
                <w:lang w:eastAsia="zh-CN"/>
              </w:rPr>
              <w:t>输</w:t>
            </w:r>
            <w:r>
              <w:rPr>
                <w:rFonts w:hint="eastAsia" w:ascii="宋体" w:hAnsi="宋体" w:cs="宋体"/>
                <w:spacing w:val="12"/>
                <w:w w:val="99"/>
                <w:kern w:val="2"/>
                <w:sz w:val="21"/>
                <w:szCs w:val="21"/>
                <w:lang w:eastAsia="zh-CN"/>
              </w:rPr>
              <w:t>入的</w:t>
            </w:r>
            <w:r>
              <w:rPr>
                <w:rFonts w:hint="eastAsia" w:ascii="宋体" w:hAnsi="宋体" w:cs="宋体"/>
                <w:w w:val="99"/>
                <w:kern w:val="2"/>
                <w:sz w:val="21"/>
                <w:szCs w:val="21"/>
                <w:lang w:eastAsia="zh-CN"/>
              </w:rPr>
              <w:t>监视器应</w:t>
            </w:r>
            <w:r>
              <w:rPr>
                <w:rFonts w:hint="eastAsia" w:ascii="宋体" w:hAnsi="宋体" w:cs="宋体"/>
                <w:spacing w:val="2"/>
                <w:w w:val="99"/>
                <w:kern w:val="2"/>
                <w:sz w:val="21"/>
                <w:szCs w:val="21"/>
                <w:lang w:eastAsia="zh-CN"/>
              </w:rPr>
              <w:t>符</w:t>
            </w:r>
            <w:r>
              <w:rPr>
                <w:rFonts w:hint="eastAsia" w:ascii="宋体" w:hAnsi="宋体" w:cs="宋体"/>
                <w:spacing w:val="-58"/>
                <w:w w:val="99"/>
                <w:kern w:val="2"/>
                <w:sz w:val="21"/>
                <w:szCs w:val="21"/>
                <w:lang w:eastAsia="zh-CN"/>
              </w:rPr>
              <w:t>合</w:t>
            </w:r>
            <w:r>
              <w:rPr>
                <w:rFonts w:hint="eastAsia" w:ascii="宋体" w:hAnsi="宋体" w:cs="宋体"/>
                <w:spacing w:val="2"/>
                <w:w w:val="99"/>
                <w:kern w:val="2"/>
                <w:sz w:val="21"/>
                <w:szCs w:val="21"/>
                <w:lang w:eastAsia="zh-CN"/>
              </w:rPr>
              <w:t>《</w:t>
            </w:r>
            <w:r>
              <w:rPr>
                <w:rFonts w:hint="eastAsia" w:ascii="宋体" w:hAnsi="宋体" w:cs="宋体"/>
                <w:w w:val="99"/>
                <w:kern w:val="2"/>
                <w:sz w:val="21"/>
                <w:szCs w:val="21"/>
                <w:lang w:eastAsia="zh-CN"/>
              </w:rPr>
              <w:t>计算</w:t>
            </w:r>
            <w:r>
              <w:rPr>
                <w:rFonts w:hint="eastAsia" w:ascii="宋体" w:hAnsi="宋体" w:cs="宋体"/>
                <w:spacing w:val="2"/>
                <w:w w:val="99"/>
                <w:kern w:val="2"/>
                <w:sz w:val="21"/>
                <w:szCs w:val="21"/>
                <w:lang w:eastAsia="zh-CN"/>
              </w:rPr>
              <w:t>机</w:t>
            </w:r>
            <w:r>
              <w:rPr>
                <w:rFonts w:hint="eastAsia" w:ascii="宋体" w:hAnsi="宋体" w:cs="宋体"/>
                <w:w w:val="99"/>
                <w:kern w:val="2"/>
                <w:sz w:val="21"/>
                <w:szCs w:val="21"/>
                <w:lang w:eastAsia="zh-CN"/>
              </w:rPr>
              <w:t>显示</w:t>
            </w:r>
            <w:r>
              <w:rPr>
                <w:rFonts w:hint="eastAsia" w:ascii="宋体" w:hAnsi="宋体" w:cs="宋体"/>
                <w:spacing w:val="2"/>
                <w:w w:val="99"/>
                <w:kern w:val="2"/>
                <w:sz w:val="21"/>
                <w:szCs w:val="21"/>
                <w:lang w:eastAsia="zh-CN"/>
              </w:rPr>
              <w:t>器</w:t>
            </w:r>
            <w:r>
              <w:rPr>
                <w:rFonts w:hint="eastAsia" w:ascii="宋体" w:hAnsi="宋体" w:cs="宋体"/>
                <w:w w:val="99"/>
                <w:kern w:val="2"/>
                <w:sz w:val="21"/>
                <w:szCs w:val="21"/>
                <w:lang w:eastAsia="zh-CN"/>
              </w:rPr>
              <w:t>能效限定值及</w:t>
            </w:r>
            <w:r>
              <w:rPr>
                <w:rFonts w:hint="eastAsia" w:ascii="宋体" w:hAnsi="宋体" w:cs="宋体"/>
                <w:spacing w:val="2"/>
                <w:w w:val="99"/>
                <w:kern w:val="2"/>
                <w:sz w:val="21"/>
                <w:szCs w:val="21"/>
                <w:lang w:eastAsia="zh-CN"/>
              </w:rPr>
              <w:t>能</w:t>
            </w:r>
            <w:r>
              <w:rPr>
                <w:rFonts w:hint="eastAsia" w:ascii="宋体" w:hAnsi="宋体" w:cs="宋体"/>
                <w:w w:val="99"/>
                <w:kern w:val="2"/>
                <w:sz w:val="21"/>
                <w:szCs w:val="21"/>
                <w:lang w:eastAsia="zh-CN"/>
              </w:rPr>
              <w:t>效等</w:t>
            </w:r>
            <w:r>
              <w:rPr>
                <w:rFonts w:hint="eastAsia" w:ascii="宋体" w:hAnsi="宋体" w:cs="宋体"/>
                <w:spacing w:val="2"/>
                <w:w w:val="99"/>
                <w:kern w:val="2"/>
                <w:sz w:val="21"/>
                <w:szCs w:val="21"/>
                <w:lang w:eastAsia="zh-CN"/>
              </w:rPr>
              <w:t>级</w:t>
            </w:r>
            <w:r>
              <w:rPr>
                <w:rFonts w:hint="eastAsia" w:ascii="宋体" w:hAnsi="宋体" w:cs="宋体"/>
                <w:w w:val="99"/>
                <w:kern w:val="2"/>
                <w:sz w:val="21"/>
                <w:szCs w:val="21"/>
                <w:lang w:eastAsia="zh-CN"/>
              </w:rPr>
              <w:t>》（</w:t>
            </w:r>
            <w:r>
              <w:rPr>
                <w:rFonts w:hint="eastAsia" w:ascii="宋体" w:hAnsi="宋体" w:cs="宋体"/>
                <w:spacing w:val="1"/>
                <w:w w:val="99"/>
                <w:kern w:val="2"/>
                <w:sz w:val="21"/>
                <w:szCs w:val="21"/>
                <w:lang w:eastAsia="zh-CN"/>
              </w:rPr>
              <w:t>G</w:t>
            </w:r>
            <w:r>
              <w:rPr>
                <w:rFonts w:hint="eastAsia" w:ascii="宋体" w:hAnsi="宋体" w:cs="宋体"/>
                <w:w w:val="99"/>
                <w:kern w:val="2"/>
                <w:sz w:val="21"/>
                <w:szCs w:val="21"/>
                <w:lang w:eastAsia="zh-CN"/>
              </w:rPr>
              <w:t>B</w:t>
            </w:r>
            <w:r>
              <w:rPr>
                <w:rFonts w:hint="eastAsia" w:ascii="宋体" w:hAnsi="宋体" w:cs="宋体"/>
                <w:spacing w:val="1"/>
                <w:w w:val="99"/>
                <w:kern w:val="2"/>
                <w:sz w:val="21"/>
                <w:szCs w:val="21"/>
                <w:lang w:eastAsia="zh-CN"/>
              </w:rPr>
              <w:t>21</w:t>
            </w:r>
            <w:r>
              <w:rPr>
                <w:rFonts w:hint="eastAsia" w:ascii="宋体" w:hAnsi="宋体" w:cs="宋体"/>
                <w:w w:val="99"/>
                <w:kern w:val="2"/>
                <w:sz w:val="21"/>
                <w:szCs w:val="21"/>
                <w:lang w:eastAsia="zh-CN"/>
              </w:rPr>
              <w:t>52</w:t>
            </w:r>
            <w:r>
              <w:rPr>
                <w:rFonts w:hint="eastAsia" w:ascii="宋体" w:hAnsi="宋体" w:cs="宋体"/>
                <w:spacing w:val="1"/>
                <w:w w:val="99"/>
                <w:kern w:val="2"/>
                <w:sz w:val="21"/>
                <w:szCs w:val="21"/>
                <w:lang w:eastAsia="zh-CN"/>
              </w:rPr>
              <w:t>0</w:t>
            </w:r>
            <w:r>
              <w:rPr>
                <w:rFonts w:hint="eastAsia" w:ascii="宋体" w:hAnsi="宋体" w:cs="宋体"/>
                <w:w w:val="99"/>
                <w:kern w:val="2"/>
                <w:sz w:val="21"/>
                <w:szCs w:val="21"/>
                <w:lang w:eastAsia="zh-CN"/>
              </w:rPr>
              <w:t>）</w:t>
            </w:r>
          </w:p>
        </w:tc>
      </w:tr>
      <w:tr w14:paraId="7AC02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tcBorders>
              <w:top w:val="single" w:color="000000" w:sz="4" w:space="0"/>
              <w:left w:val="single" w:color="000000" w:sz="4" w:space="0"/>
              <w:bottom w:val="single" w:color="000000" w:sz="4" w:space="0"/>
              <w:right w:val="single" w:color="000000" w:sz="4" w:space="0"/>
            </w:tcBorders>
            <w:noWrap w:val="0"/>
            <w:vAlign w:val="center"/>
          </w:tcPr>
          <w:p w14:paraId="1F5221F2">
            <w:pPr>
              <w:pStyle w:val="111"/>
              <w:jc w:val="center"/>
              <w:rPr>
                <w:rFonts w:ascii="宋体" w:hAnsi="宋体" w:cs="宋体"/>
                <w:kern w:val="2"/>
                <w:sz w:val="21"/>
                <w:szCs w:val="21"/>
              </w:rPr>
            </w:pPr>
            <w:r>
              <w:rPr>
                <w:rFonts w:hint="eastAsia" w:ascii="宋体" w:hAnsi="宋体"/>
                <w:spacing w:val="1"/>
                <w:w w:val="99"/>
                <w:kern w:val="2"/>
                <w:sz w:val="21"/>
                <w:szCs w:val="21"/>
              </w:rPr>
              <w:t>1</w:t>
            </w:r>
            <w:r>
              <w:rPr>
                <w:rFonts w:hint="eastAsia" w:ascii="宋体" w:hAnsi="宋体"/>
                <w:w w:val="99"/>
                <w:kern w:val="2"/>
                <w:sz w:val="21"/>
                <w:szCs w:val="21"/>
              </w:rPr>
              <w:t>4</w:t>
            </w:r>
          </w:p>
        </w:tc>
        <w:tc>
          <w:tcPr>
            <w:tcW w:w="834" w:type="pct"/>
            <w:tcBorders>
              <w:top w:val="single" w:color="000000" w:sz="4" w:space="0"/>
              <w:left w:val="single" w:color="000000" w:sz="4" w:space="0"/>
              <w:bottom w:val="single" w:color="000000" w:sz="4" w:space="0"/>
              <w:right w:val="single" w:color="000000" w:sz="4" w:space="0"/>
            </w:tcBorders>
            <w:noWrap w:val="0"/>
            <w:vAlign w:val="center"/>
          </w:tcPr>
          <w:p w14:paraId="24BC9FE7">
            <w:pPr>
              <w:pStyle w:val="111"/>
              <w:spacing w:before="76"/>
              <w:ind w:left="7"/>
              <w:jc w:val="center"/>
              <w:rPr>
                <w:rFonts w:ascii="宋体" w:hAnsi="宋体" w:cs="宋体"/>
                <w:kern w:val="2"/>
                <w:sz w:val="21"/>
                <w:szCs w:val="21"/>
              </w:rPr>
            </w:pPr>
            <w:r>
              <w:rPr>
                <w:rFonts w:hint="eastAsia" w:ascii="宋体" w:hAnsi="宋体" w:cs="仿宋_GB2312"/>
                <w:kern w:val="2"/>
                <w:sz w:val="21"/>
                <w:szCs w:val="21"/>
              </w:rPr>
              <w:t>A02241000</w:t>
            </w:r>
            <w:r>
              <w:rPr>
                <w:rFonts w:hint="eastAsia" w:ascii="宋体" w:hAnsi="宋体" w:cs="宋体"/>
                <w:w w:val="99"/>
                <w:kern w:val="2"/>
                <w:sz w:val="21"/>
                <w:szCs w:val="21"/>
              </w:rPr>
              <w:t>饮食炊事机械</w:t>
            </w:r>
          </w:p>
        </w:tc>
        <w:tc>
          <w:tcPr>
            <w:tcW w:w="878" w:type="pct"/>
            <w:tcBorders>
              <w:top w:val="single" w:color="000000" w:sz="4" w:space="0"/>
              <w:left w:val="single" w:color="000000" w:sz="4" w:space="0"/>
              <w:bottom w:val="single" w:color="000000" w:sz="4" w:space="0"/>
              <w:right w:val="single" w:color="000000" w:sz="4" w:space="0"/>
            </w:tcBorders>
            <w:noWrap w:val="0"/>
            <w:vAlign w:val="center"/>
          </w:tcPr>
          <w:p w14:paraId="6A18387C">
            <w:pPr>
              <w:pStyle w:val="111"/>
              <w:jc w:val="center"/>
              <w:rPr>
                <w:rFonts w:ascii="宋体" w:hAnsi="宋体" w:cs="宋体"/>
                <w:kern w:val="2"/>
                <w:sz w:val="21"/>
                <w:szCs w:val="21"/>
              </w:rPr>
            </w:pPr>
            <w:r>
              <w:rPr>
                <w:rFonts w:hint="eastAsia" w:ascii="宋体" w:hAnsi="宋体" w:cs="宋体"/>
                <w:w w:val="99"/>
                <w:kern w:val="2"/>
                <w:sz w:val="21"/>
                <w:szCs w:val="21"/>
              </w:rPr>
              <w:t>商用燃</w:t>
            </w:r>
            <w:r>
              <w:rPr>
                <w:rFonts w:hint="eastAsia" w:ascii="宋体" w:hAnsi="宋体" w:cs="宋体"/>
                <w:spacing w:val="2"/>
                <w:w w:val="99"/>
                <w:kern w:val="2"/>
                <w:sz w:val="21"/>
                <w:szCs w:val="21"/>
              </w:rPr>
              <w:t>气</w:t>
            </w:r>
            <w:r>
              <w:rPr>
                <w:rFonts w:hint="eastAsia" w:ascii="宋体" w:hAnsi="宋体" w:cs="宋体"/>
                <w:w w:val="99"/>
                <w:kern w:val="2"/>
                <w:sz w:val="21"/>
                <w:szCs w:val="21"/>
              </w:rPr>
              <w:t>灶具</w:t>
            </w: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6B1C88FA">
            <w:pPr>
              <w:jc w:val="center"/>
              <w:rPr>
                <w:rFonts w:ascii="宋体" w:hAnsi="宋体"/>
                <w:szCs w:val="21"/>
              </w:rPr>
            </w:pPr>
          </w:p>
        </w:tc>
        <w:tc>
          <w:tcPr>
            <w:tcW w:w="2092" w:type="pct"/>
            <w:tcBorders>
              <w:top w:val="single" w:color="000000" w:sz="4" w:space="0"/>
              <w:left w:val="single" w:color="000000" w:sz="4" w:space="0"/>
              <w:bottom w:val="single" w:color="000000" w:sz="4" w:space="0"/>
              <w:right w:val="single" w:color="000000" w:sz="4" w:space="0"/>
            </w:tcBorders>
            <w:noWrap w:val="0"/>
            <w:vAlign w:val="top"/>
          </w:tcPr>
          <w:p w14:paraId="68A99062">
            <w:pPr>
              <w:pStyle w:val="111"/>
              <w:spacing w:before="76" w:line="276" w:lineRule="auto"/>
              <w:ind w:left="7" w:right="4"/>
              <w:rPr>
                <w:rFonts w:ascii="宋体" w:hAnsi="宋体" w:cs="宋体"/>
                <w:kern w:val="2"/>
                <w:sz w:val="21"/>
                <w:szCs w:val="21"/>
                <w:lang w:eastAsia="zh-CN"/>
              </w:rPr>
            </w:pPr>
            <w:r>
              <w:rPr>
                <w:rFonts w:hint="eastAsia" w:ascii="宋体" w:hAnsi="宋体" w:cs="宋体"/>
                <w:spacing w:val="12"/>
                <w:w w:val="99"/>
                <w:kern w:val="2"/>
                <w:sz w:val="21"/>
                <w:szCs w:val="21"/>
                <w:lang w:eastAsia="zh-CN"/>
              </w:rPr>
              <w:t>《商用燃气灶具能效限</w:t>
            </w:r>
            <w:r>
              <w:rPr>
                <w:rFonts w:hint="eastAsia" w:ascii="宋体" w:hAnsi="宋体" w:cs="宋体"/>
                <w:spacing w:val="9"/>
                <w:w w:val="99"/>
                <w:kern w:val="2"/>
                <w:sz w:val="21"/>
                <w:szCs w:val="21"/>
                <w:lang w:eastAsia="zh-CN"/>
              </w:rPr>
              <w:t>定</w:t>
            </w:r>
            <w:r>
              <w:rPr>
                <w:rFonts w:hint="eastAsia" w:ascii="宋体" w:hAnsi="宋体" w:cs="宋体"/>
                <w:spacing w:val="12"/>
                <w:w w:val="99"/>
                <w:kern w:val="2"/>
                <w:sz w:val="21"/>
                <w:szCs w:val="21"/>
                <w:lang w:eastAsia="zh-CN"/>
              </w:rPr>
              <w:t>值及</w:t>
            </w:r>
            <w:r>
              <w:rPr>
                <w:rFonts w:hint="eastAsia" w:ascii="宋体" w:hAnsi="宋体" w:cs="宋体"/>
                <w:w w:val="99"/>
                <w:kern w:val="2"/>
                <w:sz w:val="21"/>
                <w:szCs w:val="21"/>
                <w:lang w:eastAsia="zh-CN"/>
              </w:rPr>
              <w:t>能效等级</w:t>
            </w:r>
            <w:r>
              <w:rPr>
                <w:rFonts w:hint="eastAsia" w:ascii="宋体" w:hAnsi="宋体" w:cs="宋体"/>
                <w:spacing w:val="2"/>
                <w:w w:val="99"/>
                <w:kern w:val="2"/>
                <w:sz w:val="21"/>
                <w:szCs w:val="21"/>
                <w:lang w:eastAsia="zh-CN"/>
              </w:rPr>
              <w:t>》</w:t>
            </w:r>
            <w:r>
              <w:rPr>
                <w:rFonts w:hint="eastAsia" w:ascii="宋体" w:hAnsi="宋体" w:cs="宋体"/>
                <w:w w:val="99"/>
                <w:kern w:val="2"/>
                <w:sz w:val="21"/>
                <w:szCs w:val="21"/>
                <w:lang w:eastAsia="zh-CN"/>
              </w:rPr>
              <w:t>（</w:t>
            </w:r>
            <w:r>
              <w:rPr>
                <w:rFonts w:hint="eastAsia" w:ascii="宋体" w:hAnsi="宋体" w:cs="宋体"/>
                <w:spacing w:val="1"/>
                <w:w w:val="99"/>
                <w:kern w:val="2"/>
                <w:sz w:val="21"/>
                <w:szCs w:val="21"/>
                <w:lang w:eastAsia="zh-CN"/>
              </w:rPr>
              <w:t>G</w:t>
            </w:r>
            <w:r>
              <w:rPr>
                <w:rFonts w:hint="eastAsia" w:ascii="宋体" w:hAnsi="宋体" w:cs="宋体"/>
                <w:w w:val="99"/>
                <w:kern w:val="2"/>
                <w:sz w:val="21"/>
                <w:szCs w:val="21"/>
                <w:lang w:eastAsia="zh-CN"/>
              </w:rPr>
              <w:t>B</w:t>
            </w:r>
            <w:r>
              <w:rPr>
                <w:rFonts w:hint="eastAsia" w:ascii="宋体" w:hAnsi="宋体" w:cs="宋体"/>
                <w:spacing w:val="1"/>
                <w:w w:val="99"/>
                <w:kern w:val="2"/>
                <w:sz w:val="21"/>
                <w:szCs w:val="21"/>
                <w:lang w:eastAsia="zh-CN"/>
              </w:rPr>
              <w:t>30</w:t>
            </w:r>
            <w:r>
              <w:rPr>
                <w:rFonts w:hint="eastAsia" w:ascii="宋体" w:hAnsi="宋体" w:cs="宋体"/>
                <w:w w:val="99"/>
                <w:kern w:val="2"/>
                <w:sz w:val="21"/>
                <w:szCs w:val="21"/>
                <w:lang w:eastAsia="zh-CN"/>
              </w:rPr>
              <w:t>53</w:t>
            </w:r>
            <w:r>
              <w:rPr>
                <w:rFonts w:hint="eastAsia" w:ascii="宋体" w:hAnsi="宋体" w:cs="宋体"/>
                <w:spacing w:val="1"/>
                <w:w w:val="99"/>
                <w:kern w:val="2"/>
                <w:sz w:val="21"/>
                <w:szCs w:val="21"/>
                <w:lang w:eastAsia="zh-CN"/>
              </w:rPr>
              <w:t>1</w:t>
            </w:r>
            <w:r>
              <w:rPr>
                <w:rFonts w:hint="eastAsia" w:ascii="宋体" w:hAnsi="宋体" w:cs="宋体"/>
                <w:w w:val="99"/>
                <w:kern w:val="2"/>
                <w:sz w:val="21"/>
                <w:szCs w:val="21"/>
                <w:lang w:eastAsia="zh-CN"/>
              </w:rPr>
              <w:t>）</w:t>
            </w:r>
          </w:p>
        </w:tc>
      </w:tr>
      <w:tr w14:paraId="6D6B7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restart"/>
            <w:tcBorders>
              <w:top w:val="single" w:color="000000" w:sz="4" w:space="0"/>
              <w:left w:val="single" w:color="000000" w:sz="4" w:space="0"/>
              <w:bottom w:val="single" w:color="000000" w:sz="4" w:space="0"/>
              <w:right w:val="single" w:color="000000" w:sz="4" w:space="0"/>
            </w:tcBorders>
            <w:noWrap w:val="0"/>
            <w:vAlign w:val="center"/>
          </w:tcPr>
          <w:p w14:paraId="5CC5B5F9">
            <w:pPr>
              <w:jc w:val="center"/>
              <w:rPr>
                <w:rFonts w:ascii="宋体" w:hAnsi="宋体"/>
                <w:szCs w:val="21"/>
              </w:rPr>
            </w:pPr>
            <w:r>
              <w:rPr>
                <w:rFonts w:hint="eastAsia" w:ascii="宋体" w:hAnsi="宋体"/>
                <w:szCs w:val="21"/>
              </w:rPr>
              <w:t>15</w:t>
            </w:r>
          </w:p>
        </w:tc>
        <w:tc>
          <w:tcPr>
            <w:tcW w:w="834" w:type="pct"/>
            <w:vMerge w:val="restart"/>
            <w:tcBorders>
              <w:top w:val="single" w:color="000000" w:sz="4" w:space="0"/>
              <w:left w:val="single" w:color="000000" w:sz="4" w:space="0"/>
              <w:bottom w:val="single" w:color="000000" w:sz="4" w:space="0"/>
              <w:right w:val="single" w:color="000000" w:sz="4" w:space="0"/>
            </w:tcBorders>
            <w:noWrap w:val="0"/>
            <w:vAlign w:val="center"/>
          </w:tcPr>
          <w:p w14:paraId="65406094">
            <w:pPr>
              <w:pStyle w:val="111"/>
              <w:jc w:val="center"/>
              <w:rPr>
                <w:rFonts w:ascii="宋体" w:hAnsi="宋体" w:cs="宋体"/>
                <w:w w:val="99"/>
                <w:kern w:val="2"/>
                <w:sz w:val="21"/>
                <w:szCs w:val="21"/>
              </w:rPr>
            </w:pPr>
            <w:r>
              <w:rPr>
                <w:rFonts w:hint="eastAsia" w:ascii="宋体" w:hAnsi="宋体" w:cs="宋体"/>
                <w:w w:val="99"/>
                <w:kern w:val="2"/>
                <w:sz w:val="21"/>
                <w:szCs w:val="21"/>
              </w:rPr>
              <w:t>★</w:t>
            </w:r>
            <w:r>
              <w:rPr>
                <w:rFonts w:hint="eastAsia" w:ascii="宋体" w:hAnsi="宋体" w:cs="仿宋_GB2312"/>
                <w:kern w:val="2"/>
                <w:sz w:val="21"/>
                <w:szCs w:val="21"/>
              </w:rPr>
              <w:t>A05020105</w:t>
            </w:r>
            <w:r>
              <w:rPr>
                <w:rFonts w:hint="eastAsia" w:ascii="宋体" w:hAnsi="宋体" w:cs="宋体"/>
                <w:w w:val="99"/>
                <w:kern w:val="2"/>
                <w:sz w:val="21"/>
                <w:szCs w:val="21"/>
              </w:rPr>
              <w:t>便器</w:t>
            </w:r>
          </w:p>
        </w:tc>
        <w:tc>
          <w:tcPr>
            <w:tcW w:w="878" w:type="pct"/>
            <w:tcBorders>
              <w:top w:val="single" w:color="000000" w:sz="4" w:space="0"/>
              <w:left w:val="single" w:color="000000" w:sz="4" w:space="0"/>
              <w:bottom w:val="single" w:color="000000" w:sz="4" w:space="0"/>
              <w:right w:val="single" w:color="000000" w:sz="4" w:space="0"/>
            </w:tcBorders>
            <w:noWrap w:val="0"/>
            <w:vAlign w:val="center"/>
          </w:tcPr>
          <w:p w14:paraId="7013E256">
            <w:pPr>
              <w:pStyle w:val="111"/>
              <w:jc w:val="center"/>
              <w:rPr>
                <w:rFonts w:ascii="宋体" w:hAnsi="宋体" w:cs="宋体"/>
                <w:kern w:val="2"/>
                <w:sz w:val="21"/>
                <w:szCs w:val="21"/>
              </w:rPr>
            </w:pPr>
            <w:r>
              <w:rPr>
                <w:rFonts w:hint="eastAsia" w:ascii="宋体" w:hAnsi="宋体" w:cs="宋体"/>
                <w:w w:val="99"/>
                <w:kern w:val="2"/>
                <w:sz w:val="21"/>
                <w:szCs w:val="21"/>
              </w:rPr>
              <w:t>坐便器</w:t>
            </w: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57BDF484">
            <w:pPr>
              <w:jc w:val="center"/>
              <w:rPr>
                <w:rFonts w:ascii="宋体" w:hAnsi="宋体"/>
                <w:szCs w:val="21"/>
              </w:rPr>
            </w:pPr>
          </w:p>
        </w:tc>
        <w:tc>
          <w:tcPr>
            <w:tcW w:w="2092" w:type="pct"/>
            <w:tcBorders>
              <w:top w:val="single" w:color="000000" w:sz="4" w:space="0"/>
              <w:left w:val="single" w:color="000000" w:sz="4" w:space="0"/>
              <w:bottom w:val="single" w:color="000000" w:sz="4" w:space="0"/>
              <w:right w:val="single" w:color="000000" w:sz="4" w:space="0"/>
            </w:tcBorders>
            <w:noWrap w:val="0"/>
            <w:vAlign w:val="top"/>
          </w:tcPr>
          <w:p w14:paraId="650AE549">
            <w:pPr>
              <w:pStyle w:val="111"/>
              <w:spacing w:before="124"/>
              <w:ind w:left="7"/>
              <w:rPr>
                <w:rFonts w:ascii="宋体" w:hAnsi="宋体" w:cs="宋体"/>
                <w:kern w:val="2"/>
                <w:sz w:val="21"/>
                <w:szCs w:val="21"/>
                <w:lang w:eastAsia="zh-CN"/>
              </w:rPr>
            </w:pPr>
            <w:r>
              <w:rPr>
                <w:rFonts w:hint="eastAsia" w:ascii="宋体" w:hAnsi="宋体" w:cs="宋体"/>
                <w:w w:val="99"/>
                <w:kern w:val="2"/>
                <w:sz w:val="21"/>
                <w:szCs w:val="21"/>
                <w:lang w:eastAsia="zh-CN"/>
              </w:rPr>
              <w:t>《坐便</w:t>
            </w:r>
            <w:r>
              <w:rPr>
                <w:rFonts w:hint="eastAsia" w:ascii="宋体" w:hAnsi="宋体" w:cs="宋体"/>
                <w:spacing w:val="2"/>
                <w:w w:val="99"/>
                <w:kern w:val="2"/>
                <w:sz w:val="21"/>
                <w:szCs w:val="21"/>
                <w:lang w:eastAsia="zh-CN"/>
              </w:rPr>
              <w:t>器</w:t>
            </w:r>
            <w:r>
              <w:rPr>
                <w:rFonts w:hint="eastAsia" w:ascii="宋体" w:hAnsi="宋体" w:cs="宋体"/>
                <w:w w:val="99"/>
                <w:kern w:val="2"/>
                <w:sz w:val="21"/>
                <w:szCs w:val="21"/>
                <w:lang w:eastAsia="zh-CN"/>
              </w:rPr>
              <w:t>水效</w:t>
            </w:r>
            <w:r>
              <w:rPr>
                <w:rFonts w:hint="eastAsia" w:ascii="宋体" w:hAnsi="宋体" w:cs="宋体"/>
                <w:spacing w:val="2"/>
                <w:w w:val="99"/>
                <w:kern w:val="2"/>
                <w:sz w:val="21"/>
                <w:szCs w:val="21"/>
                <w:lang w:eastAsia="zh-CN"/>
              </w:rPr>
              <w:t>限</w:t>
            </w:r>
            <w:r>
              <w:rPr>
                <w:rFonts w:hint="eastAsia" w:ascii="宋体" w:hAnsi="宋体" w:cs="宋体"/>
                <w:w w:val="99"/>
                <w:kern w:val="2"/>
                <w:sz w:val="21"/>
                <w:szCs w:val="21"/>
                <w:lang w:eastAsia="zh-CN"/>
              </w:rPr>
              <w:t>定值</w:t>
            </w:r>
            <w:r>
              <w:rPr>
                <w:rFonts w:hint="eastAsia" w:ascii="宋体" w:hAnsi="宋体" w:cs="宋体"/>
                <w:spacing w:val="2"/>
                <w:w w:val="99"/>
                <w:kern w:val="2"/>
                <w:sz w:val="21"/>
                <w:szCs w:val="21"/>
                <w:lang w:eastAsia="zh-CN"/>
              </w:rPr>
              <w:t>及</w:t>
            </w:r>
            <w:r>
              <w:rPr>
                <w:rFonts w:hint="eastAsia" w:ascii="宋体" w:hAnsi="宋体" w:cs="宋体"/>
                <w:w w:val="99"/>
                <w:kern w:val="2"/>
                <w:sz w:val="21"/>
                <w:szCs w:val="21"/>
                <w:lang w:eastAsia="zh-CN"/>
              </w:rPr>
              <w:t>水</w:t>
            </w:r>
            <w:r>
              <w:rPr>
                <w:rFonts w:hint="eastAsia" w:ascii="宋体" w:hAnsi="宋体" w:cs="宋体"/>
                <w:spacing w:val="2"/>
                <w:w w:val="99"/>
                <w:kern w:val="2"/>
                <w:sz w:val="21"/>
                <w:szCs w:val="21"/>
                <w:lang w:eastAsia="zh-CN"/>
              </w:rPr>
              <w:t>效</w:t>
            </w:r>
            <w:r>
              <w:rPr>
                <w:rFonts w:hint="eastAsia" w:ascii="宋体" w:hAnsi="宋体" w:cs="宋体"/>
                <w:w w:val="99"/>
                <w:kern w:val="2"/>
                <w:sz w:val="21"/>
                <w:szCs w:val="21"/>
                <w:lang w:eastAsia="zh-CN"/>
              </w:rPr>
              <w:t>等级》</w:t>
            </w:r>
          </w:p>
          <w:p w14:paraId="7E889797">
            <w:pPr>
              <w:pStyle w:val="111"/>
              <w:spacing w:before="50"/>
              <w:ind w:left="7"/>
              <w:rPr>
                <w:rFonts w:ascii="宋体" w:hAnsi="宋体" w:cs="宋体"/>
                <w:kern w:val="2"/>
                <w:sz w:val="21"/>
                <w:szCs w:val="21"/>
              </w:rPr>
            </w:pPr>
            <w:r>
              <w:rPr>
                <w:rFonts w:hint="eastAsia" w:ascii="宋体" w:hAnsi="宋体" w:cs="宋体"/>
                <w:w w:val="99"/>
                <w:kern w:val="2"/>
                <w:sz w:val="21"/>
                <w:szCs w:val="21"/>
              </w:rPr>
              <w:t>（</w:t>
            </w:r>
            <w:r>
              <w:rPr>
                <w:rFonts w:hint="eastAsia" w:ascii="宋体" w:hAnsi="宋体" w:cs="宋体"/>
                <w:spacing w:val="1"/>
                <w:w w:val="99"/>
                <w:kern w:val="2"/>
                <w:sz w:val="21"/>
                <w:szCs w:val="21"/>
              </w:rPr>
              <w:t>G</w:t>
            </w:r>
            <w:r>
              <w:rPr>
                <w:rFonts w:hint="eastAsia" w:ascii="宋体" w:hAnsi="宋体" w:cs="宋体"/>
                <w:w w:val="99"/>
                <w:kern w:val="2"/>
                <w:sz w:val="21"/>
                <w:szCs w:val="21"/>
              </w:rPr>
              <w:t>B</w:t>
            </w:r>
            <w:r>
              <w:rPr>
                <w:rFonts w:hint="eastAsia" w:ascii="宋体" w:hAnsi="宋体" w:cs="宋体"/>
                <w:spacing w:val="1"/>
                <w:w w:val="99"/>
                <w:kern w:val="2"/>
                <w:sz w:val="21"/>
                <w:szCs w:val="21"/>
              </w:rPr>
              <w:t>2</w:t>
            </w:r>
            <w:r>
              <w:rPr>
                <w:rFonts w:hint="eastAsia" w:ascii="宋体" w:hAnsi="宋体" w:cs="宋体"/>
                <w:w w:val="99"/>
                <w:kern w:val="2"/>
                <w:sz w:val="21"/>
                <w:szCs w:val="21"/>
              </w:rPr>
              <w:t>55</w:t>
            </w:r>
            <w:r>
              <w:rPr>
                <w:rFonts w:hint="eastAsia" w:ascii="宋体" w:hAnsi="宋体" w:cs="宋体"/>
                <w:spacing w:val="1"/>
                <w:w w:val="99"/>
                <w:kern w:val="2"/>
                <w:sz w:val="21"/>
                <w:szCs w:val="21"/>
              </w:rPr>
              <w:t>02</w:t>
            </w:r>
            <w:r>
              <w:rPr>
                <w:rFonts w:hint="eastAsia" w:ascii="宋体" w:hAnsi="宋体" w:cs="宋体"/>
                <w:w w:val="99"/>
                <w:kern w:val="2"/>
                <w:sz w:val="21"/>
                <w:szCs w:val="21"/>
              </w:rPr>
              <w:t>）</w:t>
            </w:r>
          </w:p>
        </w:tc>
      </w:tr>
      <w:tr w14:paraId="68CA2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continue"/>
            <w:tcBorders>
              <w:top w:val="single" w:color="000000" w:sz="4" w:space="0"/>
              <w:left w:val="single" w:color="000000" w:sz="4" w:space="0"/>
              <w:bottom w:val="single" w:color="000000" w:sz="4" w:space="0"/>
              <w:right w:val="single" w:color="000000" w:sz="4" w:space="0"/>
            </w:tcBorders>
            <w:noWrap w:val="0"/>
            <w:vAlign w:val="center"/>
          </w:tcPr>
          <w:p w14:paraId="00D5FE32">
            <w:pPr>
              <w:widowControl/>
              <w:jc w:val="left"/>
              <w:rPr>
                <w:rFonts w:ascii="宋体" w:hAnsi="宋体"/>
                <w:szCs w:val="21"/>
              </w:rPr>
            </w:pPr>
          </w:p>
        </w:tc>
        <w:tc>
          <w:tcPr>
            <w:tcW w:w="834" w:type="pct"/>
            <w:vMerge w:val="continue"/>
            <w:tcBorders>
              <w:top w:val="single" w:color="000000" w:sz="4" w:space="0"/>
              <w:left w:val="single" w:color="000000" w:sz="4" w:space="0"/>
              <w:bottom w:val="single" w:color="000000" w:sz="4" w:space="0"/>
              <w:right w:val="single" w:color="000000" w:sz="4" w:space="0"/>
            </w:tcBorders>
            <w:noWrap w:val="0"/>
            <w:vAlign w:val="center"/>
          </w:tcPr>
          <w:p w14:paraId="413DDFCF">
            <w:pPr>
              <w:widowControl/>
              <w:jc w:val="left"/>
              <w:rPr>
                <w:rFonts w:ascii="宋体" w:hAnsi="宋体" w:cs="宋体"/>
                <w:w w:val="99"/>
                <w:szCs w:val="21"/>
                <w:lang w:eastAsia="en-US"/>
              </w:rPr>
            </w:pPr>
          </w:p>
        </w:tc>
        <w:tc>
          <w:tcPr>
            <w:tcW w:w="878" w:type="pct"/>
            <w:tcBorders>
              <w:top w:val="single" w:color="000000" w:sz="4" w:space="0"/>
              <w:left w:val="single" w:color="000000" w:sz="4" w:space="0"/>
              <w:bottom w:val="single" w:color="000000" w:sz="4" w:space="0"/>
              <w:right w:val="single" w:color="000000" w:sz="4" w:space="0"/>
            </w:tcBorders>
            <w:noWrap w:val="0"/>
            <w:vAlign w:val="center"/>
          </w:tcPr>
          <w:p w14:paraId="4CE39767">
            <w:pPr>
              <w:pStyle w:val="111"/>
              <w:jc w:val="center"/>
              <w:rPr>
                <w:rFonts w:ascii="宋体" w:hAnsi="宋体" w:cs="宋体"/>
                <w:kern w:val="2"/>
                <w:sz w:val="21"/>
                <w:szCs w:val="21"/>
              </w:rPr>
            </w:pPr>
            <w:r>
              <w:rPr>
                <w:rFonts w:hint="eastAsia" w:ascii="宋体" w:hAnsi="宋体" w:cs="宋体"/>
                <w:w w:val="99"/>
                <w:kern w:val="2"/>
                <w:sz w:val="21"/>
                <w:szCs w:val="21"/>
              </w:rPr>
              <w:t>蹲便器</w:t>
            </w: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01CCF34D">
            <w:pPr>
              <w:jc w:val="center"/>
              <w:rPr>
                <w:rFonts w:ascii="宋体" w:hAnsi="宋体"/>
                <w:szCs w:val="21"/>
              </w:rPr>
            </w:pPr>
          </w:p>
        </w:tc>
        <w:tc>
          <w:tcPr>
            <w:tcW w:w="2092" w:type="pct"/>
            <w:tcBorders>
              <w:top w:val="single" w:color="000000" w:sz="4" w:space="0"/>
              <w:left w:val="single" w:color="000000" w:sz="4" w:space="0"/>
              <w:bottom w:val="single" w:color="000000" w:sz="4" w:space="0"/>
              <w:right w:val="single" w:color="000000" w:sz="4" w:space="0"/>
            </w:tcBorders>
            <w:noWrap w:val="0"/>
            <w:vAlign w:val="top"/>
          </w:tcPr>
          <w:p w14:paraId="3DF4AD40">
            <w:pPr>
              <w:pStyle w:val="111"/>
              <w:spacing w:before="124" w:line="276" w:lineRule="auto"/>
              <w:ind w:left="7" w:right="4"/>
              <w:rPr>
                <w:rFonts w:ascii="宋体" w:hAnsi="宋体" w:cs="宋体"/>
                <w:kern w:val="2"/>
                <w:sz w:val="21"/>
                <w:szCs w:val="21"/>
                <w:lang w:eastAsia="zh-CN"/>
              </w:rPr>
            </w:pPr>
            <w:r>
              <w:rPr>
                <w:rFonts w:hint="eastAsia" w:ascii="宋体" w:hAnsi="宋体" w:cs="宋体"/>
                <w:spacing w:val="12"/>
                <w:w w:val="99"/>
                <w:kern w:val="2"/>
                <w:sz w:val="21"/>
                <w:szCs w:val="21"/>
                <w:lang w:eastAsia="zh-CN"/>
              </w:rPr>
              <w:t>《蹲便器用水效率限定</w:t>
            </w:r>
            <w:r>
              <w:rPr>
                <w:rFonts w:hint="eastAsia" w:ascii="宋体" w:hAnsi="宋体" w:cs="宋体"/>
                <w:spacing w:val="9"/>
                <w:w w:val="99"/>
                <w:kern w:val="2"/>
                <w:sz w:val="21"/>
                <w:szCs w:val="21"/>
                <w:lang w:eastAsia="zh-CN"/>
              </w:rPr>
              <w:t>值</w:t>
            </w:r>
            <w:r>
              <w:rPr>
                <w:rFonts w:hint="eastAsia" w:ascii="宋体" w:hAnsi="宋体" w:cs="宋体"/>
                <w:spacing w:val="12"/>
                <w:w w:val="99"/>
                <w:kern w:val="2"/>
                <w:sz w:val="21"/>
                <w:szCs w:val="21"/>
                <w:lang w:eastAsia="zh-CN"/>
              </w:rPr>
              <w:t>及用</w:t>
            </w:r>
            <w:r>
              <w:rPr>
                <w:rFonts w:hint="eastAsia" w:ascii="宋体" w:hAnsi="宋体" w:cs="宋体"/>
                <w:w w:val="99"/>
                <w:kern w:val="2"/>
                <w:sz w:val="21"/>
                <w:szCs w:val="21"/>
                <w:lang w:eastAsia="zh-CN"/>
              </w:rPr>
              <w:t>水效率等</w:t>
            </w:r>
            <w:r>
              <w:rPr>
                <w:rFonts w:hint="eastAsia" w:ascii="宋体" w:hAnsi="宋体" w:cs="宋体"/>
                <w:spacing w:val="2"/>
                <w:w w:val="99"/>
                <w:kern w:val="2"/>
                <w:sz w:val="21"/>
                <w:szCs w:val="21"/>
                <w:lang w:eastAsia="zh-CN"/>
              </w:rPr>
              <w:t>级</w:t>
            </w:r>
            <w:r>
              <w:rPr>
                <w:rFonts w:hint="eastAsia" w:ascii="宋体" w:hAnsi="宋体" w:cs="宋体"/>
                <w:w w:val="99"/>
                <w:kern w:val="2"/>
                <w:sz w:val="21"/>
                <w:szCs w:val="21"/>
                <w:lang w:eastAsia="zh-CN"/>
              </w:rPr>
              <w:t>》（</w:t>
            </w:r>
            <w:r>
              <w:rPr>
                <w:rFonts w:hint="eastAsia" w:ascii="宋体" w:hAnsi="宋体" w:cs="宋体"/>
                <w:spacing w:val="1"/>
                <w:w w:val="99"/>
                <w:kern w:val="2"/>
                <w:sz w:val="21"/>
                <w:szCs w:val="21"/>
                <w:lang w:eastAsia="zh-CN"/>
              </w:rPr>
              <w:t>G</w:t>
            </w:r>
            <w:r>
              <w:rPr>
                <w:rFonts w:hint="eastAsia" w:ascii="宋体" w:hAnsi="宋体" w:cs="宋体"/>
                <w:w w:val="99"/>
                <w:kern w:val="2"/>
                <w:sz w:val="21"/>
                <w:szCs w:val="21"/>
                <w:lang w:eastAsia="zh-CN"/>
              </w:rPr>
              <w:t>B</w:t>
            </w:r>
            <w:r>
              <w:rPr>
                <w:rFonts w:hint="eastAsia" w:ascii="宋体" w:hAnsi="宋体" w:cs="宋体"/>
                <w:spacing w:val="1"/>
                <w:w w:val="99"/>
                <w:kern w:val="2"/>
                <w:sz w:val="21"/>
                <w:szCs w:val="21"/>
                <w:lang w:eastAsia="zh-CN"/>
              </w:rPr>
              <w:t>307</w:t>
            </w:r>
            <w:r>
              <w:rPr>
                <w:rFonts w:hint="eastAsia" w:ascii="宋体" w:hAnsi="宋体" w:cs="宋体"/>
                <w:w w:val="99"/>
                <w:kern w:val="2"/>
                <w:sz w:val="21"/>
                <w:szCs w:val="21"/>
                <w:lang w:eastAsia="zh-CN"/>
              </w:rPr>
              <w:t>1</w:t>
            </w:r>
            <w:r>
              <w:rPr>
                <w:rFonts w:hint="eastAsia" w:ascii="宋体" w:hAnsi="宋体" w:cs="宋体"/>
                <w:spacing w:val="-1"/>
                <w:w w:val="99"/>
                <w:kern w:val="2"/>
                <w:sz w:val="21"/>
                <w:szCs w:val="21"/>
                <w:lang w:eastAsia="zh-CN"/>
              </w:rPr>
              <w:t>7</w:t>
            </w:r>
            <w:r>
              <w:rPr>
                <w:rFonts w:hint="eastAsia" w:ascii="宋体" w:hAnsi="宋体" w:cs="宋体"/>
                <w:w w:val="99"/>
                <w:kern w:val="2"/>
                <w:sz w:val="21"/>
                <w:szCs w:val="21"/>
                <w:lang w:eastAsia="zh-CN"/>
              </w:rPr>
              <w:t>）</w:t>
            </w:r>
          </w:p>
        </w:tc>
      </w:tr>
      <w:tr w14:paraId="302F2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continue"/>
            <w:tcBorders>
              <w:top w:val="single" w:color="000000" w:sz="4" w:space="0"/>
              <w:left w:val="single" w:color="000000" w:sz="4" w:space="0"/>
              <w:bottom w:val="single" w:color="000000" w:sz="4" w:space="0"/>
              <w:right w:val="single" w:color="000000" w:sz="4" w:space="0"/>
            </w:tcBorders>
            <w:noWrap w:val="0"/>
            <w:vAlign w:val="center"/>
          </w:tcPr>
          <w:p w14:paraId="403A93CC">
            <w:pPr>
              <w:widowControl/>
              <w:jc w:val="left"/>
              <w:rPr>
                <w:rFonts w:ascii="宋体" w:hAnsi="宋体"/>
                <w:szCs w:val="21"/>
              </w:rPr>
            </w:pPr>
          </w:p>
        </w:tc>
        <w:tc>
          <w:tcPr>
            <w:tcW w:w="834" w:type="pct"/>
            <w:vMerge w:val="continue"/>
            <w:tcBorders>
              <w:top w:val="single" w:color="000000" w:sz="4" w:space="0"/>
              <w:left w:val="single" w:color="000000" w:sz="4" w:space="0"/>
              <w:bottom w:val="single" w:color="000000" w:sz="4" w:space="0"/>
              <w:right w:val="single" w:color="000000" w:sz="4" w:space="0"/>
            </w:tcBorders>
            <w:noWrap w:val="0"/>
            <w:vAlign w:val="center"/>
          </w:tcPr>
          <w:p w14:paraId="44F19F8B">
            <w:pPr>
              <w:widowControl/>
              <w:jc w:val="left"/>
              <w:rPr>
                <w:rFonts w:ascii="宋体" w:hAnsi="宋体" w:cs="宋体"/>
                <w:w w:val="99"/>
                <w:szCs w:val="21"/>
              </w:rPr>
            </w:pPr>
          </w:p>
        </w:tc>
        <w:tc>
          <w:tcPr>
            <w:tcW w:w="878" w:type="pct"/>
            <w:tcBorders>
              <w:top w:val="single" w:color="000000" w:sz="4" w:space="0"/>
              <w:left w:val="single" w:color="000000" w:sz="4" w:space="0"/>
              <w:bottom w:val="single" w:color="000000" w:sz="4" w:space="0"/>
              <w:right w:val="single" w:color="000000" w:sz="4" w:space="0"/>
            </w:tcBorders>
            <w:noWrap w:val="0"/>
            <w:vAlign w:val="center"/>
          </w:tcPr>
          <w:p w14:paraId="45C84B28">
            <w:pPr>
              <w:pStyle w:val="111"/>
              <w:jc w:val="center"/>
              <w:rPr>
                <w:rFonts w:ascii="宋体" w:hAnsi="宋体" w:cs="宋体"/>
                <w:kern w:val="2"/>
                <w:sz w:val="21"/>
                <w:szCs w:val="21"/>
              </w:rPr>
            </w:pPr>
            <w:r>
              <w:rPr>
                <w:rFonts w:hint="eastAsia" w:ascii="宋体" w:hAnsi="宋体" w:cs="宋体"/>
                <w:w w:val="99"/>
                <w:kern w:val="2"/>
                <w:sz w:val="21"/>
                <w:szCs w:val="21"/>
              </w:rPr>
              <w:t>小便器</w:t>
            </w: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2F7BC45B">
            <w:pPr>
              <w:jc w:val="center"/>
              <w:rPr>
                <w:rFonts w:ascii="宋体" w:hAnsi="宋体"/>
                <w:szCs w:val="21"/>
              </w:rPr>
            </w:pPr>
          </w:p>
        </w:tc>
        <w:tc>
          <w:tcPr>
            <w:tcW w:w="2092" w:type="pct"/>
            <w:tcBorders>
              <w:top w:val="single" w:color="000000" w:sz="4" w:space="0"/>
              <w:left w:val="single" w:color="000000" w:sz="4" w:space="0"/>
              <w:bottom w:val="single" w:color="000000" w:sz="4" w:space="0"/>
              <w:right w:val="single" w:color="000000" w:sz="4" w:space="0"/>
            </w:tcBorders>
            <w:noWrap w:val="0"/>
            <w:vAlign w:val="top"/>
          </w:tcPr>
          <w:p w14:paraId="09BBBC2F">
            <w:pPr>
              <w:pStyle w:val="111"/>
              <w:spacing w:before="124" w:line="276" w:lineRule="auto"/>
              <w:ind w:left="7" w:right="4"/>
              <w:rPr>
                <w:rFonts w:ascii="宋体" w:hAnsi="宋体" w:cs="宋体"/>
                <w:kern w:val="2"/>
                <w:sz w:val="21"/>
                <w:szCs w:val="21"/>
                <w:lang w:eastAsia="zh-CN"/>
              </w:rPr>
            </w:pPr>
            <w:r>
              <w:rPr>
                <w:rFonts w:hint="eastAsia" w:ascii="宋体" w:hAnsi="宋体" w:cs="宋体"/>
                <w:spacing w:val="12"/>
                <w:w w:val="99"/>
                <w:kern w:val="2"/>
                <w:sz w:val="21"/>
                <w:szCs w:val="21"/>
                <w:lang w:eastAsia="zh-CN"/>
              </w:rPr>
              <w:t>《小便器用水效率限定</w:t>
            </w:r>
            <w:r>
              <w:rPr>
                <w:rFonts w:hint="eastAsia" w:ascii="宋体" w:hAnsi="宋体" w:cs="宋体"/>
                <w:spacing w:val="9"/>
                <w:w w:val="99"/>
                <w:kern w:val="2"/>
                <w:sz w:val="21"/>
                <w:szCs w:val="21"/>
                <w:lang w:eastAsia="zh-CN"/>
              </w:rPr>
              <w:t>值</w:t>
            </w:r>
            <w:r>
              <w:rPr>
                <w:rFonts w:hint="eastAsia" w:ascii="宋体" w:hAnsi="宋体" w:cs="宋体"/>
                <w:spacing w:val="12"/>
                <w:w w:val="99"/>
                <w:kern w:val="2"/>
                <w:sz w:val="21"/>
                <w:szCs w:val="21"/>
                <w:lang w:eastAsia="zh-CN"/>
              </w:rPr>
              <w:t>及用</w:t>
            </w:r>
            <w:r>
              <w:rPr>
                <w:rFonts w:hint="eastAsia" w:ascii="宋体" w:hAnsi="宋体" w:cs="宋体"/>
                <w:w w:val="99"/>
                <w:kern w:val="2"/>
                <w:sz w:val="21"/>
                <w:szCs w:val="21"/>
                <w:lang w:eastAsia="zh-CN"/>
              </w:rPr>
              <w:t>水效率等</w:t>
            </w:r>
            <w:r>
              <w:rPr>
                <w:rFonts w:hint="eastAsia" w:ascii="宋体" w:hAnsi="宋体" w:cs="宋体"/>
                <w:spacing w:val="2"/>
                <w:w w:val="99"/>
                <w:kern w:val="2"/>
                <w:sz w:val="21"/>
                <w:szCs w:val="21"/>
                <w:lang w:eastAsia="zh-CN"/>
              </w:rPr>
              <w:t>级</w:t>
            </w:r>
            <w:r>
              <w:rPr>
                <w:rFonts w:hint="eastAsia" w:ascii="宋体" w:hAnsi="宋体" w:cs="宋体"/>
                <w:w w:val="99"/>
                <w:kern w:val="2"/>
                <w:sz w:val="21"/>
                <w:szCs w:val="21"/>
                <w:lang w:eastAsia="zh-CN"/>
              </w:rPr>
              <w:t>》（</w:t>
            </w:r>
            <w:r>
              <w:rPr>
                <w:rFonts w:hint="eastAsia" w:ascii="宋体" w:hAnsi="宋体" w:cs="宋体"/>
                <w:spacing w:val="1"/>
                <w:w w:val="99"/>
                <w:kern w:val="2"/>
                <w:sz w:val="21"/>
                <w:szCs w:val="21"/>
                <w:lang w:eastAsia="zh-CN"/>
              </w:rPr>
              <w:t>G</w:t>
            </w:r>
            <w:r>
              <w:rPr>
                <w:rFonts w:hint="eastAsia" w:ascii="宋体" w:hAnsi="宋体" w:cs="宋体"/>
                <w:w w:val="99"/>
                <w:kern w:val="2"/>
                <w:sz w:val="21"/>
                <w:szCs w:val="21"/>
                <w:lang w:eastAsia="zh-CN"/>
              </w:rPr>
              <w:t>B</w:t>
            </w:r>
            <w:r>
              <w:rPr>
                <w:rFonts w:hint="eastAsia" w:ascii="宋体" w:hAnsi="宋体" w:cs="宋体"/>
                <w:spacing w:val="1"/>
                <w:w w:val="99"/>
                <w:kern w:val="2"/>
                <w:sz w:val="21"/>
                <w:szCs w:val="21"/>
                <w:lang w:eastAsia="zh-CN"/>
              </w:rPr>
              <w:t>283</w:t>
            </w:r>
            <w:r>
              <w:rPr>
                <w:rFonts w:hint="eastAsia" w:ascii="宋体" w:hAnsi="宋体" w:cs="宋体"/>
                <w:w w:val="99"/>
                <w:kern w:val="2"/>
                <w:sz w:val="21"/>
                <w:szCs w:val="21"/>
                <w:lang w:eastAsia="zh-CN"/>
              </w:rPr>
              <w:t>7</w:t>
            </w:r>
            <w:r>
              <w:rPr>
                <w:rFonts w:hint="eastAsia" w:ascii="宋体" w:hAnsi="宋体" w:cs="宋体"/>
                <w:spacing w:val="-1"/>
                <w:w w:val="99"/>
                <w:kern w:val="2"/>
                <w:sz w:val="21"/>
                <w:szCs w:val="21"/>
                <w:lang w:eastAsia="zh-CN"/>
              </w:rPr>
              <w:t>7</w:t>
            </w:r>
            <w:r>
              <w:rPr>
                <w:rFonts w:hint="eastAsia" w:ascii="宋体" w:hAnsi="宋体" w:cs="宋体"/>
                <w:w w:val="99"/>
                <w:kern w:val="2"/>
                <w:sz w:val="21"/>
                <w:szCs w:val="21"/>
                <w:lang w:eastAsia="zh-CN"/>
              </w:rPr>
              <w:t>）</w:t>
            </w:r>
          </w:p>
        </w:tc>
      </w:tr>
      <w:tr w14:paraId="659E5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tcBorders>
              <w:top w:val="single" w:color="000000" w:sz="4" w:space="0"/>
              <w:left w:val="single" w:color="000000" w:sz="4" w:space="0"/>
              <w:bottom w:val="single" w:color="000000" w:sz="4" w:space="0"/>
              <w:right w:val="single" w:color="000000" w:sz="4" w:space="0"/>
            </w:tcBorders>
            <w:noWrap w:val="0"/>
            <w:vAlign w:val="center"/>
          </w:tcPr>
          <w:p w14:paraId="303C75D6">
            <w:pPr>
              <w:pStyle w:val="111"/>
              <w:jc w:val="center"/>
              <w:rPr>
                <w:rFonts w:ascii="宋体" w:hAnsi="宋体" w:cs="宋体"/>
                <w:kern w:val="2"/>
                <w:sz w:val="21"/>
                <w:szCs w:val="21"/>
              </w:rPr>
            </w:pPr>
            <w:r>
              <w:rPr>
                <w:rFonts w:hint="eastAsia" w:ascii="宋体" w:hAnsi="宋体"/>
                <w:kern w:val="2"/>
                <w:sz w:val="21"/>
                <w:szCs w:val="21"/>
              </w:rPr>
              <w:t>16</w:t>
            </w:r>
          </w:p>
        </w:tc>
        <w:tc>
          <w:tcPr>
            <w:tcW w:w="834" w:type="pct"/>
            <w:tcBorders>
              <w:top w:val="single" w:color="000000" w:sz="4" w:space="0"/>
              <w:left w:val="single" w:color="000000" w:sz="4" w:space="0"/>
              <w:bottom w:val="single" w:color="000000" w:sz="4" w:space="0"/>
              <w:right w:val="single" w:color="000000" w:sz="4" w:space="0"/>
            </w:tcBorders>
            <w:noWrap w:val="0"/>
            <w:vAlign w:val="center"/>
          </w:tcPr>
          <w:p w14:paraId="196759DB">
            <w:pPr>
              <w:pStyle w:val="111"/>
              <w:spacing w:before="153"/>
              <w:ind w:left="7"/>
              <w:jc w:val="center"/>
              <w:rPr>
                <w:rFonts w:ascii="宋体" w:hAnsi="宋体" w:cs="宋体"/>
                <w:kern w:val="2"/>
                <w:sz w:val="21"/>
                <w:szCs w:val="21"/>
              </w:rPr>
            </w:pPr>
            <w:r>
              <w:rPr>
                <w:rFonts w:hint="eastAsia" w:ascii="宋体" w:hAnsi="宋体" w:cs="宋体"/>
                <w:kern w:val="2"/>
                <w:sz w:val="21"/>
                <w:szCs w:val="21"/>
              </w:rPr>
              <w:t>★</w:t>
            </w:r>
            <w:r>
              <w:rPr>
                <w:rFonts w:hint="eastAsia" w:ascii="宋体" w:hAnsi="宋体" w:cs="仿宋_GB2312"/>
                <w:kern w:val="2"/>
                <w:sz w:val="21"/>
                <w:szCs w:val="21"/>
              </w:rPr>
              <w:t>A05020106</w:t>
            </w:r>
            <w:r>
              <w:rPr>
                <w:rFonts w:hint="eastAsia" w:ascii="宋体" w:hAnsi="宋体" w:cs="宋体"/>
                <w:kern w:val="2"/>
                <w:sz w:val="21"/>
                <w:szCs w:val="21"/>
              </w:rPr>
              <w:t>水</w:t>
            </w:r>
            <w:r>
              <w:rPr>
                <w:rFonts w:hint="eastAsia" w:ascii="宋体" w:hAnsi="宋体" w:cs="宋体"/>
                <w:w w:val="99"/>
                <w:kern w:val="2"/>
                <w:sz w:val="21"/>
                <w:szCs w:val="21"/>
              </w:rPr>
              <w:t>嘴</w:t>
            </w:r>
          </w:p>
        </w:tc>
        <w:tc>
          <w:tcPr>
            <w:tcW w:w="878" w:type="pct"/>
            <w:tcBorders>
              <w:top w:val="single" w:color="000000" w:sz="4" w:space="0"/>
              <w:left w:val="single" w:color="000000" w:sz="4" w:space="0"/>
              <w:bottom w:val="single" w:color="000000" w:sz="4" w:space="0"/>
              <w:right w:val="single" w:color="000000" w:sz="4" w:space="0"/>
            </w:tcBorders>
            <w:noWrap w:val="0"/>
            <w:vAlign w:val="center"/>
          </w:tcPr>
          <w:p w14:paraId="3FEFBAE1">
            <w:pPr>
              <w:jc w:val="center"/>
              <w:rPr>
                <w:rFonts w:ascii="宋体" w:hAnsi="宋体"/>
                <w:szCs w:val="21"/>
                <w:lang w:eastAsia="en-US"/>
              </w:rPr>
            </w:pP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130585F9">
            <w:pPr>
              <w:jc w:val="center"/>
              <w:rPr>
                <w:rFonts w:ascii="宋体" w:hAnsi="宋体"/>
                <w:szCs w:val="21"/>
                <w:lang w:eastAsia="en-US"/>
              </w:rPr>
            </w:pPr>
          </w:p>
        </w:tc>
        <w:tc>
          <w:tcPr>
            <w:tcW w:w="2092" w:type="pct"/>
            <w:tcBorders>
              <w:top w:val="single" w:color="000000" w:sz="4" w:space="0"/>
              <w:left w:val="single" w:color="000000" w:sz="4" w:space="0"/>
              <w:bottom w:val="single" w:color="000000" w:sz="4" w:space="0"/>
              <w:right w:val="single" w:color="000000" w:sz="4" w:space="0"/>
            </w:tcBorders>
            <w:noWrap w:val="0"/>
            <w:vAlign w:val="top"/>
          </w:tcPr>
          <w:p w14:paraId="6D10F6F9">
            <w:pPr>
              <w:pStyle w:val="111"/>
              <w:spacing w:before="153" w:line="276" w:lineRule="auto"/>
              <w:ind w:left="7" w:right="4"/>
              <w:rPr>
                <w:rFonts w:ascii="宋体" w:hAnsi="宋体" w:cs="宋体"/>
                <w:kern w:val="2"/>
                <w:sz w:val="21"/>
                <w:szCs w:val="21"/>
                <w:lang w:eastAsia="zh-CN"/>
              </w:rPr>
            </w:pPr>
            <w:r>
              <w:rPr>
                <w:rFonts w:hint="eastAsia" w:ascii="宋体" w:hAnsi="宋体" w:cs="宋体"/>
                <w:spacing w:val="10"/>
                <w:kern w:val="2"/>
                <w:sz w:val="21"/>
                <w:szCs w:val="21"/>
                <w:lang w:eastAsia="zh-CN"/>
              </w:rPr>
              <w:t>《水嘴用水效率限定值及用水效</w:t>
            </w:r>
            <w:r>
              <w:rPr>
                <w:rFonts w:hint="eastAsia" w:ascii="宋体" w:hAnsi="宋体" w:cs="宋体"/>
                <w:kern w:val="2"/>
                <w:sz w:val="21"/>
                <w:szCs w:val="21"/>
                <w:lang w:eastAsia="zh-CN"/>
              </w:rPr>
              <w:t>率等级》（GB 25501）</w:t>
            </w:r>
          </w:p>
        </w:tc>
      </w:tr>
      <w:tr w14:paraId="2D9C4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tcBorders>
              <w:top w:val="single" w:color="000000" w:sz="4" w:space="0"/>
              <w:left w:val="single" w:color="000000" w:sz="4" w:space="0"/>
              <w:bottom w:val="single" w:color="000000" w:sz="4" w:space="0"/>
              <w:right w:val="single" w:color="000000" w:sz="4" w:space="0"/>
            </w:tcBorders>
            <w:noWrap w:val="0"/>
            <w:vAlign w:val="center"/>
          </w:tcPr>
          <w:p w14:paraId="7AFBB58E">
            <w:pPr>
              <w:pStyle w:val="111"/>
              <w:jc w:val="center"/>
              <w:rPr>
                <w:rFonts w:ascii="宋体" w:hAnsi="宋体" w:cs="宋体"/>
                <w:kern w:val="2"/>
                <w:sz w:val="21"/>
                <w:szCs w:val="21"/>
              </w:rPr>
            </w:pPr>
            <w:r>
              <w:rPr>
                <w:rFonts w:hint="eastAsia" w:ascii="宋体" w:hAnsi="宋体"/>
                <w:kern w:val="2"/>
                <w:sz w:val="21"/>
                <w:szCs w:val="21"/>
              </w:rPr>
              <w:t>17</w:t>
            </w:r>
          </w:p>
        </w:tc>
        <w:tc>
          <w:tcPr>
            <w:tcW w:w="834" w:type="pct"/>
            <w:tcBorders>
              <w:top w:val="single" w:color="000000" w:sz="4" w:space="0"/>
              <w:left w:val="single" w:color="000000" w:sz="4" w:space="0"/>
              <w:bottom w:val="single" w:color="000000" w:sz="4" w:space="0"/>
              <w:right w:val="single" w:color="000000" w:sz="4" w:space="0"/>
            </w:tcBorders>
            <w:noWrap w:val="0"/>
            <w:vAlign w:val="center"/>
          </w:tcPr>
          <w:p w14:paraId="2BB99A24">
            <w:pPr>
              <w:pStyle w:val="111"/>
              <w:spacing w:before="112"/>
              <w:ind w:left="7"/>
              <w:jc w:val="center"/>
              <w:rPr>
                <w:rFonts w:ascii="宋体" w:hAnsi="宋体" w:cs="宋体"/>
                <w:kern w:val="2"/>
                <w:sz w:val="21"/>
                <w:szCs w:val="21"/>
              </w:rPr>
            </w:pPr>
            <w:r>
              <w:rPr>
                <w:rFonts w:hint="eastAsia" w:ascii="宋体" w:hAnsi="宋体" w:cs="仿宋_GB2312"/>
                <w:kern w:val="2"/>
                <w:sz w:val="21"/>
                <w:szCs w:val="21"/>
              </w:rPr>
              <w:t>A05020107</w:t>
            </w:r>
            <w:r>
              <w:rPr>
                <w:rFonts w:hint="eastAsia" w:ascii="宋体" w:hAnsi="宋体" w:cs="宋体"/>
                <w:kern w:val="2"/>
                <w:sz w:val="21"/>
                <w:szCs w:val="21"/>
              </w:rPr>
              <w:t>便器冲洗阀</w:t>
            </w:r>
          </w:p>
        </w:tc>
        <w:tc>
          <w:tcPr>
            <w:tcW w:w="878" w:type="pct"/>
            <w:tcBorders>
              <w:top w:val="single" w:color="000000" w:sz="4" w:space="0"/>
              <w:left w:val="single" w:color="000000" w:sz="4" w:space="0"/>
              <w:bottom w:val="single" w:color="000000" w:sz="4" w:space="0"/>
              <w:right w:val="single" w:color="000000" w:sz="4" w:space="0"/>
            </w:tcBorders>
            <w:noWrap w:val="0"/>
            <w:vAlign w:val="center"/>
          </w:tcPr>
          <w:p w14:paraId="0D39A24D">
            <w:pPr>
              <w:jc w:val="center"/>
              <w:rPr>
                <w:rFonts w:ascii="宋体" w:hAnsi="宋体"/>
                <w:szCs w:val="21"/>
                <w:lang w:eastAsia="en-US"/>
              </w:rPr>
            </w:pP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47448E56">
            <w:pPr>
              <w:jc w:val="center"/>
              <w:rPr>
                <w:rFonts w:ascii="宋体" w:hAnsi="宋体"/>
                <w:szCs w:val="21"/>
                <w:lang w:eastAsia="en-US"/>
              </w:rPr>
            </w:pPr>
          </w:p>
        </w:tc>
        <w:tc>
          <w:tcPr>
            <w:tcW w:w="2092" w:type="pct"/>
            <w:tcBorders>
              <w:top w:val="single" w:color="000000" w:sz="4" w:space="0"/>
              <w:left w:val="single" w:color="000000" w:sz="4" w:space="0"/>
              <w:bottom w:val="single" w:color="000000" w:sz="4" w:space="0"/>
              <w:right w:val="single" w:color="000000" w:sz="4" w:space="0"/>
            </w:tcBorders>
            <w:noWrap w:val="0"/>
            <w:vAlign w:val="top"/>
          </w:tcPr>
          <w:p w14:paraId="5A20A039">
            <w:pPr>
              <w:pStyle w:val="111"/>
              <w:spacing w:before="112" w:line="276" w:lineRule="auto"/>
              <w:ind w:left="7" w:right="4"/>
              <w:rPr>
                <w:rFonts w:ascii="宋体" w:hAnsi="宋体" w:cs="宋体"/>
                <w:kern w:val="2"/>
                <w:sz w:val="21"/>
                <w:szCs w:val="21"/>
                <w:lang w:eastAsia="zh-CN"/>
              </w:rPr>
            </w:pPr>
            <w:r>
              <w:rPr>
                <w:rFonts w:hint="eastAsia" w:ascii="宋体" w:hAnsi="宋体" w:cs="宋体"/>
                <w:spacing w:val="10"/>
                <w:kern w:val="2"/>
                <w:sz w:val="21"/>
                <w:szCs w:val="21"/>
                <w:lang w:eastAsia="zh-CN"/>
              </w:rPr>
              <w:t>《便器冲洗阀用水效率限定值及</w:t>
            </w:r>
            <w:r>
              <w:rPr>
                <w:rFonts w:hint="eastAsia" w:ascii="宋体" w:hAnsi="宋体" w:cs="宋体"/>
                <w:kern w:val="2"/>
                <w:sz w:val="21"/>
                <w:szCs w:val="21"/>
                <w:lang w:eastAsia="zh-CN"/>
              </w:rPr>
              <w:t>用水效率等级》（GB28379）</w:t>
            </w:r>
          </w:p>
        </w:tc>
      </w:tr>
      <w:tr w14:paraId="4BDAE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tcBorders>
              <w:top w:val="single" w:color="000000" w:sz="4" w:space="0"/>
              <w:left w:val="single" w:color="000000" w:sz="4" w:space="0"/>
              <w:bottom w:val="single" w:color="000000" w:sz="4" w:space="0"/>
              <w:right w:val="single" w:color="000000" w:sz="4" w:space="0"/>
            </w:tcBorders>
            <w:noWrap w:val="0"/>
            <w:vAlign w:val="center"/>
          </w:tcPr>
          <w:p w14:paraId="444478CA">
            <w:pPr>
              <w:pStyle w:val="111"/>
              <w:jc w:val="center"/>
              <w:rPr>
                <w:rFonts w:ascii="宋体" w:hAnsi="宋体" w:cs="宋体"/>
                <w:kern w:val="2"/>
                <w:sz w:val="21"/>
                <w:szCs w:val="21"/>
              </w:rPr>
            </w:pPr>
            <w:r>
              <w:rPr>
                <w:rFonts w:hint="eastAsia" w:ascii="宋体" w:hAnsi="宋体"/>
                <w:kern w:val="2"/>
                <w:sz w:val="21"/>
                <w:szCs w:val="21"/>
              </w:rPr>
              <w:t>18</w:t>
            </w:r>
          </w:p>
        </w:tc>
        <w:tc>
          <w:tcPr>
            <w:tcW w:w="834" w:type="pct"/>
            <w:tcBorders>
              <w:top w:val="single" w:color="000000" w:sz="4" w:space="0"/>
              <w:left w:val="single" w:color="000000" w:sz="4" w:space="0"/>
              <w:bottom w:val="single" w:color="000000" w:sz="4" w:space="0"/>
              <w:right w:val="single" w:color="000000" w:sz="4" w:space="0"/>
            </w:tcBorders>
            <w:noWrap w:val="0"/>
            <w:vAlign w:val="center"/>
          </w:tcPr>
          <w:p w14:paraId="2BBA4992">
            <w:pPr>
              <w:pStyle w:val="111"/>
              <w:spacing w:before="131"/>
              <w:ind w:left="7"/>
              <w:jc w:val="center"/>
              <w:rPr>
                <w:rFonts w:ascii="宋体" w:hAnsi="宋体" w:cs="宋体"/>
                <w:kern w:val="2"/>
                <w:sz w:val="21"/>
                <w:szCs w:val="21"/>
              </w:rPr>
            </w:pPr>
            <w:r>
              <w:rPr>
                <w:rFonts w:hint="eastAsia" w:ascii="宋体" w:hAnsi="宋体" w:cs="仿宋_GB2312"/>
                <w:kern w:val="2"/>
                <w:sz w:val="21"/>
                <w:szCs w:val="21"/>
              </w:rPr>
              <w:t>A05020110</w:t>
            </w:r>
            <w:r>
              <w:rPr>
                <w:rFonts w:hint="eastAsia" w:ascii="宋体" w:hAnsi="宋体" w:cs="宋体"/>
                <w:kern w:val="2"/>
                <w:sz w:val="21"/>
                <w:szCs w:val="21"/>
              </w:rPr>
              <w:t>淋浴</w:t>
            </w:r>
            <w:r>
              <w:rPr>
                <w:rFonts w:hint="eastAsia" w:ascii="宋体" w:hAnsi="宋体" w:cs="宋体"/>
                <w:w w:val="99"/>
                <w:kern w:val="2"/>
                <w:sz w:val="21"/>
                <w:szCs w:val="21"/>
              </w:rPr>
              <w:t>器</w:t>
            </w:r>
          </w:p>
        </w:tc>
        <w:tc>
          <w:tcPr>
            <w:tcW w:w="878" w:type="pct"/>
            <w:tcBorders>
              <w:top w:val="single" w:color="000000" w:sz="4" w:space="0"/>
              <w:left w:val="single" w:color="000000" w:sz="4" w:space="0"/>
              <w:bottom w:val="single" w:color="000000" w:sz="4" w:space="0"/>
              <w:right w:val="single" w:color="000000" w:sz="4" w:space="0"/>
            </w:tcBorders>
            <w:noWrap w:val="0"/>
            <w:vAlign w:val="center"/>
          </w:tcPr>
          <w:p w14:paraId="7659C0BB">
            <w:pPr>
              <w:jc w:val="center"/>
              <w:rPr>
                <w:rFonts w:ascii="宋体" w:hAnsi="宋体"/>
                <w:szCs w:val="21"/>
                <w:lang w:eastAsia="en-US"/>
              </w:rPr>
            </w:pP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15901B58">
            <w:pPr>
              <w:jc w:val="center"/>
              <w:rPr>
                <w:rFonts w:ascii="宋体" w:hAnsi="宋体"/>
                <w:szCs w:val="21"/>
                <w:lang w:eastAsia="en-US"/>
              </w:rPr>
            </w:pPr>
          </w:p>
        </w:tc>
        <w:tc>
          <w:tcPr>
            <w:tcW w:w="2092" w:type="pct"/>
            <w:tcBorders>
              <w:top w:val="single" w:color="000000" w:sz="4" w:space="0"/>
              <w:left w:val="single" w:color="000000" w:sz="4" w:space="0"/>
              <w:bottom w:val="single" w:color="000000" w:sz="4" w:space="0"/>
              <w:right w:val="single" w:color="000000" w:sz="4" w:space="0"/>
            </w:tcBorders>
            <w:noWrap w:val="0"/>
            <w:vAlign w:val="top"/>
          </w:tcPr>
          <w:p w14:paraId="63F53816">
            <w:pPr>
              <w:pStyle w:val="111"/>
              <w:spacing w:before="131" w:line="276" w:lineRule="auto"/>
              <w:ind w:left="7" w:right="4"/>
              <w:rPr>
                <w:rFonts w:ascii="宋体" w:hAnsi="宋体" w:cs="宋体"/>
                <w:kern w:val="2"/>
                <w:sz w:val="21"/>
                <w:szCs w:val="21"/>
                <w:lang w:eastAsia="zh-CN"/>
              </w:rPr>
            </w:pPr>
            <w:r>
              <w:rPr>
                <w:rFonts w:hint="eastAsia" w:ascii="宋体" w:hAnsi="宋体" w:cs="宋体"/>
                <w:spacing w:val="10"/>
                <w:kern w:val="2"/>
                <w:sz w:val="21"/>
                <w:szCs w:val="21"/>
                <w:lang w:eastAsia="zh-CN"/>
              </w:rPr>
              <w:t>《淋浴器用水效率限定值及用水</w:t>
            </w:r>
            <w:r>
              <w:rPr>
                <w:rFonts w:hint="eastAsia" w:ascii="宋体" w:hAnsi="宋体" w:cs="宋体"/>
                <w:kern w:val="2"/>
                <w:sz w:val="21"/>
                <w:szCs w:val="21"/>
                <w:lang w:eastAsia="zh-CN"/>
              </w:rPr>
              <w:t>效率等级》（GB28378）</w:t>
            </w:r>
          </w:p>
        </w:tc>
      </w:tr>
    </w:tbl>
    <w:p w14:paraId="1E525A72">
      <w:pPr>
        <w:pStyle w:val="18"/>
        <w:spacing w:line="360" w:lineRule="auto"/>
        <w:rPr>
          <w:rFonts w:hint="eastAsia" w:ascii="宋体" w:hAnsi="宋体"/>
          <w:kern w:val="2"/>
          <w:sz w:val="21"/>
          <w:szCs w:val="21"/>
        </w:rPr>
      </w:pPr>
      <w:r>
        <w:rPr>
          <w:rFonts w:hint="eastAsia" w:ascii="宋体" w:hAnsi="宋体"/>
          <w:spacing w:val="-3"/>
          <w:sz w:val="21"/>
          <w:szCs w:val="21"/>
        </w:rPr>
        <w:t>注：</w:t>
      </w:r>
      <w:r>
        <w:rPr>
          <w:rFonts w:ascii="宋体" w:hAnsi="宋体"/>
          <w:spacing w:val="-3"/>
          <w:sz w:val="21"/>
          <w:szCs w:val="21"/>
        </w:rPr>
        <w:t>1.</w:t>
      </w:r>
      <w:r>
        <w:rPr>
          <w:rFonts w:hint="eastAsia" w:ascii="宋体" w:hAnsi="宋体"/>
          <w:spacing w:val="-3"/>
          <w:sz w:val="21"/>
          <w:szCs w:val="21"/>
        </w:rPr>
        <w:t>节能产品认证应依据相关国家标准的最新版本，依据国家标准中二级能效（水效）</w:t>
      </w:r>
      <w:r>
        <w:rPr>
          <w:rFonts w:hint="eastAsia" w:ascii="宋体" w:hAnsi="宋体"/>
          <w:sz w:val="21"/>
          <w:szCs w:val="21"/>
        </w:rPr>
        <w:t>指标。</w:t>
      </w:r>
    </w:p>
    <w:p w14:paraId="5E79328B">
      <w:pPr>
        <w:pStyle w:val="18"/>
        <w:spacing w:line="360" w:lineRule="auto"/>
        <w:ind w:firstLine="465"/>
        <w:rPr>
          <w:rFonts w:hint="eastAsia" w:ascii="宋体" w:hAnsi="宋体"/>
          <w:sz w:val="21"/>
          <w:szCs w:val="21"/>
        </w:rPr>
      </w:pPr>
      <w:r>
        <w:rPr>
          <w:rFonts w:ascii="宋体" w:hAnsi="宋体"/>
          <w:sz w:val="21"/>
          <w:szCs w:val="21"/>
        </w:rPr>
        <w:t>2</w:t>
      </w:r>
      <w:r>
        <w:rPr>
          <w:rFonts w:hint="eastAsia" w:ascii="宋体" w:hAnsi="宋体"/>
          <w:sz w:val="21"/>
          <w:szCs w:val="21"/>
        </w:rPr>
        <w:t>.以</w:t>
      </w:r>
      <w:r>
        <w:rPr>
          <w:rFonts w:ascii="宋体" w:hAnsi="宋体"/>
          <w:sz w:val="21"/>
          <w:szCs w:val="21"/>
        </w:rPr>
        <w:t>“</w:t>
      </w:r>
      <w:r>
        <w:rPr>
          <w:rFonts w:hint="eastAsia" w:ascii="宋体" w:hAnsi="宋体"/>
          <w:sz w:val="21"/>
          <w:szCs w:val="21"/>
        </w:rPr>
        <w:t>★</w:t>
      </w:r>
      <w:r>
        <w:rPr>
          <w:rFonts w:ascii="宋体" w:hAnsi="宋体"/>
          <w:sz w:val="21"/>
          <w:szCs w:val="21"/>
        </w:rPr>
        <w:t>”</w:t>
      </w:r>
      <w:r>
        <w:rPr>
          <w:rFonts w:hint="eastAsia" w:ascii="宋体" w:hAnsi="宋体"/>
          <w:sz w:val="21"/>
          <w:szCs w:val="21"/>
        </w:rPr>
        <w:t>标注的为政府强制采购产品。</w:t>
      </w:r>
    </w:p>
    <w:p w14:paraId="5A96FA19">
      <w:pPr>
        <w:pStyle w:val="18"/>
        <w:spacing w:line="360" w:lineRule="auto"/>
        <w:ind w:firstLine="465"/>
        <w:rPr>
          <w:rFonts w:hint="eastAsia" w:ascii="宋体" w:hAnsi="宋体"/>
          <w:sz w:val="21"/>
          <w:szCs w:val="21"/>
        </w:rPr>
      </w:pPr>
      <w:r>
        <w:rPr>
          <w:rFonts w:hint="eastAsia" w:ascii="宋体" w:hAnsi="宋体"/>
          <w:sz w:val="21"/>
          <w:szCs w:val="21"/>
        </w:rPr>
        <w:t>3.本表格原为《关于印发节能产品政府采购品目清单的通知》（财库〔2019〕19号）规定的表格附件，其中名称及编码已根据《财政部关于印发〈政府采购品目分类目录〉的通知》（财库〔2022〕31号）修改。</w:t>
      </w:r>
    </w:p>
    <w:p w14:paraId="16E3800A">
      <w:pPr>
        <w:pStyle w:val="18"/>
        <w:spacing w:line="360" w:lineRule="auto"/>
        <w:ind w:firstLine="465"/>
        <w:rPr>
          <w:rFonts w:hint="eastAsia" w:ascii="宋体" w:hAnsi="宋体"/>
          <w:sz w:val="21"/>
          <w:szCs w:val="21"/>
        </w:rPr>
      </w:pPr>
    </w:p>
    <w:p w14:paraId="434637E4">
      <w:pPr>
        <w:tabs>
          <w:tab w:val="left" w:pos="180"/>
          <w:tab w:val="left" w:pos="1620"/>
        </w:tabs>
        <w:spacing w:line="360" w:lineRule="auto"/>
        <w:ind w:firstLine="420" w:firstLineChars="200"/>
        <w:rPr>
          <w:rFonts w:hint="eastAsia" w:ascii="宋体" w:hAnsi="宋体"/>
        </w:rPr>
      </w:pPr>
    </w:p>
    <w:p w14:paraId="5EC0CC75">
      <w:pPr>
        <w:widowControl/>
        <w:jc w:val="left"/>
        <w:rPr>
          <w:rFonts w:hint="eastAsia" w:ascii="黑体" w:hAnsi="黑体" w:eastAsia="黑体" w:cs="黑体"/>
          <w:sz w:val="32"/>
          <w:szCs w:val="32"/>
        </w:rPr>
      </w:pPr>
      <w:r>
        <w:rPr>
          <w:rFonts w:ascii="Arial Unicode MS" w:hAnsi="Arial Unicode MS" w:eastAsia="等线" w:cs="Arial Unicode MS"/>
          <w:kern w:val="0"/>
          <w:sz w:val="32"/>
          <w:szCs w:val="32"/>
        </w:rPr>
        <w:br w:type="page"/>
      </w:r>
      <w:r>
        <w:rPr>
          <w:rFonts w:hint="eastAsia" w:ascii="黑体" w:hAnsi="黑体" w:eastAsia="黑体" w:cs="黑体"/>
          <w:sz w:val="32"/>
          <w:szCs w:val="32"/>
        </w:rPr>
        <w:t>附件2：</w:t>
      </w:r>
    </w:p>
    <w:p w14:paraId="756B45C0">
      <w:pPr>
        <w:pStyle w:val="18"/>
        <w:jc w:val="center"/>
        <w:rPr>
          <w:rFonts w:hint="eastAsia"/>
          <w:b/>
          <w:sz w:val="28"/>
          <w:szCs w:val="28"/>
        </w:rPr>
      </w:pPr>
      <w:r>
        <w:rPr>
          <w:rFonts w:hint="eastAsia"/>
          <w:b/>
          <w:sz w:val="28"/>
          <w:szCs w:val="28"/>
        </w:rPr>
        <w:t>中小企业划型标准规定</w:t>
      </w:r>
    </w:p>
    <w:p w14:paraId="0E03B896">
      <w:pPr>
        <w:pStyle w:val="18"/>
        <w:jc w:val="center"/>
        <w:rPr>
          <w:rFonts w:hint="eastAsia" w:ascii="宋体" w:hAnsi="宋体"/>
          <w:sz w:val="21"/>
          <w:szCs w:val="21"/>
        </w:rPr>
      </w:pPr>
      <w:r>
        <w:rPr>
          <w:rFonts w:hint="eastAsia" w:ascii="宋体" w:hAnsi="宋体"/>
          <w:sz w:val="21"/>
          <w:szCs w:val="21"/>
        </w:rPr>
        <w:t>工信部联企业〔2011〕300号</w:t>
      </w:r>
    </w:p>
    <w:p w14:paraId="73E43253">
      <w:pPr>
        <w:pStyle w:val="18"/>
        <w:rPr>
          <w:sz w:val="21"/>
          <w:szCs w:val="21"/>
        </w:rPr>
      </w:pPr>
    </w:p>
    <w:p w14:paraId="46DCDAF2">
      <w:pPr>
        <w:pStyle w:val="18"/>
        <w:ind w:firstLine="420" w:firstLineChars="200"/>
        <w:rPr>
          <w:sz w:val="21"/>
          <w:szCs w:val="21"/>
        </w:rPr>
      </w:pPr>
      <w:r>
        <w:rPr>
          <w:rFonts w:hint="eastAsia"/>
          <w:sz w:val="21"/>
          <w:szCs w:val="21"/>
        </w:rPr>
        <w:t>一、根据《中华人民共和国中小企业促进法》和《国务院关于进一步促进中小企业发展的若干意见》（国发〔2009〕36号），制定本规定。</w:t>
      </w:r>
    </w:p>
    <w:p w14:paraId="21A64C06">
      <w:pPr>
        <w:pStyle w:val="18"/>
        <w:rPr>
          <w:sz w:val="21"/>
          <w:szCs w:val="21"/>
        </w:rPr>
      </w:pPr>
      <w:r>
        <w:rPr>
          <w:rFonts w:hint="eastAsia"/>
          <w:sz w:val="21"/>
          <w:szCs w:val="21"/>
        </w:rPr>
        <w:t>　　二、中小企业划分为中型、小型、微型三种类型，具体标准根据企业从业人员、营业收入、资产总额等指标，结合行业特点制定。</w:t>
      </w:r>
    </w:p>
    <w:p w14:paraId="0DAA9180">
      <w:pPr>
        <w:pStyle w:val="18"/>
        <w:rPr>
          <w:sz w:val="21"/>
          <w:szCs w:val="21"/>
        </w:rPr>
      </w:pPr>
      <w:r>
        <w:rPr>
          <w:rFonts w:hint="eastAsia"/>
          <w:sz w:val="21"/>
          <w:szCs w:val="21"/>
        </w:rPr>
        <w:t>　　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77B9B74F">
      <w:pPr>
        <w:pStyle w:val="18"/>
        <w:rPr>
          <w:sz w:val="21"/>
          <w:szCs w:val="21"/>
        </w:rPr>
      </w:pPr>
      <w:r>
        <w:rPr>
          <w:rFonts w:hint="eastAsia"/>
          <w:sz w:val="21"/>
          <w:szCs w:val="21"/>
        </w:rPr>
        <w:t>　　四、各行业划型标准为：</w:t>
      </w:r>
    </w:p>
    <w:p w14:paraId="48F02B64">
      <w:pPr>
        <w:pStyle w:val="18"/>
        <w:rPr>
          <w:sz w:val="21"/>
          <w:szCs w:val="21"/>
        </w:rPr>
      </w:pPr>
      <w:r>
        <w:rPr>
          <w:rFonts w:hint="eastAsia"/>
          <w:sz w:val="21"/>
          <w:szCs w:val="21"/>
        </w:rPr>
        <w:t>　　（一）农、林、牧、渔业。营业收入20000万元以下的为中小微型企业。其中，营业收入500万元及以上的为中型企业，营业收入50万元及以上的为小型企业，营业收入50万元以下的为微型企业。</w:t>
      </w:r>
    </w:p>
    <w:p w14:paraId="1CEBA0BF">
      <w:pPr>
        <w:pStyle w:val="18"/>
        <w:rPr>
          <w:sz w:val="21"/>
          <w:szCs w:val="21"/>
        </w:rPr>
      </w:pPr>
      <w:r>
        <w:rPr>
          <w:rFonts w:hint="eastAsia"/>
          <w:sz w:val="21"/>
          <w:szCs w:val="21"/>
        </w:rPr>
        <w:t>　　（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1ADC5D98">
      <w:pPr>
        <w:pStyle w:val="18"/>
        <w:rPr>
          <w:sz w:val="21"/>
          <w:szCs w:val="21"/>
        </w:rPr>
      </w:pPr>
      <w:r>
        <w:rPr>
          <w:rFonts w:hint="eastAsia"/>
          <w:sz w:val="21"/>
          <w:szCs w:val="21"/>
        </w:rPr>
        <w:t>　　（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5231F366">
      <w:pPr>
        <w:pStyle w:val="18"/>
        <w:rPr>
          <w:sz w:val="21"/>
          <w:szCs w:val="21"/>
        </w:rPr>
      </w:pPr>
      <w:r>
        <w:rPr>
          <w:rFonts w:hint="eastAsia"/>
          <w:sz w:val="21"/>
          <w:szCs w:val="21"/>
        </w:rPr>
        <w:t>　　（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7DD125C0">
      <w:pPr>
        <w:pStyle w:val="18"/>
        <w:rPr>
          <w:sz w:val="21"/>
          <w:szCs w:val="21"/>
        </w:rPr>
      </w:pPr>
      <w:r>
        <w:rPr>
          <w:rFonts w:hint="eastAsia"/>
          <w:sz w:val="21"/>
          <w:szCs w:val="21"/>
        </w:rPr>
        <w:t>　　（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6507C79D">
      <w:pPr>
        <w:pStyle w:val="18"/>
        <w:rPr>
          <w:sz w:val="21"/>
          <w:szCs w:val="21"/>
        </w:rPr>
      </w:pPr>
      <w:r>
        <w:rPr>
          <w:rFonts w:hint="eastAsia"/>
          <w:sz w:val="21"/>
          <w:szCs w:val="21"/>
        </w:rPr>
        <w:t>　　（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491EDF15">
      <w:pPr>
        <w:pStyle w:val="18"/>
        <w:rPr>
          <w:sz w:val="21"/>
          <w:szCs w:val="21"/>
        </w:rPr>
      </w:pPr>
      <w:r>
        <w:rPr>
          <w:rFonts w:hint="eastAsia"/>
          <w:sz w:val="21"/>
          <w:szCs w:val="21"/>
        </w:rPr>
        <w:t>　　（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18FE5EF2">
      <w:pPr>
        <w:pStyle w:val="18"/>
        <w:rPr>
          <w:sz w:val="21"/>
          <w:szCs w:val="21"/>
        </w:rPr>
      </w:pPr>
      <w:r>
        <w:rPr>
          <w:rFonts w:hint="eastAsia"/>
          <w:sz w:val="21"/>
          <w:szCs w:val="21"/>
        </w:rPr>
        <w:t>　　（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191EBACE">
      <w:pPr>
        <w:pStyle w:val="18"/>
        <w:rPr>
          <w:sz w:val="21"/>
          <w:szCs w:val="21"/>
        </w:rPr>
      </w:pPr>
      <w:r>
        <w:rPr>
          <w:rFonts w:hint="eastAsia"/>
          <w:sz w:val="21"/>
          <w:szCs w:val="21"/>
        </w:rPr>
        <w:t>　　（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29421AA2">
      <w:pPr>
        <w:pStyle w:val="18"/>
        <w:rPr>
          <w:sz w:val="21"/>
          <w:szCs w:val="21"/>
        </w:rPr>
      </w:pPr>
      <w:r>
        <w:rPr>
          <w:rFonts w:hint="eastAsia"/>
          <w:sz w:val="21"/>
          <w:szCs w:val="21"/>
        </w:rPr>
        <w:t>　　（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31E1A89B">
      <w:pPr>
        <w:pStyle w:val="18"/>
        <w:rPr>
          <w:sz w:val="21"/>
          <w:szCs w:val="21"/>
        </w:rPr>
      </w:pPr>
      <w:r>
        <w:rPr>
          <w:rFonts w:hint="eastAsia"/>
          <w:sz w:val="21"/>
          <w:szCs w:val="21"/>
        </w:rPr>
        <w:t>　　（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4761F106">
      <w:pPr>
        <w:pStyle w:val="18"/>
        <w:rPr>
          <w:sz w:val="21"/>
          <w:szCs w:val="21"/>
        </w:rPr>
      </w:pPr>
      <w:r>
        <w:rPr>
          <w:rFonts w:hint="eastAsia"/>
          <w:sz w:val="21"/>
          <w:szCs w:val="21"/>
        </w:rPr>
        <w:t>　　（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13B6D568">
      <w:pPr>
        <w:pStyle w:val="18"/>
        <w:rPr>
          <w:sz w:val="21"/>
          <w:szCs w:val="21"/>
        </w:rPr>
      </w:pPr>
      <w:r>
        <w:rPr>
          <w:rFonts w:hint="eastAsia"/>
          <w:sz w:val="21"/>
          <w:szCs w:val="21"/>
        </w:rPr>
        <w:t>　　（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1EF8C36C">
      <w:pPr>
        <w:pStyle w:val="18"/>
        <w:rPr>
          <w:sz w:val="21"/>
          <w:szCs w:val="21"/>
        </w:rPr>
      </w:pPr>
      <w:r>
        <w:rPr>
          <w:rFonts w:hint="eastAsia"/>
          <w:sz w:val="21"/>
          <w:szCs w:val="21"/>
        </w:rPr>
        <w:t>　　（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07E363FE">
      <w:pPr>
        <w:pStyle w:val="18"/>
        <w:rPr>
          <w:sz w:val="21"/>
          <w:szCs w:val="21"/>
        </w:rPr>
      </w:pPr>
      <w:r>
        <w:rPr>
          <w:rFonts w:hint="eastAsia"/>
          <w:sz w:val="21"/>
          <w:szCs w:val="21"/>
        </w:rPr>
        <w:t>　　（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65CC44E8">
      <w:pPr>
        <w:pStyle w:val="18"/>
        <w:rPr>
          <w:sz w:val="21"/>
          <w:szCs w:val="21"/>
        </w:rPr>
      </w:pPr>
      <w:r>
        <w:rPr>
          <w:rFonts w:hint="eastAsia"/>
          <w:sz w:val="21"/>
          <w:szCs w:val="21"/>
        </w:rPr>
        <w:t>　　（十六）其他未列明行业。从业人员300人以下的为中小微型企业。其中，从业人员100人及以上的为中型企业；从业人员10人及以上的为小型企业；从业人员10人以下的为微型企业。</w:t>
      </w:r>
    </w:p>
    <w:p w14:paraId="7C45D8A3">
      <w:pPr>
        <w:pStyle w:val="18"/>
        <w:ind w:firstLine="420"/>
        <w:rPr>
          <w:sz w:val="21"/>
          <w:szCs w:val="21"/>
        </w:rPr>
      </w:pPr>
      <w:r>
        <w:rPr>
          <w:rFonts w:hint="eastAsia"/>
          <w:sz w:val="21"/>
          <w:szCs w:val="21"/>
        </w:rPr>
        <w:t>五、企业类型的划分以统计部门的统计数据为依据。</w:t>
      </w:r>
    </w:p>
    <w:p w14:paraId="613D5A9D">
      <w:pPr>
        <w:pStyle w:val="18"/>
        <w:ind w:firstLine="420"/>
        <w:rPr>
          <w:sz w:val="21"/>
          <w:szCs w:val="21"/>
        </w:rPr>
      </w:pPr>
      <w:r>
        <w:rPr>
          <w:rFonts w:hint="eastAsia"/>
          <w:sz w:val="21"/>
          <w:szCs w:val="21"/>
        </w:rPr>
        <w:t>六、本规定适用于在中华人民共和国境内依法设立的各类所有制和各种组织形式的企业。个体工商户和本规定以外的行业，参照本规定进行划型。</w:t>
      </w:r>
    </w:p>
    <w:p w14:paraId="05FC9AD8">
      <w:pPr>
        <w:pStyle w:val="18"/>
        <w:ind w:firstLine="420"/>
        <w:rPr>
          <w:sz w:val="21"/>
          <w:szCs w:val="21"/>
        </w:rPr>
      </w:pPr>
      <w:r>
        <w:rPr>
          <w:rFonts w:hint="eastAsia"/>
          <w:sz w:val="21"/>
          <w:szCs w:val="21"/>
        </w:rPr>
        <w:t>七、本规定的中型企业标准上限即为大型企业标准的下限，国家统计部门据此制定大中小微型企业的统计分类。国务院有关部门据此进行相关数据分析，不得制定与本规定不一致的企业划型标准。</w:t>
      </w:r>
    </w:p>
    <w:p w14:paraId="1D48C6E1">
      <w:pPr>
        <w:pStyle w:val="18"/>
        <w:ind w:firstLine="420"/>
        <w:rPr>
          <w:sz w:val="21"/>
          <w:szCs w:val="21"/>
        </w:rPr>
      </w:pPr>
      <w:r>
        <w:rPr>
          <w:rFonts w:hint="eastAsia"/>
          <w:sz w:val="21"/>
          <w:szCs w:val="21"/>
        </w:rPr>
        <w:t>八、本规定由工业和信息化部、国家统计局会同有关部门根据《国民经济行业分类》修订情况和企业发展变化情况适时修订。</w:t>
      </w:r>
    </w:p>
    <w:p w14:paraId="5F9D6F89">
      <w:pPr>
        <w:pStyle w:val="18"/>
        <w:ind w:firstLine="420"/>
        <w:rPr>
          <w:sz w:val="21"/>
          <w:szCs w:val="21"/>
        </w:rPr>
      </w:pPr>
      <w:r>
        <w:rPr>
          <w:rFonts w:hint="eastAsia"/>
          <w:sz w:val="21"/>
          <w:szCs w:val="21"/>
        </w:rPr>
        <w:t>九、本规定由工业和信息化部、国家统计局会同有关部门负责解释。</w:t>
      </w:r>
    </w:p>
    <w:p w14:paraId="3853058A">
      <w:pPr>
        <w:pStyle w:val="18"/>
        <w:ind w:firstLine="420"/>
        <w:rPr>
          <w:rFonts w:ascii="宋体" w:hAnsi="宋体" w:cs="宋体"/>
          <w:sz w:val="20"/>
          <w:szCs w:val="20"/>
        </w:rPr>
      </w:pPr>
      <w:r>
        <w:rPr>
          <w:rFonts w:hint="eastAsia"/>
          <w:sz w:val="21"/>
          <w:szCs w:val="21"/>
        </w:rPr>
        <w:t>十、本规定自发布之日起执行，原国家经贸委、原国家计委、财政部和国家统计局2003年颁布的《中小企业标准暂行规定》同时废止。</w:t>
      </w:r>
    </w:p>
    <w:p w14:paraId="76342ECF">
      <w:pPr>
        <w:spacing w:line="360" w:lineRule="auto"/>
        <w:ind w:firstLine="310" w:firstLineChars="147"/>
        <w:jc w:val="left"/>
        <w:rPr>
          <w:rFonts w:hint="eastAsia" w:ascii="宋体" w:hAnsi="宋体"/>
          <w:b/>
          <w:szCs w:val="21"/>
        </w:rPr>
      </w:pPr>
    </w:p>
    <w:bookmarkEnd w:id="76"/>
    <w:bookmarkEnd w:id="77"/>
    <w:p w14:paraId="65863BEF">
      <w:pPr>
        <w:snapToGrid w:val="0"/>
        <w:jc w:val="center"/>
        <w:rPr>
          <w:rFonts w:hint="eastAsia" w:ascii="宋体" w:hAnsi="宋体"/>
          <w:sz w:val="30"/>
          <w:szCs w:val="30"/>
        </w:rPr>
      </w:pPr>
    </w:p>
    <w:p w14:paraId="3148A1DD">
      <w:pPr>
        <w:widowControl/>
        <w:rPr>
          <w:rFonts w:ascii="宋体" w:hAnsi="宋体" w:cs="宋体"/>
          <w:sz w:val="20"/>
          <w:szCs w:val="20"/>
        </w:rPr>
        <w:sectPr>
          <w:pgSz w:w="11910" w:h="16840"/>
          <w:pgMar w:top="1520" w:right="1500" w:bottom="280" w:left="1680" w:header="720" w:footer="720" w:gutter="0"/>
          <w:cols w:space="720" w:num="1"/>
          <w:titlePg/>
          <w:docGrid w:linePitch="286" w:charSpace="0"/>
        </w:sectPr>
      </w:pPr>
    </w:p>
    <w:p w14:paraId="74E564C9">
      <w:pPr>
        <w:pStyle w:val="2"/>
        <w:keepNext w:val="0"/>
        <w:keepLines w:val="0"/>
        <w:tabs>
          <w:tab w:val="left" w:pos="0"/>
          <w:tab w:val="left" w:pos="3165"/>
          <w:tab w:val="center" w:pos="4153"/>
        </w:tabs>
        <w:autoSpaceDE w:val="0"/>
        <w:autoSpaceDN w:val="0"/>
        <w:adjustRightInd w:val="0"/>
        <w:spacing w:before="0" w:after="0" w:line="360" w:lineRule="auto"/>
        <w:jc w:val="center"/>
        <w:rPr>
          <w:rFonts w:hint="eastAsia"/>
        </w:rPr>
      </w:pPr>
      <w:bookmarkStart w:id="80" w:name="_Toc25688"/>
      <w:r>
        <w:rPr>
          <w:rFonts w:hint="eastAsia"/>
        </w:rPr>
        <w:t>第三章  投标人须知</w:t>
      </w:r>
      <w:bookmarkEnd w:id="80"/>
    </w:p>
    <w:p w14:paraId="01155FCA">
      <w:pPr>
        <w:jc w:val="center"/>
        <w:rPr>
          <w:rFonts w:hint="eastAsia"/>
          <w:sz w:val="36"/>
          <w:szCs w:val="36"/>
        </w:rPr>
      </w:pPr>
      <w:bookmarkStart w:id="81" w:name="_Toc254970526"/>
      <w:bookmarkStart w:id="82" w:name="_Toc254970667"/>
      <w:r>
        <w:rPr>
          <w:rFonts w:hint="eastAsia"/>
          <w:sz w:val="36"/>
          <w:szCs w:val="36"/>
        </w:rPr>
        <w:t>投标人须知前附表</w:t>
      </w:r>
      <w:bookmarkEnd w:id="81"/>
      <w:bookmarkEnd w:id="82"/>
    </w:p>
    <w:tbl>
      <w:tblPr>
        <w:tblStyle w:val="50"/>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982"/>
        <w:gridCol w:w="7540"/>
      </w:tblGrid>
      <w:tr w14:paraId="523B7D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76" w:type="pct"/>
            <w:tcBorders>
              <w:top w:val="single" w:color="auto" w:sz="4" w:space="0"/>
              <w:left w:val="single" w:color="auto" w:sz="4" w:space="0"/>
              <w:bottom w:val="single" w:color="auto" w:sz="4" w:space="0"/>
              <w:right w:val="single" w:color="auto" w:sz="4" w:space="0"/>
            </w:tcBorders>
            <w:noWrap w:val="0"/>
            <w:vAlign w:val="center"/>
          </w:tcPr>
          <w:p w14:paraId="788EEA35">
            <w:pPr>
              <w:snapToGrid w:val="0"/>
              <w:spacing w:line="360" w:lineRule="exact"/>
              <w:jc w:val="left"/>
              <w:rPr>
                <w:rFonts w:hint="eastAsia" w:ascii="宋体" w:hAnsi="宋体"/>
                <w:szCs w:val="21"/>
              </w:rPr>
            </w:pPr>
            <w:r>
              <w:rPr>
                <w:rFonts w:hint="eastAsia" w:ascii="宋体" w:hAnsi="宋体"/>
                <w:szCs w:val="21"/>
              </w:rPr>
              <w:t>条款号</w:t>
            </w:r>
          </w:p>
        </w:tc>
        <w:tc>
          <w:tcPr>
            <w:tcW w:w="4424" w:type="pct"/>
            <w:tcBorders>
              <w:top w:val="single" w:color="auto" w:sz="4" w:space="0"/>
              <w:left w:val="single" w:color="auto" w:sz="4" w:space="0"/>
              <w:bottom w:val="single" w:color="auto" w:sz="4" w:space="0"/>
              <w:right w:val="single" w:color="auto" w:sz="4" w:space="0"/>
            </w:tcBorders>
            <w:noWrap w:val="0"/>
            <w:vAlign w:val="center"/>
          </w:tcPr>
          <w:p w14:paraId="71928A78">
            <w:pPr>
              <w:snapToGrid w:val="0"/>
              <w:spacing w:line="360" w:lineRule="exact"/>
              <w:jc w:val="center"/>
              <w:rPr>
                <w:rFonts w:hint="eastAsia" w:ascii="宋体" w:hAnsi="宋体"/>
                <w:szCs w:val="21"/>
              </w:rPr>
            </w:pPr>
            <w:r>
              <w:rPr>
                <w:rFonts w:hint="eastAsia" w:ascii="宋体" w:hAnsi="宋体"/>
                <w:szCs w:val="21"/>
              </w:rPr>
              <w:t>编列内容</w:t>
            </w:r>
          </w:p>
        </w:tc>
      </w:tr>
      <w:tr w14:paraId="4CC2870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76" w:type="pct"/>
            <w:tcBorders>
              <w:top w:val="single" w:color="auto" w:sz="4" w:space="0"/>
              <w:left w:val="single" w:color="auto" w:sz="4" w:space="0"/>
              <w:bottom w:val="single" w:color="auto" w:sz="4" w:space="0"/>
              <w:right w:val="single" w:color="auto" w:sz="4" w:space="0"/>
            </w:tcBorders>
            <w:noWrap w:val="0"/>
            <w:vAlign w:val="center"/>
          </w:tcPr>
          <w:p w14:paraId="3141D0A5">
            <w:pPr>
              <w:spacing w:line="360" w:lineRule="exact"/>
              <w:jc w:val="center"/>
              <w:rPr>
                <w:rFonts w:hint="eastAsia" w:ascii="宋体" w:hAnsi="宋体"/>
                <w:szCs w:val="21"/>
              </w:rPr>
            </w:pPr>
            <w:r>
              <w:rPr>
                <w:rFonts w:hint="eastAsia" w:ascii="宋体" w:hAnsi="宋体"/>
                <w:szCs w:val="21"/>
              </w:rPr>
              <w:t>3</w:t>
            </w:r>
          </w:p>
        </w:tc>
        <w:tc>
          <w:tcPr>
            <w:tcW w:w="4424" w:type="pct"/>
            <w:tcBorders>
              <w:top w:val="single" w:color="auto" w:sz="4" w:space="0"/>
              <w:left w:val="single" w:color="auto" w:sz="4" w:space="0"/>
              <w:bottom w:val="single" w:color="auto" w:sz="4" w:space="0"/>
              <w:right w:val="single" w:color="auto" w:sz="4" w:space="0"/>
            </w:tcBorders>
            <w:noWrap w:val="0"/>
            <w:vAlign w:val="center"/>
          </w:tcPr>
          <w:p w14:paraId="211F1E5F">
            <w:pPr>
              <w:snapToGrid w:val="0"/>
              <w:spacing w:line="360" w:lineRule="exact"/>
              <w:jc w:val="left"/>
              <w:rPr>
                <w:rFonts w:ascii="宋体" w:hAnsi="宋体"/>
                <w:szCs w:val="21"/>
              </w:rPr>
            </w:pPr>
            <w:r>
              <w:rPr>
                <w:rFonts w:hint="eastAsia" w:ascii="宋体" w:hAnsi="宋体"/>
                <w:szCs w:val="21"/>
              </w:rPr>
              <w:t>1</w:t>
            </w:r>
            <w:r>
              <w:rPr>
                <w:rFonts w:ascii="宋体" w:hAnsi="宋体"/>
                <w:szCs w:val="21"/>
              </w:rPr>
              <w:t>.</w:t>
            </w:r>
            <w:r>
              <w:rPr>
                <w:rFonts w:hint="eastAsia" w:ascii="宋体" w:hAnsi="宋体"/>
                <w:szCs w:val="21"/>
              </w:rPr>
              <w:t>投标人的资格要求详见招标公告。</w:t>
            </w:r>
          </w:p>
          <w:p w14:paraId="1DFB94E3">
            <w:pPr>
              <w:snapToGrid w:val="0"/>
              <w:spacing w:line="360" w:lineRule="exact"/>
              <w:jc w:val="left"/>
              <w:rPr>
                <w:rFonts w:hint="eastAsia" w:ascii="宋体" w:hAnsi="宋体"/>
                <w:szCs w:val="21"/>
              </w:rPr>
            </w:pPr>
            <w:r>
              <w:rPr>
                <w:rFonts w:hint="eastAsia" w:ascii="宋体" w:hAnsi="宋体"/>
                <w:szCs w:val="21"/>
              </w:rPr>
              <w:t>2</w:t>
            </w:r>
            <w:r>
              <w:rPr>
                <w:rFonts w:ascii="宋体" w:hAnsi="宋体"/>
                <w:szCs w:val="21"/>
              </w:rPr>
              <w:t>.</w:t>
            </w:r>
            <w:r>
              <w:rPr>
                <w:rFonts w:hint="eastAsia" w:ascii="宋体" w:hAnsi="宋体"/>
                <w:szCs w:val="21"/>
              </w:rPr>
              <w:t>投标人出现下列情形之一的，不得参加政府采购活动：</w:t>
            </w:r>
          </w:p>
          <w:p w14:paraId="2BA41617">
            <w:pPr>
              <w:snapToGrid w:val="0"/>
              <w:spacing w:line="360" w:lineRule="exact"/>
              <w:jc w:val="left"/>
              <w:rPr>
                <w:rFonts w:hint="eastAsia" w:ascii="宋体" w:hAnsi="宋体"/>
                <w:szCs w:val="21"/>
              </w:rPr>
            </w:pPr>
            <w:r>
              <w:rPr>
                <w:rFonts w:ascii="宋体" w:hAnsi="宋体"/>
                <w:szCs w:val="21"/>
              </w:rPr>
              <w:t>2.1</w:t>
            </w:r>
            <w:r>
              <w:rPr>
                <w:rFonts w:hint="eastAsia" w:ascii="宋体" w:hAnsi="宋体"/>
                <w:szCs w:val="21"/>
              </w:rPr>
              <w:t>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65BDF89C">
            <w:pPr>
              <w:snapToGrid w:val="0"/>
              <w:spacing w:line="360" w:lineRule="exact"/>
              <w:jc w:val="left"/>
              <w:rPr>
                <w:rFonts w:hint="eastAsia" w:ascii="宋体" w:hAnsi="宋体"/>
                <w:szCs w:val="21"/>
              </w:rPr>
            </w:pPr>
            <w:r>
              <w:rPr>
                <w:rFonts w:ascii="宋体" w:hAnsi="宋体"/>
                <w:szCs w:val="21"/>
              </w:rPr>
              <w:t>2.2</w:t>
            </w:r>
            <w:r>
              <w:rPr>
                <w:rFonts w:hint="eastAsia" w:ascii="宋体" w:hAnsi="宋体"/>
                <w:szCs w:val="21"/>
              </w:rPr>
              <w:t>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tc>
      </w:tr>
      <w:tr w14:paraId="1AE3DF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76" w:type="pct"/>
            <w:tcBorders>
              <w:top w:val="single" w:color="auto" w:sz="4" w:space="0"/>
              <w:left w:val="single" w:color="auto" w:sz="4" w:space="0"/>
              <w:bottom w:val="single" w:color="auto" w:sz="4" w:space="0"/>
              <w:right w:val="single" w:color="auto" w:sz="4" w:space="0"/>
            </w:tcBorders>
            <w:noWrap w:val="0"/>
            <w:vAlign w:val="center"/>
          </w:tcPr>
          <w:p w14:paraId="1D16E564">
            <w:pPr>
              <w:spacing w:line="360" w:lineRule="exact"/>
              <w:jc w:val="center"/>
              <w:rPr>
                <w:rFonts w:ascii="宋体" w:hAnsi="宋体"/>
                <w:szCs w:val="21"/>
              </w:rPr>
            </w:pPr>
            <w:bookmarkStart w:id="83" w:name="_5"/>
            <w:bookmarkEnd w:id="83"/>
            <w:bookmarkStart w:id="84" w:name="_8.1"/>
            <w:bookmarkEnd w:id="84"/>
            <w:bookmarkStart w:id="85" w:name="_9.2"/>
            <w:bookmarkEnd w:id="85"/>
            <w:r>
              <w:rPr>
                <w:rFonts w:hint="eastAsia" w:ascii="宋体" w:hAnsi="宋体"/>
                <w:szCs w:val="21"/>
              </w:rPr>
              <w:t>6.1</w:t>
            </w:r>
          </w:p>
        </w:tc>
        <w:tc>
          <w:tcPr>
            <w:tcW w:w="4424" w:type="pct"/>
            <w:tcBorders>
              <w:top w:val="single" w:color="auto" w:sz="4" w:space="0"/>
              <w:left w:val="single" w:color="auto" w:sz="4" w:space="0"/>
              <w:bottom w:val="single" w:color="auto" w:sz="4" w:space="0"/>
              <w:right w:val="single" w:color="auto" w:sz="4" w:space="0"/>
            </w:tcBorders>
            <w:noWrap w:val="0"/>
            <w:vAlign w:val="center"/>
          </w:tcPr>
          <w:p w14:paraId="61BE86F4">
            <w:pPr>
              <w:pStyle w:val="16"/>
              <w:spacing w:line="360" w:lineRule="exact"/>
              <w:rPr>
                <w:rFonts w:hint="eastAsia" w:ascii="宋体" w:hAnsi="宋体"/>
                <w:szCs w:val="21"/>
                <w:lang w:val="en-US" w:eastAsia="zh-CN"/>
              </w:rPr>
            </w:pPr>
            <w:r>
              <w:rPr>
                <w:rFonts w:hint="eastAsia" w:ascii="宋体" w:hAnsi="宋体"/>
                <w:szCs w:val="21"/>
                <w:lang w:val="en-US" w:eastAsia="zh-CN"/>
              </w:rPr>
              <w:t>本项目是否接受联合体投标：详见招标公告。</w:t>
            </w:r>
          </w:p>
        </w:tc>
      </w:tr>
      <w:tr w14:paraId="188419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76" w:type="pct"/>
            <w:tcBorders>
              <w:top w:val="single" w:color="auto" w:sz="4" w:space="0"/>
              <w:left w:val="single" w:color="auto" w:sz="4" w:space="0"/>
              <w:bottom w:val="single" w:color="auto" w:sz="4" w:space="0"/>
              <w:right w:val="single" w:color="auto" w:sz="4" w:space="0"/>
            </w:tcBorders>
            <w:noWrap w:val="0"/>
            <w:vAlign w:val="center"/>
          </w:tcPr>
          <w:p w14:paraId="2C827D8B">
            <w:pPr>
              <w:spacing w:line="360" w:lineRule="exact"/>
              <w:jc w:val="center"/>
              <w:rPr>
                <w:rFonts w:hint="eastAsia" w:ascii="宋体" w:hAnsi="宋体"/>
                <w:szCs w:val="21"/>
              </w:rPr>
            </w:pPr>
            <w:r>
              <w:rPr>
                <w:rFonts w:ascii="宋体" w:hAnsi="宋体"/>
                <w:szCs w:val="21"/>
              </w:rPr>
              <w:t>6.2</w:t>
            </w:r>
          </w:p>
        </w:tc>
        <w:tc>
          <w:tcPr>
            <w:tcW w:w="4424" w:type="pct"/>
            <w:tcBorders>
              <w:top w:val="single" w:color="auto" w:sz="4" w:space="0"/>
              <w:left w:val="single" w:color="auto" w:sz="4" w:space="0"/>
              <w:bottom w:val="single" w:color="auto" w:sz="4" w:space="0"/>
              <w:right w:val="single" w:color="auto" w:sz="4" w:space="0"/>
            </w:tcBorders>
            <w:noWrap w:val="0"/>
            <w:vAlign w:val="center"/>
          </w:tcPr>
          <w:p w14:paraId="36A20FA2">
            <w:pPr>
              <w:pStyle w:val="16"/>
              <w:spacing w:line="360" w:lineRule="exact"/>
              <w:rPr>
                <w:rFonts w:hint="eastAsia" w:ascii="宋体" w:hAnsi="宋体"/>
                <w:szCs w:val="21"/>
                <w:lang w:val="en-US" w:eastAsia="zh-CN"/>
              </w:rPr>
            </w:pPr>
            <w:bookmarkStart w:id="86" w:name="_Hlk54105293"/>
            <w:r>
              <w:rPr>
                <w:rFonts w:hint="eastAsia" w:ascii="宋体" w:hAnsi="宋体"/>
                <w:szCs w:val="21"/>
                <w:lang w:val="en-US" w:eastAsia="zh-CN"/>
              </w:rPr>
              <w:t>如接受联合体投标，</w:t>
            </w:r>
            <w:bookmarkEnd w:id="86"/>
            <w:r>
              <w:rPr>
                <w:rFonts w:hint="eastAsia" w:ascii="宋体" w:hAnsi="宋体"/>
                <w:szCs w:val="21"/>
                <w:lang w:val="en-US" w:eastAsia="zh-CN"/>
              </w:rPr>
              <w:t>联合体投标要求如下：</w:t>
            </w:r>
          </w:p>
          <w:p w14:paraId="2B4DF0CB">
            <w:pPr>
              <w:pStyle w:val="16"/>
              <w:spacing w:line="360" w:lineRule="exact"/>
              <w:rPr>
                <w:rFonts w:hint="eastAsia" w:ascii="宋体" w:hAnsi="宋体"/>
                <w:szCs w:val="21"/>
                <w:lang w:val="en-US" w:eastAsia="zh-CN"/>
              </w:rPr>
            </w:pPr>
            <w:r>
              <w:rPr>
                <w:rFonts w:hint="eastAsia" w:ascii="宋体" w:hAnsi="宋体"/>
                <w:szCs w:val="21"/>
                <w:lang w:val="en-US" w:eastAsia="zh-CN"/>
              </w:rPr>
              <w:t>1</w:t>
            </w:r>
            <w:r>
              <w:rPr>
                <w:rFonts w:ascii="宋体" w:hAnsi="宋体"/>
                <w:szCs w:val="21"/>
                <w:lang w:val="en-US" w:eastAsia="zh-CN"/>
              </w:rPr>
              <w:t>.</w:t>
            </w:r>
            <w:r>
              <w:rPr>
                <w:rFonts w:hint="eastAsia" w:ascii="宋体" w:hAnsi="宋体"/>
                <w:szCs w:val="21"/>
                <w:lang w:val="en-US" w:eastAsia="zh-CN"/>
              </w:rPr>
              <w:t>两个以上投标人可以组成一个投标联合体，以一个投标人的身份共同参加投标。联合体投标的，须提供《联合体投标协议书》（格式见第六章）。</w:t>
            </w:r>
          </w:p>
          <w:p w14:paraId="062E52B3">
            <w:pPr>
              <w:pStyle w:val="16"/>
              <w:spacing w:line="360" w:lineRule="exact"/>
              <w:rPr>
                <w:rFonts w:hint="eastAsia" w:ascii="宋体" w:hAnsi="宋体"/>
                <w:szCs w:val="21"/>
                <w:lang w:val="en-US" w:eastAsia="zh-CN"/>
              </w:rPr>
            </w:pPr>
            <w:r>
              <w:rPr>
                <w:rFonts w:hint="eastAsia" w:ascii="宋体" w:hAnsi="宋体"/>
                <w:szCs w:val="21"/>
                <w:lang w:val="en-US" w:eastAsia="zh-CN"/>
              </w:rPr>
              <w:t>2</w:t>
            </w:r>
            <w:r>
              <w:rPr>
                <w:rFonts w:ascii="宋体" w:hAnsi="宋体"/>
                <w:szCs w:val="21"/>
                <w:lang w:val="en-US" w:eastAsia="zh-CN"/>
              </w:rPr>
              <w:t>.</w:t>
            </w:r>
            <w:r>
              <w:rPr>
                <w:rFonts w:hint="eastAsia" w:ascii="宋体" w:hAnsi="宋体"/>
                <w:szCs w:val="21"/>
                <w:lang w:val="en-US" w:eastAsia="zh-CN"/>
              </w:rPr>
              <w:t>以联合体形式参加投标的，联合体各方均必须具备《中华人民共和国政府采购法》第二十二条第一款规定的基本条件（涉及行政许可范围的内容，联合体各方均应具备相应资质）。本项目有特殊要求规定投标人特定条件的，联合体各方中至少有一方必须符合招标文件规定的特定条件。</w:t>
            </w:r>
          </w:p>
          <w:p w14:paraId="73A96702">
            <w:pPr>
              <w:pStyle w:val="16"/>
              <w:spacing w:line="360" w:lineRule="exact"/>
              <w:rPr>
                <w:rFonts w:hint="eastAsia" w:ascii="宋体" w:hAnsi="宋体"/>
                <w:szCs w:val="21"/>
                <w:lang w:val="en-US" w:eastAsia="zh-CN"/>
              </w:rPr>
            </w:pPr>
            <w:r>
              <w:rPr>
                <w:rFonts w:hint="eastAsia" w:ascii="宋体" w:hAnsi="宋体"/>
                <w:szCs w:val="21"/>
                <w:lang w:val="en-US" w:eastAsia="zh-CN"/>
              </w:rPr>
              <w:t>3</w:t>
            </w:r>
            <w:r>
              <w:rPr>
                <w:rFonts w:ascii="宋体" w:hAnsi="宋体"/>
                <w:szCs w:val="21"/>
                <w:lang w:val="en-US" w:eastAsia="zh-CN"/>
              </w:rPr>
              <w:t>.</w:t>
            </w:r>
            <w:r>
              <w:rPr>
                <w:rFonts w:hint="eastAsia" w:ascii="宋体" w:hAnsi="宋体"/>
                <w:szCs w:val="21"/>
                <w:lang w:val="en-US" w:eastAsia="zh-CN"/>
              </w:rPr>
              <w:t>联合体各方之间必须签订联合投标协议，协议书必须明确主体方（或者牵头方）并明确约定联合体各方承担的工作和相应的责任（各方承担责任与义务的分工必须符合采购需求，否则，</w:t>
            </w:r>
            <w:r>
              <w:rPr>
                <w:rFonts w:hint="eastAsia" w:ascii="宋体" w:hAnsi="宋体"/>
                <w:b/>
                <w:bCs/>
                <w:szCs w:val="21"/>
                <w:lang w:val="en-US" w:eastAsia="zh-CN"/>
              </w:rPr>
              <w:t>联合体投标无效</w:t>
            </w:r>
            <w:r>
              <w:rPr>
                <w:rFonts w:hint="eastAsia" w:ascii="宋体" w:hAnsi="宋体"/>
                <w:szCs w:val="21"/>
                <w:lang w:val="en-US" w:eastAsia="zh-CN"/>
              </w:rPr>
              <w:t>），并将联合投标协议放入投标文件。联合体各方必须共同与采购人签订采购合同，就采购合同约定的事项对采购人承担连带责任。</w:t>
            </w:r>
          </w:p>
          <w:p w14:paraId="522C5081">
            <w:pPr>
              <w:pStyle w:val="16"/>
              <w:spacing w:line="360" w:lineRule="exact"/>
              <w:rPr>
                <w:rFonts w:hint="eastAsia" w:ascii="宋体" w:hAnsi="宋体"/>
                <w:szCs w:val="21"/>
                <w:lang w:val="en-US" w:eastAsia="zh-CN"/>
              </w:rPr>
            </w:pPr>
            <w:r>
              <w:rPr>
                <w:rFonts w:hint="eastAsia" w:ascii="宋体" w:hAnsi="宋体"/>
                <w:szCs w:val="21"/>
                <w:lang w:val="en-US" w:eastAsia="zh-CN"/>
              </w:rPr>
              <w:t>4</w:t>
            </w:r>
            <w:r>
              <w:rPr>
                <w:rFonts w:ascii="宋体" w:hAnsi="宋体"/>
                <w:szCs w:val="21"/>
                <w:lang w:val="en-US" w:eastAsia="zh-CN"/>
              </w:rPr>
              <w:t>.</w:t>
            </w:r>
            <w:r>
              <w:rPr>
                <w:rFonts w:hint="eastAsia" w:ascii="宋体" w:hAnsi="宋体"/>
                <w:szCs w:val="21"/>
                <w:lang w:val="en-US" w:eastAsia="zh-CN"/>
              </w:rPr>
              <w:t>以联合体形式参加政府采购活动的，联合体各方不得再单独参加或者与其他投标人另外组成联合体参加同一合同项下的政府采购活动。</w:t>
            </w:r>
          </w:p>
          <w:p w14:paraId="18FE5F23">
            <w:pPr>
              <w:pStyle w:val="16"/>
              <w:spacing w:line="360" w:lineRule="exact"/>
              <w:rPr>
                <w:rFonts w:hint="eastAsia" w:ascii="宋体" w:hAnsi="宋体"/>
                <w:szCs w:val="21"/>
                <w:lang w:val="en-US" w:eastAsia="zh-CN"/>
              </w:rPr>
            </w:pPr>
            <w:r>
              <w:rPr>
                <w:rFonts w:hint="eastAsia" w:ascii="宋体" w:hAnsi="宋体"/>
                <w:szCs w:val="21"/>
                <w:lang w:val="en-US" w:eastAsia="zh-CN"/>
              </w:rPr>
              <w:t>5</w:t>
            </w:r>
            <w:r>
              <w:rPr>
                <w:rFonts w:ascii="宋体" w:hAnsi="宋体"/>
                <w:szCs w:val="21"/>
                <w:lang w:val="en-US" w:eastAsia="zh-CN"/>
              </w:rPr>
              <w:t>.</w:t>
            </w:r>
            <w:r>
              <w:rPr>
                <w:rFonts w:hint="eastAsia" w:ascii="宋体" w:hAnsi="宋体"/>
                <w:szCs w:val="21"/>
                <w:lang w:val="en-US" w:eastAsia="zh-CN"/>
              </w:rPr>
              <w:t>联合体中有同类资质的投标人按照联合体分工承担相同工作的，应当按照资质等级较低的投标人确定资质等级。</w:t>
            </w:r>
          </w:p>
          <w:p w14:paraId="69C5D918">
            <w:pPr>
              <w:pStyle w:val="16"/>
              <w:spacing w:line="360" w:lineRule="exact"/>
              <w:rPr>
                <w:rFonts w:hint="eastAsia" w:ascii="宋体" w:hAnsi="宋体"/>
                <w:szCs w:val="21"/>
                <w:lang w:val="en-US" w:eastAsia="zh-CN"/>
              </w:rPr>
            </w:pPr>
            <w:r>
              <w:rPr>
                <w:rFonts w:hint="eastAsia" w:ascii="宋体" w:hAnsi="宋体"/>
                <w:szCs w:val="21"/>
                <w:lang w:val="en-US" w:eastAsia="zh-CN"/>
              </w:rPr>
              <w:t>6</w:t>
            </w:r>
            <w:r>
              <w:rPr>
                <w:rFonts w:ascii="宋体" w:hAnsi="宋体"/>
                <w:szCs w:val="21"/>
                <w:lang w:val="en-US" w:eastAsia="zh-CN"/>
              </w:rPr>
              <w:t>.</w:t>
            </w:r>
            <w:r>
              <w:rPr>
                <w:rFonts w:hint="eastAsia" w:ascii="宋体" w:hAnsi="宋体"/>
                <w:szCs w:val="21"/>
                <w:lang w:val="en-US" w:eastAsia="zh-CN"/>
              </w:rPr>
              <w:t>联合体投标业绩、履约能力按照联合体各方其中较高的一方认定并计算（招标文件另有规定的除外）。</w:t>
            </w:r>
          </w:p>
          <w:p w14:paraId="21873718">
            <w:pPr>
              <w:pStyle w:val="16"/>
              <w:spacing w:line="360" w:lineRule="exact"/>
              <w:rPr>
                <w:rFonts w:hint="eastAsia" w:ascii="宋体" w:hAnsi="宋体"/>
                <w:szCs w:val="21"/>
                <w:lang w:val="en-US" w:eastAsia="zh-CN"/>
              </w:rPr>
            </w:pPr>
            <w:r>
              <w:rPr>
                <w:rFonts w:hint="eastAsia" w:ascii="宋体" w:hAnsi="宋体"/>
                <w:szCs w:val="21"/>
                <w:lang w:val="en-US" w:eastAsia="zh-CN"/>
              </w:rPr>
              <w:t>7</w:t>
            </w:r>
            <w:r>
              <w:rPr>
                <w:rFonts w:ascii="宋体" w:hAnsi="宋体"/>
                <w:szCs w:val="21"/>
                <w:lang w:val="en-US" w:eastAsia="zh-CN"/>
              </w:rPr>
              <w:t>.</w:t>
            </w:r>
            <w:r>
              <w:rPr>
                <w:rFonts w:hint="eastAsia" w:ascii="宋体" w:hAnsi="宋体"/>
                <w:szCs w:val="21"/>
                <w:lang w:val="en-US" w:eastAsia="zh-CN"/>
              </w:rPr>
              <w:t>投标人为联合体的，可以由联合体中的一方或者多方共同交纳投标保证金，其交纳的保证金对联合体各方均具有约束力。</w:t>
            </w:r>
          </w:p>
          <w:p w14:paraId="4698D869">
            <w:pPr>
              <w:pStyle w:val="16"/>
              <w:spacing w:line="360" w:lineRule="exact"/>
              <w:rPr>
                <w:rFonts w:hint="eastAsia" w:ascii="宋体" w:hAnsi="宋体"/>
                <w:szCs w:val="21"/>
                <w:lang w:val="en-US" w:eastAsia="zh-CN"/>
              </w:rPr>
            </w:pPr>
            <w:r>
              <w:rPr>
                <w:rFonts w:hint="eastAsia" w:ascii="宋体" w:hAnsi="宋体"/>
                <w:szCs w:val="21"/>
                <w:lang w:val="en-US" w:eastAsia="zh-CN"/>
              </w:rPr>
              <w:t>8</w:t>
            </w:r>
            <w:r>
              <w:rPr>
                <w:rFonts w:ascii="宋体" w:hAnsi="宋体"/>
                <w:szCs w:val="21"/>
                <w:lang w:val="en-US" w:eastAsia="zh-CN"/>
              </w:rPr>
              <w:t>.</w:t>
            </w:r>
            <w:r>
              <w:rPr>
                <w:rFonts w:hint="eastAsia" w:ascii="宋体" w:hAnsi="宋体"/>
                <w:szCs w:val="21"/>
                <w:lang w:val="en-US" w:eastAsia="zh-CN"/>
              </w:rPr>
              <w:t>联合体各方均应按照招标文件的规定提交资格证明文件。</w:t>
            </w:r>
          </w:p>
        </w:tc>
      </w:tr>
      <w:tr w14:paraId="291FAE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76" w:type="pct"/>
            <w:tcBorders>
              <w:top w:val="single" w:color="auto" w:sz="4" w:space="0"/>
              <w:left w:val="single" w:color="auto" w:sz="4" w:space="0"/>
              <w:bottom w:val="single" w:color="auto" w:sz="4" w:space="0"/>
              <w:right w:val="single" w:color="auto" w:sz="4" w:space="0"/>
            </w:tcBorders>
            <w:noWrap w:val="0"/>
            <w:vAlign w:val="center"/>
          </w:tcPr>
          <w:p w14:paraId="27359D47">
            <w:pPr>
              <w:spacing w:line="360" w:lineRule="exact"/>
              <w:jc w:val="center"/>
              <w:rPr>
                <w:rFonts w:ascii="宋体" w:hAnsi="宋体"/>
                <w:szCs w:val="21"/>
              </w:rPr>
            </w:pPr>
            <w:r>
              <w:rPr>
                <w:rFonts w:hint="eastAsia" w:ascii="宋体" w:hAnsi="宋体"/>
                <w:szCs w:val="21"/>
              </w:rPr>
              <w:t>7.2</w:t>
            </w:r>
          </w:p>
        </w:tc>
        <w:tc>
          <w:tcPr>
            <w:tcW w:w="4424" w:type="pct"/>
            <w:tcBorders>
              <w:top w:val="single" w:color="auto" w:sz="4" w:space="0"/>
              <w:left w:val="single" w:color="auto" w:sz="4" w:space="0"/>
              <w:bottom w:val="single" w:color="auto" w:sz="4" w:space="0"/>
              <w:right w:val="single" w:color="auto" w:sz="4" w:space="0"/>
            </w:tcBorders>
            <w:noWrap w:val="0"/>
            <w:vAlign w:val="center"/>
          </w:tcPr>
          <w:p w14:paraId="21B81877">
            <w:pPr>
              <w:pStyle w:val="16"/>
              <w:spacing w:line="360" w:lineRule="exact"/>
              <w:jc w:val="both"/>
              <w:rPr>
                <w:rFonts w:ascii="宋体" w:hAnsi="宋体"/>
                <w:szCs w:val="21"/>
                <w:lang w:val="en-US" w:eastAsia="zh-CN"/>
              </w:rPr>
            </w:pPr>
            <w:r>
              <w:rPr>
                <w:rFonts w:hint="eastAsia" w:ascii="MS Mincho" w:hAnsi="MS Mincho" w:eastAsia="MS Mincho" w:cs="MS Mincho"/>
                <w:lang w:val="en-US" w:eastAsia="zh-CN"/>
              </w:rPr>
              <w:t>☑</w:t>
            </w:r>
            <w:r>
              <w:rPr>
                <w:rFonts w:hint="eastAsia" w:ascii="宋体" w:hAnsi="宋体"/>
                <w:szCs w:val="21"/>
                <w:lang w:val="en-US" w:eastAsia="zh-CN"/>
              </w:rPr>
              <w:t>不允许分包</w:t>
            </w:r>
          </w:p>
          <w:p w14:paraId="2E60E40D">
            <w:pPr>
              <w:pStyle w:val="16"/>
              <w:spacing w:line="360" w:lineRule="exact"/>
              <w:jc w:val="both"/>
              <w:rPr>
                <w:rFonts w:hint="eastAsia" w:ascii="宋体" w:hAnsi="宋体"/>
                <w:szCs w:val="21"/>
                <w:lang w:val="en-US" w:eastAsia="zh-CN"/>
              </w:rPr>
            </w:pPr>
            <w:r>
              <w:rPr>
                <w:rFonts w:hint="eastAsia" w:ascii="宋体" w:hAnsi="宋体"/>
                <w:szCs w:val="21"/>
                <w:lang w:val="en-US" w:eastAsia="zh-CN"/>
              </w:rPr>
              <w:t>□允许分包</w:t>
            </w:r>
          </w:p>
          <w:p w14:paraId="7C18F2B0">
            <w:pPr>
              <w:pStyle w:val="16"/>
              <w:spacing w:line="360" w:lineRule="exact"/>
              <w:jc w:val="both"/>
              <w:rPr>
                <w:rFonts w:hint="eastAsia" w:ascii="宋体" w:hAnsi="宋体"/>
                <w:szCs w:val="21"/>
                <w:u w:val="single"/>
                <w:lang w:val="en-US" w:eastAsia="zh-CN"/>
              </w:rPr>
            </w:pPr>
            <w:r>
              <w:rPr>
                <w:rFonts w:hint="eastAsia" w:ascii="宋体" w:hAnsi="宋体"/>
                <w:szCs w:val="21"/>
                <w:lang w:val="en-US" w:eastAsia="zh-CN"/>
              </w:rPr>
              <w:t>分包内容：</w:t>
            </w:r>
            <w:r>
              <w:rPr>
                <w:rFonts w:hint="eastAsia" w:ascii="宋体" w:hAnsi="宋体"/>
                <w:szCs w:val="21"/>
                <w:u w:val="single"/>
                <w:lang w:val="en-US" w:eastAsia="zh-CN"/>
              </w:rPr>
              <w:t xml:space="preserve"> / 。</w:t>
            </w:r>
          </w:p>
          <w:p w14:paraId="37CCB5CE">
            <w:pPr>
              <w:pStyle w:val="16"/>
              <w:spacing w:line="360" w:lineRule="exact"/>
              <w:jc w:val="both"/>
              <w:rPr>
                <w:rFonts w:hint="eastAsia" w:ascii="宋体" w:hAnsi="宋体"/>
                <w:szCs w:val="21"/>
                <w:u w:val="single"/>
                <w:lang w:val="en-US" w:eastAsia="zh-CN"/>
              </w:rPr>
            </w:pPr>
            <w:r>
              <w:rPr>
                <w:rFonts w:hint="eastAsia" w:ascii="宋体" w:hAnsi="宋体"/>
                <w:szCs w:val="21"/>
                <w:lang w:val="en-US" w:eastAsia="zh-CN"/>
              </w:rPr>
              <w:t>分包金额或者比例：</w:t>
            </w:r>
            <w:r>
              <w:rPr>
                <w:rFonts w:hint="eastAsia" w:ascii="宋体" w:hAnsi="宋体"/>
                <w:szCs w:val="21"/>
                <w:u w:val="single"/>
                <w:lang w:val="en-US" w:eastAsia="zh-CN"/>
              </w:rPr>
              <w:t xml:space="preserve"> / 。</w:t>
            </w:r>
          </w:p>
        </w:tc>
      </w:tr>
      <w:tr w14:paraId="03CEAF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76" w:type="pct"/>
            <w:tcBorders>
              <w:top w:val="single" w:color="auto" w:sz="4" w:space="0"/>
              <w:left w:val="single" w:color="auto" w:sz="4" w:space="0"/>
              <w:bottom w:val="single" w:color="auto" w:sz="4" w:space="0"/>
              <w:right w:val="single" w:color="auto" w:sz="4" w:space="0"/>
            </w:tcBorders>
            <w:noWrap w:val="0"/>
            <w:vAlign w:val="center"/>
          </w:tcPr>
          <w:p w14:paraId="2A3B104C">
            <w:pPr>
              <w:spacing w:line="360" w:lineRule="exact"/>
              <w:jc w:val="center"/>
              <w:rPr>
                <w:rFonts w:hint="eastAsia" w:ascii="宋体" w:hAnsi="宋体"/>
                <w:szCs w:val="21"/>
              </w:rPr>
            </w:pPr>
            <w:r>
              <w:rPr>
                <w:rFonts w:hint="eastAsia" w:ascii="宋体" w:hAnsi="宋体"/>
                <w:szCs w:val="21"/>
              </w:rPr>
              <w:t>8.1</w:t>
            </w:r>
          </w:p>
        </w:tc>
        <w:tc>
          <w:tcPr>
            <w:tcW w:w="4424" w:type="pct"/>
            <w:tcBorders>
              <w:top w:val="single" w:color="auto" w:sz="4" w:space="0"/>
              <w:left w:val="single" w:color="auto" w:sz="4" w:space="0"/>
              <w:bottom w:val="single" w:color="auto" w:sz="4" w:space="0"/>
              <w:right w:val="single" w:color="auto" w:sz="4" w:space="0"/>
            </w:tcBorders>
            <w:noWrap w:val="0"/>
            <w:vAlign w:val="center"/>
          </w:tcPr>
          <w:p w14:paraId="190B4C47">
            <w:pPr>
              <w:autoSpaceDE w:val="0"/>
              <w:autoSpaceDN w:val="0"/>
              <w:snapToGrid w:val="0"/>
              <w:spacing w:line="360" w:lineRule="exact"/>
              <w:ind w:firstLine="420" w:firstLineChars="200"/>
              <w:textAlignment w:val="bottom"/>
              <w:rPr>
                <w:rFonts w:hint="eastAsia" w:ascii="宋体" w:hAnsi="宋体"/>
                <w:szCs w:val="21"/>
              </w:rPr>
            </w:pPr>
            <w:r>
              <w:rPr>
                <w:rFonts w:hint="eastAsia" w:ascii="宋体" w:hAnsi="宋体"/>
                <w:szCs w:val="21"/>
              </w:rPr>
              <w:t>采用综合评分法的采购项目，提供相同品牌产品（非单一产品采购项目的，指核心产品）的不同投标人评审得分相同时，按照下列方式确定一个投标人获得中标人推荐资格：</w:t>
            </w:r>
          </w:p>
          <w:p w14:paraId="033ED4C8">
            <w:pPr>
              <w:autoSpaceDE w:val="0"/>
              <w:autoSpaceDN w:val="0"/>
              <w:snapToGrid w:val="0"/>
              <w:spacing w:line="360" w:lineRule="exact"/>
              <w:textAlignment w:val="bottom"/>
              <w:rPr>
                <w:rFonts w:hint="eastAsia" w:ascii="宋体" w:hAnsi="宋体"/>
                <w:szCs w:val="21"/>
              </w:rPr>
            </w:pPr>
            <w:r>
              <w:rPr>
                <w:rFonts w:hint="eastAsia" w:ascii="MS Mincho" w:hAnsi="MS Mincho" w:eastAsia="MS Mincho" w:cs="MS Mincho"/>
              </w:rPr>
              <w:t>☑</w:t>
            </w:r>
            <w:r>
              <w:rPr>
                <w:rFonts w:hint="eastAsia" w:ascii="宋体" w:hAnsi="宋体"/>
                <w:szCs w:val="21"/>
              </w:rPr>
              <w:t>依次按投标报价低的优先、政策分得分高的优先、技术评分高的优先、商务评分高的优先、售后服务方案优的顺序推荐；</w:t>
            </w:r>
          </w:p>
          <w:p w14:paraId="76F436B1">
            <w:pPr>
              <w:autoSpaceDE w:val="0"/>
              <w:autoSpaceDN w:val="0"/>
              <w:snapToGrid w:val="0"/>
              <w:spacing w:line="360" w:lineRule="exact"/>
              <w:textAlignment w:val="bottom"/>
              <w:rPr>
                <w:rFonts w:hint="eastAsia" w:ascii="宋体" w:hAnsi="宋体"/>
                <w:szCs w:val="21"/>
              </w:rPr>
            </w:pPr>
            <w:r>
              <w:rPr>
                <w:rFonts w:hint="eastAsia" w:ascii="宋体" w:hAnsi="宋体"/>
                <w:szCs w:val="21"/>
              </w:rPr>
              <w:t>□随机抽取。</w:t>
            </w:r>
          </w:p>
        </w:tc>
      </w:tr>
      <w:tr w14:paraId="7AA77A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11" w:hRule="atLeast"/>
        </w:trPr>
        <w:tc>
          <w:tcPr>
            <w:tcW w:w="576" w:type="pct"/>
            <w:vMerge w:val="restart"/>
            <w:tcBorders>
              <w:top w:val="single" w:color="auto" w:sz="4" w:space="0"/>
              <w:left w:val="single" w:color="auto" w:sz="4" w:space="0"/>
              <w:right w:val="single" w:color="auto" w:sz="4" w:space="0"/>
            </w:tcBorders>
            <w:noWrap w:val="0"/>
            <w:vAlign w:val="center"/>
          </w:tcPr>
          <w:p w14:paraId="79D5F645">
            <w:pPr>
              <w:spacing w:line="360" w:lineRule="exact"/>
              <w:jc w:val="center"/>
              <w:rPr>
                <w:rFonts w:hint="eastAsia" w:ascii="宋体" w:hAnsi="宋体"/>
                <w:szCs w:val="21"/>
              </w:rPr>
            </w:pPr>
            <w:r>
              <w:rPr>
                <w:rFonts w:hint="eastAsia" w:ascii="宋体" w:hAnsi="宋体"/>
                <w:szCs w:val="21"/>
              </w:rPr>
              <w:t>1</w:t>
            </w:r>
            <w:r>
              <w:rPr>
                <w:rFonts w:ascii="宋体" w:hAnsi="宋体"/>
                <w:szCs w:val="21"/>
              </w:rPr>
              <w:t>1.2</w:t>
            </w:r>
          </w:p>
        </w:tc>
        <w:tc>
          <w:tcPr>
            <w:tcW w:w="4424" w:type="pct"/>
            <w:tcBorders>
              <w:top w:val="single" w:color="auto" w:sz="4" w:space="0"/>
              <w:left w:val="single" w:color="auto" w:sz="4" w:space="0"/>
              <w:bottom w:val="single" w:color="auto" w:sz="4" w:space="0"/>
              <w:right w:val="single" w:color="auto" w:sz="4" w:space="0"/>
            </w:tcBorders>
            <w:noWrap w:val="0"/>
            <w:vAlign w:val="center"/>
          </w:tcPr>
          <w:p w14:paraId="1A1BB2B5">
            <w:pPr>
              <w:snapToGrid w:val="0"/>
              <w:spacing w:line="360" w:lineRule="exact"/>
              <w:rPr>
                <w:rFonts w:ascii="宋体" w:hAnsi="宋体"/>
                <w:szCs w:val="21"/>
              </w:rPr>
            </w:pPr>
            <w:r>
              <w:rPr>
                <w:rFonts w:hint="eastAsia" w:ascii="MS Mincho" w:hAnsi="MS Mincho" w:eastAsia="MS Mincho" w:cs="MS Mincho"/>
                <w:szCs w:val="21"/>
              </w:rPr>
              <w:t>☑</w:t>
            </w:r>
            <w:r>
              <w:rPr>
                <w:rFonts w:hint="eastAsia" w:ascii="宋体" w:hAnsi="宋体"/>
                <w:szCs w:val="21"/>
              </w:rPr>
              <w:t>不组织现场考察</w:t>
            </w:r>
          </w:p>
          <w:p w14:paraId="7153DA4E">
            <w:pPr>
              <w:snapToGrid w:val="0"/>
              <w:spacing w:line="360" w:lineRule="exact"/>
              <w:rPr>
                <w:rFonts w:ascii="宋体" w:hAnsi="宋体"/>
                <w:szCs w:val="21"/>
              </w:rPr>
            </w:pPr>
            <w:r>
              <w:rPr>
                <w:rFonts w:hint="eastAsia" w:ascii="宋体" w:hAnsi="宋体"/>
                <w:szCs w:val="21"/>
              </w:rPr>
              <w:t>□组织现场考察：</w:t>
            </w:r>
          </w:p>
          <w:p w14:paraId="589B0162">
            <w:pPr>
              <w:snapToGrid w:val="0"/>
              <w:spacing w:line="360" w:lineRule="exact"/>
              <w:rPr>
                <w:rFonts w:hint="eastAsia" w:ascii="宋体" w:hAnsi="宋体"/>
                <w:szCs w:val="21"/>
                <w:u w:val="single"/>
              </w:rPr>
            </w:pPr>
            <w:r>
              <w:rPr>
                <w:rFonts w:hint="eastAsia" w:ascii="宋体" w:hAnsi="宋体"/>
                <w:szCs w:val="21"/>
              </w:rPr>
              <w:t>集中时间：</w:t>
            </w:r>
            <w:r>
              <w:rPr>
                <w:rFonts w:hint="eastAsia" w:ascii="宋体" w:hAnsi="宋体"/>
                <w:szCs w:val="21"/>
                <w:u w:val="single"/>
              </w:rPr>
              <w:t xml:space="preserve">   /  </w:t>
            </w:r>
            <w:r>
              <w:rPr>
                <w:rFonts w:hint="eastAsia" w:ascii="宋体" w:hAnsi="宋体"/>
                <w:szCs w:val="21"/>
              </w:rPr>
              <w:t>，逾时后果自负。集中地点：</w:t>
            </w:r>
            <w:r>
              <w:rPr>
                <w:rFonts w:hint="eastAsia" w:ascii="宋体" w:hAnsi="宋体"/>
                <w:szCs w:val="21"/>
                <w:u w:val="single"/>
              </w:rPr>
              <w:t xml:space="preserve">  /  </w:t>
            </w:r>
          </w:p>
          <w:p w14:paraId="77CD2CA0">
            <w:pPr>
              <w:snapToGrid w:val="0"/>
              <w:spacing w:line="360" w:lineRule="exact"/>
              <w:rPr>
                <w:rFonts w:hint="eastAsia" w:ascii="宋体" w:hAnsi="宋体"/>
                <w:szCs w:val="21"/>
              </w:rPr>
            </w:pPr>
            <w:r>
              <w:rPr>
                <w:rFonts w:hint="eastAsia" w:ascii="宋体" w:hAnsi="宋体"/>
                <w:szCs w:val="21"/>
              </w:rPr>
              <w:t>联系人及电话：</w:t>
            </w:r>
            <w:r>
              <w:rPr>
                <w:rFonts w:hint="eastAsia" w:ascii="宋体" w:hAnsi="宋体"/>
                <w:szCs w:val="21"/>
                <w:u w:val="single"/>
              </w:rPr>
              <w:t xml:space="preserve">  /  </w:t>
            </w:r>
          </w:p>
        </w:tc>
      </w:tr>
      <w:tr w14:paraId="017D655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58" w:hRule="atLeast"/>
        </w:trPr>
        <w:tc>
          <w:tcPr>
            <w:tcW w:w="576" w:type="pct"/>
            <w:vMerge w:val="continue"/>
            <w:tcBorders>
              <w:left w:val="single" w:color="auto" w:sz="4" w:space="0"/>
              <w:bottom w:val="single" w:color="auto" w:sz="4" w:space="0"/>
              <w:right w:val="single" w:color="auto" w:sz="4" w:space="0"/>
            </w:tcBorders>
            <w:noWrap w:val="0"/>
            <w:vAlign w:val="center"/>
          </w:tcPr>
          <w:p w14:paraId="22A87DEF">
            <w:pPr>
              <w:spacing w:line="360" w:lineRule="exact"/>
              <w:jc w:val="center"/>
              <w:rPr>
                <w:rFonts w:hint="eastAsia" w:ascii="宋体" w:hAnsi="宋体"/>
                <w:szCs w:val="21"/>
              </w:rPr>
            </w:pPr>
          </w:p>
        </w:tc>
        <w:tc>
          <w:tcPr>
            <w:tcW w:w="4424" w:type="pct"/>
            <w:tcBorders>
              <w:top w:val="single" w:color="auto" w:sz="4" w:space="0"/>
              <w:left w:val="single" w:color="auto" w:sz="4" w:space="0"/>
              <w:bottom w:val="single" w:color="auto" w:sz="4" w:space="0"/>
              <w:right w:val="single" w:color="auto" w:sz="4" w:space="0"/>
            </w:tcBorders>
            <w:noWrap w:val="0"/>
            <w:vAlign w:val="center"/>
          </w:tcPr>
          <w:p w14:paraId="198F270F">
            <w:pPr>
              <w:snapToGrid w:val="0"/>
              <w:spacing w:line="360" w:lineRule="exact"/>
              <w:rPr>
                <w:rFonts w:ascii="宋体" w:hAnsi="宋体"/>
                <w:szCs w:val="21"/>
              </w:rPr>
            </w:pPr>
            <w:r>
              <w:rPr>
                <w:rFonts w:hint="eastAsia" w:ascii="MS Mincho" w:hAnsi="MS Mincho" w:eastAsia="MS Mincho" w:cs="MS Mincho"/>
              </w:rPr>
              <w:t>☑</w:t>
            </w:r>
            <w:r>
              <w:rPr>
                <w:rFonts w:hint="eastAsia" w:ascii="宋体" w:hAnsi="宋体"/>
                <w:szCs w:val="21"/>
              </w:rPr>
              <w:t>不组织召开开标前答疑会</w:t>
            </w:r>
          </w:p>
          <w:p w14:paraId="21BBEEA5">
            <w:pPr>
              <w:snapToGrid w:val="0"/>
              <w:spacing w:line="360" w:lineRule="exact"/>
              <w:rPr>
                <w:rFonts w:ascii="宋体" w:hAnsi="宋体"/>
                <w:szCs w:val="21"/>
              </w:rPr>
            </w:pPr>
            <w:r>
              <w:rPr>
                <w:rFonts w:hint="eastAsia" w:ascii="宋体" w:hAnsi="宋体"/>
                <w:szCs w:val="21"/>
              </w:rPr>
              <w:t>□组织召开开标前答疑会</w:t>
            </w:r>
          </w:p>
          <w:p w14:paraId="3D8C95A6">
            <w:pPr>
              <w:snapToGrid w:val="0"/>
              <w:spacing w:line="360" w:lineRule="exact"/>
              <w:rPr>
                <w:rFonts w:hint="eastAsia" w:ascii="宋体" w:hAnsi="宋体"/>
                <w:szCs w:val="21"/>
              </w:rPr>
            </w:pPr>
            <w:r>
              <w:rPr>
                <w:rFonts w:hint="eastAsia" w:ascii="宋体" w:hAnsi="宋体"/>
                <w:szCs w:val="21"/>
              </w:rPr>
              <w:t>会议开始时间：</w:t>
            </w:r>
            <w:r>
              <w:rPr>
                <w:rFonts w:hint="eastAsia" w:ascii="宋体" w:hAnsi="宋体"/>
                <w:szCs w:val="21"/>
                <w:u w:val="single"/>
              </w:rPr>
              <w:t xml:space="preserve"> </w:t>
            </w:r>
            <w:r>
              <w:rPr>
                <w:rFonts w:ascii="宋体" w:hAnsi="宋体"/>
                <w:szCs w:val="21"/>
                <w:u w:val="single"/>
              </w:rPr>
              <w:t>/</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ascii="宋体" w:hAnsi="宋体"/>
                <w:szCs w:val="21"/>
                <w:u w:val="single"/>
              </w:rPr>
              <w:t>/</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ascii="宋体" w:hAnsi="宋体"/>
                <w:szCs w:val="21"/>
                <w:u w:val="single"/>
              </w:rPr>
              <w:t>/</w:t>
            </w:r>
            <w:r>
              <w:rPr>
                <w:rFonts w:hint="eastAsia" w:ascii="宋体" w:hAnsi="宋体"/>
                <w:szCs w:val="21"/>
                <w:u w:val="single"/>
              </w:rPr>
              <w:t xml:space="preserve"> </w:t>
            </w:r>
            <w:r>
              <w:rPr>
                <w:rFonts w:hint="eastAsia" w:ascii="宋体" w:hAnsi="宋体"/>
                <w:szCs w:val="21"/>
              </w:rPr>
              <w:t xml:space="preserve">日 </w:t>
            </w:r>
            <w:r>
              <w:rPr>
                <w:rFonts w:hint="eastAsia" w:ascii="宋体" w:hAnsi="宋体"/>
                <w:szCs w:val="21"/>
                <w:u w:val="single"/>
              </w:rPr>
              <w:t xml:space="preserve"> </w:t>
            </w:r>
            <w:r>
              <w:rPr>
                <w:rFonts w:ascii="宋体" w:hAnsi="宋体"/>
                <w:szCs w:val="21"/>
                <w:u w:val="single"/>
              </w:rPr>
              <w:t>/</w:t>
            </w:r>
            <w:r>
              <w:rPr>
                <w:rFonts w:hint="eastAsia" w:ascii="宋体" w:hAnsi="宋体"/>
                <w:szCs w:val="21"/>
                <w:u w:val="single"/>
              </w:rPr>
              <w:t xml:space="preserve"> </w:t>
            </w:r>
            <w:r>
              <w:rPr>
                <w:rFonts w:hint="eastAsia" w:ascii="宋体" w:hAnsi="宋体"/>
                <w:szCs w:val="21"/>
              </w:rPr>
              <w:t>时</w:t>
            </w:r>
            <w:r>
              <w:rPr>
                <w:rFonts w:hint="eastAsia" w:ascii="宋体" w:hAnsi="宋体"/>
                <w:szCs w:val="21"/>
                <w:u w:val="single"/>
              </w:rPr>
              <w:t xml:space="preserve"> </w:t>
            </w:r>
            <w:r>
              <w:rPr>
                <w:rFonts w:ascii="宋体" w:hAnsi="宋体"/>
                <w:szCs w:val="21"/>
                <w:u w:val="single"/>
              </w:rPr>
              <w:t>/</w:t>
            </w:r>
            <w:r>
              <w:rPr>
                <w:rFonts w:hint="eastAsia" w:ascii="宋体" w:hAnsi="宋体"/>
                <w:szCs w:val="21"/>
                <w:u w:val="single"/>
              </w:rPr>
              <w:t xml:space="preserve"> 分</w:t>
            </w:r>
            <w:r>
              <w:rPr>
                <w:rFonts w:hint="eastAsia" w:ascii="宋体" w:hAnsi="宋体"/>
                <w:szCs w:val="21"/>
              </w:rPr>
              <w:t>，逾期后果自负。会议地点：</w:t>
            </w:r>
            <w:r>
              <w:rPr>
                <w:rFonts w:hint="eastAsia" w:ascii="宋体" w:hAnsi="宋体"/>
                <w:szCs w:val="21"/>
                <w:u w:val="single"/>
              </w:rPr>
              <w:t xml:space="preserve"> </w:t>
            </w:r>
            <w:r>
              <w:rPr>
                <w:rFonts w:ascii="宋体" w:hAnsi="宋体"/>
                <w:szCs w:val="21"/>
                <w:u w:val="single"/>
              </w:rPr>
              <w:t xml:space="preserve">/ </w:t>
            </w:r>
          </w:p>
        </w:tc>
      </w:tr>
      <w:tr w14:paraId="35AF63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76" w:type="pct"/>
            <w:vMerge w:val="restart"/>
            <w:tcBorders>
              <w:top w:val="single" w:color="auto" w:sz="4" w:space="0"/>
              <w:left w:val="single" w:color="auto" w:sz="4" w:space="0"/>
              <w:right w:val="single" w:color="auto" w:sz="4" w:space="0"/>
            </w:tcBorders>
            <w:noWrap w:val="0"/>
            <w:vAlign w:val="center"/>
          </w:tcPr>
          <w:p w14:paraId="591E0904">
            <w:pPr>
              <w:spacing w:line="360" w:lineRule="exact"/>
              <w:jc w:val="center"/>
              <w:rPr>
                <w:rFonts w:hint="eastAsia" w:ascii="宋体" w:hAnsi="宋体"/>
                <w:szCs w:val="21"/>
              </w:rPr>
            </w:pPr>
            <w:bookmarkStart w:id="87" w:name="_13.1"/>
            <w:bookmarkEnd w:id="87"/>
            <w:r>
              <w:rPr>
                <w:rFonts w:hint="eastAsia" w:ascii="宋体" w:hAnsi="宋体"/>
                <w:szCs w:val="21"/>
              </w:rPr>
              <w:t>13</w:t>
            </w:r>
          </w:p>
        </w:tc>
        <w:tc>
          <w:tcPr>
            <w:tcW w:w="4424" w:type="pct"/>
            <w:tcBorders>
              <w:top w:val="single" w:color="auto" w:sz="4" w:space="0"/>
              <w:left w:val="single" w:color="auto" w:sz="4" w:space="0"/>
              <w:bottom w:val="single" w:color="auto" w:sz="4" w:space="0"/>
              <w:right w:val="single" w:color="auto" w:sz="4" w:space="0"/>
            </w:tcBorders>
            <w:noWrap w:val="0"/>
            <w:vAlign w:val="center"/>
          </w:tcPr>
          <w:p w14:paraId="13A51251">
            <w:pPr>
              <w:snapToGrid w:val="0"/>
              <w:spacing w:line="360" w:lineRule="exact"/>
              <w:jc w:val="left"/>
              <w:rPr>
                <w:rFonts w:hint="eastAsia" w:ascii="宋体" w:hAnsi="宋体" w:cs="Courier New"/>
                <w:b/>
                <w:szCs w:val="21"/>
              </w:rPr>
            </w:pPr>
            <w:r>
              <w:rPr>
                <w:rFonts w:hint="eastAsia" w:ascii="宋体" w:hAnsi="宋体" w:cs="Courier New"/>
                <w:b/>
                <w:szCs w:val="21"/>
              </w:rPr>
              <w:t>报价文件：</w:t>
            </w:r>
          </w:p>
          <w:p w14:paraId="3DC6C4FB">
            <w:pPr>
              <w:tabs>
                <w:tab w:val="left" w:pos="459"/>
              </w:tabs>
              <w:snapToGrid w:val="0"/>
              <w:spacing w:line="360" w:lineRule="exact"/>
              <w:ind w:left="420"/>
              <w:jc w:val="left"/>
              <w:rPr>
                <w:rFonts w:hint="eastAsia" w:ascii="宋体" w:hAnsi="宋体"/>
                <w:szCs w:val="21"/>
              </w:rPr>
            </w:pPr>
            <w:r>
              <w:rPr>
                <w:rFonts w:hint="eastAsia" w:ascii="宋体" w:hAnsi="宋体"/>
                <w:szCs w:val="21"/>
              </w:rPr>
              <w:t>1.投标函（格式见第六章）；</w:t>
            </w:r>
            <w:r>
              <w:rPr>
                <w:rFonts w:hint="eastAsia" w:ascii="宋体" w:hAnsi="宋体"/>
                <w:b/>
                <w:szCs w:val="21"/>
              </w:rPr>
              <w:t>（必须提供，否则按无效投标处理）</w:t>
            </w:r>
          </w:p>
          <w:p w14:paraId="75446754">
            <w:pPr>
              <w:tabs>
                <w:tab w:val="left" w:pos="459"/>
              </w:tabs>
              <w:snapToGrid w:val="0"/>
              <w:spacing w:line="360" w:lineRule="exact"/>
              <w:ind w:left="420"/>
              <w:jc w:val="left"/>
              <w:rPr>
                <w:rFonts w:hint="eastAsia" w:ascii="宋体" w:hAnsi="宋体"/>
                <w:szCs w:val="21"/>
              </w:rPr>
            </w:pPr>
            <w:bookmarkStart w:id="88" w:name="_Hlk71299233"/>
            <w:r>
              <w:rPr>
                <w:rFonts w:hint="eastAsia" w:ascii="宋体" w:hAnsi="宋体"/>
                <w:szCs w:val="21"/>
              </w:rPr>
              <w:t>2.开标一览表</w:t>
            </w:r>
            <w:bookmarkEnd w:id="88"/>
            <w:r>
              <w:rPr>
                <w:rFonts w:hint="eastAsia" w:ascii="宋体" w:hAnsi="宋体"/>
                <w:szCs w:val="21"/>
              </w:rPr>
              <w:t>（格式见第六章）；（</w:t>
            </w:r>
            <w:r>
              <w:rPr>
                <w:rFonts w:hint="eastAsia" w:ascii="宋体" w:hAnsi="宋体"/>
                <w:b/>
                <w:szCs w:val="21"/>
              </w:rPr>
              <w:t>必须提供，否则按无效投标处理</w:t>
            </w:r>
            <w:r>
              <w:rPr>
                <w:rFonts w:hint="eastAsia" w:ascii="宋体" w:hAnsi="宋体"/>
                <w:szCs w:val="21"/>
              </w:rPr>
              <w:t>）</w:t>
            </w:r>
          </w:p>
          <w:p w14:paraId="7ABDF6B0">
            <w:pPr>
              <w:tabs>
                <w:tab w:val="left" w:pos="459"/>
              </w:tabs>
              <w:snapToGrid w:val="0"/>
              <w:spacing w:line="360" w:lineRule="exact"/>
              <w:ind w:left="420"/>
              <w:jc w:val="left"/>
              <w:rPr>
                <w:rFonts w:hint="eastAsia" w:ascii="宋体" w:hAnsi="宋体"/>
                <w:szCs w:val="21"/>
              </w:rPr>
            </w:pPr>
            <w:r>
              <w:rPr>
                <w:rFonts w:hint="eastAsia" w:ascii="宋体" w:hAnsi="宋体"/>
                <w:szCs w:val="21"/>
              </w:rPr>
              <w:t>3.供应商享受中小企业扶持政策的材料（</w:t>
            </w:r>
            <w:r>
              <w:rPr>
                <w:rFonts w:hint="eastAsia" w:ascii="宋体" w:hAnsi="宋体"/>
                <w:b/>
                <w:bCs/>
                <w:szCs w:val="21"/>
              </w:rPr>
              <w:t>供应商根据自身响应情况，提供以下任意一项材料以证明自身可享受中小企业扶持政策）</w:t>
            </w:r>
            <w:r>
              <w:rPr>
                <w:rFonts w:hint="eastAsia" w:ascii="宋体" w:hAnsi="宋体"/>
                <w:szCs w:val="21"/>
              </w:rPr>
              <w:t>：</w:t>
            </w:r>
          </w:p>
          <w:p w14:paraId="248C636D">
            <w:pPr>
              <w:tabs>
                <w:tab w:val="left" w:pos="459"/>
              </w:tabs>
              <w:snapToGrid w:val="0"/>
              <w:spacing w:line="360" w:lineRule="exact"/>
              <w:ind w:left="420"/>
              <w:jc w:val="left"/>
              <w:rPr>
                <w:rFonts w:hint="eastAsia" w:ascii="宋体" w:hAnsi="宋体"/>
                <w:szCs w:val="21"/>
              </w:rPr>
            </w:pPr>
            <w:r>
              <w:rPr>
                <w:rFonts w:hint="eastAsia" w:ascii="宋体" w:hAnsi="宋体"/>
                <w:szCs w:val="21"/>
              </w:rPr>
              <w:t>（1）《中小企业声明函》（格式后附）；</w:t>
            </w:r>
          </w:p>
          <w:p w14:paraId="6520A1F0">
            <w:pPr>
              <w:tabs>
                <w:tab w:val="left" w:pos="459"/>
              </w:tabs>
              <w:snapToGrid w:val="0"/>
              <w:spacing w:line="360" w:lineRule="exact"/>
              <w:ind w:left="420"/>
              <w:jc w:val="left"/>
              <w:rPr>
                <w:rFonts w:hint="eastAsia" w:ascii="宋体" w:hAnsi="宋体"/>
                <w:szCs w:val="21"/>
              </w:rPr>
            </w:pPr>
            <w:r>
              <w:rPr>
                <w:rFonts w:hint="eastAsia" w:ascii="宋体" w:hAnsi="宋体"/>
                <w:szCs w:val="21"/>
              </w:rPr>
              <w:t>（2）《残疾人福利性单位声明函》（格式后附）；</w:t>
            </w:r>
          </w:p>
          <w:p w14:paraId="1E27024C">
            <w:pPr>
              <w:tabs>
                <w:tab w:val="left" w:pos="459"/>
              </w:tabs>
              <w:snapToGrid w:val="0"/>
              <w:spacing w:line="360" w:lineRule="exact"/>
              <w:ind w:left="420"/>
              <w:jc w:val="left"/>
              <w:rPr>
                <w:rFonts w:hint="eastAsia" w:ascii="宋体" w:hAnsi="宋体"/>
                <w:szCs w:val="21"/>
              </w:rPr>
            </w:pPr>
            <w:r>
              <w:rPr>
                <w:rFonts w:hint="eastAsia" w:ascii="宋体" w:hAnsi="宋体"/>
                <w:szCs w:val="21"/>
              </w:rPr>
              <w:t xml:space="preserve">（3）省级以上监狱管理局、戒毒管理局（含新疆生产建设兵团）出具的属于监狱企业的证明文件； </w:t>
            </w:r>
          </w:p>
          <w:p w14:paraId="71C4F2F0">
            <w:pPr>
              <w:tabs>
                <w:tab w:val="left" w:pos="459"/>
              </w:tabs>
              <w:snapToGrid w:val="0"/>
              <w:spacing w:line="360" w:lineRule="exact"/>
              <w:ind w:left="420"/>
              <w:jc w:val="left"/>
              <w:rPr>
                <w:rFonts w:ascii="宋体" w:hAnsi="宋体"/>
                <w:szCs w:val="21"/>
              </w:rPr>
            </w:pPr>
            <w:r>
              <w:rPr>
                <w:rFonts w:hint="eastAsia" w:ascii="宋体" w:hAnsi="宋体"/>
                <w:szCs w:val="21"/>
              </w:rPr>
              <w:t>4.《关于符合本国产品标准的声明函》或者财政部会同有关部门规定的有关证明文件；</w:t>
            </w:r>
            <w:r>
              <w:rPr>
                <w:rFonts w:hint="eastAsia" w:ascii="宋体" w:hAnsi="宋体"/>
                <w:b/>
                <w:bCs/>
                <w:szCs w:val="21"/>
              </w:rPr>
              <w:t>（供应商根据自身响应情况出具）</w:t>
            </w:r>
          </w:p>
          <w:p w14:paraId="2EE9CB7A">
            <w:pPr>
              <w:tabs>
                <w:tab w:val="left" w:pos="459"/>
              </w:tabs>
              <w:snapToGrid w:val="0"/>
              <w:spacing w:line="360" w:lineRule="exact"/>
              <w:ind w:left="420"/>
              <w:jc w:val="left"/>
              <w:rPr>
                <w:rFonts w:ascii="宋体" w:hAnsi="宋体"/>
                <w:szCs w:val="21"/>
              </w:rPr>
            </w:pPr>
            <w:r>
              <w:rPr>
                <w:rFonts w:hint="eastAsia" w:ascii="宋体" w:hAnsi="宋体"/>
                <w:szCs w:val="21"/>
              </w:rPr>
              <w:t>5.投标人针对报价需要说明的其他文件和说明（格式自拟）。</w:t>
            </w:r>
          </w:p>
          <w:p w14:paraId="5D14600B">
            <w:pPr>
              <w:tabs>
                <w:tab w:val="left" w:pos="420"/>
              </w:tabs>
              <w:snapToGrid w:val="0"/>
              <w:spacing w:line="360" w:lineRule="exact"/>
              <w:ind w:firstLine="422" w:firstLineChars="200"/>
              <w:jc w:val="left"/>
              <w:rPr>
                <w:rFonts w:hint="eastAsia" w:ascii="宋体" w:hAnsi="宋体"/>
                <w:b/>
                <w:szCs w:val="21"/>
              </w:rPr>
            </w:pPr>
            <w:r>
              <w:rPr>
                <w:rFonts w:hint="eastAsia" w:ascii="宋体" w:hAnsi="宋体"/>
                <w:b/>
                <w:szCs w:val="21"/>
              </w:rPr>
              <w:t>注：以上标明“必须提供”的材料，格式中有要求法定代表人或者委托代理人签字的，必须按要求签字并加盖投标人电子签章，否则按无效投标处理。</w:t>
            </w:r>
          </w:p>
        </w:tc>
      </w:tr>
      <w:tr w14:paraId="7B2294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76" w:type="pct"/>
            <w:vMerge w:val="continue"/>
            <w:tcBorders>
              <w:left w:val="single" w:color="auto" w:sz="4" w:space="0"/>
              <w:right w:val="single" w:color="auto" w:sz="4" w:space="0"/>
            </w:tcBorders>
            <w:noWrap w:val="0"/>
            <w:vAlign w:val="center"/>
          </w:tcPr>
          <w:p w14:paraId="08F8A766">
            <w:pPr>
              <w:spacing w:line="360" w:lineRule="exact"/>
              <w:rPr>
                <w:rFonts w:hint="eastAsia" w:ascii="宋体" w:hAnsi="宋体"/>
                <w:szCs w:val="21"/>
              </w:rPr>
            </w:pPr>
            <w:bookmarkStart w:id="89" w:name="_13.2"/>
            <w:bookmarkEnd w:id="89"/>
          </w:p>
        </w:tc>
        <w:tc>
          <w:tcPr>
            <w:tcW w:w="4424" w:type="pct"/>
            <w:tcBorders>
              <w:top w:val="single" w:color="auto" w:sz="4" w:space="0"/>
              <w:left w:val="single" w:color="auto" w:sz="4" w:space="0"/>
              <w:bottom w:val="single" w:color="auto" w:sz="4" w:space="0"/>
              <w:right w:val="single" w:color="auto" w:sz="4" w:space="0"/>
            </w:tcBorders>
            <w:noWrap w:val="0"/>
            <w:vAlign w:val="center"/>
          </w:tcPr>
          <w:p w14:paraId="56E8AEA8">
            <w:pPr>
              <w:snapToGrid w:val="0"/>
              <w:spacing w:line="360" w:lineRule="exact"/>
              <w:jc w:val="left"/>
              <w:rPr>
                <w:rFonts w:hint="eastAsia" w:ascii="宋体" w:hAnsi="宋体" w:cs="Courier New"/>
                <w:b/>
                <w:szCs w:val="21"/>
              </w:rPr>
            </w:pPr>
            <w:r>
              <w:rPr>
                <w:rFonts w:hint="eastAsia" w:ascii="宋体" w:hAnsi="宋体" w:cs="Courier New"/>
                <w:b/>
                <w:szCs w:val="21"/>
              </w:rPr>
              <w:t>资格证明文件（投标人所提供的材料不完整，或模糊不清以致关键信息无法辨认的，责任自负）：</w:t>
            </w:r>
          </w:p>
          <w:p w14:paraId="484D7458">
            <w:pPr>
              <w:snapToGrid w:val="0"/>
              <w:spacing w:line="360" w:lineRule="exact"/>
              <w:ind w:firstLine="420" w:firstLineChars="200"/>
              <w:jc w:val="left"/>
              <w:rPr>
                <w:rFonts w:ascii="宋体" w:hAnsi="宋体" w:cs="Courier New"/>
                <w:b/>
                <w:szCs w:val="21"/>
              </w:rPr>
            </w:pPr>
            <w:r>
              <w:rPr>
                <w:rFonts w:hint="eastAsia" w:ascii="宋体" w:hAnsi="宋体"/>
                <w:szCs w:val="21"/>
              </w:rPr>
              <w:t>1.投标人为法人或者其他组织的，提供营业执照等证明文件复印件</w:t>
            </w:r>
            <w:r>
              <w:rPr>
                <w:rFonts w:hint="eastAsia" w:ascii="宋体" w:hAnsi="宋体" w:cs="宋体"/>
                <w:szCs w:val="21"/>
              </w:rPr>
              <w:t>（如营业执照或者事业单位法人证书或者</w:t>
            </w:r>
            <w:r>
              <w:rPr>
                <w:rStyle w:val="96"/>
                <w:color w:val="auto"/>
                <w:szCs w:val="21"/>
              </w:rPr>
              <w:t>执业许可证</w:t>
            </w:r>
            <w:r>
              <w:rPr>
                <w:rFonts w:hint="eastAsia" w:ascii="宋体" w:hAnsi="宋体" w:cs="宋体"/>
                <w:szCs w:val="21"/>
              </w:rPr>
              <w:t>或者登记证书等）</w:t>
            </w:r>
            <w:r>
              <w:rPr>
                <w:rFonts w:hint="eastAsia" w:ascii="宋体" w:hAnsi="宋体"/>
                <w:szCs w:val="21"/>
              </w:rPr>
              <w:t>，投标人为自然人的，提供身份证</w:t>
            </w:r>
            <w:r>
              <w:rPr>
                <w:rFonts w:hint="eastAsia" w:ascii="宋体" w:hAnsi="宋体" w:cs="宋体"/>
                <w:szCs w:val="21"/>
              </w:rPr>
              <w:t>复印件</w:t>
            </w:r>
            <w:r>
              <w:rPr>
                <w:rFonts w:hint="eastAsia" w:ascii="宋体" w:hAnsi="宋体"/>
                <w:szCs w:val="21"/>
              </w:rPr>
              <w:t>；（</w:t>
            </w:r>
            <w:r>
              <w:rPr>
                <w:rFonts w:hint="eastAsia" w:ascii="宋体" w:hAnsi="宋体"/>
                <w:b/>
                <w:szCs w:val="21"/>
              </w:rPr>
              <w:t>必须提供，否则按无效投标处理</w:t>
            </w:r>
            <w:r>
              <w:rPr>
                <w:rFonts w:hint="eastAsia" w:ascii="宋体" w:hAnsi="宋体"/>
                <w:szCs w:val="21"/>
              </w:rPr>
              <w:t>）</w:t>
            </w:r>
          </w:p>
          <w:p w14:paraId="2E0741CF">
            <w:pPr>
              <w:snapToGrid w:val="0"/>
              <w:spacing w:line="360" w:lineRule="exact"/>
              <w:ind w:firstLine="420" w:firstLineChars="200"/>
              <w:jc w:val="left"/>
              <w:rPr>
                <w:rFonts w:hint="eastAsia" w:ascii="宋体" w:hAnsi="宋体" w:cs="Courier New"/>
                <w:b/>
                <w:szCs w:val="21"/>
              </w:rPr>
            </w:pPr>
            <w:r>
              <w:rPr>
                <w:rFonts w:hint="eastAsia" w:ascii="宋体" w:hAnsi="宋体" w:cs="宋体"/>
                <w:szCs w:val="21"/>
              </w:rPr>
              <w:t>2.投标人依法缴纳税收的相关材料（</w:t>
            </w:r>
            <w:r>
              <w:rPr>
                <w:rFonts w:ascii="宋体" w:hAnsi="宋体" w:cs="宋体"/>
                <w:szCs w:val="21"/>
                <w:u w:val="single"/>
              </w:rPr>
              <w:t>202</w:t>
            </w:r>
            <w:r>
              <w:rPr>
                <w:rFonts w:hint="eastAsia" w:ascii="宋体" w:hAnsi="宋体" w:cs="宋体"/>
                <w:szCs w:val="21"/>
                <w:u w:val="single"/>
                <w:lang w:val="en-US" w:eastAsia="zh-CN"/>
              </w:rPr>
              <w:t>6</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u w:val="single"/>
                <w:lang w:val="en-US" w:eastAsia="zh-CN"/>
              </w:rPr>
              <w:t>1</w:t>
            </w:r>
            <w:r>
              <w:rPr>
                <w:rFonts w:hint="eastAsia" w:ascii="宋体" w:hAnsi="宋体" w:cs="宋体"/>
                <w:szCs w:val="21"/>
              </w:rPr>
              <w:t>月至</w:t>
            </w:r>
            <w:r>
              <w:rPr>
                <w:rFonts w:ascii="宋体" w:hAnsi="宋体" w:cs="宋体"/>
                <w:szCs w:val="21"/>
                <w:u w:val="single"/>
              </w:rPr>
              <w:t>2026</w:t>
            </w:r>
            <w:r>
              <w:rPr>
                <w:rFonts w:hint="eastAsia" w:ascii="宋体" w:hAnsi="宋体" w:cs="宋体"/>
                <w:szCs w:val="21"/>
              </w:rPr>
              <w:t>年</w:t>
            </w:r>
            <w:r>
              <w:rPr>
                <w:rFonts w:hint="eastAsia" w:ascii="宋体" w:hAnsi="宋体" w:cs="宋体"/>
                <w:szCs w:val="21"/>
                <w:lang w:val="en-US" w:eastAsia="zh-CN"/>
              </w:rPr>
              <w:t xml:space="preserve"> </w:t>
            </w:r>
            <w:r>
              <w:rPr>
                <w:rFonts w:hint="eastAsia" w:ascii="宋体" w:hAnsi="宋体" w:cs="宋体"/>
                <w:szCs w:val="21"/>
                <w:u w:val="single"/>
                <w:lang w:val="en-US" w:eastAsia="zh-CN"/>
              </w:rPr>
              <w:t xml:space="preserve">6 </w:t>
            </w:r>
            <w:r>
              <w:rPr>
                <w:rFonts w:hint="eastAsia" w:ascii="宋体" w:hAnsi="宋体" w:cs="宋体"/>
                <w:szCs w:val="21"/>
              </w:rPr>
              <w:t>月内任意</w:t>
            </w:r>
            <w:r>
              <w:rPr>
                <w:rFonts w:hint="eastAsia" w:ascii="宋体" w:hAnsi="宋体" w:cs="宋体"/>
                <w:szCs w:val="21"/>
                <w:u w:val="single"/>
              </w:rPr>
              <w:t xml:space="preserve"> </w:t>
            </w:r>
            <w:r>
              <w:rPr>
                <w:rFonts w:ascii="宋体" w:hAnsi="宋体" w:cs="宋体"/>
                <w:szCs w:val="21"/>
                <w:u w:val="single"/>
              </w:rPr>
              <w:t>三</w:t>
            </w:r>
            <w:r>
              <w:rPr>
                <w:rFonts w:hint="eastAsia" w:ascii="宋体" w:hAnsi="宋体" w:cs="宋体"/>
                <w:szCs w:val="21"/>
                <w:u w:val="single"/>
              </w:rPr>
              <w:t xml:space="preserve"> </w:t>
            </w:r>
            <w:r>
              <w:rPr>
                <w:rFonts w:hint="eastAsia" w:ascii="宋体" w:hAnsi="宋体" w:cs="宋体"/>
                <w:szCs w:val="21"/>
              </w:rPr>
              <w:t>个月的依法缴纳税收的证明材料复印件；依法零申报的，必须提供相应月份的零申报证明复印件；依法免税的供应商，必须提供符合免税条件的证明材料。从成立之日起到投标文件提交截止时间止不足要求月数的，只需提供从成立之日起的依法缴纳税收相应证明文件）</w:t>
            </w:r>
            <w:r>
              <w:rPr>
                <w:rFonts w:hint="eastAsia" w:ascii="宋体" w:hAnsi="宋体"/>
                <w:szCs w:val="21"/>
              </w:rPr>
              <w:t>；（</w:t>
            </w:r>
            <w:r>
              <w:rPr>
                <w:rFonts w:hint="eastAsia" w:ascii="宋体" w:hAnsi="宋体"/>
                <w:b/>
                <w:szCs w:val="21"/>
              </w:rPr>
              <w:t>必须提供，否则按无效投标处理</w:t>
            </w:r>
            <w:r>
              <w:rPr>
                <w:rFonts w:hint="eastAsia" w:ascii="宋体" w:hAnsi="宋体"/>
                <w:szCs w:val="21"/>
              </w:rPr>
              <w:t>）</w:t>
            </w:r>
          </w:p>
          <w:p w14:paraId="4A7E9CC1">
            <w:pPr>
              <w:snapToGrid w:val="0"/>
              <w:spacing w:line="360" w:lineRule="exact"/>
              <w:ind w:firstLine="420" w:firstLineChars="200"/>
              <w:jc w:val="left"/>
              <w:rPr>
                <w:rFonts w:hint="eastAsia" w:ascii="宋体" w:hAnsi="宋体" w:cs="Courier New"/>
                <w:b/>
                <w:szCs w:val="21"/>
              </w:rPr>
            </w:pPr>
            <w:r>
              <w:rPr>
                <w:rFonts w:hint="eastAsia" w:ascii="宋体" w:hAnsi="宋体" w:cs="宋体"/>
                <w:szCs w:val="21"/>
              </w:rPr>
              <w:t>3.投标人依法缴纳社会保障资金的相关材料[</w:t>
            </w:r>
            <w:r>
              <w:rPr>
                <w:rFonts w:ascii="宋体" w:hAnsi="宋体" w:cs="宋体"/>
                <w:szCs w:val="21"/>
                <w:u w:val="single"/>
              </w:rPr>
              <w:t>202</w:t>
            </w:r>
            <w:r>
              <w:rPr>
                <w:rFonts w:hint="eastAsia" w:ascii="宋体" w:hAnsi="宋体" w:cs="宋体"/>
                <w:szCs w:val="21"/>
                <w:u w:val="single"/>
                <w:lang w:val="en-US" w:eastAsia="zh-CN"/>
              </w:rPr>
              <w:t>6</w:t>
            </w:r>
            <w:r>
              <w:rPr>
                <w:rFonts w:hint="eastAsia" w:ascii="宋体" w:hAnsi="宋体" w:cs="宋体"/>
                <w:szCs w:val="21"/>
              </w:rPr>
              <w:t>年</w:t>
            </w:r>
            <w:r>
              <w:rPr>
                <w:rFonts w:hint="eastAsia" w:ascii="宋体" w:hAnsi="宋体" w:cs="宋体"/>
                <w:szCs w:val="21"/>
                <w:u w:val="single"/>
              </w:rPr>
              <w:t xml:space="preserve">1 </w:t>
            </w:r>
            <w:r>
              <w:rPr>
                <w:rFonts w:hint="eastAsia" w:ascii="宋体" w:hAnsi="宋体" w:cs="宋体"/>
                <w:szCs w:val="21"/>
              </w:rPr>
              <w:t>月至</w:t>
            </w:r>
            <w:r>
              <w:rPr>
                <w:rFonts w:ascii="宋体" w:hAnsi="宋体" w:cs="宋体"/>
                <w:szCs w:val="21"/>
                <w:u w:val="single"/>
              </w:rPr>
              <w:t>2026</w:t>
            </w:r>
            <w:r>
              <w:rPr>
                <w:rFonts w:hint="eastAsia" w:ascii="宋体" w:hAnsi="宋体" w:cs="宋体"/>
                <w:szCs w:val="21"/>
              </w:rPr>
              <w:t>年</w:t>
            </w:r>
            <w:r>
              <w:rPr>
                <w:rFonts w:hint="eastAsia" w:ascii="宋体" w:hAnsi="宋体" w:cs="宋体"/>
                <w:szCs w:val="21"/>
                <w:u w:val="single"/>
                <w:lang w:val="en-US" w:eastAsia="zh-CN"/>
              </w:rPr>
              <w:t>6</w:t>
            </w:r>
            <w:r>
              <w:rPr>
                <w:rFonts w:hint="eastAsia" w:ascii="宋体" w:hAnsi="宋体" w:cs="宋体"/>
                <w:szCs w:val="21"/>
              </w:rPr>
              <w:t>月内任意</w:t>
            </w:r>
            <w:r>
              <w:rPr>
                <w:rFonts w:hint="eastAsia" w:ascii="宋体" w:hAnsi="宋体" w:cs="宋体"/>
                <w:szCs w:val="21"/>
                <w:u w:val="single"/>
              </w:rPr>
              <w:t xml:space="preserve"> </w:t>
            </w:r>
            <w:r>
              <w:rPr>
                <w:rFonts w:ascii="宋体" w:hAnsi="宋体" w:cs="宋体"/>
                <w:szCs w:val="21"/>
                <w:u w:val="single"/>
              </w:rPr>
              <w:t>三</w:t>
            </w:r>
            <w:r>
              <w:rPr>
                <w:rFonts w:hint="eastAsia" w:ascii="宋体" w:hAnsi="宋体" w:cs="宋体"/>
                <w:szCs w:val="21"/>
                <w:u w:val="single"/>
              </w:rPr>
              <w:t xml:space="preserve"> </w:t>
            </w:r>
            <w:r>
              <w:rPr>
                <w:rFonts w:hint="eastAsia" w:ascii="宋体" w:hAnsi="宋体" w:cs="宋体"/>
                <w:szCs w:val="21"/>
              </w:rPr>
              <w:t>个月的依法缴纳社会保障资金的缴费证明材料（如：专用收据、社会保险缴纳清单或者社保部门的证明）复印件；依法不需要缴纳社会保障资金的供应商，必须提供相应文件证明不需要缴纳社会保障资金。从成立之日起到投标文件提交截止时间止不足要求月数的只需提供从成立之日起的依法缴纳社会保障资金的相应证明文件]</w:t>
            </w:r>
            <w:r>
              <w:rPr>
                <w:rFonts w:hint="eastAsia" w:ascii="宋体" w:hAnsi="宋体"/>
                <w:szCs w:val="21"/>
              </w:rPr>
              <w:t>；（</w:t>
            </w:r>
            <w:r>
              <w:rPr>
                <w:rFonts w:hint="eastAsia" w:ascii="宋体" w:hAnsi="宋体"/>
                <w:b/>
                <w:szCs w:val="21"/>
              </w:rPr>
              <w:t>必须提供，否则按无效投标处理</w:t>
            </w:r>
            <w:r>
              <w:rPr>
                <w:rFonts w:hint="eastAsia" w:ascii="宋体" w:hAnsi="宋体"/>
                <w:szCs w:val="21"/>
              </w:rPr>
              <w:t>）</w:t>
            </w:r>
          </w:p>
          <w:p w14:paraId="60D7BA6D">
            <w:pPr>
              <w:snapToGrid w:val="0"/>
              <w:spacing w:line="360" w:lineRule="exact"/>
              <w:ind w:firstLine="420" w:firstLineChars="200"/>
              <w:jc w:val="left"/>
              <w:rPr>
                <w:rFonts w:hint="eastAsia" w:ascii="宋体" w:hAnsi="宋体" w:cs="Courier New"/>
                <w:b/>
                <w:szCs w:val="21"/>
              </w:rPr>
            </w:pPr>
            <w:r>
              <w:rPr>
                <w:rFonts w:hint="eastAsia" w:ascii="宋体" w:hAnsi="宋体" w:cs="宋体"/>
                <w:szCs w:val="21"/>
              </w:rPr>
              <w:t>4.投标人</w:t>
            </w:r>
            <w:r>
              <w:rPr>
                <w:rFonts w:hint="eastAsia" w:ascii="宋体" w:hAnsi="宋体"/>
                <w:szCs w:val="21"/>
              </w:rPr>
              <w:t>2</w:t>
            </w:r>
            <w:r>
              <w:rPr>
                <w:rFonts w:ascii="宋体" w:hAnsi="宋体"/>
                <w:szCs w:val="21"/>
              </w:rPr>
              <w:t>024</w:t>
            </w:r>
            <w:r>
              <w:rPr>
                <w:rFonts w:hint="eastAsia" w:ascii="宋体" w:hAnsi="宋体"/>
                <w:szCs w:val="21"/>
              </w:rPr>
              <w:t>年度或2025年度的</w:t>
            </w:r>
            <w:r>
              <w:rPr>
                <w:rFonts w:hint="eastAsia" w:ascii="宋体" w:hAnsi="宋体" w:cs="宋体"/>
                <w:szCs w:val="21"/>
              </w:rPr>
              <w:t>财务</w:t>
            </w:r>
            <w:r>
              <w:rPr>
                <w:rFonts w:hint="eastAsia" w:ascii="宋体" w:hAnsi="宋体"/>
                <w:szCs w:val="21"/>
              </w:rPr>
              <w:t>状况</w:t>
            </w:r>
            <w:r>
              <w:rPr>
                <w:rFonts w:hint="eastAsia" w:ascii="宋体" w:hAnsi="宋体" w:cs="宋体"/>
                <w:szCs w:val="21"/>
              </w:rPr>
              <w:t>审计报告或</w:t>
            </w:r>
            <w:r>
              <w:rPr>
                <w:rFonts w:hint="eastAsia" w:ascii="宋体" w:hAnsi="宋体"/>
                <w:szCs w:val="21"/>
              </w:rPr>
              <w:t>财务报表复印件，或者银行出具的资信证明，或者中国人民银行征信中心出具的信用报告（企业投标的提供企业信用报告，自然人投标的提供个人信用报告，投标人属于成立时间在规定年度之后的法人或其他组织，需提供成立之日起至投标截止时间前的月报表或银行出具的资信证明或者中国人民银行征信中心出具的企业信用报告；资信证明应在有效期内，未注明有效期的，银行出具时间至投标截止时间不超过一年]；（</w:t>
            </w:r>
            <w:r>
              <w:rPr>
                <w:rFonts w:hint="eastAsia" w:ascii="宋体" w:hAnsi="宋体"/>
                <w:b/>
                <w:szCs w:val="21"/>
              </w:rPr>
              <w:t>必须提供，否则按无效投标处理</w:t>
            </w:r>
            <w:r>
              <w:rPr>
                <w:rFonts w:hint="eastAsia" w:ascii="宋体" w:hAnsi="宋体"/>
                <w:szCs w:val="21"/>
              </w:rPr>
              <w:t>）</w:t>
            </w:r>
          </w:p>
          <w:p w14:paraId="05563B07">
            <w:pPr>
              <w:snapToGrid w:val="0"/>
              <w:spacing w:line="360" w:lineRule="exact"/>
              <w:ind w:firstLine="420" w:firstLineChars="200"/>
              <w:jc w:val="left"/>
              <w:rPr>
                <w:rFonts w:hint="eastAsia" w:ascii="宋体" w:hAnsi="宋体"/>
                <w:szCs w:val="21"/>
              </w:rPr>
            </w:pPr>
            <w:r>
              <w:rPr>
                <w:rFonts w:hint="eastAsia" w:ascii="宋体" w:hAnsi="宋体"/>
                <w:szCs w:val="21"/>
              </w:rPr>
              <w:t>5.投标人直接控股股东信息表（格式见第六章）；</w:t>
            </w:r>
            <w:r>
              <w:rPr>
                <w:rFonts w:hint="eastAsia" w:ascii="宋体" w:hAnsi="宋体"/>
                <w:b/>
                <w:szCs w:val="21"/>
              </w:rPr>
              <w:t>（必须提供，否则按无效投标处理）</w:t>
            </w:r>
          </w:p>
          <w:p w14:paraId="21C9379A">
            <w:pPr>
              <w:snapToGrid w:val="0"/>
              <w:spacing w:line="360" w:lineRule="exact"/>
              <w:ind w:firstLine="420" w:firstLineChars="200"/>
              <w:jc w:val="left"/>
              <w:rPr>
                <w:rFonts w:hint="eastAsia" w:ascii="宋体" w:hAnsi="宋体"/>
                <w:szCs w:val="21"/>
              </w:rPr>
            </w:pPr>
            <w:r>
              <w:rPr>
                <w:rFonts w:hint="eastAsia" w:ascii="宋体" w:hAnsi="宋体"/>
                <w:szCs w:val="21"/>
              </w:rPr>
              <w:t>6.投标人直接管理关系信息表（格式见第六章）；</w:t>
            </w:r>
            <w:r>
              <w:rPr>
                <w:rFonts w:hint="eastAsia" w:ascii="宋体" w:hAnsi="宋体"/>
                <w:b/>
                <w:szCs w:val="21"/>
              </w:rPr>
              <w:t>（必须提供，否则按无效投标处理）</w:t>
            </w:r>
          </w:p>
          <w:p w14:paraId="4766D908">
            <w:pPr>
              <w:snapToGrid w:val="0"/>
              <w:spacing w:line="360" w:lineRule="exact"/>
              <w:ind w:firstLine="420" w:firstLineChars="200"/>
              <w:jc w:val="left"/>
              <w:rPr>
                <w:rFonts w:ascii="宋体" w:hAnsi="宋体"/>
                <w:szCs w:val="21"/>
              </w:rPr>
            </w:pPr>
            <w:r>
              <w:rPr>
                <w:rFonts w:ascii="宋体" w:hAnsi="宋体"/>
                <w:szCs w:val="21"/>
              </w:rPr>
              <w:t>7</w:t>
            </w:r>
            <w:r>
              <w:rPr>
                <w:rFonts w:hint="eastAsia" w:ascii="宋体" w:hAnsi="宋体"/>
                <w:szCs w:val="21"/>
              </w:rPr>
              <w:t>.投标声明（格式见第六章）；（</w:t>
            </w:r>
            <w:r>
              <w:rPr>
                <w:rFonts w:hint="eastAsia" w:ascii="宋体" w:hAnsi="宋体"/>
                <w:b/>
                <w:szCs w:val="21"/>
              </w:rPr>
              <w:t>必须提供，否则按无效投标处理</w:t>
            </w:r>
            <w:r>
              <w:rPr>
                <w:rFonts w:hint="eastAsia" w:ascii="宋体" w:hAnsi="宋体"/>
                <w:szCs w:val="21"/>
              </w:rPr>
              <w:t>）</w:t>
            </w:r>
          </w:p>
          <w:p w14:paraId="33BBD2C2">
            <w:pPr>
              <w:snapToGrid w:val="0"/>
              <w:spacing w:line="360" w:lineRule="exact"/>
              <w:ind w:firstLine="420" w:firstLineChars="200"/>
              <w:jc w:val="left"/>
              <w:rPr>
                <w:rFonts w:ascii="宋体" w:hAnsi="宋体"/>
                <w:b/>
                <w:szCs w:val="21"/>
              </w:rPr>
            </w:pPr>
            <w:r>
              <w:rPr>
                <w:rFonts w:hint="eastAsia" w:ascii="宋体" w:hAnsi="宋体"/>
                <w:szCs w:val="21"/>
              </w:rPr>
              <w:t>8.联合体协议书（格式见第六章）；</w:t>
            </w:r>
            <w:r>
              <w:rPr>
                <w:rFonts w:hint="eastAsia" w:ascii="宋体" w:hAnsi="宋体"/>
                <w:b/>
                <w:szCs w:val="21"/>
              </w:rPr>
              <w:t>（本项目不接受联合体）</w:t>
            </w:r>
          </w:p>
          <w:p w14:paraId="159C28C3">
            <w:pPr>
              <w:snapToGrid w:val="0"/>
              <w:spacing w:line="360" w:lineRule="exact"/>
              <w:ind w:firstLine="420" w:firstLineChars="200"/>
              <w:jc w:val="left"/>
              <w:rPr>
                <w:rFonts w:hint="eastAsia" w:ascii="宋体" w:hAnsi="宋体"/>
                <w:szCs w:val="21"/>
              </w:rPr>
            </w:pPr>
            <w:r>
              <w:rPr>
                <w:rFonts w:hint="eastAsia" w:ascii="宋体" w:hAnsi="宋体"/>
                <w:szCs w:val="21"/>
              </w:rPr>
              <w:t>9.除招标文件规定必须提供以外，投标人认为需要提供的其他证明材料。</w:t>
            </w:r>
          </w:p>
          <w:p w14:paraId="30FB3965">
            <w:pPr>
              <w:snapToGrid w:val="0"/>
              <w:spacing w:line="360" w:lineRule="exact"/>
              <w:jc w:val="left"/>
              <w:rPr>
                <w:rFonts w:ascii="宋体" w:hAnsi="宋体"/>
                <w:b/>
                <w:bCs/>
                <w:szCs w:val="21"/>
              </w:rPr>
            </w:pPr>
            <w:r>
              <w:rPr>
                <w:rFonts w:hint="eastAsia" w:ascii="宋体" w:hAnsi="宋体"/>
                <w:b/>
                <w:bCs/>
                <w:szCs w:val="21"/>
              </w:rPr>
              <w:t>注：</w:t>
            </w:r>
          </w:p>
          <w:p w14:paraId="6317FAD8">
            <w:pPr>
              <w:snapToGrid w:val="0"/>
              <w:spacing w:line="360" w:lineRule="exact"/>
              <w:ind w:firstLine="422" w:firstLineChars="200"/>
              <w:jc w:val="left"/>
              <w:rPr>
                <w:rFonts w:hint="eastAsia" w:ascii="宋体" w:hAnsi="宋体"/>
                <w:b/>
                <w:bCs/>
                <w:szCs w:val="21"/>
              </w:rPr>
            </w:pPr>
            <w:r>
              <w:rPr>
                <w:rFonts w:hint="eastAsia" w:ascii="宋体" w:hAnsi="宋体"/>
                <w:b/>
                <w:bCs/>
                <w:szCs w:val="21"/>
              </w:rPr>
              <w:t>1.以上标明“必须提供”的材料，格式中有要求法定代表人或者委托代理人签字的，必须按要求签字并加盖投标人电子签章，否则按无效投标处理。</w:t>
            </w:r>
          </w:p>
          <w:p w14:paraId="11C47D8B">
            <w:pPr>
              <w:snapToGrid w:val="0"/>
              <w:spacing w:line="360" w:lineRule="exact"/>
              <w:ind w:firstLine="422" w:firstLineChars="200"/>
              <w:jc w:val="left"/>
              <w:rPr>
                <w:rFonts w:ascii="宋体" w:hAnsi="宋体"/>
                <w:b/>
                <w:bCs/>
                <w:szCs w:val="21"/>
              </w:rPr>
            </w:pPr>
            <w:r>
              <w:rPr>
                <w:rFonts w:hint="eastAsia" w:ascii="宋体" w:hAnsi="宋体"/>
                <w:b/>
                <w:bCs/>
                <w:szCs w:val="21"/>
              </w:rPr>
              <w:t>2.联合体投标时，第1-</w:t>
            </w:r>
            <w:r>
              <w:rPr>
                <w:rFonts w:ascii="宋体" w:hAnsi="宋体"/>
                <w:b/>
                <w:bCs/>
                <w:szCs w:val="21"/>
              </w:rPr>
              <w:t>6</w:t>
            </w:r>
            <w:r>
              <w:rPr>
                <w:rFonts w:hint="eastAsia" w:ascii="宋体" w:hAnsi="宋体"/>
                <w:b/>
                <w:bCs/>
                <w:szCs w:val="21"/>
              </w:rPr>
              <w:t>项资格证明文件联合体各方均必须分别提供，并由联合体牵头人加盖电子签章，规定签字处签字（或者电子签名），否则按无效投标处理。</w:t>
            </w:r>
          </w:p>
        </w:tc>
      </w:tr>
      <w:tr w14:paraId="5A7DB22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76" w:type="pct"/>
            <w:vMerge w:val="continue"/>
            <w:tcBorders>
              <w:left w:val="single" w:color="auto" w:sz="4" w:space="0"/>
              <w:right w:val="single" w:color="auto" w:sz="4" w:space="0"/>
            </w:tcBorders>
            <w:noWrap w:val="0"/>
            <w:vAlign w:val="center"/>
          </w:tcPr>
          <w:p w14:paraId="13AC2103">
            <w:pPr>
              <w:spacing w:line="360" w:lineRule="exact"/>
              <w:rPr>
                <w:rFonts w:hint="eastAsia" w:ascii="宋体" w:hAnsi="宋体"/>
                <w:szCs w:val="21"/>
              </w:rPr>
            </w:pPr>
            <w:bookmarkStart w:id="90" w:name="_13.3"/>
            <w:bookmarkEnd w:id="90"/>
          </w:p>
        </w:tc>
        <w:tc>
          <w:tcPr>
            <w:tcW w:w="4424" w:type="pct"/>
            <w:tcBorders>
              <w:top w:val="single" w:color="auto" w:sz="4" w:space="0"/>
              <w:left w:val="single" w:color="auto" w:sz="4" w:space="0"/>
              <w:bottom w:val="single" w:color="auto" w:sz="4" w:space="0"/>
              <w:right w:val="single" w:color="auto" w:sz="4" w:space="0"/>
            </w:tcBorders>
            <w:noWrap w:val="0"/>
            <w:vAlign w:val="center"/>
          </w:tcPr>
          <w:p w14:paraId="64141376">
            <w:pPr>
              <w:snapToGrid w:val="0"/>
              <w:spacing w:line="360" w:lineRule="exact"/>
              <w:jc w:val="left"/>
              <w:rPr>
                <w:rFonts w:hint="eastAsia" w:ascii="宋体" w:hAnsi="宋体" w:cs="Courier New"/>
                <w:b/>
                <w:szCs w:val="21"/>
              </w:rPr>
            </w:pPr>
            <w:r>
              <w:rPr>
                <w:rFonts w:hint="eastAsia" w:ascii="宋体" w:hAnsi="宋体" w:cs="Courier New"/>
                <w:b/>
                <w:szCs w:val="21"/>
              </w:rPr>
              <w:t>商务及技术文件：</w:t>
            </w:r>
          </w:p>
          <w:p w14:paraId="0AEDFB8C">
            <w:pPr>
              <w:snapToGrid w:val="0"/>
              <w:spacing w:line="360" w:lineRule="exact"/>
              <w:ind w:left="413"/>
              <w:jc w:val="left"/>
              <w:rPr>
                <w:rFonts w:hint="eastAsia" w:ascii="宋体" w:hAnsi="宋体"/>
                <w:szCs w:val="21"/>
              </w:rPr>
            </w:pPr>
            <w:r>
              <w:rPr>
                <w:rFonts w:hint="eastAsia" w:ascii="宋体" w:hAnsi="宋体"/>
                <w:szCs w:val="21"/>
              </w:rPr>
              <w:t>1.无串通投标行为的承诺函（格式见第六章）；（</w:t>
            </w:r>
            <w:r>
              <w:rPr>
                <w:rFonts w:hint="eastAsia" w:ascii="宋体" w:hAnsi="宋体"/>
                <w:b/>
                <w:szCs w:val="21"/>
              </w:rPr>
              <w:t>必须提供，否则按无效投标处理</w:t>
            </w:r>
            <w:r>
              <w:rPr>
                <w:rFonts w:hint="eastAsia" w:ascii="宋体" w:hAnsi="宋体"/>
                <w:szCs w:val="21"/>
              </w:rPr>
              <w:t>）</w:t>
            </w:r>
          </w:p>
          <w:p w14:paraId="76CCEEAB">
            <w:pPr>
              <w:snapToGrid w:val="0"/>
              <w:spacing w:line="360" w:lineRule="exact"/>
              <w:ind w:left="413"/>
              <w:jc w:val="left"/>
              <w:rPr>
                <w:rFonts w:hint="eastAsia" w:ascii="宋体" w:hAnsi="宋体"/>
                <w:szCs w:val="21"/>
              </w:rPr>
            </w:pPr>
            <w:r>
              <w:rPr>
                <w:rFonts w:hint="eastAsia" w:ascii="宋体" w:hAnsi="宋体"/>
                <w:szCs w:val="21"/>
              </w:rPr>
              <w:t>2.投标保证金提交凭证；（</w:t>
            </w:r>
            <w:r>
              <w:rPr>
                <w:rFonts w:hint="eastAsia" w:ascii="宋体" w:hAnsi="宋体"/>
                <w:b/>
                <w:bCs/>
                <w:szCs w:val="21"/>
              </w:rPr>
              <w:t>如要求提交投标保证金的则必须提供</w:t>
            </w:r>
            <w:r>
              <w:rPr>
                <w:rFonts w:hint="eastAsia" w:ascii="宋体" w:hAnsi="宋体"/>
                <w:b/>
                <w:szCs w:val="21"/>
              </w:rPr>
              <w:t>，否则按无效投标处理</w:t>
            </w:r>
            <w:r>
              <w:rPr>
                <w:rFonts w:hint="eastAsia" w:ascii="宋体" w:hAnsi="宋体"/>
                <w:szCs w:val="21"/>
              </w:rPr>
              <w:t>）</w:t>
            </w:r>
          </w:p>
          <w:p w14:paraId="69DB9765">
            <w:pPr>
              <w:snapToGrid w:val="0"/>
              <w:spacing w:line="360" w:lineRule="exact"/>
              <w:ind w:left="413"/>
              <w:jc w:val="left"/>
              <w:rPr>
                <w:rFonts w:ascii="宋体" w:hAnsi="宋体"/>
                <w:szCs w:val="21"/>
              </w:rPr>
            </w:pPr>
            <w:r>
              <w:rPr>
                <w:rFonts w:hint="eastAsia" w:ascii="宋体" w:hAnsi="宋体"/>
                <w:szCs w:val="21"/>
              </w:rPr>
              <w:t>3.法定代表人身份证明及法定代表人有效身份证正反面复印件（格式见第六章）；（</w:t>
            </w:r>
            <w:r>
              <w:rPr>
                <w:rFonts w:hint="eastAsia" w:ascii="宋体" w:hAnsi="宋体" w:cs="宋体"/>
                <w:b/>
                <w:bCs/>
                <w:szCs w:val="21"/>
              </w:rPr>
              <w:t>除自然人投标外</w:t>
            </w:r>
            <w:r>
              <w:rPr>
                <w:rFonts w:hint="eastAsia" w:ascii="宋体" w:hAnsi="宋体"/>
                <w:b/>
                <w:szCs w:val="21"/>
              </w:rPr>
              <w:t>必须提供，否则按无效投标处理</w:t>
            </w:r>
            <w:r>
              <w:rPr>
                <w:rFonts w:hint="eastAsia" w:ascii="宋体" w:hAnsi="宋体"/>
                <w:szCs w:val="21"/>
              </w:rPr>
              <w:t>）</w:t>
            </w:r>
          </w:p>
          <w:p w14:paraId="3C04374C">
            <w:pPr>
              <w:snapToGrid w:val="0"/>
              <w:spacing w:line="360" w:lineRule="exact"/>
              <w:ind w:left="413"/>
              <w:jc w:val="left"/>
              <w:rPr>
                <w:rFonts w:ascii="宋体" w:hAnsi="宋体"/>
                <w:szCs w:val="21"/>
              </w:rPr>
            </w:pPr>
            <w:r>
              <w:rPr>
                <w:rFonts w:hint="eastAsia" w:ascii="宋体" w:hAnsi="宋体"/>
                <w:szCs w:val="21"/>
              </w:rPr>
              <w:t>4.授权委托书及委托代理人有效身份证正反面复印件（格式见第六章）；（</w:t>
            </w:r>
            <w:r>
              <w:rPr>
                <w:rFonts w:hint="eastAsia" w:ascii="宋体" w:hAnsi="宋体"/>
                <w:b/>
                <w:szCs w:val="21"/>
              </w:rPr>
              <w:t>委托时必须提供，否则按无效投标处理</w:t>
            </w:r>
            <w:r>
              <w:rPr>
                <w:rFonts w:hint="eastAsia" w:ascii="宋体" w:hAnsi="宋体"/>
                <w:szCs w:val="21"/>
              </w:rPr>
              <w:t>）</w:t>
            </w:r>
          </w:p>
          <w:p w14:paraId="03E2EA33">
            <w:pPr>
              <w:snapToGrid w:val="0"/>
              <w:spacing w:line="360" w:lineRule="exact"/>
              <w:ind w:left="413"/>
              <w:jc w:val="left"/>
              <w:rPr>
                <w:rFonts w:hint="eastAsia" w:ascii="宋体" w:hAnsi="宋体"/>
                <w:szCs w:val="21"/>
              </w:rPr>
            </w:pPr>
            <w:r>
              <w:rPr>
                <w:rFonts w:hint="eastAsia" w:ascii="宋体" w:hAnsi="宋体"/>
                <w:szCs w:val="21"/>
              </w:rPr>
              <w:t>5</w:t>
            </w:r>
            <w:r>
              <w:rPr>
                <w:rFonts w:ascii="宋体" w:hAnsi="宋体"/>
                <w:szCs w:val="21"/>
              </w:rPr>
              <w:t>.</w:t>
            </w:r>
            <w:r>
              <w:rPr>
                <w:rFonts w:hint="eastAsia" w:ascii="宋体" w:hAnsi="宋体"/>
                <w:szCs w:val="21"/>
              </w:rPr>
              <w:t>商务要求偏离表（格式见第六章）；（</w:t>
            </w:r>
            <w:r>
              <w:rPr>
                <w:rFonts w:hint="eastAsia" w:ascii="宋体" w:hAnsi="宋体"/>
                <w:b/>
                <w:szCs w:val="21"/>
              </w:rPr>
              <w:t>必须提供，否则按无效投标处理</w:t>
            </w:r>
            <w:r>
              <w:rPr>
                <w:rFonts w:hint="eastAsia" w:ascii="宋体" w:hAnsi="宋体"/>
                <w:szCs w:val="21"/>
              </w:rPr>
              <w:t>）</w:t>
            </w:r>
          </w:p>
          <w:p w14:paraId="7F30707B">
            <w:pPr>
              <w:snapToGrid w:val="0"/>
              <w:spacing w:line="360" w:lineRule="exact"/>
              <w:ind w:left="413"/>
              <w:jc w:val="left"/>
              <w:rPr>
                <w:rFonts w:hint="eastAsia" w:ascii="宋体" w:hAnsi="宋体"/>
                <w:szCs w:val="21"/>
              </w:rPr>
            </w:pPr>
            <w:r>
              <w:rPr>
                <w:rFonts w:ascii="宋体" w:hAnsi="宋体"/>
                <w:szCs w:val="21"/>
              </w:rPr>
              <w:t>6</w:t>
            </w:r>
            <w:r>
              <w:rPr>
                <w:rFonts w:hint="eastAsia" w:ascii="宋体" w:hAnsi="宋体"/>
                <w:szCs w:val="21"/>
              </w:rPr>
              <w:t>.售后服务承诺（格式自拟）；（</w:t>
            </w:r>
            <w:r>
              <w:rPr>
                <w:rFonts w:hint="eastAsia" w:ascii="宋体" w:hAnsi="宋体"/>
                <w:b/>
                <w:szCs w:val="21"/>
              </w:rPr>
              <w:t>必须提供，否则按无效投标处理</w:t>
            </w:r>
            <w:r>
              <w:rPr>
                <w:rFonts w:hint="eastAsia" w:ascii="宋体" w:hAnsi="宋体"/>
                <w:szCs w:val="21"/>
              </w:rPr>
              <w:t>）</w:t>
            </w:r>
          </w:p>
          <w:p w14:paraId="363E88BF">
            <w:pPr>
              <w:snapToGrid w:val="0"/>
              <w:spacing w:line="360" w:lineRule="exact"/>
              <w:ind w:left="413"/>
              <w:jc w:val="left"/>
              <w:rPr>
                <w:rFonts w:hint="eastAsia" w:ascii="宋体" w:hAnsi="宋体"/>
                <w:szCs w:val="21"/>
              </w:rPr>
            </w:pPr>
            <w:r>
              <w:rPr>
                <w:rFonts w:ascii="宋体" w:hAnsi="宋体"/>
                <w:szCs w:val="21"/>
              </w:rPr>
              <w:t>7</w:t>
            </w:r>
            <w:r>
              <w:rPr>
                <w:rFonts w:hint="eastAsia" w:ascii="宋体" w:hAnsi="宋体"/>
                <w:szCs w:val="21"/>
              </w:rPr>
              <w:t>.投标人情况介绍（格式自拟）；（如有，请提供）</w:t>
            </w:r>
          </w:p>
          <w:p w14:paraId="72A94528">
            <w:pPr>
              <w:snapToGrid w:val="0"/>
              <w:spacing w:line="360" w:lineRule="exact"/>
              <w:ind w:left="413"/>
              <w:jc w:val="left"/>
              <w:rPr>
                <w:rFonts w:hint="eastAsia" w:ascii="宋体" w:hAnsi="宋体"/>
                <w:szCs w:val="21"/>
              </w:rPr>
            </w:pPr>
            <w:r>
              <w:rPr>
                <w:rFonts w:hint="eastAsia" w:ascii="宋体" w:hAnsi="宋体"/>
                <w:szCs w:val="21"/>
              </w:rPr>
              <w:t>8.联合体协议书（格式见第六章）；</w:t>
            </w:r>
            <w:r>
              <w:rPr>
                <w:rFonts w:hint="eastAsia" w:ascii="宋体" w:hAnsi="宋体"/>
                <w:b/>
                <w:szCs w:val="21"/>
              </w:rPr>
              <w:t>（本项目不接受联合体）</w:t>
            </w:r>
          </w:p>
          <w:p w14:paraId="0F8DC92A">
            <w:pPr>
              <w:snapToGrid w:val="0"/>
              <w:spacing w:line="360" w:lineRule="exact"/>
              <w:ind w:left="413"/>
              <w:jc w:val="left"/>
              <w:rPr>
                <w:rFonts w:ascii="宋体" w:hAnsi="宋体"/>
                <w:szCs w:val="21"/>
              </w:rPr>
            </w:pPr>
            <w:r>
              <w:rPr>
                <w:rFonts w:hint="eastAsia" w:ascii="宋体" w:hAnsi="宋体"/>
                <w:szCs w:val="21"/>
              </w:rPr>
              <w:t>9.代理服务费承诺书（格式见第六章）；</w:t>
            </w:r>
          </w:p>
          <w:p w14:paraId="7CAB27FF">
            <w:pPr>
              <w:snapToGrid w:val="0"/>
              <w:spacing w:line="360" w:lineRule="exact"/>
              <w:ind w:left="413"/>
              <w:jc w:val="left"/>
              <w:rPr>
                <w:rFonts w:hint="eastAsia" w:ascii="宋体" w:hAnsi="宋体"/>
                <w:szCs w:val="21"/>
              </w:rPr>
            </w:pPr>
            <w:r>
              <w:rPr>
                <w:rFonts w:hint="eastAsia" w:ascii="宋体" w:hAnsi="宋体"/>
                <w:szCs w:val="21"/>
              </w:rPr>
              <w:t>10.设备性能配置清单（格式见第六章）；</w:t>
            </w:r>
            <w:r>
              <w:rPr>
                <w:rFonts w:hint="eastAsia" w:ascii="宋体" w:hAnsi="宋体"/>
                <w:b/>
                <w:szCs w:val="21"/>
              </w:rPr>
              <w:t>（必须提供，否则按无效投标处理）</w:t>
            </w:r>
          </w:p>
          <w:p w14:paraId="0F44E314">
            <w:pPr>
              <w:snapToGrid w:val="0"/>
              <w:spacing w:line="360" w:lineRule="exact"/>
              <w:ind w:left="413"/>
              <w:jc w:val="left"/>
              <w:rPr>
                <w:rFonts w:hint="eastAsia" w:ascii="宋体" w:hAnsi="宋体"/>
                <w:szCs w:val="21"/>
              </w:rPr>
            </w:pPr>
            <w:r>
              <w:rPr>
                <w:rFonts w:ascii="宋体" w:hAnsi="宋体"/>
                <w:szCs w:val="21"/>
              </w:rPr>
              <w:t>1</w:t>
            </w:r>
            <w:r>
              <w:rPr>
                <w:rFonts w:hint="eastAsia" w:ascii="宋体" w:hAnsi="宋体"/>
                <w:szCs w:val="21"/>
              </w:rPr>
              <w:t>1.技术要求偏离表（格式见第六章）；</w:t>
            </w:r>
            <w:r>
              <w:rPr>
                <w:rFonts w:hint="eastAsia" w:ascii="宋体" w:hAnsi="宋体"/>
                <w:b/>
                <w:szCs w:val="21"/>
              </w:rPr>
              <w:t>（必须提供，否则按无效投标处理）</w:t>
            </w:r>
          </w:p>
          <w:p w14:paraId="0DED5CCE">
            <w:pPr>
              <w:snapToGrid w:val="0"/>
              <w:spacing w:line="360" w:lineRule="exact"/>
              <w:ind w:left="413"/>
              <w:jc w:val="left"/>
              <w:rPr>
                <w:rFonts w:ascii="宋体" w:hAnsi="宋体"/>
                <w:szCs w:val="21"/>
              </w:rPr>
            </w:pPr>
            <w:r>
              <w:rPr>
                <w:rFonts w:hint="eastAsia" w:ascii="宋体" w:hAnsi="宋体"/>
                <w:szCs w:val="21"/>
              </w:rPr>
              <w:t>12.“道路机动车辆生产企业及产品信息查询系统”公告查询截图，截图应清晰显示车辆名称；</w:t>
            </w:r>
            <w:r>
              <w:rPr>
                <w:rFonts w:hint="eastAsia" w:ascii="宋体" w:hAnsi="宋体"/>
                <w:b/>
                <w:bCs/>
                <w:szCs w:val="21"/>
              </w:rPr>
              <w:t>（分标3必须提供，否则按无效投标处理）</w:t>
            </w:r>
          </w:p>
          <w:p w14:paraId="61B0E35A">
            <w:pPr>
              <w:snapToGrid w:val="0"/>
              <w:spacing w:line="360" w:lineRule="exact"/>
              <w:ind w:left="413"/>
              <w:jc w:val="left"/>
              <w:rPr>
                <w:rFonts w:hint="eastAsia" w:ascii="宋体" w:hAnsi="宋体"/>
                <w:szCs w:val="21"/>
              </w:rPr>
            </w:pPr>
            <w:r>
              <w:rPr>
                <w:rFonts w:hint="eastAsia" w:ascii="宋体" w:hAnsi="宋体"/>
                <w:szCs w:val="21"/>
              </w:rPr>
              <w:t>13.项目安装调试方案（包括但不限于：管理措施、具体实施流程、进度安排、质量保证措施、风险防范等措施）（格式自拟）；（如有，请提供）</w:t>
            </w:r>
          </w:p>
          <w:p w14:paraId="67DA3507">
            <w:pPr>
              <w:snapToGrid w:val="0"/>
              <w:spacing w:line="360" w:lineRule="exact"/>
              <w:ind w:left="413"/>
              <w:jc w:val="left"/>
              <w:rPr>
                <w:rFonts w:hint="eastAsia" w:ascii="宋体" w:hAnsi="宋体"/>
                <w:szCs w:val="21"/>
              </w:rPr>
            </w:pPr>
            <w:r>
              <w:rPr>
                <w:rFonts w:hint="eastAsia" w:ascii="宋体" w:hAnsi="宋体"/>
                <w:szCs w:val="21"/>
              </w:rPr>
              <w:t>14.对本项目系统总体要求的理解。包括：功能说明、性能指标及设备选型说明（质量、性能、价格、外观、体积等方面进行比较和选择的理由及过程，格式自拟）；（如有，请提供）</w:t>
            </w:r>
          </w:p>
          <w:p w14:paraId="39AA566A">
            <w:pPr>
              <w:snapToGrid w:val="0"/>
              <w:spacing w:line="360" w:lineRule="exact"/>
              <w:ind w:left="413"/>
              <w:jc w:val="left"/>
              <w:rPr>
                <w:rFonts w:hint="eastAsia" w:ascii="宋体" w:hAnsi="宋体"/>
                <w:szCs w:val="21"/>
              </w:rPr>
            </w:pPr>
            <w:r>
              <w:rPr>
                <w:rFonts w:hint="eastAsia" w:ascii="宋体" w:hAnsi="宋体"/>
                <w:szCs w:val="21"/>
              </w:rPr>
              <w:t>15.优惠条件：投标人承诺给予招标人的各种优惠条件，包括售后服务、备品备件、专用耗材等方面的优惠；投标人不得给予赠品或者与采购无关的其他商品、服务；（如</w:t>
            </w:r>
            <w:r>
              <w:rPr>
                <w:rFonts w:ascii="宋体" w:hAnsi="宋体"/>
                <w:szCs w:val="21"/>
              </w:rPr>
              <w:t>有</w:t>
            </w:r>
            <w:r>
              <w:rPr>
                <w:rFonts w:hint="eastAsia" w:ascii="宋体" w:hAnsi="宋体"/>
                <w:szCs w:val="21"/>
              </w:rPr>
              <w:t>，请</w:t>
            </w:r>
            <w:r>
              <w:rPr>
                <w:rFonts w:ascii="宋体" w:hAnsi="宋体"/>
                <w:szCs w:val="21"/>
              </w:rPr>
              <w:t>提供</w:t>
            </w:r>
            <w:r>
              <w:rPr>
                <w:rFonts w:hint="eastAsia" w:ascii="宋体" w:hAnsi="宋体"/>
                <w:szCs w:val="21"/>
              </w:rPr>
              <w:t>）</w:t>
            </w:r>
          </w:p>
          <w:p w14:paraId="3FC5FE30">
            <w:pPr>
              <w:snapToGrid w:val="0"/>
              <w:spacing w:line="360" w:lineRule="exact"/>
              <w:ind w:left="413"/>
              <w:jc w:val="left"/>
              <w:rPr>
                <w:rFonts w:hint="eastAsia" w:ascii="宋体" w:hAnsi="宋体"/>
                <w:szCs w:val="21"/>
              </w:rPr>
            </w:pPr>
            <w:r>
              <w:rPr>
                <w:rFonts w:hint="eastAsia" w:ascii="宋体" w:hAnsi="宋体"/>
                <w:szCs w:val="21"/>
              </w:rPr>
              <w:t>16.投标人对本项目的合理化建议和改进措施（格式自拟）；（如</w:t>
            </w:r>
            <w:r>
              <w:rPr>
                <w:rFonts w:ascii="宋体" w:hAnsi="宋体"/>
                <w:szCs w:val="21"/>
              </w:rPr>
              <w:t>有</w:t>
            </w:r>
            <w:r>
              <w:rPr>
                <w:rFonts w:hint="eastAsia" w:ascii="宋体" w:hAnsi="宋体"/>
                <w:szCs w:val="21"/>
              </w:rPr>
              <w:t>，请</w:t>
            </w:r>
            <w:r>
              <w:rPr>
                <w:rFonts w:ascii="宋体" w:hAnsi="宋体"/>
                <w:szCs w:val="21"/>
              </w:rPr>
              <w:t>提供</w:t>
            </w:r>
            <w:r>
              <w:rPr>
                <w:rFonts w:hint="eastAsia" w:ascii="宋体" w:hAnsi="宋体"/>
                <w:szCs w:val="21"/>
              </w:rPr>
              <w:t>）</w:t>
            </w:r>
          </w:p>
          <w:p w14:paraId="464DA1B4">
            <w:pPr>
              <w:snapToGrid w:val="0"/>
              <w:spacing w:line="360" w:lineRule="exact"/>
              <w:ind w:left="413"/>
              <w:jc w:val="left"/>
              <w:rPr>
                <w:rFonts w:hint="eastAsia" w:ascii="宋体" w:hAnsi="宋体"/>
                <w:szCs w:val="21"/>
              </w:rPr>
            </w:pPr>
            <w:r>
              <w:rPr>
                <w:rFonts w:ascii="宋体" w:hAnsi="宋体"/>
                <w:szCs w:val="21"/>
              </w:rPr>
              <w:t>1</w:t>
            </w:r>
            <w:r>
              <w:rPr>
                <w:rFonts w:hint="eastAsia" w:ascii="宋体" w:hAnsi="宋体"/>
                <w:szCs w:val="21"/>
              </w:rPr>
              <w:t>7.除招标文件规定必须提供以外，投标人认为需要提供的其他证明材料（格式自拟）。</w:t>
            </w:r>
          </w:p>
          <w:p w14:paraId="161052D7">
            <w:pPr>
              <w:snapToGrid w:val="0"/>
              <w:spacing w:line="360" w:lineRule="exact"/>
              <w:ind w:left="413"/>
              <w:jc w:val="left"/>
              <w:rPr>
                <w:rFonts w:hint="eastAsia" w:ascii="宋体" w:hAnsi="宋体"/>
                <w:szCs w:val="21"/>
              </w:rPr>
            </w:pPr>
            <w:r>
              <w:rPr>
                <w:rFonts w:hint="eastAsia" w:ascii="宋体" w:hAnsi="宋体"/>
                <w:szCs w:val="21"/>
              </w:rPr>
              <w:t>（注：以上由投标人根据“第二章 采购需求”及“第四章 评标方法及评标标准”提供有关证明材料）。</w:t>
            </w:r>
          </w:p>
          <w:p w14:paraId="16669F2D">
            <w:pPr>
              <w:snapToGrid w:val="0"/>
              <w:spacing w:line="360" w:lineRule="exact"/>
              <w:ind w:firstLine="422" w:firstLineChars="200"/>
              <w:jc w:val="left"/>
              <w:rPr>
                <w:rFonts w:hint="eastAsia" w:ascii="宋体" w:hAnsi="宋体"/>
                <w:szCs w:val="21"/>
              </w:rPr>
            </w:pPr>
            <w:r>
              <w:rPr>
                <w:rFonts w:hint="eastAsia" w:ascii="宋体" w:hAnsi="宋体"/>
                <w:b/>
                <w:bCs/>
                <w:szCs w:val="21"/>
              </w:rPr>
              <w:t>注：以上标明“必须提供”的材料，格式中有要求法定代表人或者委托代理人签字的，必须按要求签字并加盖投标人电子签章，否则按无效投标处理。</w:t>
            </w:r>
          </w:p>
        </w:tc>
      </w:tr>
      <w:tr w14:paraId="351089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76" w:type="pct"/>
            <w:tcBorders>
              <w:top w:val="single" w:color="auto" w:sz="4" w:space="0"/>
              <w:left w:val="single" w:color="auto" w:sz="4" w:space="0"/>
              <w:bottom w:val="single" w:color="auto" w:sz="4" w:space="0"/>
              <w:right w:val="single" w:color="auto" w:sz="4" w:space="0"/>
            </w:tcBorders>
            <w:noWrap w:val="0"/>
            <w:vAlign w:val="center"/>
          </w:tcPr>
          <w:p w14:paraId="66BBB109">
            <w:pPr>
              <w:spacing w:line="360" w:lineRule="exact"/>
              <w:jc w:val="center"/>
              <w:rPr>
                <w:rFonts w:hint="eastAsia" w:ascii="宋体" w:hAnsi="宋体"/>
                <w:szCs w:val="21"/>
              </w:rPr>
            </w:pPr>
            <w:bookmarkStart w:id="91" w:name="_16.2"/>
            <w:bookmarkEnd w:id="91"/>
            <w:bookmarkStart w:id="92" w:name="_13.4"/>
            <w:bookmarkEnd w:id="92"/>
            <w:bookmarkStart w:id="93" w:name="_13.5"/>
            <w:bookmarkEnd w:id="93"/>
            <w:r>
              <w:rPr>
                <w:rFonts w:hint="eastAsia" w:ascii="宋体" w:hAnsi="宋体"/>
                <w:szCs w:val="21"/>
              </w:rPr>
              <w:t>16</w:t>
            </w:r>
            <w:bookmarkStart w:id="94" w:name="_Hlt19194067"/>
            <w:bookmarkStart w:id="95" w:name="_Hlt19194066"/>
            <w:bookmarkStart w:id="96" w:name="_Hlt19693758"/>
            <w:bookmarkStart w:id="97" w:name="_Hlt19693759"/>
            <w:r>
              <w:rPr>
                <w:rFonts w:hint="eastAsia" w:ascii="宋体" w:hAnsi="宋体"/>
                <w:szCs w:val="21"/>
              </w:rPr>
              <w:t>.</w:t>
            </w:r>
            <w:bookmarkEnd w:id="94"/>
            <w:bookmarkEnd w:id="95"/>
            <w:bookmarkEnd w:id="96"/>
            <w:bookmarkEnd w:id="97"/>
            <w:r>
              <w:rPr>
                <w:rFonts w:hint="eastAsia" w:ascii="宋体" w:hAnsi="宋体"/>
                <w:szCs w:val="21"/>
              </w:rPr>
              <w:t>2</w:t>
            </w:r>
          </w:p>
        </w:tc>
        <w:tc>
          <w:tcPr>
            <w:tcW w:w="4424" w:type="pct"/>
            <w:tcBorders>
              <w:top w:val="single" w:color="auto" w:sz="4" w:space="0"/>
              <w:left w:val="single" w:color="auto" w:sz="4" w:space="0"/>
              <w:bottom w:val="single" w:color="auto" w:sz="4" w:space="0"/>
              <w:right w:val="single" w:color="auto" w:sz="4" w:space="0"/>
            </w:tcBorders>
            <w:noWrap w:val="0"/>
            <w:vAlign w:val="center"/>
          </w:tcPr>
          <w:p w14:paraId="2CB123D7">
            <w:pPr>
              <w:snapToGrid w:val="0"/>
              <w:spacing w:line="360" w:lineRule="exact"/>
              <w:ind w:firstLine="420" w:firstLineChars="200"/>
              <w:rPr>
                <w:rFonts w:hint="eastAsia" w:ascii="宋体" w:hAnsi="宋体"/>
                <w:b/>
                <w:szCs w:val="21"/>
              </w:rPr>
            </w:pPr>
            <w:r>
              <w:rPr>
                <w:rFonts w:hint="eastAsia" w:ascii="宋体" w:hAnsi="宋体"/>
                <w:szCs w:val="21"/>
              </w:rPr>
              <w:t>投标报价是履行合同的最终价格，投标人的投标报价为人民币含税价，本项目实行总价包干且为采购人指定地点的现场交货价。具体</w:t>
            </w:r>
            <w:r>
              <w:rPr>
                <w:rFonts w:ascii="宋体" w:hAnsi="宋体"/>
                <w:szCs w:val="21"/>
              </w:rPr>
              <w:t>见</w:t>
            </w:r>
            <w:r>
              <w:rPr>
                <w:rFonts w:hint="eastAsia" w:ascii="宋体" w:hAnsi="宋体"/>
                <w:szCs w:val="21"/>
              </w:rPr>
              <w:t>本招</w:t>
            </w:r>
            <w:r>
              <w:rPr>
                <w:rFonts w:ascii="宋体" w:hAnsi="宋体"/>
                <w:szCs w:val="21"/>
              </w:rPr>
              <w:t>标文件第二</w:t>
            </w:r>
            <w:r>
              <w:rPr>
                <w:rFonts w:hint="eastAsia" w:ascii="宋体" w:hAnsi="宋体"/>
                <w:szCs w:val="21"/>
              </w:rPr>
              <w:t>章“商务要求”。</w:t>
            </w:r>
          </w:p>
        </w:tc>
      </w:tr>
      <w:tr w14:paraId="436C37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76" w:type="pct"/>
            <w:tcBorders>
              <w:top w:val="single" w:color="auto" w:sz="4" w:space="0"/>
              <w:left w:val="single" w:color="auto" w:sz="4" w:space="0"/>
              <w:bottom w:val="single" w:color="auto" w:sz="4" w:space="0"/>
              <w:right w:val="single" w:color="auto" w:sz="4" w:space="0"/>
            </w:tcBorders>
            <w:noWrap w:val="0"/>
            <w:vAlign w:val="center"/>
          </w:tcPr>
          <w:p w14:paraId="497F1C38">
            <w:pPr>
              <w:spacing w:line="360" w:lineRule="exact"/>
              <w:jc w:val="center"/>
              <w:rPr>
                <w:rFonts w:hint="eastAsia" w:ascii="宋体" w:hAnsi="宋体"/>
                <w:szCs w:val="21"/>
              </w:rPr>
            </w:pPr>
            <w:bookmarkStart w:id="98" w:name="_17.1"/>
            <w:bookmarkEnd w:id="98"/>
            <w:r>
              <w:rPr>
                <w:rFonts w:hint="eastAsia" w:ascii="宋体" w:hAnsi="宋体"/>
                <w:szCs w:val="21"/>
              </w:rPr>
              <w:t>17.</w:t>
            </w:r>
            <w:r>
              <w:rPr>
                <w:rFonts w:ascii="宋体" w:hAnsi="宋体"/>
                <w:szCs w:val="21"/>
              </w:rPr>
              <w:t>2</w:t>
            </w:r>
          </w:p>
        </w:tc>
        <w:tc>
          <w:tcPr>
            <w:tcW w:w="4424" w:type="pct"/>
            <w:tcBorders>
              <w:top w:val="single" w:color="auto" w:sz="4" w:space="0"/>
              <w:left w:val="single" w:color="auto" w:sz="4" w:space="0"/>
              <w:bottom w:val="single" w:color="auto" w:sz="4" w:space="0"/>
              <w:right w:val="single" w:color="auto" w:sz="4" w:space="0"/>
            </w:tcBorders>
            <w:noWrap w:val="0"/>
            <w:vAlign w:val="center"/>
          </w:tcPr>
          <w:p w14:paraId="21E1D9ED">
            <w:pPr>
              <w:snapToGrid w:val="0"/>
              <w:spacing w:line="360" w:lineRule="exact"/>
              <w:rPr>
                <w:rFonts w:hint="eastAsia" w:ascii="宋体" w:hAnsi="宋体"/>
                <w:szCs w:val="21"/>
              </w:rPr>
            </w:pPr>
            <w:r>
              <w:rPr>
                <w:rFonts w:hint="eastAsia" w:ascii="宋体" w:hAnsi="宋体"/>
                <w:szCs w:val="21"/>
              </w:rPr>
              <w:t>投标有效期：</w:t>
            </w:r>
            <w:r>
              <w:rPr>
                <w:rFonts w:hint="eastAsia" w:ascii="宋体" w:hAnsi="宋体"/>
                <w:b/>
                <w:szCs w:val="21"/>
              </w:rPr>
              <w:t>自投标截止之日起</w:t>
            </w:r>
            <w:r>
              <w:rPr>
                <w:rFonts w:ascii="宋体" w:hAnsi="宋体"/>
                <w:b/>
                <w:szCs w:val="21"/>
                <w:u w:val="single"/>
              </w:rPr>
              <w:t xml:space="preserve"> </w:t>
            </w:r>
            <w:r>
              <w:rPr>
                <w:rFonts w:hint="eastAsia" w:ascii="宋体" w:hAnsi="宋体"/>
                <w:b/>
                <w:szCs w:val="21"/>
                <w:u w:val="single"/>
              </w:rPr>
              <w:t>120</w:t>
            </w:r>
            <w:r>
              <w:rPr>
                <w:rFonts w:hint="eastAsia" w:ascii="宋体" w:hAnsi="宋体"/>
                <w:b/>
                <w:szCs w:val="21"/>
              </w:rPr>
              <w:t>日。</w:t>
            </w:r>
          </w:p>
        </w:tc>
      </w:tr>
      <w:tr w14:paraId="3D55C9E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76" w:type="pct"/>
            <w:tcBorders>
              <w:top w:val="single" w:color="auto" w:sz="4" w:space="0"/>
              <w:left w:val="single" w:color="auto" w:sz="4" w:space="0"/>
              <w:bottom w:val="single" w:color="auto" w:sz="4" w:space="0"/>
              <w:right w:val="single" w:color="auto" w:sz="4" w:space="0"/>
            </w:tcBorders>
            <w:noWrap w:val="0"/>
            <w:vAlign w:val="center"/>
          </w:tcPr>
          <w:p w14:paraId="0218E8D7">
            <w:pPr>
              <w:spacing w:line="360" w:lineRule="exact"/>
              <w:jc w:val="center"/>
              <w:rPr>
                <w:rFonts w:hint="eastAsia" w:ascii="宋体" w:hAnsi="宋体"/>
                <w:szCs w:val="21"/>
              </w:rPr>
            </w:pPr>
            <w:bookmarkStart w:id="99" w:name="_18"/>
            <w:bookmarkEnd w:id="99"/>
            <w:r>
              <w:rPr>
                <w:rFonts w:hint="eastAsia" w:ascii="宋体" w:hAnsi="宋体"/>
                <w:szCs w:val="21"/>
              </w:rPr>
              <w:t>18</w:t>
            </w:r>
            <w:r>
              <w:rPr>
                <w:rFonts w:ascii="宋体" w:hAnsi="宋体"/>
                <w:szCs w:val="21"/>
              </w:rPr>
              <w:t>.1</w:t>
            </w:r>
          </w:p>
        </w:tc>
        <w:tc>
          <w:tcPr>
            <w:tcW w:w="4424" w:type="pct"/>
            <w:tcBorders>
              <w:top w:val="single" w:color="auto" w:sz="4" w:space="0"/>
              <w:left w:val="single" w:color="auto" w:sz="4" w:space="0"/>
              <w:bottom w:val="single" w:color="auto" w:sz="4" w:space="0"/>
              <w:right w:val="single" w:color="auto" w:sz="4" w:space="0"/>
            </w:tcBorders>
            <w:noWrap w:val="0"/>
            <w:vAlign w:val="center"/>
          </w:tcPr>
          <w:p w14:paraId="74B103E6">
            <w:pPr>
              <w:autoSpaceDE w:val="0"/>
              <w:autoSpaceDN w:val="0"/>
              <w:snapToGrid w:val="0"/>
              <w:spacing w:line="360" w:lineRule="exact"/>
              <w:textAlignment w:val="bottom"/>
              <w:rPr>
                <w:rFonts w:ascii="宋体" w:hAnsi="宋体"/>
                <w:szCs w:val="21"/>
              </w:rPr>
            </w:pPr>
            <w:r>
              <w:rPr>
                <w:rFonts w:hint="eastAsia" w:ascii="宋体" w:hAnsi="宋体"/>
                <w:szCs w:val="21"/>
              </w:rPr>
              <w:t>□本项目不收取投标保证金。</w:t>
            </w:r>
          </w:p>
          <w:p w14:paraId="184B21BE">
            <w:pPr>
              <w:snapToGrid w:val="0"/>
              <w:spacing w:line="360" w:lineRule="exact"/>
              <w:rPr>
                <w:rFonts w:hint="eastAsia" w:ascii="宋体" w:hAnsi="宋体"/>
                <w:szCs w:val="21"/>
              </w:rPr>
            </w:pPr>
            <w:r>
              <w:rPr>
                <w:rFonts w:hint="eastAsia" w:ascii="MS Mincho" w:hAnsi="MS Mincho" w:eastAsia="MS Mincho" w:cs="MS Mincho"/>
              </w:rPr>
              <w:t>☑</w:t>
            </w:r>
            <w:r>
              <w:rPr>
                <w:rFonts w:hint="eastAsia" w:ascii="宋体" w:hAnsi="宋体"/>
                <w:szCs w:val="21"/>
              </w:rPr>
              <w:t>本项目收取投标保证金，具体规定如下：</w:t>
            </w:r>
          </w:p>
          <w:p w14:paraId="19A55295">
            <w:pPr>
              <w:snapToGrid w:val="0"/>
              <w:spacing w:line="360" w:lineRule="exact"/>
              <w:ind w:firstLine="420" w:firstLineChars="200"/>
              <w:rPr>
                <w:rFonts w:ascii="宋体" w:hAnsi="宋体" w:cs="宋体"/>
                <w:kern w:val="0"/>
                <w:szCs w:val="21"/>
              </w:rPr>
            </w:pPr>
            <w:r>
              <w:rPr>
                <w:rFonts w:hint="eastAsia" w:ascii="宋体" w:hAnsi="宋体" w:cs="宋体"/>
                <w:kern w:val="0"/>
                <w:szCs w:val="21"/>
                <w:u w:val="single"/>
              </w:rPr>
              <w:t>分标1</w:t>
            </w:r>
            <w:r>
              <w:rPr>
                <w:rFonts w:hint="eastAsia" w:ascii="宋体" w:hAnsi="宋体" w:cs="宋体"/>
                <w:kern w:val="0"/>
                <w:szCs w:val="21"/>
              </w:rPr>
              <w:t>：投标保证金人民币</w:t>
            </w:r>
            <w:r>
              <w:rPr>
                <w:rFonts w:hint="eastAsia" w:ascii="宋体" w:hAnsi="宋体" w:cs="宋体"/>
                <w:kern w:val="0"/>
                <w:szCs w:val="21"/>
                <w:u w:val="single"/>
              </w:rPr>
              <w:t xml:space="preserve"> 41000</w:t>
            </w:r>
            <w:r>
              <w:rPr>
                <w:rFonts w:ascii="宋体" w:hAnsi="宋体" w:cs="宋体"/>
                <w:kern w:val="0"/>
                <w:szCs w:val="21"/>
                <w:u w:val="single"/>
              </w:rPr>
              <w:t>.00</w:t>
            </w:r>
            <w:r>
              <w:rPr>
                <w:rFonts w:hint="eastAsia" w:ascii="宋体" w:hAnsi="宋体" w:cs="宋体"/>
                <w:kern w:val="0"/>
                <w:szCs w:val="21"/>
              </w:rPr>
              <w:t>元；</w:t>
            </w:r>
          </w:p>
          <w:p w14:paraId="18582EF6">
            <w:pPr>
              <w:snapToGrid w:val="0"/>
              <w:spacing w:line="360" w:lineRule="exact"/>
              <w:ind w:firstLine="420" w:firstLineChars="200"/>
              <w:rPr>
                <w:rFonts w:ascii="宋体" w:hAnsi="宋体" w:cs="宋体"/>
                <w:kern w:val="0"/>
                <w:szCs w:val="21"/>
              </w:rPr>
            </w:pPr>
            <w:r>
              <w:rPr>
                <w:rFonts w:hint="eastAsia" w:ascii="宋体" w:hAnsi="宋体" w:cs="宋体"/>
                <w:kern w:val="0"/>
                <w:szCs w:val="21"/>
                <w:u w:val="single"/>
              </w:rPr>
              <w:t>分标2</w:t>
            </w:r>
            <w:r>
              <w:rPr>
                <w:rFonts w:hint="eastAsia" w:ascii="宋体" w:hAnsi="宋体" w:cs="宋体"/>
                <w:kern w:val="0"/>
                <w:szCs w:val="21"/>
              </w:rPr>
              <w:t>：投标保证金人民币</w:t>
            </w:r>
            <w:r>
              <w:rPr>
                <w:rFonts w:hint="eastAsia" w:ascii="宋体" w:hAnsi="宋体" w:cs="宋体"/>
                <w:kern w:val="0"/>
                <w:szCs w:val="21"/>
                <w:u w:val="single"/>
              </w:rPr>
              <w:t xml:space="preserve"> 22000</w:t>
            </w:r>
            <w:r>
              <w:rPr>
                <w:rFonts w:ascii="宋体" w:hAnsi="宋体" w:cs="宋体"/>
                <w:kern w:val="0"/>
                <w:szCs w:val="21"/>
                <w:u w:val="single"/>
              </w:rPr>
              <w:t>.00</w:t>
            </w:r>
            <w:r>
              <w:rPr>
                <w:rFonts w:hint="eastAsia" w:ascii="宋体" w:hAnsi="宋体" w:cs="宋体"/>
                <w:kern w:val="0"/>
                <w:szCs w:val="21"/>
              </w:rPr>
              <w:t>元；</w:t>
            </w:r>
          </w:p>
          <w:p w14:paraId="356B0455">
            <w:pPr>
              <w:snapToGrid w:val="0"/>
              <w:spacing w:line="360" w:lineRule="exact"/>
              <w:ind w:firstLine="420" w:firstLineChars="200"/>
              <w:rPr>
                <w:rFonts w:ascii="宋体" w:hAnsi="宋体" w:cs="宋体"/>
                <w:kern w:val="0"/>
                <w:szCs w:val="21"/>
              </w:rPr>
            </w:pPr>
            <w:r>
              <w:rPr>
                <w:rFonts w:hint="eastAsia" w:ascii="宋体" w:hAnsi="宋体" w:cs="宋体"/>
                <w:kern w:val="0"/>
                <w:szCs w:val="21"/>
                <w:u w:val="single"/>
              </w:rPr>
              <w:t>分标3</w:t>
            </w:r>
            <w:r>
              <w:rPr>
                <w:rFonts w:hint="eastAsia" w:ascii="宋体" w:hAnsi="宋体" w:cs="宋体"/>
                <w:kern w:val="0"/>
                <w:szCs w:val="21"/>
              </w:rPr>
              <w:t>：投标保证金人民币</w:t>
            </w:r>
            <w:r>
              <w:rPr>
                <w:rFonts w:hint="eastAsia" w:ascii="宋体" w:hAnsi="宋体" w:cs="宋体"/>
                <w:kern w:val="0"/>
                <w:szCs w:val="21"/>
                <w:u w:val="single"/>
              </w:rPr>
              <w:t xml:space="preserve"> 64000</w:t>
            </w:r>
            <w:r>
              <w:rPr>
                <w:rFonts w:ascii="宋体" w:hAnsi="宋体" w:cs="宋体"/>
                <w:kern w:val="0"/>
                <w:szCs w:val="21"/>
                <w:u w:val="single"/>
              </w:rPr>
              <w:t>.00</w:t>
            </w:r>
            <w:r>
              <w:rPr>
                <w:rFonts w:hint="eastAsia" w:ascii="宋体" w:hAnsi="宋体" w:cs="宋体"/>
                <w:kern w:val="0"/>
                <w:szCs w:val="21"/>
              </w:rPr>
              <w:t>元；</w:t>
            </w:r>
          </w:p>
          <w:p w14:paraId="4C4BB42C">
            <w:pPr>
              <w:snapToGrid w:val="0"/>
              <w:spacing w:line="360" w:lineRule="exact"/>
              <w:ind w:firstLine="420" w:firstLineChars="200"/>
              <w:rPr>
                <w:rFonts w:hint="eastAsia" w:ascii="宋体" w:hAnsi="宋体" w:cs="宋体"/>
                <w:kern w:val="0"/>
                <w:szCs w:val="21"/>
              </w:rPr>
            </w:pPr>
            <w:r>
              <w:rPr>
                <w:rFonts w:hint="eastAsia" w:ascii="宋体" w:hAnsi="宋体" w:cs="宋体"/>
                <w:kern w:val="0"/>
                <w:szCs w:val="21"/>
                <w:u w:val="single"/>
              </w:rPr>
              <w:t>分标4</w:t>
            </w:r>
            <w:r>
              <w:rPr>
                <w:rFonts w:hint="eastAsia" w:ascii="宋体" w:hAnsi="宋体" w:cs="宋体"/>
                <w:kern w:val="0"/>
                <w:szCs w:val="21"/>
              </w:rPr>
              <w:t>：投标保证金人民币</w:t>
            </w:r>
            <w:r>
              <w:rPr>
                <w:rFonts w:hint="eastAsia" w:ascii="宋体" w:hAnsi="宋体" w:cs="宋体"/>
                <w:kern w:val="0"/>
                <w:szCs w:val="21"/>
                <w:u w:val="single"/>
              </w:rPr>
              <w:t xml:space="preserve"> 55000</w:t>
            </w:r>
            <w:r>
              <w:rPr>
                <w:rFonts w:ascii="宋体" w:hAnsi="宋体" w:cs="宋体"/>
                <w:kern w:val="0"/>
                <w:szCs w:val="21"/>
                <w:u w:val="single"/>
              </w:rPr>
              <w:t>.00</w:t>
            </w:r>
            <w:r>
              <w:rPr>
                <w:rFonts w:hint="eastAsia" w:ascii="宋体" w:hAnsi="宋体" w:cs="宋体"/>
                <w:kern w:val="0"/>
                <w:szCs w:val="21"/>
              </w:rPr>
              <w:t>元；</w:t>
            </w:r>
          </w:p>
          <w:p w14:paraId="5ED8092A">
            <w:pPr>
              <w:snapToGrid w:val="0"/>
              <w:spacing w:line="360" w:lineRule="exact"/>
              <w:ind w:firstLine="420" w:firstLineChars="200"/>
              <w:rPr>
                <w:rFonts w:hint="eastAsia" w:ascii="宋体" w:hAnsi="宋体" w:cs="宋体"/>
                <w:kern w:val="0"/>
                <w:szCs w:val="21"/>
              </w:rPr>
            </w:pPr>
            <w:r>
              <w:rPr>
                <w:rFonts w:hint="eastAsia" w:ascii="宋体" w:hAnsi="宋体" w:cs="宋体"/>
                <w:kern w:val="0"/>
                <w:szCs w:val="21"/>
                <w:u w:val="single"/>
              </w:rPr>
              <w:t>分标5</w:t>
            </w:r>
            <w:r>
              <w:rPr>
                <w:rFonts w:hint="eastAsia" w:ascii="宋体" w:hAnsi="宋体" w:cs="宋体"/>
                <w:kern w:val="0"/>
                <w:szCs w:val="21"/>
              </w:rPr>
              <w:t>：投标保证金人民币</w:t>
            </w:r>
            <w:r>
              <w:rPr>
                <w:rFonts w:hint="eastAsia" w:ascii="宋体" w:hAnsi="宋体" w:cs="宋体"/>
                <w:kern w:val="0"/>
                <w:szCs w:val="21"/>
                <w:u w:val="single"/>
              </w:rPr>
              <w:t xml:space="preserve"> 34000</w:t>
            </w:r>
            <w:r>
              <w:rPr>
                <w:rFonts w:ascii="宋体" w:hAnsi="宋体" w:cs="宋体"/>
                <w:kern w:val="0"/>
                <w:szCs w:val="21"/>
                <w:u w:val="single"/>
              </w:rPr>
              <w:t>.00</w:t>
            </w:r>
            <w:r>
              <w:rPr>
                <w:rFonts w:hint="eastAsia" w:ascii="宋体" w:hAnsi="宋体" w:cs="宋体"/>
                <w:kern w:val="0"/>
                <w:szCs w:val="21"/>
              </w:rPr>
              <w:t>元。</w:t>
            </w:r>
          </w:p>
          <w:p w14:paraId="6A34F59D">
            <w:pPr>
              <w:snapToGrid w:val="0"/>
              <w:spacing w:line="360" w:lineRule="exact"/>
              <w:ind w:firstLine="420" w:firstLineChars="200"/>
              <w:rPr>
                <w:rFonts w:hint="eastAsia" w:ascii="宋体" w:hAnsi="宋体"/>
                <w:szCs w:val="21"/>
              </w:rPr>
            </w:pPr>
            <w:r>
              <w:rPr>
                <w:rFonts w:hint="eastAsia" w:ascii="宋体" w:hAnsi="宋体" w:cs="宋体"/>
                <w:kern w:val="0"/>
                <w:szCs w:val="21"/>
              </w:rPr>
              <w:t>投标保证金的交纳方式：银行转账、支票、汇票、本票或者银行、保险机构出具的保函（包含电子保函），禁止采用现钞方式。采用银行转账方式的，在投标截止时间前从投标人账户交至指定账户并且到账【开户银行：</w:t>
            </w:r>
            <w:r>
              <w:rPr>
                <w:rFonts w:hint="eastAsia" w:ascii="宋体" w:hAnsi="宋体" w:cs="宋体"/>
                <w:kern w:val="0"/>
                <w:szCs w:val="21"/>
                <w:u w:val="single"/>
              </w:rPr>
              <w:t>中信银行南宁园湖支行</w:t>
            </w:r>
            <w:r>
              <w:rPr>
                <w:rFonts w:hint="eastAsia" w:ascii="宋体" w:hAnsi="宋体" w:cs="宋体"/>
                <w:kern w:val="0"/>
                <w:szCs w:val="21"/>
              </w:rPr>
              <w:t>，开户名称：</w:t>
            </w:r>
            <w:r>
              <w:rPr>
                <w:rFonts w:hint="eastAsia" w:ascii="宋体" w:hAnsi="宋体" w:cs="宋体"/>
                <w:kern w:val="0"/>
                <w:szCs w:val="21"/>
                <w:u w:val="single"/>
              </w:rPr>
              <w:t>云之龙咨询集团有限公司</w:t>
            </w:r>
            <w:r>
              <w:rPr>
                <w:rFonts w:hint="eastAsia" w:ascii="宋体" w:hAnsi="宋体" w:cs="宋体"/>
                <w:kern w:val="0"/>
                <w:szCs w:val="21"/>
              </w:rPr>
              <w:t>，银行账号：</w:t>
            </w:r>
            <w:r>
              <w:rPr>
                <w:rFonts w:ascii="宋体" w:hAnsi="宋体" w:cs="宋体"/>
                <w:kern w:val="0"/>
                <w:szCs w:val="21"/>
                <w:u w:val="single"/>
              </w:rPr>
              <w:t>8113001013400293071</w:t>
            </w:r>
            <w:r>
              <w:rPr>
                <w:rFonts w:hint="eastAsia" w:ascii="宋体" w:hAnsi="宋体" w:cs="宋体"/>
                <w:kern w:val="0"/>
                <w:szCs w:val="21"/>
                <w:u w:val="single"/>
              </w:rPr>
              <w:t>】</w:t>
            </w:r>
            <w:r>
              <w:rPr>
                <w:rFonts w:hint="eastAsia" w:ascii="宋体" w:hAnsi="宋体" w:cs="宋体"/>
                <w:kern w:val="0"/>
                <w:szCs w:val="21"/>
              </w:rPr>
              <w:t>；采用支票、汇票、本票或者保函等方式的，在投标截止时间前，投标人必须递交单独密封的支票、汇票、本票或者保函原件。否则</w:t>
            </w:r>
            <w:r>
              <w:rPr>
                <w:rFonts w:hint="eastAsia" w:ascii="宋体" w:hAnsi="宋体" w:cs="宋体"/>
                <w:b/>
                <w:bCs/>
                <w:kern w:val="0"/>
                <w:szCs w:val="21"/>
              </w:rPr>
              <w:t>视为无效投标保证金</w:t>
            </w:r>
            <w:r>
              <w:rPr>
                <w:rFonts w:hint="eastAsia" w:ascii="宋体" w:hAnsi="宋体" w:cs="宋体"/>
                <w:kern w:val="0"/>
                <w:szCs w:val="21"/>
              </w:rPr>
              <w:t>。</w:t>
            </w:r>
          </w:p>
          <w:p w14:paraId="10F58894">
            <w:pPr>
              <w:snapToGrid w:val="0"/>
              <w:spacing w:line="360" w:lineRule="exact"/>
              <w:rPr>
                <w:rFonts w:hint="eastAsia" w:ascii="宋体" w:hAnsi="宋体"/>
                <w:szCs w:val="21"/>
              </w:rPr>
            </w:pPr>
            <w:r>
              <w:rPr>
                <w:rFonts w:hint="eastAsia" w:ascii="宋体" w:hAnsi="宋体"/>
                <w:szCs w:val="21"/>
              </w:rPr>
              <w:t>相关要求：</w:t>
            </w:r>
          </w:p>
          <w:p w14:paraId="71CCCBA1">
            <w:pPr>
              <w:pStyle w:val="16"/>
              <w:spacing w:after="120" w:line="360" w:lineRule="exact"/>
              <w:ind w:firstLine="420" w:firstLineChars="200"/>
              <w:rPr>
                <w:rFonts w:ascii="宋体" w:hAnsi="宋体"/>
                <w:szCs w:val="21"/>
                <w:lang w:val="en-US" w:eastAsia="zh-CN"/>
              </w:rPr>
            </w:pPr>
            <w:r>
              <w:rPr>
                <w:rFonts w:hint="eastAsia" w:ascii="宋体" w:hAnsi="宋体"/>
                <w:szCs w:val="21"/>
                <w:lang w:val="en-US" w:eastAsia="zh-CN"/>
              </w:rPr>
              <w:t>1.投标保证金采用银行转账交纳方式的，在投标截止时间前交至指定账户并且到账，投标人应将银行转账底单的复印件作为投标保证金提交凭证，放置于商务及技术文件中，</w:t>
            </w:r>
            <w:r>
              <w:rPr>
                <w:rFonts w:hint="eastAsia" w:ascii="宋体" w:hAnsi="宋体"/>
                <w:b/>
                <w:szCs w:val="21"/>
                <w:lang w:val="en-US" w:eastAsia="zh-CN"/>
              </w:rPr>
              <w:t>否则投标无效</w:t>
            </w:r>
            <w:r>
              <w:rPr>
                <w:rFonts w:hint="eastAsia" w:ascii="宋体" w:hAnsi="宋体"/>
                <w:szCs w:val="21"/>
                <w:lang w:val="en-US" w:eastAsia="zh-CN"/>
              </w:rPr>
              <w:t>。</w:t>
            </w:r>
          </w:p>
          <w:p w14:paraId="7755C7CB">
            <w:pPr>
              <w:pStyle w:val="16"/>
              <w:spacing w:after="120" w:line="360" w:lineRule="exact"/>
              <w:ind w:firstLine="422" w:firstLineChars="200"/>
              <w:rPr>
                <w:rFonts w:ascii="宋体" w:hAnsi="宋体"/>
                <w:szCs w:val="21"/>
                <w:lang w:val="en-US" w:eastAsia="zh-CN"/>
              </w:rPr>
            </w:pPr>
            <w:r>
              <w:rPr>
                <w:rFonts w:hint="eastAsia" w:ascii="宋体" w:hAnsi="宋体"/>
                <w:b/>
                <w:lang w:val="en-US" w:eastAsia="zh-CN"/>
              </w:rPr>
              <w:t>▲</w:t>
            </w:r>
            <w:r>
              <w:rPr>
                <w:rFonts w:hint="eastAsia" w:ascii="宋体" w:hAnsi="宋体"/>
                <w:szCs w:val="21"/>
                <w:lang w:val="en-US" w:eastAsia="zh-CN"/>
              </w:rPr>
              <w:t>2.投标保证金采用支票、汇票、本票或者银行、保险机构出具的保函</w:t>
            </w:r>
            <w:r>
              <w:rPr>
                <w:rFonts w:hint="eastAsia" w:ascii="宋体" w:hAnsi="宋体" w:cs="宋体"/>
                <w:kern w:val="0"/>
                <w:szCs w:val="21"/>
                <w:lang w:val="en-US" w:eastAsia="zh-CN"/>
              </w:rPr>
              <w:t>（包含电子保函）</w:t>
            </w:r>
            <w:r>
              <w:rPr>
                <w:rFonts w:hint="eastAsia" w:ascii="宋体" w:hAnsi="宋体"/>
                <w:szCs w:val="21"/>
                <w:lang w:val="en-US" w:eastAsia="zh-CN"/>
              </w:rPr>
              <w:t>交纳方式的，投标人应将支票、汇票、本票或者银行、保险机构出具的保函</w:t>
            </w:r>
            <w:r>
              <w:rPr>
                <w:rFonts w:hint="eastAsia" w:ascii="宋体" w:hAnsi="宋体" w:cs="宋体"/>
                <w:kern w:val="0"/>
                <w:szCs w:val="21"/>
                <w:lang w:val="en-US" w:eastAsia="zh-CN"/>
              </w:rPr>
              <w:t>（包含电子保函）</w:t>
            </w:r>
            <w:r>
              <w:rPr>
                <w:rFonts w:hint="eastAsia" w:ascii="宋体" w:hAnsi="宋体"/>
                <w:szCs w:val="21"/>
                <w:lang w:val="en-US" w:eastAsia="zh-CN"/>
              </w:rPr>
              <w:t>的复印件作为投标保证金提交凭证，放置于商务及技术文件中，</w:t>
            </w:r>
            <w:r>
              <w:rPr>
                <w:rFonts w:hint="eastAsia" w:ascii="宋体" w:hAnsi="宋体"/>
                <w:b/>
                <w:szCs w:val="21"/>
                <w:lang w:val="en-US" w:eastAsia="zh-CN"/>
              </w:rPr>
              <w:t>否则投标无效</w:t>
            </w:r>
            <w:r>
              <w:rPr>
                <w:rFonts w:hint="eastAsia" w:ascii="宋体" w:hAnsi="宋体"/>
                <w:szCs w:val="21"/>
                <w:lang w:val="en-US" w:eastAsia="zh-CN"/>
              </w:rPr>
              <w:t>。</w:t>
            </w:r>
            <w:r>
              <w:rPr>
                <w:rFonts w:hint="eastAsia" w:ascii="宋体" w:hAnsi="宋体"/>
                <w:b/>
                <w:bCs/>
                <w:szCs w:val="21"/>
                <w:u w:val="single"/>
                <w:lang w:val="en-US" w:eastAsia="zh-CN"/>
              </w:rPr>
              <w:t>投标人必须在投标截止时间前采用现场或邮寄方式（现场及邮寄地址：南宁市良庆区云英路15号3号楼云之龙咨询集团大厦6楼，收件人：陈春华，联系方式：0771-2611898、2618118、2618199）将单独密封的支票、汇票、本票或者银行、保险机构出具的保函原件提交给采购代理机构，未按时提交的，投标无效</w:t>
            </w:r>
            <w:r>
              <w:rPr>
                <w:rFonts w:hint="eastAsia" w:ascii="宋体" w:hAnsi="宋体"/>
                <w:szCs w:val="21"/>
                <w:lang w:val="en-US" w:eastAsia="zh-CN"/>
              </w:rPr>
              <w:t>，由采购代理机构向投标人出具回执（邮寄方式的除外），并妥善保管。</w:t>
            </w:r>
          </w:p>
          <w:p w14:paraId="7826764A">
            <w:pPr>
              <w:pStyle w:val="16"/>
              <w:spacing w:after="120" w:line="360" w:lineRule="exact"/>
              <w:ind w:firstLine="420" w:firstLineChars="200"/>
              <w:rPr>
                <w:rFonts w:hint="eastAsia" w:ascii="宋体" w:hAnsi="宋体"/>
                <w:szCs w:val="21"/>
                <w:lang w:val="en-US" w:eastAsia="zh-CN"/>
              </w:rPr>
            </w:pPr>
            <w:r>
              <w:rPr>
                <w:rFonts w:hint="eastAsia" w:ascii="宋体" w:hAnsi="宋体"/>
                <w:szCs w:val="21"/>
                <w:lang w:val="en-US" w:eastAsia="zh-CN"/>
              </w:rPr>
              <w:t>3</w:t>
            </w:r>
            <w:r>
              <w:rPr>
                <w:rFonts w:ascii="宋体" w:hAnsi="宋体"/>
                <w:szCs w:val="21"/>
                <w:lang w:val="en-US" w:eastAsia="zh-CN"/>
              </w:rPr>
              <w:t>.</w:t>
            </w:r>
            <w:r>
              <w:rPr>
                <w:rFonts w:hint="eastAsia" w:ascii="宋体" w:hAnsi="宋体"/>
                <w:szCs w:val="21"/>
                <w:lang w:val="en-US" w:eastAsia="zh-CN"/>
              </w:rPr>
              <w:t>投标人为联合体的，可以由联合体中的一方或者多方共同交纳投标保证金，其交纳的保证金对联合体各方均具有约束力。</w:t>
            </w:r>
          </w:p>
          <w:p w14:paraId="3358E359">
            <w:pPr>
              <w:snapToGrid w:val="0"/>
              <w:spacing w:line="360" w:lineRule="exact"/>
              <w:rPr>
                <w:rFonts w:hint="eastAsia" w:ascii="宋体" w:hAnsi="宋体"/>
                <w:b/>
                <w:szCs w:val="21"/>
              </w:rPr>
            </w:pPr>
            <w:r>
              <w:rPr>
                <w:rFonts w:hint="eastAsia" w:ascii="宋体" w:hAnsi="宋体"/>
                <w:b/>
                <w:szCs w:val="21"/>
              </w:rPr>
              <w:t xml:space="preserve">备注： </w:t>
            </w:r>
          </w:p>
          <w:p w14:paraId="645C0678">
            <w:pPr>
              <w:snapToGrid w:val="0"/>
              <w:spacing w:line="360" w:lineRule="exact"/>
              <w:rPr>
                <w:rFonts w:hint="eastAsia" w:ascii="宋体" w:hAnsi="宋体"/>
                <w:b/>
                <w:szCs w:val="21"/>
              </w:rPr>
            </w:pPr>
            <w:r>
              <w:rPr>
                <w:rFonts w:hint="eastAsia" w:ascii="宋体" w:hAnsi="宋体"/>
                <w:b/>
                <w:szCs w:val="21"/>
              </w:rPr>
              <w:t>1.投标保证金在投标截止时间后提交的，或者不按规定交纳方式交纳的，或者未足额交纳的（包含保函额度不足的），视为无效投标保证金。</w:t>
            </w:r>
          </w:p>
          <w:p w14:paraId="3B54E19C">
            <w:pPr>
              <w:snapToGrid w:val="0"/>
              <w:spacing w:line="360" w:lineRule="exact"/>
              <w:rPr>
                <w:rFonts w:hint="eastAsia" w:ascii="宋体" w:hAnsi="宋体"/>
                <w:b/>
                <w:szCs w:val="21"/>
              </w:rPr>
            </w:pPr>
            <w:r>
              <w:rPr>
                <w:rFonts w:hint="eastAsia" w:ascii="宋体" w:hAnsi="宋体"/>
                <w:b/>
                <w:szCs w:val="21"/>
              </w:rPr>
              <w:t>2.投标人采用现钞方式或者从个人账户（自然人投标除外）转出的投标保证金，视为无效投标保证金。</w:t>
            </w:r>
          </w:p>
          <w:p w14:paraId="677DFC97">
            <w:pPr>
              <w:snapToGrid w:val="0"/>
              <w:spacing w:line="360" w:lineRule="exact"/>
              <w:rPr>
                <w:rFonts w:hint="eastAsia" w:ascii="宋体" w:hAnsi="宋体"/>
                <w:b/>
                <w:szCs w:val="21"/>
              </w:rPr>
            </w:pPr>
            <w:r>
              <w:rPr>
                <w:rFonts w:hint="eastAsia" w:ascii="宋体" w:hAnsi="宋体"/>
                <w:b/>
                <w:szCs w:val="21"/>
              </w:rPr>
              <w:t>3.支票、汇票或者本票出现无效或者背书情形的，视为无效投标保证金。</w:t>
            </w:r>
          </w:p>
          <w:p w14:paraId="06BE6158">
            <w:pPr>
              <w:snapToGrid w:val="0"/>
              <w:spacing w:line="360" w:lineRule="exact"/>
              <w:rPr>
                <w:rFonts w:hint="eastAsia" w:ascii="宋体" w:hAnsi="宋体"/>
                <w:b/>
                <w:szCs w:val="21"/>
              </w:rPr>
            </w:pPr>
            <w:r>
              <w:rPr>
                <w:rFonts w:hint="eastAsia" w:ascii="宋体" w:hAnsi="宋体"/>
                <w:b/>
                <w:szCs w:val="21"/>
              </w:rPr>
              <w:t>4.保函有效期低于投标有效期的，视为无效投标保证金。</w:t>
            </w:r>
          </w:p>
          <w:p w14:paraId="48F50DD1">
            <w:pPr>
              <w:snapToGrid w:val="0"/>
              <w:spacing w:line="360" w:lineRule="exact"/>
              <w:rPr>
                <w:rFonts w:hint="eastAsia" w:ascii="宋体" w:hAnsi="宋体"/>
                <w:szCs w:val="21"/>
              </w:rPr>
            </w:pPr>
            <w:r>
              <w:rPr>
                <w:rFonts w:hint="eastAsia" w:ascii="宋体" w:hAnsi="宋体"/>
                <w:b/>
                <w:szCs w:val="21"/>
              </w:rPr>
              <w:t>5.</w:t>
            </w:r>
            <w:r>
              <w:rPr>
                <w:rFonts w:hint="eastAsia" w:ascii="宋体" w:hAnsi="宋体"/>
                <w:b/>
                <w:szCs w:val="21"/>
                <w:u w:val="single"/>
              </w:rPr>
              <w:t>采用银行、保险机构出具保函的，必须为无条件保函，否则视为无效投标保证金。</w:t>
            </w:r>
            <w:r>
              <w:rPr>
                <w:rFonts w:hint="eastAsia" w:ascii="宋体" w:hAnsi="宋体"/>
                <w:b/>
                <w:szCs w:val="21"/>
                <w:u w:val="single"/>
              </w:rPr>
              <w:fldChar w:fldCharType="begin"/>
            </w:r>
            <w:r>
              <w:rPr>
                <w:rFonts w:hint="eastAsia" w:ascii="宋体" w:hAnsi="宋体"/>
                <w:b/>
                <w:szCs w:val="21"/>
                <w:u w:val="single"/>
              </w:rPr>
              <w:instrText xml:space="preserve"> = 1 \* GB3 </w:instrText>
            </w:r>
            <w:r>
              <w:rPr>
                <w:rFonts w:hint="eastAsia" w:ascii="宋体" w:hAnsi="宋体"/>
                <w:b/>
                <w:szCs w:val="21"/>
                <w:u w:val="single"/>
              </w:rPr>
              <w:fldChar w:fldCharType="separate"/>
            </w:r>
            <w:r>
              <w:rPr>
                <w:rFonts w:hint="eastAsia" w:ascii="宋体" w:hAnsi="宋体"/>
                <w:b/>
                <w:szCs w:val="21"/>
                <w:u w:val="single"/>
              </w:rPr>
              <w:t>①</w:t>
            </w:r>
            <w:r>
              <w:rPr>
                <w:rFonts w:hint="eastAsia" w:ascii="宋体" w:hAnsi="宋体"/>
                <w:b/>
                <w:szCs w:val="21"/>
                <w:u w:val="single"/>
              </w:rPr>
              <w:fldChar w:fldCharType="end"/>
            </w:r>
            <w:r>
              <w:rPr>
                <w:rFonts w:hint="eastAsia" w:ascii="宋体" w:hAnsi="宋体"/>
                <w:b/>
                <w:szCs w:val="21"/>
                <w:u w:val="single"/>
              </w:rPr>
              <w:t>投标人开具的保函必须具有明确有效的查询途径（二维码；或网址链接及查询方式）；</w:t>
            </w:r>
            <w:r>
              <w:rPr>
                <w:rFonts w:hint="eastAsia" w:ascii="宋体" w:hAnsi="宋体"/>
                <w:b/>
                <w:szCs w:val="21"/>
                <w:u w:val="single"/>
              </w:rPr>
              <w:fldChar w:fldCharType="begin"/>
            </w:r>
            <w:r>
              <w:rPr>
                <w:rFonts w:hint="eastAsia" w:ascii="宋体" w:hAnsi="宋体"/>
                <w:b/>
                <w:szCs w:val="21"/>
                <w:u w:val="single"/>
              </w:rPr>
              <w:instrText xml:space="preserve"> = 2 \* GB3 </w:instrText>
            </w:r>
            <w:r>
              <w:rPr>
                <w:rFonts w:hint="eastAsia" w:ascii="宋体" w:hAnsi="宋体"/>
                <w:b/>
                <w:szCs w:val="21"/>
                <w:u w:val="single"/>
              </w:rPr>
              <w:fldChar w:fldCharType="separate"/>
            </w:r>
            <w:r>
              <w:rPr>
                <w:rFonts w:hint="eastAsia" w:ascii="宋体" w:hAnsi="宋体"/>
                <w:b/>
                <w:szCs w:val="21"/>
                <w:u w:val="single"/>
              </w:rPr>
              <w:t>②</w:t>
            </w:r>
            <w:r>
              <w:rPr>
                <w:rFonts w:hint="eastAsia" w:ascii="宋体" w:hAnsi="宋体"/>
                <w:b/>
                <w:szCs w:val="21"/>
                <w:u w:val="single"/>
              </w:rPr>
              <w:fldChar w:fldCharType="end"/>
            </w:r>
            <w:r>
              <w:rPr>
                <w:rFonts w:hint="eastAsia" w:ascii="宋体" w:hAnsi="宋体"/>
                <w:b/>
                <w:szCs w:val="21"/>
                <w:u w:val="single"/>
              </w:rPr>
              <w:t>如选择银行保函，本次招标只接受由投标人开立基本账户的银行开具银行保函，否则视为无效投标保证金</w:t>
            </w:r>
            <w:r>
              <w:rPr>
                <w:rFonts w:hint="eastAsia" w:ascii="宋体" w:hAnsi="宋体"/>
                <w:b/>
                <w:szCs w:val="21"/>
              </w:rPr>
              <w:t>。</w:t>
            </w:r>
          </w:p>
        </w:tc>
      </w:tr>
      <w:tr w14:paraId="7A19E2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76" w:type="pct"/>
            <w:tcBorders>
              <w:top w:val="single" w:color="auto" w:sz="4" w:space="0"/>
              <w:left w:val="single" w:color="auto" w:sz="4" w:space="0"/>
              <w:bottom w:val="single" w:color="auto" w:sz="4" w:space="0"/>
              <w:right w:val="single" w:color="auto" w:sz="4" w:space="0"/>
            </w:tcBorders>
            <w:noWrap w:val="0"/>
            <w:vAlign w:val="center"/>
          </w:tcPr>
          <w:p w14:paraId="43A940F2">
            <w:pPr>
              <w:spacing w:line="360" w:lineRule="exact"/>
              <w:jc w:val="center"/>
              <w:rPr>
                <w:rFonts w:hint="eastAsia" w:ascii="宋体" w:hAnsi="宋体"/>
                <w:szCs w:val="21"/>
              </w:rPr>
            </w:pPr>
            <w:bookmarkStart w:id="100" w:name="_19.2"/>
            <w:bookmarkEnd w:id="100"/>
            <w:r>
              <w:rPr>
                <w:rFonts w:hint="eastAsia" w:ascii="宋体" w:hAnsi="宋体"/>
                <w:szCs w:val="21"/>
              </w:rPr>
              <w:t>20</w:t>
            </w:r>
          </w:p>
        </w:tc>
        <w:tc>
          <w:tcPr>
            <w:tcW w:w="4424" w:type="pct"/>
            <w:tcBorders>
              <w:top w:val="single" w:color="auto" w:sz="4" w:space="0"/>
              <w:left w:val="single" w:color="auto" w:sz="4" w:space="0"/>
              <w:bottom w:val="single" w:color="auto" w:sz="4" w:space="0"/>
              <w:right w:val="single" w:color="auto" w:sz="4" w:space="0"/>
            </w:tcBorders>
            <w:noWrap w:val="0"/>
            <w:vAlign w:val="center"/>
          </w:tcPr>
          <w:p w14:paraId="690F8CB3">
            <w:pPr>
              <w:autoSpaceDE w:val="0"/>
              <w:autoSpaceDN w:val="0"/>
              <w:adjustRightInd w:val="0"/>
              <w:spacing w:line="360" w:lineRule="exact"/>
              <w:textAlignment w:val="bottom"/>
              <w:rPr>
                <w:rFonts w:ascii="宋体" w:hAnsi="宋体"/>
                <w:szCs w:val="21"/>
              </w:rPr>
            </w:pPr>
            <w:r>
              <w:rPr>
                <w:rFonts w:ascii="Segoe UI Emoji" w:hAnsi="Segoe UI Emoji" w:cs="Segoe UI Emoji"/>
              </w:rPr>
              <w:t>☑</w:t>
            </w:r>
            <w:r>
              <w:rPr>
                <w:rFonts w:hint="eastAsia" w:ascii="宋体" w:hAnsi="宋体"/>
                <w:szCs w:val="21"/>
              </w:rPr>
              <w:t>本项目不接受</w:t>
            </w:r>
            <w:r>
              <w:rPr>
                <w:rFonts w:hint="eastAsia"/>
              </w:rPr>
              <w:t>电子</w:t>
            </w:r>
            <w:r>
              <w:rPr>
                <w:rFonts w:hint="eastAsia" w:ascii="宋体" w:hAnsi="宋体"/>
                <w:szCs w:val="21"/>
              </w:rPr>
              <w:t>备份投标文件；</w:t>
            </w:r>
          </w:p>
          <w:p w14:paraId="3837F175">
            <w:pPr>
              <w:autoSpaceDE w:val="0"/>
              <w:autoSpaceDN w:val="0"/>
              <w:adjustRightInd w:val="0"/>
              <w:spacing w:line="360" w:lineRule="exact"/>
              <w:textAlignment w:val="bottom"/>
              <w:rPr>
                <w:rFonts w:hint="eastAsia"/>
              </w:rPr>
            </w:pPr>
            <w:r>
              <w:rPr>
                <w:rFonts w:hint="eastAsia" w:ascii="宋体" w:hAnsi="宋体"/>
                <w:szCs w:val="21"/>
              </w:rPr>
              <w:t>□</w:t>
            </w:r>
            <w:r>
              <w:rPr>
                <w:rFonts w:hint="eastAsia"/>
              </w:rPr>
              <w:t>本项目接受电子备份投标文件。</w:t>
            </w:r>
          </w:p>
          <w:p w14:paraId="7E8477FD">
            <w:pPr>
              <w:autoSpaceDE w:val="0"/>
              <w:autoSpaceDN w:val="0"/>
              <w:adjustRightInd w:val="0"/>
              <w:spacing w:line="360" w:lineRule="exact"/>
              <w:ind w:firstLine="420" w:firstLineChars="200"/>
              <w:textAlignment w:val="bottom"/>
            </w:pPr>
            <w:r>
              <w:rPr>
                <w:rFonts w:hint="eastAsia"/>
              </w:rPr>
              <w:t>电子</w:t>
            </w:r>
            <w:r>
              <w:rPr>
                <w:rFonts w:hint="eastAsia" w:ascii="宋体" w:hAnsi="宋体"/>
                <w:szCs w:val="21"/>
              </w:rPr>
              <w:t>备份投标文件</w:t>
            </w:r>
            <w:r>
              <w:rPr>
                <w:rFonts w:hint="eastAsia"/>
              </w:rPr>
              <w:t>提交方式：投标人可以在投标截止时间前采用以下</w:t>
            </w:r>
            <w:r>
              <w:rPr>
                <w:u w:val="single"/>
              </w:rPr>
              <w:t xml:space="preserve">  /  </w:t>
            </w:r>
            <w:r>
              <w:rPr>
                <w:rFonts w:hint="eastAsia"/>
              </w:rPr>
              <w:t>种方式向采购代理机构提交电子备份投标文件：</w:t>
            </w:r>
          </w:p>
          <w:p w14:paraId="518BB328">
            <w:pPr>
              <w:autoSpaceDE w:val="0"/>
              <w:autoSpaceDN w:val="0"/>
              <w:adjustRightInd w:val="0"/>
              <w:spacing w:line="360" w:lineRule="exact"/>
              <w:textAlignment w:val="bottom"/>
            </w:pPr>
            <w:r>
              <w:rPr>
                <w:rFonts w:hint="eastAsia"/>
              </w:rPr>
              <w:t>（</w:t>
            </w:r>
            <w:r>
              <w:t>1</w:t>
            </w:r>
            <w:r>
              <w:rPr>
                <w:rFonts w:hint="eastAsia"/>
              </w:rPr>
              <w:t>）现场提交方式，应采用</w:t>
            </w:r>
            <w:r>
              <w:t>U</w:t>
            </w:r>
            <w:r>
              <w:rPr>
                <w:rFonts w:hint="eastAsia"/>
              </w:rPr>
              <w:t>盘进行存储，提交地址：</w:t>
            </w:r>
            <w:r>
              <w:rPr>
                <w:rFonts w:hint="eastAsia" w:ascii="宋体" w:hAnsi="宋体"/>
                <w:szCs w:val="21"/>
                <w:u w:val="single"/>
              </w:rPr>
              <w:t xml:space="preserve">  </w:t>
            </w:r>
            <w:r>
              <w:rPr>
                <w:rFonts w:ascii="宋体" w:hAnsi="宋体"/>
                <w:szCs w:val="21"/>
                <w:u w:val="single"/>
              </w:rPr>
              <w:t>/</w:t>
            </w:r>
            <w:r>
              <w:rPr>
                <w:rFonts w:hint="eastAsia" w:ascii="宋体" w:hAnsi="宋体"/>
                <w:szCs w:val="21"/>
                <w:u w:val="single"/>
              </w:rPr>
              <w:t xml:space="preserve">  </w:t>
            </w:r>
            <w:r>
              <w:rPr>
                <w:rFonts w:hint="eastAsia"/>
              </w:rPr>
              <w:t>；提交截止时间：</w:t>
            </w:r>
            <w:r>
              <w:rPr>
                <w:rFonts w:hint="eastAsia" w:ascii="宋体" w:hAnsi="宋体"/>
                <w:szCs w:val="21"/>
                <w:u w:val="single"/>
              </w:rPr>
              <w:t xml:space="preserve">  </w:t>
            </w:r>
            <w:r>
              <w:rPr>
                <w:rFonts w:ascii="宋体" w:hAnsi="宋体"/>
                <w:szCs w:val="21"/>
                <w:u w:val="single"/>
              </w:rPr>
              <w:t>/</w:t>
            </w:r>
            <w:r>
              <w:rPr>
                <w:rFonts w:hint="eastAsia" w:ascii="宋体" w:hAnsi="宋体"/>
                <w:szCs w:val="21"/>
                <w:u w:val="single"/>
              </w:rPr>
              <w:t xml:space="preserve">  </w:t>
            </w:r>
            <w:r>
              <w:rPr>
                <w:rFonts w:hint="eastAsia"/>
              </w:rPr>
              <w:t>；外包装上注明投标人名称、项目名称及项目编号（外包装不作密封要求）。</w:t>
            </w:r>
          </w:p>
          <w:p w14:paraId="534EECE3">
            <w:pPr>
              <w:autoSpaceDE w:val="0"/>
              <w:autoSpaceDN w:val="0"/>
              <w:adjustRightInd w:val="0"/>
              <w:spacing w:line="360" w:lineRule="exact"/>
              <w:textAlignment w:val="bottom"/>
            </w:pPr>
            <w:r>
              <w:rPr>
                <w:rFonts w:hint="eastAsia"/>
              </w:rPr>
              <w:t>（</w:t>
            </w:r>
            <w:r>
              <w:t>2</w:t>
            </w:r>
            <w:r>
              <w:rPr>
                <w:rFonts w:hint="eastAsia"/>
              </w:rPr>
              <w:t>）电子邮件方式，接收电子备份投标文件的电子邮箱为：</w:t>
            </w:r>
            <w:r>
              <w:rPr>
                <w:u w:val="single"/>
              </w:rPr>
              <w:t xml:space="preserve">    /    </w:t>
            </w:r>
            <w:r>
              <w:rPr>
                <w:rFonts w:hint="eastAsia"/>
              </w:rPr>
              <w:t>。</w:t>
            </w:r>
          </w:p>
          <w:p w14:paraId="2D887217">
            <w:pPr>
              <w:pStyle w:val="16"/>
              <w:spacing w:line="360" w:lineRule="exact"/>
              <w:rPr>
                <w:lang w:val="en-US" w:eastAsia="zh-CN"/>
              </w:rPr>
            </w:pPr>
            <w:r>
              <w:rPr>
                <w:rFonts w:hint="eastAsia"/>
                <w:lang w:val="en-US" w:eastAsia="zh-CN"/>
              </w:rPr>
              <w:t>（</w:t>
            </w:r>
            <w:r>
              <w:rPr>
                <w:lang w:val="en-US" w:eastAsia="zh-CN"/>
              </w:rPr>
              <w:t>3</w:t>
            </w:r>
            <w:r>
              <w:rPr>
                <w:rFonts w:hint="eastAsia"/>
                <w:lang w:val="en-US" w:eastAsia="zh-CN"/>
              </w:rPr>
              <w:t>）邮寄方式，应采用</w:t>
            </w:r>
            <w:r>
              <w:rPr>
                <w:lang w:val="en-US" w:eastAsia="zh-CN"/>
              </w:rPr>
              <w:t>U</w:t>
            </w:r>
            <w:r>
              <w:rPr>
                <w:rFonts w:hint="eastAsia"/>
                <w:lang w:val="en-US" w:eastAsia="zh-CN"/>
              </w:rPr>
              <w:t>盘进行存储，邮寄地址：</w:t>
            </w:r>
            <w:r>
              <w:rPr>
                <w:u w:val="single"/>
                <w:lang w:val="en-US" w:eastAsia="zh-CN"/>
              </w:rPr>
              <w:t xml:space="preserve">  /  </w:t>
            </w:r>
            <w:r>
              <w:rPr>
                <w:rFonts w:hint="eastAsia"/>
                <w:lang w:val="en-US" w:eastAsia="zh-CN"/>
              </w:rPr>
              <w:t>，截止接收时间：</w:t>
            </w:r>
            <w:r>
              <w:rPr>
                <w:u w:val="single"/>
                <w:lang w:val="en-US" w:eastAsia="zh-CN"/>
              </w:rPr>
              <w:t xml:space="preserve">  /  </w:t>
            </w:r>
            <w:r>
              <w:rPr>
                <w:rFonts w:hint="eastAsia"/>
                <w:lang w:val="en-US" w:eastAsia="zh-CN"/>
              </w:rPr>
              <w:t>，</w:t>
            </w:r>
          </w:p>
          <w:p w14:paraId="1F11AF74">
            <w:pPr>
              <w:autoSpaceDE w:val="0"/>
              <w:autoSpaceDN w:val="0"/>
              <w:adjustRightInd w:val="0"/>
              <w:spacing w:line="360" w:lineRule="exact"/>
              <w:textAlignment w:val="bottom"/>
            </w:pPr>
            <w:r>
              <w:rPr>
                <w:rFonts w:hint="eastAsia"/>
              </w:rPr>
              <w:t>收件人：</w:t>
            </w:r>
            <w:r>
              <w:rPr>
                <w:u w:val="single"/>
              </w:rPr>
              <w:t xml:space="preserve">  /  </w:t>
            </w:r>
            <w:r>
              <w:rPr>
                <w:rFonts w:hint="eastAsia"/>
              </w:rPr>
              <w:t>，联系方式：</w:t>
            </w:r>
            <w:r>
              <w:rPr>
                <w:u w:val="single"/>
              </w:rPr>
              <w:t xml:space="preserve">  /  </w:t>
            </w:r>
            <w:r>
              <w:rPr>
                <w:rFonts w:hint="eastAsia"/>
              </w:rPr>
              <w:t>；外包装上注明投标人名称、项目名称及项目编号（外包装不作密封要求）。</w:t>
            </w:r>
            <w:r>
              <w:t xml:space="preserve"> </w:t>
            </w:r>
          </w:p>
          <w:p w14:paraId="4B7A6B50">
            <w:pPr>
              <w:autoSpaceDE w:val="0"/>
              <w:autoSpaceDN w:val="0"/>
              <w:snapToGrid w:val="0"/>
              <w:spacing w:line="360" w:lineRule="exact"/>
              <w:ind w:firstLine="420" w:firstLineChars="200"/>
              <w:textAlignment w:val="bottom"/>
              <w:rPr>
                <w:rFonts w:hint="eastAsia"/>
              </w:rPr>
            </w:pPr>
            <w:r>
              <w:rPr>
                <w:rFonts w:hint="eastAsia"/>
              </w:rPr>
              <w:t>投标人未按上述规定提交的电子备份投标文件，采购代理机构不予接收或承认。若电子加密投标文件解密成功，电子备份投标文件自动失效。若投标人无法在规定的时间内解密投标文件或者解密失败的，采购代理机构将电子备份投标文件按“广西政府采购云平台”操作规范上传至“广西政府采购云平台”，电子备份投标文件上传成功后，投标人原上传的电子加密投标文件自动失效。若投标人在规定时间内无法解密或解密失败且未提供电子备份投标文件的（包含提供的电子备份投标文件无效或无法解读的情况），</w:t>
            </w:r>
            <w:r>
              <w:rPr>
                <w:rFonts w:hint="eastAsia"/>
                <w:b/>
              </w:rPr>
              <w:t>投标人的投标文件作无效处理</w:t>
            </w:r>
            <w:r>
              <w:rPr>
                <w:rFonts w:hint="eastAsia"/>
              </w:rPr>
              <w:t>。</w:t>
            </w:r>
          </w:p>
        </w:tc>
      </w:tr>
      <w:tr w14:paraId="35C6D4A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76" w:hRule="atLeast"/>
        </w:trPr>
        <w:tc>
          <w:tcPr>
            <w:tcW w:w="576" w:type="pct"/>
            <w:tcBorders>
              <w:top w:val="single" w:color="auto" w:sz="4" w:space="0"/>
              <w:left w:val="single" w:color="auto" w:sz="4" w:space="0"/>
              <w:bottom w:val="single" w:color="auto" w:sz="4" w:space="0"/>
              <w:right w:val="single" w:color="auto" w:sz="4" w:space="0"/>
            </w:tcBorders>
            <w:noWrap w:val="0"/>
            <w:vAlign w:val="center"/>
          </w:tcPr>
          <w:p w14:paraId="25DEB0A0">
            <w:pPr>
              <w:spacing w:line="360" w:lineRule="exact"/>
              <w:jc w:val="center"/>
              <w:rPr>
                <w:rFonts w:hint="eastAsia" w:ascii="宋体" w:hAnsi="宋体"/>
                <w:szCs w:val="21"/>
              </w:rPr>
            </w:pPr>
            <w:bookmarkStart w:id="101" w:name="_21.1"/>
            <w:bookmarkEnd w:id="101"/>
            <w:r>
              <w:rPr>
                <w:rFonts w:hint="eastAsia" w:ascii="宋体" w:hAnsi="宋体"/>
                <w:szCs w:val="21"/>
              </w:rPr>
              <w:t>21.1</w:t>
            </w:r>
          </w:p>
        </w:tc>
        <w:tc>
          <w:tcPr>
            <w:tcW w:w="4424" w:type="pct"/>
            <w:tcBorders>
              <w:top w:val="single" w:color="auto" w:sz="4" w:space="0"/>
              <w:left w:val="single" w:color="auto" w:sz="4" w:space="0"/>
              <w:bottom w:val="single" w:color="auto" w:sz="4" w:space="0"/>
              <w:right w:val="single" w:color="auto" w:sz="4" w:space="0"/>
            </w:tcBorders>
            <w:noWrap w:val="0"/>
            <w:vAlign w:val="center"/>
          </w:tcPr>
          <w:p w14:paraId="45B3F904">
            <w:pPr>
              <w:snapToGrid w:val="0"/>
              <w:spacing w:line="360" w:lineRule="exact"/>
              <w:rPr>
                <w:rFonts w:hint="eastAsia" w:ascii="宋体" w:hAnsi="宋体"/>
                <w:szCs w:val="21"/>
                <w:u w:val="single"/>
              </w:rPr>
            </w:pPr>
            <w:r>
              <w:rPr>
                <w:rFonts w:hint="eastAsia" w:ascii="宋体" w:hAnsi="宋体"/>
                <w:szCs w:val="21"/>
              </w:rPr>
              <w:t>1.提交投标文件截止时间：详见招标公告</w:t>
            </w:r>
          </w:p>
          <w:p w14:paraId="736EB0BA">
            <w:pPr>
              <w:snapToGrid w:val="0"/>
              <w:spacing w:line="360" w:lineRule="exact"/>
              <w:rPr>
                <w:rFonts w:hint="eastAsia" w:ascii="宋体" w:hAnsi="宋体"/>
                <w:szCs w:val="21"/>
              </w:rPr>
            </w:pPr>
            <w:r>
              <w:rPr>
                <w:rFonts w:hint="eastAsia" w:ascii="宋体" w:hAnsi="宋体"/>
                <w:szCs w:val="21"/>
              </w:rPr>
              <w:t>2.投标地点：详见招标公告</w:t>
            </w:r>
          </w:p>
        </w:tc>
      </w:tr>
      <w:tr w14:paraId="227789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76" w:type="pct"/>
            <w:tcBorders>
              <w:top w:val="single" w:color="auto" w:sz="4" w:space="0"/>
              <w:left w:val="single" w:color="auto" w:sz="4" w:space="0"/>
              <w:bottom w:val="single" w:color="auto" w:sz="4" w:space="0"/>
              <w:right w:val="single" w:color="auto" w:sz="4" w:space="0"/>
            </w:tcBorders>
            <w:noWrap w:val="0"/>
            <w:vAlign w:val="center"/>
          </w:tcPr>
          <w:p w14:paraId="542C9101">
            <w:pPr>
              <w:spacing w:line="360" w:lineRule="exact"/>
              <w:jc w:val="center"/>
              <w:rPr>
                <w:rFonts w:hint="eastAsia" w:ascii="宋体" w:hAnsi="宋体"/>
                <w:szCs w:val="21"/>
              </w:rPr>
            </w:pPr>
            <w:bookmarkStart w:id="102" w:name="_23"/>
            <w:bookmarkEnd w:id="102"/>
            <w:r>
              <w:rPr>
                <w:rFonts w:hint="eastAsia" w:ascii="宋体" w:hAnsi="宋体"/>
                <w:szCs w:val="21"/>
              </w:rPr>
              <w:t>23</w:t>
            </w:r>
          </w:p>
        </w:tc>
        <w:tc>
          <w:tcPr>
            <w:tcW w:w="4424" w:type="pct"/>
            <w:tcBorders>
              <w:top w:val="single" w:color="auto" w:sz="4" w:space="0"/>
              <w:left w:val="single" w:color="auto" w:sz="4" w:space="0"/>
              <w:bottom w:val="single" w:color="auto" w:sz="4" w:space="0"/>
              <w:right w:val="single" w:color="auto" w:sz="4" w:space="0"/>
            </w:tcBorders>
            <w:noWrap w:val="0"/>
            <w:vAlign w:val="center"/>
          </w:tcPr>
          <w:p w14:paraId="7403D1C4">
            <w:pPr>
              <w:snapToGrid w:val="0"/>
              <w:spacing w:line="360" w:lineRule="exact"/>
              <w:rPr>
                <w:rFonts w:hint="eastAsia" w:ascii="宋体" w:hAnsi="宋体"/>
                <w:szCs w:val="21"/>
              </w:rPr>
            </w:pPr>
            <w:r>
              <w:rPr>
                <w:rFonts w:hint="eastAsia" w:ascii="宋体" w:hAnsi="宋体"/>
                <w:szCs w:val="21"/>
              </w:rPr>
              <w:t>1.开标时间：详见招标公告</w:t>
            </w:r>
          </w:p>
          <w:p w14:paraId="15A45FEB">
            <w:pPr>
              <w:snapToGrid w:val="0"/>
              <w:spacing w:line="360" w:lineRule="exact"/>
              <w:rPr>
                <w:rFonts w:hint="eastAsia" w:ascii="宋体" w:hAnsi="宋体"/>
                <w:szCs w:val="21"/>
              </w:rPr>
            </w:pPr>
            <w:r>
              <w:rPr>
                <w:rFonts w:hint="eastAsia" w:ascii="宋体" w:hAnsi="宋体"/>
                <w:szCs w:val="21"/>
              </w:rPr>
              <w:t>2.开标地点：详见招标公告</w:t>
            </w:r>
          </w:p>
        </w:tc>
      </w:tr>
      <w:tr w14:paraId="6CA28F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76" w:type="pct"/>
            <w:tcBorders>
              <w:top w:val="single" w:color="auto" w:sz="4" w:space="0"/>
              <w:left w:val="single" w:color="auto" w:sz="4" w:space="0"/>
              <w:bottom w:val="single" w:color="auto" w:sz="4" w:space="0"/>
              <w:right w:val="single" w:color="auto" w:sz="4" w:space="0"/>
            </w:tcBorders>
            <w:noWrap w:val="0"/>
            <w:vAlign w:val="center"/>
          </w:tcPr>
          <w:p w14:paraId="6176C395">
            <w:pPr>
              <w:spacing w:line="360" w:lineRule="exact"/>
              <w:jc w:val="center"/>
              <w:rPr>
                <w:rFonts w:hint="eastAsia" w:ascii="宋体" w:hAnsi="宋体"/>
                <w:szCs w:val="21"/>
              </w:rPr>
            </w:pPr>
            <w:r>
              <w:rPr>
                <w:rFonts w:hint="eastAsia" w:ascii="宋体" w:hAnsi="宋体"/>
                <w:szCs w:val="21"/>
              </w:rPr>
              <w:t>24.3（1）</w:t>
            </w:r>
          </w:p>
        </w:tc>
        <w:tc>
          <w:tcPr>
            <w:tcW w:w="4424" w:type="pct"/>
            <w:tcBorders>
              <w:top w:val="single" w:color="auto" w:sz="4" w:space="0"/>
              <w:left w:val="single" w:color="auto" w:sz="4" w:space="0"/>
              <w:bottom w:val="single" w:color="auto" w:sz="4" w:space="0"/>
              <w:right w:val="single" w:color="auto" w:sz="4" w:space="0"/>
            </w:tcBorders>
            <w:noWrap w:val="0"/>
            <w:vAlign w:val="center"/>
          </w:tcPr>
          <w:p w14:paraId="6F2043CB">
            <w:pPr>
              <w:snapToGrid w:val="0"/>
              <w:spacing w:line="360" w:lineRule="exact"/>
              <w:rPr>
                <w:rFonts w:hint="eastAsia" w:ascii="宋体" w:hAnsi="宋体"/>
                <w:b/>
                <w:szCs w:val="21"/>
                <w:u w:val="single"/>
              </w:rPr>
            </w:pPr>
            <w:r>
              <w:rPr>
                <w:rFonts w:hint="eastAsia" w:ascii="宋体" w:hAnsi="宋体"/>
                <w:b/>
                <w:szCs w:val="21"/>
              </w:rPr>
              <w:t>电子投标文件解密时间：</w:t>
            </w:r>
            <w:r>
              <w:rPr>
                <w:rFonts w:hint="eastAsia" w:ascii="宋体" w:hAnsi="宋体"/>
                <w:b/>
                <w:szCs w:val="21"/>
                <w:u w:val="single"/>
              </w:rPr>
              <w:t xml:space="preserve"> </w:t>
            </w:r>
            <w:r>
              <w:rPr>
                <w:rFonts w:ascii="宋体" w:hAnsi="宋体"/>
                <w:b/>
                <w:szCs w:val="21"/>
                <w:u w:val="single"/>
              </w:rPr>
              <w:t>30</w:t>
            </w:r>
            <w:r>
              <w:rPr>
                <w:rFonts w:hint="eastAsia" w:ascii="宋体" w:hAnsi="宋体"/>
                <w:b/>
                <w:szCs w:val="21"/>
                <w:u w:val="single"/>
              </w:rPr>
              <w:t xml:space="preserve"> </w:t>
            </w:r>
            <w:r>
              <w:rPr>
                <w:rFonts w:hint="eastAsia" w:ascii="宋体" w:hAnsi="宋体"/>
                <w:b/>
                <w:szCs w:val="21"/>
              </w:rPr>
              <w:t>分钟。</w:t>
            </w:r>
          </w:p>
        </w:tc>
      </w:tr>
      <w:tr w14:paraId="6FA573F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76" w:type="pct"/>
            <w:tcBorders>
              <w:top w:val="single" w:color="auto" w:sz="4" w:space="0"/>
              <w:left w:val="single" w:color="auto" w:sz="4" w:space="0"/>
              <w:bottom w:val="single" w:color="auto" w:sz="4" w:space="0"/>
              <w:right w:val="single" w:color="auto" w:sz="4" w:space="0"/>
            </w:tcBorders>
            <w:noWrap w:val="0"/>
            <w:vAlign w:val="center"/>
          </w:tcPr>
          <w:p w14:paraId="4838FEEF">
            <w:pPr>
              <w:spacing w:line="360" w:lineRule="exact"/>
              <w:jc w:val="center"/>
              <w:rPr>
                <w:rFonts w:ascii="宋体" w:hAnsi="宋体"/>
                <w:szCs w:val="21"/>
              </w:rPr>
            </w:pPr>
            <w:r>
              <w:rPr>
                <w:rFonts w:hint="eastAsia" w:ascii="宋体" w:hAnsi="宋体"/>
                <w:szCs w:val="21"/>
              </w:rPr>
              <w:t>24</w:t>
            </w:r>
            <w:r>
              <w:rPr>
                <w:rFonts w:ascii="宋体" w:hAnsi="宋体"/>
                <w:szCs w:val="21"/>
              </w:rPr>
              <w:t>.3</w:t>
            </w:r>
            <w:r>
              <w:rPr>
                <w:rFonts w:hint="eastAsia" w:ascii="宋体" w:hAnsi="宋体"/>
                <w:szCs w:val="21"/>
              </w:rPr>
              <w:t>（</w:t>
            </w:r>
            <w:r>
              <w:rPr>
                <w:rFonts w:ascii="宋体" w:hAnsi="宋体"/>
                <w:szCs w:val="21"/>
              </w:rPr>
              <w:t>2</w:t>
            </w:r>
            <w:r>
              <w:rPr>
                <w:rFonts w:hint="eastAsia" w:ascii="宋体" w:hAnsi="宋体"/>
                <w:szCs w:val="21"/>
              </w:rPr>
              <w:t>）</w:t>
            </w:r>
          </w:p>
        </w:tc>
        <w:tc>
          <w:tcPr>
            <w:tcW w:w="4424" w:type="pct"/>
            <w:tcBorders>
              <w:top w:val="single" w:color="auto" w:sz="4" w:space="0"/>
              <w:left w:val="single" w:color="auto" w:sz="4" w:space="0"/>
              <w:bottom w:val="single" w:color="auto" w:sz="4" w:space="0"/>
              <w:right w:val="single" w:color="auto" w:sz="4" w:space="0"/>
            </w:tcBorders>
            <w:noWrap w:val="0"/>
            <w:vAlign w:val="center"/>
          </w:tcPr>
          <w:p w14:paraId="3EE6E04A">
            <w:pPr>
              <w:snapToGrid w:val="0"/>
              <w:spacing w:line="360" w:lineRule="exact"/>
              <w:rPr>
                <w:rFonts w:ascii="宋体" w:hAnsi="宋体"/>
                <w:szCs w:val="21"/>
              </w:rPr>
            </w:pPr>
            <w:r>
              <w:rPr>
                <w:rFonts w:hint="eastAsia" w:ascii="宋体" w:hAnsi="宋体"/>
                <w:szCs w:val="21"/>
              </w:rPr>
              <w:t>宣布的内容：投标人名称、投标价格。</w:t>
            </w:r>
          </w:p>
        </w:tc>
      </w:tr>
      <w:tr w14:paraId="05C049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76" w:type="pct"/>
            <w:tcBorders>
              <w:top w:val="single" w:color="auto" w:sz="4" w:space="0"/>
              <w:left w:val="single" w:color="auto" w:sz="4" w:space="0"/>
              <w:bottom w:val="single" w:color="auto" w:sz="4" w:space="0"/>
              <w:right w:val="single" w:color="auto" w:sz="4" w:space="0"/>
            </w:tcBorders>
            <w:noWrap w:val="0"/>
            <w:vAlign w:val="center"/>
          </w:tcPr>
          <w:p w14:paraId="4E58239A">
            <w:pPr>
              <w:spacing w:line="360" w:lineRule="exact"/>
              <w:jc w:val="center"/>
              <w:rPr>
                <w:rFonts w:hint="eastAsia" w:ascii="宋体" w:hAnsi="宋体"/>
                <w:szCs w:val="21"/>
              </w:rPr>
            </w:pPr>
            <w:bookmarkStart w:id="103" w:name="_25.3"/>
            <w:bookmarkEnd w:id="103"/>
            <w:r>
              <w:rPr>
                <w:rFonts w:hint="eastAsia" w:ascii="宋体" w:hAnsi="宋体"/>
                <w:szCs w:val="21"/>
              </w:rPr>
              <w:t>25.3（</w:t>
            </w:r>
            <w:r>
              <w:rPr>
                <w:rFonts w:ascii="宋体" w:hAnsi="宋体"/>
                <w:szCs w:val="21"/>
              </w:rPr>
              <w:t>2</w:t>
            </w:r>
            <w:r>
              <w:rPr>
                <w:rFonts w:hint="eastAsia" w:ascii="宋体" w:hAnsi="宋体"/>
                <w:szCs w:val="21"/>
              </w:rPr>
              <w:t>）</w:t>
            </w:r>
          </w:p>
        </w:tc>
        <w:tc>
          <w:tcPr>
            <w:tcW w:w="4424" w:type="pct"/>
            <w:tcBorders>
              <w:top w:val="single" w:color="auto" w:sz="4" w:space="0"/>
              <w:left w:val="single" w:color="auto" w:sz="4" w:space="0"/>
              <w:bottom w:val="single" w:color="auto" w:sz="4" w:space="0"/>
              <w:right w:val="single" w:color="auto" w:sz="4" w:space="0"/>
            </w:tcBorders>
            <w:noWrap w:val="0"/>
            <w:vAlign w:val="center"/>
          </w:tcPr>
          <w:p w14:paraId="0636E995">
            <w:pPr>
              <w:snapToGrid w:val="0"/>
              <w:spacing w:line="360" w:lineRule="exact"/>
              <w:rPr>
                <w:rFonts w:hint="eastAsia" w:ascii="宋体" w:hAnsi="宋体"/>
                <w:szCs w:val="21"/>
              </w:rPr>
            </w:pPr>
            <w:r>
              <w:rPr>
                <w:rFonts w:hint="eastAsia" w:ascii="宋体" w:hAnsi="宋体"/>
                <w:szCs w:val="21"/>
              </w:rPr>
              <w:t>采购人或者采购代理机构在资格审查结束前，对投标人进行信用查询。</w:t>
            </w:r>
          </w:p>
          <w:p w14:paraId="4B1C4E79">
            <w:pPr>
              <w:snapToGrid w:val="0"/>
              <w:spacing w:line="360" w:lineRule="exact"/>
              <w:rPr>
                <w:rFonts w:hint="eastAsia" w:ascii="宋体" w:hAnsi="宋体"/>
                <w:szCs w:val="21"/>
              </w:rPr>
            </w:pPr>
            <w:r>
              <w:rPr>
                <w:rFonts w:hint="eastAsia" w:ascii="宋体" w:hAnsi="宋体"/>
                <w:szCs w:val="21"/>
              </w:rPr>
              <w:t>查询渠道：“信用中国”网站（www.creditchina.gov.cn） 、中国政府采购网（www.ccgp.gov.cn）。</w:t>
            </w:r>
          </w:p>
          <w:p w14:paraId="669BC5AC">
            <w:pPr>
              <w:snapToGrid w:val="0"/>
              <w:spacing w:line="360" w:lineRule="exact"/>
              <w:rPr>
                <w:rFonts w:hint="eastAsia" w:ascii="宋体" w:hAnsi="宋体"/>
                <w:szCs w:val="21"/>
              </w:rPr>
            </w:pPr>
            <w:r>
              <w:rPr>
                <w:rFonts w:hint="eastAsia" w:ascii="宋体" w:hAnsi="宋体"/>
                <w:szCs w:val="21"/>
              </w:rPr>
              <w:t>信用查询截止时点：资格审查结束前。</w:t>
            </w:r>
          </w:p>
          <w:p w14:paraId="1911CB1A">
            <w:pPr>
              <w:snapToGrid w:val="0"/>
              <w:spacing w:line="360" w:lineRule="exact"/>
              <w:rPr>
                <w:rFonts w:hint="eastAsia" w:ascii="宋体" w:hAnsi="宋体"/>
                <w:szCs w:val="21"/>
              </w:rPr>
            </w:pPr>
            <w:r>
              <w:rPr>
                <w:rFonts w:hint="eastAsia" w:ascii="宋体" w:hAnsi="宋体"/>
                <w:szCs w:val="21"/>
              </w:rPr>
              <w:t>查询记录和证据留存方式：在查询网站中直接截图查询记录，截图在广西政府采购云平台作为附件上传保存。</w:t>
            </w:r>
          </w:p>
          <w:p w14:paraId="6084C256">
            <w:pPr>
              <w:snapToGrid w:val="0"/>
              <w:spacing w:line="360" w:lineRule="exact"/>
              <w:rPr>
                <w:rFonts w:hint="eastAsia" w:ascii="宋体" w:hAnsi="宋体"/>
                <w:b/>
                <w:szCs w:val="21"/>
              </w:rPr>
            </w:pPr>
            <w:r>
              <w:rPr>
                <w:rFonts w:hint="eastAsia" w:ascii="宋体" w:hAnsi="宋体"/>
                <w:szCs w:val="21"/>
              </w:rPr>
              <w:t>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采购人或者采购代理机构应当拒绝其参与政府采购活动。两个以上的自然人、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信行为记录名单及其他不符合《中华人民共和国政府采购法》第二十二条规定条件的供应商）的，视同联合体存在不良信用记录。</w:t>
            </w:r>
          </w:p>
        </w:tc>
      </w:tr>
      <w:tr w14:paraId="0366B1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76" w:type="pct"/>
            <w:tcBorders>
              <w:top w:val="single" w:color="auto" w:sz="4" w:space="0"/>
              <w:left w:val="single" w:color="auto" w:sz="4" w:space="0"/>
              <w:bottom w:val="single" w:color="auto" w:sz="4" w:space="0"/>
              <w:right w:val="single" w:color="auto" w:sz="4" w:space="0"/>
            </w:tcBorders>
            <w:noWrap w:val="0"/>
            <w:vAlign w:val="center"/>
          </w:tcPr>
          <w:p w14:paraId="42CA1650">
            <w:pPr>
              <w:spacing w:line="360" w:lineRule="exact"/>
              <w:jc w:val="center"/>
              <w:rPr>
                <w:rFonts w:hint="eastAsia" w:ascii="宋体" w:hAnsi="宋体"/>
                <w:szCs w:val="21"/>
              </w:rPr>
            </w:pPr>
            <w:bookmarkStart w:id="104" w:name="_26"/>
            <w:bookmarkEnd w:id="104"/>
            <w:r>
              <w:rPr>
                <w:rFonts w:hint="eastAsia" w:ascii="宋体" w:hAnsi="宋体"/>
                <w:szCs w:val="21"/>
              </w:rPr>
              <w:t>26</w:t>
            </w:r>
            <w:r>
              <w:rPr>
                <w:rFonts w:ascii="宋体" w:hAnsi="宋体"/>
                <w:szCs w:val="21"/>
              </w:rPr>
              <w:t>.1</w:t>
            </w:r>
          </w:p>
        </w:tc>
        <w:tc>
          <w:tcPr>
            <w:tcW w:w="4424" w:type="pct"/>
            <w:tcBorders>
              <w:top w:val="single" w:color="auto" w:sz="4" w:space="0"/>
              <w:left w:val="single" w:color="auto" w:sz="4" w:space="0"/>
              <w:bottom w:val="single" w:color="auto" w:sz="4" w:space="0"/>
              <w:right w:val="single" w:color="auto" w:sz="4" w:space="0"/>
            </w:tcBorders>
            <w:noWrap w:val="0"/>
            <w:vAlign w:val="center"/>
          </w:tcPr>
          <w:p w14:paraId="4CC33BD8">
            <w:pPr>
              <w:autoSpaceDE w:val="0"/>
              <w:autoSpaceDN w:val="0"/>
              <w:snapToGrid w:val="0"/>
              <w:spacing w:line="360" w:lineRule="exact"/>
              <w:textAlignment w:val="bottom"/>
              <w:rPr>
                <w:rFonts w:hint="eastAsia" w:ascii="宋体" w:hAnsi="宋体"/>
                <w:szCs w:val="21"/>
              </w:rPr>
            </w:pPr>
            <w:r>
              <w:rPr>
                <w:rFonts w:hint="eastAsia" w:ascii="宋体" w:hAnsi="宋体"/>
                <w:szCs w:val="21"/>
              </w:rPr>
              <w:t>评标委员会的人数：</w:t>
            </w:r>
            <w:r>
              <w:rPr>
                <w:rFonts w:hint="eastAsia" w:ascii="宋体" w:hAnsi="宋体"/>
                <w:b/>
                <w:szCs w:val="21"/>
                <w:u w:val="single"/>
              </w:rPr>
              <w:t>7</w:t>
            </w:r>
            <w:r>
              <w:rPr>
                <w:rFonts w:hint="eastAsia" w:ascii="宋体" w:hAnsi="宋体"/>
                <w:b/>
                <w:szCs w:val="21"/>
              </w:rPr>
              <w:t>人或以上单数</w:t>
            </w:r>
          </w:p>
        </w:tc>
      </w:tr>
      <w:tr w14:paraId="603890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76" w:type="pct"/>
            <w:tcBorders>
              <w:top w:val="single" w:color="auto" w:sz="4" w:space="0"/>
              <w:left w:val="single" w:color="auto" w:sz="4" w:space="0"/>
              <w:bottom w:val="single" w:color="auto" w:sz="4" w:space="0"/>
              <w:right w:val="single" w:color="auto" w:sz="4" w:space="0"/>
            </w:tcBorders>
            <w:noWrap w:val="0"/>
            <w:vAlign w:val="center"/>
          </w:tcPr>
          <w:p w14:paraId="6DC7ACB0">
            <w:pPr>
              <w:spacing w:line="360" w:lineRule="exact"/>
              <w:jc w:val="center"/>
              <w:rPr>
                <w:rFonts w:hint="eastAsia" w:ascii="宋体" w:hAnsi="宋体"/>
                <w:szCs w:val="21"/>
              </w:rPr>
            </w:pPr>
            <w:r>
              <w:rPr>
                <w:rFonts w:hint="eastAsia" w:ascii="宋体" w:hAnsi="宋体"/>
                <w:szCs w:val="21"/>
              </w:rPr>
              <w:t>27</w:t>
            </w:r>
          </w:p>
        </w:tc>
        <w:tc>
          <w:tcPr>
            <w:tcW w:w="4424" w:type="pct"/>
            <w:tcBorders>
              <w:top w:val="single" w:color="auto" w:sz="4" w:space="0"/>
              <w:left w:val="single" w:color="auto" w:sz="4" w:space="0"/>
              <w:bottom w:val="single" w:color="auto" w:sz="4" w:space="0"/>
              <w:right w:val="single" w:color="auto" w:sz="4" w:space="0"/>
            </w:tcBorders>
            <w:noWrap w:val="0"/>
            <w:vAlign w:val="center"/>
          </w:tcPr>
          <w:p w14:paraId="66F466CD">
            <w:pPr>
              <w:autoSpaceDE w:val="0"/>
              <w:autoSpaceDN w:val="0"/>
              <w:snapToGrid w:val="0"/>
              <w:spacing w:line="360" w:lineRule="exact"/>
              <w:textAlignment w:val="bottom"/>
              <w:rPr>
                <w:rFonts w:hint="eastAsia" w:ascii="宋体" w:hAnsi="宋体"/>
                <w:szCs w:val="21"/>
              </w:rPr>
            </w:pPr>
            <w:r>
              <w:rPr>
                <w:rFonts w:hint="eastAsia" w:ascii="宋体" w:hAnsi="宋体"/>
                <w:szCs w:val="21"/>
              </w:rPr>
              <w:t>如供应商系统平台报价与电子投标文件中报价不一致的，以投标文件开标一览表报价为准。</w:t>
            </w:r>
          </w:p>
        </w:tc>
      </w:tr>
      <w:tr w14:paraId="03C9A80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76" w:type="pct"/>
            <w:tcBorders>
              <w:top w:val="single" w:color="auto" w:sz="4" w:space="0"/>
              <w:left w:val="single" w:color="auto" w:sz="4" w:space="0"/>
              <w:bottom w:val="single" w:color="auto" w:sz="4" w:space="0"/>
              <w:right w:val="single" w:color="auto" w:sz="4" w:space="0"/>
            </w:tcBorders>
            <w:noWrap w:val="0"/>
            <w:vAlign w:val="center"/>
          </w:tcPr>
          <w:p w14:paraId="19B060D6">
            <w:pPr>
              <w:spacing w:line="360" w:lineRule="exact"/>
              <w:jc w:val="center"/>
              <w:rPr>
                <w:rFonts w:hint="eastAsia" w:ascii="宋体" w:hAnsi="宋体"/>
                <w:szCs w:val="21"/>
              </w:rPr>
            </w:pPr>
            <w:bookmarkStart w:id="105" w:name="_28.3"/>
            <w:bookmarkEnd w:id="105"/>
            <w:r>
              <w:rPr>
                <w:rFonts w:ascii="宋体" w:hAnsi="宋体"/>
                <w:szCs w:val="21"/>
              </w:rPr>
              <w:t>29.1</w:t>
            </w:r>
          </w:p>
        </w:tc>
        <w:tc>
          <w:tcPr>
            <w:tcW w:w="4424" w:type="pct"/>
            <w:tcBorders>
              <w:top w:val="single" w:color="auto" w:sz="4" w:space="0"/>
              <w:left w:val="single" w:color="auto" w:sz="4" w:space="0"/>
              <w:bottom w:val="single" w:color="auto" w:sz="4" w:space="0"/>
              <w:right w:val="single" w:color="auto" w:sz="4" w:space="0"/>
            </w:tcBorders>
            <w:noWrap w:val="0"/>
            <w:vAlign w:val="center"/>
          </w:tcPr>
          <w:p w14:paraId="47A444AA">
            <w:pPr>
              <w:autoSpaceDE w:val="0"/>
              <w:autoSpaceDN w:val="0"/>
              <w:snapToGrid w:val="0"/>
              <w:spacing w:line="360" w:lineRule="exact"/>
              <w:textAlignment w:val="bottom"/>
              <w:rPr>
                <w:rFonts w:hint="eastAsia" w:ascii="宋体" w:hAnsi="宋体"/>
                <w:szCs w:val="21"/>
              </w:rPr>
            </w:pPr>
            <w:r>
              <w:rPr>
                <w:rFonts w:hint="eastAsia" w:ascii="宋体" w:hAnsi="宋体"/>
                <w:szCs w:val="21"/>
              </w:rPr>
              <w:t>评标方法：</w:t>
            </w:r>
          </w:p>
          <w:p w14:paraId="1D089E2B">
            <w:pPr>
              <w:autoSpaceDE w:val="0"/>
              <w:autoSpaceDN w:val="0"/>
              <w:snapToGrid w:val="0"/>
              <w:spacing w:line="360" w:lineRule="exact"/>
              <w:textAlignment w:val="bottom"/>
              <w:rPr>
                <w:rFonts w:hint="eastAsia" w:ascii="宋体" w:hAnsi="宋体"/>
                <w:szCs w:val="21"/>
              </w:rPr>
            </w:pPr>
            <w:r>
              <w:rPr>
                <w:rFonts w:hint="eastAsia" w:ascii="MS Mincho" w:hAnsi="MS Mincho" w:eastAsia="MS Mincho" w:cs="MS Mincho"/>
              </w:rPr>
              <w:t>☑</w:t>
            </w:r>
            <w:r>
              <w:rPr>
                <w:rFonts w:hint="eastAsia" w:ascii="宋体" w:hAnsi="宋体"/>
                <w:szCs w:val="21"/>
              </w:rPr>
              <w:t>综合评分法</w:t>
            </w:r>
          </w:p>
          <w:p w14:paraId="56D3AC3D">
            <w:pPr>
              <w:autoSpaceDE w:val="0"/>
              <w:autoSpaceDN w:val="0"/>
              <w:snapToGrid w:val="0"/>
              <w:spacing w:line="360" w:lineRule="exact"/>
              <w:textAlignment w:val="bottom"/>
              <w:rPr>
                <w:rFonts w:hint="eastAsia" w:ascii="宋体" w:hAnsi="宋体"/>
                <w:szCs w:val="21"/>
              </w:rPr>
            </w:pPr>
            <w:r>
              <w:rPr>
                <w:rFonts w:hint="eastAsia" w:ascii="宋体" w:hAnsi="宋体"/>
                <w:szCs w:val="21"/>
              </w:rPr>
              <w:t>□最低评标价法</w:t>
            </w:r>
          </w:p>
        </w:tc>
      </w:tr>
      <w:tr w14:paraId="58235A1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178" w:hRule="atLeast"/>
        </w:trPr>
        <w:tc>
          <w:tcPr>
            <w:tcW w:w="576" w:type="pct"/>
            <w:tcBorders>
              <w:top w:val="single" w:color="auto" w:sz="4" w:space="0"/>
              <w:left w:val="single" w:color="auto" w:sz="4" w:space="0"/>
              <w:bottom w:val="single" w:color="auto" w:sz="4" w:space="0"/>
              <w:right w:val="single" w:color="auto" w:sz="4" w:space="0"/>
            </w:tcBorders>
            <w:noWrap w:val="0"/>
            <w:vAlign w:val="center"/>
          </w:tcPr>
          <w:p w14:paraId="359B3513">
            <w:pPr>
              <w:spacing w:line="360" w:lineRule="exact"/>
              <w:jc w:val="center"/>
              <w:rPr>
                <w:rFonts w:hint="eastAsia" w:ascii="宋体" w:hAnsi="宋体"/>
                <w:szCs w:val="21"/>
              </w:rPr>
            </w:pPr>
            <w:bookmarkStart w:id="106" w:name="_29.2.2（2）"/>
            <w:bookmarkEnd w:id="106"/>
            <w:r>
              <w:rPr>
                <w:rFonts w:hint="eastAsia" w:ascii="宋体" w:hAnsi="宋体"/>
                <w:szCs w:val="21"/>
              </w:rPr>
              <w:t>2</w:t>
            </w:r>
            <w:r>
              <w:rPr>
                <w:rFonts w:ascii="宋体" w:hAnsi="宋体"/>
                <w:szCs w:val="21"/>
              </w:rPr>
              <w:t>9.2</w:t>
            </w:r>
          </w:p>
        </w:tc>
        <w:tc>
          <w:tcPr>
            <w:tcW w:w="4424" w:type="pct"/>
            <w:tcBorders>
              <w:top w:val="single" w:color="auto" w:sz="4" w:space="0"/>
              <w:left w:val="single" w:color="auto" w:sz="4" w:space="0"/>
              <w:right w:val="single" w:color="auto" w:sz="4" w:space="0"/>
            </w:tcBorders>
            <w:noWrap w:val="0"/>
            <w:vAlign w:val="center"/>
          </w:tcPr>
          <w:p w14:paraId="6CA4B7BB">
            <w:pPr>
              <w:snapToGrid w:val="0"/>
              <w:spacing w:line="360" w:lineRule="exact"/>
              <w:rPr>
                <w:rFonts w:ascii="宋体" w:hAnsi="宋体"/>
                <w:szCs w:val="21"/>
              </w:rPr>
            </w:pPr>
            <w:r>
              <w:rPr>
                <w:rFonts w:hint="eastAsia" w:ascii="宋体" w:hAnsi="宋体" w:cs="宋体"/>
                <w:szCs w:val="21"/>
              </w:rPr>
              <w:t>商务要求</w:t>
            </w:r>
            <w:r>
              <w:rPr>
                <w:rFonts w:hint="eastAsia" w:ascii="宋体" w:hAnsi="宋体"/>
                <w:szCs w:val="21"/>
              </w:rPr>
              <w:t>评审中允许负偏离的条款</w:t>
            </w:r>
            <w:r>
              <w:rPr>
                <w:rFonts w:hint="eastAsia" w:ascii="宋体" w:hAnsi="宋体"/>
                <w:szCs w:val="21"/>
                <w:lang w:val="en-US" w:eastAsia="zh-CN"/>
              </w:rPr>
              <w:t>为</w:t>
            </w:r>
            <w:r>
              <w:rPr>
                <w:rFonts w:hint="eastAsia" w:ascii="宋体" w:hAnsi="宋体"/>
                <w:szCs w:val="21"/>
              </w:rPr>
              <w:t>0项。招标文件第二章采购需求表“商务要求”中凡标注“▲”的条款或要求不响应或不满足的，</w:t>
            </w:r>
            <w:r>
              <w:rPr>
                <w:rFonts w:hint="eastAsia" w:ascii="宋体" w:hAnsi="宋体"/>
                <w:b/>
                <w:bCs/>
                <w:szCs w:val="21"/>
              </w:rPr>
              <w:t>投标文件即作无效处理</w:t>
            </w:r>
            <w:r>
              <w:rPr>
                <w:rFonts w:hint="eastAsia" w:ascii="宋体" w:hAnsi="宋体"/>
                <w:szCs w:val="21"/>
              </w:rPr>
              <w:t>；</w:t>
            </w:r>
          </w:p>
          <w:p w14:paraId="787B2CE3">
            <w:pPr>
              <w:snapToGrid w:val="0"/>
              <w:spacing w:line="360" w:lineRule="exact"/>
              <w:rPr>
                <w:rFonts w:hint="eastAsia" w:ascii="宋体" w:hAnsi="宋体"/>
                <w:szCs w:val="21"/>
              </w:rPr>
            </w:pPr>
            <w:r>
              <w:rPr>
                <w:rFonts w:hint="eastAsia" w:ascii="宋体" w:hAnsi="宋体" w:cs="宋体"/>
                <w:szCs w:val="21"/>
              </w:rPr>
              <w:t>技术要求</w:t>
            </w:r>
            <w:r>
              <w:rPr>
                <w:rFonts w:hint="eastAsia" w:ascii="宋体" w:hAnsi="宋体"/>
                <w:szCs w:val="21"/>
              </w:rPr>
              <w:t>评审中允许负偏离的条款</w:t>
            </w:r>
            <w:r>
              <w:rPr>
                <w:rFonts w:hint="eastAsia"/>
                <w:lang w:eastAsia="zh-CN"/>
              </w:rPr>
              <w:t>：</w:t>
            </w:r>
            <w:r>
              <w:rPr>
                <w:rFonts w:hint="eastAsia" w:ascii="宋体" w:hAnsi="宋体"/>
                <w:szCs w:val="21"/>
              </w:rPr>
              <w:t>招标文件第二章采购需求表“技术需求及要求”中凡标注“▲”的条款或要求不响应或不满足的，投标文件即作无效处理；未标注“▲”号的条款或要求作为评审依据进行考核，具体见本招标文件第四章。</w:t>
            </w:r>
          </w:p>
        </w:tc>
      </w:tr>
      <w:tr w14:paraId="229279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576" w:type="pct"/>
            <w:tcBorders>
              <w:top w:val="single" w:color="auto" w:sz="4" w:space="0"/>
              <w:left w:val="single" w:color="auto" w:sz="4" w:space="0"/>
              <w:bottom w:val="single" w:color="auto" w:sz="4" w:space="0"/>
              <w:right w:val="single" w:color="auto" w:sz="4" w:space="0"/>
            </w:tcBorders>
            <w:noWrap w:val="0"/>
            <w:vAlign w:val="center"/>
          </w:tcPr>
          <w:p w14:paraId="476D8585">
            <w:pPr>
              <w:spacing w:line="360" w:lineRule="exact"/>
              <w:jc w:val="center"/>
              <w:rPr>
                <w:rFonts w:hint="eastAsia" w:ascii="宋体" w:hAnsi="宋体"/>
                <w:szCs w:val="21"/>
              </w:rPr>
            </w:pPr>
            <w:r>
              <w:rPr>
                <w:rFonts w:hint="eastAsia" w:ascii="宋体" w:hAnsi="宋体"/>
                <w:szCs w:val="21"/>
              </w:rPr>
              <w:t>2</w:t>
            </w:r>
            <w:r>
              <w:rPr>
                <w:rFonts w:ascii="宋体" w:hAnsi="宋体"/>
                <w:szCs w:val="21"/>
              </w:rPr>
              <w:t>9.3</w:t>
            </w:r>
          </w:p>
        </w:tc>
        <w:tc>
          <w:tcPr>
            <w:tcW w:w="4424" w:type="pct"/>
            <w:tcBorders>
              <w:top w:val="single" w:color="auto" w:sz="4" w:space="0"/>
              <w:left w:val="single" w:color="auto" w:sz="4" w:space="0"/>
              <w:right w:val="single" w:color="auto" w:sz="4" w:space="0"/>
            </w:tcBorders>
            <w:noWrap w:val="0"/>
            <w:vAlign w:val="center"/>
          </w:tcPr>
          <w:p w14:paraId="2CA43BF7">
            <w:pPr>
              <w:snapToGrid w:val="0"/>
              <w:spacing w:line="360" w:lineRule="exact"/>
              <w:rPr>
                <w:rFonts w:ascii="宋体" w:hAnsi="宋体"/>
                <w:szCs w:val="21"/>
              </w:rPr>
            </w:pPr>
            <w:r>
              <w:rPr>
                <w:rFonts w:ascii="宋体" w:hAnsi="宋体"/>
                <w:szCs w:val="21"/>
              </w:rPr>
              <w:t>中标候选人推荐数量</w:t>
            </w:r>
            <w:r>
              <w:rPr>
                <w:rFonts w:hint="eastAsia" w:ascii="宋体" w:hAnsi="宋体"/>
                <w:szCs w:val="21"/>
              </w:rPr>
              <w:t>：</w:t>
            </w:r>
          </w:p>
          <w:p w14:paraId="655A7A55">
            <w:pPr>
              <w:snapToGrid w:val="0"/>
              <w:spacing w:line="360" w:lineRule="exact"/>
              <w:rPr>
                <w:rFonts w:ascii="宋体" w:hAnsi="宋体"/>
                <w:szCs w:val="21"/>
              </w:rPr>
            </w:pPr>
            <w:r>
              <w:rPr>
                <w:rFonts w:hint="eastAsia" w:ascii="宋体" w:hAnsi="宋体"/>
                <w:szCs w:val="21"/>
              </w:rPr>
              <w:t>□</w:t>
            </w:r>
            <w:r>
              <w:rPr>
                <w:rFonts w:hint="eastAsia" w:ascii="宋体" w:hAnsi="宋体"/>
                <w:szCs w:val="21"/>
                <w:u w:val="single"/>
              </w:rPr>
              <w:t xml:space="preserve"> </w:t>
            </w:r>
            <w:r>
              <w:rPr>
                <w:rFonts w:ascii="宋体" w:hAnsi="宋体"/>
                <w:szCs w:val="21"/>
                <w:u w:val="single"/>
              </w:rPr>
              <w:t xml:space="preserve"> /  </w:t>
            </w:r>
            <w:r>
              <w:rPr>
                <w:rFonts w:ascii="宋体" w:hAnsi="宋体"/>
                <w:szCs w:val="21"/>
              </w:rPr>
              <w:t>名</w:t>
            </w:r>
          </w:p>
          <w:p w14:paraId="3E41B61C">
            <w:pPr>
              <w:snapToGrid w:val="0"/>
              <w:spacing w:line="360" w:lineRule="exact"/>
              <w:rPr>
                <w:rFonts w:hint="eastAsia" w:ascii="宋体" w:hAnsi="宋体" w:cs="宋体"/>
                <w:szCs w:val="21"/>
                <w:u w:val="single"/>
              </w:rPr>
            </w:pPr>
            <w:r>
              <w:rPr>
                <w:rFonts w:hint="eastAsia" w:ascii="MS Mincho" w:hAnsi="MS Mincho" w:eastAsia="MS Mincho" w:cs="MS Mincho"/>
              </w:rPr>
              <w:t>☑</w:t>
            </w:r>
            <w:r>
              <w:rPr>
                <w:rFonts w:hint="eastAsia" w:ascii="宋体" w:hAnsi="宋体"/>
                <w:szCs w:val="21"/>
              </w:rPr>
              <w:t>根据总得分由高到低排列次序并全部推荐为中标候选人。</w:t>
            </w:r>
          </w:p>
        </w:tc>
      </w:tr>
      <w:tr w14:paraId="00416C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76" w:type="pct"/>
            <w:tcBorders>
              <w:top w:val="single" w:color="auto" w:sz="4" w:space="0"/>
              <w:left w:val="single" w:color="auto" w:sz="4" w:space="0"/>
              <w:bottom w:val="single" w:color="auto" w:sz="4" w:space="0"/>
              <w:right w:val="single" w:color="auto" w:sz="4" w:space="0"/>
            </w:tcBorders>
            <w:noWrap w:val="0"/>
            <w:vAlign w:val="center"/>
          </w:tcPr>
          <w:p w14:paraId="35538CB1">
            <w:pPr>
              <w:spacing w:line="360" w:lineRule="exact"/>
              <w:jc w:val="center"/>
              <w:rPr>
                <w:rFonts w:hint="eastAsia" w:ascii="宋体" w:hAnsi="宋体"/>
                <w:szCs w:val="21"/>
              </w:rPr>
            </w:pPr>
            <w:r>
              <w:rPr>
                <w:rFonts w:hint="eastAsia" w:ascii="宋体" w:hAnsi="宋体"/>
                <w:szCs w:val="21"/>
              </w:rPr>
              <w:t>30</w:t>
            </w:r>
            <w:r>
              <w:rPr>
                <w:rFonts w:ascii="宋体" w:hAnsi="宋体"/>
                <w:szCs w:val="21"/>
              </w:rPr>
              <w:t>.1</w:t>
            </w:r>
          </w:p>
        </w:tc>
        <w:tc>
          <w:tcPr>
            <w:tcW w:w="4424" w:type="pct"/>
            <w:tcBorders>
              <w:top w:val="single" w:color="auto" w:sz="4" w:space="0"/>
              <w:left w:val="single" w:color="auto" w:sz="4" w:space="0"/>
              <w:bottom w:val="single" w:color="auto" w:sz="4" w:space="0"/>
              <w:right w:val="single" w:color="auto" w:sz="4" w:space="0"/>
            </w:tcBorders>
            <w:noWrap w:val="0"/>
            <w:vAlign w:val="center"/>
          </w:tcPr>
          <w:p w14:paraId="25E9C42B">
            <w:pPr>
              <w:autoSpaceDE w:val="0"/>
              <w:autoSpaceDN w:val="0"/>
              <w:snapToGrid w:val="0"/>
              <w:spacing w:line="360" w:lineRule="exact"/>
              <w:textAlignment w:val="bottom"/>
              <w:rPr>
                <w:rFonts w:hint="eastAsia" w:ascii="宋体" w:hAnsi="宋体"/>
                <w:szCs w:val="21"/>
              </w:rPr>
            </w:pPr>
            <w:r>
              <w:rPr>
                <w:rFonts w:hint="eastAsia" w:ascii="宋体" w:hAnsi="宋体"/>
                <w:szCs w:val="21"/>
              </w:rPr>
              <w:t>采购人确定中标人时，出现中标候选人并列的情形，采购人按以下的方式确定中标人：</w:t>
            </w:r>
          </w:p>
          <w:p w14:paraId="7BB794F4">
            <w:pPr>
              <w:autoSpaceDE w:val="0"/>
              <w:autoSpaceDN w:val="0"/>
              <w:snapToGrid w:val="0"/>
              <w:spacing w:line="360" w:lineRule="exact"/>
              <w:textAlignment w:val="bottom"/>
              <w:rPr>
                <w:rFonts w:hint="eastAsia" w:ascii="宋体" w:hAnsi="宋体"/>
                <w:szCs w:val="21"/>
              </w:rPr>
            </w:pPr>
            <w:r>
              <w:rPr>
                <w:rFonts w:hint="eastAsia" w:ascii="MS Mincho" w:hAnsi="MS Mincho" w:eastAsia="MS Mincho" w:cs="MS Mincho"/>
              </w:rPr>
              <w:t>☑</w:t>
            </w:r>
            <w:r>
              <w:rPr>
                <w:rFonts w:hint="eastAsia" w:ascii="宋体" w:hAnsi="宋体"/>
                <w:szCs w:val="21"/>
              </w:rPr>
              <w:t>依次按投标报价低的优先、政策分得分高的优先、技术评分高的优先、商务评分高的优先、售后服务方案优的顺序确定；按上述顺序依然无法确定时，将由采购人采取随机抽取方式确定。</w:t>
            </w:r>
          </w:p>
          <w:p w14:paraId="341D7616">
            <w:pPr>
              <w:autoSpaceDE w:val="0"/>
              <w:autoSpaceDN w:val="0"/>
              <w:snapToGrid w:val="0"/>
              <w:spacing w:line="360" w:lineRule="exact"/>
              <w:textAlignment w:val="bottom"/>
              <w:rPr>
                <w:rFonts w:hint="eastAsia" w:ascii="宋体" w:hAnsi="宋体"/>
                <w:szCs w:val="21"/>
              </w:rPr>
            </w:pPr>
            <w:r>
              <w:rPr>
                <w:rFonts w:hint="eastAsia" w:ascii="宋体" w:hAnsi="宋体"/>
                <w:szCs w:val="21"/>
              </w:rPr>
              <w:t>□随机抽取。</w:t>
            </w:r>
          </w:p>
        </w:tc>
      </w:tr>
      <w:tr w14:paraId="0C234ED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76" w:type="pct"/>
            <w:tcBorders>
              <w:top w:val="single" w:color="auto" w:sz="4" w:space="0"/>
              <w:left w:val="single" w:color="auto" w:sz="4" w:space="0"/>
              <w:bottom w:val="single" w:color="auto" w:sz="4" w:space="0"/>
              <w:right w:val="single" w:color="auto" w:sz="4" w:space="0"/>
            </w:tcBorders>
            <w:noWrap w:val="0"/>
            <w:vAlign w:val="center"/>
          </w:tcPr>
          <w:p w14:paraId="6637D849">
            <w:pPr>
              <w:spacing w:line="360" w:lineRule="exact"/>
              <w:jc w:val="center"/>
              <w:rPr>
                <w:rFonts w:hint="eastAsia" w:ascii="宋体" w:hAnsi="宋体"/>
                <w:szCs w:val="21"/>
              </w:rPr>
            </w:pPr>
            <w:bookmarkStart w:id="107" w:name="_39.1"/>
            <w:bookmarkEnd w:id="107"/>
            <w:r>
              <w:rPr>
                <w:rFonts w:hint="eastAsia" w:ascii="宋体" w:hAnsi="宋体"/>
                <w:szCs w:val="21"/>
              </w:rPr>
              <w:t>35</w:t>
            </w:r>
            <w:r>
              <w:rPr>
                <w:rFonts w:ascii="宋体" w:hAnsi="宋体"/>
                <w:szCs w:val="21"/>
              </w:rPr>
              <w:t>.1</w:t>
            </w:r>
          </w:p>
        </w:tc>
        <w:tc>
          <w:tcPr>
            <w:tcW w:w="4424" w:type="pct"/>
            <w:tcBorders>
              <w:top w:val="single" w:color="auto" w:sz="4" w:space="0"/>
              <w:left w:val="single" w:color="auto" w:sz="4" w:space="0"/>
              <w:bottom w:val="single" w:color="auto" w:sz="4" w:space="0"/>
              <w:right w:val="single" w:color="auto" w:sz="4" w:space="0"/>
            </w:tcBorders>
            <w:noWrap w:val="0"/>
            <w:vAlign w:val="center"/>
          </w:tcPr>
          <w:p w14:paraId="784E3055">
            <w:pPr>
              <w:autoSpaceDE w:val="0"/>
              <w:autoSpaceDN w:val="0"/>
              <w:snapToGrid w:val="0"/>
              <w:spacing w:line="360" w:lineRule="exact"/>
              <w:textAlignment w:val="bottom"/>
              <w:rPr>
                <w:rFonts w:ascii="宋体" w:hAnsi="宋体"/>
                <w:szCs w:val="21"/>
              </w:rPr>
            </w:pPr>
            <w:r>
              <w:rPr>
                <w:rFonts w:hint="eastAsia" w:ascii="宋体" w:hAnsi="宋体"/>
                <w:szCs w:val="21"/>
              </w:rPr>
              <w:t>□本项目不收取履约保证金。</w:t>
            </w:r>
          </w:p>
          <w:p w14:paraId="10EC7560">
            <w:pPr>
              <w:pStyle w:val="16"/>
              <w:spacing w:after="120" w:line="360" w:lineRule="exact"/>
              <w:rPr>
                <w:rFonts w:hint="eastAsia" w:ascii="宋体" w:hAnsi="宋体"/>
                <w:szCs w:val="21"/>
                <w:u w:val="single"/>
                <w:lang w:val="en-US" w:eastAsia="zh-CN"/>
              </w:rPr>
            </w:pPr>
            <w:r>
              <w:rPr>
                <w:rFonts w:hint="eastAsia" w:ascii="MS Mincho" w:hAnsi="MS Mincho" w:eastAsia="MS Mincho" w:cs="MS Mincho"/>
                <w:szCs w:val="21"/>
                <w:lang w:val="en-US" w:eastAsia="zh-CN"/>
              </w:rPr>
              <w:t>☑</w:t>
            </w:r>
            <w:r>
              <w:rPr>
                <w:rFonts w:hint="eastAsia" w:ascii="宋体" w:hAnsi="宋体"/>
                <w:szCs w:val="21"/>
                <w:lang w:val="en-US" w:eastAsia="zh-CN"/>
              </w:rPr>
              <w:t>本项目收取履约保证金，具体规定见本招标文件第二章“商务要求”。</w:t>
            </w:r>
          </w:p>
          <w:p w14:paraId="1D8F3CCF">
            <w:pPr>
              <w:spacing w:line="360" w:lineRule="exact"/>
              <w:jc w:val="left"/>
              <w:rPr>
                <w:rFonts w:ascii="宋体" w:hAnsi="宋体" w:cs="Courier New"/>
                <w:b/>
                <w:szCs w:val="21"/>
              </w:rPr>
            </w:pPr>
            <w:r>
              <w:rPr>
                <w:rFonts w:ascii="宋体" w:hAnsi="宋体" w:cs="Courier New"/>
                <w:b/>
                <w:szCs w:val="21"/>
              </w:rPr>
              <w:t>备注：</w:t>
            </w:r>
          </w:p>
          <w:p w14:paraId="636938DC">
            <w:pPr>
              <w:spacing w:line="360" w:lineRule="exact"/>
              <w:jc w:val="left"/>
              <w:rPr>
                <w:rFonts w:ascii="宋体" w:hAnsi="宋体"/>
                <w:b/>
                <w:szCs w:val="21"/>
              </w:rPr>
            </w:pPr>
            <w:r>
              <w:rPr>
                <w:rFonts w:hint="eastAsia" w:ascii="宋体" w:hAnsi="宋体"/>
                <w:b/>
                <w:szCs w:val="21"/>
              </w:rPr>
              <w:t>1.根据《广西壮族自治区财政厅关于持续优化政府采购营商环境推动高质量发展的通知》（桂财采〔2024〕55号）规定，对中小企业收取的履约保证金数额不得超过政府采购合同金额的2%。</w:t>
            </w:r>
          </w:p>
          <w:p w14:paraId="0EEF3463">
            <w:pPr>
              <w:spacing w:line="360" w:lineRule="exact"/>
              <w:jc w:val="left"/>
              <w:rPr>
                <w:rFonts w:hint="eastAsia" w:ascii="宋体" w:hAnsi="宋体"/>
                <w:b/>
                <w:szCs w:val="21"/>
              </w:rPr>
            </w:pPr>
            <w:r>
              <w:rPr>
                <w:rFonts w:ascii="宋体" w:hAnsi="宋体"/>
                <w:b/>
                <w:szCs w:val="21"/>
              </w:rPr>
              <w:t>2.</w:t>
            </w:r>
            <w:r>
              <w:rPr>
                <w:rFonts w:hint="eastAsia" w:ascii="宋体" w:hAnsi="宋体"/>
                <w:b/>
                <w:szCs w:val="21"/>
              </w:rPr>
              <w:t>履约保证金不足额缴纳的（包含保函额度不足的），或者不按规定提交方式提交的，或者保函有效期低于合同履行期限（即合同中规定的当事人履行自己的义务，如交付标的物、价款或者报酬，履行劳务、完成工作的时间界限）的，不予签订合同。</w:t>
            </w:r>
          </w:p>
          <w:p w14:paraId="737D0593">
            <w:pPr>
              <w:spacing w:line="360" w:lineRule="exact"/>
              <w:jc w:val="left"/>
              <w:rPr>
                <w:rFonts w:hint="eastAsia" w:ascii="宋体" w:hAnsi="宋体"/>
                <w:b/>
                <w:szCs w:val="21"/>
              </w:rPr>
            </w:pPr>
            <w:r>
              <w:rPr>
                <w:rFonts w:ascii="宋体" w:hAnsi="宋体"/>
                <w:b/>
                <w:szCs w:val="21"/>
              </w:rPr>
              <w:t>3.采用银行、保险机构出具的保函的，必须为无条件保函，否则不予签订合同。</w:t>
            </w:r>
          </w:p>
          <w:p w14:paraId="28D4E42F">
            <w:pPr>
              <w:spacing w:line="360" w:lineRule="exact"/>
              <w:jc w:val="left"/>
              <w:rPr>
                <w:rFonts w:hint="eastAsia" w:ascii="宋体" w:hAnsi="宋体" w:cs="宋体"/>
                <w:kern w:val="0"/>
                <w:szCs w:val="21"/>
              </w:rPr>
            </w:pPr>
            <w:r>
              <w:rPr>
                <w:rFonts w:ascii="宋体" w:hAnsi="宋体"/>
                <w:b/>
                <w:szCs w:val="21"/>
              </w:rPr>
              <w:t>4.</w:t>
            </w:r>
            <w:r>
              <w:rPr>
                <w:rFonts w:hint="eastAsia" w:ascii="宋体" w:hAnsi="宋体"/>
                <w:b/>
                <w:szCs w:val="21"/>
              </w:rPr>
              <w:t>投标人为联合体的，由联合体其中一方按规定提交的履约保证金，视为有效履约保证金。</w:t>
            </w:r>
          </w:p>
        </w:tc>
      </w:tr>
      <w:tr w14:paraId="02F41AF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76" w:type="pct"/>
            <w:tcBorders>
              <w:top w:val="single" w:color="auto" w:sz="4" w:space="0"/>
              <w:left w:val="single" w:color="auto" w:sz="4" w:space="0"/>
              <w:bottom w:val="single" w:color="auto" w:sz="4" w:space="0"/>
              <w:right w:val="single" w:color="auto" w:sz="4" w:space="0"/>
            </w:tcBorders>
            <w:noWrap w:val="0"/>
            <w:vAlign w:val="center"/>
          </w:tcPr>
          <w:p w14:paraId="102589A2">
            <w:pPr>
              <w:spacing w:line="360" w:lineRule="exact"/>
              <w:jc w:val="center"/>
              <w:rPr>
                <w:rFonts w:hint="eastAsia" w:ascii="宋体" w:hAnsi="宋体"/>
                <w:szCs w:val="21"/>
              </w:rPr>
            </w:pPr>
            <w:bookmarkStart w:id="108" w:name="_40.1"/>
            <w:bookmarkEnd w:id="108"/>
            <w:r>
              <w:rPr>
                <w:rFonts w:hint="eastAsia" w:ascii="宋体" w:hAnsi="宋体"/>
                <w:szCs w:val="21"/>
              </w:rPr>
              <w:t>36.1</w:t>
            </w:r>
          </w:p>
        </w:tc>
        <w:tc>
          <w:tcPr>
            <w:tcW w:w="4424" w:type="pct"/>
            <w:tcBorders>
              <w:top w:val="single" w:color="auto" w:sz="4" w:space="0"/>
              <w:left w:val="single" w:color="auto" w:sz="4" w:space="0"/>
              <w:bottom w:val="single" w:color="auto" w:sz="4" w:space="0"/>
              <w:right w:val="single" w:color="auto" w:sz="4" w:space="0"/>
            </w:tcBorders>
            <w:noWrap w:val="0"/>
            <w:vAlign w:val="center"/>
          </w:tcPr>
          <w:p w14:paraId="58509D61">
            <w:pPr>
              <w:autoSpaceDE w:val="0"/>
              <w:autoSpaceDN w:val="0"/>
              <w:snapToGrid w:val="0"/>
              <w:spacing w:line="360" w:lineRule="exact"/>
              <w:textAlignment w:val="bottom"/>
              <w:rPr>
                <w:rFonts w:hint="eastAsia" w:ascii="宋体" w:hAnsi="宋体"/>
                <w:szCs w:val="21"/>
              </w:rPr>
            </w:pPr>
            <w:r>
              <w:rPr>
                <w:rFonts w:hint="eastAsia" w:ascii="宋体" w:hAnsi="宋体"/>
                <w:szCs w:val="21"/>
              </w:rPr>
              <w:t xml:space="preserve">签订合同携带的证明材料： </w:t>
            </w:r>
          </w:p>
          <w:p w14:paraId="0577C79D">
            <w:pPr>
              <w:autoSpaceDE w:val="0"/>
              <w:autoSpaceDN w:val="0"/>
              <w:snapToGrid w:val="0"/>
              <w:spacing w:line="360" w:lineRule="exact"/>
              <w:textAlignment w:val="bottom"/>
              <w:rPr>
                <w:rFonts w:hint="eastAsia" w:ascii="宋体" w:hAnsi="宋体"/>
                <w:szCs w:val="21"/>
              </w:rPr>
            </w:pPr>
            <w:r>
              <w:rPr>
                <w:rFonts w:hint="eastAsia" w:ascii="宋体" w:hAnsi="宋体"/>
                <w:szCs w:val="21"/>
              </w:rPr>
              <w:t>委托代理人负责签订合同的，须携带授权委托书及委托代理人身份证原件等其他资格证件。</w:t>
            </w:r>
          </w:p>
          <w:p w14:paraId="174114F9">
            <w:pPr>
              <w:autoSpaceDE w:val="0"/>
              <w:autoSpaceDN w:val="0"/>
              <w:snapToGrid w:val="0"/>
              <w:spacing w:line="360" w:lineRule="exact"/>
              <w:textAlignment w:val="bottom"/>
              <w:rPr>
                <w:rFonts w:hint="eastAsia" w:ascii="宋体" w:hAnsi="宋体"/>
                <w:szCs w:val="21"/>
              </w:rPr>
            </w:pPr>
            <w:r>
              <w:rPr>
                <w:rFonts w:hint="eastAsia" w:ascii="宋体" w:hAnsi="宋体"/>
                <w:szCs w:val="21"/>
              </w:rPr>
              <w:t>法定代表人负责签订合同的，须携带法定代表人</w:t>
            </w:r>
            <w:r>
              <w:rPr>
                <w:rFonts w:ascii="宋体" w:hAnsi="宋体"/>
                <w:szCs w:val="21"/>
              </w:rPr>
              <w:t>身份证明原件</w:t>
            </w:r>
            <w:r>
              <w:rPr>
                <w:rFonts w:hint="eastAsia" w:ascii="宋体" w:hAnsi="宋体"/>
                <w:szCs w:val="21"/>
              </w:rPr>
              <w:t>及</w:t>
            </w:r>
            <w:r>
              <w:rPr>
                <w:rFonts w:ascii="宋体" w:hAnsi="宋体"/>
                <w:szCs w:val="21"/>
              </w:rPr>
              <w:t>身份证原件</w:t>
            </w:r>
            <w:r>
              <w:rPr>
                <w:rFonts w:hint="eastAsia" w:ascii="宋体" w:hAnsi="宋体"/>
                <w:szCs w:val="21"/>
              </w:rPr>
              <w:t>等其他证明材料。</w:t>
            </w:r>
          </w:p>
        </w:tc>
      </w:tr>
      <w:tr w14:paraId="50E9D2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76" w:type="pct"/>
            <w:tcBorders>
              <w:top w:val="single" w:color="auto" w:sz="4" w:space="0"/>
              <w:left w:val="single" w:color="auto" w:sz="4" w:space="0"/>
              <w:bottom w:val="single" w:color="auto" w:sz="4" w:space="0"/>
              <w:right w:val="single" w:color="auto" w:sz="4" w:space="0"/>
            </w:tcBorders>
            <w:noWrap w:val="0"/>
            <w:vAlign w:val="center"/>
          </w:tcPr>
          <w:p w14:paraId="2AAA4247">
            <w:pPr>
              <w:spacing w:line="360" w:lineRule="exact"/>
              <w:jc w:val="center"/>
              <w:rPr>
                <w:rFonts w:hint="eastAsia" w:ascii="宋体" w:hAnsi="宋体"/>
                <w:szCs w:val="21"/>
              </w:rPr>
            </w:pPr>
            <w:r>
              <w:rPr>
                <w:rFonts w:hint="eastAsia" w:ascii="宋体" w:hAnsi="宋体"/>
                <w:szCs w:val="21"/>
              </w:rPr>
              <w:t>3</w:t>
            </w:r>
            <w:r>
              <w:rPr>
                <w:rFonts w:ascii="宋体" w:hAnsi="宋体"/>
                <w:szCs w:val="21"/>
              </w:rPr>
              <w:t>8.2</w:t>
            </w:r>
          </w:p>
        </w:tc>
        <w:tc>
          <w:tcPr>
            <w:tcW w:w="4424" w:type="pct"/>
            <w:tcBorders>
              <w:top w:val="single" w:color="auto" w:sz="4" w:space="0"/>
              <w:left w:val="single" w:color="auto" w:sz="4" w:space="0"/>
              <w:bottom w:val="single" w:color="auto" w:sz="4" w:space="0"/>
              <w:right w:val="single" w:color="auto" w:sz="4" w:space="0"/>
            </w:tcBorders>
            <w:noWrap w:val="0"/>
            <w:vAlign w:val="center"/>
          </w:tcPr>
          <w:p w14:paraId="2ADD696B">
            <w:pPr>
              <w:snapToGrid w:val="0"/>
              <w:spacing w:line="360" w:lineRule="exact"/>
              <w:rPr>
                <w:rFonts w:hint="eastAsia" w:ascii="宋体" w:hAnsi="宋体"/>
                <w:szCs w:val="21"/>
              </w:rPr>
            </w:pPr>
            <w:r>
              <w:rPr>
                <w:rFonts w:hint="eastAsia" w:ascii="宋体" w:hAnsi="宋体"/>
                <w:szCs w:val="21"/>
              </w:rPr>
              <w:t>接收质疑函方式：以书面形式</w:t>
            </w:r>
          </w:p>
          <w:p w14:paraId="0B87238E">
            <w:pPr>
              <w:snapToGrid w:val="0"/>
              <w:spacing w:line="360" w:lineRule="exact"/>
              <w:rPr>
                <w:rFonts w:hint="eastAsia" w:ascii="宋体" w:hAnsi="宋体"/>
                <w:szCs w:val="21"/>
              </w:rPr>
            </w:pPr>
            <w:r>
              <w:rPr>
                <w:rFonts w:hint="eastAsia" w:ascii="宋体" w:hAnsi="宋体"/>
                <w:szCs w:val="21"/>
              </w:rPr>
              <w:t>质疑联系部门及联系方式：</w:t>
            </w:r>
            <w:r>
              <w:rPr>
                <w:rFonts w:hint="eastAsia" w:ascii="宋体" w:hAnsi="宋体"/>
                <w:szCs w:val="21"/>
                <w:u w:val="single"/>
              </w:rPr>
              <w:t>云之龙咨询集团有限公司全过程政府采购咨询部</w:t>
            </w:r>
            <w:r>
              <w:rPr>
                <w:rFonts w:hint="eastAsia" w:ascii="宋体" w:hAnsi="宋体"/>
                <w:szCs w:val="21"/>
              </w:rPr>
              <w:t>，</w:t>
            </w:r>
            <w:r>
              <w:rPr>
                <w:rFonts w:ascii="宋体" w:hAnsi="宋体"/>
                <w:szCs w:val="21"/>
              </w:rPr>
              <w:t>联系电话</w:t>
            </w:r>
            <w:r>
              <w:rPr>
                <w:rFonts w:hint="eastAsia" w:ascii="宋体" w:hAnsi="宋体"/>
                <w:szCs w:val="21"/>
              </w:rPr>
              <w:t>：</w:t>
            </w:r>
            <w:r>
              <w:rPr>
                <w:rFonts w:hint="eastAsia" w:ascii="宋体" w:hAnsi="宋体"/>
                <w:szCs w:val="21"/>
                <w:u w:val="single"/>
              </w:rPr>
              <w:t>0771-2618118、2611889、2611898</w:t>
            </w:r>
            <w:r>
              <w:rPr>
                <w:rFonts w:hint="eastAsia" w:ascii="宋体" w:hAnsi="宋体"/>
                <w:szCs w:val="21"/>
              </w:rPr>
              <w:t>，</w:t>
            </w:r>
            <w:r>
              <w:rPr>
                <w:rFonts w:ascii="宋体" w:hAnsi="宋体"/>
                <w:szCs w:val="21"/>
              </w:rPr>
              <w:t>通讯地址</w:t>
            </w:r>
            <w:r>
              <w:rPr>
                <w:rFonts w:hint="eastAsia" w:ascii="宋体" w:hAnsi="宋体" w:cs="Helvetica"/>
                <w:szCs w:val="21"/>
              </w:rPr>
              <w:t>：</w:t>
            </w:r>
            <w:r>
              <w:rPr>
                <w:rFonts w:hint="eastAsia" w:ascii="宋体" w:hAnsi="宋体"/>
                <w:szCs w:val="21"/>
                <w:u w:val="single"/>
              </w:rPr>
              <w:t>广西南宁市良庆区云英路15号3号楼云之龙咨询集团大厦6楼。</w:t>
            </w:r>
          </w:p>
          <w:p w14:paraId="67687580">
            <w:pPr>
              <w:autoSpaceDE w:val="0"/>
              <w:autoSpaceDN w:val="0"/>
              <w:snapToGrid w:val="0"/>
              <w:spacing w:line="360" w:lineRule="exact"/>
              <w:textAlignment w:val="bottom"/>
              <w:rPr>
                <w:rFonts w:hint="eastAsia" w:ascii="宋体" w:hAnsi="宋体"/>
                <w:szCs w:val="21"/>
              </w:rPr>
            </w:pPr>
            <w:r>
              <w:rPr>
                <w:rFonts w:hint="eastAsia" w:ascii="宋体" w:hAnsi="宋体"/>
                <w:szCs w:val="21"/>
              </w:rPr>
              <w:t>现场提交质疑办理业务时间：每天8时00分到12时00分，15时00分到18时00分，业务时间以外、双休日和法定节假日不办理业务。</w:t>
            </w:r>
          </w:p>
        </w:tc>
      </w:tr>
      <w:tr w14:paraId="77908B6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76" w:type="pct"/>
            <w:tcBorders>
              <w:top w:val="single" w:color="auto" w:sz="4" w:space="0"/>
              <w:left w:val="single" w:color="auto" w:sz="4" w:space="0"/>
              <w:bottom w:val="single" w:color="auto" w:sz="4" w:space="0"/>
              <w:right w:val="single" w:color="auto" w:sz="4" w:space="0"/>
            </w:tcBorders>
            <w:noWrap w:val="0"/>
            <w:vAlign w:val="center"/>
          </w:tcPr>
          <w:p w14:paraId="202A0F97">
            <w:pPr>
              <w:spacing w:line="360" w:lineRule="exact"/>
              <w:jc w:val="center"/>
              <w:rPr>
                <w:rFonts w:hint="eastAsia" w:ascii="宋体" w:hAnsi="宋体"/>
                <w:szCs w:val="21"/>
              </w:rPr>
            </w:pPr>
            <w:bookmarkStart w:id="109" w:name="_42"/>
            <w:bookmarkEnd w:id="109"/>
            <w:bookmarkStart w:id="110" w:name="_41"/>
            <w:bookmarkEnd w:id="110"/>
            <w:bookmarkStart w:id="111" w:name="_Hlt17709148"/>
            <w:r>
              <w:rPr>
                <w:rFonts w:hint="eastAsia" w:ascii="宋体" w:hAnsi="宋体"/>
                <w:szCs w:val="21"/>
              </w:rPr>
              <w:t>3</w:t>
            </w:r>
            <w:bookmarkEnd w:id="111"/>
            <w:r>
              <w:rPr>
                <w:rFonts w:ascii="宋体" w:hAnsi="宋体"/>
                <w:szCs w:val="21"/>
              </w:rPr>
              <w:t>9.1</w:t>
            </w:r>
          </w:p>
        </w:tc>
        <w:tc>
          <w:tcPr>
            <w:tcW w:w="4424" w:type="pct"/>
            <w:tcBorders>
              <w:top w:val="single" w:color="auto" w:sz="4" w:space="0"/>
              <w:left w:val="single" w:color="auto" w:sz="4" w:space="0"/>
              <w:bottom w:val="single" w:color="auto" w:sz="4" w:space="0"/>
              <w:right w:val="single" w:color="auto" w:sz="4" w:space="0"/>
            </w:tcBorders>
            <w:noWrap w:val="0"/>
            <w:vAlign w:val="center"/>
          </w:tcPr>
          <w:p w14:paraId="1E996260">
            <w:pPr>
              <w:pStyle w:val="25"/>
              <w:snapToGrid w:val="0"/>
              <w:spacing w:line="360" w:lineRule="exact"/>
              <w:rPr>
                <w:rFonts w:hint="eastAsia" w:hAnsi="宋体" w:cs="宋体"/>
                <w:sz w:val="21"/>
                <w:lang w:val="en-US" w:eastAsia="zh-CN"/>
              </w:rPr>
            </w:pPr>
            <w:r>
              <w:rPr>
                <w:rFonts w:hint="eastAsia" w:hAnsi="宋体" w:cs="宋体"/>
                <w:sz w:val="21"/>
                <w:lang w:val="en-US" w:eastAsia="zh-CN"/>
              </w:rPr>
              <w:t>1.采购代理费支付方式：</w:t>
            </w:r>
          </w:p>
          <w:p w14:paraId="274B01E4">
            <w:pPr>
              <w:pStyle w:val="25"/>
              <w:snapToGrid w:val="0"/>
              <w:spacing w:line="360" w:lineRule="exact"/>
              <w:rPr>
                <w:rFonts w:hint="eastAsia" w:hAnsi="宋体" w:cs="宋体"/>
                <w:sz w:val="21"/>
                <w:lang w:val="en-US" w:eastAsia="zh-CN"/>
              </w:rPr>
            </w:pPr>
            <w:r>
              <w:rPr>
                <w:rFonts w:hint="eastAsia" w:ascii="MS Mincho" w:hAnsi="MS Mincho" w:eastAsia="MS Mincho" w:cs="MS Mincho"/>
                <w:sz w:val="21"/>
                <w:lang w:val="en-US" w:eastAsia="zh-CN"/>
              </w:rPr>
              <w:t>☑</w:t>
            </w:r>
            <w:r>
              <w:rPr>
                <w:rFonts w:hint="eastAsia" w:hAnsi="宋体" w:cs="宋体"/>
                <w:sz w:val="21"/>
                <w:lang w:val="en-US" w:eastAsia="zh-CN"/>
              </w:rPr>
              <w:t>本项目代理服务费由</w:t>
            </w:r>
            <w:r>
              <w:rPr>
                <w:rFonts w:hint="eastAsia" w:hAnsi="宋体" w:cs="宋体"/>
                <w:sz w:val="21"/>
                <w:u w:val="single"/>
                <w:lang w:val="en-US" w:eastAsia="zh-CN"/>
              </w:rPr>
              <w:t>中标人</w:t>
            </w:r>
            <w:r>
              <w:rPr>
                <w:rFonts w:hint="eastAsia" w:hAnsi="宋体" w:cs="宋体"/>
                <w:sz w:val="21"/>
                <w:lang w:val="en-US" w:eastAsia="zh-CN"/>
              </w:rPr>
              <w:t>一次性向采购代理机构支付。</w:t>
            </w:r>
          </w:p>
          <w:p w14:paraId="4E885B21">
            <w:pPr>
              <w:pStyle w:val="25"/>
              <w:snapToGrid w:val="0"/>
              <w:spacing w:line="360" w:lineRule="exact"/>
              <w:rPr>
                <w:rFonts w:hint="eastAsia" w:hAnsi="宋体" w:cs="宋体"/>
                <w:sz w:val="21"/>
                <w:lang w:val="en-US" w:eastAsia="zh-CN"/>
              </w:rPr>
            </w:pPr>
            <w:r>
              <w:rPr>
                <w:rFonts w:hint="eastAsia" w:hAnsi="宋体" w:cs="宋体"/>
                <w:sz w:val="21"/>
                <w:lang w:val="en-US" w:eastAsia="zh-CN"/>
              </w:rPr>
              <w:t>□采购人支付。</w:t>
            </w:r>
          </w:p>
          <w:p w14:paraId="5E15F9D4">
            <w:pPr>
              <w:pStyle w:val="25"/>
              <w:snapToGrid w:val="0"/>
              <w:spacing w:line="360" w:lineRule="exact"/>
              <w:rPr>
                <w:rFonts w:hint="eastAsia" w:hAnsi="宋体" w:cs="宋体"/>
                <w:sz w:val="21"/>
                <w:lang w:val="en-US" w:eastAsia="zh-CN"/>
              </w:rPr>
            </w:pPr>
            <w:r>
              <w:rPr>
                <w:rFonts w:hint="eastAsia" w:hAnsi="宋体" w:cs="宋体"/>
                <w:sz w:val="21"/>
                <w:lang w:val="en-US" w:eastAsia="zh-CN"/>
              </w:rPr>
              <w:t>2.采购代理费收取标准：</w:t>
            </w:r>
          </w:p>
          <w:p w14:paraId="3086521A">
            <w:pPr>
              <w:pStyle w:val="25"/>
              <w:snapToGrid w:val="0"/>
              <w:spacing w:line="360" w:lineRule="exact"/>
              <w:rPr>
                <w:rFonts w:hint="eastAsia" w:hAnsi="宋体" w:cs="宋体"/>
                <w:sz w:val="21"/>
                <w:lang w:val="en-US" w:eastAsia="zh-CN"/>
              </w:rPr>
            </w:pPr>
            <w:r>
              <w:rPr>
                <w:rFonts w:hint="eastAsia" w:ascii="MS Mincho" w:hAnsi="MS Mincho" w:eastAsia="MS Mincho" w:cs="MS Mincho"/>
                <w:sz w:val="21"/>
                <w:lang w:val="en-US" w:eastAsia="zh-CN"/>
              </w:rPr>
              <w:t>☑</w:t>
            </w:r>
            <w:r>
              <w:rPr>
                <w:rFonts w:hint="eastAsia" w:hAnsi="宋体" w:cs="宋体"/>
                <w:sz w:val="21"/>
                <w:lang w:val="en-US" w:eastAsia="zh-CN"/>
              </w:rPr>
              <w:t>以分标（</w:t>
            </w:r>
            <w:r>
              <w:rPr>
                <w:rFonts w:hint="eastAsia" w:ascii="MS Mincho" w:hAnsi="MS Mincho" w:eastAsia="MS Mincho" w:cs="MS Mincho"/>
                <w:sz w:val="21"/>
                <w:lang w:val="en-US" w:eastAsia="zh-CN"/>
              </w:rPr>
              <w:t>☑</w:t>
            </w:r>
            <w:r>
              <w:rPr>
                <w:rFonts w:hint="eastAsia" w:hAnsi="宋体" w:cs="宋体"/>
                <w:sz w:val="21"/>
                <w:lang w:val="en-US" w:eastAsia="zh-CN"/>
              </w:rPr>
              <w:t>中标金额/□采购预算/□暂定中标金额/□其他</w:t>
            </w:r>
            <w:r>
              <w:rPr>
                <w:rFonts w:hint="eastAsia" w:hAnsi="宋体" w:cs="宋体"/>
                <w:sz w:val="21"/>
                <w:u w:val="single"/>
                <w:lang w:val="en-US" w:eastAsia="zh-CN"/>
              </w:rPr>
              <w:t xml:space="preserve"> </w:t>
            </w:r>
            <w:r>
              <w:rPr>
                <w:rFonts w:hAnsi="宋体" w:cs="宋体"/>
                <w:sz w:val="21"/>
                <w:u w:val="single"/>
                <w:lang w:val="en-US" w:eastAsia="zh-CN"/>
              </w:rPr>
              <w:t xml:space="preserve">/ </w:t>
            </w:r>
            <w:r>
              <w:rPr>
                <w:rFonts w:hint="eastAsia" w:hAnsi="宋体" w:cs="宋体"/>
                <w:sz w:val="21"/>
                <w:lang w:val="en-US" w:eastAsia="zh-CN"/>
              </w:rPr>
              <w:t>）为计费额，按本须知正文第</w:t>
            </w:r>
            <w:r>
              <w:rPr>
                <w:rFonts w:hAnsi="宋体" w:cs="宋体"/>
                <w:sz w:val="21"/>
                <w:lang w:val="en-US" w:eastAsia="zh-CN"/>
              </w:rPr>
              <w:t>39</w:t>
            </w:r>
            <w:r>
              <w:rPr>
                <w:rFonts w:hint="eastAsia" w:hAnsi="宋体" w:cs="宋体"/>
                <w:sz w:val="21"/>
                <w:lang w:val="en-US" w:eastAsia="zh-CN"/>
              </w:rPr>
              <w:t>.</w:t>
            </w:r>
            <w:r>
              <w:rPr>
                <w:rFonts w:hAnsi="宋体" w:cs="宋体"/>
                <w:sz w:val="21"/>
                <w:lang w:val="en-US" w:eastAsia="zh-CN"/>
              </w:rPr>
              <w:t>2</w:t>
            </w:r>
            <w:r>
              <w:rPr>
                <w:rFonts w:hint="eastAsia" w:hAnsi="宋体" w:cs="宋体"/>
                <w:sz w:val="21"/>
                <w:lang w:val="en-US" w:eastAsia="zh-CN"/>
              </w:rPr>
              <w:t>条规定的收费计算标准（</w:t>
            </w:r>
            <w:r>
              <w:rPr>
                <w:rFonts w:hint="eastAsia" w:ascii="MS Mincho" w:hAnsi="MS Mincho" w:eastAsia="MS Mincho" w:cs="MS Mincho"/>
                <w:sz w:val="21"/>
                <w:lang w:val="en-US" w:eastAsia="zh-CN"/>
              </w:rPr>
              <w:t>☑</w:t>
            </w:r>
            <w:r>
              <w:rPr>
                <w:rFonts w:hint="eastAsia" w:hAnsi="宋体" w:cs="宋体"/>
                <w:sz w:val="21"/>
                <w:lang w:val="en-US" w:eastAsia="zh-CN"/>
              </w:rPr>
              <w:t>货物招标/□服务招标/</w:t>
            </w:r>
            <w:bookmarkStart w:id="112" w:name="OLE_LINK3"/>
            <w:bookmarkStart w:id="113" w:name="OLE_LINK4"/>
            <w:r>
              <w:rPr>
                <w:rFonts w:hint="eastAsia" w:hAnsi="宋体" w:cs="宋体"/>
                <w:sz w:val="21"/>
                <w:lang w:val="en-US" w:eastAsia="zh-CN"/>
              </w:rPr>
              <w:t>□</w:t>
            </w:r>
            <w:bookmarkEnd w:id="112"/>
            <w:bookmarkEnd w:id="113"/>
            <w:r>
              <w:rPr>
                <w:rFonts w:hint="eastAsia" w:hAnsi="宋体" w:cs="宋体"/>
                <w:sz w:val="21"/>
                <w:lang w:val="en-US" w:eastAsia="zh-CN"/>
              </w:rPr>
              <w:t>工程招标）采用差额定率累进法计算出收费基准价格，采购代理收费以（☑收费基准价格/</w:t>
            </w:r>
            <w:r>
              <w:rPr>
                <w:rFonts w:hint="eastAsia" w:ascii="MS Mincho" w:hAnsi="MS Mincho" w:eastAsia="MS Mincho" w:cs="MS Mincho"/>
                <w:sz w:val="21"/>
                <w:lang w:val="en-US" w:eastAsia="zh-CN"/>
              </w:rPr>
              <w:t>□</w:t>
            </w:r>
            <w:r>
              <w:rPr>
                <w:rFonts w:hint="eastAsia" w:hAnsi="宋体" w:cs="宋体"/>
                <w:sz w:val="21"/>
                <w:lang w:val="en-US" w:eastAsia="zh-CN"/>
              </w:rPr>
              <w:t>收费基准价格下浮</w:t>
            </w:r>
            <w:r>
              <w:rPr>
                <w:rFonts w:hint="eastAsia" w:hAnsi="宋体" w:cs="宋体"/>
                <w:sz w:val="21"/>
                <w:u w:val="single"/>
                <w:lang w:val="en-US" w:eastAsia="zh-CN"/>
              </w:rPr>
              <w:t xml:space="preserve"> /%</w:t>
            </w:r>
            <w:r>
              <w:rPr>
                <w:rFonts w:hAnsi="宋体" w:cs="宋体"/>
                <w:sz w:val="21"/>
                <w:lang w:val="en-US" w:eastAsia="zh-CN"/>
              </w:rPr>
              <w:t>/</w:t>
            </w:r>
            <w:r>
              <w:rPr>
                <w:rFonts w:hint="eastAsia" w:hAnsi="宋体" w:cs="宋体"/>
                <w:sz w:val="21"/>
                <w:lang w:val="en-US" w:eastAsia="zh-CN"/>
              </w:rPr>
              <w:t>□收费基准价格上浮</w:t>
            </w:r>
            <w:r>
              <w:rPr>
                <w:rFonts w:hint="eastAsia" w:hAnsi="宋体" w:cs="宋体"/>
                <w:sz w:val="21"/>
                <w:u w:val="single"/>
                <w:lang w:val="en-US" w:eastAsia="zh-CN"/>
              </w:rPr>
              <w:t xml:space="preserve"> </w:t>
            </w:r>
            <w:r>
              <w:rPr>
                <w:rFonts w:hAnsi="宋体" w:cs="宋体"/>
                <w:sz w:val="21"/>
                <w:u w:val="single"/>
                <w:lang w:val="en-US" w:eastAsia="zh-CN"/>
              </w:rPr>
              <w:t xml:space="preserve">/ </w:t>
            </w:r>
            <w:r>
              <w:rPr>
                <w:rFonts w:hint="eastAsia" w:hAnsi="宋体" w:cs="宋体"/>
                <w:sz w:val="21"/>
                <w:u w:val="single"/>
                <w:lang w:val="en-US" w:eastAsia="zh-CN"/>
              </w:rPr>
              <w:t>%</w:t>
            </w:r>
            <w:r>
              <w:rPr>
                <w:rFonts w:hint="eastAsia" w:hAnsi="宋体" w:cs="宋体"/>
                <w:sz w:val="21"/>
                <w:lang w:val="en-US" w:eastAsia="zh-CN"/>
              </w:rPr>
              <w:t>）收取。</w:t>
            </w:r>
          </w:p>
          <w:p w14:paraId="64AD36AC">
            <w:pPr>
              <w:pStyle w:val="25"/>
              <w:snapToGrid w:val="0"/>
              <w:spacing w:line="360" w:lineRule="exact"/>
              <w:rPr>
                <w:rFonts w:hAnsi="宋体" w:cs="宋体"/>
                <w:sz w:val="21"/>
                <w:u w:val="single"/>
                <w:lang w:val="en-US" w:eastAsia="zh-CN"/>
              </w:rPr>
            </w:pPr>
            <w:r>
              <w:rPr>
                <w:rFonts w:hint="eastAsia" w:hAnsi="宋体" w:cs="宋体"/>
                <w:sz w:val="21"/>
                <w:lang w:val="en-US" w:eastAsia="zh-CN"/>
              </w:rPr>
              <w:t>□固定采购代理收费</w:t>
            </w:r>
            <w:r>
              <w:rPr>
                <w:rFonts w:hint="eastAsia" w:hAnsi="宋体" w:cs="宋体"/>
                <w:sz w:val="21"/>
                <w:u w:val="single"/>
                <w:lang w:val="en-US" w:eastAsia="zh-CN"/>
              </w:rPr>
              <w:t xml:space="preserve">  </w:t>
            </w:r>
            <w:r>
              <w:rPr>
                <w:rFonts w:hAnsi="宋体" w:cs="宋体"/>
                <w:sz w:val="21"/>
                <w:u w:val="single"/>
                <w:lang w:val="en-US" w:eastAsia="zh-CN"/>
              </w:rPr>
              <w:t>/</w:t>
            </w:r>
            <w:r>
              <w:rPr>
                <w:rFonts w:hint="eastAsia" w:hAnsi="宋体" w:cs="宋体"/>
                <w:sz w:val="21"/>
                <w:u w:val="single"/>
                <w:lang w:val="en-US" w:eastAsia="zh-CN"/>
              </w:rPr>
              <w:t xml:space="preserve"> 。</w:t>
            </w:r>
          </w:p>
          <w:p w14:paraId="6CA27C3A">
            <w:pPr>
              <w:pStyle w:val="25"/>
              <w:snapToGrid w:val="0"/>
              <w:spacing w:line="360" w:lineRule="exact"/>
              <w:rPr>
                <w:rFonts w:hint="eastAsia" w:hAnsi="宋体" w:cs="宋体"/>
                <w:sz w:val="21"/>
                <w:lang w:val="en-US" w:eastAsia="zh-CN"/>
              </w:rPr>
            </w:pPr>
            <w:r>
              <w:rPr>
                <w:rFonts w:hint="eastAsia" w:hAnsi="宋体" w:cs="宋体"/>
                <w:sz w:val="21"/>
                <w:lang w:val="en-US" w:eastAsia="zh-CN"/>
              </w:rPr>
              <w:t>3</w:t>
            </w:r>
            <w:r>
              <w:rPr>
                <w:rFonts w:hAnsi="宋体" w:cs="宋体"/>
                <w:sz w:val="21"/>
                <w:lang w:val="en-US" w:eastAsia="zh-CN"/>
              </w:rPr>
              <w:t>.</w:t>
            </w:r>
            <w:r>
              <w:rPr>
                <w:rFonts w:hint="eastAsia" w:hAnsi="宋体" w:cs="宋体"/>
                <w:sz w:val="21"/>
                <w:lang w:val="en-US" w:eastAsia="zh-CN"/>
              </w:rPr>
              <w:t>代理机构银行账户信息如下：</w:t>
            </w:r>
          </w:p>
          <w:p w14:paraId="1665777C">
            <w:pPr>
              <w:pStyle w:val="25"/>
              <w:snapToGrid w:val="0"/>
              <w:spacing w:line="360" w:lineRule="exact"/>
              <w:rPr>
                <w:rFonts w:hint="eastAsia" w:hAnsi="宋体" w:cs="宋体"/>
                <w:sz w:val="21"/>
                <w:lang w:val="en-US" w:eastAsia="zh-CN"/>
              </w:rPr>
            </w:pPr>
            <w:r>
              <w:rPr>
                <w:rFonts w:hint="eastAsia" w:hAnsi="宋体" w:cs="宋体"/>
                <w:sz w:val="21"/>
                <w:lang w:val="en-US" w:eastAsia="zh-CN"/>
              </w:rPr>
              <w:t>账户名称：云之龙咨询集团有限公司</w:t>
            </w:r>
          </w:p>
          <w:p w14:paraId="7E4FA54B">
            <w:pPr>
              <w:pStyle w:val="25"/>
              <w:snapToGrid w:val="0"/>
              <w:spacing w:line="360" w:lineRule="exact"/>
              <w:rPr>
                <w:rFonts w:hint="eastAsia" w:hAnsi="宋体" w:cs="宋体"/>
                <w:sz w:val="21"/>
                <w:lang w:val="en-US" w:eastAsia="zh-CN"/>
              </w:rPr>
            </w:pPr>
            <w:r>
              <w:rPr>
                <w:rFonts w:hint="eastAsia" w:hAnsi="宋体" w:cs="宋体"/>
                <w:sz w:val="21"/>
                <w:lang w:val="en-US" w:eastAsia="zh-CN"/>
              </w:rPr>
              <w:t>开户银行：中信银行南宁园湖支行</w:t>
            </w:r>
          </w:p>
          <w:p w14:paraId="6F58F8C4">
            <w:pPr>
              <w:pStyle w:val="25"/>
              <w:snapToGrid w:val="0"/>
              <w:spacing w:line="360" w:lineRule="exact"/>
              <w:rPr>
                <w:rFonts w:hint="eastAsia" w:hAnsi="宋体" w:cs="宋体"/>
                <w:sz w:val="21"/>
                <w:lang w:val="en-US" w:eastAsia="zh-CN"/>
              </w:rPr>
            </w:pPr>
            <w:r>
              <w:rPr>
                <w:rFonts w:hint="eastAsia" w:hAnsi="宋体" w:cs="宋体"/>
                <w:sz w:val="21"/>
                <w:lang w:val="en-US" w:eastAsia="zh-CN"/>
              </w:rPr>
              <w:t>银行账号：8113001013400293071</w:t>
            </w:r>
          </w:p>
        </w:tc>
      </w:tr>
      <w:tr w14:paraId="3E75E3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76" w:type="pct"/>
            <w:tcBorders>
              <w:top w:val="single" w:color="auto" w:sz="4" w:space="0"/>
              <w:left w:val="single" w:color="auto" w:sz="4" w:space="0"/>
              <w:bottom w:val="single" w:color="auto" w:sz="4" w:space="0"/>
              <w:right w:val="single" w:color="auto" w:sz="4" w:space="0"/>
            </w:tcBorders>
            <w:noWrap w:val="0"/>
            <w:vAlign w:val="center"/>
          </w:tcPr>
          <w:p w14:paraId="4CD7F1B0">
            <w:pPr>
              <w:snapToGrid w:val="0"/>
              <w:spacing w:line="360" w:lineRule="exact"/>
              <w:jc w:val="center"/>
              <w:rPr>
                <w:rFonts w:hint="eastAsia" w:ascii="宋体" w:hAnsi="宋体"/>
                <w:szCs w:val="21"/>
              </w:rPr>
            </w:pPr>
            <w:r>
              <w:rPr>
                <w:rFonts w:ascii="宋体" w:hAnsi="宋体"/>
                <w:szCs w:val="21"/>
              </w:rPr>
              <w:t>40.1</w:t>
            </w:r>
          </w:p>
        </w:tc>
        <w:tc>
          <w:tcPr>
            <w:tcW w:w="4424" w:type="pct"/>
            <w:tcBorders>
              <w:top w:val="single" w:color="auto" w:sz="4" w:space="0"/>
              <w:left w:val="single" w:color="auto" w:sz="4" w:space="0"/>
              <w:bottom w:val="single" w:color="auto" w:sz="4" w:space="0"/>
              <w:right w:val="single" w:color="auto" w:sz="4" w:space="0"/>
            </w:tcBorders>
            <w:noWrap w:val="0"/>
            <w:vAlign w:val="center"/>
          </w:tcPr>
          <w:p w14:paraId="58FB6B8B">
            <w:pPr>
              <w:snapToGrid w:val="0"/>
              <w:spacing w:line="360" w:lineRule="exact"/>
              <w:rPr>
                <w:rFonts w:hint="eastAsia" w:ascii="宋体" w:hAnsi="宋体"/>
                <w:szCs w:val="21"/>
              </w:rPr>
            </w:pPr>
            <w:r>
              <w:rPr>
                <w:rFonts w:hint="eastAsia" w:ascii="宋体" w:hAnsi="宋体"/>
                <w:szCs w:val="21"/>
              </w:rPr>
              <w:t>解释：</w:t>
            </w:r>
            <w:r>
              <w:rPr>
                <w:rFonts w:ascii="宋体" w:hAnsi="宋体"/>
                <w:szCs w:val="21"/>
              </w:rPr>
              <w:t>构成本招标文件的各个组成文件应互为解释，互为说明；除招标文件中有特别规定外，仅适用于招标投标阶段的规定，按</w:t>
            </w:r>
            <w:r>
              <w:rPr>
                <w:rFonts w:hint="eastAsia" w:ascii="宋体" w:hAnsi="宋体"/>
                <w:szCs w:val="21"/>
              </w:rPr>
              <w:t>更正公告（澄清公告）</w:t>
            </w:r>
            <w:r>
              <w:rPr>
                <w:rFonts w:ascii="宋体" w:hAnsi="宋体"/>
                <w:szCs w:val="21"/>
              </w:rPr>
              <w:t>、招标公告、</w:t>
            </w:r>
            <w:r>
              <w:rPr>
                <w:rFonts w:hint="eastAsia" w:ascii="宋体" w:hAnsi="宋体"/>
                <w:szCs w:val="21"/>
              </w:rPr>
              <w:t>采购需求、</w:t>
            </w:r>
            <w:r>
              <w:rPr>
                <w:rFonts w:ascii="宋体" w:hAnsi="宋体"/>
                <w:szCs w:val="21"/>
              </w:rPr>
              <w:t>投标人须知、</w:t>
            </w:r>
            <w:r>
              <w:rPr>
                <w:rFonts w:hint="eastAsia" w:ascii="宋体" w:hAnsi="宋体"/>
                <w:szCs w:val="21"/>
              </w:rPr>
              <w:t>评标方法及评标标准</w:t>
            </w:r>
            <w:r>
              <w:rPr>
                <w:rFonts w:ascii="宋体" w:hAnsi="宋体"/>
                <w:szCs w:val="21"/>
              </w:rPr>
              <w:t>、</w:t>
            </w:r>
            <w:r>
              <w:rPr>
                <w:rFonts w:hint="eastAsia" w:ascii="宋体" w:hAnsi="宋体"/>
                <w:szCs w:val="21"/>
              </w:rPr>
              <w:t>拟签订的合同文本、</w:t>
            </w:r>
            <w:r>
              <w:rPr>
                <w:rFonts w:ascii="宋体" w:hAnsi="宋体"/>
                <w:szCs w:val="21"/>
              </w:rPr>
              <w:t>投标文件格式的先后顺序解释；同一组成文件中就同一事项的规定或者约定不一致的，以编排顺序在后者为准；同一组成文件不同版本之间有不一致的，以形成时间在后者为准；</w:t>
            </w:r>
            <w:r>
              <w:rPr>
                <w:rFonts w:hint="eastAsia" w:ascii="宋体" w:hAnsi="宋体"/>
                <w:szCs w:val="21"/>
              </w:rPr>
              <w:t>更正公告（澄清公告）</w:t>
            </w:r>
            <w:r>
              <w:rPr>
                <w:rFonts w:ascii="宋体" w:hAnsi="宋体"/>
                <w:szCs w:val="21"/>
              </w:rPr>
              <w:t>与同步更新的招标文件不一致时以</w:t>
            </w:r>
            <w:r>
              <w:rPr>
                <w:rFonts w:hint="eastAsia" w:ascii="宋体" w:hAnsi="宋体"/>
                <w:szCs w:val="21"/>
              </w:rPr>
              <w:t>更正公告（澄清公告）</w:t>
            </w:r>
            <w:r>
              <w:rPr>
                <w:rFonts w:ascii="宋体" w:hAnsi="宋体"/>
                <w:szCs w:val="21"/>
              </w:rPr>
              <w:t>为准。按本款前述规定仍不能形成结论的，由</w:t>
            </w:r>
            <w:r>
              <w:rPr>
                <w:rFonts w:hint="eastAsia" w:ascii="宋体" w:hAnsi="宋体"/>
                <w:szCs w:val="21"/>
              </w:rPr>
              <w:t>采购</w:t>
            </w:r>
            <w:r>
              <w:rPr>
                <w:rFonts w:ascii="宋体" w:hAnsi="宋体"/>
                <w:szCs w:val="21"/>
              </w:rPr>
              <w:t>人</w:t>
            </w:r>
            <w:r>
              <w:rPr>
                <w:rFonts w:hint="eastAsia" w:ascii="宋体" w:hAnsi="宋体"/>
                <w:szCs w:val="21"/>
              </w:rPr>
              <w:t>或者采购代理机构</w:t>
            </w:r>
            <w:r>
              <w:rPr>
                <w:rFonts w:ascii="宋体" w:hAnsi="宋体"/>
                <w:szCs w:val="21"/>
              </w:rPr>
              <w:t>负责解释。</w:t>
            </w:r>
          </w:p>
        </w:tc>
      </w:tr>
      <w:tr w14:paraId="49A248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76" w:type="pct"/>
            <w:tcBorders>
              <w:top w:val="single" w:color="auto" w:sz="4" w:space="0"/>
              <w:left w:val="single" w:color="auto" w:sz="4" w:space="0"/>
              <w:bottom w:val="single" w:color="auto" w:sz="4" w:space="0"/>
              <w:right w:val="single" w:color="auto" w:sz="4" w:space="0"/>
            </w:tcBorders>
            <w:noWrap w:val="0"/>
            <w:vAlign w:val="center"/>
          </w:tcPr>
          <w:p w14:paraId="14E2D881">
            <w:pPr>
              <w:snapToGrid w:val="0"/>
              <w:spacing w:line="360" w:lineRule="exact"/>
              <w:jc w:val="center"/>
              <w:rPr>
                <w:rFonts w:hint="eastAsia" w:ascii="宋体" w:hAnsi="宋体"/>
                <w:szCs w:val="21"/>
              </w:rPr>
            </w:pPr>
            <w:r>
              <w:rPr>
                <w:rFonts w:ascii="宋体" w:hAnsi="宋体"/>
                <w:szCs w:val="21"/>
              </w:rPr>
              <w:t>40.2</w:t>
            </w:r>
          </w:p>
        </w:tc>
        <w:tc>
          <w:tcPr>
            <w:tcW w:w="4424" w:type="pct"/>
            <w:tcBorders>
              <w:top w:val="single" w:color="auto" w:sz="4" w:space="0"/>
              <w:left w:val="single" w:color="auto" w:sz="4" w:space="0"/>
              <w:bottom w:val="single" w:color="auto" w:sz="4" w:space="0"/>
              <w:right w:val="single" w:color="auto" w:sz="4" w:space="0"/>
            </w:tcBorders>
            <w:noWrap w:val="0"/>
            <w:vAlign w:val="center"/>
          </w:tcPr>
          <w:p w14:paraId="3735D9C4">
            <w:pPr>
              <w:pStyle w:val="25"/>
              <w:keepNext w:val="0"/>
              <w:keepLines w:val="0"/>
              <w:pageBreakBefore w:val="0"/>
              <w:widowControl w:val="0"/>
              <w:kinsoku/>
              <w:wordWrap/>
              <w:overflowPunct/>
              <w:topLinePunct w:val="0"/>
              <w:autoSpaceDE/>
              <w:autoSpaceDN/>
              <w:bidi w:val="0"/>
              <w:adjustRightInd/>
              <w:snapToGrid w:val="0"/>
              <w:spacing w:line="320" w:lineRule="exact"/>
              <w:textAlignment w:val="auto"/>
              <w:rPr>
                <w:rFonts w:hint="eastAsia" w:hAnsi="宋体" w:cs="宋体"/>
                <w:bCs/>
                <w:sz w:val="21"/>
                <w:lang w:val="en-US" w:eastAsia="zh-CN"/>
              </w:rPr>
            </w:pPr>
            <w:r>
              <w:rPr>
                <w:rFonts w:hint="eastAsia" w:hAnsi="宋体" w:cs="宋体"/>
                <w:bCs/>
                <w:sz w:val="21"/>
                <w:lang w:val="en-US" w:eastAsia="zh-CN"/>
              </w:rPr>
              <w:t>1.本招标文件中描述投标人的“公章”是指根据我国对公章的管理规定，用投标人法定主体行为名称制作的印章，除本招标文件有特殊规定外，投标人的财务章、部门章、分公司章、工会章、合同章、投标专用章、业务专用章及银行的转账章、现金收讫章、现金付讫章等其他形式印章均不能代替公章。</w:t>
            </w:r>
          </w:p>
          <w:p w14:paraId="0D5DD944">
            <w:pPr>
              <w:pStyle w:val="25"/>
              <w:keepNext w:val="0"/>
              <w:keepLines w:val="0"/>
              <w:pageBreakBefore w:val="0"/>
              <w:widowControl w:val="0"/>
              <w:kinsoku/>
              <w:wordWrap/>
              <w:overflowPunct/>
              <w:topLinePunct w:val="0"/>
              <w:autoSpaceDE/>
              <w:autoSpaceDN/>
              <w:bidi w:val="0"/>
              <w:adjustRightInd/>
              <w:snapToGrid w:val="0"/>
              <w:spacing w:line="320" w:lineRule="exact"/>
              <w:textAlignment w:val="auto"/>
              <w:rPr>
                <w:rFonts w:hint="eastAsia" w:hAnsi="宋体" w:cs="宋体"/>
                <w:bCs/>
                <w:sz w:val="21"/>
                <w:lang w:val="en-US" w:eastAsia="zh-CN"/>
              </w:rPr>
            </w:pPr>
            <w:r>
              <w:rPr>
                <w:rFonts w:hint="eastAsia" w:hAnsi="宋体" w:cs="宋体"/>
                <w:bCs/>
                <w:sz w:val="21"/>
                <w:lang w:val="en-US" w:eastAsia="zh-CN"/>
              </w:rPr>
              <w:t>2.本招标文件所称的“</w:t>
            </w:r>
            <w:r>
              <w:rPr>
                <w:rFonts w:hint="eastAsia" w:hAnsi="宋体"/>
                <w:sz w:val="21"/>
                <w:lang w:val="en-US" w:eastAsia="zh-CN"/>
              </w:rPr>
              <w:t>电子签章</w:t>
            </w:r>
            <w:r>
              <w:rPr>
                <w:rFonts w:hint="eastAsia" w:hAnsi="宋体" w:cs="宋体"/>
                <w:bCs/>
                <w:sz w:val="21"/>
                <w:lang w:val="en-US" w:eastAsia="zh-CN"/>
              </w:rPr>
              <w:t>”、“电子签名”</w:t>
            </w:r>
            <w:r>
              <w:rPr>
                <w:rFonts w:hint="eastAsia" w:hAnsi="宋体"/>
                <w:sz w:val="21"/>
                <w:lang w:val="en-US" w:eastAsia="zh-CN"/>
              </w:rPr>
              <w:t>，是指经广西政府采购云平台认可的CA认证的电子签名数据为表现形式的印章，可用于签署电子投标文件，电子印章与实物印章具有同等法律效力，不因其采用电子化表现形式而否定其法律效力。</w:t>
            </w:r>
          </w:p>
          <w:p w14:paraId="12979BB1">
            <w:pPr>
              <w:pStyle w:val="25"/>
              <w:keepNext w:val="0"/>
              <w:keepLines w:val="0"/>
              <w:pageBreakBefore w:val="0"/>
              <w:widowControl w:val="0"/>
              <w:kinsoku/>
              <w:wordWrap/>
              <w:overflowPunct/>
              <w:topLinePunct w:val="0"/>
              <w:autoSpaceDE/>
              <w:autoSpaceDN/>
              <w:bidi w:val="0"/>
              <w:adjustRightInd/>
              <w:snapToGrid w:val="0"/>
              <w:spacing w:line="320" w:lineRule="exact"/>
              <w:textAlignment w:val="auto"/>
              <w:rPr>
                <w:rFonts w:hint="eastAsia" w:hAnsi="宋体" w:cs="宋体"/>
                <w:bCs/>
                <w:sz w:val="21"/>
                <w:lang w:val="en-US" w:eastAsia="zh-CN"/>
              </w:rPr>
            </w:pPr>
            <w:r>
              <w:rPr>
                <w:rFonts w:hint="eastAsia" w:hAnsi="宋体" w:cs="宋体"/>
                <w:bCs/>
                <w:sz w:val="21"/>
                <w:lang w:val="en-US" w:eastAsia="zh-CN"/>
              </w:rPr>
              <w:t>3.投标人为其他组织或者自然人时，本招标文件规定的法定代表人指负责人或者自然人。本招标文件所称负责人是指参加投标的其他组织营业执照或者执业许可证等证照上的负责人，本招标文件所称自然人指参与投标的自然人本人，且应具备独立承担民事责任能力，自然人应当为年满18岁以上成年人（十六周岁以上的未成年人，以自己的劳动收入为主要生活来源的，视为完全民事行为能力人）。</w:t>
            </w:r>
          </w:p>
          <w:p w14:paraId="41F2294A">
            <w:pPr>
              <w:pStyle w:val="25"/>
              <w:keepNext w:val="0"/>
              <w:keepLines w:val="0"/>
              <w:pageBreakBefore w:val="0"/>
              <w:widowControl w:val="0"/>
              <w:kinsoku/>
              <w:wordWrap/>
              <w:overflowPunct/>
              <w:topLinePunct w:val="0"/>
              <w:autoSpaceDE/>
              <w:autoSpaceDN/>
              <w:bidi w:val="0"/>
              <w:adjustRightInd/>
              <w:snapToGrid w:val="0"/>
              <w:spacing w:line="320" w:lineRule="exact"/>
              <w:textAlignment w:val="auto"/>
              <w:rPr>
                <w:rFonts w:hint="eastAsia" w:hAnsi="宋体" w:cs="宋体"/>
                <w:bCs/>
                <w:sz w:val="21"/>
                <w:lang w:val="en-US" w:eastAsia="zh-CN"/>
              </w:rPr>
            </w:pPr>
            <w:r>
              <w:rPr>
                <w:rFonts w:hint="eastAsia" w:hAnsi="宋体" w:cs="宋体"/>
                <w:bCs/>
                <w:sz w:val="21"/>
                <w:lang w:val="en-US" w:eastAsia="zh-CN"/>
              </w:rPr>
              <w:t>4.本招标文件中描述投标人的“签字”是指投标人的法定代表人或者委托代理人亲自在文件规定签字处亲笔写上个人的名字的行为，私章、签字章、印鉴、影印等其他形式均不能代替亲笔签字。</w:t>
            </w:r>
          </w:p>
          <w:p w14:paraId="1FB892D8">
            <w:pPr>
              <w:pStyle w:val="25"/>
              <w:keepNext w:val="0"/>
              <w:keepLines w:val="0"/>
              <w:pageBreakBefore w:val="0"/>
              <w:widowControl w:val="0"/>
              <w:kinsoku/>
              <w:wordWrap/>
              <w:overflowPunct/>
              <w:topLinePunct w:val="0"/>
              <w:autoSpaceDE/>
              <w:autoSpaceDN/>
              <w:bidi w:val="0"/>
              <w:adjustRightInd/>
              <w:snapToGrid w:val="0"/>
              <w:spacing w:line="320" w:lineRule="exact"/>
              <w:textAlignment w:val="auto"/>
              <w:rPr>
                <w:rFonts w:hint="eastAsia" w:hAnsi="宋体"/>
                <w:sz w:val="21"/>
                <w:lang w:val="en-US" w:eastAsia="zh-CN"/>
              </w:rPr>
            </w:pPr>
            <w:r>
              <w:rPr>
                <w:rFonts w:hint="eastAsia" w:hAnsi="宋体" w:cs="宋体"/>
                <w:bCs/>
                <w:sz w:val="21"/>
                <w:lang w:val="en-US" w:eastAsia="zh-CN"/>
              </w:rPr>
              <w:t>5.本招标文件所称的“以上”“以下”“以内”“届满”，包括本数；所称的“不满”“超过”“以外”，不包括本数。</w:t>
            </w:r>
          </w:p>
        </w:tc>
      </w:tr>
    </w:tbl>
    <w:p w14:paraId="0A0D9E97">
      <w:pPr>
        <w:pStyle w:val="4"/>
        <w:keepNext w:val="0"/>
        <w:keepLines w:val="0"/>
        <w:jc w:val="both"/>
        <w:rPr>
          <w:rFonts w:hint="eastAsia"/>
        </w:rPr>
      </w:pPr>
      <w:r>
        <w:br w:type="page"/>
      </w:r>
      <w:r>
        <w:rPr>
          <w:rFonts w:hint="eastAsia"/>
        </w:rPr>
        <w:t>投标人须知正文</w:t>
      </w:r>
    </w:p>
    <w:p w14:paraId="119104F8">
      <w:pPr>
        <w:pStyle w:val="4"/>
        <w:keepNext w:val="0"/>
        <w:keepLines w:val="0"/>
        <w:jc w:val="center"/>
        <w:rPr>
          <w:rFonts w:hint="eastAsia"/>
        </w:rPr>
      </w:pPr>
      <w:r>
        <w:rPr>
          <w:rFonts w:hint="eastAsia"/>
        </w:rPr>
        <w:t>一、总  则</w:t>
      </w:r>
    </w:p>
    <w:p w14:paraId="364FE35B">
      <w:pPr>
        <w:pStyle w:val="6"/>
        <w:keepNext w:val="0"/>
        <w:keepLines w:val="0"/>
        <w:spacing w:before="0" w:after="0" w:line="360" w:lineRule="auto"/>
        <w:ind w:left="420" w:leftChars="200"/>
        <w:rPr>
          <w:rFonts w:hint="eastAsia" w:ascii="黑体" w:hAnsi="黑体" w:eastAsia="黑体"/>
          <w:sz w:val="24"/>
        </w:rPr>
      </w:pPr>
      <w:bookmarkStart w:id="114" w:name="_Toc254970668"/>
      <w:bookmarkStart w:id="115" w:name="_Toc254970527"/>
      <w:r>
        <w:rPr>
          <w:rFonts w:hint="eastAsia" w:ascii="黑体" w:hAnsi="黑体" w:eastAsia="黑体"/>
          <w:sz w:val="24"/>
        </w:rPr>
        <w:t>1.适用范围</w:t>
      </w:r>
      <w:bookmarkEnd w:id="114"/>
      <w:bookmarkEnd w:id="115"/>
    </w:p>
    <w:p w14:paraId="2E1D845B">
      <w:pPr>
        <w:snapToGrid w:val="0"/>
        <w:spacing w:line="360" w:lineRule="auto"/>
        <w:ind w:firstLine="420" w:firstLineChars="200"/>
        <w:jc w:val="left"/>
        <w:rPr>
          <w:rFonts w:hint="eastAsia" w:ascii="宋体" w:hAnsi="宋体"/>
          <w:szCs w:val="21"/>
        </w:rPr>
      </w:pPr>
      <w:r>
        <w:rPr>
          <w:rFonts w:hint="eastAsia" w:ascii="宋体" w:hAnsi="宋体"/>
          <w:szCs w:val="21"/>
        </w:rPr>
        <w:t>1.1适用法律：本项目采购人、采购代理机构、投标人、评标委员会的相关行为均受《中华人民共和国政府采购法》、《中华人民共和国政府采购法实施条例》、《政府采购货物和服务招标投标管理办法》及本项目本级和上级财政部门对政府采购有关规定的约束和保护。</w:t>
      </w:r>
    </w:p>
    <w:p w14:paraId="376E8D17">
      <w:pPr>
        <w:snapToGrid w:val="0"/>
        <w:spacing w:line="360" w:lineRule="auto"/>
        <w:ind w:firstLine="420" w:firstLineChars="200"/>
        <w:jc w:val="left"/>
        <w:rPr>
          <w:rFonts w:ascii="宋体" w:hAnsi="宋体" w:cs="宋体"/>
          <w:spacing w:val="-6"/>
          <w:szCs w:val="21"/>
        </w:rPr>
      </w:pPr>
      <w:r>
        <w:rPr>
          <w:rFonts w:hint="eastAsia" w:ascii="宋体" w:hAnsi="宋体"/>
          <w:szCs w:val="21"/>
        </w:rPr>
        <w:t>1.2本招标文件</w:t>
      </w:r>
      <w:r>
        <w:rPr>
          <w:rFonts w:hint="eastAsia" w:ascii="宋体" w:hAnsi="宋体" w:cs="宋体"/>
          <w:spacing w:val="-6"/>
          <w:szCs w:val="21"/>
        </w:rPr>
        <w:t>适用于本项目的所有采购程序和环节（法律、法规另有规定的，从其规定）。</w:t>
      </w:r>
    </w:p>
    <w:p w14:paraId="3FFBEDD2">
      <w:pPr>
        <w:pStyle w:val="6"/>
        <w:keepNext w:val="0"/>
        <w:keepLines w:val="0"/>
        <w:spacing w:before="0" w:after="0" w:line="360" w:lineRule="auto"/>
        <w:ind w:left="420" w:leftChars="200"/>
        <w:rPr>
          <w:rFonts w:hint="eastAsia" w:ascii="黑体" w:hAnsi="黑体" w:eastAsia="黑体"/>
          <w:sz w:val="24"/>
        </w:rPr>
      </w:pPr>
      <w:bookmarkStart w:id="116" w:name="_Toc254970669"/>
      <w:bookmarkStart w:id="117" w:name="_Toc254970528"/>
      <w:r>
        <w:rPr>
          <w:rFonts w:hint="eastAsia" w:ascii="黑体" w:hAnsi="黑体" w:eastAsia="黑体"/>
          <w:sz w:val="24"/>
        </w:rPr>
        <w:t>2.定义</w:t>
      </w:r>
      <w:bookmarkEnd w:id="116"/>
      <w:bookmarkEnd w:id="117"/>
    </w:p>
    <w:p w14:paraId="708076F4">
      <w:pPr>
        <w:pStyle w:val="6"/>
        <w:keepNext w:val="0"/>
        <w:keepLines w:val="0"/>
        <w:spacing w:before="0" w:after="0" w:line="360" w:lineRule="auto"/>
        <w:ind w:left="420" w:leftChars="200"/>
        <w:rPr>
          <w:rFonts w:hint="eastAsia" w:ascii="宋体" w:hAnsi="宋体"/>
          <w:b w:val="0"/>
          <w:sz w:val="21"/>
          <w:szCs w:val="21"/>
        </w:rPr>
      </w:pPr>
      <w:r>
        <w:rPr>
          <w:rFonts w:hint="eastAsia" w:ascii="宋体" w:hAnsi="宋体"/>
          <w:b w:val="0"/>
          <w:sz w:val="21"/>
          <w:szCs w:val="21"/>
        </w:rPr>
        <w:t>2.1“采购人”是指依法进行政府采购的国家机关、事业单位、团体组织。</w:t>
      </w:r>
    </w:p>
    <w:p w14:paraId="432FF63F">
      <w:pPr>
        <w:pStyle w:val="6"/>
        <w:keepNext w:val="0"/>
        <w:keepLines w:val="0"/>
        <w:spacing w:before="0" w:after="0" w:line="360" w:lineRule="auto"/>
        <w:ind w:left="420" w:leftChars="200"/>
        <w:rPr>
          <w:rFonts w:hint="eastAsia" w:ascii="宋体" w:hAnsi="宋体"/>
          <w:b w:val="0"/>
          <w:sz w:val="21"/>
          <w:szCs w:val="21"/>
        </w:rPr>
      </w:pPr>
      <w:r>
        <w:rPr>
          <w:rFonts w:hint="eastAsia" w:ascii="宋体" w:hAnsi="宋体"/>
          <w:b w:val="0"/>
          <w:sz w:val="21"/>
          <w:szCs w:val="21"/>
        </w:rPr>
        <w:t>2.2“采购代理机构”是指政府采购集中采购机构和集中采购机构以外的采购代理机构。</w:t>
      </w:r>
    </w:p>
    <w:p w14:paraId="493EB0FF">
      <w:pPr>
        <w:pStyle w:val="6"/>
        <w:keepNext w:val="0"/>
        <w:keepLines w:val="0"/>
        <w:spacing w:before="0" w:after="0" w:line="360" w:lineRule="auto"/>
        <w:ind w:left="420" w:leftChars="200"/>
        <w:rPr>
          <w:rFonts w:hint="eastAsia" w:ascii="宋体" w:hAnsi="宋体"/>
          <w:b w:val="0"/>
          <w:sz w:val="21"/>
          <w:szCs w:val="21"/>
        </w:rPr>
      </w:pPr>
      <w:r>
        <w:rPr>
          <w:rFonts w:hint="eastAsia" w:ascii="宋体" w:hAnsi="宋体"/>
          <w:b w:val="0"/>
          <w:sz w:val="21"/>
          <w:szCs w:val="21"/>
        </w:rPr>
        <w:t>2.3“供应商”是指向采购人提供货物、工程或者服务的法人、其他组织或者自然人。</w:t>
      </w:r>
    </w:p>
    <w:p w14:paraId="4FBB46B6">
      <w:pPr>
        <w:pStyle w:val="7"/>
        <w:spacing w:line="360" w:lineRule="auto"/>
        <w:rPr>
          <w:rFonts w:hint="eastAsia" w:ascii="宋体" w:hAnsi="宋体"/>
          <w:szCs w:val="21"/>
        </w:rPr>
      </w:pPr>
      <w:r>
        <w:rPr>
          <w:rFonts w:hint="eastAsia" w:ascii="宋体" w:hAnsi="宋体"/>
          <w:szCs w:val="21"/>
        </w:rPr>
        <w:t>2.4“投标人”是指响应招标、参加投标竞争的法人、其他组织或者自然人。</w:t>
      </w:r>
    </w:p>
    <w:p w14:paraId="6A2CD471">
      <w:pPr>
        <w:pStyle w:val="6"/>
        <w:keepNext w:val="0"/>
        <w:keepLines w:val="0"/>
        <w:spacing w:before="0" w:after="0" w:line="360" w:lineRule="auto"/>
        <w:ind w:firstLine="420" w:firstLineChars="200"/>
        <w:rPr>
          <w:rFonts w:hint="eastAsia" w:ascii="宋体" w:hAnsi="宋体"/>
          <w:b w:val="0"/>
          <w:sz w:val="21"/>
          <w:szCs w:val="21"/>
        </w:rPr>
      </w:pPr>
      <w:r>
        <w:rPr>
          <w:rFonts w:hint="eastAsia" w:ascii="宋体" w:hAnsi="宋体"/>
          <w:b w:val="0"/>
          <w:sz w:val="21"/>
          <w:szCs w:val="21"/>
        </w:rPr>
        <w:t>2.5“货物”是指各种形态和种类的物品，包括原材料、燃料、设备、产品等。</w:t>
      </w:r>
    </w:p>
    <w:p w14:paraId="1EF81585">
      <w:pPr>
        <w:pStyle w:val="6"/>
        <w:keepNext w:val="0"/>
        <w:keepLines w:val="0"/>
        <w:spacing w:before="0" w:after="0" w:line="360" w:lineRule="auto"/>
        <w:ind w:firstLine="420" w:firstLineChars="200"/>
        <w:rPr>
          <w:rFonts w:hint="eastAsia" w:ascii="宋体" w:hAnsi="宋体"/>
          <w:b w:val="0"/>
          <w:sz w:val="21"/>
          <w:szCs w:val="21"/>
        </w:rPr>
      </w:pPr>
      <w:r>
        <w:rPr>
          <w:rFonts w:hint="eastAsia" w:ascii="宋体" w:hAnsi="宋体"/>
          <w:b w:val="0"/>
          <w:sz w:val="21"/>
          <w:szCs w:val="21"/>
        </w:rPr>
        <w:t>2.6“售后服务”是指商品出售以后所提供的各种服务，包含但不限于投标人须承担的备品备件、包装、运输、装卸、保险、货到就位以及安装、调试、培训、质保以及其他各种服务。</w:t>
      </w:r>
    </w:p>
    <w:p w14:paraId="60F49CE4">
      <w:pPr>
        <w:pStyle w:val="6"/>
        <w:keepNext w:val="0"/>
        <w:keepLines w:val="0"/>
        <w:spacing w:before="0" w:after="0" w:line="360" w:lineRule="auto"/>
        <w:rPr>
          <w:rFonts w:hint="eastAsia" w:ascii="宋体" w:hAnsi="宋体"/>
          <w:b w:val="0"/>
          <w:sz w:val="21"/>
          <w:szCs w:val="21"/>
        </w:rPr>
      </w:pPr>
      <w:r>
        <w:rPr>
          <w:rFonts w:hint="eastAsia" w:ascii="宋体" w:hAnsi="宋体"/>
          <w:b w:val="0"/>
          <w:sz w:val="21"/>
          <w:szCs w:val="21"/>
        </w:rPr>
        <w:t xml:space="preserve">    2.7“书面形式”是指合同书、信件和数据电文（包括电报、电传、传真、电子数据交换和电子邮件）等可以有形地表现所载内容的形式。</w:t>
      </w:r>
    </w:p>
    <w:p w14:paraId="021ED720">
      <w:pPr>
        <w:pStyle w:val="6"/>
        <w:keepNext w:val="0"/>
        <w:keepLines w:val="0"/>
        <w:spacing w:before="0" w:after="0" w:line="360" w:lineRule="auto"/>
        <w:ind w:firstLine="420" w:firstLineChars="200"/>
        <w:rPr>
          <w:rFonts w:hint="eastAsia" w:ascii="宋体" w:hAnsi="宋体"/>
          <w:b w:val="0"/>
          <w:sz w:val="21"/>
          <w:szCs w:val="21"/>
        </w:rPr>
      </w:pPr>
      <w:r>
        <w:rPr>
          <w:rFonts w:hint="eastAsia" w:ascii="宋体" w:hAnsi="宋体"/>
          <w:b w:val="0"/>
          <w:sz w:val="21"/>
          <w:szCs w:val="21"/>
        </w:rPr>
        <w:t>2.8“实质性要求”是指招标文件中已经指明不满足则投标无效的条款，或者不能负偏离的条款，或者采购需求中带“▲”的条款。</w:t>
      </w:r>
    </w:p>
    <w:p w14:paraId="34AD8204">
      <w:pPr>
        <w:snapToGrid w:val="0"/>
        <w:spacing w:line="360" w:lineRule="auto"/>
        <w:ind w:firstLine="420" w:firstLineChars="200"/>
        <w:jc w:val="left"/>
        <w:rPr>
          <w:rFonts w:ascii="宋体" w:hAnsi="宋体" w:cs="宋体"/>
          <w:szCs w:val="21"/>
        </w:rPr>
      </w:pPr>
      <w:r>
        <w:rPr>
          <w:rFonts w:hint="eastAsia" w:ascii="宋体" w:hAnsi="宋体"/>
          <w:szCs w:val="21"/>
        </w:rPr>
        <w:t xml:space="preserve">2.9 </w:t>
      </w:r>
      <w:r>
        <w:rPr>
          <w:rFonts w:hint="eastAsia" w:ascii="宋体" w:hAnsi="宋体" w:cs="宋体"/>
          <w:szCs w:val="21"/>
        </w:rPr>
        <w:t>“正偏离”，是指投标文件对招标文件“采购需求”中有关条款作出的响应优于条款要求并有利于采购人的情形。</w:t>
      </w:r>
    </w:p>
    <w:p w14:paraId="3CF14BC6">
      <w:pPr>
        <w:snapToGrid w:val="0"/>
        <w:spacing w:line="360" w:lineRule="auto"/>
        <w:ind w:firstLine="420" w:firstLineChars="200"/>
        <w:jc w:val="left"/>
        <w:rPr>
          <w:rFonts w:ascii="宋体" w:hAnsi="宋体" w:cs="宋体"/>
          <w:szCs w:val="21"/>
        </w:rPr>
      </w:pPr>
      <w:r>
        <w:rPr>
          <w:rFonts w:ascii="宋体" w:hAnsi="宋体" w:cs="宋体"/>
          <w:szCs w:val="21"/>
        </w:rPr>
        <w:t>2.10</w:t>
      </w:r>
      <w:r>
        <w:rPr>
          <w:rFonts w:hint="eastAsia" w:ascii="宋体" w:hAnsi="宋体" w:cs="宋体"/>
          <w:szCs w:val="21"/>
        </w:rPr>
        <w:t>“负偏离”，是指投标文件对招标文件“采购需求”中有关条款作出的响应不满足条款要求，导致采购人要求不能得到满足的情形。</w:t>
      </w:r>
    </w:p>
    <w:p w14:paraId="06A6553C">
      <w:pPr>
        <w:snapToGrid w:val="0"/>
        <w:spacing w:line="360" w:lineRule="auto"/>
        <w:ind w:firstLine="420" w:firstLineChars="200"/>
        <w:jc w:val="left"/>
        <w:rPr>
          <w:rFonts w:ascii="宋体" w:hAnsi="宋体" w:cs="宋体"/>
          <w:szCs w:val="21"/>
        </w:rPr>
      </w:pPr>
      <w:r>
        <w:rPr>
          <w:rFonts w:hint="eastAsia" w:ascii="宋体" w:hAnsi="宋体"/>
          <w:szCs w:val="21"/>
        </w:rPr>
        <w:t>2.1</w:t>
      </w:r>
      <w:r>
        <w:rPr>
          <w:rFonts w:ascii="宋体" w:hAnsi="宋体"/>
          <w:szCs w:val="21"/>
        </w:rPr>
        <w:t>1</w:t>
      </w:r>
      <w:r>
        <w:rPr>
          <w:rFonts w:hint="eastAsia" w:ascii="宋体" w:hAnsi="宋体" w:cs="宋体"/>
          <w:szCs w:val="21"/>
        </w:rPr>
        <w:t>“允许负偏离的条款”是指采购需求中的不属于“实质性要求”的条款。</w:t>
      </w:r>
      <w:bookmarkStart w:id="118" w:name="_Toc254970529"/>
      <w:bookmarkStart w:id="119" w:name="_Toc254970670"/>
    </w:p>
    <w:p w14:paraId="653F7285">
      <w:pPr>
        <w:pStyle w:val="6"/>
        <w:keepNext w:val="0"/>
        <w:keepLines w:val="0"/>
        <w:spacing w:before="0" w:after="0" w:line="360" w:lineRule="auto"/>
        <w:ind w:left="420" w:leftChars="200"/>
        <w:rPr>
          <w:rFonts w:hint="eastAsia" w:ascii="黑体" w:hAnsi="黑体" w:eastAsia="黑体"/>
          <w:sz w:val="24"/>
        </w:rPr>
      </w:pPr>
      <w:r>
        <w:rPr>
          <w:rFonts w:hint="eastAsia" w:ascii="黑体" w:hAnsi="黑体" w:eastAsia="黑体"/>
          <w:sz w:val="24"/>
        </w:rPr>
        <w:t>3.</w:t>
      </w:r>
      <w:bookmarkEnd w:id="118"/>
      <w:bookmarkEnd w:id="119"/>
      <w:r>
        <w:rPr>
          <w:rFonts w:hint="eastAsia" w:ascii="黑体" w:hAnsi="黑体" w:eastAsia="黑体"/>
          <w:sz w:val="24"/>
        </w:rPr>
        <w:t>投标人的资格要求</w:t>
      </w:r>
    </w:p>
    <w:p w14:paraId="16AEF2EB">
      <w:pPr>
        <w:snapToGrid w:val="0"/>
        <w:spacing w:line="360" w:lineRule="auto"/>
        <w:ind w:firstLine="420" w:firstLineChars="200"/>
        <w:jc w:val="left"/>
        <w:rPr>
          <w:rFonts w:hint="eastAsia" w:ascii="宋体" w:hAnsi="宋体"/>
          <w:szCs w:val="21"/>
        </w:rPr>
      </w:pPr>
      <w:r>
        <w:rPr>
          <w:rFonts w:hint="eastAsia" w:ascii="宋体" w:hAnsi="宋体"/>
          <w:szCs w:val="21"/>
        </w:rPr>
        <w:t>投标人的资格要求详见“投标人须知前附表”。</w:t>
      </w:r>
    </w:p>
    <w:p w14:paraId="53C230C8">
      <w:pPr>
        <w:pStyle w:val="6"/>
        <w:keepNext w:val="0"/>
        <w:keepLines w:val="0"/>
        <w:spacing w:before="0" w:after="0" w:line="360" w:lineRule="auto"/>
        <w:ind w:left="420" w:leftChars="200"/>
        <w:rPr>
          <w:rFonts w:hint="eastAsia" w:ascii="黑体" w:hAnsi="黑体" w:eastAsia="黑体"/>
          <w:sz w:val="24"/>
        </w:rPr>
      </w:pPr>
      <w:bookmarkStart w:id="120" w:name="_Toc254970671"/>
      <w:bookmarkStart w:id="121" w:name="_Toc254970530"/>
      <w:r>
        <w:rPr>
          <w:rFonts w:hint="eastAsia" w:ascii="黑体" w:hAnsi="黑体" w:eastAsia="黑体"/>
          <w:sz w:val="24"/>
        </w:rPr>
        <w:t>4.投标委托</w:t>
      </w:r>
      <w:bookmarkEnd w:id="120"/>
      <w:bookmarkEnd w:id="121"/>
    </w:p>
    <w:p w14:paraId="322DC676">
      <w:pPr>
        <w:snapToGrid w:val="0"/>
        <w:spacing w:line="360" w:lineRule="auto"/>
        <w:ind w:firstLine="420" w:firstLineChars="200"/>
        <w:jc w:val="left"/>
        <w:rPr>
          <w:rFonts w:hint="eastAsia" w:ascii="宋体" w:hAnsi="宋体"/>
          <w:szCs w:val="21"/>
        </w:rPr>
      </w:pPr>
      <w:r>
        <w:rPr>
          <w:rFonts w:hint="eastAsia" w:ascii="宋体" w:hAnsi="宋体"/>
          <w:szCs w:val="21"/>
        </w:rPr>
        <w:t>投标人代表参加投标活动过程中必须携带个人有效身份证件。如投标人代表不是法定代表人，须持有授权委托书（按第六章要求格式填写）。</w:t>
      </w:r>
    </w:p>
    <w:p w14:paraId="031FCE74">
      <w:pPr>
        <w:pStyle w:val="6"/>
        <w:keepNext w:val="0"/>
        <w:keepLines w:val="0"/>
        <w:spacing w:before="0" w:after="0" w:line="360" w:lineRule="auto"/>
        <w:ind w:left="420" w:leftChars="200"/>
        <w:rPr>
          <w:rFonts w:hint="eastAsia" w:ascii="黑体" w:hAnsi="黑体" w:eastAsia="黑体"/>
          <w:sz w:val="24"/>
        </w:rPr>
      </w:pPr>
      <w:bookmarkStart w:id="122" w:name="_5.投标费用"/>
      <w:bookmarkEnd w:id="122"/>
      <w:bookmarkStart w:id="123" w:name="_Toc254970531"/>
      <w:bookmarkStart w:id="124" w:name="_Toc254970672"/>
      <w:r>
        <w:rPr>
          <w:rFonts w:hint="eastAsia" w:ascii="黑体" w:hAnsi="黑体" w:eastAsia="黑体"/>
          <w:sz w:val="24"/>
        </w:rPr>
        <w:t>5.投标费用</w:t>
      </w:r>
      <w:bookmarkEnd w:id="123"/>
      <w:bookmarkEnd w:id="124"/>
    </w:p>
    <w:p w14:paraId="71D5EFA0">
      <w:pPr>
        <w:snapToGrid w:val="0"/>
        <w:spacing w:line="360" w:lineRule="auto"/>
        <w:ind w:firstLine="420" w:firstLineChars="200"/>
        <w:jc w:val="left"/>
        <w:rPr>
          <w:rFonts w:hint="eastAsia" w:ascii="宋体" w:hAnsi="宋体"/>
          <w:szCs w:val="21"/>
        </w:rPr>
      </w:pPr>
      <w:r>
        <w:rPr>
          <w:rFonts w:hint="eastAsia" w:ascii="宋体" w:hAnsi="宋体" w:cs="宋体"/>
          <w:szCs w:val="21"/>
        </w:rPr>
        <w:t>投标费用：投标人应承担参与本次采购活动有关的所有费用，包括但不限于获取招标文件、勘查现场、编制和提交投标文件、参加澄清说明、签订合同等，不论投标结果如何，均应自行承担。</w:t>
      </w:r>
    </w:p>
    <w:p w14:paraId="18BB6FAC">
      <w:pPr>
        <w:pStyle w:val="6"/>
        <w:keepNext w:val="0"/>
        <w:keepLines w:val="0"/>
        <w:spacing w:before="0" w:after="0" w:line="360" w:lineRule="auto"/>
        <w:ind w:left="420" w:leftChars="200"/>
        <w:rPr>
          <w:rFonts w:hint="eastAsia" w:ascii="黑体" w:hAnsi="黑体" w:eastAsia="黑体"/>
          <w:sz w:val="24"/>
        </w:rPr>
      </w:pPr>
      <w:r>
        <w:rPr>
          <w:rFonts w:hint="eastAsia" w:ascii="黑体" w:hAnsi="黑体" w:eastAsia="黑体"/>
          <w:sz w:val="24"/>
        </w:rPr>
        <w:t>6.联合体投标</w:t>
      </w:r>
    </w:p>
    <w:p w14:paraId="4C7B1C78">
      <w:pPr>
        <w:snapToGrid w:val="0"/>
        <w:spacing w:line="360" w:lineRule="auto"/>
        <w:ind w:firstLine="420" w:firstLineChars="200"/>
        <w:jc w:val="left"/>
        <w:rPr>
          <w:rFonts w:ascii="宋体" w:hAnsi="宋体"/>
          <w:szCs w:val="21"/>
        </w:rPr>
      </w:pPr>
      <w:r>
        <w:rPr>
          <w:rFonts w:hint="eastAsia" w:ascii="宋体" w:hAnsi="宋体"/>
          <w:szCs w:val="21"/>
        </w:rPr>
        <w:t>6.1本项目是否接受联合体投标，详见“投标人须知前附表”。</w:t>
      </w:r>
    </w:p>
    <w:p w14:paraId="6EE6C6DB">
      <w:pPr>
        <w:snapToGrid w:val="0"/>
        <w:spacing w:line="360" w:lineRule="auto"/>
        <w:ind w:firstLine="420" w:firstLineChars="200"/>
        <w:jc w:val="left"/>
        <w:rPr>
          <w:rFonts w:ascii="宋体" w:hAnsi="宋体"/>
          <w:bCs/>
          <w:szCs w:val="21"/>
        </w:rPr>
      </w:pPr>
      <w:r>
        <w:rPr>
          <w:rFonts w:hint="eastAsia" w:ascii="宋体" w:hAnsi="宋体"/>
          <w:bCs/>
          <w:szCs w:val="21"/>
        </w:rPr>
        <w:t>6.2如接受联合体投标，联合体投标要求详见“投标人须知前附表”。</w:t>
      </w:r>
    </w:p>
    <w:p w14:paraId="444C6A67">
      <w:pPr>
        <w:pStyle w:val="6"/>
        <w:keepNext w:val="0"/>
        <w:keepLines w:val="0"/>
        <w:spacing w:before="0" w:after="0" w:line="360" w:lineRule="auto"/>
        <w:ind w:firstLine="424" w:firstLineChars="202"/>
        <w:rPr>
          <w:rFonts w:hint="eastAsia" w:ascii="黑体" w:hAnsi="黑体" w:eastAsia="黑体"/>
          <w:sz w:val="24"/>
        </w:rPr>
      </w:pPr>
      <w:r>
        <w:rPr>
          <w:rFonts w:hint="eastAsia" w:ascii="宋体" w:hAnsi="宋体"/>
          <w:b w:val="0"/>
          <w:bCs/>
          <w:sz w:val="21"/>
          <w:szCs w:val="21"/>
        </w:rPr>
        <w:t>6.3</w:t>
      </w:r>
      <w:r>
        <w:rPr>
          <w:rFonts w:ascii="宋体" w:hAnsi="宋体"/>
          <w:b w:val="0"/>
          <w:bCs/>
          <w:sz w:val="21"/>
          <w:szCs w:val="21"/>
        </w:rPr>
        <w:t xml:space="preserve"> </w:t>
      </w:r>
      <w:bookmarkStart w:id="125" w:name="_Hlk65857072"/>
      <w:r>
        <w:rPr>
          <w:rFonts w:hint="eastAsia" w:ascii="宋体" w:hAnsi="宋体"/>
          <w:b w:val="0"/>
          <w:bCs/>
          <w:sz w:val="21"/>
          <w:szCs w:val="21"/>
        </w:rPr>
        <w:t>根据《政府采购促进中小企业发展管理办法》（财库〔2020〕46号）及《广西壮族自治区财政厅关于持续优化政府采购营商环境推动高质量发展的通知》（桂财采〔2024〕55号）的规定，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4%-6%的扣除，用扣除后的价格参加评审。</w:t>
      </w:r>
      <w:bookmarkEnd w:id="125"/>
    </w:p>
    <w:p w14:paraId="0B501144">
      <w:pPr>
        <w:pStyle w:val="6"/>
        <w:keepNext w:val="0"/>
        <w:keepLines w:val="0"/>
        <w:spacing w:before="0" w:after="0" w:line="360" w:lineRule="auto"/>
        <w:ind w:left="420" w:leftChars="200"/>
        <w:rPr>
          <w:rFonts w:hint="eastAsia" w:ascii="黑体" w:hAnsi="黑体" w:eastAsia="黑体"/>
          <w:sz w:val="24"/>
        </w:rPr>
      </w:pPr>
      <w:r>
        <w:rPr>
          <w:rFonts w:hint="eastAsia" w:ascii="黑体" w:hAnsi="黑体" w:eastAsia="黑体"/>
          <w:sz w:val="24"/>
        </w:rPr>
        <w:t xml:space="preserve">7.转包与分包             </w:t>
      </w:r>
    </w:p>
    <w:p w14:paraId="450D42E5">
      <w:pPr>
        <w:pStyle w:val="6"/>
        <w:keepNext w:val="0"/>
        <w:keepLines w:val="0"/>
        <w:spacing w:before="0" w:after="0" w:line="360" w:lineRule="auto"/>
        <w:ind w:left="420" w:leftChars="200"/>
        <w:rPr>
          <w:rFonts w:hint="eastAsia" w:ascii="宋体" w:hAnsi="宋体"/>
          <w:b w:val="0"/>
          <w:sz w:val="21"/>
          <w:szCs w:val="21"/>
        </w:rPr>
      </w:pPr>
      <w:r>
        <w:rPr>
          <w:rFonts w:hint="eastAsia" w:ascii="宋体" w:hAnsi="宋体"/>
          <w:b w:val="0"/>
          <w:sz w:val="21"/>
          <w:szCs w:val="21"/>
        </w:rPr>
        <w:t>7.1本项目不允许转包（另有约定的除外）。</w:t>
      </w:r>
    </w:p>
    <w:p w14:paraId="36B71BD4">
      <w:pPr>
        <w:pStyle w:val="6"/>
        <w:keepNext w:val="0"/>
        <w:keepLines w:val="0"/>
        <w:spacing w:before="0" w:after="0" w:line="360" w:lineRule="auto"/>
        <w:ind w:firstLine="315" w:firstLineChars="150"/>
        <w:rPr>
          <w:rFonts w:hint="eastAsia" w:ascii="宋体" w:hAnsi="宋体"/>
          <w:b w:val="0"/>
          <w:sz w:val="21"/>
          <w:szCs w:val="21"/>
        </w:rPr>
      </w:pPr>
      <w:r>
        <w:rPr>
          <w:rFonts w:hint="eastAsia" w:ascii="宋体" w:hAnsi="宋体"/>
          <w:b w:val="0"/>
          <w:sz w:val="21"/>
          <w:szCs w:val="21"/>
        </w:rPr>
        <w:t xml:space="preserve"> 7.2本项目是否允许分包详见“投标人须知前附表”，本项目不允许违法分包。允许分包的非主体、非关键性工作，根据法律法规规定承担该工作需要行政许可的，如该工作由投标人自行承担，投标人应具备相应的行政许可，如投标人不具备相应的行政许可必须采用分包的方式，但分包投标人应具备相应行政许可。</w:t>
      </w:r>
    </w:p>
    <w:p w14:paraId="7A1D289A">
      <w:pPr>
        <w:pStyle w:val="6"/>
        <w:keepNext w:val="0"/>
        <w:keepLines w:val="0"/>
        <w:spacing w:before="0" w:after="0" w:line="360" w:lineRule="auto"/>
        <w:ind w:firstLine="315" w:firstLineChars="150"/>
        <w:rPr>
          <w:rFonts w:hint="eastAsia" w:ascii="宋体" w:hAnsi="宋体"/>
          <w:b w:val="0"/>
          <w:sz w:val="21"/>
          <w:szCs w:val="21"/>
        </w:rPr>
      </w:pPr>
      <w:r>
        <w:rPr>
          <w:rFonts w:hint="eastAsia" w:ascii="宋体" w:hAnsi="宋体"/>
          <w:b w:val="0"/>
          <w:sz w:val="21"/>
          <w:szCs w:val="21"/>
        </w:rPr>
        <w:t xml:space="preserve"> 7.3投标人根据招标文件的规定和采购项目的实际情况，拟在中标后将中标项目的非主体、非关键性工作分包的，应当在投标文件中载明分包承担主体，分包承担主体应当具备相应资质条件且不得再次分包。</w:t>
      </w:r>
    </w:p>
    <w:p w14:paraId="130CF164">
      <w:pPr>
        <w:pStyle w:val="6"/>
        <w:keepNext w:val="0"/>
        <w:keepLines w:val="0"/>
        <w:spacing w:before="0" w:after="0" w:line="360" w:lineRule="auto"/>
        <w:ind w:left="420" w:leftChars="200"/>
        <w:rPr>
          <w:rFonts w:hint="eastAsia" w:ascii="黑体" w:hAnsi="黑体" w:eastAsia="黑体"/>
          <w:sz w:val="24"/>
        </w:rPr>
      </w:pPr>
      <w:bookmarkStart w:id="126" w:name="_Toc254970532"/>
      <w:bookmarkStart w:id="127" w:name="_Toc254970673"/>
      <w:r>
        <w:rPr>
          <w:rFonts w:hint="eastAsia" w:ascii="黑体" w:hAnsi="黑体" w:eastAsia="黑体"/>
          <w:sz w:val="24"/>
        </w:rPr>
        <w:t>8.特别说明</w:t>
      </w:r>
      <w:bookmarkEnd w:id="126"/>
      <w:bookmarkEnd w:id="127"/>
    </w:p>
    <w:p w14:paraId="45ECC94F">
      <w:pPr>
        <w:pStyle w:val="6"/>
        <w:keepNext w:val="0"/>
        <w:keepLines w:val="0"/>
        <w:spacing w:before="0" w:after="0" w:line="360" w:lineRule="auto"/>
        <w:ind w:firstLine="420" w:firstLineChars="200"/>
        <w:rPr>
          <w:rFonts w:hint="eastAsia" w:ascii="宋体" w:hAnsi="宋体"/>
          <w:b w:val="0"/>
          <w:sz w:val="21"/>
          <w:szCs w:val="21"/>
        </w:rPr>
      </w:pPr>
      <w:bookmarkStart w:id="128" w:name="_8.1提供相同品牌产品且通过资格审查、符合性审查的不同投标人参加同一合"/>
      <w:bookmarkEnd w:id="128"/>
      <w:r>
        <w:rPr>
          <w:rFonts w:ascii="宋体" w:hAnsi="宋体"/>
          <w:b w:val="0"/>
          <w:sz w:val="21"/>
          <w:szCs w:val="21"/>
        </w:rPr>
        <w:fldChar w:fldCharType="begin"/>
      </w:r>
      <w:r>
        <w:rPr>
          <w:rFonts w:ascii="宋体" w:hAnsi="宋体"/>
          <w:b w:val="0"/>
          <w:sz w:val="21"/>
          <w:szCs w:val="21"/>
        </w:rPr>
        <w:instrText xml:space="preserve"> HYPERLINK  \l "_8.1" </w:instrText>
      </w:r>
      <w:r>
        <w:rPr>
          <w:rFonts w:ascii="宋体" w:hAnsi="宋体"/>
          <w:b w:val="0"/>
          <w:sz w:val="21"/>
          <w:szCs w:val="21"/>
        </w:rPr>
        <w:fldChar w:fldCharType="separate"/>
      </w:r>
      <w:r>
        <w:rPr>
          <w:rFonts w:hint="eastAsia" w:ascii="宋体" w:hAnsi="宋体"/>
          <w:b w:val="0"/>
          <w:sz w:val="21"/>
          <w:szCs w:val="21"/>
        </w:rPr>
        <w:t>8.1</w:t>
      </w:r>
      <w:r>
        <w:rPr>
          <w:rFonts w:ascii="宋体" w:hAnsi="宋体"/>
          <w:b w:val="0"/>
          <w:sz w:val="21"/>
          <w:szCs w:val="21"/>
        </w:rPr>
        <w:fldChar w:fldCharType="end"/>
      </w:r>
      <w:r>
        <w:rPr>
          <w:rFonts w:hint="eastAsia" w:ascii="宋体" w:hAnsi="宋体"/>
          <w:b w:val="0"/>
          <w:sz w:val="21"/>
          <w:szCs w:val="21"/>
        </w:rPr>
        <w:t>采用最低评标价法的采购项目，提供相同品牌产品的不同投标人参加同一合同项下投标的，以其中通过资格审查、符合性审查且报价最低的参加评标；报价相同的，由采购人或者采购人委托评标委员会按照“投标人须知前附表”规定的方式确定一个参加评标的投标人，</w:t>
      </w:r>
      <w:r>
        <w:rPr>
          <w:rFonts w:hint="eastAsia" w:ascii="宋体" w:hAnsi="宋体"/>
          <w:sz w:val="22"/>
          <w:szCs w:val="22"/>
        </w:rPr>
        <w:t>其他投标无效。</w:t>
      </w:r>
    </w:p>
    <w:p w14:paraId="2D78ACD6">
      <w:pPr>
        <w:pStyle w:val="6"/>
        <w:keepNext w:val="0"/>
        <w:keepLines w:val="0"/>
        <w:spacing w:before="0" w:after="0" w:line="360" w:lineRule="auto"/>
        <w:ind w:firstLine="420" w:firstLineChars="200"/>
        <w:rPr>
          <w:rFonts w:hint="eastAsia" w:ascii="宋体" w:hAnsi="宋体"/>
          <w:b w:val="0"/>
          <w:sz w:val="21"/>
          <w:szCs w:val="21"/>
        </w:rPr>
      </w:pPr>
      <w:r>
        <w:rPr>
          <w:rFonts w:hint="eastAsia" w:ascii="宋体" w:hAnsi="宋体"/>
          <w:b w:val="0"/>
          <w:sz w:val="21"/>
          <w:szCs w:val="21"/>
        </w:rPr>
        <w:t>采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投标人须知前附表”规定的方式确定一个投标人获得中标人推荐资格，其他同品牌投标人不作为中标候选人。</w:t>
      </w:r>
    </w:p>
    <w:p w14:paraId="37DE1BF6">
      <w:pPr>
        <w:pStyle w:val="25"/>
        <w:snapToGrid w:val="0"/>
        <w:spacing w:line="360" w:lineRule="auto"/>
        <w:ind w:left="2" w:leftChars="1" w:firstLine="420" w:firstLineChars="200"/>
        <w:rPr>
          <w:rFonts w:hint="eastAsia" w:hAnsi="宋体"/>
          <w:kern w:val="2"/>
          <w:sz w:val="21"/>
        </w:rPr>
      </w:pPr>
      <w:r>
        <w:rPr>
          <w:rFonts w:hint="eastAsia" w:hAnsi="宋体"/>
          <w:kern w:val="2"/>
          <w:sz w:val="21"/>
        </w:rPr>
        <w:t>非单一产品采购项目，多家投标人提供的核心产品品牌相同的，</w:t>
      </w:r>
      <w:r>
        <w:rPr>
          <w:rFonts w:hint="eastAsia" w:hAnsi="宋体"/>
          <w:sz w:val="22"/>
          <w:szCs w:val="22"/>
        </w:rPr>
        <w:t>按前两款规定处理</w:t>
      </w:r>
      <w:r>
        <w:rPr>
          <w:rFonts w:hint="eastAsia" w:hAnsi="宋体"/>
          <w:kern w:val="2"/>
          <w:sz w:val="21"/>
        </w:rPr>
        <w:t>。</w:t>
      </w:r>
    </w:p>
    <w:p w14:paraId="5C137079">
      <w:pPr>
        <w:pStyle w:val="6"/>
        <w:keepNext w:val="0"/>
        <w:keepLines w:val="0"/>
        <w:spacing w:before="0" w:after="0" w:line="360" w:lineRule="auto"/>
        <w:ind w:firstLine="367" w:firstLineChars="175"/>
        <w:rPr>
          <w:rFonts w:hint="eastAsia" w:ascii="宋体" w:hAnsi="宋体"/>
          <w:b w:val="0"/>
          <w:sz w:val="21"/>
          <w:szCs w:val="21"/>
        </w:rPr>
      </w:pPr>
      <w:r>
        <w:rPr>
          <w:rFonts w:hint="eastAsia" w:ascii="宋体" w:hAnsi="宋体"/>
          <w:b w:val="0"/>
          <w:sz w:val="21"/>
          <w:szCs w:val="21"/>
        </w:rPr>
        <w:t xml:space="preserve"> 8.2如果本招标文件要求提供投标人或制造商的资格、信誉、荣誉、业绩与企业认证等材料的，资格、信誉、荣誉、业绩与企业认证等必须为投标人或者制造商所拥有或自身获得 。</w:t>
      </w:r>
    </w:p>
    <w:p w14:paraId="1860DDC0">
      <w:pPr>
        <w:pStyle w:val="6"/>
        <w:keepNext w:val="0"/>
        <w:keepLines w:val="0"/>
        <w:spacing w:before="0" w:after="0" w:line="360" w:lineRule="auto"/>
        <w:ind w:firstLine="367" w:firstLineChars="175"/>
        <w:rPr>
          <w:rFonts w:hint="eastAsia" w:ascii="宋体" w:hAnsi="宋体"/>
          <w:b w:val="0"/>
          <w:sz w:val="21"/>
          <w:szCs w:val="21"/>
        </w:rPr>
      </w:pPr>
      <w:r>
        <w:rPr>
          <w:rFonts w:hint="eastAsia" w:ascii="宋体" w:hAnsi="宋体"/>
          <w:b w:val="0"/>
          <w:sz w:val="21"/>
          <w:szCs w:val="21"/>
        </w:rPr>
        <w:t xml:space="preserve"> 8.3投标人应仔细阅读招标文件的所有内容，按照招标文件的要求提交投标文件，并对所提供的全部资料的真实性承担法律责任。</w:t>
      </w:r>
    </w:p>
    <w:p w14:paraId="15050287">
      <w:pPr>
        <w:pStyle w:val="6"/>
        <w:keepNext w:val="0"/>
        <w:keepLines w:val="0"/>
        <w:spacing w:before="0" w:after="0" w:line="360" w:lineRule="auto"/>
        <w:ind w:firstLine="367" w:firstLineChars="175"/>
        <w:rPr>
          <w:rFonts w:ascii="宋体" w:hAnsi="宋体"/>
          <w:b w:val="0"/>
          <w:sz w:val="21"/>
          <w:szCs w:val="21"/>
        </w:rPr>
      </w:pPr>
      <w:r>
        <w:rPr>
          <w:rFonts w:hint="eastAsia" w:ascii="宋体" w:hAnsi="宋体"/>
          <w:b w:val="0"/>
          <w:sz w:val="21"/>
          <w:szCs w:val="21"/>
        </w:rPr>
        <w:t xml:space="preserve"> 8.4投标人在投标活动中提供任何虚假材料，将报监管部门查处；中标后发现的，中标人须依照《中华人民共和国消费者权益保护法》规定赔偿采购人，且民事赔偿并不免除违法投标人的行政与刑事责任。</w:t>
      </w:r>
    </w:p>
    <w:p w14:paraId="39330C40">
      <w:pPr>
        <w:pStyle w:val="7"/>
        <w:spacing w:line="360" w:lineRule="auto"/>
      </w:pPr>
      <w:r>
        <w:t>8.5</w:t>
      </w:r>
      <w:r>
        <w:rPr>
          <w:rFonts w:hint="eastAsia"/>
        </w:rPr>
        <w:t>根据《国务院办公厅关于在政府采购中实施本国产品标准及相关政策的通知》（国办发〔2025〕34号）的规定，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15861421">
      <w:pPr>
        <w:pStyle w:val="7"/>
        <w:spacing w:line="360" w:lineRule="auto"/>
      </w:pPr>
      <w:r>
        <w:rPr>
          <w:rFonts w:hint="eastAsia"/>
        </w:rPr>
        <w:t>产品在中国境内生产的组件成本占比应当达到规定比例，计算公式为：</w:t>
      </w:r>
    </w:p>
    <w:p w14:paraId="1F761500">
      <w:pPr>
        <w:widowControl/>
        <w:shd w:val="clear" w:color="auto" w:fill="FFFFFF"/>
        <w:spacing w:before="30" w:after="30" w:line="360" w:lineRule="auto"/>
        <w:jc w:val="center"/>
        <w:rPr>
          <w:rFonts w:hint="eastAsia" w:ascii="宋体" w:hAnsi="宋体" w:cs="宋体"/>
          <w:kern w:val="0"/>
          <w:sz w:val="24"/>
        </w:rPr>
      </w:pPr>
      <w:r>
        <w:rPr>
          <w:rFonts w:ascii="宋体" w:hAnsi="宋体" w:cs="宋体"/>
          <w:kern w:val="0"/>
          <w:sz w:val="24"/>
        </w:rPr>
        <w:drawing>
          <wp:inline distT="0" distB="0" distL="114300" distR="114300">
            <wp:extent cx="4827905" cy="762635"/>
            <wp:effectExtent l="0" t="0" r="10795" b="1841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21" r:link="rId22"/>
                    <a:stretch>
                      <a:fillRect/>
                    </a:stretch>
                  </pic:blipFill>
                  <pic:spPr>
                    <a:xfrm>
                      <a:off x="0" y="0"/>
                      <a:ext cx="4827905" cy="762635"/>
                    </a:xfrm>
                    <a:prstGeom prst="rect">
                      <a:avLst/>
                    </a:prstGeom>
                    <a:noFill/>
                    <a:ln>
                      <a:noFill/>
                    </a:ln>
                  </pic:spPr>
                </pic:pic>
              </a:graphicData>
            </a:graphic>
          </wp:inline>
        </w:drawing>
      </w:r>
    </w:p>
    <w:p w14:paraId="3FE79302">
      <w:pPr>
        <w:pStyle w:val="7"/>
        <w:spacing w:line="360" w:lineRule="auto"/>
        <w:rPr>
          <w:rFonts w:hint="eastAsia"/>
        </w:rPr>
      </w:pPr>
      <w:r>
        <w:rPr>
          <w:rFonts w:hint="eastAsia"/>
        </w:rPr>
        <w:t>财政部会同有关行业主管部门，分产品确定在中国境内生产的组件成本占比应当达到的规定比例。在分产品的中国境内生产的组件成本占比相关要求实施前，符合《国务院办公厅关于在政府采购中实施本国产品标准及相关政策的通知》第一条第（一）项条件的产品在政府采购活动中视同本国产品。</w:t>
      </w:r>
    </w:p>
    <w:p w14:paraId="70B7D2F5">
      <w:pPr>
        <w:pStyle w:val="7"/>
        <w:spacing w:line="360" w:lineRule="auto"/>
      </w:pPr>
      <w:r>
        <w:rPr>
          <w:rFonts w:hint="eastAsia"/>
        </w:rPr>
        <w:t>政府采购活动中既有本国产品又有非本国产品参与竞争的，依法对本国产品给予价格评审优惠，对本国产品的报价给予20%的价格扣除，用扣除后的价格参与评审。</w:t>
      </w:r>
    </w:p>
    <w:p w14:paraId="6A159263">
      <w:pPr>
        <w:pStyle w:val="7"/>
        <w:spacing w:line="360" w:lineRule="auto"/>
      </w:pPr>
      <w:r>
        <w:rPr>
          <w:rFonts w:hint="eastAsia"/>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10AFAD3E">
      <w:pPr>
        <w:pStyle w:val="7"/>
        <w:rPr>
          <w:rFonts w:hint="eastAsia"/>
        </w:rPr>
      </w:pPr>
    </w:p>
    <w:p w14:paraId="468D93FA">
      <w:pPr>
        <w:pStyle w:val="6"/>
        <w:keepNext w:val="0"/>
        <w:keepLines w:val="0"/>
        <w:spacing w:before="0" w:after="0" w:line="360" w:lineRule="auto"/>
        <w:ind w:left="420" w:leftChars="200"/>
        <w:rPr>
          <w:rFonts w:ascii="黑体" w:hAnsi="黑体" w:eastAsia="黑体"/>
          <w:sz w:val="24"/>
        </w:rPr>
      </w:pPr>
      <w:r>
        <w:rPr>
          <w:rFonts w:ascii="黑体" w:hAnsi="黑体" w:eastAsia="黑体"/>
          <w:sz w:val="24"/>
        </w:rPr>
        <w:t>9.</w:t>
      </w:r>
      <w:r>
        <w:rPr>
          <w:rFonts w:hint="eastAsia" w:ascii="黑体" w:hAnsi="黑体" w:eastAsia="黑体"/>
          <w:sz w:val="24"/>
        </w:rPr>
        <w:t>回避与串通投标</w:t>
      </w:r>
    </w:p>
    <w:p w14:paraId="70335F9C">
      <w:pPr>
        <w:pStyle w:val="6"/>
        <w:keepNext w:val="0"/>
        <w:keepLines w:val="0"/>
        <w:spacing w:before="0" w:after="0" w:line="360" w:lineRule="auto"/>
        <w:ind w:firstLine="367" w:firstLineChars="175"/>
        <w:rPr>
          <w:rFonts w:ascii="宋体" w:hAnsi="宋体"/>
          <w:b w:val="0"/>
          <w:sz w:val="21"/>
          <w:szCs w:val="21"/>
        </w:rPr>
      </w:pPr>
      <w:r>
        <w:rPr>
          <w:rFonts w:hint="eastAsia" w:ascii="宋体" w:hAnsi="宋体"/>
          <w:b w:val="0"/>
          <w:sz w:val="21"/>
          <w:szCs w:val="21"/>
        </w:rPr>
        <w:t>9</w:t>
      </w:r>
      <w:r>
        <w:rPr>
          <w:rFonts w:ascii="宋体" w:hAnsi="宋体"/>
          <w:b w:val="0"/>
          <w:sz w:val="21"/>
          <w:szCs w:val="21"/>
        </w:rPr>
        <w:t>.1在政府采购活动中，采购人员及相关人员与</w:t>
      </w:r>
      <w:r>
        <w:rPr>
          <w:rFonts w:hint="eastAsia" w:ascii="宋体" w:hAnsi="宋体"/>
          <w:b w:val="0"/>
          <w:sz w:val="21"/>
          <w:szCs w:val="21"/>
        </w:rPr>
        <w:t>供应商</w:t>
      </w:r>
      <w:r>
        <w:rPr>
          <w:rFonts w:ascii="宋体" w:hAnsi="宋体"/>
          <w:b w:val="0"/>
          <w:sz w:val="21"/>
          <w:szCs w:val="21"/>
        </w:rPr>
        <w:t>有下列利害关系之一的，应当回避：</w:t>
      </w:r>
    </w:p>
    <w:p w14:paraId="635ECF81">
      <w:pPr>
        <w:pStyle w:val="25"/>
        <w:snapToGrid w:val="0"/>
        <w:spacing w:line="360" w:lineRule="auto"/>
        <w:ind w:left="2" w:leftChars="1" w:firstLine="420" w:firstLineChars="200"/>
        <w:rPr>
          <w:rFonts w:hAnsi="宋体"/>
          <w:kern w:val="2"/>
          <w:sz w:val="21"/>
        </w:rPr>
      </w:pPr>
      <w:r>
        <w:rPr>
          <w:rFonts w:hAnsi="宋体"/>
          <w:kern w:val="2"/>
          <w:sz w:val="21"/>
        </w:rPr>
        <w:t>（</w:t>
      </w:r>
      <w:r>
        <w:rPr>
          <w:rFonts w:hint="eastAsia" w:hAnsi="宋体"/>
          <w:kern w:val="2"/>
          <w:sz w:val="21"/>
        </w:rPr>
        <w:t>1</w:t>
      </w:r>
      <w:r>
        <w:rPr>
          <w:rFonts w:hAnsi="宋体"/>
          <w:kern w:val="2"/>
          <w:sz w:val="21"/>
        </w:rPr>
        <w:t>）参加采购活动前3年内与</w:t>
      </w:r>
      <w:r>
        <w:rPr>
          <w:rFonts w:hint="eastAsia" w:hAnsi="宋体"/>
          <w:kern w:val="2"/>
          <w:sz w:val="21"/>
        </w:rPr>
        <w:t>供应商</w:t>
      </w:r>
      <w:r>
        <w:rPr>
          <w:rFonts w:hAnsi="宋体"/>
          <w:kern w:val="2"/>
          <w:sz w:val="21"/>
        </w:rPr>
        <w:t>存在劳动关系；</w:t>
      </w:r>
    </w:p>
    <w:p w14:paraId="21EBB848">
      <w:pPr>
        <w:pStyle w:val="25"/>
        <w:snapToGrid w:val="0"/>
        <w:spacing w:line="360" w:lineRule="auto"/>
        <w:ind w:left="2" w:leftChars="1" w:firstLine="420" w:firstLineChars="200"/>
        <w:rPr>
          <w:rFonts w:hAnsi="宋体"/>
          <w:kern w:val="2"/>
          <w:sz w:val="21"/>
        </w:rPr>
      </w:pPr>
      <w:r>
        <w:rPr>
          <w:rFonts w:hAnsi="宋体"/>
          <w:kern w:val="2"/>
          <w:sz w:val="21"/>
        </w:rPr>
        <w:t>（</w:t>
      </w:r>
      <w:r>
        <w:rPr>
          <w:rFonts w:hint="eastAsia" w:hAnsi="宋体"/>
          <w:kern w:val="2"/>
          <w:sz w:val="21"/>
        </w:rPr>
        <w:t>2</w:t>
      </w:r>
      <w:r>
        <w:rPr>
          <w:rFonts w:hAnsi="宋体"/>
          <w:kern w:val="2"/>
          <w:sz w:val="21"/>
        </w:rPr>
        <w:t>）参加采购活动前3年内担任</w:t>
      </w:r>
      <w:r>
        <w:rPr>
          <w:rFonts w:hint="eastAsia" w:hAnsi="宋体"/>
          <w:kern w:val="2"/>
          <w:sz w:val="21"/>
        </w:rPr>
        <w:t>供应商</w:t>
      </w:r>
      <w:r>
        <w:rPr>
          <w:rFonts w:hAnsi="宋体"/>
          <w:kern w:val="2"/>
          <w:sz w:val="21"/>
        </w:rPr>
        <w:t>的董事、监事；</w:t>
      </w:r>
    </w:p>
    <w:p w14:paraId="3B8FB054">
      <w:pPr>
        <w:pStyle w:val="25"/>
        <w:snapToGrid w:val="0"/>
        <w:spacing w:line="360" w:lineRule="auto"/>
        <w:ind w:left="2" w:leftChars="1" w:firstLine="420" w:firstLineChars="200"/>
        <w:rPr>
          <w:rFonts w:hAnsi="宋体"/>
          <w:kern w:val="2"/>
          <w:sz w:val="21"/>
        </w:rPr>
      </w:pPr>
      <w:r>
        <w:rPr>
          <w:rFonts w:hAnsi="宋体"/>
          <w:kern w:val="2"/>
          <w:sz w:val="21"/>
        </w:rPr>
        <w:t>（</w:t>
      </w:r>
      <w:r>
        <w:rPr>
          <w:rFonts w:hint="eastAsia" w:hAnsi="宋体"/>
          <w:kern w:val="2"/>
          <w:sz w:val="21"/>
        </w:rPr>
        <w:t>3</w:t>
      </w:r>
      <w:r>
        <w:rPr>
          <w:rFonts w:hAnsi="宋体"/>
          <w:kern w:val="2"/>
          <w:sz w:val="21"/>
        </w:rPr>
        <w:t>）参加采购活动前3年内是</w:t>
      </w:r>
      <w:r>
        <w:rPr>
          <w:rFonts w:hint="eastAsia" w:hAnsi="宋体"/>
          <w:kern w:val="2"/>
          <w:sz w:val="21"/>
        </w:rPr>
        <w:t>供应商</w:t>
      </w:r>
      <w:r>
        <w:rPr>
          <w:rFonts w:hAnsi="宋体"/>
          <w:kern w:val="2"/>
          <w:sz w:val="21"/>
        </w:rPr>
        <w:t>的控股股东或者实际控制人；</w:t>
      </w:r>
    </w:p>
    <w:p w14:paraId="7495E27B">
      <w:pPr>
        <w:pStyle w:val="25"/>
        <w:snapToGrid w:val="0"/>
        <w:spacing w:line="360" w:lineRule="auto"/>
        <w:ind w:left="2" w:leftChars="1" w:firstLine="420" w:firstLineChars="200"/>
        <w:rPr>
          <w:rFonts w:hAnsi="宋体"/>
          <w:kern w:val="2"/>
          <w:sz w:val="21"/>
        </w:rPr>
      </w:pPr>
      <w:r>
        <w:rPr>
          <w:rFonts w:hAnsi="宋体"/>
          <w:kern w:val="2"/>
          <w:sz w:val="21"/>
        </w:rPr>
        <w:t>（</w:t>
      </w:r>
      <w:r>
        <w:rPr>
          <w:rFonts w:hint="eastAsia" w:hAnsi="宋体"/>
          <w:kern w:val="2"/>
          <w:sz w:val="21"/>
        </w:rPr>
        <w:t>4</w:t>
      </w:r>
      <w:r>
        <w:rPr>
          <w:rFonts w:hAnsi="宋体"/>
          <w:kern w:val="2"/>
          <w:sz w:val="21"/>
        </w:rPr>
        <w:t>）与</w:t>
      </w:r>
      <w:r>
        <w:rPr>
          <w:rFonts w:hint="eastAsia" w:hAnsi="宋体"/>
          <w:kern w:val="2"/>
          <w:sz w:val="21"/>
        </w:rPr>
        <w:t>供应商</w:t>
      </w:r>
      <w:r>
        <w:rPr>
          <w:rFonts w:hAnsi="宋体"/>
          <w:kern w:val="2"/>
          <w:sz w:val="21"/>
        </w:rPr>
        <w:t>的法定代表人或者负责人有夫妻、直系血亲、三代以内旁系血亲或者近姻亲关系；</w:t>
      </w:r>
    </w:p>
    <w:p w14:paraId="5D27FE2E">
      <w:pPr>
        <w:pStyle w:val="25"/>
        <w:snapToGrid w:val="0"/>
        <w:spacing w:line="360" w:lineRule="auto"/>
        <w:ind w:left="2" w:leftChars="1" w:firstLine="420" w:firstLineChars="200"/>
        <w:rPr>
          <w:rFonts w:hAnsi="宋体"/>
          <w:kern w:val="2"/>
          <w:sz w:val="21"/>
        </w:rPr>
      </w:pPr>
      <w:r>
        <w:rPr>
          <w:rFonts w:hAnsi="宋体"/>
          <w:kern w:val="2"/>
          <w:sz w:val="21"/>
        </w:rPr>
        <w:t>（</w:t>
      </w:r>
      <w:r>
        <w:rPr>
          <w:rFonts w:hint="eastAsia" w:hAnsi="宋体"/>
          <w:kern w:val="2"/>
          <w:sz w:val="21"/>
        </w:rPr>
        <w:t>5</w:t>
      </w:r>
      <w:r>
        <w:rPr>
          <w:rFonts w:hAnsi="宋体"/>
          <w:kern w:val="2"/>
          <w:sz w:val="21"/>
        </w:rPr>
        <w:t>）与</w:t>
      </w:r>
      <w:r>
        <w:rPr>
          <w:rFonts w:hint="eastAsia" w:hAnsi="宋体"/>
          <w:kern w:val="2"/>
          <w:sz w:val="21"/>
        </w:rPr>
        <w:t>供应商</w:t>
      </w:r>
      <w:r>
        <w:rPr>
          <w:rFonts w:hAnsi="宋体"/>
          <w:kern w:val="2"/>
          <w:sz w:val="21"/>
        </w:rPr>
        <w:t>有其他可能影响政府采购活动公平、公正进行的关系。</w:t>
      </w:r>
    </w:p>
    <w:p w14:paraId="59A7B8B1">
      <w:pPr>
        <w:pStyle w:val="25"/>
        <w:snapToGrid w:val="0"/>
        <w:spacing w:line="360" w:lineRule="auto"/>
        <w:ind w:left="2" w:leftChars="1" w:firstLine="420" w:firstLineChars="200"/>
        <w:rPr>
          <w:rFonts w:hint="eastAsia" w:hAnsi="宋体"/>
          <w:kern w:val="2"/>
          <w:sz w:val="21"/>
        </w:rPr>
      </w:pPr>
      <w:r>
        <w:rPr>
          <w:rFonts w:hint="eastAsia" w:hAnsi="宋体"/>
          <w:kern w:val="2"/>
          <w:sz w:val="21"/>
        </w:rPr>
        <w:t>供应商</w:t>
      </w:r>
      <w:r>
        <w:rPr>
          <w:rFonts w:hAnsi="宋体"/>
          <w:kern w:val="2"/>
          <w:sz w:val="21"/>
        </w:rPr>
        <w:t>认为采购人员及相关人员与其他</w:t>
      </w:r>
      <w:r>
        <w:rPr>
          <w:rFonts w:hint="eastAsia" w:hAnsi="宋体"/>
          <w:kern w:val="2"/>
          <w:sz w:val="21"/>
        </w:rPr>
        <w:t>供应商</w:t>
      </w:r>
      <w:r>
        <w:rPr>
          <w:rFonts w:hAnsi="宋体"/>
          <w:kern w:val="2"/>
          <w:sz w:val="21"/>
        </w:rPr>
        <w:t>有利害关系的，可以向采购人或者采购代理机构书面提出回避申请，并说明理由。采购人或者采购代理机构应当及时询问被申请回避人员，有利害关系的被申请回避人员应当回避。</w:t>
      </w:r>
    </w:p>
    <w:p w14:paraId="17550A2E">
      <w:pPr>
        <w:pStyle w:val="6"/>
        <w:keepNext w:val="0"/>
        <w:keepLines w:val="0"/>
        <w:spacing w:before="0" w:after="0" w:line="360" w:lineRule="auto"/>
        <w:ind w:left="420" w:leftChars="200"/>
        <w:rPr>
          <w:rFonts w:hint="eastAsia" w:ascii="宋体" w:hAnsi="宋体"/>
          <w:sz w:val="21"/>
          <w:szCs w:val="21"/>
        </w:rPr>
      </w:pPr>
      <w:r>
        <w:rPr>
          <w:rFonts w:ascii="宋体" w:hAnsi="宋体"/>
          <w:sz w:val="21"/>
          <w:szCs w:val="21"/>
        </w:rPr>
        <w:t>9.2</w:t>
      </w:r>
      <w:r>
        <w:rPr>
          <w:rFonts w:hint="eastAsia" w:ascii="宋体" w:hAnsi="宋体"/>
          <w:sz w:val="21"/>
          <w:szCs w:val="21"/>
        </w:rPr>
        <w:t>有下列情形之一的视为投标人相互串通投标，投标文件将被视为无效：</w:t>
      </w:r>
    </w:p>
    <w:p w14:paraId="627A205B">
      <w:pPr>
        <w:pStyle w:val="25"/>
        <w:snapToGrid w:val="0"/>
        <w:spacing w:line="360" w:lineRule="auto"/>
        <w:ind w:left="2" w:leftChars="1" w:firstLine="422" w:firstLineChars="200"/>
        <w:rPr>
          <w:rFonts w:hint="eastAsia" w:hAnsi="宋体"/>
          <w:b/>
          <w:kern w:val="2"/>
          <w:sz w:val="21"/>
        </w:rPr>
      </w:pPr>
      <w:r>
        <w:rPr>
          <w:rFonts w:hint="eastAsia" w:hAnsi="宋体"/>
          <w:b/>
          <w:kern w:val="2"/>
          <w:sz w:val="21"/>
        </w:rPr>
        <w:t xml:space="preserve">（1）不同投标人的投标文件由同一单位或者个人编制；或不同投标人报名的IP地址一致的； </w:t>
      </w:r>
    </w:p>
    <w:p w14:paraId="6F6B8EBC">
      <w:pPr>
        <w:pStyle w:val="25"/>
        <w:snapToGrid w:val="0"/>
        <w:spacing w:line="360" w:lineRule="auto"/>
        <w:ind w:left="2" w:leftChars="1" w:firstLine="422" w:firstLineChars="200"/>
        <w:rPr>
          <w:rFonts w:hint="eastAsia" w:hAnsi="宋体"/>
          <w:b/>
          <w:kern w:val="2"/>
          <w:sz w:val="21"/>
        </w:rPr>
      </w:pPr>
      <w:r>
        <w:rPr>
          <w:rFonts w:hint="eastAsia" w:hAnsi="宋体"/>
          <w:b/>
          <w:kern w:val="2"/>
          <w:sz w:val="21"/>
        </w:rPr>
        <w:t>（2）不同投标人委托同一单位或者个人办理投标事宜；</w:t>
      </w:r>
    </w:p>
    <w:p w14:paraId="05E89A48">
      <w:pPr>
        <w:pStyle w:val="25"/>
        <w:snapToGrid w:val="0"/>
        <w:spacing w:line="360" w:lineRule="auto"/>
        <w:ind w:left="2" w:leftChars="1" w:firstLine="422" w:firstLineChars="200"/>
        <w:rPr>
          <w:rFonts w:hint="eastAsia" w:hAnsi="宋体"/>
          <w:b/>
          <w:kern w:val="2"/>
          <w:sz w:val="21"/>
        </w:rPr>
      </w:pPr>
      <w:r>
        <w:rPr>
          <w:rFonts w:hint="eastAsia" w:hAnsi="宋体"/>
          <w:b/>
          <w:kern w:val="2"/>
          <w:sz w:val="21"/>
        </w:rPr>
        <w:t>（3）不同的投标人的投标文件载明的项目管理员为同一个人；</w:t>
      </w:r>
    </w:p>
    <w:p w14:paraId="1DEC8B92">
      <w:pPr>
        <w:pStyle w:val="25"/>
        <w:snapToGrid w:val="0"/>
        <w:spacing w:line="360" w:lineRule="auto"/>
        <w:ind w:left="2" w:leftChars="1" w:firstLine="422" w:firstLineChars="200"/>
        <w:rPr>
          <w:rFonts w:hint="eastAsia" w:hAnsi="宋体"/>
          <w:b/>
          <w:kern w:val="2"/>
          <w:sz w:val="21"/>
        </w:rPr>
      </w:pPr>
      <w:r>
        <w:rPr>
          <w:rFonts w:hint="eastAsia" w:hAnsi="宋体"/>
          <w:b/>
          <w:kern w:val="2"/>
          <w:sz w:val="21"/>
        </w:rPr>
        <w:t>（4）不同投标人的投标文件异常一致或者投标报价呈规律性差异；</w:t>
      </w:r>
    </w:p>
    <w:p w14:paraId="5E705BD7">
      <w:pPr>
        <w:pStyle w:val="25"/>
        <w:snapToGrid w:val="0"/>
        <w:spacing w:line="360" w:lineRule="auto"/>
        <w:ind w:left="2" w:leftChars="1" w:firstLine="422" w:firstLineChars="200"/>
        <w:rPr>
          <w:rFonts w:hint="eastAsia" w:hAnsi="宋体"/>
          <w:b/>
          <w:kern w:val="2"/>
          <w:sz w:val="21"/>
        </w:rPr>
      </w:pPr>
      <w:r>
        <w:rPr>
          <w:rFonts w:hint="eastAsia" w:hAnsi="宋体"/>
          <w:b/>
          <w:kern w:val="2"/>
          <w:sz w:val="21"/>
        </w:rPr>
        <w:t>（5）不同投标人的投标文件相互混装；</w:t>
      </w:r>
    </w:p>
    <w:p w14:paraId="37BBF9FB">
      <w:pPr>
        <w:pStyle w:val="25"/>
        <w:snapToGrid w:val="0"/>
        <w:spacing w:line="360" w:lineRule="auto"/>
        <w:ind w:left="2" w:leftChars="1" w:firstLine="422" w:firstLineChars="200"/>
        <w:rPr>
          <w:rFonts w:hint="eastAsia" w:hAnsi="宋体"/>
          <w:b/>
          <w:kern w:val="2"/>
          <w:sz w:val="21"/>
        </w:rPr>
      </w:pPr>
      <w:r>
        <w:rPr>
          <w:rFonts w:hint="eastAsia" w:hAnsi="宋体"/>
          <w:b/>
          <w:kern w:val="2"/>
          <w:sz w:val="21"/>
        </w:rPr>
        <w:t>（6）不同投标人的投标保证金从同一单位或者个人账户转出。</w:t>
      </w:r>
    </w:p>
    <w:p w14:paraId="2511246B">
      <w:pPr>
        <w:pStyle w:val="6"/>
        <w:keepNext w:val="0"/>
        <w:keepLines w:val="0"/>
        <w:spacing w:before="0" w:after="0" w:line="360" w:lineRule="auto"/>
        <w:ind w:left="420" w:leftChars="200"/>
        <w:rPr>
          <w:rFonts w:hint="eastAsia" w:ascii="宋体" w:hAnsi="宋体"/>
          <w:b w:val="0"/>
          <w:sz w:val="21"/>
          <w:szCs w:val="21"/>
        </w:rPr>
      </w:pPr>
      <w:r>
        <w:rPr>
          <w:rFonts w:ascii="宋体" w:hAnsi="宋体"/>
          <w:b w:val="0"/>
          <w:sz w:val="21"/>
          <w:szCs w:val="21"/>
        </w:rPr>
        <w:t>9.3</w:t>
      </w:r>
      <w:r>
        <w:rPr>
          <w:rFonts w:hint="eastAsia" w:ascii="宋体" w:hAnsi="宋体"/>
          <w:b w:val="0"/>
          <w:sz w:val="21"/>
          <w:szCs w:val="21"/>
        </w:rPr>
        <w:t>供应商有下列情形之一的，属于恶意串通行为，将报同级监督管理部门：</w:t>
      </w:r>
    </w:p>
    <w:p w14:paraId="55898DC4">
      <w:pPr>
        <w:pStyle w:val="25"/>
        <w:snapToGrid w:val="0"/>
        <w:spacing w:line="360" w:lineRule="auto"/>
        <w:ind w:left="2" w:leftChars="1" w:firstLine="420" w:firstLineChars="200"/>
        <w:rPr>
          <w:rFonts w:hint="eastAsia" w:hAnsi="宋体"/>
          <w:kern w:val="2"/>
          <w:sz w:val="21"/>
        </w:rPr>
      </w:pPr>
      <w:r>
        <w:rPr>
          <w:rFonts w:hint="eastAsia" w:hAnsi="宋体"/>
          <w:kern w:val="2"/>
          <w:sz w:val="21"/>
        </w:rPr>
        <w:t>（1）供应商直接或者间接从采购人或者采购代理机构处获得其他供应商的相关信息并修改其投标文件或者响应文件；</w:t>
      </w:r>
    </w:p>
    <w:p w14:paraId="1DB92F10">
      <w:pPr>
        <w:pStyle w:val="25"/>
        <w:snapToGrid w:val="0"/>
        <w:spacing w:line="360" w:lineRule="auto"/>
        <w:ind w:left="2" w:leftChars="1" w:firstLine="420" w:firstLineChars="200"/>
        <w:rPr>
          <w:rFonts w:hint="eastAsia" w:hAnsi="宋体"/>
          <w:kern w:val="2"/>
          <w:sz w:val="21"/>
        </w:rPr>
      </w:pPr>
      <w:r>
        <w:rPr>
          <w:rFonts w:hint="eastAsia" w:hAnsi="宋体"/>
          <w:kern w:val="2"/>
          <w:sz w:val="21"/>
        </w:rPr>
        <w:t>（2）供应商按照采购人或者采购代理机构的授意撤换、修改投标文件或者响应文件；</w:t>
      </w:r>
    </w:p>
    <w:p w14:paraId="7FDFE194">
      <w:pPr>
        <w:pStyle w:val="25"/>
        <w:snapToGrid w:val="0"/>
        <w:spacing w:line="360" w:lineRule="auto"/>
        <w:ind w:left="2" w:leftChars="1" w:firstLine="420" w:firstLineChars="200"/>
        <w:rPr>
          <w:rFonts w:hint="eastAsia" w:hAnsi="宋体"/>
          <w:kern w:val="2"/>
          <w:sz w:val="21"/>
        </w:rPr>
      </w:pPr>
      <w:r>
        <w:rPr>
          <w:rFonts w:hint="eastAsia" w:hAnsi="宋体"/>
          <w:kern w:val="2"/>
          <w:sz w:val="21"/>
        </w:rPr>
        <w:t>（3）供应商之间协商报价、技术方案等投标文件或者响应文件的实质性内容；</w:t>
      </w:r>
    </w:p>
    <w:p w14:paraId="40D63419">
      <w:pPr>
        <w:pStyle w:val="25"/>
        <w:snapToGrid w:val="0"/>
        <w:spacing w:line="360" w:lineRule="auto"/>
        <w:ind w:left="2" w:leftChars="1" w:firstLine="420" w:firstLineChars="200"/>
        <w:rPr>
          <w:rFonts w:hint="eastAsia" w:hAnsi="宋体"/>
          <w:kern w:val="2"/>
          <w:sz w:val="21"/>
        </w:rPr>
      </w:pPr>
      <w:r>
        <w:rPr>
          <w:rFonts w:hint="eastAsia" w:hAnsi="宋体"/>
          <w:kern w:val="2"/>
          <w:sz w:val="21"/>
        </w:rPr>
        <w:t>（4）属于同一集团、协会、商会等组织成员的供应商按照该组织要求协同参加政府采购活动；</w:t>
      </w:r>
    </w:p>
    <w:p w14:paraId="1D592801">
      <w:pPr>
        <w:pStyle w:val="25"/>
        <w:snapToGrid w:val="0"/>
        <w:spacing w:line="360" w:lineRule="auto"/>
        <w:ind w:left="2" w:leftChars="1" w:firstLine="420" w:firstLineChars="200"/>
        <w:rPr>
          <w:rFonts w:hint="eastAsia" w:hAnsi="宋体"/>
          <w:kern w:val="2"/>
          <w:sz w:val="21"/>
        </w:rPr>
      </w:pPr>
      <w:r>
        <w:rPr>
          <w:rFonts w:hint="eastAsia" w:hAnsi="宋体"/>
          <w:kern w:val="2"/>
          <w:sz w:val="21"/>
        </w:rPr>
        <w:t>（5）供应商之间事先约定一致抬高或者压低投标报价，或者在招标项目中事先约定轮流以高价位或者低价位中标，或者事先约定由某一特定供应商中标，然后再参加投标；</w:t>
      </w:r>
    </w:p>
    <w:p w14:paraId="1EE0B94E">
      <w:pPr>
        <w:pStyle w:val="25"/>
        <w:snapToGrid w:val="0"/>
        <w:spacing w:line="360" w:lineRule="auto"/>
        <w:ind w:left="2" w:leftChars="1" w:firstLine="420" w:firstLineChars="200"/>
        <w:rPr>
          <w:rFonts w:hint="eastAsia" w:hAnsi="宋体"/>
          <w:kern w:val="2"/>
          <w:sz w:val="21"/>
        </w:rPr>
      </w:pPr>
      <w:r>
        <w:rPr>
          <w:rFonts w:hint="eastAsia" w:hAnsi="宋体"/>
          <w:kern w:val="2"/>
          <w:sz w:val="21"/>
        </w:rPr>
        <w:t>（6）供应商之间商定部分供应商放弃参加政府采购活动或者放弃中标；</w:t>
      </w:r>
    </w:p>
    <w:p w14:paraId="6491B199">
      <w:pPr>
        <w:pStyle w:val="25"/>
        <w:snapToGrid w:val="0"/>
        <w:spacing w:line="360" w:lineRule="auto"/>
        <w:ind w:left="2" w:leftChars="1" w:firstLine="420" w:firstLineChars="200"/>
        <w:rPr>
          <w:rFonts w:hAnsi="宋体"/>
          <w:kern w:val="2"/>
          <w:sz w:val="21"/>
        </w:rPr>
      </w:pPr>
      <w:r>
        <w:rPr>
          <w:rFonts w:hint="eastAsia" w:hAnsi="宋体"/>
          <w:kern w:val="2"/>
          <w:sz w:val="21"/>
        </w:rPr>
        <w:t>（7）供应商与采购人或者采购代理机构之间、供应商相互之间，为谋求特定供应商中标或者排斥其他供应商的其他串通行为。</w:t>
      </w:r>
    </w:p>
    <w:p w14:paraId="3BCB4633">
      <w:pPr>
        <w:pStyle w:val="25"/>
        <w:snapToGrid w:val="0"/>
        <w:spacing w:line="360" w:lineRule="auto"/>
        <w:ind w:left="2" w:leftChars="1" w:firstLine="422" w:firstLineChars="200"/>
        <w:rPr>
          <w:rFonts w:hint="eastAsia" w:hAnsi="宋体"/>
          <w:b/>
          <w:kern w:val="2"/>
          <w:sz w:val="21"/>
        </w:rPr>
      </w:pPr>
    </w:p>
    <w:p w14:paraId="16D06A1D">
      <w:pPr>
        <w:pStyle w:val="4"/>
        <w:keepNext w:val="0"/>
        <w:keepLines w:val="0"/>
        <w:jc w:val="center"/>
        <w:rPr>
          <w:rFonts w:hint="eastAsia"/>
        </w:rPr>
      </w:pPr>
      <w:bookmarkStart w:id="129" w:name="_Toc254970534"/>
      <w:bookmarkStart w:id="130" w:name="_Toc254970675"/>
      <w:r>
        <w:rPr>
          <w:rFonts w:hint="eastAsia"/>
        </w:rPr>
        <w:t>二、招标文件</w:t>
      </w:r>
      <w:bookmarkEnd w:id="129"/>
      <w:bookmarkEnd w:id="130"/>
    </w:p>
    <w:p w14:paraId="3C95886B">
      <w:pPr>
        <w:pStyle w:val="6"/>
        <w:keepNext w:val="0"/>
        <w:keepLines w:val="0"/>
        <w:spacing w:before="0" w:after="0" w:line="360" w:lineRule="auto"/>
        <w:ind w:left="420" w:leftChars="200"/>
        <w:rPr>
          <w:rFonts w:hint="eastAsia" w:ascii="黑体" w:hAnsi="黑体" w:eastAsia="黑体"/>
          <w:sz w:val="24"/>
        </w:rPr>
      </w:pPr>
      <w:r>
        <w:rPr>
          <w:rFonts w:hint="eastAsia" w:ascii="黑体" w:hAnsi="黑体" w:eastAsia="黑体"/>
          <w:sz w:val="24"/>
        </w:rPr>
        <w:t>10.招标文件的组成</w:t>
      </w:r>
    </w:p>
    <w:p w14:paraId="36C26093">
      <w:pPr>
        <w:snapToGrid w:val="0"/>
        <w:spacing w:line="360" w:lineRule="auto"/>
        <w:ind w:firstLine="420"/>
        <w:jc w:val="left"/>
        <w:rPr>
          <w:rFonts w:hint="eastAsia" w:ascii="宋体" w:hAnsi="宋体"/>
          <w:szCs w:val="21"/>
        </w:rPr>
      </w:pPr>
      <w:r>
        <w:rPr>
          <w:rFonts w:hint="eastAsia" w:ascii="宋体" w:hAnsi="宋体"/>
          <w:szCs w:val="21"/>
        </w:rPr>
        <w:t>（1）招标公告；</w:t>
      </w:r>
    </w:p>
    <w:p w14:paraId="54D29D76">
      <w:pPr>
        <w:snapToGrid w:val="0"/>
        <w:spacing w:line="360" w:lineRule="auto"/>
        <w:ind w:firstLine="420"/>
        <w:jc w:val="left"/>
        <w:rPr>
          <w:rFonts w:hint="eastAsia" w:ascii="宋体" w:hAnsi="宋体"/>
          <w:szCs w:val="21"/>
        </w:rPr>
      </w:pPr>
      <w:r>
        <w:rPr>
          <w:rFonts w:hint="eastAsia" w:ascii="宋体" w:hAnsi="宋体"/>
          <w:szCs w:val="21"/>
        </w:rPr>
        <w:t xml:space="preserve">（2）采购需求； </w:t>
      </w:r>
    </w:p>
    <w:p w14:paraId="0136FF2F">
      <w:pPr>
        <w:snapToGrid w:val="0"/>
        <w:spacing w:line="360" w:lineRule="auto"/>
        <w:ind w:firstLine="420"/>
        <w:jc w:val="left"/>
        <w:rPr>
          <w:rFonts w:hint="eastAsia" w:ascii="宋体" w:hAnsi="宋体"/>
          <w:szCs w:val="21"/>
        </w:rPr>
      </w:pPr>
      <w:r>
        <w:rPr>
          <w:rFonts w:hint="eastAsia" w:ascii="宋体" w:hAnsi="宋体"/>
          <w:szCs w:val="21"/>
        </w:rPr>
        <w:t>（3）投标人须知；</w:t>
      </w:r>
    </w:p>
    <w:p w14:paraId="6A4BD35D">
      <w:pPr>
        <w:snapToGrid w:val="0"/>
        <w:spacing w:line="360" w:lineRule="auto"/>
        <w:ind w:firstLine="420"/>
        <w:jc w:val="left"/>
        <w:rPr>
          <w:rFonts w:hint="eastAsia" w:ascii="宋体" w:hAnsi="宋体"/>
          <w:szCs w:val="21"/>
        </w:rPr>
      </w:pPr>
      <w:r>
        <w:rPr>
          <w:rFonts w:hint="eastAsia" w:ascii="宋体" w:hAnsi="宋体"/>
          <w:szCs w:val="21"/>
        </w:rPr>
        <w:t>（4）评标方法及评标标准；</w:t>
      </w:r>
    </w:p>
    <w:p w14:paraId="39402F16">
      <w:pPr>
        <w:snapToGrid w:val="0"/>
        <w:spacing w:line="360" w:lineRule="auto"/>
        <w:ind w:firstLine="420"/>
        <w:jc w:val="left"/>
        <w:rPr>
          <w:rFonts w:hint="eastAsia" w:ascii="宋体" w:hAnsi="宋体"/>
          <w:szCs w:val="21"/>
        </w:rPr>
      </w:pPr>
      <w:r>
        <w:rPr>
          <w:rFonts w:hint="eastAsia" w:ascii="宋体" w:hAnsi="宋体"/>
          <w:szCs w:val="21"/>
        </w:rPr>
        <w:t>（5）拟签订的合同文本；</w:t>
      </w:r>
    </w:p>
    <w:p w14:paraId="7799860E">
      <w:pPr>
        <w:snapToGrid w:val="0"/>
        <w:spacing w:line="360" w:lineRule="auto"/>
        <w:ind w:firstLine="420"/>
        <w:jc w:val="left"/>
        <w:rPr>
          <w:rFonts w:hint="eastAsia" w:ascii="宋体" w:hAnsi="宋体"/>
          <w:szCs w:val="21"/>
        </w:rPr>
      </w:pPr>
      <w:r>
        <w:rPr>
          <w:rFonts w:hint="eastAsia" w:ascii="宋体" w:hAnsi="宋体"/>
          <w:szCs w:val="21"/>
        </w:rPr>
        <w:t>（6）投标文件格式。</w:t>
      </w:r>
    </w:p>
    <w:p w14:paraId="7E46B977">
      <w:pPr>
        <w:pStyle w:val="6"/>
        <w:keepNext w:val="0"/>
        <w:keepLines w:val="0"/>
        <w:spacing w:before="0" w:after="0" w:line="360" w:lineRule="auto"/>
        <w:ind w:left="420" w:leftChars="200"/>
        <w:rPr>
          <w:rFonts w:hint="eastAsia" w:ascii="黑体" w:hAnsi="黑体" w:eastAsia="黑体"/>
          <w:sz w:val="24"/>
        </w:rPr>
      </w:pPr>
      <w:r>
        <w:rPr>
          <w:rFonts w:hint="eastAsia" w:ascii="黑体" w:hAnsi="黑体" w:eastAsia="黑体"/>
          <w:sz w:val="24"/>
        </w:rPr>
        <w:t>11.招标文件的澄清、修改 、现场考察和答疑会</w:t>
      </w:r>
    </w:p>
    <w:p w14:paraId="330E8876">
      <w:pPr>
        <w:pStyle w:val="6"/>
        <w:keepNext w:val="0"/>
        <w:keepLines w:val="0"/>
        <w:spacing w:before="0" w:after="0" w:line="360" w:lineRule="auto"/>
        <w:ind w:firstLine="315" w:firstLineChars="150"/>
        <w:rPr>
          <w:rFonts w:hint="eastAsia" w:ascii="宋体" w:hAnsi="宋体"/>
          <w:b w:val="0"/>
          <w:sz w:val="21"/>
          <w:szCs w:val="21"/>
        </w:rPr>
      </w:pPr>
      <w:r>
        <w:rPr>
          <w:rFonts w:hint="eastAsia" w:ascii="宋体" w:hAnsi="宋体"/>
          <w:b w:val="0"/>
          <w:sz w:val="21"/>
          <w:szCs w:val="21"/>
        </w:rPr>
        <w:t xml:space="preserve"> 11.1采购人或者采购代理机构可以对已发出的招标文件进行必要的澄清或者修改，但不得改变采购标的和资格条件。澄清或者修改应当在原公告发布媒体上发布澄清公告。澄清或者修改的内容为招标文件的组成部分。</w:t>
      </w:r>
    </w:p>
    <w:p w14:paraId="6E064BFE">
      <w:pPr>
        <w:pStyle w:val="25"/>
        <w:snapToGrid w:val="0"/>
        <w:spacing w:line="360" w:lineRule="auto"/>
        <w:ind w:firstLine="420" w:firstLineChars="200"/>
        <w:rPr>
          <w:rFonts w:hint="eastAsia" w:hAnsi="宋体"/>
          <w:sz w:val="21"/>
        </w:rPr>
      </w:pPr>
      <w:r>
        <w:rPr>
          <w:rFonts w:hint="eastAsia" w:hAnsi="宋体"/>
          <w:sz w:val="21"/>
        </w:rPr>
        <w:t>澄清或者修改的内容可能影响投标文件编制的，采购人或者采购代理机构应当在投标截止时间至少15日前，以书面形式通知所有获取招标文件的潜在投标人；不足15日的，采购人或者采购代理机构应当顺延提交投标文件的截止时间。</w:t>
      </w:r>
    </w:p>
    <w:p w14:paraId="5FDDFF44">
      <w:pPr>
        <w:pStyle w:val="25"/>
        <w:snapToGrid w:val="0"/>
        <w:spacing w:line="360" w:lineRule="auto"/>
        <w:ind w:firstLine="420" w:firstLineChars="200"/>
        <w:rPr>
          <w:rFonts w:hint="eastAsia" w:hAnsi="宋体"/>
          <w:sz w:val="21"/>
        </w:rPr>
      </w:pPr>
      <w:r>
        <w:rPr>
          <w:rFonts w:hint="eastAsia" w:hAnsi="宋体"/>
          <w:sz w:val="21"/>
        </w:rPr>
        <w:t>1</w:t>
      </w:r>
      <w:r>
        <w:rPr>
          <w:rFonts w:hAnsi="宋体"/>
          <w:sz w:val="21"/>
        </w:rPr>
        <w:t>1.2</w:t>
      </w:r>
      <w:bookmarkStart w:id="131" w:name="_Hlk53134511"/>
      <w:r>
        <w:rPr>
          <w:rFonts w:hint="eastAsia" w:hAnsi="宋体"/>
          <w:sz w:val="21"/>
        </w:rPr>
        <w:t>采购人或者采购代理机构可以在招标文件提供期限截止后，组织已获取招标文件的潜在投标人现场考察或者召开开标前答疑会，具体详见“投标人须知前附表”。</w:t>
      </w:r>
    </w:p>
    <w:bookmarkEnd w:id="131"/>
    <w:p w14:paraId="71F3C374">
      <w:pPr>
        <w:pStyle w:val="4"/>
        <w:keepNext w:val="0"/>
        <w:keepLines w:val="0"/>
        <w:jc w:val="center"/>
        <w:rPr>
          <w:rFonts w:hint="eastAsia"/>
        </w:rPr>
      </w:pPr>
      <w:bookmarkStart w:id="132" w:name="_Toc254970535"/>
      <w:bookmarkStart w:id="133" w:name="_Toc254970676"/>
      <w:r>
        <w:rPr>
          <w:rFonts w:hint="eastAsia"/>
        </w:rPr>
        <w:t>三、投标文件的编制</w:t>
      </w:r>
      <w:bookmarkEnd w:id="132"/>
      <w:bookmarkEnd w:id="133"/>
    </w:p>
    <w:p w14:paraId="61115670">
      <w:pPr>
        <w:pStyle w:val="6"/>
        <w:keepNext w:val="0"/>
        <w:keepLines w:val="0"/>
        <w:spacing w:before="0" w:after="0" w:line="360" w:lineRule="auto"/>
        <w:ind w:left="420" w:leftChars="200"/>
        <w:rPr>
          <w:rFonts w:hint="eastAsia" w:ascii="黑体" w:hAnsi="黑体" w:eastAsia="黑体"/>
          <w:sz w:val="24"/>
        </w:rPr>
      </w:pPr>
      <w:bookmarkStart w:id="134" w:name="_Toc254970677"/>
      <w:bookmarkStart w:id="135" w:name="_Toc254970536"/>
      <w:r>
        <w:rPr>
          <w:rFonts w:hint="eastAsia" w:ascii="黑体" w:hAnsi="黑体" w:eastAsia="黑体"/>
          <w:sz w:val="24"/>
        </w:rPr>
        <w:t>12.投标文件的编制原则</w:t>
      </w:r>
    </w:p>
    <w:p w14:paraId="735AF8E2">
      <w:pPr>
        <w:snapToGrid w:val="0"/>
        <w:spacing w:line="360" w:lineRule="auto"/>
        <w:ind w:firstLine="420"/>
        <w:jc w:val="left"/>
        <w:rPr>
          <w:rFonts w:hint="eastAsia" w:ascii="宋体" w:hAnsi="宋体" w:cs="Courier New"/>
          <w:szCs w:val="21"/>
        </w:rPr>
      </w:pPr>
      <w:r>
        <w:rPr>
          <w:rFonts w:ascii="宋体" w:hAnsi="宋体"/>
          <w:szCs w:val="21"/>
        </w:rPr>
        <w:t>投标人必须按照招标文件的要求编制投标文件。投标文件必须对招标文件提出的要求和条件作出明确响应。</w:t>
      </w:r>
    </w:p>
    <w:p w14:paraId="0267CDB6">
      <w:pPr>
        <w:pStyle w:val="6"/>
        <w:keepNext w:val="0"/>
        <w:keepLines w:val="0"/>
        <w:spacing w:before="0" w:after="0" w:line="360" w:lineRule="auto"/>
        <w:ind w:left="420" w:leftChars="200"/>
        <w:rPr>
          <w:rFonts w:hint="eastAsia" w:ascii="黑体" w:hAnsi="黑体" w:eastAsia="黑体"/>
          <w:sz w:val="24"/>
        </w:rPr>
      </w:pPr>
      <w:r>
        <w:rPr>
          <w:rFonts w:hint="eastAsia" w:ascii="黑体" w:hAnsi="黑体" w:eastAsia="黑体"/>
          <w:sz w:val="24"/>
        </w:rPr>
        <w:t>13.投标文件的组成</w:t>
      </w:r>
      <w:bookmarkEnd w:id="134"/>
      <w:bookmarkEnd w:id="135"/>
    </w:p>
    <w:p w14:paraId="5BEE6486">
      <w:pPr>
        <w:snapToGrid w:val="0"/>
        <w:spacing w:line="360" w:lineRule="auto"/>
        <w:ind w:firstLine="420" w:firstLineChars="200"/>
        <w:jc w:val="left"/>
        <w:rPr>
          <w:rFonts w:hint="eastAsia" w:ascii="宋体" w:hAnsi="宋体"/>
          <w:szCs w:val="21"/>
        </w:rPr>
      </w:pPr>
      <w:r>
        <w:rPr>
          <w:rFonts w:hint="eastAsia" w:ascii="宋体" w:hAnsi="宋体"/>
          <w:szCs w:val="21"/>
        </w:rPr>
        <w:t>投标文件由报价文件、资格证明文件、商务及技术文件三部分组成。</w:t>
      </w:r>
    </w:p>
    <w:p w14:paraId="65B5B591">
      <w:pPr>
        <w:pStyle w:val="6"/>
        <w:keepNext w:val="0"/>
        <w:keepLines w:val="0"/>
        <w:spacing w:before="0" w:after="0" w:line="360" w:lineRule="auto"/>
        <w:ind w:left="420" w:leftChars="200"/>
        <w:rPr>
          <w:rFonts w:hint="eastAsia" w:ascii="宋体" w:hAnsi="宋体"/>
          <w:b w:val="0"/>
          <w:sz w:val="21"/>
          <w:szCs w:val="21"/>
        </w:rPr>
      </w:pPr>
      <w:bookmarkStart w:id="136" w:name="_13.1报价文件:_具体材料见“投标人须知前附表”。"/>
      <w:bookmarkEnd w:id="136"/>
      <w:r>
        <w:rPr>
          <w:rFonts w:hint="eastAsia" w:ascii="宋体" w:hAnsi="宋体"/>
          <w:b w:val="0"/>
          <w:sz w:val="21"/>
          <w:szCs w:val="21"/>
        </w:rPr>
        <w:t>（1）报价文件：</w:t>
      </w:r>
      <w:r>
        <w:rPr>
          <w:rFonts w:ascii="宋体" w:hAnsi="宋体"/>
          <w:b w:val="0"/>
          <w:sz w:val="21"/>
          <w:szCs w:val="21"/>
        </w:rPr>
        <w:t>具体材料见“投标人须知前附表”</w:t>
      </w:r>
      <w:r>
        <w:rPr>
          <w:rFonts w:hint="eastAsia" w:ascii="宋体" w:hAnsi="宋体"/>
          <w:b w:val="0"/>
          <w:sz w:val="21"/>
          <w:szCs w:val="21"/>
        </w:rPr>
        <w:t>。</w:t>
      </w:r>
    </w:p>
    <w:p w14:paraId="6018598F">
      <w:pPr>
        <w:pStyle w:val="6"/>
        <w:keepNext w:val="0"/>
        <w:keepLines w:val="0"/>
        <w:spacing w:before="0" w:after="0" w:line="360" w:lineRule="auto"/>
        <w:ind w:left="420" w:leftChars="200"/>
        <w:rPr>
          <w:rFonts w:hint="eastAsia" w:ascii="宋体" w:hAnsi="宋体"/>
          <w:b w:val="0"/>
          <w:sz w:val="21"/>
          <w:szCs w:val="21"/>
        </w:rPr>
      </w:pPr>
      <w:bookmarkStart w:id="137" w:name="_13.2资格证明文件：具体材料见“投标人须知前附表”。"/>
      <w:bookmarkEnd w:id="137"/>
      <w:r>
        <w:rPr>
          <w:rFonts w:hint="eastAsia" w:ascii="宋体" w:hAnsi="宋体"/>
          <w:b w:val="0"/>
          <w:sz w:val="21"/>
          <w:szCs w:val="21"/>
        </w:rPr>
        <w:t>（</w:t>
      </w:r>
      <w:r>
        <w:rPr>
          <w:rFonts w:ascii="宋体" w:hAnsi="宋体"/>
          <w:b w:val="0"/>
          <w:sz w:val="21"/>
          <w:szCs w:val="21"/>
        </w:rPr>
        <w:t>2</w:t>
      </w:r>
      <w:r>
        <w:rPr>
          <w:rFonts w:hint="eastAsia" w:ascii="宋体" w:hAnsi="宋体"/>
          <w:b w:val="0"/>
          <w:sz w:val="21"/>
          <w:szCs w:val="21"/>
        </w:rPr>
        <w:t>）资格证明文件：</w:t>
      </w:r>
      <w:r>
        <w:rPr>
          <w:rFonts w:ascii="宋体" w:hAnsi="宋体"/>
          <w:b w:val="0"/>
          <w:sz w:val="21"/>
          <w:szCs w:val="21"/>
        </w:rPr>
        <w:t>具体材料见“投标人须知前附表”</w:t>
      </w:r>
      <w:r>
        <w:rPr>
          <w:rFonts w:hint="eastAsia" w:ascii="宋体" w:hAnsi="宋体"/>
          <w:b w:val="0"/>
          <w:sz w:val="21"/>
          <w:szCs w:val="21"/>
        </w:rPr>
        <w:t>。</w:t>
      </w:r>
    </w:p>
    <w:p w14:paraId="0DDFF0F5">
      <w:pPr>
        <w:pStyle w:val="6"/>
        <w:keepNext w:val="0"/>
        <w:keepLines w:val="0"/>
        <w:spacing w:before="0" w:after="0" w:line="360" w:lineRule="auto"/>
        <w:ind w:left="420" w:leftChars="200"/>
        <w:rPr>
          <w:rFonts w:hint="eastAsia" w:ascii="宋体" w:hAnsi="宋体"/>
          <w:b w:val="0"/>
          <w:sz w:val="21"/>
          <w:szCs w:val="21"/>
        </w:rPr>
      </w:pPr>
      <w:bookmarkStart w:id="138" w:name="_13.3商务文件:_具体材料见“投标人须知前附表”。"/>
      <w:bookmarkEnd w:id="138"/>
      <w:r>
        <w:rPr>
          <w:rFonts w:hint="eastAsia" w:ascii="宋体" w:hAnsi="宋体"/>
          <w:b w:val="0"/>
          <w:sz w:val="21"/>
          <w:szCs w:val="21"/>
        </w:rPr>
        <w:t>（</w:t>
      </w:r>
      <w:r>
        <w:rPr>
          <w:rFonts w:ascii="宋体" w:hAnsi="宋体"/>
          <w:b w:val="0"/>
          <w:sz w:val="21"/>
          <w:szCs w:val="21"/>
        </w:rPr>
        <w:t>3</w:t>
      </w:r>
      <w:r>
        <w:rPr>
          <w:rFonts w:hint="eastAsia" w:ascii="宋体" w:hAnsi="宋体"/>
          <w:b w:val="0"/>
          <w:sz w:val="21"/>
          <w:szCs w:val="21"/>
        </w:rPr>
        <w:t>）商务及技术文件：</w:t>
      </w:r>
      <w:r>
        <w:rPr>
          <w:rFonts w:ascii="宋体" w:hAnsi="宋体"/>
          <w:b w:val="0"/>
          <w:sz w:val="21"/>
          <w:szCs w:val="21"/>
        </w:rPr>
        <w:t>具体材料见“投标人须知前附表”</w:t>
      </w:r>
      <w:r>
        <w:rPr>
          <w:rFonts w:hint="eastAsia" w:ascii="宋体" w:hAnsi="宋体"/>
          <w:b w:val="0"/>
          <w:sz w:val="21"/>
          <w:szCs w:val="21"/>
        </w:rPr>
        <w:t>。</w:t>
      </w:r>
    </w:p>
    <w:p w14:paraId="48DB6AD4">
      <w:pPr>
        <w:pStyle w:val="6"/>
        <w:keepNext w:val="0"/>
        <w:keepLines w:val="0"/>
        <w:spacing w:before="0" w:after="0" w:line="360" w:lineRule="auto"/>
        <w:ind w:left="420" w:leftChars="200"/>
        <w:rPr>
          <w:rFonts w:hint="eastAsia" w:ascii="黑体" w:hAnsi="黑体" w:eastAsia="黑体"/>
          <w:sz w:val="24"/>
        </w:rPr>
      </w:pPr>
      <w:bookmarkStart w:id="139" w:name="_13.5投标文件电子版：具体材料见“投标人须知前附表”。"/>
      <w:bookmarkEnd w:id="139"/>
      <w:bookmarkStart w:id="140" w:name="_Toc254970537"/>
      <w:bookmarkStart w:id="141" w:name="_Toc254970678"/>
      <w:r>
        <w:rPr>
          <w:rFonts w:hint="eastAsia" w:ascii="黑体" w:hAnsi="黑体" w:eastAsia="黑体"/>
          <w:sz w:val="24"/>
        </w:rPr>
        <w:t>14.投标文件的语言及计量</w:t>
      </w:r>
      <w:bookmarkEnd w:id="140"/>
      <w:bookmarkEnd w:id="141"/>
    </w:p>
    <w:p w14:paraId="77627F57">
      <w:pPr>
        <w:pStyle w:val="6"/>
        <w:keepNext w:val="0"/>
        <w:keepLines w:val="0"/>
        <w:spacing w:before="0" w:after="0" w:line="360" w:lineRule="auto"/>
        <w:ind w:left="420" w:leftChars="200"/>
        <w:rPr>
          <w:rFonts w:hint="eastAsia" w:ascii="宋体" w:hAnsi="宋体"/>
          <w:b w:val="0"/>
          <w:sz w:val="21"/>
          <w:szCs w:val="21"/>
        </w:rPr>
      </w:pPr>
      <w:r>
        <w:rPr>
          <w:rFonts w:hint="eastAsia" w:ascii="宋体" w:hAnsi="宋体"/>
          <w:b w:val="0"/>
          <w:sz w:val="21"/>
          <w:szCs w:val="21"/>
        </w:rPr>
        <w:t>14.1语言文字</w:t>
      </w:r>
    </w:p>
    <w:p w14:paraId="4D91FE71">
      <w:pPr>
        <w:pStyle w:val="6"/>
        <w:keepNext w:val="0"/>
        <w:keepLines w:val="0"/>
        <w:spacing w:before="0" w:after="0" w:line="360" w:lineRule="auto"/>
        <w:ind w:firstLine="420" w:firstLineChars="200"/>
        <w:rPr>
          <w:rFonts w:hint="eastAsia" w:ascii="宋体" w:hAnsi="宋体"/>
          <w:b w:val="0"/>
          <w:sz w:val="21"/>
          <w:szCs w:val="21"/>
        </w:rPr>
      </w:pPr>
      <w:r>
        <w:rPr>
          <w:rFonts w:hint="eastAsia" w:ascii="宋体" w:hAnsi="宋体"/>
          <w:b w:val="0"/>
          <w:sz w:val="21"/>
          <w:szCs w:val="21"/>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文文本为准。</w:t>
      </w:r>
    </w:p>
    <w:p w14:paraId="2C3FB386">
      <w:pPr>
        <w:pStyle w:val="6"/>
        <w:keepNext w:val="0"/>
        <w:keepLines w:val="0"/>
        <w:spacing w:before="0" w:after="0" w:line="360" w:lineRule="auto"/>
        <w:ind w:firstLine="420" w:firstLineChars="200"/>
        <w:rPr>
          <w:rFonts w:ascii="宋体" w:hAnsi="宋体"/>
          <w:b w:val="0"/>
          <w:sz w:val="21"/>
          <w:szCs w:val="21"/>
        </w:rPr>
      </w:pPr>
      <w:r>
        <w:rPr>
          <w:rFonts w:hint="eastAsia" w:ascii="宋体" w:hAnsi="宋体"/>
          <w:b w:val="0"/>
          <w:sz w:val="21"/>
          <w:szCs w:val="21"/>
        </w:rPr>
        <w:t>14.2投标计量单位</w:t>
      </w:r>
    </w:p>
    <w:p w14:paraId="3BF1ED1B">
      <w:pPr>
        <w:pStyle w:val="6"/>
        <w:keepNext w:val="0"/>
        <w:keepLines w:val="0"/>
        <w:spacing w:before="0" w:after="0" w:line="360" w:lineRule="auto"/>
        <w:ind w:firstLine="420" w:firstLineChars="200"/>
        <w:rPr>
          <w:rFonts w:hint="eastAsia" w:ascii="宋体" w:hAnsi="宋体"/>
          <w:b w:val="0"/>
          <w:sz w:val="21"/>
          <w:szCs w:val="21"/>
        </w:rPr>
      </w:pPr>
      <w:r>
        <w:rPr>
          <w:rFonts w:hint="eastAsia" w:ascii="宋体" w:hAnsi="宋体"/>
          <w:b w:val="0"/>
          <w:sz w:val="21"/>
          <w:szCs w:val="21"/>
        </w:rPr>
        <w:t>招标文件已有明确规定的，使用招标文件规定的计量单位；招标文件没有规定的，应采用中华人民共和国法定计量单位，货币种类为人民币，</w:t>
      </w:r>
      <w:r>
        <w:rPr>
          <w:rFonts w:hint="eastAsia" w:ascii="宋体" w:hAnsi="宋体"/>
          <w:sz w:val="21"/>
          <w:szCs w:val="21"/>
        </w:rPr>
        <w:t>否则视同未响应。</w:t>
      </w:r>
    </w:p>
    <w:p w14:paraId="589F8BAC">
      <w:pPr>
        <w:pStyle w:val="6"/>
        <w:keepNext w:val="0"/>
        <w:keepLines w:val="0"/>
        <w:spacing w:before="0" w:after="0" w:line="360" w:lineRule="auto"/>
        <w:ind w:left="420" w:leftChars="200"/>
        <w:rPr>
          <w:rFonts w:hint="eastAsia" w:ascii="黑体" w:hAnsi="黑体" w:eastAsia="黑体"/>
          <w:sz w:val="24"/>
        </w:rPr>
      </w:pPr>
      <w:r>
        <w:rPr>
          <w:rFonts w:hint="eastAsia" w:ascii="黑体" w:hAnsi="黑体" w:eastAsia="黑体"/>
          <w:sz w:val="24"/>
        </w:rPr>
        <w:t>15.投标的风险</w:t>
      </w:r>
    </w:p>
    <w:p w14:paraId="16D8FF4E">
      <w:pPr>
        <w:pStyle w:val="25"/>
        <w:snapToGrid w:val="0"/>
        <w:spacing w:line="360" w:lineRule="auto"/>
        <w:ind w:firstLine="420" w:firstLineChars="200"/>
        <w:jc w:val="left"/>
        <w:rPr>
          <w:rFonts w:hint="eastAsia" w:hAnsi="宋体"/>
          <w:sz w:val="21"/>
        </w:rPr>
      </w:pPr>
      <w:r>
        <w:rPr>
          <w:rFonts w:hint="eastAsia" w:hAnsi="宋体"/>
          <w:sz w:val="21"/>
        </w:rPr>
        <w:t>投标人没有按照招标文件要求提供全部资料，或者投标人没有对招标文件作出实质性响应是投标人的风险，并可能导致其投标被拒绝。</w:t>
      </w:r>
    </w:p>
    <w:p w14:paraId="0D97FC70">
      <w:pPr>
        <w:pStyle w:val="6"/>
        <w:keepNext w:val="0"/>
        <w:keepLines w:val="0"/>
        <w:spacing w:before="0" w:after="0" w:line="360" w:lineRule="auto"/>
        <w:ind w:left="420" w:leftChars="200"/>
        <w:rPr>
          <w:rFonts w:hint="eastAsia" w:ascii="黑体" w:hAnsi="黑体" w:eastAsia="黑体"/>
          <w:sz w:val="24"/>
        </w:rPr>
      </w:pPr>
      <w:bookmarkStart w:id="142" w:name="_Toc254970679"/>
      <w:bookmarkStart w:id="143" w:name="_Toc254970538"/>
      <w:r>
        <w:rPr>
          <w:rFonts w:hint="eastAsia" w:ascii="黑体" w:hAnsi="黑体" w:eastAsia="黑体"/>
          <w:sz w:val="24"/>
        </w:rPr>
        <w:t>16.投标报价</w:t>
      </w:r>
      <w:bookmarkEnd w:id="142"/>
      <w:bookmarkEnd w:id="143"/>
    </w:p>
    <w:p w14:paraId="3BBDB238">
      <w:pPr>
        <w:pStyle w:val="6"/>
        <w:keepNext w:val="0"/>
        <w:keepLines w:val="0"/>
        <w:spacing w:before="0" w:after="0" w:line="360" w:lineRule="auto"/>
        <w:ind w:left="420" w:leftChars="200"/>
        <w:rPr>
          <w:rFonts w:hint="eastAsia" w:ascii="宋体" w:hAnsi="宋体"/>
          <w:b w:val="0"/>
          <w:sz w:val="21"/>
          <w:szCs w:val="21"/>
        </w:rPr>
      </w:pPr>
      <w:r>
        <w:rPr>
          <w:rFonts w:hint="eastAsia" w:ascii="宋体" w:hAnsi="宋体"/>
          <w:b w:val="0"/>
          <w:sz w:val="21"/>
          <w:szCs w:val="21"/>
        </w:rPr>
        <w:t>16.1投标报价应按“第六章　投标文件格式”中“开标一览表”格式填写。</w:t>
      </w:r>
    </w:p>
    <w:p w14:paraId="1026A58C">
      <w:pPr>
        <w:pStyle w:val="6"/>
        <w:keepNext w:val="0"/>
        <w:keepLines w:val="0"/>
        <w:spacing w:before="0" w:after="0" w:line="360" w:lineRule="auto"/>
        <w:ind w:left="420" w:leftChars="200"/>
        <w:rPr>
          <w:rFonts w:hint="eastAsia" w:ascii="宋体" w:hAnsi="宋体"/>
          <w:b w:val="0"/>
          <w:sz w:val="21"/>
          <w:szCs w:val="21"/>
        </w:rPr>
      </w:pPr>
      <w:bookmarkStart w:id="144" w:name="_16.2投标报价具体定义见投标人须知前附表。"/>
      <w:bookmarkEnd w:id="144"/>
      <w:r>
        <w:rPr>
          <w:rFonts w:hint="eastAsia" w:ascii="宋体" w:hAnsi="宋体"/>
          <w:b w:val="0"/>
          <w:sz w:val="21"/>
          <w:szCs w:val="21"/>
        </w:rPr>
        <w:t>16.2投标报价具体包括内容详见“投标人须知前附表”。</w:t>
      </w:r>
    </w:p>
    <w:p w14:paraId="1E873B75">
      <w:pPr>
        <w:pStyle w:val="6"/>
        <w:keepNext w:val="0"/>
        <w:keepLines w:val="0"/>
        <w:spacing w:before="0" w:after="0" w:line="360" w:lineRule="auto"/>
        <w:ind w:firstLine="420" w:firstLineChars="200"/>
        <w:rPr>
          <w:rFonts w:hint="eastAsia" w:ascii="宋体" w:hAnsi="宋体"/>
          <w:b w:val="0"/>
          <w:sz w:val="21"/>
          <w:szCs w:val="21"/>
        </w:rPr>
      </w:pPr>
      <w:r>
        <w:rPr>
          <w:rFonts w:hint="eastAsia" w:ascii="宋体" w:hAnsi="宋体"/>
          <w:b w:val="0"/>
          <w:sz w:val="21"/>
          <w:szCs w:val="21"/>
        </w:rPr>
        <w:t>16.3投标人必须就所投每个分标的全部内容分别作完整唯一总价报价，不得存在漏项报价；投标人必须就所投分标的单项内容作唯一报价。</w:t>
      </w:r>
    </w:p>
    <w:p w14:paraId="7F92DB08">
      <w:pPr>
        <w:pStyle w:val="6"/>
        <w:keepNext w:val="0"/>
        <w:keepLines w:val="0"/>
        <w:spacing w:before="0" w:after="0" w:line="360" w:lineRule="auto"/>
        <w:ind w:left="420" w:leftChars="200"/>
        <w:rPr>
          <w:rFonts w:hint="eastAsia" w:ascii="黑体" w:hAnsi="黑体" w:eastAsia="黑体"/>
          <w:sz w:val="24"/>
        </w:rPr>
      </w:pPr>
      <w:r>
        <w:rPr>
          <w:rFonts w:hint="eastAsia" w:ascii="黑体" w:hAnsi="黑体" w:eastAsia="黑体"/>
          <w:sz w:val="24"/>
        </w:rPr>
        <w:t>17.投标有效期</w:t>
      </w:r>
    </w:p>
    <w:p w14:paraId="21214963">
      <w:pPr>
        <w:pStyle w:val="6"/>
        <w:keepNext w:val="0"/>
        <w:keepLines w:val="0"/>
        <w:spacing w:before="0" w:after="0" w:line="360" w:lineRule="auto"/>
        <w:ind w:firstLine="420" w:firstLineChars="200"/>
        <w:rPr>
          <w:rFonts w:hint="eastAsia" w:ascii="宋体" w:hAnsi="宋体"/>
          <w:b w:val="0"/>
          <w:sz w:val="21"/>
          <w:szCs w:val="21"/>
        </w:rPr>
      </w:pPr>
      <w:bookmarkStart w:id="145" w:name="_17.1投标有效期应按“投标人须知中的前附表”规定的期限。"/>
      <w:bookmarkEnd w:id="145"/>
      <w:r>
        <w:rPr>
          <w:rFonts w:hint="eastAsia" w:ascii="宋体" w:hAnsi="宋体"/>
          <w:b w:val="0"/>
          <w:sz w:val="21"/>
          <w:szCs w:val="21"/>
        </w:rPr>
        <w:t>17.1投标有效期是指为保证采购人有足够的时间在开标后完成评标、定标、合同签订等工作而要求投标人提交的投标文件在一定时间内保持有效的期限。</w:t>
      </w:r>
    </w:p>
    <w:p w14:paraId="3056BA9D">
      <w:pPr>
        <w:pStyle w:val="6"/>
        <w:keepNext w:val="0"/>
        <w:keepLines w:val="0"/>
        <w:spacing w:before="0" w:after="0" w:line="360" w:lineRule="auto"/>
        <w:ind w:left="420" w:leftChars="200"/>
        <w:rPr>
          <w:rFonts w:hint="eastAsia" w:ascii="宋体" w:hAnsi="宋体"/>
          <w:b w:val="0"/>
          <w:sz w:val="21"/>
          <w:szCs w:val="21"/>
        </w:rPr>
      </w:pPr>
      <w:r>
        <w:rPr>
          <w:rFonts w:hint="eastAsia" w:ascii="宋体" w:hAnsi="宋体"/>
          <w:b w:val="0"/>
          <w:sz w:val="21"/>
          <w:szCs w:val="21"/>
        </w:rPr>
        <w:t>17.2</w:t>
      </w:r>
      <w:bookmarkStart w:id="146" w:name="_Toc254970540"/>
      <w:bookmarkStart w:id="147" w:name="_Toc254970681"/>
      <w:r>
        <w:rPr>
          <w:rFonts w:hint="eastAsia" w:ascii="宋体" w:hAnsi="宋体"/>
          <w:b w:val="0"/>
          <w:sz w:val="21"/>
          <w:szCs w:val="21"/>
        </w:rPr>
        <w:t xml:space="preserve"> 投标有效期应按招标文件规定的期限作出承诺，具体详见“投标人须知前附表”。</w:t>
      </w:r>
      <w:r>
        <w:rPr>
          <w:rFonts w:hint="eastAsia" w:ascii="宋体" w:hAnsi="宋体"/>
          <w:sz w:val="21"/>
          <w:szCs w:val="21"/>
        </w:rPr>
        <w:t>承诺的投标有效期低于招标文件规定期限的，按无效投标处理</w:t>
      </w:r>
      <w:r>
        <w:rPr>
          <w:rFonts w:hint="eastAsia" w:ascii="宋体" w:hAnsi="宋体"/>
          <w:b w:val="0"/>
          <w:sz w:val="21"/>
          <w:szCs w:val="21"/>
        </w:rPr>
        <w:t>。</w:t>
      </w:r>
    </w:p>
    <w:p w14:paraId="56C2FD5C">
      <w:pPr>
        <w:pStyle w:val="6"/>
        <w:keepNext w:val="0"/>
        <w:keepLines w:val="0"/>
        <w:spacing w:before="0" w:after="0" w:line="360" w:lineRule="auto"/>
        <w:ind w:left="420" w:leftChars="200"/>
        <w:rPr>
          <w:rFonts w:hint="eastAsia" w:ascii="宋体" w:hAnsi="宋体"/>
          <w:b w:val="0"/>
          <w:sz w:val="21"/>
          <w:szCs w:val="21"/>
        </w:rPr>
      </w:pPr>
      <w:r>
        <w:rPr>
          <w:rFonts w:hint="eastAsia" w:ascii="宋体" w:hAnsi="宋体"/>
          <w:b w:val="0"/>
          <w:sz w:val="21"/>
          <w:szCs w:val="21"/>
        </w:rPr>
        <w:t>17.3投标人的投标文件在投标有效期内均保持有效。</w:t>
      </w:r>
      <w:bookmarkEnd w:id="146"/>
      <w:bookmarkEnd w:id="147"/>
    </w:p>
    <w:p w14:paraId="4909957A">
      <w:pPr>
        <w:pStyle w:val="6"/>
        <w:keepNext w:val="0"/>
        <w:keepLines w:val="0"/>
        <w:spacing w:before="0" w:after="0" w:line="360" w:lineRule="auto"/>
        <w:ind w:left="420" w:leftChars="200"/>
        <w:rPr>
          <w:rFonts w:hint="eastAsia" w:ascii="黑体" w:hAnsi="黑体" w:eastAsia="黑体"/>
          <w:sz w:val="24"/>
        </w:rPr>
      </w:pPr>
      <w:bookmarkStart w:id="148" w:name="_18.投标保证金"/>
      <w:bookmarkEnd w:id="148"/>
      <w:bookmarkStart w:id="149" w:name="_Toc254970541"/>
      <w:bookmarkStart w:id="150" w:name="_Toc254970682"/>
      <w:r>
        <w:rPr>
          <w:rFonts w:hint="eastAsia" w:ascii="黑体" w:hAnsi="黑体" w:eastAsia="黑体"/>
          <w:sz w:val="24"/>
        </w:rPr>
        <w:t>18.投标保证金</w:t>
      </w:r>
      <w:bookmarkEnd w:id="149"/>
      <w:bookmarkEnd w:id="150"/>
    </w:p>
    <w:p w14:paraId="70E3A5DE">
      <w:pPr>
        <w:pStyle w:val="6"/>
        <w:keepNext w:val="0"/>
        <w:keepLines w:val="0"/>
        <w:spacing w:before="0" w:after="0" w:line="360" w:lineRule="auto"/>
        <w:ind w:left="420" w:leftChars="200"/>
        <w:rPr>
          <w:rFonts w:ascii="宋体" w:hAnsi="宋体"/>
          <w:b w:val="0"/>
          <w:sz w:val="21"/>
          <w:szCs w:val="21"/>
        </w:rPr>
      </w:pPr>
      <w:r>
        <w:rPr>
          <w:rFonts w:hint="eastAsia" w:ascii="宋体" w:hAnsi="宋体"/>
          <w:b w:val="0"/>
          <w:sz w:val="21"/>
          <w:szCs w:val="21"/>
        </w:rPr>
        <w:t>18.1投标人须按“投标人须知前附表” 的规定提交投标保证金。</w:t>
      </w:r>
    </w:p>
    <w:p w14:paraId="30B94E7D">
      <w:pPr>
        <w:pStyle w:val="6"/>
        <w:keepNext w:val="0"/>
        <w:keepLines w:val="0"/>
        <w:spacing w:before="0" w:after="0" w:line="360" w:lineRule="auto"/>
        <w:ind w:firstLine="420" w:firstLineChars="200"/>
        <w:rPr>
          <w:rFonts w:hint="eastAsia" w:ascii="宋体" w:hAnsi="宋体"/>
          <w:b w:val="0"/>
          <w:sz w:val="21"/>
          <w:szCs w:val="21"/>
        </w:rPr>
      </w:pPr>
      <w:r>
        <w:rPr>
          <w:rFonts w:hint="eastAsia" w:ascii="宋体" w:hAnsi="宋体"/>
          <w:b w:val="0"/>
          <w:sz w:val="21"/>
          <w:szCs w:val="21"/>
        </w:rPr>
        <w:t>18.2投标保证金的退还</w:t>
      </w:r>
    </w:p>
    <w:p w14:paraId="3D7B568F">
      <w:pPr>
        <w:pStyle w:val="6"/>
        <w:keepNext w:val="0"/>
        <w:keepLines w:val="0"/>
        <w:spacing w:before="0" w:after="0" w:line="360" w:lineRule="auto"/>
        <w:ind w:firstLine="420" w:firstLineChars="200"/>
        <w:rPr>
          <w:rFonts w:hint="eastAsia" w:ascii="宋体" w:hAnsi="宋体"/>
          <w:b w:val="0"/>
          <w:sz w:val="21"/>
          <w:szCs w:val="21"/>
        </w:rPr>
      </w:pPr>
      <w:r>
        <w:rPr>
          <w:rFonts w:hint="eastAsia" w:ascii="宋体" w:hAnsi="宋体"/>
          <w:b w:val="0"/>
          <w:sz w:val="21"/>
          <w:szCs w:val="21"/>
        </w:rPr>
        <w:t>未中标人的投标保证金自中标通知书发出之日起</w:t>
      </w:r>
      <w:r>
        <w:rPr>
          <w:rFonts w:ascii="宋体" w:hAnsi="宋体"/>
          <w:b w:val="0"/>
          <w:sz w:val="21"/>
          <w:szCs w:val="21"/>
        </w:rPr>
        <w:t>5</w:t>
      </w:r>
      <w:r>
        <w:rPr>
          <w:rFonts w:hint="eastAsia" w:ascii="宋体" w:hAnsi="宋体"/>
          <w:b w:val="0"/>
          <w:sz w:val="21"/>
          <w:szCs w:val="21"/>
        </w:rPr>
        <w:t>个工作日内退还；中标人的投标保证金自政府采购合同签订之日起</w:t>
      </w:r>
      <w:r>
        <w:rPr>
          <w:rFonts w:ascii="宋体" w:hAnsi="宋体"/>
          <w:b w:val="0"/>
          <w:sz w:val="21"/>
          <w:szCs w:val="21"/>
        </w:rPr>
        <w:t>5</w:t>
      </w:r>
      <w:r>
        <w:rPr>
          <w:rFonts w:hint="eastAsia" w:ascii="宋体" w:hAnsi="宋体"/>
          <w:b w:val="0"/>
          <w:sz w:val="21"/>
          <w:szCs w:val="21"/>
        </w:rPr>
        <w:t xml:space="preserve">个工作日内退还。 </w:t>
      </w:r>
    </w:p>
    <w:p w14:paraId="59A1963C">
      <w:pPr>
        <w:pStyle w:val="6"/>
        <w:keepNext w:val="0"/>
        <w:keepLines w:val="0"/>
        <w:spacing w:before="0" w:after="0" w:line="360" w:lineRule="auto"/>
        <w:ind w:left="420" w:leftChars="200"/>
        <w:rPr>
          <w:rFonts w:hint="eastAsia" w:ascii="宋体" w:hAnsi="宋体"/>
          <w:b w:val="0"/>
          <w:sz w:val="21"/>
          <w:szCs w:val="21"/>
        </w:rPr>
      </w:pPr>
      <w:r>
        <w:rPr>
          <w:rFonts w:hint="eastAsia" w:ascii="宋体" w:hAnsi="宋体"/>
          <w:b w:val="0"/>
          <w:sz w:val="21"/>
          <w:szCs w:val="21"/>
        </w:rPr>
        <w:t>18.3除逾期退还投标保证金和终止招标的情形以外，投标保证金不计息。</w:t>
      </w:r>
    </w:p>
    <w:p w14:paraId="62DB70AE">
      <w:pPr>
        <w:pStyle w:val="6"/>
        <w:keepNext w:val="0"/>
        <w:keepLines w:val="0"/>
        <w:spacing w:before="0" w:after="0" w:line="360" w:lineRule="auto"/>
        <w:ind w:left="420" w:leftChars="200"/>
        <w:rPr>
          <w:rFonts w:hint="eastAsia" w:ascii="宋体" w:hAnsi="宋体"/>
          <w:b w:val="0"/>
          <w:sz w:val="21"/>
          <w:szCs w:val="21"/>
        </w:rPr>
      </w:pPr>
      <w:r>
        <w:rPr>
          <w:rFonts w:hint="eastAsia" w:ascii="宋体" w:hAnsi="宋体"/>
          <w:b w:val="0"/>
          <w:sz w:val="21"/>
          <w:szCs w:val="21"/>
        </w:rPr>
        <w:t xml:space="preserve">18.4投标人有下列情形之一的，投标保证金将不予退还： </w:t>
      </w:r>
    </w:p>
    <w:p w14:paraId="7280FEE0">
      <w:pPr>
        <w:snapToGrid w:val="0"/>
        <w:spacing w:line="360" w:lineRule="auto"/>
        <w:ind w:firstLine="411" w:firstLineChars="196"/>
        <w:jc w:val="left"/>
        <w:rPr>
          <w:rFonts w:hint="eastAsia" w:ascii="宋体" w:hAnsi="宋体"/>
          <w:szCs w:val="21"/>
        </w:rPr>
      </w:pPr>
      <w:r>
        <w:rPr>
          <w:rFonts w:hint="eastAsia" w:ascii="宋体" w:hAnsi="宋体"/>
          <w:szCs w:val="21"/>
        </w:rPr>
        <w:t>（1）投标人在投标有效期内撤销投标文件的；</w:t>
      </w:r>
    </w:p>
    <w:p w14:paraId="0CB40FA6">
      <w:pPr>
        <w:snapToGrid w:val="0"/>
        <w:spacing w:line="360" w:lineRule="auto"/>
        <w:ind w:firstLine="411" w:firstLineChars="196"/>
        <w:jc w:val="left"/>
        <w:rPr>
          <w:rFonts w:hint="eastAsia" w:ascii="宋体" w:hAnsi="宋体"/>
          <w:szCs w:val="21"/>
        </w:rPr>
      </w:pPr>
      <w:r>
        <w:rPr>
          <w:rFonts w:hint="eastAsia" w:ascii="宋体" w:hAnsi="宋体"/>
          <w:szCs w:val="21"/>
        </w:rPr>
        <w:t>（2）未按规定提交履约保证金的；</w:t>
      </w:r>
    </w:p>
    <w:p w14:paraId="768F6C36">
      <w:pPr>
        <w:snapToGrid w:val="0"/>
        <w:spacing w:line="360" w:lineRule="auto"/>
        <w:ind w:firstLine="411" w:firstLineChars="196"/>
        <w:jc w:val="left"/>
        <w:rPr>
          <w:rFonts w:hint="eastAsia" w:ascii="宋体" w:hAnsi="宋体"/>
          <w:szCs w:val="21"/>
        </w:rPr>
      </w:pPr>
      <w:r>
        <w:rPr>
          <w:rFonts w:hint="eastAsia" w:ascii="宋体" w:hAnsi="宋体"/>
          <w:szCs w:val="21"/>
        </w:rPr>
        <w:t>（3）投标人在投标过程中弄虚作假，提供虚假材料的；</w:t>
      </w:r>
    </w:p>
    <w:p w14:paraId="33755BA6">
      <w:pPr>
        <w:snapToGrid w:val="0"/>
        <w:spacing w:line="360" w:lineRule="auto"/>
        <w:ind w:firstLine="411" w:firstLineChars="196"/>
        <w:rPr>
          <w:rFonts w:hint="eastAsia" w:ascii="宋体" w:hAnsi="宋体"/>
          <w:szCs w:val="21"/>
        </w:rPr>
      </w:pPr>
      <w:r>
        <w:rPr>
          <w:rFonts w:hint="eastAsia" w:ascii="宋体" w:hAnsi="宋体"/>
          <w:szCs w:val="21"/>
        </w:rPr>
        <w:t>（4）中标人无正当理由不与采购人签订合同的；</w:t>
      </w:r>
    </w:p>
    <w:p w14:paraId="12F49184">
      <w:pPr>
        <w:snapToGrid w:val="0"/>
        <w:spacing w:line="360" w:lineRule="auto"/>
        <w:ind w:firstLine="420" w:firstLineChars="200"/>
        <w:rPr>
          <w:rFonts w:hint="eastAsia" w:ascii="宋体" w:hAnsi="宋体"/>
          <w:szCs w:val="21"/>
        </w:rPr>
      </w:pPr>
      <w:r>
        <w:rPr>
          <w:rFonts w:hint="eastAsia" w:ascii="宋体" w:hAnsi="宋体"/>
          <w:szCs w:val="21"/>
        </w:rPr>
        <w:t>（5）投标人出现本章第9.2、9.3情形的；</w:t>
      </w:r>
    </w:p>
    <w:p w14:paraId="49537D67">
      <w:pPr>
        <w:snapToGrid w:val="0"/>
        <w:spacing w:line="360" w:lineRule="auto"/>
        <w:ind w:firstLine="420" w:firstLineChars="200"/>
        <w:rPr>
          <w:rFonts w:hint="eastAsia" w:ascii="宋体" w:hAnsi="宋体"/>
          <w:szCs w:val="21"/>
        </w:rPr>
      </w:pPr>
      <w:r>
        <w:rPr>
          <w:rFonts w:hint="eastAsia" w:ascii="宋体" w:hAnsi="宋体"/>
          <w:szCs w:val="21"/>
        </w:rPr>
        <w:t>（6）</w:t>
      </w:r>
      <w:r>
        <w:rPr>
          <w:rFonts w:hint="eastAsia" w:ascii="宋体" w:hAnsi="宋体" w:cs="宋体"/>
          <w:szCs w:val="21"/>
        </w:rPr>
        <w:t>法律法规规定的其他情形</w:t>
      </w:r>
      <w:r>
        <w:rPr>
          <w:rFonts w:hint="eastAsia" w:ascii="宋体" w:hAnsi="宋体"/>
          <w:szCs w:val="21"/>
        </w:rPr>
        <w:t>。</w:t>
      </w:r>
    </w:p>
    <w:p w14:paraId="26904929">
      <w:pPr>
        <w:pStyle w:val="6"/>
        <w:keepNext w:val="0"/>
        <w:keepLines w:val="0"/>
        <w:spacing w:before="0" w:after="0" w:line="360" w:lineRule="auto"/>
        <w:ind w:left="420" w:leftChars="200"/>
        <w:rPr>
          <w:rFonts w:hint="eastAsia" w:ascii="黑体" w:hAnsi="黑体" w:eastAsia="黑体"/>
          <w:sz w:val="24"/>
        </w:rPr>
      </w:pPr>
      <w:bookmarkStart w:id="151" w:name="_Toc254970542"/>
      <w:bookmarkStart w:id="152" w:name="_Toc254970683"/>
      <w:r>
        <w:rPr>
          <w:rFonts w:hint="eastAsia" w:ascii="黑体" w:hAnsi="黑体" w:eastAsia="黑体"/>
          <w:sz w:val="24"/>
        </w:rPr>
        <w:t>19.投标文件的</w:t>
      </w:r>
      <w:bookmarkEnd w:id="151"/>
      <w:bookmarkEnd w:id="152"/>
      <w:r>
        <w:rPr>
          <w:rFonts w:hint="eastAsia" w:ascii="黑体" w:hAnsi="黑体" w:eastAsia="黑体"/>
          <w:sz w:val="24"/>
        </w:rPr>
        <w:t>编制</w:t>
      </w:r>
    </w:p>
    <w:p w14:paraId="52FB9E4F">
      <w:pPr>
        <w:pStyle w:val="6"/>
        <w:keepNext w:val="0"/>
        <w:keepLines w:val="0"/>
        <w:spacing w:before="0" w:after="0" w:line="360" w:lineRule="auto"/>
        <w:ind w:firstLine="315" w:firstLineChars="150"/>
        <w:rPr>
          <w:rFonts w:hint="eastAsia" w:ascii="宋体" w:hAnsi="宋体"/>
          <w:b w:val="0"/>
          <w:sz w:val="21"/>
          <w:szCs w:val="21"/>
        </w:rPr>
      </w:pPr>
      <w:r>
        <w:rPr>
          <w:rFonts w:hint="eastAsia" w:ascii="宋体" w:hAnsi="宋体"/>
          <w:b w:val="0"/>
          <w:sz w:val="21"/>
          <w:szCs w:val="21"/>
        </w:rPr>
        <w:t xml:space="preserve"> 19.1投标人应先安装“广西政府采购云平台电子投标客户端”（请自行前往广西政府采购云平台进行下载），并按照本项目招标文件规定的格式和顺序和广西政府采购云平台的要求编制投标文件并加密。投标文件内容不完整、编排混乱导致投标文件被误读、漏读或者查找不到相关内容的，由此引发的后果由投标人承担。</w:t>
      </w:r>
    </w:p>
    <w:p w14:paraId="5F9F1302">
      <w:pPr>
        <w:pStyle w:val="6"/>
        <w:keepNext w:val="0"/>
        <w:keepLines w:val="0"/>
        <w:spacing w:before="0" w:after="0" w:line="360" w:lineRule="auto"/>
        <w:ind w:firstLine="315" w:firstLineChars="150"/>
        <w:rPr>
          <w:rFonts w:ascii="宋体" w:hAnsi="宋体"/>
          <w:b w:val="0"/>
          <w:sz w:val="21"/>
          <w:szCs w:val="21"/>
        </w:rPr>
      </w:pPr>
      <w:bookmarkStart w:id="153" w:name="_19.2投标文件应按报价文件、资格证明文件、商务文件、技术文件分别编制"/>
      <w:bookmarkEnd w:id="153"/>
      <w:r>
        <w:rPr>
          <w:rFonts w:hint="eastAsia" w:ascii="宋体" w:hAnsi="宋体"/>
          <w:b w:val="0"/>
          <w:sz w:val="21"/>
          <w:szCs w:val="21"/>
        </w:rPr>
        <w:t>19.2为确保网上操作合法、有效和安全，投标人应当在投标截止时间前完成在广西政府采购云平台的身份认证，确保在电子投标过程中能够对相关数据电文进行加密和使用电子签章。</w:t>
      </w:r>
    </w:p>
    <w:p w14:paraId="07413C1F">
      <w:pPr>
        <w:pStyle w:val="6"/>
        <w:keepNext w:val="0"/>
        <w:keepLines w:val="0"/>
        <w:spacing w:before="0" w:after="0" w:line="360" w:lineRule="auto"/>
        <w:ind w:firstLine="315" w:firstLineChars="150"/>
        <w:rPr>
          <w:rFonts w:hint="eastAsia" w:ascii="宋体" w:hAnsi="宋体"/>
          <w:b w:val="0"/>
          <w:sz w:val="21"/>
          <w:szCs w:val="21"/>
        </w:rPr>
      </w:pPr>
      <w:r>
        <w:rPr>
          <w:rFonts w:hint="eastAsia" w:ascii="宋体" w:hAnsi="宋体"/>
          <w:b w:val="0"/>
          <w:sz w:val="21"/>
          <w:szCs w:val="21"/>
        </w:rPr>
        <w:t>19.3投标文件须由投标人在规定位置签字（或者电子签名）、盖章（具体以投标人须知前附表或投标文件格式规定为准），</w:t>
      </w:r>
      <w:r>
        <w:rPr>
          <w:rFonts w:hint="eastAsia" w:ascii="宋体" w:hAnsi="宋体"/>
          <w:bCs/>
          <w:sz w:val="21"/>
          <w:szCs w:val="21"/>
        </w:rPr>
        <w:t>否则按无效投标处理</w:t>
      </w:r>
      <w:r>
        <w:rPr>
          <w:rFonts w:hint="eastAsia" w:ascii="宋体" w:hAnsi="宋体"/>
          <w:b w:val="0"/>
          <w:sz w:val="21"/>
          <w:szCs w:val="21"/>
        </w:rPr>
        <w:t>。</w:t>
      </w:r>
    </w:p>
    <w:p w14:paraId="4864FA28">
      <w:pPr>
        <w:pStyle w:val="6"/>
        <w:keepNext w:val="0"/>
        <w:keepLines w:val="0"/>
        <w:spacing w:before="0" w:after="0" w:line="360" w:lineRule="auto"/>
        <w:ind w:firstLine="315" w:firstLineChars="150"/>
        <w:rPr>
          <w:rFonts w:ascii="宋体" w:hAnsi="宋体"/>
          <w:b w:val="0"/>
          <w:sz w:val="21"/>
          <w:szCs w:val="21"/>
        </w:rPr>
      </w:pPr>
      <w:r>
        <w:rPr>
          <w:rFonts w:hint="eastAsia" w:ascii="宋体" w:hAnsi="宋体"/>
          <w:b w:val="0"/>
          <w:sz w:val="21"/>
          <w:szCs w:val="21"/>
        </w:rPr>
        <w:t>19.4投标文件中标注的投标人名称应与主体资格证明（如营业执照或者事业单位法人证书或者执业许可证或者登记证书等）及公章一致，并与“广西政府采购云平台”中获取招标文件的投标人名称一致，投标人为自然人的，标注的投标人名称应与身份证姓名及签名一致，</w:t>
      </w:r>
      <w:r>
        <w:rPr>
          <w:rFonts w:hint="eastAsia" w:ascii="宋体" w:hAnsi="宋体"/>
          <w:sz w:val="21"/>
          <w:szCs w:val="21"/>
        </w:rPr>
        <w:t>否则按无效投标处理</w:t>
      </w:r>
      <w:r>
        <w:rPr>
          <w:rFonts w:hint="eastAsia" w:ascii="宋体" w:hAnsi="宋体"/>
          <w:b w:val="0"/>
          <w:sz w:val="21"/>
          <w:szCs w:val="21"/>
        </w:rPr>
        <w:t>。</w:t>
      </w:r>
    </w:p>
    <w:p w14:paraId="7F4E5D05">
      <w:pPr>
        <w:pStyle w:val="6"/>
        <w:keepNext w:val="0"/>
        <w:keepLines w:val="0"/>
        <w:spacing w:before="0" w:after="0" w:line="360" w:lineRule="auto"/>
        <w:ind w:firstLine="420" w:firstLineChars="200"/>
        <w:rPr>
          <w:rFonts w:ascii="黑体" w:hAnsi="黑体" w:eastAsia="黑体"/>
          <w:sz w:val="24"/>
        </w:rPr>
      </w:pPr>
      <w:r>
        <w:rPr>
          <w:rFonts w:hint="eastAsia" w:ascii="宋体" w:hAnsi="宋体"/>
          <w:b w:val="0"/>
          <w:sz w:val="21"/>
          <w:szCs w:val="21"/>
        </w:rPr>
        <w:t>19.5投标文件应尽量避免涂改、行间插字或者删除。如果出现上述情况，改动之处应由投标人的法定代表人或者其委托代理人签字（或者电子签名）或者加盖公章或者加盖电子签章。投标文件因字迹潦草或者表达不清所引起的后果由投标人承担。</w:t>
      </w:r>
    </w:p>
    <w:p w14:paraId="58A97E2B">
      <w:pPr>
        <w:pStyle w:val="6"/>
        <w:keepNext w:val="0"/>
        <w:keepLines w:val="0"/>
        <w:spacing w:before="0" w:after="0" w:line="360" w:lineRule="auto"/>
        <w:ind w:firstLine="482" w:firstLineChars="200"/>
        <w:rPr>
          <w:rFonts w:hint="eastAsia" w:ascii="黑体" w:hAnsi="黑体" w:eastAsia="黑体"/>
          <w:sz w:val="24"/>
        </w:rPr>
      </w:pPr>
      <w:r>
        <w:rPr>
          <w:rFonts w:hint="eastAsia" w:ascii="黑体" w:hAnsi="黑体" w:eastAsia="黑体"/>
          <w:sz w:val="24"/>
        </w:rPr>
        <w:t>20.电子备份投标文件</w:t>
      </w:r>
    </w:p>
    <w:p w14:paraId="4B39A3F9">
      <w:pPr>
        <w:spacing w:line="360" w:lineRule="auto"/>
        <w:ind w:firstLine="420" w:firstLineChars="200"/>
        <w:rPr>
          <w:rFonts w:hint="eastAsia" w:ascii="黑体" w:hAnsi="黑体" w:eastAsia="黑体"/>
          <w:sz w:val="24"/>
        </w:rPr>
      </w:pPr>
      <w:r>
        <w:rPr>
          <w:rFonts w:hint="eastAsia"/>
        </w:rPr>
        <w:t>电子备份投标文件是指通过“广西政府采购云平台电子投标客户端”在线编制生成且后缀名为“</w:t>
      </w:r>
      <w:r>
        <w:t>bfbs</w:t>
      </w:r>
      <w:r>
        <w:rPr>
          <w:rFonts w:hint="eastAsia"/>
        </w:rPr>
        <w:t>”的文件，是否接受电子备份投标文件</w:t>
      </w:r>
      <w:r>
        <w:rPr>
          <w:rFonts w:hint="eastAsia" w:hAnsi="宋体"/>
          <w:bCs/>
          <w:szCs w:val="21"/>
        </w:rPr>
        <w:t>详见“投标人须知前附表”。</w:t>
      </w:r>
    </w:p>
    <w:p w14:paraId="78EB0E1C">
      <w:pPr>
        <w:pStyle w:val="6"/>
        <w:keepNext w:val="0"/>
        <w:keepLines w:val="0"/>
        <w:spacing w:before="0" w:after="0" w:line="360" w:lineRule="auto"/>
        <w:ind w:left="420" w:leftChars="200"/>
        <w:rPr>
          <w:rFonts w:hint="eastAsia" w:ascii="黑体" w:hAnsi="黑体" w:eastAsia="黑体"/>
          <w:sz w:val="24"/>
        </w:rPr>
      </w:pPr>
      <w:r>
        <w:rPr>
          <w:rFonts w:hint="eastAsia" w:ascii="黑体" w:hAnsi="黑体" w:eastAsia="黑体"/>
          <w:sz w:val="24"/>
        </w:rPr>
        <w:t>21.投标文件的提交</w:t>
      </w:r>
    </w:p>
    <w:p w14:paraId="279CD245">
      <w:pPr>
        <w:spacing w:line="360" w:lineRule="auto"/>
        <w:ind w:firstLine="420" w:firstLineChars="200"/>
        <w:rPr>
          <w:rFonts w:hint="eastAsia" w:hAnsi="宋体"/>
          <w:b/>
        </w:rPr>
      </w:pPr>
      <w:bookmarkStart w:id="154" w:name="_21.1投标人必须在“投标人须知中的前附表”规定的投标文件接收时间和投"/>
      <w:bookmarkEnd w:id="154"/>
      <w:r>
        <w:rPr>
          <w:rFonts w:hint="eastAsia" w:hAnsi="宋体"/>
          <w:bCs/>
          <w:szCs w:val="21"/>
        </w:rPr>
        <w:t>21.1投标人必须在“投标人须知前附表”规定的</w:t>
      </w:r>
      <w:r>
        <w:rPr>
          <w:rFonts w:hint="eastAsia" w:ascii="宋体" w:hAnsi="宋体"/>
          <w:szCs w:val="21"/>
        </w:rPr>
        <w:t>提交投标文件截止时间前将</w:t>
      </w:r>
      <w:r>
        <w:rPr>
          <w:rFonts w:hint="eastAsia" w:hAnsi="宋体"/>
          <w:bCs/>
          <w:szCs w:val="21"/>
        </w:rPr>
        <w:t>电子投标文件提交至投标地点。电子投标文件应在制作完成后，</w:t>
      </w:r>
      <w:r>
        <w:rPr>
          <w:rFonts w:hAnsi="宋体"/>
          <w:bCs/>
          <w:szCs w:val="21"/>
        </w:rPr>
        <w:t>在投标截止时间前</w:t>
      </w:r>
      <w:r>
        <w:rPr>
          <w:rFonts w:hint="eastAsia" w:hAnsi="宋体"/>
          <w:bCs/>
          <w:szCs w:val="21"/>
        </w:rPr>
        <w:t>通过有效数字证书（CA认证锁）进行电子签章、加密，然后通过网络将加密的电子投标文件递交至</w:t>
      </w:r>
      <w:r>
        <w:rPr>
          <w:rFonts w:hint="eastAsia" w:ascii="宋体" w:hAnsi="宋体"/>
          <w:szCs w:val="21"/>
        </w:rPr>
        <w:t>广西政府采购云平台</w:t>
      </w:r>
      <w:r>
        <w:rPr>
          <w:rFonts w:hint="eastAsia" w:hAnsi="宋体"/>
          <w:bCs/>
          <w:szCs w:val="21"/>
        </w:rPr>
        <w:t xml:space="preserve">。 </w:t>
      </w:r>
      <w:r>
        <w:rPr>
          <w:rFonts w:hint="eastAsia" w:hAnsi="宋体"/>
          <w:b/>
        </w:rPr>
        <w:t xml:space="preserve"> </w:t>
      </w:r>
    </w:p>
    <w:p w14:paraId="1F7FAFAC">
      <w:pPr>
        <w:spacing w:line="360" w:lineRule="auto"/>
        <w:ind w:firstLine="422" w:firstLineChars="200"/>
        <w:rPr>
          <w:rFonts w:hint="eastAsia" w:ascii="宋体" w:hAnsi="宋体"/>
          <w:b/>
          <w:szCs w:val="20"/>
        </w:rPr>
      </w:pPr>
      <w:r>
        <w:rPr>
          <w:rFonts w:hint="eastAsia" w:ascii="宋体" w:hAnsi="宋体"/>
          <w:b/>
          <w:szCs w:val="21"/>
        </w:rPr>
        <w:t>21.</w:t>
      </w:r>
      <w:r>
        <w:rPr>
          <w:rFonts w:ascii="宋体" w:hAnsi="宋体"/>
          <w:b/>
          <w:szCs w:val="21"/>
        </w:rPr>
        <w:t>2</w:t>
      </w:r>
      <w:r>
        <w:rPr>
          <w:rFonts w:hint="eastAsia" w:ascii="宋体" w:hAnsi="宋体"/>
          <w:b/>
          <w:szCs w:val="21"/>
        </w:rPr>
        <w:t>未在规定时间内提交或者未按照招标文件要求加密的电子投标文件，广西政府采购云平台将拒收。</w:t>
      </w:r>
    </w:p>
    <w:p w14:paraId="6D8ABCFA">
      <w:pPr>
        <w:pStyle w:val="6"/>
        <w:keepNext w:val="0"/>
        <w:keepLines w:val="0"/>
        <w:spacing w:before="0" w:after="0" w:line="360" w:lineRule="auto"/>
        <w:ind w:left="420" w:leftChars="200"/>
        <w:rPr>
          <w:rFonts w:hint="eastAsia" w:ascii="黑体" w:hAnsi="黑体" w:eastAsia="黑体"/>
          <w:sz w:val="24"/>
        </w:rPr>
      </w:pPr>
      <w:r>
        <w:rPr>
          <w:rFonts w:hint="eastAsia" w:ascii="黑体" w:hAnsi="黑体" w:eastAsia="黑体"/>
          <w:sz w:val="24"/>
        </w:rPr>
        <w:t>22. 投标文件的补充、修改、撤回与退回</w:t>
      </w:r>
    </w:p>
    <w:p w14:paraId="40EE691E">
      <w:pPr>
        <w:snapToGrid w:val="0"/>
        <w:spacing w:line="360" w:lineRule="auto"/>
        <w:ind w:firstLine="420"/>
        <w:jc w:val="left"/>
        <w:rPr>
          <w:rFonts w:hint="eastAsia" w:ascii="宋体" w:hAnsi="宋体"/>
          <w:szCs w:val="21"/>
        </w:rPr>
      </w:pPr>
      <w:bookmarkStart w:id="155" w:name="_Toc254970543"/>
      <w:bookmarkStart w:id="156" w:name="_Toc254970684"/>
      <w:r>
        <w:rPr>
          <w:rFonts w:ascii="宋体" w:hAnsi="宋体" w:cs="宋体"/>
          <w:szCs w:val="21"/>
        </w:rPr>
        <w:t>22</w:t>
      </w:r>
      <w:r>
        <w:rPr>
          <w:rFonts w:hint="eastAsia" w:ascii="宋体" w:hAnsi="宋体" w:cs="宋体"/>
          <w:szCs w:val="21"/>
        </w:rPr>
        <w:t>.1</w:t>
      </w:r>
      <w:r>
        <w:rPr>
          <w:rFonts w:hint="eastAsia" w:ascii="宋体" w:hAnsi="宋体"/>
          <w:bCs/>
          <w:szCs w:val="21"/>
        </w:rPr>
        <w:t>投标人应当在投标截止时间前完成电子投标文件的上传、提交，投标截止时间前可以补充、修改或者撤回投标文件。补充或者修改投标文件的，应当先行撤回原投标文件，补充、修改后重新上传、提交，投标截止时间前未完成上传、提交的，视为撤回投标文件。投标截止时间以后上传递交的投标文件，广西政府采购云平台将予以拒收。</w:t>
      </w:r>
      <w:r>
        <w:rPr>
          <w:rFonts w:hint="eastAsia" w:ascii="宋体" w:hAnsi="宋体" w:cs="宋体"/>
          <w:szCs w:val="21"/>
        </w:rPr>
        <w:t>（补充、修改或者撤回方式可</w:t>
      </w:r>
      <w:r>
        <w:rPr>
          <w:rFonts w:hint="eastAsia" w:ascii="宋体" w:hAnsi="宋体"/>
          <w:szCs w:val="21"/>
        </w:rPr>
        <w:t>登录</w:t>
      </w:r>
      <w:r>
        <w:rPr>
          <w:rFonts w:hint="eastAsia" w:ascii="宋体" w:hAnsi="宋体" w:cs="宋体"/>
          <w:kern w:val="0"/>
          <w:szCs w:val="21"/>
        </w:rPr>
        <w:t>广西政府采购云平台，</w:t>
      </w:r>
      <w:r>
        <w:rPr>
          <w:rFonts w:hint="eastAsia" w:ascii="宋体" w:hAnsi="宋体"/>
          <w:szCs w:val="21"/>
        </w:rPr>
        <w:t>进入“服务中心”中查看</w:t>
      </w:r>
      <w:r>
        <w:rPr>
          <w:rFonts w:hint="eastAsia" w:ascii="宋体" w:hAnsi="宋体" w:cs="宋体"/>
          <w:szCs w:val="21"/>
        </w:rPr>
        <w:t xml:space="preserve"> “电子投标文件制作与投送教程”）</w:t>
      </w:r>
    </w:p>
    <w:bookmarkEnd w:id="155"/>
    <w:bookmarkEnd w:id="156"/>
    <w:p w14:paraId="141FBE7C">
      <w:pPr>
        <w:pStyle w:val="124"/>
        <w:spacing w:before="0"/>
        <w:ind w:firstLine="420"/>
        <w:rPr>
          <w:rFonts w:hint="eastAsia" w:ascii="宋体" w:hAnsi="宋体" w:cs="宋体"/>
          <w:sz w:val="21"/>
          <w:szCs w:val="21"/>
        </w:rPr>
      </w:pPr>
      <w:r>
        <w:rPr>
          <w:rFonts w:ascii="宋体" w:hAnsi="宋体" w:cs="宋体"/>
          <w:sz w:val="21"/>
          <w:szCs w:val="21"/>
        </w:rPr>
        <w:t>22.</w:t>
      </w:r>
      <w:r>
        <w:rPr>
          <w:rFonts w:hint="eastAsia" w:ascii="宋体" w:hAnsi="宋体" w:cs="宋体"/>
          <w:sz w:val="21"/>
          <w:szCs w:val="21"/>
        </w:rPr>
        <w:t>2广西政府采购云平台收到投标文件后向供应商发出确认回执通知。在投标截止时间前，除供应商补充、修改或者撤回投标文件外，任何单位和个人不得解密或提取投标文件。</w:t>
      </w:r>
    </w:p>
    <w:p w14:paraId="46164774">
      <w:pPr>
        <w:spacing w:line="360" w:lineRule="auto"/>
        <w:ind w:firstLine="420" w:firstLineChars="200"/>
        <w:rPr>
          <w:rFonts w:hint="eastAsia" w:ascii="宋体" w:hAnsi="宋体" w:cs="宋体"/>
          <w:szCs w:val="21"/>
        </w:rPr>
      </w:pPr>
      <w:r>
        <w:rPr>
          <w:rFonts w:hint="eastAsia" w:ascii="宋体" w:hAnsi="宋体" w:cs="宋体"/>
          <w:szCs w:val="21"/>
        </w:rPr>
        <w:t>22.</w:t>
      </w:r>
      <w:r>
        <w:rPr>
          <w:rFonts w:ascii="宋体" w:hAnsi="宋体" w:cs="宋体"/>
          <w:szCs w:val="21"/>
        </w:rPr>
        <w:t>3</w:t>
      </w:r>
      <w:r>
        <w:rPr>
          <w:rFonts w:hint="eastAsia" w:ascii="宋体" w:hAnsi="宋体" w:cs="宋体"/>
          <w:szCs w:val="21"/>
        </w:rPr>
        <w:t>在投标截止时间后，采购人和采购代理机构对已提交的投标文件概不退回。</w:t>
      </w:r>
    </w:p>
    <w:p w14:paraId="66DF013C">
      <w:pPr>
        <w:pStyle w:val="4"/>
        <w:keepNext w:val="0"/>
        <w:keepLines w:val="0"/>
        <w:jc w:val="center"/>
        <w:rPr>
          <w:rFonts w:hint="eastAsia"/>
        </w:rPr>
      </w:pPr>
      <w:bookmarkStart w:id="157" w:name="_Toc254970544"/>
      <w:bookmarkStart w:id="158" w:name="_Toc254970685"/>
      <w:r>
        <w:rPr>
          <w:rFonts w:hint="eastAsia"/>
        </w:rPr>
        <w:t>四、开    标</w:t>
      </w:r>
      <w:bookmarkEnd w:id="157"/>
      <w:bookmarkEnd w:id="158"/>
    </w:p>
    <w:p w14:paraId="356E6B3D">
      <w:pPr>
        <w:pStyle w:val="6"/>
        <w:keepNext w:val="0"/>
        <w:keepLines w:val="0"/>
        <w:spacing w:before="0" w:after="0" w:line="360" w:lineRule="auto"/>
        <w:ind w:left="420" w:leftChars="200"/>
        <w:rPr>
          <w:rFonts w:hint="eastAsia" w:ascii="黑体" w:hAnsi="黑体" w:eastAsia="黑体"/>
          <w:sz w:val="24"/>
        </w:rPr>
      </w:pPr>
      <w:bookmarkStart w:id="159" w:name="_23.开标时间和地点"/>
      <w:bookmarkEnd w:id="159"/>
      <w:r>
        <w:rPr>
          <w:rFonts w:hint="eastAsia" w:ascii="黑体" w:hAnsi="黑体" w:eastAsia="黑体"/>
          <w:sz w:val="24"/>
        </w:rPr>
        <w:t>23.开标时间和地点</w:t>
      </w:r>
    </w:p>
    <w:p w14:paraId="0B9D9853">
      <w:pPr>
        <w:spacing w:line="360" w:lineRule="auto"/>
        <w:ind w:firstLine="420" w:firstLineChars="200"/>
        <w:rPr>
          <w:rFonts w:hint="eastAsia" w:hAnsi="宋体"/>
          <w:bCs/>
        </w:rPr>
      </w:pPr>
      <w:r>
        <w:rPr>
          <w:rFonts w:hint="eastAsia" w:hAnsi="宋体"/>
          <w:bCs/>
        </w:rPr>
        <w:t>开标时间及地点详见“投标人须知前附表”</w:t>
      </w:r>
    </w:p>
    <w:p w14:paraId="53E0EDFD">
      <w:pPr>
        <w:pStyle w:val="6"/>
        <w:keepNext w:val="0"/>
        <w:keepLines w:val="0"/>
        <w:spacing w:before="0" w:after="0" w:line="360" w:lineRule="auto"/>
        <w:ind w:left="420" w:leftChars="200"/>
        <w:rPr>
          <w:rFonts w:ascii="黑体" w:hAnsi="黑体" w:eastAsia="黑体"/>
          <w:sz w:val="24"/>
        </w:rPr>
      </w:pPr>
      <w:r>
        <w:rPr>
          <w:rFonts w:hint="eastAsia" w:ascii="黑体" w:hAnsi="黑体" w:eastAsia="黑体"/>
          <w:sz w:val="24"/>
        </w:rPr>
        <w:t>24.开标程序</w:t>
      </w:r>
    </w:p>
    <w:p w14:paraId="4B3C16BF">
      <w:pPr>
        <w:pStyle w:val="7"/>
        <w:spacing w:line="360" w:lineRule="auto"/>
      </w:pPr>
      <w:r>
        <w:rPr>
          <w:rFonts w:hint="eastAsia"/>
        </w:rPr>
        <w:t>2</w:t>
      </w:r>
      <w:r>
        <w:t>4.1</w:t>
      </w:r>
      <w:r>
        <w:rPr>
          <w:rFonts w:hint="eastAsia"/>
        </w:rPr>
        <w:t>提交投标文件截止时间止，投标人不足3家的，不得开标。</w:t>
      </w:r>
    </w:p>
    <w:p w14:paraId="6FA9C72C">
      <w:pPr>
        <w:pStyle w:val="7"/>
        <w:spacing w:line="360" w:lineRule="auto"/>
      </w:pPr>
      <w:r>
        <w:rPr>
          <w:rFonts w:hint="eastAsia"/>
        </w:rPr>
        <w:t>24.</w:t>
      </w:r>
      <w:r>
        <w:t>2</w:t>
      </w:r>
      <w:r>
        <w:rPr>
          <w:rFonts w:hint="eastAsia"/>
        </w:rPr>
        <w:t>采购代理机构将按照招标文件规定的时间通过广西政府采购云平台组织线上开标活动，所有供应商均应当准时在线参加，投标人因未在线参加开标而导致投标文件无法按时解密等一切后果由投标人自己承担。</w:t>
      </w:r>
    </w:p>
    <w:p w14:paraId="7531F6E9">
      <w:pPr>
        <w:pStyle w:val="7"/>
        <w:spacing w:line="360" w:lineRule="auto"/>
        <w:rPr>
          <w:rFonts w:hint="eastAsia"/>
        </w:rPr>
      </w:pPr>
      <w:r>
        <w:rPr>
          <w:rFonts w:hint="eastAsia"/>
        </w:rPr>
        <w:t>24.</w:t>
      </w:r>
      <w:r>
        <w:t>3</w:t>
      </w:r>
      <w:r>
        <w:rPr>
          <w:rFonts w:hint="eastAsia"/>
        </w:rPr>
        <w:t>开标程序</w:t>
      </w:r>
    </w:p>
    <w:p w14:paraId="6B6C6710">
      <w:pPr>
        <w:pStyle w:val="7"/>
        <w:spacing w:line="360" w:lineRule="auto"/>
        <w:rPr>
          <w:rFonts w:hint="eastAsia"/>
        </w:rPr>
      </w:pPr>
      <w:r>
        <w:rPr>
          <w:rFonts w:hint="eastAsia"/>
        </w:rPr>
        <w:t>（1）解密电子投标文件。广西政府采购云平台按开标时间自动提取所有投标文件。采购代理机构依托广西政府采购云平台向各投标人发出电子加密投标文件【开始解密】通知，由投标人按</w:t>
      </w:r>
      <w:r>
        <w:rPr>
          <w:rFonts w:hint="eastAsia" w:hAnsi="宋体"/>
          <w:bCs/>
          <w:szCs w:val="21"/>
        </w:rPr>
        <w:t>“投标人须知前附表”</w:t>
      </w:r>
      <w:r>
        <w:rPr>
          <w:rFonts w:hint="eastAsia"/>
        </w:rPr>
        <w:t>规定的时间内自行进行投标文件解密。投标人的法定代表人或其委托代理人须凭加密时所用的CA锁准时登录到广西政府采购云平台电子开标大厅签到并对电子投标文件解密。</w:t>
      </w:r>
      <w:r>
        <w:rPr>
          <w:b/>
        </w:rPr>
        <w:t>投标人</w:t>
      </w:r>
      <w:r>
        <w:rPr>
          <w:rFonts w:hint="eastAsia"/>
          <w:b/>
        </w:rPr>
        <w:t>未在</w:t>
      </w:r>
      <w:r>
        <w:rPr>
          <w:b/>
        </w:rPr>
        <w:t>规定的时间内解密</w:t>
      </w:r>
      <w:r>
        <w:rPr>
          <w:rFonts w:hint="eastAsia"/>
          <w:b/>
        </w:rPr>
        <w:t>投标文件</w:t>
      </w:r>
      <w:r>
        <w:rPr>
          <w:b/>
        </w:rPr>
        <w:t>或</w:t>
      </w:r>
      <w:r>
        <w:rPr>
          <w:rFonts w:hint="eastAsia"/>
          <w:b/>
        </w:rPr>
        <w:t>者</w:t>
      </w:r>
      <w:r>
        <w:rPr>
          <w:b/>
        </w:rPr>
        <w:t>解密失败的</w:t>
      </w:r>
      <w:r>
        <w:rPr>
          <w:rFonts w:hint="eastAsia"/>
          <w:b/>
        </w:rPr>
        <w:t>，</w:t>
      </w:r>
      <w:r>
        <w:rPr>
          <w:rFonts w:hint="eastAsia" w:ascii="宋体" w:hAnsi="宋体"/>
          <w:b/>
          <w:szCs w:val="21"/>
        </w:rPr>
        <w:t>投标人的投标文件作无效处理。</w:t>
      </w:r>
    </w:p>
    <w:p w14:paraId="2B8E5C4A">
      <w:pPr>
        <w:pStyle w:val="7"/>
        <w:spacing w:line="360" w:lineRule="auto"/>
        <w:rPr>
          <w:rFonts w:hint="eastAsia"/>
        </w:rPr>
      </w:pPr>
      <w:r>
        <w:rPr>
          <w:rFonts w:hint="eastAsia"/>
        </w:rPr>
        <w:t>（2）电子唱标。投标文件解密结束，宣布的内容均在广西政府采购云平台远程开标大厅展示，具体详见</w:t>
      </w:r>
      <w:r>
        <w:rPr>
          <w:rFonts w:hint="eastAsia" w:hAnsi="宋体"/>
          <w:bCs/>
        </w:rPr>
        <w:t>“投标人须知前附表”</w:t>
      </w:r>
      <w:r>
        <w:rPr>
          <w:rFonts w:hint="eastAsia"/>
        </w:rPr>
        <w:t>；</w:t>
      </w:r>
    </w:p>
    <w:p w14:paraId="5E82DBFD">
      <w:pPr>
        <w:pStyle w:val="7"/>
        <w:spacing w:line="360" w:lineRule="auto"/>
        <w:rPr>
          <w:rFonts w:hint="eastAsia"/>
          <w:szCs w:val="21"/>
        </w:rPr>
      </w:pPr>
      <w:r>
        <w:rPr>
          <w:rFonts w:hint="eastAsia"/>
        </w:rPr>
        <w:t>（3）开标过程由采购代理机构如实记录，并电子留痕，由参加电子开标的各投标人代表对电子开标记录在开标记录公布后15分钟内进行当</w:t>
      </w:r>
      <w:r>
        <w:rPr>
          <w:rFonts w:hint="eastAsia"/>
          <w:szCs w:val="21"/>
        </w:rPr>
        <w:t>场校核及勘误，并线上确认是否有异议，未确认的视同认可开标结果。</w:t>
      </w:r>
    </w:p>
    <w:p w14:paraId="54B27476">
      <w:pPr>
        <w:pStyle w:val="7"/>
        <w:spacing w:line="360" w:lineRule="auto"/>
        <w:rPr>
          <w:rFonts w:hint="eastAsia"/>
          <w:szCs w:val="21"/>
        </w:rPr>
      </w:pPr>
      <w:r>
        <w:rPr>
          <w:rFonts w:hint="eastAsia"/>
          <w:szCs w:val="21"/>
        </w:rPr>
        <w:t>（4）投标人代表对开标过程和开标记录有疑义，以及认为采购人、采购代理机构相关工作人员有需要回避的情形的，应当场提出询问或者回避申请。采购人、采购代理机构对投标人代表提出的询问或者回避申请应当及时处理。</w:t>
      </w:r>
    </w:p>
    <w:p w14:paraId="3ED9F22F">
      <w:pPr>
        <w:pStyle w:val="7"/>
        <w:spacing w:line="360" w:lineRule="auto"/>
        <w:rPr>
          <w:rFonts w:hint="eastAsia"/>
          <w:szCs w:val="21"/>
        </w:rPr>
      </w:pPr>
      <w:r>
        <w:rPr>
          <w:rFonts w:hint="eastAsia"/>
          <w:szCs w:val="21"/>
        </w:rPr>
        <w:t>（5）开标结束。</w:t>
      </w:r>
    </w:p>
    <w:p w14:paraId="51F61A25">
      <w:pPr>
        <w:pStyle w:val="25"/>
        <w:snapToGrid w:val="0"/>
        <w:spacing w:line="360" w:lineRule="auto"/>
        <w:ind w:firstLine="420" w:firstLineChars="200"/>
        <w:rPr>
          <w:rFonts w:hint="eastAsia" w:hAnsi="宋体"/>
          <w:sz w:val="21"/>
        </w:rPr>
      </w:pPr>
      <w:r>
        <w:rPr>
          <w:rFonts w:hint="eastAsia"/>
          <w:sz w:val="21"/>
        </w:rPr>
        <w:t>特别说明：如遇广西政府采购云平台电子化开标或评审程序调整的，按调整后执行。</w:t>
      </w:r>
    </w:p>
    <w:p w14:paraId="7A06AE92">
      <w:pPr>
        <w:pStyle w:val="25"/>
        <w:snapToGrid w:val="0"/>
        <w:spacing w:line="360" w:lineRule="auto"/>
        <w:ind w:left="689" w:leftChars="228" w:hanging="210" w:hangingChars="100"/>
        <w:rPr>
          <w:rFonts w:hint="eastAsia" w:hAnsi="宋体"/>
          <w:sz w:val="21"/>
        </w:rPr>
      </w:pPr>
    </w:p>
    <w:p w14:paraId="73E9FC18">
      <w:pPr>
        <w:pStyle w:val="4"/>
        <w:keepNext w:val="0"/>
        <w:keepLines w:val="0"/>
        <w:jc w:val="center"/>
        <w:rPr>
          <w:rFonts w:hint="eastAsia"/>
        </w:rPr>
      </w:pPr>
      <w:r>
        <w:rPr>
          <w:rFonts w:hint="eastAsia"/>
        </w:rPr>
        <w:t>五、资格审查</w:t>
      </w:r>
    </w:p>
    <w:p w14:paraId="2AEBDA4E">
      <w:pPr>
        <w:pStyle w:val="6"/>
        <w:keepNext w:val="0"/>
        <w:keepLines w:val="0"/>
        <w:spacing w:before="0" w:after="0" w:line="400" w:lineRule="exact"/>
        <w:ind w:left="420" w:leftChars="200"/>
        <w:rPr>
          <w:rFonts w:hint="eastAsia" w:ascii="黑体" w:hAnsi="黑体" w:eastAsia="黑体"/>
          <w:sz w:val="24"/>
        </w:rPr>
      </w:pPr>
      <w:r>
        <w:rPr>
          <w:rFonts w:hint="eastAsia" w:ascii="黑体" w:hAnsi="黑体" w:eastAsia="黑体"/>
          <w:sz w:val="24"/>
        </w:rPr>
        <w:t>25.资格审查</w:t>
      </w:r>
    </w:p>
    <w:p w14:paraId="706933A9">
      <w:pPr>
        <w:pStyle w:val="6"/>
        <w:keepNext w:val="0"/>
        <w:keepLines w:val="0"/>
        <w:spacing w:before="0" w:after="0" w:line="400" w:lineRule="exact"/>
        <w:ind w:firstLine="315" w:firstLineChars="150"/>
        <w:rPr>
          <w:rFonts w:hint="eastAsia" w:ascii="宋体" w:hAnsi="宋体"/>
          <w:b w:val="0"/>
          <w:sz w:val="21"/>
          <w:szCs w:val="21"/>
        </w:rPr>
      </w:pPr>
      <w:r>
        <w:rPr>
          <w:rFonts w:hint="eastAsia" w:ascii="宋体" w:hAnsi="宋体"/>
          <w:b w:val="0"/>
          <w:sz w:val="21"/>
          <w:szCs w:val="21"/>
        </w:rPr>
        <w:t xml:space="preserve"> 25.1</w:t>
      </w:r>
      <w:r>
        <w:rPr>
          <w:rFonts w:ascii="宋体" w:hAnsi="宋体"/>
          <w:b w:val="0"/>
          <w:sz w:val="21"/>
          <w:szCs w:val="21"/>
        </w:rPr>
        <w:t>开标结束后，</w:t>
      </w:r>
      <w:r>
        <w:rPr>
          <w:rFonts w:hint="eastAsia" w:ascii="宋体" w:hAnsi="宋体"/>
          <w:b w:val="0"/>
          <w:sz w:val="21"/>
          <w:szCs w:val="21"/>
        </w:rPr>
        <w:t>采购人或者采购代理机构通过电子开评标系统依据招标文件对电子投标文件进行线上资格审查</w:t>
      </w:r>
      <w:r>
        <w:rPr>
          <w:rFonts w:ascii="宋体" w:hAnsi="宋体"/>
          <w:b w:val="0"/>
          <w:sz w:val="21"/>
          <w:szCs w:val="21"/>
        </w:rPr>
        <w:t>。</w:t>
      </w:r>
    </w:p>
    <w:p w14:paraId="23625632">
      <w:pPr>
        <w:pStyle w:val="6"/>
        <w:keepNext w:val="0"/>
        <w:keepLines w:val="0"/>
        <w:spacing w:before="0" w:after="0" w:line="400" w:lineRule="exact"/>
        <w:ind w:firstLine="315" w:firstLineChars="150"/>
        <w:rPr>
          <w:rFonts w:hint="eastAsia" w:ascii="宋体" w:hAnsi="宋体"/>
          <w:b w:val="0"/>
          <w:sz w:val="21"/>
          <w:szCs w:val="21"/>
        </w:rPr>
      </w:pPr>
      <w:r>
        <w:rPr>
          <w:rFonts w:hint="eastAsia" w:ascii="宋体" w:hAnsi="宋体"/>
          <w:b w:val="0"/>
          <w:sz w:val="21"/>
          <w:szCs w:val="21"/>
        </w:rPr>
        <w:t xml:space="preserve"> 25.2资格审查标准为本招标文件中载明对投标人资格要求的条件。本项目资格审查采用合格制，凡符合招标文件规定的投标人资格要求的投标人均通过资格审查。</w:t>
      </w:r>
    </w:p>
    <w:p w14:paraId="090308C1">
      <w:pPr>
        <w:pStyle w:val="6"/>
        <w:keepNext w:val="0"/>
        <w:keepLines w:val="0"/>
        <w:numPr>
          <w:ilvl w:val="0"/>
          <w:numId w:val="0"/>
        </w:numPr>
        <w:spacing w:before="0" w:after="0" w:line="400" w:lineRule="exact"/>
        <w:ind w:firstLine="422" w:firstLineChars="200"/>
        <w:rPr>
          <w:rFonts w:hint="eastAsia" w:ascii="宋体" w:hAnsi="宋体"/>
          <w:sz w:val="21"/>
          <w:szCs w:val="21"/>
        </w:rPr>
      </w:pPr>
      <w:bookmarkStart w:id="160" w:name="_25.3_投标人有下列情形之一的，资格审查不通过而导致其投标无效："/>
      <w:bookmarkEnd w:id="160"/>
      <w:r>
        <w:rPr>
          <w:rFonts w:hint="eastAsia" w:ascii="宋体" w:hAnsi="宋体"/>
          <w:sz w:val="21"/>
          <w:szCs w:val="21"/>
        </w:rPr>
        <w:t>25.3 投标人有下列情形之一的，资格审查不通过，作无效投标处理：</w:t>
      </w:r>
    </w:p>
    <w:p w14:paraId="1460102E">
      <w:pPr>
        <w:pStyle w:val="25"/>
        <w:snapToGrid w:val="0"/>
        <w:spacing w:line="400" w:lineRule="exact"/>
        <w:ind w:firstLine="422" w:firstLineChars="200"/>
        <w:rPr>
          <w:rFonts w:hAnsi="宋体"/>
          <w:b/>
          <w:sz w:val="21"/>
        </w:rPr>
      </w:pPr>
      <w:r>
        <w:rPr>
          <w:rFonts w:hint="eastAsia" w:hAnsi="宋体"/>
          <w:b/>
          <w:sz w:val="21"/>
        </w:rPr>
        <w:t>（1）不具备招标文件中规定的资格要求的；</w:t>
      </w:r>
    </w:p>
    <w:p w14:paraId="29AC4075">
      <w:pPr>
        <w:pStyle w:val="25"/>
        <w:snapToGrid w:val="0"/>
        <w:spacing w:line="400" w:lineRule="exact"/>
        <w:ind w:firstLine="422" w:firstLineChars="200"/>
        <w:rPr>
          <w:rFonts w:hAnsi="宋体"/>
          <w:b/>
          <w:sz w:val="21"/>
        </w:rPr>
      </w:pPr>
      <w:r>
        <w:rPr>
          <w:rFonts w:hint="eastAsia" w:hAnsi="宋体"/>
          <w:b/>
          <w:sz w:val="21"/>
        </w:rPr>
        <w:t>（2）在“信用中国”网站（www.creditchina.gov.cn）、中国政府采购网（www.ccgp.gov.cn）被列入失信被执行人、重大税收违法失信主体、政府采购严重违法失信行为记录名单及其他不符合《中华人民共和国政府采购法》第二十二条规定条件的；（注：其中信用查询规则见“投标人须知前附表”）</w:t>
      </w:r>
    </w:p>
    <w:p w14:paraId="120B266D">
      <w:pPr>
        <w:pStyle w:val="25"/>
        <w:snapToGrid w:val="0"/>
        <w:spacing w:line="400" w:lineRule="exact"/>
        <w:ind w:firstLine="422" w:firstLineChars="200"/>
        <w:rPr>
          <w:rFonts w:hint="eastAsia" w:hAnsi="宋体"/>
          <w:b/>
          <w:sz w:val="21"/>
        </w:rPr>
      </w:pPr>
      <w:r>
        <w:rPr>
          <w:rFonts w:hint="eastAsia" w:hAnsi="宋体"/>
          <w:b/>
          <w:sz w:val="21"/>
        </w:rPr>
        <w:t>（3）同一合同项下的不同投标人，单位负责人为同一人或者存在直接控股、管理关系的；为本项目提供过整体设计、规范编制或者项目管理、监理、检测等服务的供应商，再参加该采购项目的其他采购活动的；</w:t>
      </w:r>
    </w:p>
    <w:p w14:paraId="74168B71">
      <w:pPr>
        <w:pStyle w:val="25"/>
        <w:snapToGrid w:val="0"/>
        <w:spacing w:line="400" w:lineRule="exact"/>
        <w:ind w:firstLine="422" w:firstLineChars="200"/>
        <w:rPr>
          <w:rFonts w:hint="eastAsia" w:hAnsi="宋体"/>
          <w:b/>
          <w:sz w:val="21"/>
        </w:rPr>
      </w:pPr>
      <w:r>
        <w:rPr>
          <w:rFonts w:hint="eastAsia" w:hAnsi="宋体"/>
          <w:b/>
          <w:sz w:val="21"/>
        </w:rPr>
        <w:t>（4）投标文件中的资格证明文件缺少任一项“投标人须知前附表”资格证明文件规定“必须提供”的文件资料的；</w:t>
      </w:r>
    </w:p>
    <w:p w14:paraId="1D8F309A">
      <w:pPr>
        <w:pStyle w:val="25"/>
        <w:snapToGrid w:val="0"/>
        <w:spacing w:line="400" w:lineRule="exact"/>
        <w:ind w:firstLine="422" w:firstLineChars="200"/>
        <w:rPr>
          <w:rFonts w:hint="eastAsia" w:hAnsi="宋体"/>
          <w:b/>
          <w:sz w:val="21"/>
        </w:rPr>
      </w:pPr>
      <w:r>
        <w:rPr>
          <w:rFonts w:hint="eastAsia" w:hAnsi="宋体"/>
          <w:b/>
          <w:sz w:val="21"/>
        </w:rPr>
        <w:t>（5）投标文件中的资格证明文件出现任一项不符合“投标人须知前附表”资格证明文件规定“必须提供”的文件资料要求或者无效的。</w:t>
      </w:r>
    </w:p>
    <w:p w14:paraId="4CC6219B">
      <w:pPr>
        <w:pStyle w:val="6"/>
        <w:keepNext w:val="0"/>
        <w:keepLines w:val="0"/>
        <w:snapToGrid w:val="0"/>
        <w:spacing w:before="0" w:after="0" w:line="400" w:lineRule="exact"/>
        <w:ind w:left="690" w:leftChars="228" w:hanging="211" w:hangingChars="100"/>
        <w:rPr>
          <w:rFonts w:ascii="宋体" w:hAnsi="宋体"/>
          <w:sz w:val="21"/>
          <w:szCs w:val="21"/>
        </w:rPr>
      </w:pPr>
      <w:r>
        <w:rPr>
          <w:rFonts w:hint="eastAsia" w:ascii="宋体" w:hAnsi="宋体"/>
          <w:sz w:val="21"/>
          <w:szCs w:val="21"/>
        </w:rPr>
        <w:t>25.4</w:t>
      </w:r>
      <w:r>
        <w:rPr>
          <w:rFonts w:ascii="宋体" w:hAnsi="宋体"/>
          <w:sz w:val="21"/>
          <w:szCs w:val="21"/>
        </w:rPr>
        <w:t>合格投标人不足3家的，不得评标。</w:t>
      </w:r>
    </w:p>
    <w:p w14:paraId="0C182287">
      <w:pPr>
        <w:pStyle w:val="7"/>
        <w:rPr>
          <w:rFonts w:hint="eastAsia"/>
        </w:rPr>
      </w:pPr>
    </w:p>
    <w:p w14:paraId="13BD3C06">
      <w:pPr>
        <w:pStyle w:val="7"/>
        <w:rPr>
          <w:rFonts w:hint="eastAsia"/>
        </w:rPr>
      </w:pPr>
    </w:p>
    <w:p w14:paraId="2A22A50F">
      <w:pPr>
        <w:pStyle w:val="7"/>
        <w:rPr>
          <w:rFonts w:hint="eastAsia"/>
        </w:rPr>
      </w:pPr>
    </w:p>
    <w:p w14:paraId="000C3CA9">
      <w:pPr>
        <w:pStyle w:val="4"/>
        <w:keepNext w:val="0"/>
        <w:keepLines w:val="0"/>
        <w:jc w:val="center"/>
        <w:rPr>
          <w:rFonts w:hint="eastAsia"/>
        </w:rPr>
      </w:pPr>
      <w:r>
        <w:rPr>
          <w:rFonts w:hint="eastAsia"/>
        </w:rPr>
        <w:t>六、评   标</w:t>
      </w:r>
    </w:p>
    <w:p w14:paraId="5F70C084">
      <w:pPr>
        <w:pStyle w:val="6"/>
        <w:keepNext w:val="0"/>
        <w:keepLines w:val="0"/>
        <w:spacing w:before="0" w:after="0" w:line="400" w:lineRule="exact"/>
        <w:ind w:left="420" w:leftChars="200"/>
        <w:rPr>
          <w:rFonts w:hint="eastAsia" w:ascii="黑体" w:hAnsi="黑体" w:eastAsia="黑体"/>
          <w:sz w:val="24"/>
        </w:rPr>
      </w:pPr>
      <w:bookmarkStart w:id="161" w:name="_26.组建评标委员会"/>
      <w:bookmarkEnd w:id="161"/>
      <w:r>
        <w:rPr>
          <w:rFonts w:hint="eastAsia" w:ascii="黑体" w:hAnsi="黑体" w:eastAsia="黑体"/>
          <w:sz w:val="24"/>
        </w:rPr>
        <w:t>26.组建评标委员会</w:t>
      </w:r>
    </w:p>
    <w:p w14:paraId="297B011A">
      <w:pPr>
        <w:pStyle w:val="25"/>
        <w:snapToGrid w:val="0"/>
        <w:spacing w:line="400" w:lineRule="exact"/>
        <w:ind w:firstLine="420" w:firstLineChars="200"/>
        <w:rPr>
          <w:rFonts w:hint="eastAsia" w:hAnsi="宋体"/>
          <w:sz w:val="21"/>
        </w:rPr>
      </w:pPr>
      <w:r>
        <w:rPr>
          <w:rFonts w:hint="eastAsia" w:hAnsi="宋体"/>
          <w:sz w:val="21"/>
        </w:rPr>
        <w:t>26.1评标委员会由采购人代表和评审专家组成，具体人数详见“投标人须知前附表”，其中评审专家不得少于成员总数的三分之二。</w:t>
      </w:r>
    </w:p>
    <w:p w14:paraId="37D6459A">
      <w:pPr>
        <w:pStyle w:val="25"/>
        <w:snapToGrid w:val="0"/>
        <w:spacing w:line="400" w:lineRule="exact"/>
        <w:ind w:left="2" w:leftChars="1" w:firstLine="420" w:firstLineChars="200"/>
        <w:rPr>
          <w:rFonts w:hint="eastAsia" w:hAnsi="宋体"/>
          <w:sz w:val="21"/>
        </w:rPr>
      </w:pPr>
      <w:r>
        <w:rPr>
          <w:rFonts w:hint="eastAsia" w:hAnsi="宋体"/>
          <w:sz w:val="21"/>
        </w:rPr>
        <w:t>26.2参加过采购项目前期咨询论证的专家，不得参加该采购项目的评审活动。</w:t>
      </w:r>
    </w:p>
    <w:p w14:paraId="1AF2EECD">
      <w:pPr>
        <w:pStyle w:val="25"/>
        <w:snapToGrid w:val="0"/>
        <w:spacing w:line="400" w:lineRule="exact"/>
        <w:ind w:left="2" w:leftChars="1" w:firstLine="420" w:firstLineChars="200"/>
        <w:rPr>
          <w:rFonts w:hint="eastAsia" w:hAnsi="宋体"/>
          <w:sz w:val="21"/>
        </w:rPr>
      </w:pPr>
      <w:r>
        <w:rPr>
          <w:rFonts w:hint="eastAsia" w:hAnsi="宋体"/>
          <w:sz w:val="21"/>
        </w:rPr>
        <w:t>26.3</w:t>
      </w:r>
      <w:r>
        <w:rPr>
          <w:rFonts w:hint="eastAsia" w:hAnsi="宋体"/>
          <w:bCs/>
          <w:sz w:val="21"/>
        </w:rPr>
        <w:t>采购代理机构应当基于广西政府采购云平台抽（选）取评审专家。</w:t>
      </w:r>
    </w:p>
    <w:p w14:paraId="24F217BF">
      <w:pPr>
        <w:pStyle w:val="6"/>
        <w:keepNext w:val="0"/>
        <w:keepLines w:val="0"/>
        <w:spacing w:before="0" w:after="0" w:line="400" w:lineRule="exact"/>
        <w:ind w:left="420" w:leftChars="200"/>
        <w:rPr>
          <w:rFonts w:hint="eastAsia" w:ascii="黑体" w:hAnsi="黑体" w:eastAsia="黑体"/>
          <w:sz w:val="24"/>
        </w:rPr>
      </w:pPr>
      <w:r>
        <w:rPr>
          <w:rFonts w:hint="eastAsia" w:ascii="黑体" w:hAnsi="黑体" w:eastAsia="黑体"/>
          <w:sz w:val="24"/>
        </w:rPr>
        <w:t>27.评标的依据</w:t>
      </w:r>
    </w:p>
    <w:p w14:paraId="66080DAE">
      <w:pPr>
        <w:pStyle w:val="25"/>
        <w:snapToGrid w:val="0"/>
        <w:spacing w:line="400" w:lineRule="exact"/>
        <w:ind w:firstLine="420" w:firstLineChars="200"/>
        <w:rPr>
          <w:rFonts w:hint="eastAsia" w:hAnsi="宋体"/>
          <w:sz w:val="21"/>
        </w:rPr>
      </w:pPr>
      <w:r>
        <w:rPr>
          <w:rFonts w:hint="eastAsia" w:hAnsi="宋体"/>
          <w:sz w:val="21"/>
        </w:rPr>
        <w:t>评标委员会以</w:t>
      </w:r>
      <w:r>
        <w:rPr>
          <w:rFonts w:hint="eastAsia" w:hAnsi="宋体" w:cs="宋体"/>
          <w:sz w:val="21"/>
        </w:rPr>
        <w:t>“第四章 评标方法和评标标准”</w:t>
      </w:r>
      <w:r>
        <w:rPr>
          <w:rFonts w:hint="eastAsia" w:hAnsi="宋体"/>
          <w:sz w:val="21"/>
        </w:rPr>
        <w:t>为依据对投标文件进行评审，</w:t>
      </w:r>
      <w:r>
        <w:rPr>
          <w:rFonts w:hAnsi="宋体"/>
          <w:sz w:val="21"/>
        </w:rPr>
        <w:t>没有规定的方法、评审因素和标准，不作为评标依据。</w:t>
      </w:r>
    </w:p>
    <w:p w14:paraId="251E9516">
      <w:pPr>
        <w:pStyle w:val="6"/>
        <w:keepNext w:val="0"/>
        <w:keepLines w:val="0"/>
        <w:spacing w:before="0" w:after="0" w:line="400" w:lineRule="exact"/>
        <w:ind w:left="420" w:leftChars="200"/>
        <w:rPr>
          <w:rFonts w:hint="eastAsia" w:ascii="黑体" w:hAnsi="黑体" w:eastAsia="黑体"/>
          <w:sz w:val="24"/>
        </w:rPr>
      </w:pPr>
      <w:r>
        <w:rPr>
          <w:rFonts w:hint="eastAsia" w:ascii="黑体" w:hAnsi="黑体" w:eastAsia="黑体"/>
          <w:sz w:val="24"/>
        </w:rPr>
        <w:t>28.评标原则</w:t>
      </w:r>
    </w:p>
    <w:p w14:paraId="68EDC4EF">
      <w:pPr>
        <w:pStyle w:val="25"/>
        <w:snapToGrid w:val="0"/>
        <w:spacing w:line="400" w:lineRule="exact"/>
        <w:ind w:firstLine="420" w:firstLineChars="200"/>
        <w:rPr>
          <w:rFonts w:hint="eastAsia" w:hAnsi="宋体"/>
          <w:sz w:val="21"/>
        </w:rPr>
      </w:pPr>
      <w:r>
        <w:rPr>
          <w:rFonts w:hint="eastAsia" w:hAnsi="宋体"/>
          <w:sz w:val="21"/>
        </w:rPr>
        <w:t>28.1评标原则。评标委员会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处。</w:t>
      </w:r>
    </w:p>
    <w:p w14:paraId="3452459B">
      <w:pPr>
        <w:pStyle w:val="25"/>
        <w:snapToGrid w:val="0"/>
        <w:spacing w:line="400" w:lineRule="exact"/>
        <w:ind w:firstLine="420" w:firstLineChars="200"/>
        <w:rPr>
          <w:rFonts w:hint="eastAsia" w:hAnsi="宋体"/>
          <w:sz w:val="21"/>
        </w:rPr>
      </w:pPr>
      <w:r>
        <w:rPr>
          <w:rFonts w:hint="eastAsia" w:hAnsi="宋体"/>
          <w:sz w:val="21"/>
        </w:rPr>
        <w:t>28.2</w:t>
      </w:r>
      <w:bookmarkStart w:id="162" w:name="_28.3评标方法。本项目将按须知前附表规定的评标办法进行评标，具体评标"/>
      <w:bookmarkEnd w:id="162"/>
      <w:r>
        <w:rPr>
          <w:rFonts w:hint="eastAsia" w:hAnsi="宋体"/>
          <w:sz w:val="21"/>
        </w:rPr>
        <w:t>评委表决。评标委员会成员对需要共同认定的事项存在争议的，应当按照少数服从多数的原则作出结论。</w:t>
      </w:r>
    </w:p>
    <w:p w14:paraId="4DA320D3">
      <w:pPr>
        <w:pStyle w:val="25"/>
        <w:snapToGrid w:val="0"/>
        <w:spacing w:line="400" w:lineRule="exact"/>
        <w:ind w:firstLine="420" w:firstLineChars="200"/>
        <w:rPr>
          <w:rFonts w:hAnsi="宋体"/>
          <w:sz w:val="21"/>
        </w:rPr>
      </w:pPr>
      <w:r>
        <w:rPr>
          <w:rFonts w:hint="eastAsia" w:hAnsi="宋体"/>
          <w:sz w:val="21"/>
        </w:rPr>
        <w:t>28.</w:t>
      </w:r>
      <w:r>
        <w:rPr>
          <w:rFonts w:hAnsi="宋体"/>
          <w:sz w:val="21"/>
        </w:rPr>
        <w:t>3</w:t>
      </w:r>
      <w:r>
        <w:rPr>
          <w:rFonts w:hint="eastAsia" w:hAnsi="宋体"/>
          <w:sz w:val="21"/>
        </w:rPr>
        <w:t>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14:paraId="7E27CB11">
      <w:pPr>
        <w:pStyle w:val="25"/>
        <w:snapToGrid w:val="0"/>
        <w:spacing w:line="400" w:lineRule="exact"/>
        <w:ind w:firstLine="420" w:firstLineChars="200"/>
        <w:rPr>
          <w:rFonts w:hint="eastAsia" w:hAnsi="宋体"/>
          <w:sz w:val="21"/>
        </w:rPr>
      </w:pPr>
      <w:r>
        <w:rPr>
          <w:rFonts w:hint="eastAsia" w:hAnsi="宋体"/>
          <w:sz w:val="21"/>
        </w:rPr>
        <w:t>2</w:t>
      </w:r>
      <w:r>
        <w:rPr>
          <w:rFonts w:hAnsi="宋体"/>
          <w:sz w:val="21"/>
        </w:rPr>
        <w:t>8.4</w:t>
      </w:r>
      <w:r>
        <w:rPr>
          <w:rFonts w:hint="eastAsia" w:hAnsi="宋体"/>
          <w:sz w:val="21"/>
        </w:rPr>
        <w:t>评标过程的监控。本项目电子评标过程实行网上留痕、全程录音、录像监控，</w:t>
      </w:r>
      <w:r>
        <w:rPr>
          <w:rFonts w:hint="eastAsia" w:hAnsi="宋体"/>
          <w:b/>
          <w:sz w:val="21"/>
        </w:rPr>
        <w:t>投标人在评标过程中所进行的试图影响评标结果的不公正活动，可能导致其投标按无效处理。</w:t>
      </w:r>
    </w:p>
    <w:p w14:paraId="350D7C2C">
      <w:pPr>
        <w:pStyle w:val="6"/>
        <w:keepNext w:val="0"/>
        <w:keepLines w:val="0"/>
        <w:spacing w:before="0" w:after="0" w:line="400" w:lineRule="exact"/>
        <w:ind w:left="420" w:leftChars="200"/>
        <w:rPr>
          <w:rFonts w:hint="eastAsia" w:ascii="黑体" w:hAnsi="黑体" w:eastAsia="黑体"/>
          <w:sz w:val="21"/>
          <w:szCs w:val="21"/>
        </w:rPr>
      </w:pPr>
      <w:r>
        <w:rPr>
          <w:rFonts w:hint="eastAsia" w:ascii="黑体" w:hAnsi="黑体" w:eastAsia="黑体"/>
          <w:sz w:val="21"/>
          <w:szCs w:val="21"/>
        </w:rPr>
        <w:t>29.评标方法及中标候选人推荐</w:t>
      </w:r>
    </w:p>
    <w:p w14:paraId="68A2F6D0">
      <w:pPr>
        <w:pStyle w:val="25"/>
        <w:snapToGrid w:val="0"/>
        <w:spacing w:line="400" w:lineRule="exact"/>
        <w:ind w:firstLine="420" w:firstLineChars="200"/>
        <w:rPr>
          <w:rFonts w:hAnsi="宋体"/>
          <w:sz w:val="21"/>
        </w:rPr>
      </w:pPr>
      <w:r>
        <w:rPr>
          <w:rFonts w:hint="eastAsia" w:hAnsi="宋体"/>
          <w:sz w:val="21"/>
        </w:rPr>
        <w:t>2</w:t>
      </w:r>
      <w:r>
        <w:rPr>
          <w:rFonts w:hAnsi="宋体"/>
          <w:sz w:val="21"/>
        </w:rPr>
        <w:t>9.1</w:t>
      </w:r>
      <w:r>
        <w:rPr>
          <w:rFonts w:hint="eastAsia" w:hAnsi="宋体"/>
          <w:sz w:val="21"/>
        </w:rPr>
        <w:t>本项目的评标方法详见“投标人须知前附表”。</w:t>
      </w:r>
    </w:p>
    <w:p w14:paraId="4005C3E7">
      <w:pPr>
        <w:pStyle w:val="25"/>
        <w:snapToGrid w:val="0"/>
        <w:spacing w:line="400" w:lineRule="exact"/>
        <w:ind w:firstLine="420" w:firstLineChars="200"/>
        <w:rPr>
          <w:rFonts w:hAnsi="宋体"/>
          <w:sz w:val="21"/>
        </w:rPr>
      </w:pPr>
      <w:r>
        <w:rPr>
          <w:rFonts w:hint="eastAsia" w:hAnsi="宋体"/>
          <w:sz w:val="21"/>
        </w:rPr>
        <w:t>2</w:t>
      </w:r>
      <w:r>
        <w:rPr>
          <w:rFonts w:hAnsi="宋体"/>
          <w:sz w:val="21"/>
        </w:rPr>
        <w:t>9.2</w:t>
      </w:r>
      <w:r>
        <w:rPr>
          <w:rFonts w:hAnsi="宋体" w:cs="宋体"/>
          <w:sz w:val="21"/>
        </w:rPr>
        <w:t xml:space="preserve"> </w:t>
      </w:r>
      <w:r>
        <w:rPr>
          <w:rFonts w:hint="eastAsia" w:hAnsi="宋体" w:cs="宋体"/>
          <w:sz w:val="21"/>
        </w:rPr>
        <w:t>商务/技术要求</w:t>
      </w:r>
      <w:r>
        <w:rPr>
          <w:rFonts w:hint="eastAsia" w:hAnsi="宋体"/>
          <w:sz w:val="21"/>
        </w:rPr>
        <w:t>允许负偏离的条款数</w:t>
      </w:r>
      <w:r>
        <w:rPr>
          <w:rFonts w:hAnsi="宋体"/>
          <w:sz w:val="21"/>
        </w:rPr>
        <w:t>详见</w:t>
      </w:r>
      <w:r>
        <w:rPr>
          <w:rFonts w:hint="eastAsia" w:hAnsi="宋体"/>
          <w:sz w:val="21"/>
        </w:rPr>
        <w:t>“投标人须知前附表”。</w:t>
      </w:r>
    </w:p>
    <w:p w14:paraId="3E454669">
      <w:pPr>
        <w:pStyle w:val="25"/>
        <w:snapToGrid w:val="0"/>
        <w:spacing w:line="400" w:lineRule="exact"/>
        <w:ind w:firstLine="420" w:firstLineChars="200"/>
        <w:rPr>
          <w:rFonts w:hint="eastAsia" w:hAnsi="宋体" w:cs="宋体"/>
          <w:sz w:val="21"/>
        </w:rPr>
      </w:pPr>
      <w:r>
        <w:rPr>
          <w:rFonts w:hint="eastAsia" w:hAnsi="宋体"/>
          <w:sz w:val="21"/>
        </w:rPr>
        <w:t>2</w:t>
      </w:r>
      <w:r>
        <w:rPr>
          <w:rFonts w:hAnsi="宋体"/>
          <w:sz w:val="21"/>
        </w:rPr>
        <w:t>9.3</w:t>
      </w:r>
      <w:r>
        <w:rPr>
          <w:rFonts w:hAnsi="宋体" w:cs="宋体"/>
          <w:sz w:val="21"/>
        </w:rPr>
        <w:t xml:space="preserve"> </w:t>
      </w:r>
      <w:r>
        <w:rPr>
          <w:rFonts w:hAnsi="宋体"/>
          <w:sz w:val="21"/>
        </w:rPr>
        <w:t>中标候选人推荐数量详见</w:t>
      </w:r>
      <w:r>
        <w:rPr>
          <w:rFonts w:hint="eastAsia" w:hAnsi="宋体"/>
          <w:sz w:val="21"/>
        </w:rPr>
        <w:t>“投标人须知前附表”。</w:t>
      </w:r>
    </w:p>
    <w:p w14:paraId="6D4986EE">
      <w:pPr>
        <w:spacing w:line="400" w:lineRule="exact"/>
        <w:ind w:firstLine="420" w:firstLineChars="200"/>
        <w:rPr>
          <w:rFonts w:hint="eastAsia" w:hAnsi="宋体"/>
          <w:szCs w:val="21"/>
        </w:rPr>
      </w:pPr>
      <w:r>
        <w:rPr>
          <w:rFonts w:hint="eastAsia" w:hAnsi="宋体"/>
          <w:szCs w:val="21"/>
        </w:rPr>
        <w:t>29.</w:t>
      </w:r>
      <w:r>
        <w:rPr>
          <w:rFonts w:hAnsi="宋体"/>
          <w:szCs w:val="21"/>
        </w:rPr>
        <w:t>4</w:t>
      </w:r>
      <w:r>
        <w:rPr>
          <w:rFonts w:hint="eastAsia" w:hAnsi="宋体"/>
          <w:szCs w:val="21"/>
        </w:rPr>
        <w:t xml:space="preserve"> 电子交易活动的中止。采购过程中出现以下情形，导致电子交易平台无法正常运行，或者无法保证电子交易的公平、公正和安全时，采购代理机构可以中止电子交易活动：</w:t>
      </w:r>
    </w:p>
    <w:p w14:paraId="7E653536">
      <w:pPr>
        <w:spacing w:line="400" w:lineRule="exact"/>
        <w:ind w:firstLine="420" w:firstLineChars="200"/>
        <w:rPr>
          <w:rFonts w:hint="eastAsia" w:hAnsi="宋体"/>
          <w:szCs w:val="21"/>
        </w:rPr>
      </w:pPr>
      <w:r>
        <w:rPr>
          <w:rFonts w:hint="eastAsia" w:hAnsi="宋体"/>
          <w:szCs w:val="21"/>
        </w:rPr>
        <w:t xml:space="preserve">（1）电子交易平台发生故障而无法登录访问的； </w:t>
      </w:r>
    </w:p>
    <w:p w14:paraId="1A7C2F82">
      <w:pPr>
        <w:spacing w:line="400" w:lineRule="exact"/>
        <w:ind w:firstLine="420" w:firstLineChars="200"/>
        <w:rPr>
          <w:rFonts w:hint="eastAsia" w:hAnsi="宋体"/>
          <w:szCs w:val="21"/>
        </w:rPr>
      </w:pPr>
      <w:r>
        <w:rPr>
          <w:rFonts w:hint="eastAsia" w:hAnsi="宋体"/>
          <w:szCs w:val="21"/>
        </w:rPr>
        <w:t>（2）电子交易平台应用或数据库出现错误，不能进行正常操作的；</w:t>
      </w:r>
    </w:p>
    <w:p w14:paraId="60DFA287">
      <w:pPr>
        <w:spacing w:line="400" w:lineRule="exact"/>
        <w:ind w:firstLine="420" w:firstLineChars="200"/>
        <w:rPr>
          <w:rFonts w:hint="eastAsia" w:hAnsi="宋体"/>
          <w:szCs w:val="21"/>
        </w:rPr>
      </w:pPr>
      <w:r>
        <w:rPr>
          <w:rFonts w:hint="eastAsia" w:hAnsi="宋体"/>
          <w:szCs w:val="21"/>
        </w:rPr>
        <w:t>（3）电子交易平台发现严重安全漏洞，有潜在泄密危险的；</w:t>
      </w:r>
    </w:p>
    <w:p w14:paraId="6A82FF03">
      <w:pPr>
        <w:spacing w:line="400" w:lineRule="exact"/>
        <w:ind w:firstLine="420" w:firstLineChars="200"/>
        <w:rPr>
          <w:rFonts w:hint="eastAsia" w:hAnsi="宋体"/>
          <w:szCs w:val="21"/>
        </w:rPr>
      </w:pPr>
      <w:r>
        <w:rPr>
          <w:rFonts w:hint="eastAsia" w:hAnsi="宋体"/>
          <w:szCs w:val="21"/>
        </w:rPr>
        <w:t xml:space="preserve">（4）病毒发作导致不能进行正常操作的； </w:t>
      </w:r>
    </w:p>
    <w:p w14:paraId="5C0F8508">
      <w:pPr>
        <w:spacing w:line="400" w:lineRule="exact"/>
        <w:ind w:firstLine="420" w:firstLineChars="200"/>
        <w:rPr>
          <w:rFonts w:hint="eastAsia" w:hAnsi="宋体"/>
          <w:szCs w:val="21"/>
        </w:rPr>
      </w:pPr>
      <w:r>
        <w:rPr>
          <w:rFonts w:hint="eastAsia" w:hAnsi="宋体"/>
          <w:szCs w:val="21"/>
        </w:rPr>
        <w:t>（5）其他无法保证电子交易的公平、公正和安全的情况。</w:t>
      </w:r>
    </w:p>
    <w:p w14:paraId="7DFD5844">
      <w:pPr>
        <w:spacing w:line="400" w:lineRule="exact"/>
        <w:ind w:firstLine="420" w:firstLineChars="200"/>
        <w:rPr>
          <w:rFonts w:hAnsi="宋体"/>
          <w:szCs w:val="21"/>
        </w:rPr>
      </w:pPr>
      <w:r>
        <w:rPr>
          <w:rFonts w:hint="eastAsia" w:hAnsi="宋体"/>
          <w:szCs w:val="21"/>
        </w:rPr>
        <w:t>出现以上情形，不影响采购公平、公正性的，采购代理机构可以待上述情形消除后继续组织电子交易活动；影响或可能影响采购公平、公正性的，经采购代理机构确认、报采购人同意后，终止电子采购活动，应当重新采购。采购代理机构必须对原有的资料及信息作出妥善保密处理，并报财政部门备案。</w:t>
      </w:r>
    </w:p>
    <w:p w14:paraId="69F0D1B4">
      <w:pPr>
        <w:spacing w:line="400" w:lineRule="exact"/>
        <w:ind w:firstLine="420" w:firstLineChars="200"/>
        <w:rPr>
          <w:rFonts w:hint="eastAsia" w:hAnsi="宋体"/>
        </w:rPr>
      </w:pPr>
      <w:r>
        <w:rPr>
          <w:rFonts w:hint="eastAsia" w:hAnsi="宋体"/>
        </w:rPr>
        <w:t>29.5出现下列情形之一的，应予废标：</w:t>
      </w:r>
    </w:p>
    <w:p w14:paraId="46D2DE11">
      <w:pPr>
        <w:spacing w:line="400" w:lineRule="exact"/>
        <w:ind w:firstLine="420" w:firstLineChars="200"/>
        <w:rPr>
          <w:rFonts w:hint="eastAsia" w:hAnsi="宋体"/>
        </w:rPr>
      </w:pPr>
      <w:r>
        <w:rPr>
          <w:rFonts w:hint="eastAsia" w:hAnsi="宋体"/>
        </w:rPr>
        <w:t>（1）符合专业条件的供应商或者对招标文件作实质响应的供应商不足三家的；</w:t>
      </w:r>
    </w:p>
    <w:p w14:paraId="2E1E3592">
      <w:pPr>
        <w:spacing w:line="400" w:lineRule="exact"/>
        <w:ind w:firstLine="420" w:firstLineChars="200"/>
        <w:rPr>
          <w:rFonts w:hint="eastAsia" w:hAnsi="宋体"/>
        </w:rPr>
      </w:pPr>
      <w:r>
        <w:rPr>
          <w:rFonts w:hint="eastAsia" w:hAnsi="宋体"/>
        </w:rPr>
        <w:t>（2）出现影响采购公正的违法、违规行为的；</w:t>
      </w:r>
    </w:p>
    <w:p w14:paraId="72FB17B6">
      <w:pPr>
        <w:spacing w:line="400" w:lineRule="exact"/>
        <w:ind w:firstLine="420" w:firstLineChars="200"/>
        <w:rPr>
          <w:rFonts w:hint="eastAsia" w:hAnsi="宋体"/>
        </w:rPr>
      </w:pPr>
      <w:r>
        <w:rPr>
          <w:rFonts w:hint="eastAsia" w:hAnsi="宋体"/>
        </w:rPr>
        <w:t>（3）投标人的报价均超过了采购预算，采购人不能支付的；</w:t>
      </w:r>
    </w:p>
    <w:p w14:paraId="0EB05B29">
      <w:pPr>
        <w:spacing w:line="400" w:lineRule="exact"/>
        <w:ind w:firstLine="420" w:firstLineChars="200"/>
        <w:rPr>
          <w:rFonts w:hint="eastAsia" w:hAnsi="宋体"/>
        </w:rPr>
      </w:pPr>
      <w:r>
        <w:rPr>
          <w:rFonts w:hint="eastAsia" w:hAnsi="宋体"/>
        </w:rPr>
        <w:t>（4）因重大变故，采购任务取消的。</w:t>
      </w:r>
    </w:p>
    <w:p w14:paraId="5745D825">
      <w:pPr>
        <w:spacing w:line="400" w:lineRule="exact"/>
        <w:ind w:firstLine="420" w:firstLineChars="200"/>
      </w:pPr>
      <w:r>
        <w:rPr>
          <w:rFonts w:hint="eastAsia" w:hAnsi="宋体"/>
        </w:rPr>
        <w:t>废标后，采购人应当将废标理由通知所有投标人。</w:t>
      </w:r>
      <w:bookmarkStart w:id="163" w:name="_Toc254970687"/>
      <w:bookmarkStart w:id="164" w:name="_Toc254970546"/>
    </w:p>
    <w:p w14:paraId="5D112A26">
      <w:pPr>
        <w:pStyle w:val="4"/>
        <w:keepNext w:val="0"/>
        <w:keepLines w:val="0"/>
        <w:jc w:val="center"/>
        <w:rPr>
          <w:rFonts w:hint="eastAsia"/>
        </w:rPr>
      </w:pPr>
      <w:r>
        <w:rPr>
          <w:rFonts w:hint="eastAsia"/>
        </w:rPr>
        <w:t>七、</w:t>
      </w:r>
      <w:bookmarkEnd w:id="163"/>
      <w:bookmarkEnd w:id="164"/>
      <w:r>
        <w:rPr>
          <w:rFonts w:hint="eastAsia"/>
        </w:rPr>
        <w:t>中标和合同</w:t>
      </w:r>
    </w:p>
    <w:p w14:paraId="75248828">
      <w:pPr>
        <w:pStyle w:val="6"/>
        <w:keepNext w:val="0"/>
        <w:keepLines w:val="0"/>
        <w:spacing w:before="0" w:after="0" w:line="400" w:lineRule="exact"/>
        <w:ind w:left="420" w:leftChars="200"/>
        <w:rPr>
          <w:rFonts w:ascii="黑体" w:hAnsi="黑体" w:eastAsia="黑体"/>
          <w:sz w:val="24"/>
        </w:rPr>
      </w:pPr>
      <w:r>
        <w:rPr>
          <w:rFonts w:hint="eastAsia" w:ascii="黑体" w:hAnsi="黑体" w:eastAsia="黑体"/>
          <w:sz w:val="24"/>
        </w:rPr>
        <w:t>30</w:t>
      </w:r>
      <w:r>
        <w:rPr>
          <w:rFonts w:ascii="黑体" w:hAnsi="黑体" w:eastAsia="黑体"/>
          <w:sz w:val="24"/>
        </w:rPr>
        <w:t xml:space="preserve">. </w:t>
      </w:r>
      <w:r>
        <w:rPr>
          <w:rFonts w:hint="eastAsia" w:ascii="黑体" w:hAnsi="黑体" w:eastAsia="黑体"/>
          <w:sz w:val="24"/>
        </w:rPr>
        <w:t>确定中标人</w:t>
      </w:r>
    </w:p>
    <w:p w14:paraId="22838336">
      <w:pPr>
        <w:pStyle w:val="6"/>
        <w:keepNext w:val="0"/>
        <w:keepLines w:val="0"/>
        <w:spacing w:before="0" w:after="0" w:line="400" w:lineRule="exact"/>
        <w:ind w:firstLine="420" w:firstLineChars="200"/>
        <w:rPr>
          <w:rFonts w:hint="eastAsia" w:ascii="宋体" w:hAnsi="宋体"/>
          <w:b w:val="0"/>
          <w:sz w:val="21"/>
          <w:szCs w:val="21"/>
        </w:rPr>
      </w:pPr>
      <w:r>
        <w:rPr>
          <w:rFonts w:ascii="宋体" w:hAnsi="宋体"/>
          <w:b w:val="0"/>
          <w:sz w:val="21"/>
          <w:szCs w:val="21"/>
        </w:rPr>
        <w:t>30.1</w:t>
      </w:r>
      <w:r>
        <w:rPr>
          <w:rFonts w:hint="eastAsia" w:ascii="宋体" w:hAnsi="宋体"/>
          <w:b w:val="0"/>
          <w:sz w:val="21"/>
          <w:szCs w:val="21"/>
        </w:rPr>
        <w:t>采购代理机构在评标结束之日起2个工作日内将评标报告送采购人，采购人在收到评标报告之日起5个工作日内，在评标报告确定的中标候选人名单中按顺序确定中标人。中标候选人并列的，按照“投标人须知前附表”规定的方式确定中标人。采购人也可以事先授权评标委员会直接确定中标人。</w:t>
      </w:r>
    </w:p>
    <w:p w14:paraId="0AF7148F">
      <w:pPr>
        <w:snapToGrid w:val="0"/>
        <w:spacing w:line="400" w:lineRule="exact"/>
        <w:ind w:firstLine="420" w:firstLineChars="200"/>
        <w:rPr>
          <w:rFonts w:hint="eastAsia" w:ascii="宋体" w:hAnsi="宋体" w:cs="Courier New"/>
          <w:szCs w:val="21"/>
        </w:rPr>
      </w:pPr>
      <w:r>
        <w:rPr>
          <w:rFonts w:ascii="宋体" w:hAnsi="宋体" w:cs="Courier New"/>
          <w:szCs w:val="21"/>
        </w:rPr>
        <w:t>30.2</w:t>
      </w:r>
      <w:r>
        <w:rPr>
          <w:rFonts w:hint="eastAsia" w:ascii="宋体" w:hAnsi="宋体" w:cs="Courier New"/>
          <w:szCs w:val="21"/>
        </w:rPr>
        <w:t>采购人在收到评标报告5个工作日内未按评标报告推荐的中标候选人顺序确定中标人，又不能说明合法理由的，视同按评标报告推荐的顺序确定排名第一的中标候选人为中标人。</w:t>
      </w:r>
    </w:p>
    <w:p w14:paraId="3EC34E3E">
      <w:pPr>
        <w:pStyle w:val="6"/>
        <w:keepNext w:val="0"/>
        <w:keepLines w:val="0"/>
        <w:spacing w:before="0" w:after="0" w:line="400" w:lineRule="exact"/>
        <w:ind w:left="420" w:leftChars="200"/>
        <w:rPr>
          <w:rFonts w:ascii="黑体" w:hAnsi="黑体" w:eastAsia="黑体"/>
          <w:sz w:val="24"/>
        </w:rPr>
      </w:pPr>
      <w:r>
        <w:rPr>
          <w:rFonts w:hint="eastAsia" w:ascii="黑体" w:hAnsi="黑体" w:eastAsia="黑体"/>
          <w:sz w:val="24"/>
        </w:rPr>
        <w:t>31. 结果公告</w:t>
      </w:r>
    </w:p>
    <w:p w14:paraId="136F2312">
      <w:pPr>
        <w:pStyle w:val="6"/>
        <w:keepNext w:val="0"/>
        <w:keepLines w:val="0"/>
        <w:spacing w:before="0" w:after="0" w:line="400" w:lineRule="exact"/>
        <w:ind w:firstLine="420" w:firstLineChars="200"/>
        <w:rPr>
          <w:rFonts w:hint="eastAsia" w:ascii="宋体" w:hAnsi="宋体"/>
          <w:b w:val="0"/>
          <w:sz w:val="21"/>
          <w:szCs w:val="21"/>
        </w:rPr>
      </w:pPr>
      <w:r>
        <w:rPr>
          <w:rFonts w:hint="eastAsia" w:ascii="宋体" w:hAnsi="宋体"/>
          <w:b w:val="0"/>
          <w:sz w:val="21"/>
          <w:szCs w:val="21"/>
        </w:rPr>
        <w:t>3</w:t>
      </w:r>
      <w:r>
        <w:rPr>
          <w:rFonts w:ascii="宋体" w:hAnsi="宋体"/>
          <w:b w:val="0"/>
          <w:sz w:val="21"/>
          <w:szCs w:val="21"/>
        </w:rPr>
        <w:t>1.1</w:t>
      </w:r>
      <w:r>
        <w:rPr>
          <w:rFonts w:hint="eastAsia" w:ascii="宋体" w:hAnsi="宋体"/>
          <w:b w:val="0"/>
          <w:sz w:val="21"/>
          <w:szCs w:val="21"/>
        </w:rPr>
        <w:t>采购人或者采购代理机构应当自中标人确定之日起2个工作日内，在省级以上财政部门指定的媒体上公告中标结果，招标文件应当随中标结果同时公告。采购人或者采购代理发出中标通知书前，应当对中标人信用进行查询，对列入失信被执行人、重大税收违法失信主体、政府采购严重违法失信行为记录名单及其他不符合《中华人民共和国政府采购法》第二十二条规定条件的投标人，取消其中标资格，并确定排名第二的中标候选人为中标人。排名第二的中标候选人因前款规定的同样原因被取消中标资格的，采购人可以确定排名第三的中标候选人为中标人，以此类推。</w:t>
      </w:r>
    </w:p>
    <w:p w14:paraId="501B3FF7">
      <w:pPr>
        <w:snapToGrid w:val="0"/>
        <w:spacing w:line="400" w:lineRule="exact"/>
        <w:ind w:firstLine="420" w:firstLineChars="200"/>
        <w:rPr>
          <w:rFonts w:hint="eastAsia" w:ascii="宋体" w:hAnsi="宋体"/>
          <w:szCs w:val="21"/>
        </w:rPr>
      </w:pPr>
      <w:r>
        <w:rPr>
          <w:rFonts w:hint="eastAsia" w:ascii="宋体" w:hAnsi="宋体"/>
          <w:szCs w:val="21"/>
        </w:rPr>
        <w:t>以上信息查询记录及相关证据与招标文件一并保存。</w:t>
      </w:r>
    </w:p>
    <w:p w14:paraId="44289F13">
      <w:pPr>
        <w:pStyle w:val="6"/>
        <w:keepNext w:val="0"/>
        <w:keepLines w:val="0"/>
        <w:spacing w:before="0" w:after="0" w:line="360" w:lineRule="exact"/>
        <w:ind w:firstLine="420" w:firstLineChars="200"/>
        <w:rPr>
          <w:rFonts w:ascii="宋体" w:hAnsi="宋体"/>
          <w:b w:val="0"/>
          <w:sz w:val="21"/>
          <w:szCs w:val="21"/>
        </w:rPr>
      </w:pPr>
      <w:r>
        <w:rPr>
          <w:rFonts w:hint="eastAsia" w:ascii="宋体" w:hAnsi="宋体"/>
          <w:b w:val="0"/>
          <w:sz w:val="21"/>
          <w:szCs w:val="21"/>
        </w:rPr>
        <w:t>31.2中标供应商享受《政府采购促进中小企业发展管理办法》（财库〔2020〕46号）规定的中小企业扶持政策的，采购人、采购代理机构应当随中标结果公开中标供应商的《中小企业声明函》。</w:t>
      </w:r>
    </w:p>
    <w:p w14:paraId="7977B191">
      <w:pPr>
        <w:pStyle w:val="6"/>
        <w:keepNext w:val="0"/>
        <w:keepLines w:val="0"/>
        <w:spacing w:before="0" w:after="0" w:line="360" w:lineRule="exact"/>
        <w:ind w:firstLine="420" w:firstLineChars="200"/>
        <w:rPr>
          <w:rFonts w:hint="eastAsia" w:ascii="宋体" w:hAnsi="宋体"/>
          <w:b w:val="0"/>
          <w:sz w:val="21"/>
          <w:szCs w:val="21"/>
        </w:rPr>
      </w:pPr>
      <w:r>
        <w:rPr>
          <w:rFonts w:hint="eastAsia" w:ascii="宋体" w:hAnsi="宋体"/>
          <w:b w:val="0"/>
          <w:sz w:val="21"/>
          <w:szCs w:val="21"/>
        </w:rPr>
        <w:t>31.3 采购人、采购代理机构应当随中标结果公开中标供应商的《关于符合本国产品标准的声明函》或有关证明文件。</w:t>
      </w:r>
    </w:p>
    <w:p w14:paraId="01928C32">
      <w:pPr>
        <w:pStyle w:val="6"/>
        <w:keepNext w:val="0"/>
        <w:keepLines w:val="0"/>
        <w:spacing w:before="0" w:after="0" w:line="400" w:lineRule="exact"/>
        <w:ind w:left="420" w:leftChars="200"/>
        <w:rPr>
          <w:rFonts w:ascii="黑体" w:hAnsi="黑体" w:eastAsia="黑体"/>
          <w:sz w:val="24"/>
        </w:rPr>
      </w:pPr>
      <w:r>
        <w:rPr>
          <w:rFonts w:hint="eastAsia" w:ascii="黑体" w:hAnsi="黑体" w:eastAsia="黑体"/>
          <w:sz w:val="24"/>
        </w:rPr>
        <w:t>32.发出中标通知书</w:t>
      </w:r>
    </w:p>
    <w:p w14:paraId="6A130572">
      <w:pPr>
        <w:pStyle w:val="6"/>
        <w:keepNext w:val="0"/>
        <w:keepLines w:val="0"/>
        <w:spacing w:before="0" w:after="0" w:line="400" w:lineRule="exact"/>
        <w:rPr>
          <w:rFonts w:hint="eastAsia" w:ascii="宋体" w:hAnsi="宋体"/>
          <w:b w:val="0"/>
          <w:sz w:val="21"/>
          <w:szCs w:val="21"/>
        </w:rPr>
      </w:pPr>
      <w:r>
        <w:rPr>
          <w:rFonts w:hint="eastAsia" w:ascii="宋体" w:hAnsi="宋体"/>
          <w:b w:val="0"/>
          <w:sz w:val="21"/>
          <w:szCs w:val="21"/>
        </w:rPr>
        <w:t xml:space="preserve"> </w:t>
      </w:r>
      <w:r>
        <w:rPr>
          <w:rFonts w:ascii="宋体" w:hAnsi="宋体"/>
          <w:b w:val="0"/>
          <w:sz w:val="21"/>
          <w:szCs w:val="21"/>
        </w:rPr>
        <w:t xml:space="preserve">   </w:t>
      </w:r>
      <w:r>
        <w:rPr>
          <w:rFonts w:hint="eastAsia" w:ascii="宋体" w:hAnsi="宋体"/>
          <w:b w:val="0"/>
          <w:sz w:val="21"/>
          <w:szCs w:val="21"/>
        </w:rPr>
        <w:t>在发布中标公告的同时，采购代理机构向中标人通过广西政府采购云平台发出电子中标通知书。对未通过资格审查的投标人，应当告知其未通过的原因；采用综合评分办法评审的，还应当告知未中标人本人的评审得分与排序。</w:t>
      </w:r>
    </w:p>
    <w:p w14:paraId="4E683A6B">
      <w:pPr>
        <w:pStyle w:val="6"/>
        <w:keepNext w:val="0"/>
        <w:keepLines w:val="0"/>
        <w:spacing w:before="0" w:after="0" w:line="400" w:lineRule="exact"/>
        <w:ind w:left="420" w:leftChars="200"/>
        <w:rPr>
          <w:rFonts w:ascii="黑体" w:hAnsi="黑体" w:eastAsia="黑体"/>
          <w:sz w:val="24"/>
        </w:rPr>
      </w:pPr>
      <w:r>
        <w:rPr>
          <w:rFonts w:hint="eastAsia" w:ascii="黑体" w:hAnsi="黑体" w:eastAsia="黑体"/>
          <w:sz w:val="24"/>
        </w:rPr>
        <w:t>33. 无义务解释未中标原因</w:t>
      </w:r>
    </w:p>
    <w:p w14:paraId="23779150">
      <w:pPr>
        <w:pStyle w:val="6"/>
        <w:keepNext w:val="0"/>
        <w:keepLines w:val="0"/>
        <w:spacing w:before="0" w:after="0" w:line="400" w:lineRule="exact"/>
        <w:ind w:left="420" w:leftChars="200"/>
        <w:rPr>
          <w:rFonts w:hint="eastAsia" w:ascii="宋体" w:hAnsi="宋体"/>
          <w:b w:val="0"/>
          <w:sz w:val="21"/>
          <w:szCs w:val="21"/>
        </w:rPr>
      </w:pPr>
      <w:r>
        <w:rPr>
          <w:rFonts w:hint="eastAsia" w:ascii="宋体" w:hAnsi="宋体"/>
          <w:b w:val="0"/>
          <w:sz w:val="21"/>
          <w:szCs w:val="21"/>
        </w:rPr>
        <w:t>采购代理机构无义务向未中标的投标人解释未中标原因。</w:t>
      </w:r>
    </w:p>
    <w:p w14:paraId="42278AD7">
      <w:pPr>
        <w:pStyle w:val="6"/>
        <w:keepNext w:val="0"/>
        <w:keepLines w:val="0"/>
        <w:spacing w:before="0" w:after="0" w:line="400" w:lineRule="exact"/>
        <w:ind w:left="420" w:leftChars="200"/>
        <w:rPr>
          <w:rFonts w:hint="eastAsia" w:ascii="黑体" w:hAnsi="黑体" w:eastAsia="黑体"/>
          <w:sz w:val="24"/>
        </w:rPr>
      </w:pPr>
      <w:r>
        <w:rPr>
          <w:rFonts w:hint="eastAsia" w:ascii="黑体" w:hAnsi="黑体" w:eastAsia="黑体"/>
          <w:sz w:val="24"/>
        </w:rPr>
        <w:t>34.合同授予标准</w:t>
      </w:r>
    </w:p>
    <w:p w14:paraId="78EC9AC3">
      <w:pPr>
        <w:snapToGrid w:val="0"/>
        <w:spacing w:line="400" w:lineRule="exact"/>
        <w:ind w:firstLine="420" w:firstLineChars="200"/>
        <w:rPr>
          <w:rFonts w:hint="eastAsia" w:ascii="宋体" w:hAnsi="宋体"/>
          <w:szCs w:val="21"/>
        </w:rPr>
      </w:pPr>
      <w:r>
        <w:rPr>
          <w:rFonts w:hint="eastAsia" w:ascii="宋体" w:hAnsi="宋体" w:cs="Courier New"/>
          <w:szCs w:val="21"/>
        </w:rPr>
        <w:t>合同将授予被确定实质上响应招标文件要求，具备履行合同能力的中标人。</w:t>
      </w:r>
    </w:p>
    <w:p w14:paraId="01DD2FB1">
      <w:pPr>
        <w:pStyle w:val="6"/>
        <w:keepNext w:val="0"/>
        <w:keepLines w:val="0"/>
        <w:spacing w:before="0" w:after="0" w:line="400" w:lineRule="exact"/>
        <w:ind w:left="420" w:leftChars="200"/>
        <w:rPr>
          <w:rFonts w:hint="eastAsia" w:ascii="黑体" w:hAnsi="黑体" w:eastAsia="黑体"/>
          <w:sz w:val="24"/>
        </w:rPr>
      </w:pPr>
      <w:r>
        <w:rPr>
          <w:rFonts w:hint="eastAsia" w:ascii="黑体" w:hAnsi="黑体" w:eastAsia="黑体"/>
          <w:sz w:val="24"/>
        </w:rPr>
        <w:t>35.履约保证金</w:t>
      </w:r>
    </w:p>
    <w:p w14:paraId="5CF7305D">
      <w:pPr>
        <w:pStyle w:val="6"/>
        <w:keepNext w:val="0"/>
        <w:keepLines w:val="0"/>
        <w:spacing w:before="0" w:after="0" w:line="400" w:lineRule="exact"/>
        <w:ind w:firstLine="315" w:firstLineChars="150"/>
        <w:rPr>
          <w:rFonts w:hint="eastAsia" w:ascii="宋体" w:hAnsi="宋体"/>
          <w:b w:val="0"/>
          <w:sz w:val="21"/>
          <w:szCs w:val="21"/>
        </w:rPr>
      </w:pPr>
      <w:bookmarkStart w:id="165" w:name="_39.1中标人须于签订合同前按本须知前附表规定的金额转账或电汇到指定账"/>
      <w:bookmarkEnd w:id="165"/>
      <w:r>
        <w:rPr>
          <w:rFonts w:ascii="宋体" w:hAnsi="宋体"/>
          <w:b w:val="0"/>
          <w:sz w:val="21"/>
          <w:szCs w:val="21"/>
        </w:rPr>
        <w:t xml:space="preserve"> </w:t>
      </w:r>
      <w:r>
        <w:rPr>
          <w:rFonts w:hint="eastAsia" w:ascii="宋体" w:hAnsi="宋体"/>
          <w:b w:val="0"/>
          <w:sz w:val="21"/>
          <w:szCs w:val="21"/>
        </w:rPr>
        <w:t>3</w:t>
      </w:r>
      <w:r>
        <w:rPr>
          <w:rFonts w:ascii="宋体" w:hAnsi="宋体"/>
          <w:b w:val="0"/>
          <w:sz w:val="21"/>
          <w:szCs w:val="21"/>
        </w:rPr>
        <w:t>5</w:t>
      </w:r>
      <w:r>
        <w:rPr>
          <w:rFonts w:hint="eastAsia" w:ascii="宋体" w:hAnsi="宋体"/>
          <w:b w:val="0"/>
          <w:sz w:val="21"/>
          <w:szCs w:val="21"/>
        </w:rPr>
        <w:t>.1 履约保证金的金额、提交方式、缴纳期限、退付的时间和条件详见 “投标人须知前附表”。中标人未按规定提交履约保证金的，视为拒绝与采购人签订合同。</w:t>
      </w:r>
    </w:p>
    <w:p w14:paraId="3CA01191">
      <w:pPr>
        <w:pStyle w:val="6"/>
        <w:keepNext w:val="0"/>
        <w:keepLines w:val="0"/>
        <w:spacing w:before="0" w:after="0" w:line="400" w:lineRule="exact"/>
        <w:ind w:firstLine="316" w:firstLineChars="150"/>
        <w:rPr>
          <w:rFonts w:hint="eastAsia" w:ascii="宋体" w:hAnsi="宋体"/>
          <w:sz w:val="21"/>
          <w:szCs w:val="21"/>
        </w:rPr>
      </w:pPr>
      <w:r>
        <w:rPr>
          <w:rFonts w:hint="eastAsia" w:ascii="宋体" w:hAnsi="宋体"/>
          <w:sz w:val="21"/>
          <w:szCs w:val="21"/>
        </w:rPr>
        <w:t xml:space="preserve"> </w:t>
      </w:r>
      <w:r>
        <w:rPr>
          <w:rFonts w:hint="eastAsia" w:ascii="宋体" w:hAnsi="宋体"/>
          <w:b w:val="0"/>
          <w:bCs/>
          <w:sz w:val="21"/>
          <w:szCs w:val="21"/>
        </w:rPr>
        <w:t>35.2在履约保证金退还日期前，若中标人的开户名称、开户银行、账号有变动的，请以书面形式通知履约保证金收取单位，否则由此产生的后果由中标人自行承担。</w:t>
      </w:r>
    </w:p>
    <w:p w14:paraId="17C0297E">
      <w:pPr>
        <w:pStyle w:val="6"/>
        <w:keepNext w:val="0"/>
        <w:keepLines w:val="0"/>
        <w:spacing w:before="0" w:after="0" w:line="400" w:lineRule="exact"/>
        <w:ind w:left="420" w:leftChars="200"/>
        <w:rPr>
          <w:rFonts w:hint="eastAsia" w:ascii="黑体" w:hAnsi="黑体" w:eastAsia="黑体"/>
          <w:sz w:val="24"/>
        </w:rPr>
      </w:pPr>
      <w:r>
        <w:rPr>
          <w:rFonts w:hint="eastAsia" w:ascii="黑体" w:hAnsi="黑体" w:eastAsia="黑体"/>
          <w:sz w:val="24"/>
        </w:rPr>
        <w:t>36.签订合同</w:t>
      </w:r>
    </w:p>
    <w:p w14:paraId="1E4B5FD4">
      <w:pPr>
        <w:pStyle w:val="6"/>
        <w:keepNext w:val="0"/>
        <w:keepLines w:val="0"/>
        <w:spacing w:before="0" w:after="0" w:line="400" w:lineRule="exact"/>
        <w:ind w:firstLine="315" w:firstLineChars="150"/>
        <w:rPr>
          <w:rFonts w:hint="eastAsia" w:ascii="宋体" w:hAnsi="宋体"/>
          <w:b w:val="0"/>
          <w:sz w:val="21"/>
          <w:szCs w:val="21"/>
        </w:rPr>
      </w:pPr>
      <w:bookmarkStart w:id="166" w:name="_40.1投标人接到中标通知书后，按须知前附表规定向采购人出示相关资格证"/>
      <w:bookmarkEnd w:id="166"/>
      <w:r>
        <w:rPr>
          <w:rFonts w:hint="eastAsia" w:ascii="宋体" w:hAnsi="宋体"/>
          <w:b w:val="0"/>
          <w:sz w:val="21"/>
          <w:szCs w:val="21"/>
        </w:rPr>
        <w:t xml:space="preserve"> </w:t>
      </w:r>
      <w:r>
        <w:rPr>
          <w:rFonts w:hint="eastAsia" w:ascii="宋体" w:hAnsi="宋体"/>
          <w:sz w:val="21"/>
          <w:szCs w:val="21"/>
        </w:rPr>
        <w:t>36.1签订电子采购合同：中标人领取电子中标通知书后，</w:t>
      </w:r>
      <w:r>
        <w:rPr>
          <w:rFonts w:hint="eastAsia" w:ascii="宋体" w:hAnsi="宋体"/>
          <w:kern w:val="0"/>
          <w:sz w:val="21"/>
          <w:szCs w:val="21"/>
        </w:rPr>
        <w:t>在</w:t>
      </w:r>
      <w:r>
        <w:rPr>
          <w:rFonts w:hint="eastAsia" w:ascii="宋体" w:hAnsi="宋体"/>
          <w:kern w:val="0"/>
          <w:sz w:val="21"/>
          <w:szCs w:val="21"/>
          <w:lang w:val="zh-CN"/>
        </w:rPr>
        <w:t>规定的日期、时间、地点，由法定代表人或其授权代表与采购人代表签订电子采购合同。如中标人为联合体的，由联合体成员各方法定代表人或其授权代表与采购人代表签订合同。</w:t>
      </w:r>
    </w:p>
    <w:p w14:paraId="7BC1726E">
      <w:pPr>
        <w:pStyle w:val="6"/>
        <w:keepNext w:val="0"/>
        <w:keepLines w:val="0"/>
        <w:spacing w:before="0" w:after="0" w:line="400" w:lineRule="exact"/>
        <w:ind w:firstLine="315" w:firstLineChars="150"/>
        <w:rPr>
          <w:rFonts w:hint="eastAsia" w:ascii="宋体" w:hAnsi="宋体"/>
          <w:b w:val="0"/>
          <w:sz w:val="21"/>
          <w:szCs w:val="21"/>
        </w:rPr>
      </w:pPr>
      <w:r>
        <w:rPr>
          <w:rFonts w:hint="eastAsia" w:ascii="宋体" w:hAnsi="宋体"/>
          <w:b w:val="0"/>
          <w:sz w:val="21"/>
          <w:szCs w:val="21"/>
        </w:rPr>
        <w:t xml:space="preserve"> 线下签订纸质合同：投标人领取中标通知书后，按“投标人须知前附表”规定向采购人出示相关证明材料，经采购人核验合格后方可签订合同。</w:t>
      </w:r>
    </w:p>
    <w:p w14:paraId="6D2D40B6">
      <w:pPr>
        <w:pStyle w:val="6"/>
        <w:keepNext w:val="0"/>
        <w:keepLines w:val="0"/>
        <w:numPr>
          <w:ilvl w:val="0"/>
          <w:numId w:val="0"/>
        </w:numPr>
        <w:spacing w:before="0" w:after="0" w:line="400" w:lineRule="exact"/>
        <w:ind w:firstLine="420" w:firstLineChars="200"/>
        <w:rPr>
          <w:rFonts w:hint="eastAsia" w:ascii="宋体" w:hAnsi="宋体"/>
          <w:b w:val="0"/>
          <w:sz w:val="21"/>
          <w:szCs w:val="21"/>
        </w:rPr>
      </w:pPr>
      <w:r>
        <w:rPr>
          <w:rFonts w:hint="eastAsia" w:ascii="宋体" w:hAnsi="宋体"/>
          <w:b w:val="0"/>
          <w:sz w:val="21"/>
          <w:szCs w:val="21"/>
        </w:rPr>
        <w:t>36.2签订合同时间：按中标通知书规定的时间与采购人签订合同。</w:t>
      </w:r>
    </w:p>
    <w:p w14:paraId="2AB73096">
      <w:pPr>
        <w:pStyle w:val="6"/>
        <w:keepNext w:val="0"/>
        <w:keepLines w:val="0"/>
        <w:spacing w:before="0" w:after="0" w:line="400" w:lineRule="exact"/>
        <w:rPr>
          <w:rFonts w:hint="eastAsia" w:ascii="宋体" w:hAnsi="宋体"/>
          <w:b w:val="0"/>
          <w:sz w:val="21"/>
          <w:szCs w:val="21"/>
        </w:rPr>
      </w:pPr>
      <w:r>
        <w:rPr>
          <w:rFonts w:hint="eastAsia" w:ascii="宋体" w:hAnsi="宋体"/>
          <w:b w:val="0"/>
          <w:sz w:val="21"/>
          <w:szCs w:val="21"/>
        </w:rPr>
        <w:t xml:space="preserve">    36.</w:t>
      </w:r>
      <w:r>
        <w:rPr>
          <w:rFonts w:ascii="宋体" w:hAnsi="宋体"/>
          <w:b w:val="0"/>
          <w:sz w:val="21"/>
          <w:szCs w:val="21"/>
        </w:rPr>
        <w:t>3</w:t>
      </w:r>
      <w:r>
        <w:rPr>
          <w:rFonts w:hint="eastAsia" w:ascii="宋体" w:hAnsi="宋体"/>
          <w:b w:val="0"/>
          <w:sz w:val="21"/>
          <w:szCs w:val="21"/>
        </w:rPr>
        <w:t>中标人拒绝签订政府采购合同（包括但不限于放弃中标、因不可抗力不能履行合同而放弃签订合同），采购人可以按照评审报告推荐的中标候选人名单排序，确定下一候选人为中标供应商，也可以重新开展政府采购活动。如采购人无正当理由拒签合同的，给中标供应商造成损失的，中标供应商可追究采购人承担相应的法律责任。</w:t>
      </w:r>
    </w:p>
    <w:p w14:paraId="5CEC55A8">
      <w:pPr>
        <w:spacing w:line="400" w:lineRule="exact"/>
        <w:ind w:firstLine="420" w:firstLineChars="200"/>
        <w:rPr>
          <w:rFonts w:hint="eastAsia" w:ascii="宋体" w:hAnsi="宋体"/>
          <w:szCs w:val="21"/>
        </w:rPr>
      </w:pPr>
      <w:r>
        <w:rPr>
          <w:rFonts w:hint="eastAsia" w:ascii="宋体" w:hAnsi="宋体"/>
          <w:szCs w:val="21"/>
        </w:rPr>
        <w:t>36.4政府采购合同是政府采购项目验收的依据，中标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0FB023A1">
      <w:pPr>
        <w:spacing w:line="400" w:lineRule="exact"/>
        <w:ind w:firstLine="420" w:firstLineChars="200"/>
        <w:rPr>
          <w:rFonts w:hint="eastAsia" w:ascii="宋体" w:hAnsi="宋体"/>
          <w:szCs w:val="21"/>
        </w:rPr>
      </w:pPr>
      <w:r>
        <w:rPr>
          <w:rFonts w:hint="eastAsia" w:ascii="宋体" w:hAnsi="宋体"/>
          <w:szCs w:val="21"/>
        </w:rPr>
        <w:t>36.5采购人或中标供应商不得单方面向合同另一方提出任何招标文件没有约定的条件或不合理的要求，作为签订合同的条件；也不得协商另行订立背离招标文件和合同实质性内容的协议。</w:t>
      </w:r>
    </w:p>
    <w:p w14:paraId="68F1BC8E">
      <w:pPr>
        <w:spacing w:line="400" w:lineRule="exact"/>
        <w:ind w:firstLine="420" w:firstLineChars="200"/>
        <w:rPr>
          <w:rFonts w:hint="eastAsia" w:ascii="宋体" w:hAnsi="宋体"/>
          <w:szCs w:val="21"/>
        </w:rPr>
      </w:pPr>
      <w:r>
        <w:rPr>
          <w:rFonts w:hint="eastAsia" w:ascii="宋体" w:hAnsi="宋体"/>
          <w:szCs w:val="21"/>
        </w:rPr>
        <w:t>36.6</w:t>
      </w:r>
      <w:r>
        <w:rPr>
          <w:rFonts w:hint="eastAsia" w:ascii="宋体" w:hAnsi="宋体" w:cs="仿宋_GB2312"/>
          <w:szCs w:val="21"/>
        </w:rPr>
        <w:t>如签订合同并生效后，供应商无故拒绝或延期，除按照合同条款处理外，将承担相应的法律责任。</w:t>
      </w:r>
    </w:p>
    <w:p w14:paraId="453C17A1">
      <w:pPr>
        <w:spacing w:line="400" w:lineRule="exact"/>
        <w:ind w:firstLine="420" w:firstLineChars="200"/>
        <w:rPr>
          <w:rFonts w:hint="eastAsia" w:ascii="宋体" w:hAnsi="宋体"/>
          <w:szCs w:val="21"/>
        </w:rPr>
      </w:pPr>
      <w:r>
        <w:rPr>
          <w:rFonts w:hint="eastAsia" w:ascii="宋体" w:hAnsi="宋体"/>
          <w:szCs w:val="21"/>
        </w:rPr>
        <w:t>36.7</w:t>
      </w:r>
      <w:r>
        <w:rPr>
          <w:rFonts w:hint="eastAsia" w:ascii="宋体" w:hAnsi="宋体" w:cs="宋体"/>
          <w:szCs w:val="21"/>
        </w:rPr>
        <w:t>政府采购合同履行中，采购人需追加与合同标的相同的货物、工程或者服务的，在不改变合同其他条款的前提下，可以与供应商协商签订补充合同，但所有补充合同的采购金额不得超过原合同采购金额的10%。</w:t>
      </w:r>
    </w:p>
    <w:p w14:paraId="6BA66405">
      <w:pPr>
        <w:pStyle w:val="6"/>
        <w:keepNext w:val="0"/>
        <w:keepLines w:val="0"/>
        <w:spacing w:before="0" w:after="0" w:line="400" w:lineRule="exact"/>
        <w:ind w:left="420" w:leftChars="200"/>
        <w:rPr>
          <w:rFonts w:hint="eastAsia" w:ascii="黑体" w:hAnsi="黑体" w:eastAsia="黑体"/>
          <w:sz w:val="24"/>
        </w:rPr>
      </w:pPr>
      <w:bookmarkStart w:id="167" w:name="_41.政府采购合同公告"/>
      <w:bookmarkEnd w:id="167"/>
      <w:r>
        <w:rPr>
          <w:rFonts w:hint="eastAsia" w:ascii="黑体" w:hAnsi="黑体" w:eastAsia="黑体"/>
          <w:sz w:val="24"/>
        </w:rPr>
        <w:t>37.政府采购合同公告</w:t>
      </w:r>
    </w:p>
    <w:p w14:paraId="0E8A5B76">
      <w:pPr>
        <w:pStyle w:val="25"/>
        <w:snapToGrid w:val="0"/>
        <w:spacing w:line="400" w:lineRule="exact"/>
        <w:ind w:firstLine="420" w:firstLineChars="200"/>
        <w:rPr>
          <w:rFonts w:hint="eastAsia" w:hAnsi="宋体"/>
          <w:sz w:val="21"/>
        </w:rPr>
      </w:pPr>
      <w:r>
        <w:rPr>
          <w:rFonts w:hint="eastAsia" w:hAnsi="宋体"/>
          <w:sz w:val="21"/>
        </w:rPr>
        <w:t>采购人或者受托采购代理机构应当自政府采购合同签订之日起2个工作日内，将政府采购合同在省级以上人民政府财政部门指定的媒体上公告，</w:t>
      </w:r>
      <w:r>
        <w:rPr>
          <w:rFonts w:hAnsi="宋体"/>
          <w:sz w:val="21"/>
        </w:rPr>
        <w:t>但政府采购合同中涉及国家秘密、商业秘密的内容除外。</w:t>
      </w:r>
    </w:p>
    <w:p w14:paraId="7CC60335">
      <w:pPr>
        <w:pStyle w:val="6"/>
        <w:keepNext w:val="0"/>
        <w:keepLines w:val="0"/>
        <w:spacing w:before="0" w:after="0" w:line="400" w:lineRule="exact"/>
        <w:ind w:left="420" w:leftChars="200"/>
        <w:rPr>
          <w:rFonts w:ascii="黑体" w:hAnsi="黑体" w:eastAsia="黑体"/>
          <w:sz w:val="24"/>
        </w:rPr>
      </w:pPr>
      <w:r>
        <w:rPr>
          <w:rFonts w:hint="eastAsia" w:ascii="黑体" w:hAnsi="黑体" w:eastAsia="黑体"/>
          <w:sz w:val="24"/>
        </w:rPr>
        <w:t>3</w:t>
      </w:r>
      <w:r>
        <w:rPr>
          <w:rFonts w:ascii="黑体" w:hAnsi="黑体" w:eastAsia="黑体"/>
          <w:sz w:val="24"/>
        </w:rPr>
        <w:t>8.</w:t>
      </w:r>
      <w:r>
        <w:rPr>
          <w:rFonts w:hint="eastAsia" w:ascii="黑体" w:hAnsi="黑体" w:eastAsia="黑体"/>
          <w:sz w:val="24"/>
        </w:rPr>
        <w:t xml:space="preserve"> 询问、质疑和投诉</w:t>
      </w:r>
    </w:p>
    <w:p w14:paraId="556DDCC0">
      <w:pPr>
        <w:pStyle w:val="7"/>
        <w:spacing w:line="400" w:lineRule="exact"/>
        <w:rPr>
          <w:rFonts w:hint="eastAsia" w:ascii="宋体" w:hAnsi="宋体"/>
          <w:szCs w:val="21"/>
        </w:rPr>
      </w:pPr>
      <w:r>
        <w:rPr>
          <w:rFonts w:ascii="宋体" w:hAnsi="宋体"/>
          <w:szCs w:val="21"/>
        </w:rPr>
        <w:t>38.1</w:t>
      </w:r>
      <w:r>
        <w:rPr>
          <w:rFonts w:hint="eastAsia" w:ascii="宋体" w:hAnsi="宋体"/>
          <w:szCs w:val="21"/>
        </w:rPr>
        <w:t>供应商对政府采购活动事项有疑问的，可以向采购人提出询问，采购人或者采购代理机构应当在3个工作日内对供应商依法提出的询问作出答复，但答复的内容不得涉及商业秘密。</w:t>
      </w:r>
    </w:p>
    <w:p w14:paraId="187B39B9">
      <w:pPr>
        <w:pStyle w:val="6"/>
        <w:keepNext w:val="0"/>
        <w:keepLines w:val="0"/>
        <w:spacing w:before="0" w:after="0" w:line="400" w:lineRule="exact"/>
        <w:ind w:firstLine="315" w:firstLineChars="150"/>
        <w:rPr>
          <w:rFonts w:hint="eastAsia" w:ascii="宋体" w:hAnsi="宋体"/>
          <w:b w:val="0"/>
          <w:sz w:val="21"/>
          <w:szCs w:val="21"/>
        </w:rPr>
      </w:pPr>
      <w:r>
        <w:rPr>
          <w:rFonts w:hint="eastAsia" w:ascii="宋体" w:hAnsi="宋体"/>
          <w:b w:val="0"/>
          <w:sz w:val="21"/>
          <w:szCs w:val="21"/>
        </w:rPr>
        <w:t xml:space="preserve"> </w:t>
      </w:r>
      <w:r>
        <w:rPr>
          <w:rFonts w:ascii="宋体" w:hAnsi="宋体"/>
          <w:b w:val="0"/>
          <w:sz w:val="21"/>
          <w:szCs w:val="21"/>
        </w:rPr>
        <w:t>38</w:t>
      </w:r>
      <w:r>
        <w:rPr>
          <w:rFonts w:hint="eastAsia" w:ascii="宋体" w:hAnsi="宋体"/>
          <w:b w:val="0"/>
          <w:sz w:val="21"/>
          <w:szCs w:val="21"/>
        </w:rPr>
        <w:t>.</w:t>
      </w:r>
      <w:r>
        <w:rPr>
          <w:rFonts w:ascii="宋体" w:hAnsi="宋体"/>
          <w:b w:val="0"/>
          <w:sz w:val="21"/>
          <w:szCs w:val="21"/>
        </w:rPr>
        <w:t>2</w:t>
      </w:r>
      <w:r>
        <w:rPr>
          <w:rFonts w:hint="eastAsia" w:ascii="宋体" w:hAnsi="宋体"/>
          <w:b w:val="0"/>
          <w:sz w:val="21"/>
          <w:szCs w:val="21"/>
        </w:rPr>
        <w:t xml:space="preserve">供应商认为招标文件、采购过程或者中标结果使自己的合法权益受到损害的，必须在知道或者应知其权益受到损害之日起7个工作日内，以书面形式向采购人、采购代理机构提出质疑。采购人、采购代理机构接收质疑函的方式、联系部门、联系电话和通讯地址等信息详见“投标人须知前附表”。具体质疑起算时间如下： </w:t>
      </w:r>
    </w:p>
    <w:p w14:paraId="4D35FBC2">
      <w:pPr>
        <w:pStyle w:val="25"/>
        <w:snapToGrid w:val="0"/>
        <w:spacing w:line="400" w:lineRule="exact"/>
        <w:ind w:firstLine="420" w:firstLineChars="200"/>
        <w:rPr>
          <w:rFonts w:hAnsi="宋体"/>
          <w:sz w:val="21"/>
        </w:rPr>
      </w:pPr>
      <w:r>
        <w:rPr>
          <w:rFonts w:hAnsi="宋体"/>
          <w:sz w:val="21"/>
        </w:rPr>
        <w:t>（</w:t>
      </w:r>
      <w:r>
        <w:rPr>
          <w:rFonts w:hint="eastAsia" w:hAnsi="宋体"/>
          <w:sz w:val="21"/>
        </w:rPr>
        <w:t>1</w:t>
      </w:r>
      <w:r>
        <w:rPr>
          <w:rFonts w:hAnsi="宋体"/>
          <w:sz w:val="21"/>
        </w:rPr>
        <w:t>）对可以质疑的</w:t>
      </w:r>
      <w:r>
        <w:rPr>
          <w:rFonts w:hint="eastAsia" w:hAnsi="宋体"/>
          <w:sz w:val="21"/>
        </w:rPr>
        <w:t>招标</w:t>
      </w:r>
      <w:r>
        <w:rPr>
          <w:rFonts w:hAnsi="宋体"/>
          <w:sz w:val="21"/>
        </w:rPr>
        <w:t>文件提出质疑的，为收到</w:t>
      </w:r>
      <w:r>
        <w:rPr>
          <w:rFonts w:hint="eastAsia" w:hAnsi="宋体"/>
          <w:sz w:val="21"/>
        </w:rPr>
        <w:t>招标</w:t>
      </w:r>
      <w:r>
        <w:rPr>
          <w:rFonts w:hAnsi="宋体"/>
          <w:sz w:val="21"/>
        </w:rPr>
        <w:t>文件之日</w:t>
      </w:r>
      <w:r>
        <w:rPr>
          <w:rFonts w:hint="eastAsia" w:hAnsi="宋体"/>
          <w:sz w:val="21"/>
        </w:rPr>
        <w:t>或者招标文件公告期限届满之日</w:t>
      </w:r>
      <w:r>
        <w:rPr>
          <w:rFonts w:hAnsi="宋体"/>
          <w:sz w:val="21"/>
        </w:rPr>
        <w:t>；</w:t>
      </w:r>
    </w:p>
    <w:p w14:paraId="5FE4D0F4">
      <w:pPr>
        <w:pStyle w:val="25"/>
        <w:snapToGrid w:val="0"/>
        <w:spacing w:line="400" w:lineRule="exact"/>
        <w:ind w:firstLine="420" w:firstLineChars="200"/>
        <w:rPr>
          <w:rFonts w:hint="eastAsia" w:hAnsi="宋体"/>
          <w:sz w:val="21"/>
        </w:rPr>
      </w:pPr>
      <w:r>
        <w:rPr>
          <w:rFonts w:hAnsi="宋体"/>
          <w:sz w:val="21"/>
        </w:rPr>
        <w:t>（</w:t>
      </w:r>
      <w:r>
        <w:rPr>
          <w:rFonts w:hint="eastAsia" w:hAnsi="宋体"/>
          <w:sz w:val="21"/>
        </w:rPr>
        <w:t>2</w:t>
      </w:r>
      <w:r>
        <w:rPr>
          <w:rFonts w:hAnsi="宋体"/>
          <w:sz w:val="21"/>
        </w:rPr>
        <w:t>）对</w:t>
      </w:r>
      <w:r>
        <w:rPr>
          <w:rFonts w:hint="eastAsia" w:hAnsi="宋体"/>
          <w:sz w:val="21"/>
        </w:rPr>
        <w:t>采购</w:t>
      </w:r>
      <w:r>
        <w:rPr>
          <w:rFonts w:hAnsi="宋体"/>
          <w:sz w:val="21"/>
        </w:rPr>
        <w:t>过程提出质疑的，为各采购程序环节结束之日；</w:t>
      </w:r>
    </w:p>
    <w:p w14:paraId="4258F2E4">
      <w:pPr>
        <w:pStyle w:val="25"/>
        <w:snapToGrid w:val="0"/>
        <w:spacing w:line="400" w:lineRule="exact"/>
        <w:ind w:firstLine="420" w:firstLineChars="200"/>
        <w:rPr>
          <w:rFonts w:hint="eastAsia" w:hAnsi="宋体"/>
          <w:bCs/>
          <w:sz w:val="21"/>
        </w:rPr>
      </w:pPr>
      <w:r>
        <w:rPr>
          <w:rFonts w:hAnsi="宋体"/>
          <w:sz w:val="21"/>
        </w:rPr>
        <w:t>（</w:t>
      </w:r>
      <w:r>
        <w:rPr>
          <w:rFonts w:hint="eastAsia" w:hAnsi="宋体"/>
          <w:sz w:val="21"/>
        </w:rPr>
        <w:t>3</w:t>
      </w:r>
      <w:r>
        <w:rPr>
          <w:rFonts w:hAnsi="宋体"/>
          <w:sz w:val="21"/>
        </w:rPr>
        <w:t>）对中标结果提出质疑的，为中标结果公告期限届满之日。</w:t>
      </w:r>
    </w:p>
    <w:p w14:paraId="754339BE">
      <w:pPr>
        <w:pStyle w:val="6"/>
        <w:keepNext w:val="0"/>
        <w:keepLines w:val="0"/>
        <w:spacing w:before="0" w:after="0" w:line="400" w:lineRule="exact"/>
        <w:ind w:firstLine="315" w:firstLineChars="150"/>
        <w:rPr>
          <w:rFonts w:ascii="宋体" w:hAnsi="宋体"/>
          <w:b w:val="0"/>
          <w:sz w:val="21"/>
          <w:szCs w:val="21"/>
        </w:rPr>
      </w:pPr>
      <w:r>
        <w:rPr>
          <w:rFonts w:ascii="宋体" w:hAnsi="宋体"/>
          <w:b w:val="0"/>
          <w:sz w:val="21"/>
          <w:szCs w:val="21"/>
        </w:rPr>
        <w:t>38</w:t>
      </w:r>
      <w:r>
        <w:rPr>
          <w:rFonts w:hint="eastAsia" w:ascii="宋体" w:hAnsi="宋体"/>
          <w:b w:val="0"/>
          <w:sz w:val="21"/>
          <w:szCs w:val="21"/>
        </w:rPr>
        <w:t>.</w:t>
      </w:r>
      <w:r>
        <w:rPr>
          <w:rFonts w:ascii="宋体" w:hAnsi="宋体"/>
          <w:b w:val="0"/>
          <w:sz w:val="21"/>
          <w:szCs w:val="21"/>
        </w:rPr>
        <w:t>3</w:t>
      </w:r>
      <w:r>
        <w:rPr>
          <w:rFonts w:hint="eastAsia" w:ascii="宋体" w:hAnsi="宋体"/>
          <w:b w:val="0"/>
          <w:sz w:val="21"/>
          <w:szCs w:val="21"/>
        </w:rPr>
        <w:t xml:space="preserve"> </w:t>
      </w:r>
      <w:r>
        <w:rPr>
          <w:rFonts w:hAnsi="宋体"/>
          <w:b w:val="0"/>
          <w:bCs/>
          <w:sz w:val="21"/>
        </w:rPr>
        <w:t>供应商提出质疑应当提交质疑函和必要的证明材料</w:t>
      </w:r>
      <w:r>
        <w:rPr>
          <w:rFonts w:hint="eastAsia" w:hAnsi="宋体"/>
          <w:b w:val="0"/>
          <w:bCs/>
          <w:sz w:val="21"/>
        </w:rPr>
        <w:t>，</w:t>
      </w:r>
      <w:r>
        <w:rPr>
          <w:rFonts w:hAnsi="宋体"/>
          <w:b w:val="0"/>
          <w:bCs/>
          <w:sz w:val="21"/>
        </w:rPr>
        <w:t>针对同一采购程序环节的质疑</w:t>
      </w:r>
      <w:r>
        <w:rPr>
          <w:rFonts w:hint="eastAsia" w:hAnsi="宋体"/>
          <w:b w:val="0"/>
          <w:bCs/>
          <w:sz w:val="21"/>
        </w:rPr>
        <w:t>必须</w:t>
      </w:r>
      <w:r>
        <w:rPr>
          <w:rFonts w:hAnsi="宋体"/>
          <w:b w:val="0"/>
          <w:bCs/>
          <w:sz w:val="21"/>
        </w:rPr>
        <w:t>在法定质疑期内一次性提出。质疑函应当包括下列内容</w:t>
      </w:r>
      <w:r>
        <w:rPr>
          <w:rFonts w:hint="eastAsia" w:hAnsi="宋体"/>
          <w:b w:val="0"/>
          <w:bCs/>
          <w:sz w:val="21"/>
        </w:rPr>
        <w:t>（质疑函格式见第六章）</w:t>
      </w:r>
      <w:r>
        <w:rPr>
          <w:rFonts w:hAnsi="宋体"/>
          <w:b w:val="0"/>
          <w:bCs/>
          <w:sz w:val="21"/>
        </w:rPr>
        <w:t>：</w:t>
      </w:r>
    </w:p>
    <w:p w14:paraId="1518FBE0">
      <w:pPr>
        <w:pStyle w:val="25"/>
        <w:snapToGrid w:val="0"/>
        <w:spacing w:line="400" w:lineRule="exact"/>
        <w:ind w:firstLine="420" w:firstLineChars="200"/>
        <w:rPr>
          <w:rFonts w:hAnsi="宋体"/>
          <w:bCs/>
          <w:sz w:val="21"/>
        </w:rPr>
      </w:pPr>
      <w:r>
        <w:rPr>
          <w:rFonts w:hAnsi="宋体"/>
          <w:bCs/>
          <w:sz w:val="21"/>
        </w:rPr>
        <w:t>（</w:t>
      </w:r>
      <w:r>
        <w:rPr>
          <w:rFonts w:hint="eastAsia" w:hAnsi="宋体"/>
          <w:bCs/>
          <w:sz w:val="21"/>
        </w:rPr>
        <w:t>1</w:t>
      </w:r>
      <w:r>
        <w:rPr>
          <w:rFonts w:hAnsi="宋体"/>
          <w:bCs/>
          <w:sz w:val="21"/>
        </w:rPr>
        <w:t>）供应商的姓名或者名称、地址、邮编、联系人及联系电话；</w:t>
      </w:r>
    </w:p>
    <w:p w14:paraId="51941EE4">
      <w:pPr>
        <w:pStyle w:val="25"/>
        <w:snapToGrid w:val="0"/>
        <w:spacing w:line="400" w:lineRule="exact"/>
        <w:ind w:firstLine="420" w:firstLineChars="200"/>
        <w:rPr>
          <w:rFonts w:hAnsi="宋体"/>
          <w:bCs/>
          <w:sz w:val="21"/>
        </w:rPr>
      </w:pPr>
      <w:r>
        <w:rPr>
          <w:rFonts w:hAnsi="宋体"/>
          <w:bCs/>
          <w:sz w:val="21"/>
        </w:rPr>
        <w:t>（</w:t>
      </w:r>
      <w:r>
        <w:rPr>
          <w:rFonts w:hint="eastAsia" w:hAnsi="宋体"/>
          <w:bCs/>
          <w:sz w:val="21"/>
        </w:rPr>
        <w:t>2</w:t>
      </w:r>
      <w:r>
        <w:rPr>
          <w:rFonts w:hAnsi="宋体"/>
          <w:bCs/>
          <w:sz w:val="21"/>
        </w:rPr>
        <w:t>）质疑项目的名称、编号；</w:t>
      </w:r>
    </w:p>
    <w:p w14:paraId="077835EC">
      <w:pPr>
        <w:pStyle w:val="25"/>
        <w:snapToGrid w:val="0"/>
        <w:spacing w:line="400" w:lineRule="exact"/>
        <w:ind w:firstLine="420" w:firstLineChars="200"/>
        <w:rPr>
          <w:rFonts w:hAnsi="宋体"/>
          <w:bCs/>
          <w:sz w:val="21"/>
        </w:rPr>
      </w:pPr>
      <w:r>
        <w:rPr>
          <w:rFonts w:hAnsi="宋体"/>
          <w:bCs/>
          <w:sz w:val="21"/>
        </w:rPr>
        <w:t>（</w:t>
      </w:r>
      <w:r>
        <w:rPr>
          <w:rFonts w:hint="eastAsia" w:hAnsi="宋体"/>
          <w:bCs/>
          <w:sz w:val="21"/>
        </w:rPr>
        <w:t>3</w:t>
      </w:r>
      <w:r>
        <w:rPr>
          <w:rFonts w:hAnsi="宋体"/>
          <w:bCs/>
          <w:sz w:val="21"/>
        </w:rPr>
        <w:t>）具体、明确的质疑事项和与质疑事项相关的请求；</w:t>
      </w:r>
    </w:p>
    <w:p w14:paraId="7BF50554">
      <w:pPr>
        <w:pStyle w:val="25"/>
        <w:snapToGrid w:val="0"/>
        <w:spacing w:line="400" w:lineRule="exact"/>
        <w:ind w:firstLine="420" w:firstLineChars="200"/>
        <w:rPr>
          <w:rFonts w:hAnsi="宋体"/>
          <w:bCs/>
          <w:sz w:val="21"/>
        </w:rPr>
      </w:pPr>
      <w:r>
        <w:rPr>
          <w:rFonts w:hAnsi="宋体"/>
          <w:bCs/>
          <w:sz w:val="21"/>
        </w:rPr>
        <w:t>（</w:t>
      </w:r>
      <w:r>
        <w:rPr>
          <w:rFonts w:hint="eastAsia" w:hAnsi="宋体"/>
          <w:bCs/>
          <w:sz w:val="21"/>
        </w:rPr>
        <w:t>4</w:t>
      </w:r>
      <w:r>
        <w:rPr>
          <w:rFonts w:hAnsi="宋体"/>
          <w:bCs/>
          <w:sz w:val="21"/>
        </w:rPr>
        <w:t>）事实依据；</w:t>
      </w:r>
    </w:p>
    <w:p w14:paraId="6D1A9738">
      <w:pPr>
        <w:pStyle w:val="25"/>
        <w:snapToGrid w:val="0"/>
        <w:spacing w:line="400" w:lineRule="exact"/>
        <w:ind w:firstLine="420" w:firstLineChars="200"/>
        <w:rPr>
          <w:rFonts w:hAnsi="宋体"/>
          <w:bCs/>
          <w:sz w:val="21"/>
        </w:rPr>
      </w:pPr>
      <w:r>
        <w:rPr>
          <w:rFonts w:hAnsi="宋体"/>
          <w:bCs/>
          <w:sz w:val="21"/>
        </w:rPr>
        <w:t>（</w:t>
      </w:r>
      <w:r>
        <w:rPr>
          <w:rFonts w:hint="eastAsia" w:hAnsi="宋体"/>
          <w:bCs/>
          <w:sz w:val="21"/>
        </w:rPr>
        <w:t>5</w:t>
      </w:r>
      <w:r>
        <w:rPr>
          <w:rFonts w:hAnsi="宋体"/>
          <w:bCs/>
          <w:sz w:val="21"/>
        </w:rPr>
        <w:t>）必要的法律依据；</w:t>
      </w:r>
    </w:p>
    <w:p w14:paraId="1FB2BFC7">
      <w:pPr>
        <w:pStyle w:val="25"/>
        <w:snapToGrid w:val="0"/>
        <w:spacing w:line="400" w:lineRule="exact"/>
        <w:ind w:firstLine="420" w:firstLineChars="200"/>
        <w:rPr>
          <w:rFonts w:hAnsi="宋体"/>
          <w:bCs/>
          <w:sz w:val="21"/>
        </w:rPr>
      </w:pPr>
      <w:r>
        <w:rPr>
          <w:rFonts w:hAnsi="宋体"/>
          <w:bCs/>
          <w:sz w:val="21"/>
        </w:rPr>
        <w:t>（</w:t>
      </w:r>
      <w:r>
        <w:rPr>
          <w:rFonts w:hint="eastAsia" w:hAnsi="宋体"/>
          <w:bCs/>
          <w:sz w:val="21"/>
        </w:rPr>
        <w:t>6</w:t>
      </w:r>
      <w:r>
        <w:rPr>
          <w:rFonts w:hAnsi="宋体"/>
          <w:bCs/>
          <w:sz w:val="21"/>
        </w:rPr>
        <w:t>）提出质疑的日期。</w:t>
      </w:r>
    </w:p>
    <w:p w14:paraId="44E889FC">
      <w:pPr>
        <w:pStyle w:val="25"/>
        <w:snapToGrid w:val="0"/>
        <w:spacing w:line="400" w:lineRule="exact"/>
        <w:ind w:firstLine="420" w:firstLineChars="200"/>
        <w:rPr>
          <w:rFonts w:hint="eastAsia" w:hAnsi="宋体"/>
          <w:bCs/>
          <w:sz w:val="21"/>
        </w:rPr>
      </w:pPr>
      <w:r>
        <w:rPr>
          <w:rFonts w:hAnsi="宋体"/>
          <w:bCs/>
          <w:sz w:val="21"/>
        </w:rPr>
        <w:t>供应商为自然人的，应当由本人签字；供应商为法人或者其他组织的，应当由法定代表人、主要负责人，或者其委托代理人签字或者盖章，并加盖公章</w:t>
      </w:r>
      <w:r>
        <w:rPr>
          <w:rFonts w:hint="eastAsia" w:hAnsi="宋体"/>
          <w:bCs/>
          <w:sz w:val="21"/>
        </w:rPr>
        <w:t>。</w:t>
      </w:r>
    </w:p>
    <w:p w14:paraId="23726534">
      <w:pPr>
        <w:pStyle w:val="6"/>
        <w:keepNext w:val="0"/>
        <w:keepLines w:val="0"/>
        <w:snapToGrid w:val="0"/>
        <w:spacing w:before="0" w:after="0" w:line="400" w:lineRule="exact"/>
        <w:ind w:firstLine="420" w:firstLineChars="200"/>
        <w:rPr>
          <w:rFonts w:hint="eastAsia" w:ascii="宋体" w:hAnsi="宋体"/>
          <w:b w:val="0"/>
          <w:bCs/>
          <w:sz w:val="21"/>
          <w:szCs w:val="21"/>
        </w:rPr>
      </w:pPr>
      <w:r>
        <w:rPr>
          <w:rFonts w:ascii="宋体" w:hAnsi="宋体"/>
          <w:b w:val="0"/>
          <w:sz w:val="21"/>
          <w:szCs w:val="21"/>
        </w:rPr>
        <w:t>3</w:t>
      </w:r>
      <w:r>
        <w:rPr>
          <w:rFonts w:ascii="宋体" w:hAnsi="宋体"/>
          <w:b w:val="0"/>
          <w:bCs/>
          <w:sz w:val="21"/>
          <w:szCs w:val="21"/>
        </w:rPr>
        <w:t>8.4</w:t>
      </w:r>
      <w:r>
        <w:rPr>
          <w:rFonts w:hint="eastAsia" w:ascii="宋体" w:hAnsi="宋体"/>
          <w:b w:val="0"/>
          <w:bCs/>
          <w:sz w:val="21"/>
          <w:szCs w:val="21"/>
        </w:rPr>
        <w:t>采购人、采购代理机构认为供应商质疑不成立，或者成立但未对中标结果构成影响的，继续开展采购活动；认为供应商质疑成立且影响或者可能影响中标结果的，按照下列情况处理：</w:t>
      </w:r>
    </w:p>
    <w:p w14:paraId="5C82E592">
      <w:pPr>
        <w:pStyle w:val="25"/>
        <w:snapToGrid w:val="0"/>
        <w:spacing w:line="400" w:lineRule="exact"/>
        <w:rPr>
          <w:rFonts w:hint="eastAsia" w:hAnsi="宋体"/>
          <w:bCs/>
          <w:sz w:val="21"/>
        </w:rPr>
      </w:pPr>
      <w:r>
        <w:rPr>
          <w:rFonts w:hint="eastAsia" w:hAnsi="宋体"/>
          <w:bCs/>
          <w:sz w:val="21"/>
        </w:rPr>
        <w:t>　　（一）对招标文件提出的质疑，依法通过澄清或者修改可以继续开展采购活动的，澄清或者修改招标文件后继续开展采购活动；否则应当修改招标文件后重新开展采购活动。</w:t>
      </w:r>
    </w:p>
    <w:p w14:paraId="58597893">
      <w:pPr>
        <w:pStyle w:val="25"/>
        <w:snapToGrid w:val="0"/>
        <w:spacing w:line="400" w:lineRule="exact"/>
        <w:rPr>
          <w:rFonts w:hint="eastAsia" w:hAnsi="宋体"/>
          <w:bCs/>
          <w:sz w:val="21"/>
        </w:rPr>
      </w:pPr>
      <w:r>
        <w:rPr>
          <w:rFonts w:hint="eastAsia" w:hAnsi="宋体"/>
          <w:bCs/>
          <w:sz w:val="21"/>
        </w:rPr>
        <w:t>　　（二）对采购过程、中标结果提出的质疑，合格供应商符合法定数量时，可以从合格的中标候选人中另行确定中标供应商的，应当依法另行确定中标供应商；否则应当重新开展采购活动。</w:t>
      </w:r>
    </w:p>
    <w:p w14:paraId="09E7506F">
      <w:pPr>
        <w:pStyle w:val="25"/>
        <w:snapToGrid w:val="0"/>
        <w:spacing w:line="400" w:lineRule="exact"/>
        <w:ind w:firstLine="420"/>
        <w:rPr>
          <w:rFonts w:hAnsi="宋体"/>
          <w:bCs/>
          <w:sz w:val="21"/>
        </w:rPr>
      </w:pPr>
      <w:r>
        <w:rPr>
          <w:rFonts w:hint="eastAsia" w:hAnsi="宋体"/>
          <w:bCs/>
          <w:sz w:val="21"/>
        </w:rPr>
        <w:t>质疑答复导致中标结果改变的，采购人或者采购代理机构应当将有关情况书面报告本级财政部门。</w:t>
      </w:r>
    </w:p>
    <w:p w14:paraId="7EA959F0">
      <w:pPr>
        <w:pStyle w:val="25"/>
        <w:snapToGrid w:val="0"/>
        <w:spacing w:line="400" w:lineRule="exact"/>
        <w:ind w:firstLine="420" w:firstLineChars="200"/>
        <w:rPr>
          <w:rFonts w:hint="eastAsia" w:hAnsi="宋体"/>
          <w:sz w:val="21"/>
        </w:rPr>
      </w:pPr>
      <w:r>
        <w:rPr>
          <w:rFonts w:hAnsi="宋体"/>
          <w:sz w:val="21"/>
        </w:rPr>
        <w:t>38</w:t>
      </w:r>
      <w:r>
        <w:rPr>
          <w:rFonts w:hint="eastAsia" w:hAnsi="宋体"/>
          <w:sz w:val="21"/>
        </w:rPr>
        <w:t>.</w:t>
      </w:r>
      <w:r>
        <w:rPr>
          <w:rFonts w:hAnsi="宋体"/>
          <w:sz w:val="21"/>
        </w:rPr>
        <w:t>5</w:t>
      </w:r>
      <w:r>
        <w:rPr>
          <w:rFonts w:hint="eastAsia" w:hAnsi="宋体"/>
          <w:sz w:val="21"/>
        </w:rPr>
        <w:t>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见第六章）。</w:t>
      </w:r>
    </w:p>
    <w:p w14:paraId="0CE57C36">
      <w:pPr>
        <w:pStyle w:val="4"/>
        <w:keepNext w:val="0"/>
        <w:keepLines w:val="0"/>
        <w:jc w:val="center"/>
        <w:rPr>
          <w:rFonts w:hint="eastAsia"/>
        </w:rPr>
      </w:pPr>
      <w:r>
        <w:rPr>
          <w:rFonts w:hint="eastAsia"/>
        </w:rPr>
        <w:t>八、其他事项</w:t>
      </w:r>
    </w:p>
    <w:p w14:paraId="469A6093">
      <w:pPr>
        <w:pStyle w:val="6"/>
        <w:keepNext w:val="0"/>
        <w:keepLines w:val="0"/>
        <w:spacing w:before="0" w:after="0" w:line="400" w:lineRule="exact"/>
        <w:ind w:left="420" w:leftChars="200"/>
        <w:rPr>
          <w:rFonts w:hint="eastAsia" w:ascii="黑体" w:hAnsi="黑体" w:eastAsia="黑体"/>
          <w:sz w:val="24"/>
        </w:rPr>
      </w:pPr>
      <w:bookmarkStart w:id="168" w:name="_42.代理服务费"/>
      <w:bookmarkEnd w:id="168"/>
      <w:r>
        <w:rPr>
          <w:rFonts w:hint="eastAsia" w:ascii="黑体" w:hAnsi="黑体" w:eastAsia="黑体"/>
          <w:sz w:val="24"/>
        </w:rPr>
        <w:t>3</w:t>
      </w:r>
      <w:r>
        <w:rPr>
          <w:rFonts w:ascii="黑体" w:hAnsi="黑体" w:eastAsia="黑体"/>
          <w:sz w:val="24"/>
        </w:rPr>
        <w:t>9</w:t>
      </w:r>
      <w:r>
        <w:rPr>
          <w:rFonts w:hint="eastAsia" w:ascii="黑体" w:hAnsi="黑体" w:eastAsia="黑体"/>
          <w:sz w:val="24"/>
        </w:rPr>
        <w:t>.代理服务费</w:t>
      </w:r>
    </w:p>
    <w:p w14:paraId="69392BE4">
      <w:pPr>
        <w:pStyle w:val="6"/>
        <w:keepNext w:val="0"/>
        <w:keepLines w:val="0"/>
        <w:spacing w:before="0" w:after="0" w:line="400" w:lineRule="exact"/>
        <w:ind w:left="420" w:leftChars="200"/>
        <w:rPr>
          <w:rFonts w:hint="eastAsia" w:ascii="宋体" w:hAnsi="宋体"/>
          <w:b w:val="0"/>
          <w:sz w:val="21"/>
          <w:szCs w:val="21"/>
        </w:rPr>
      </w:pPr>
      <w:r>
        <w:rPr>
          <w:rFonts w:hint="eastAsia" w:ascii="宋体" w:hAnsi="宋体"/>
          <w:b w:val="0"/>
          <w:sz w:val="21"/>
          <w:szCs w:val="21"/>
        </w:rPr>
        <w:t>3</w:t>
      </w:r>
      <w:r>
        <w:rPr>
          <w:rFonts w:ascii="宋体" w:hAnsi="宋体"/>
          <w:b w:val="0"/>
          <w:sz w:val="21"/>
          <w:szCs w:val="21"/>
        </w:rPr>
        <w:t>9</w:t>
      </w:r>
      <w:r>
        <w:rPr>
          <w:rFonts w:hint="eastAsia" w:ascii="宋体" w:hAnsi="宋体"/>
          <w:b w:val="0"/>
          <w:sz w:val="21"/>
          <w:szCs w:val="21"/>
        </w:rPr>
        <w:t>.1代理服务费收取标准及缴费账户详见“投标人须知前附表”，投标人为联合体的，可以由联合体中的一方或者多方共同交纳代理服务费。</w:t>
      </w:r>
    </w:p>
    <w:p w14:paraId="6C9D2BF3">
      <w:pPr>
        <w:pStyle w:val="6"/>
        <w:keepNext w:val="0"/>
        <w:keepLines w:val="0"/>
        <w:spacing w:before="0" w:after="0" w:line="400" w:lineRule="exact"/>
        <w:ind w:left="420" w:leftChars="200"/>
        <w:rPr>
          <w:rFonts w:hint="eastAsia" w:ascii="宋体" w:hAnsi="宋体"/>
          <w:szCs w:val="21"/>
        </w:rPr>
      </w:pPr>
      <w:r>
        <w:rPr>
          <w:rFonts w:hint="eastAsia" w:ascii="宋体" w:hAnsi="宋体"/>
          <w:sz w:val="21"/>
          <w:szCs w:val="21"/>
        </w:rPr>
        <w:t>3</w:t>
      </w:r>
      <w:r>
        <w:rPr>
          <w:rFonts w:ascii="宋体" w:hAnsi="宋体"/>
          <w:sz w:val="21"/>
          <w:szCs w:val="21"/>
        </w:rPr>
        <w:t>9</w:t>
      </w:r>
      <w:r>
        <w:rPr>
          <w:rFonts w:hint="eastAsia" w:ascii="宋体" w:hAnsi="宋体"/>
          <w:sz w:val="21"/>
          <w:szCs w:val="21"/>
        </w:rPr>
        <w:t>.2代理服务收费标准：</w:t>
      </w:r>
    </w:p>
    <w:tbl>
      <w:tblPr>
        <w:tblStyle w:val="5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90"/>
        <w:gridCol w:w="1669"/>
        <w:gridCol w:w="1696"/>
        <w:gridCol w:w="1667"/>
      </w:tblGrid>
      <w:tr w14:paraId="02F28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048" w:type="pct"/>
            <w:tcBorders>
              <w:tl2br w:val="single" w:color="auto" w:sz="4" w:space="0"/>
            </w:tcBorders>
            <w:noWrap w:val="0"/>
            <w:vAlign w:val="top"/>
          </w:tcPr>
          <w:p w14:paraId="56B5D6C7">
            <w:pPr>
              <w:spacing w:line="400" w:lineRule="exact"/>
              <w:rPr>
                <w:rFonts w:hint="eastAsia" w:ascii="宋体" w:hAnsi="宋体"/>
                <w:szCs w:val="21"/>
              </w:rPr>
            </w:pPr>
            <w:r>
              <w:rPr>
                <w:rFonts w:hint="eastAsia" w:ascii="宋体" w:hAnsi="宋体"/>
                <w:szCs w:val="21"/>
              </w:rPr>
              <w:t xml:space="preserve">               费率</w:t>
            </w:r>
          </w:p>
          <w:p w14:paraId="322D8784">
            <w:pPr>
              <w:spacing w:line="400" w:lineRule="exact"/>
              <w:rPr>
                <w:rFonts w:hint="eastAsia" w:ascii="宋体" w:hAnsi="宋体"/>
                <w:szCs w:val="21"/>
              </w:rPr>
            </w:pPr>
            <w:r>
              <w:rPr>
                <w:rFonts w:hint="eastAsia" w:ascii="宋体" w:hAnsi="宋体"/>
                <w:szCs w:val="21"/>
              </w:rPr>
              <w:t>金额</w:t>
            </w:r>
          </w:p>
        </w:tc>
        <w:tc>
          <w:tcPr>
            <w:tcW w:w="979" w:type="pct"/>
            <w:noWrap w:val="0"/>
            <w:vAlign w:val="center"/>
          </w:tcPr>
          <w:p w14:paraId="563CF449">
            <w:pPr>
              <w:spacing w:line="400" w:lineRule="exact"/>
              <w:ind w:firstLine="105" w:firstLineChars="50"/>
              <w:jc w:val="center"/>
              <w:rPr>
                <w:rFonts w:hint="eastAsia" w:ascii="宋体" w:hAnsi="宋体"/>
                <w:szCs w:val="21"/>
              </w:rPr>
            </w:pPr>
            <w:r>
              <w:rPr>
                <w:rFonts w:hint="eastAsia" w:ascii="宋体" w:hAnsi="宋体"/>
                <w:szCs w:val="21"/>
              </w:rPr>
              <w:t>货物招标</w:t>
            </w:r>
          </w:p>
        </w:tc>
        <w:tc>
          <w:tcPr>
            <w:tcW w:w="995" w:type="pct"/>
            <w:noWrap w:val="0"/>
            <w:vAlign w:val="center"/>
          </w:tcPr>
          <w:p w14:paraId="71F410F3">
            <w:pPr>
              <w:spacing w:line="400" w:lineRule="exact"/>
              <w:jc w:val="center"/>
              <w:rPr>
                <w:rFonts w:hint="eastAsia" w:ascii="宋体" w:hAnsi="宋体"/>
                <w:szCs w:val="21"/>
              </w:rPr>
            </w:pPr>
            <w:r>
              <w:rPr>
                <w:rFonts w:hint="eastAsia" w:ascii="宋体" w:hAnsi="宋体"/>
                <w:szCs w:val="21"/>
              </w:rPr>
              <w:t>服务招标</w:t>
            </w:r>
          </w:p>
        </w:tc>
        <w:tc>
          <w:tcPr>
            <w:tcW w:w="978" w:type="pct"/>
            <w:noWrap w:val="0"/>
            <w:vAlign w:val="center"/>
          </w:tcPr>
          <w:p w14:paraId="11E8A4DA">
            <w:pPr>
              <w:spacing w:line="400" w:lineRule="exact"/>
              <w:jc w:val="center"/>
              <w:rPr>
                <w:rFonts w:hint="eastAsia" w:ascii="宋体" w:hAnsi="宋体"/>
                <w:szCs w:val="21"/>
              </w:rPr>
            </w:pPr>
            <w:r>
              <w:rPr>
                <w:rFonts w:hint="eastAsia" w:ascii="宋体" w:hAnsi="宋体"/>
                <w:szCs w:val="21"/>
              </w:rPr>
              <w:t>工程招标</w:t>
            </w:r>
          </w:p>
        </w:tc>
      </w:tr>
      <w:tr w14:paraId="26394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8" w:type="pct"/>
            <w:noWrap w:val="0"/>
            <w:vAlign w:val="top"/>
          </w:tcPr>
          <w:p w14:paraId="03C2C2BC">
            <w:pPr>
              <w:spacing w:line="360" w:lineRule="auto"/>
              <w:rPr>
                <w:rFonts w:ascii="宋体" w:hAnsi="宋体"/>
                <w:szCs w:val="21"/>
              </w:rPr>
            </w:pPr>
            <w:r>
              <w:rPr>
                <w:rFonts w:hint="eastAsia" w:ascii="宋体" w:hAnsi="宋体"/>
                <w:szCs w:val="21"/>
              </w:rPr>
              <w:t>100万元以下</w:t>
            </w:r>
          </w:p>
        </w:tc>
        <w:tc>
          <w:tcPr>
            <w:tcW w:w="979" w:type="pct"/>
            <w:noWrap w:val="0"/>
            <w:vAlign w:val="top"/>
          </w:tcPr>
          <w:p w14:paraId="6436F667">
            <w:pPr>
              <w:spacing w:line="360" w:lineRule="auto"/>
              <w:rPr>
                <w:rFonts w:ascii="宋体" w:hAnsi="宋体"/>
                <w:szCs w:val="21"/>
              </w:rPr>
            </w:pPr>
            <w:r>
              <w:rPr>
                <w:rFonts w:hint="eastAsia" w:ascii="宋体" w:hAnsi="宋体" w:cs="宋体"/>
                <w:kern w:val="0"/>
                <w:szCs w:val="21"/>
              </w:rPr>
              <w:t xml:space="preserve">  1.5%                </w:t>
            </w:r>
          </w:p>
        </w:tc>
        <w:tc>
          <w:tcPr>
            <w:tcW w:w="995" w:type="pct"/>
            <w:noWrap w:val="0"/>
            <w:vAlign w:val="top"/>
          </w:tcPr>
          <w:p w14:paraId="164C6497">
            <w:pPr>
              <w:spacing w:line="360" w:lineRule="auto"/>
              <w:ind w:firstLine="210" w:firstLineChars="100"/>
              <w:rPr>
                <w:rFonts w:ascii="宋体" w:hAnsi="宋体"/>
                <w:szCs w:val="21"/>
              </w:rPr>
            </w:pPr>
            <w:r>
              <w:rPr>
                <w:rFonts w:hint="eastAsia" w:ascii="宋体" w:hAnsi="宋体" w:cs="宋体"/>
                <w:kern w:val="0"/>
                <w:szCs w:val="21"/>
              </w:rPr>
              <w:t>1.5%</w:t>
            </w:r>
          </w:p>
        </w:tc>
        <w:tc>
          <w:tcPr>
            <w:tcW w:w="978" w:type="pct"/>
            <w:noWrap w:val="0"/>
            <w:vAlign w:val="top"/>
          </w:tcPr>
          <w:p w14:paraId="76636A86">
            <w:pPr>
              <w:spacing w:line="360" w:lineRule="auto"/>
              <w:ind w:firstLine="210" w:firstLineChars="100"/>
              <w:rPr>
                <w:rFonts w:ascii="宋体" w:hAnsi="宋体"/>
                <w:szCs w:val="21"/>
              </w:rPr>
            </w:pPr>
            <w:r>
              <w:rPr>
                <w:rFonts w:hint="eastAsia" w:ascii="宋体" w:hAnsi="宋体" w:cs="宋体"/>
                <w:kern w:val="0"/>
                <w:szCs w:val="21"/>
              </w:rPr>
              <w:t xml:space="preserve">1.0% </w:t>
            </w:r>
          </w:p>
        </w:tc>
      </w:tr>
      <w:tr w14:paraId="7616D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8" w:type="pct"/>
            <w:noWrap w:val="0"/>
            <w:vAlign w:val="top"/>
          </w:tcPr>
          <w:p w14:paraId="6AC4088A">
            <w:pPr>
              <w:spacing w:line="360" w:lineRule="auto"/>
              <w:rPr>
                <w:rFonts w:ascii="宋体" w:hAnsi="宋体"/>
                <w:szCs w:val="21"/>
              </w:rPr>
            </w:pPr>
            <w:r>
              <w:rPr>
                <w:rFonts w:hint="eastAsia" w:ascii="宋体" w:hAnsi="宋体"/>
                <w:szCs w:val="21"/>
              </w:rPr>
              <w:t>100万元～500万元</w:t>
            </w:r>
          </w:p>
        </w:tc>
        <w:tc>
          <w:tcPr>
            <w:tcW w:w="979" w:type="pct"/>
            <w:noWrap w:val="0"/>
            <w:vAlign w:val="top"/>
          </w:tcPr>
          <w:p w14:paraId="27C3603C">
            <w:pPr>
              <w:spacing w:line="360" w:lineRule="auto"/>
              <w:ind w:firstLine="210" w:firstLineChars="100"/>
              <w:rPr>
                <w:rFonts w:ascii="宋体" w:hAnsi="宋体"/>
                <w:szCs w:val="21"/>
              </w:rPr>
            </w:pPr>
            <w:r>
              <w:rPr>
                <w:rFonts w:hint="eastAsia" w:ascii="宋体" w:hAnsi="宋体" w:cs="宋体"/>
                <w:kern w:val="0"/>
                <w:szCs w:val="21"/>
              </w:rPr>
              <w:t xml:space="preserve">1.1%                 </w:t>
            </w:r>
          </w:p>
        </w:tc>
        <w:tc>
          <w:tcPr>
            <w:tcW w:w="995" w:type="pct"/>
            <w:noWrap w:val="0"/>
            <w:vAlign w:val="top"/>
          </w:tcPr>
          <w:p w14:paraId="5372509E">
            <w:pPr>
              <w:spacing w:line="360" w:lineRule="auto"/>
              <w:ind w:firstLine="210" w:firstLineChars="100"/>
              <w:rPr>
                <w:rFonts w:ascii="宋体" w:hAnsi="宋体"/>
                <w:szCs w:val="21"/>
              </w:rPr>
            </w:pPr>
            <w:r>
              <w:rPr>
                <w:rFonts w:hint="eastAsia" w:ascii="宋体" w:hAnsi="宋体" w:cs="宋体"/>
                <w:kern w:val="0"/>
                <w:szCs w:val="21"/>
              </w:rPr>
              <w:t>0.8%</w:t>
            </w:r>
          </w:p>
        </w:tc>
        <w:tc>
          <w:tcPr>
            <w:tcW w:w="978" w:type="pct"/>
            <w:noWrap w:val="0"/>
            <w:vAlign w:val="top"/>
          </w:tcPr>
          <w:p w14:paraId="46EA7979">
            <w:pPr>
              <w:spacing w:line="360" w:lineRule="auto"/>
              <w:ind w:firstLine="210" w:firstLineChars="100"/>
              <w:rPr>
                <w:rFonts w:ascii="宋体" w:hAnsi="宋体"/>
                <w:szCs w:val="21"/>
              </w:rPr>
            </w:pPr>
            <w:r>
              <w:rPr>
                <w:rFonts w:hint="eastAsia" w:ascii="宋体" w:hAnsi="宋体" w:cs="宋体"/>
                <w:kern w:val="0"/>
                <w:szCs w:val="21"/>
              </w:rPr>
              <w:t xml:space="preserve">0.7% </w:t>
            </w:r>
          </w:p>
        </w:tc>
      </w:tr>
      <w:tr w14:paraId="4748B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8" w:type="pct"/>
            <w:noWrap w:val="0"/>
            <w:vAlign w:val="top"/>
          </w:tcPr>
          <w:p w14:paraId="4050BE63">
            <w:pPr>
              <w:spacing w:line="360" w:lineRule="auto"/>
              <w:rPr>
                <w:rFonts w:ascii="宋体" w:hAnsi="宋体"/>
                <w:szCs w:val="21"/>
              </w:rPr>
            </w:pPr>
            <w:r>
              <w:rPr>
                <w:rFonts w:hint="eastAsia" w:ascii="宋体" w:hAnsi="宋体"/>
                <w:szCs w:val="21"/>
              </w:rPr>
              <w:t>500万元～1000万元</w:t>
            </w:r>
          </w:p>
        </w:tc>
        <w:tc>
          <w:tcPr>
            <w:tcW w:w="979" w:type="pct"/>
            <w:noWrap w:val="0"/>
            <w:vAlign w:val="top"/>
          </w:tcPr>
          <w:p w14:paraId="6B9D05C2">
            <w:pPr>
              <w:spacing w:line="360" w:lineRule="auto"/>
              <w:rPr>
                <w:rFonts w:ascii="宋体" w:hAnsi="宋体"/>
                <w:szCs w:val="21"/>
              </w:rPr>
            </w:pPr>
            <w:r>
              <w:rPr>
                <w:rFonts w:hint="eastAsia" w:ascii="宋体" w:hAnsi="宋体" w:cs="宋体"/>
                <w:kern w:val="0"/>
                <w:szCs w:val="21"/>
              </w:rPr>
              <w:t xml:space="preserve">  0.8%                </w:t>
            </w:r>
          </w:p>
        </w:tc>
        <w:tc>
          <w:tcPr>
            <w:tcW w:w="995" w:type="pct"/>
            <w:noWrap w:val="0"/>
            <w:vAlign w:val="top"/>
          </w:tcPr>
          <w:p w14:paraId="3CBCC388">
            <w:pPr>
              <w:spacing w:line="360" w:lineRule="auto"/>
              <w:ind w:firstLine="210" w:firstLineChars="100"/>
              <w:rPr>
                <w:rFonts w:ascii="宋体" w:hAnsi="宋体"/>
                <w:szCs w:val="21"/>
              </w:rPr>
            </w:pPr>
            <w:r>
              <w:rPr>
                <w:rFonts w:hint="eastAsia" w:ascii="宋体" w:hAnsi="宋体" w:cs="宋体"/>
                <w:kern w:val="0"/>
                <w:szCs w:val="21"/>
              </w:rPr>
              <w:t>0.45%</w:t>
            </w:r>
          </w:p>
        </w:tc>
        <w:tc>
          <w:tcPr>
            <w:tcW w:w="978" w:type="pct"/>
            <w:noWrap w:val="0"/>
            <w:vAlign w:val="top"/>
          </w:tcPr>
          <w:p w14:paraId="0AAC5DD2">
            <w:pPr>
              <w:spacing w:line="360" w:lineRule="auto"/>
              <w:ind w:firstLine="210" w:firstLineChars="100"/>
              <w:rPr>
                <w:rFonts w:ascii="宋体" w:hAnsi="宋体"/>
                <w:szCs w:val="21"/>
              </w:rPr>
            </w:pPr>
            <w:r>
              <w:rPr>
                <w:rFonts w:hint="eastAsia" w:ascii="宋体" w:hAnsi="宋体" w:cs="宋体"/>
                <w:kern w:val="0"/>
                <w:szCs w:val="21"/>
              </w:rPr>
              <w:t>0.55%</w:t>
            </w:r>
          </w:p>
        </w:tc>
      </w:tr>
      <w:tr w14:paraId="0EFDE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8" w:type="pct"/>
            <w:noWrap w:val="0"/>
            <w:vAlign w:val="top"/>
          </w:tcPr>
          <w:p w14:paraId="7BD3A96E">
            <w:pPr>
              <w:spacing w:line="360" w:lineRule="auto"/>
              <w:rPr>
                <w:rFonts w:ascii="宋体" w:hAnsi="宋体"/>
                <w:szCs w:val="21"/>
              </w:rPr>
            </w:pPr>
            <w:r>
              <w:rPr>
                <w:rFonts w:hint="eastAsia" w:ascii="宋体" w:hAnsi="宋体"/>
                <w:szCs w:val="21"/>
              </w:rPr>
              <w:t>1000万元～5000万元</w:t>
            </w:r>
          </w:p>
        </w:tc>
        <w:tc>
          <w:tcPr>
            <w:tcW w:w="979" w:type="pct"/>
            <w:noWrap w:val="0"/>
            <w:vAlign w:val="top"/>
          </w:tcPr>
          <w:p w14:paraId="413F905A">
            <w:pPr>
              <w:spacing w:line="360" w:lineRule="auto"/>
              <w:ind w:firstLine="210" w:firstLineChars="100"/>
              <w:rPr>
                <w:rFonts w:ascii="宋体" w:hAnsi="宋体"/>
                <w:szCs w:val="21"/>
              </w:rPr>
            </w:pPr>
            <w:r>
              <w:rPr>
                <w:rFonts w:hint="eastAsia" w:ascii="宋体" w:hAnsi="宋体" w:cs="宋体"/>
                <w:kern w:val="0"/>
                <w:szCs w:val="21"/>
              </w:rPr>
              <w:t xml:space="preserve">0.5%                </w:t>
            </w:r>
          </w:p>
        </w:tc>
        <w:tc>
          <w:tcPr>
            <w:tcW w:w="995" w:type="pct"/>
            <w:noWrap w:val="0"/>
            <w:vAlign w:val="top"/>
          </w:tcPr>
          <w:p w14:paraId="21459FB7">
            <w:pPr>
              <w:spacing w:line="360" w:lineRule="auto"/>
              <w:ind w:firstLine="210" w:firstLineChars="100"/>
              <w:rPr>
                <w:rFonts w:ascii="宋体" w:hAnsi="宋体"/>
                <w:szCs w:val="21"/>
              </w:rPr>
            </w:pPr>
            <w:r>
              <w:rPr>
                <w:rFonts w:hint="eastAsia" w:ascii="宋体" w:hAnsi="宋体" w:cs="宋体"/>
                <w:kern w:val="0"/>
                <w:szCs w:val="21"/>
              </w:rPr>
              <w:t>0.25%</w:t>
            </w:r>
          </w:p>
        </w:tc>
        <w:tc>
          <w:tcPr>
            <w:tcW w:w="978" w:type="pct"/>
            <w:noWrap w:val="0"/>
            <w:vAlign w:val="top"/>
          </w:tcPr>
          <w:p w14:paraId="53B222B8">
            <w:pPr>
              <w:spacing w:line="360" w:lineRule="auto"/>
              <w:ind w:firstLine="210" w:firstLineChars="100"/>
              <w:rPr>
                <w:rFonts w:ascii="宋体" w:hAnsi="宋体"/>
                <w:szCs w:val="21"/>
              </w:rPr>
            </w:pPr>
            <w:r>
              <w:rPr>
                <w:rFonts w:hint="eastAsia" w:ascii="宋体" w:hAnsi="宋体" w:cs="宋体"/>
                <w:kern w:val="0"/>
                <w:szCs w:val="21"/>
              </w:rPr>
              <w:t xml:space="preserve">0.35% </w:t>
            </w:r>
          </w:p>
        </w:tc>
      </w:tr>
      <w:tr w14:paraId="5ECBF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8" w:type="pct"/>
            <w:noWrap w:val="0"/>
            <w:vAlign w:val="top"/>
          </w:tcPr>
          <w:p w14:paraId="6CB943AF">
            <w:pPr>
              <w:spacing w:line="360" w:lineRule="auto"/>
              <w:rPr>
                <w:rFonts w:ascii="宋体" w:hAnsi="宋体"/>
                <w:szCs w:val="21"/>
              </w:rPr>
            </w:pPr>
            <w:r>
              <w:rPr>
                <w:rFonts w:hint="eastAsia" w:ascii="宋体" w:hAnsi="宋体"/>
                <w:szCs w:val="21"/>
              </w:rPr>
              <w:t>5000万元～1亿元</w:t>
            </w:r>
          </w:p>
        </w:tc>
        <w:tc>
          <w:tcPr>
            <w:tcW w:w="979" w:type="pct"/>
            <w:noWrap w:val="0"/>
            <w:vAlign w:val="top"/>
          </w:tcPr>
          <w:p w14:paraId="00768EBB">
            <w:pPr>
              <w:spacing w:line="360" w:lineRule="auto"/>
              <w:ind w:firstLine="210" w:firstLineChars="100"/>
              <w:rPr>
                <w:rFonts w:ascii="宋体" w:hAnsi="宋体"/>
                <w:szCs w:val="21"/>
              </w:rPr>
            </w:pPr>
            <w:r>
              <w:rPr>
                <w:rFonts w:hint="eastAsia" w:ascii="宋体" w:hAnsi="宋体" w:cs="宋体"/>
                <w:kern w:val="0"/>
                <w:szCs w:val="21"/>
              </w:rPr>
              <w:t xml:space="preserve">0.25%                 </w:t>
            </w:r>
          </w:p>
        </w:tc>
        <w:tc>
          <w:tcPr>
            <w:tcW w:w="995" w:type="pct"/>
            <w:noWrap w:val="0"/>
            <w:vAlign w:val="top"/>
          </w:tcPr>
          <w:p w14:paraId="102F5D56">
            <w:pPr>
              <w:spacing w:line="360" w:lineRule="auto"/>
              <w:ind w:firstLine="210" w:firstLineChars="100"/>
              <w:rPr>
                <w:rFonts w:ascii="宋体" w:hAnsi="宋体"/>
                <w:szCs w:val="21"/>
              </w:rPr>
            </w:pPr>
            <w:r>
              <w:rPr>
                <w:rFonts w:hint="eastAsia" w:ascii="宋体" w:hAnsi="宋体" w:cs="宋体"/>
                <w:kern w:val="0"/>
                <w:szCs w:val="21"/>
              </w:rPr>
              <w:t>0.1%</w:t>
            </w:r>
          </w:p>
        </w:tc>
        <w:tc>
          <w:tcPr>
            <w:tcW w:w="978" w:type="pct"/>
            <w:noWrap w:val="0"/>
            <w:vAlign w:val="top"/>
          </w:tcPr>
          <w:p w14:paraId="385F2AED">
            <w:pPr>
              <w:spacing w:line="360" w:lineRule="auto"/>
              <w:ind w:firstLine="210" w:firstLineChars="100"/>
              <w:rPr>
                <w:rFonts w:ascii="宋体" w:hAnsi="宋体"/>
                <w:szCs w:val="21"/>
              </w:rPr>
            </w:pPr>
            <w:r>
              <w:rPr>
                <w:rFonts w:hint="eastAsia" w:ascii="宋体" w:hAnsi="宋体" w:cs="宋体"/>
                <w:kern w:val="0"/>
                <w:szCs w:val="21"/>
              </w:rPr>
              <w:t>0.2%</w:t>
            </w:r>
          </w:p>
        </w:tc>
      </w:tr>
      <w:tr w14:paraId="51B24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8" w:type="pct"/>
            <w:noWrap w:val="0"/>
            <w:vAlign w:val="top"/>
          </w:tcPr>
          <w:p w14:paraId="71B52E4E">
            <w:pPr>
              <w:spacing w:line="360" w:lineRule="auto"/>
              <w:rPr>
                <w:rFonts w:ascii="宋体" w:hAnsi="宋体"/>
                <w:szCs w:val="21"/>
              </w:rPr>
            </w:pPr>
            <w:r>
              <w:rPr>
                <w:rFonts w:hint="eastAsia" w:ascii="宋体" w:hAnsi="宋体"/>
                <w:szCs w:val="21"/>
              </w:rPr>
              <w:t>1亿元～5亿元</w:t>
            </w:r>
          </w:p>
        </w:tc>
        <w:tc>
          <w:tcPr>
            <w:tcW w:w="979" w:type="pct"/>
            <w:noWrap w:val="0"/>
            <w:vAlign w:val="top"/>
          </w:tcPr>
          <w:p w14:paraId="709E7CB7">
            <w:pPr>
              <w:spacing w:line="360" w:lineRule="auto"/>
              <w:ind w:firstLine="210" w:firstLineChars="100"/>
              <w:rPr>
                <w:rFonts w:ascii="宋体" w:hAnsi="宋体"/>
                <w:szCs w:val="21"/>
              </w:rPr>
            </w:pPr>
            <w:r>
              <w:rPr>
                <w:rFonts w:hint="eastAsia" w:ascii="宋体" w:hAnsi="宋体"/>
                <w:szCs w:val="21"/>
              </w:rPr>
              <w:t>0.05%</w:t>
            </w:r>
          </w:p>
        </w:tc>
        <w:tc>
          <w:tcPr>
            <w:tcW w:w="995" w:type="pct"/>
            <w:noWrap w:val="0"/>
            <w:vAlign w:val="top"/>
          </w:tcPr>
          <w:p w14:paraId="02B3C9B0">
            <w:pPr>
              <w:spacing w:line="360" w:lineRule="auto"/>
              <w:rPr>
                <w:rFonts w:ascii="宋体" w:hAnsi="宋体"/>
                <w:szCs w:val="21"/>
              </w:rPr>
            </w:pPr>
            <w:r>
              <w:rPr>
                <w:rFonts w:hint="eastAsia" w:ascii="宋体" w:hAnsi="宋体"/>
                <w:szCs w:val="21"/>
              </w:rPr>
              <w:t xml:space="preserve">  0.05%</w:t>
            </w:r>
          </w:p>
        </w:tc>
        <w:tc>
          <w:tcPr>
            <w:tcW w:w="978" w:type="pct"/>
            <w:noWrap w:val="0"/>
            <w:vAlign w:val="top"/>
          </w:tcPr>
          <w:p w14:paraId="0A678434">
            <w:pPr>
              <w:spacing w:line="360" w:lineRule="auto"/>
              <w:rPr>
                <w:rFonts w:ascii="宋体" w:hAnsi="宋体"/>
                <w:szCs w:val="21"/>
              </w:rPr>
            </w:pPr>
            <w:r>
              <w:rPr>
                <w:rFonts w:hint="eastAsia" w:ascii="宋体" w:hAnsi="宋体"/>
                <w:szCs w:val="21"/>
              </w:rPr>
              <w:t xml:space="preserve">  0.05%</w:t>
            </w:r>
          </w:p>
        </w:tc>
      </w:tr>
      <w:tr w14:paraId="2A139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8" w:type="pct"/>
            <w:noWrap w:val="0"/>
            <w:vAlign w:val="top"/>
          </w:tcPr>
          <w:p w14:paraId="10976A24">
            <w:pPr>
              <w:spacing w:line="360" w:lineRule="auto"/>
              <w:rPr>
                <w:rFonts w:ascii="宋体" w:hAnsi="宋体"/>
                <w:szCs w:val="21"/>
              </w:rPr>
            </w:pPr>
            <w:r>
              <w:rPr>
                <w:rFonts w:hint="eastAsia" w:ascii="宋体" w:hAnsi="宋体"/>
                <w:szCs w:val="21"/>
              </w:rPr>
              <w:t>5亿元～10亿元</w:t>
            </w:r>
          </w:p>
        </w:tc>
        <w:tc>
          <w:tcPr>
            <w:tcW w:w="979" w:type="pct"/>
            <w:noWrap w:val="0"/>
            <w:vAlign w:val="top"/>
          </w:tcPr>
          <w:p w14:paraId="269296B5">
            <w:pPr>
              <w:spacing w:line="360" w:lineRule="auto"/>
              <w:ind w:firstLine="105" w:firstLineChars="50"/>
              <w:rPr>
                <w:rFonts w:ascii="宋体" w:hAnsi="宋体"/>
                <w:szCs w:val="21"/>
              </w:rPr>
            </w:pPr>
            <w:r>
              <w:rPr>
                <w:rFonts w:hint="eastAsia" w:ascii="宋体" w:hAnsi="宋体"/>
                <w:szCs w:val="21"/>
              </w:rPr>
              <w:t>0.035%</w:t>
            </w:r>
          </w:p>
        </w:tc>
        <w:tc>
          <w:tcPr>
            <w:tcW w:w="995" w:type="pct"/>
            <w:noWrap w:val="0"/>
            <w:vAlign w:val="top"/>
          </w:tcPr>
          <w:p w14:paraId="152D2B84">
            <w:pPr>
              <w:spacing w:line="360" w:lineRule="auto"/>
              <w:rPr>
                <w:rFonts w:ascii="宋体" w:hAnsi="宋体"/>
                <w:szCs w:val="21"/>
              </w:rPr>
            </w:pPr>
            <w:r>
              <w:rPr>
                <w:rFonts w:hint="eastAsia" w:ascii="宋体" w:hAnsi="宋体"/>
                <w:szCs w:val="21"/>
              </w:rPr>
              <w:t xml:space="preserve">  0.035%</w:t>
            </w:r>
          </w:p>
        </w:tc>
        <w:tc>
          <w:tcPr>
            <w:tcW w:w="978" w:type="pct"/>
            <w:noWrap w:val="0"/>
            <w:vAlign w:val="top"/>
          </w:tcPr>
          <w:p w14:paraId="5057F394">
            <w:pPr>
              <w:spacing w:line="360" w:lineRule="auto"/>
              <w:ind w:firstLine="105" w:firstLineChars="50"/>
              <w:rPr>
                <w:rFonts w:ascii="宋体" w:hAnsi="宋体"/>
                <w:szCs w:val="21"/>
              </w:rPr>
            </w:pPr>
            <w:r>
              <w:rPr>
                <w:rFonts w:hint="eastAsia" w:ascii="宋体" w:hAnsi="宋体"/>
                <w:szCs w:val="21"/>
              </w:rPr>
              <w:t>0.035%</w:t>
            </w:r>
          </w:p>
        </w:tc>
      </w:tr>
      <w:tr w14:paraId="003CD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8" w:type="pct"/>
            <w:noWrap w:val="0"/>
            <w:vAlign w:val="top"/>
          </w:tcPr>
          <w:p w14:paraId="095485D9">
            <w:pPr>
              <w:spacing w:line="360" w:lineRule="auto"/>
              <w:rPr>
                <w:rFonts w:ascii="宋体" w:hAnsi="宋体"/>
                <w:szCs w:val="21"/>
              </w:rPr>
            </w:pPr>
            <w:r>
              <w:rPr>
                <w:rFonts w:hint="eastAsia" w:ascii="宋体" w:hAnsi="宋体"/>
                <w:szCs w:val="21"/>
              </w:rPr>
              <w:t>10亿元～50亿元</w:t>
            </w:r>
          </w:p>
        </w:tc>
        <w:tc>
          <w:tcPr>
            <w:tcW w:w="979" w:type="pct"/>
            <w:noWrap w:val="0"/>
            <w:vAlign w:val="top"/>
          </w:tcPr>
          <w:p w14:paraId="69BD2627">
            <w:pPr>
              <w:spacing w:line="360" w:lineRule="auto"/>
              <w:ind w:firstLine="105" w:firstLineChars="50"/>
              <w:rPr>
                <w:rFonts w:ascii="宋体" w:hAnsi="宋体"/>
                <w:szCs w:val="21"/>
              </w:rPr>
            </w:pPr>
            <w:r>
              <w:rPr>
                <w:rFonts w:hint="eastAsia" w:ascii="宋体" w:hAnsi="宋体"/>
                <w:szCs w:val="21"/>
              </w:rPr>
              <w:t>0.008%</w:t>
            </w:r>
          </w:p>
        </w:tc>
        <w:tc>
          <w:tcPr>
            <w:tcW w:w="995" w:type="pct"/>
            <w:noWrap w:val="0"/>
            <w:vAlign w:val="top"/>
          </w:tcPr>
          <w:p w14:paraId="7CCB45F0">
            <w:pPr>
              <w:spacing w:line="360" w:lineRule="auto"/>
              <w:ind w:firstLine="210" w:firstLineChars="100"/>
              <w:rPr>
                <w:rFonts w:ascii="宋体" w:hAnsi="宋体"/>
                <w:szCs w:val="21"/>
              </w:rPr>
            </w:pPr>
            <w:r>
              <w:rPr>
                <w:rFonts w:hint="eastAsia" w:ascii="宋体" w:hAnsi="宋体"/>
                <w:szCs w:val="21"/>
              </w:rPr>
              <w:t>0.008%</w:t>
            </w:r>
          </w:p>
        </w:tc>
        <w:tc>
          <w:tcPr>
            <w:tcW w:w="978" w:type="pct"/>
            <w:noWrap w:val="0"/>
            <w:vAlign w:val="top"/>
          </w:tcPr>
          <w:p w14:paraId="035EA0A3">
            <w:pPr>
              <w:spacing w:line="360" w:lineRule="auto"/>
              <w:ind w:firstLine="105" w:firstLineChars="50"/>
              <w:rPr>
                <w:rFonts w:ascii="宋体" w:hAnsi="宋体"/>
                <w:szCs w:val="21"/>
              </w:rPr>
            </w:pPr>
            <w:r>
              <w:rPr>
                <w:rFonts w:hint="eastAsia" w:ascii="宋体" w:hAnsi="宋体"/>
                <w:szCs w:val="21"/>
              </w:rPr>
              <w:t>0.008%</w:t>
            </w:r>
          </w:p>
        </w:tc>
      </w:tr>
      <w:tr w14:paraId="24E94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8" w:type="pct"/>
            <w:noWrap w:val="0"/>
            <w:vAlign w:val="top"/>
          </w:tcPr>
          <w:p w14:paraId="6172CD7B">
            <w:pPr>
              <w:spacing w:line="360" w:lineRule="auto"/>
              <w:rPr>
                <w:rFonts w:ascii="宋体" w:hAnsi="宋体"/>
                <w:szCs w:val="21"/>
              </w:rPr>
            </w:pPr>
            <w:r>
              <w:rPr>
                <w:rFonts w:hint="eastAsia" w:ascii="宋体" w:hAnsi="宋体"/>
                <w:szCs w:val="21"/>
              </w:rPr>
              <w:t>50亿元～100亿元</w:t>
            </w:r>
          </w:p>
        </w:tc>
        <w:tc>
          <w:tcPr>
            <w:tcW w:w="979" w:type="pct"/>
            <w:noWrap w:val="0"/>
            <w:vAlign w:val="top"/>
          </w:tcPr>
          <w:p w14:paraId="6B11197F">
            <w:pPr>
              <w:spacing w:line="360" w:lineRule="auto"/>
              <w:rPr>
                <w:rFonts w:ascii="宋体" w:hAnsi="宋体"/>
                <w:szCs w:val="21"/>
              </w:rPr>
            </w:pPr>
            <w:r>
              <w:rPr>
                <w:rFonts w:hint="eastAsia" w:ascii="宋体" w:hAnsi="宋体"/>
                <w:szCs w:val="21"/>
              </w:rPr>
              <w:t xml:space="preserve"> 0.006%</w:t>
            </w:r>
          </w:p>
        </w:tc>
        <w:tc>
          <w:tcPr>
            <w:tcW w:w="995" w:type="pct"/>
            <w:noWrap w:val="0"/>
            <w:vAlign w:val="top"/>
          </w:tcPr>
          <w:p w14:paraId="31ABD37A">
            <w:pPr>
              <w:spacing w:line="360" w:lineRule="auto"/>
              <w:ind w:firstLine="210" w:firstLineChars="100"/>
              <w:rPr>
                <w:rFonts w:ascii="宋体" w:hAnsi="宋体"/>
                <w:szCs w:val="21"/>
              </w:rPr>
            </w:pPr>
            <w:r>
              <w:rPr>
                <w:rFonts w:hint="eastAsia" w:ascii="宋体" w:hAnsi="宋体"/>
                <w:szCs w:val="21"/>
              </w:rPr>
              <w:t>0.006%</w:t>
            </w:r>
          </w:p>
        </w:tc>
        <w:tc>
          <w:tcPr>
            <w:tcW w:w="978" w:type="pct"/>
            <w:noWrap w:val="0"/>
            <w:vAlign w:val="top"/>
          </w:tcPr>
          <w:p w14:paraId="35F0A822">
            <w:pPr>
              <w:spacing w:line="360" w:lineRule="auto"/>
              <w:ind w:firstLine="105" w:firstLineChars="50"/>
              <w:rPr>
                <w:rFonts w:ascii="宋体" w:hAnsi="宋体"/>
                <w:szCs w:val="21"/>
              </w:rPr>
            </w:pPr>
            <w:r>
              <w:rPr>
                <w:rFonts w:hint="eastAsia" w:ascii="宋体" w:hAnsi="宋体"/>
                <w:szCs w:val="21"/>
              </w:rPr>
              <w:t>0.006%</w:t>
            </w:r>
          </w:p>
        </w:tc>
      </w:tr>
      <w:tr w14:paraId="4B485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8" w:type="pct"/>
            <w:noWrap w:val="0"/>
            <w:vAlign w:val="top"/>
          </w:tcPr>
          <w:p w14:paraId="0E452088">
            <w:pPr>
              <w:spacing w:line="360" w:lineRule="auto"/>
              <w:rPr>
                <w:rFonts w:ascii="宋体" w:hAnsi="宋体"/>
                <w:szCs w:val="21"/>
              </w:rPr>
            </w:pPr>
            <w:r>
              <w:rPr>
                <w:rFonts w:hint="eastAsia" w:ascii="宋体" w:hAnsi="宋体"/>
                <w:szCs w:val="21"/>
              </w:rPr>
              <w:t>100亿元以上</w:t>
            </w:r>
          </w:p>
        </w:tc>
        <w:tc>
          <w:tcPr>
            <w:tcW w:w="979" w:type="pct"/>
            <w:noWrap w:val="0"/>
            <w:vAlign w:val="top"/>
          </w:tcPr>
          <w:p w14:paraId="52A4C442">
            <w:pPr>
              <w:spacing w:line="360" w:lineRule="auto"/>
              <w:rPr>
                <w:rFonts w:ascii="宋体" w:hAnsi="宋体"/>
                <w:szCs w:val="21"/>
              </w:rPr>
            </w:pPr>
            <w:r>
              <w:rPr>
                <w:rFonts w:hint="eastAsia" w:ascii="宋体" w:hAnsi="宋体"/>
                <w:szCs w:val="21"/>
              </w:rPr>
              <w:t xml:space="preserve"> 0.004%</w:t>
            </w:r>
          </w:p>
        </w:tc>
        <w:tc>
          <w:tcPr>
            <w:tcW w:w="995" w:type="pct"/>
            <w:noWrap w:val="0"/>
            <w:vAlign w:val="top"/>
          </w:tcPr>
          <w:p w14:paraId="1CC7E2C4">
            <w:pPr>
              <w:spacing w:line="360" w:lineRule="auto"/>
              <w:ind w:firstLine="210" w:firstLineChars="100"/>
              <w:rPr>
                <w:rFonts w:ascii="宋体" w:hAnsi="宋体"/>
                <w:szCs w:val="21"/>
              </w:rPr>
            </w:pPr>
            <w:r>
              <w:rPr>
                <w:rFonts w:hint="eastAsia" w:ascii="宋体" w:hAnsi="宋体"/>
                <w:szCs w:val="21"/>
              </w:rPr>
              <w:t>0.004%</w:t>
            </w:r>
          </w:p>
        </w:tc>
        <w:tc>
          <w:tcPr>
            <w:tcW w:w="978" w:type="pct"/>
            <w:noWrap w:val="0"/>
            <w:vAlign w:val="top"/>
          </w:tcPr>
          <w:p w14:paraId="4374BBE7">
            <w:pPr>
              <w:spacing w:line="360" w:lineRule="auto"/>
              <w:ind w:firstLine="105" w:firstLineChars="50"/>
              <w:rPr>
                <w:rFonts w:ascii="宋体" w:hAnsi="宋体"/>
                <w:szCs w:val="21"/>
              </w:rPr>
            </w:pPr>
            <w:r>
              <w:rPr>
                <w:rFonts w:hint="eastAsia" w:ascii="宋体" w:hAnsi="宋体"/>
                <w:szCs w:val="21"/>
              </w:rPr>
              <w:t>0.004%</w:t>
            </w:r>
          </w:p>
        </w:tc>
      </w:tr>
    </w:tbl>
    <w:p w14:paraId="6D670681">
      <w:pPr>
        <w:pStyle w:val="25"/>
        <w:spacing w:before="120" w:after="120" w:line="400" w:lineRule="exact"/>
        <w:ind w:firstLine="420" w:firstLineChars="200"/>
        <w:contextualSpacing/>
        <w:rPr>
          <w:rFonts w:hAnsi="宋体" w:cs="宋体"/>
          <w:sz w:val="21"/>
        </w:rPr>
      </w:pPr>
      <w:r>
        <w:rPr>
          <w:rFonts w:hint="eastAsia" w:hAnsi="宋体" w:cs="宋体"/>
          <w:sz w:val="21"/>
        </w:rPr>
        <w:t>注：</w:t>
      </w:r>
      <w:r>
        <w:rPr>
          <w:rFonts w:hAnsi="宋体" w:cs="宋体"/>
          <w:sz w:val="21"/>
        </w:rPr>
        <w:t xml:space="preserve"> </w:t>
      </w:r>
    </w:p>
    <w:p w14:paraId="04A1AA50">
      <w:pPr>
        <w:pStyle w:val="25"/>
        <w:spacing w:before="120" w:after="120" w:line="400" w:lineRule="exact"/>
        <w:ind w:firstLine="420" w:firstLineChars="200"/>
        <w:contextualSpacing/>
        <w:rPr>
          <w:rFonts w:hAnsi="宋体" w:cs="宋体"/>
          <w:sz w:val="21"/>
        </w:rPr>
      </w:pPr>
      <w:r>
        <w:rPr>
          <w:rFonts w:hint="eastAsia" w:hAnsi="宋体" w:cs="宋体"/>
          <w:sz w:val="21"/>
        </w:rPr>
        <w:t>（1）</w:t>
      </w:r>
      <w:r>
        <w:rPr>
          <w:rFonts w:hAnsi="宋体" w:cs="宋体"/>
          <w:sz w:val="21"/>
        </w:rPr>
        <w:t>按本表费率计算的收费为</w:t>
      </w:r>
      <w:r>
        <w:rPr>
          <w:rFonts w:hint="eastAsia" w:hAnsi="宋体" w:cs="宋体"/>
          <w:sz w:val="21"/>
        </w:rPr>
        <w:t>采购</w:t>
      </w:r>
      <w:r>
        <w:rPr>
          <w:rFonts w:hAnsi="宋体" w:cs="宋体"/>
          <w:sz w:val="21"/>
        </w:rPr>
        <w:t>代理的收费基准价格</w:t>
      </w:r>
      <w:r>
        <w:rPr>
          <w:rFonts w:hint="eastAsia" w:hAnsi="宋体" w:cs="宋体"/>
          <w:sz w:val="21"/>
        </w:rPr>
        <w:t>；</w:t>
      </w:r>
    </w:p>
    <w:p w14:paraId="339E8566">
      <w:pPr>
        <w:pStyle w:val="25"/>
        <w:spacing w:before="120" w:after="120" w:line="400" w:lineRule="exact"/>
        <w:ind w:firstLine="420" w:firstLineChars="200"/>
        <w:contextualSpacing/>
        <w:rPr>
          <w:rFonts w:hAnsi="宋体" w:cs="宋体"/>
          <w:sz w:val="21"/>
        </w:rPr>
      </w:pPr>
      <w:r>
        <w:rPr>
          <w:rFonts w:hint="eastAsia" w:hAnsi="宋体" w:cs="宋体"/>
          <w:sz w:val="21"/>
        </w:rPr>
        <w:t>（2）采购</w:t>
      </w:r>
      <w:r>
        <w:rPr>
          <w:rFonts w:hAnsi="宋体" w:cs="宋体"/>
          <w:sz w:val="21"/>
        </w:rPr>
        <w:t>代理收费按差额定率累进法计算。</w:t>
      </w:r>
    </w:p>
    <w:p w14:paraId="31AB7736">
      <w:pPr>
        <w:pStyle w:val="25"/>
        <w:spacing w:before="120" w:after="120" w:line="400" w:lineRule="exact"/>
        <w:ind w:firstLine="420" w:firstLineChars="200"/>
        <w:contextualSpacing/>
        <w:rPr>
          <w:rFonts w:hint="eastAsia" w:hAnsi="宋体" w:cs="宋体"/>
          <w:sz w:val="21"/>
        </w:rPr>
      </w:pPr>
      <w:r>
        <w:rPr>
          <w:rFonts w:hint="eastAsia" w:hAnsi="宋体" w:cs="宋体"/>
          <w:sz w:val="21"/>
        </w:rPr>
        <w:t>例如：某服务采购代理业务中标金额或者暂定价为200万元，计算采购代理收费额如下：</w:t>
      </w:r>
    </w:p>
    <w:p w14:paraId="276392CF">
      <w:pPr>
        <w:pStyle w:val="25"/>
        <w:spacing w:before="120" w:after="120" w:line="400" w:lineRule="exact"/>
        <w:ind w:firstLine="420" w:firstLineChars="200"/>
        <w:contextualSpacing/>
        <w:rPr>
          <w:rFonts w:hint="eastAsia" w:hAnsi="宋体" w:cs="宋体"/>
          <w:sz w:val="21"/>
        </w:rPr>
      </w:pPr>
      <w:r>
        <w:rPr>
          <w:rFonts w:hint="eastAsia" w:hAnsi="宋体" w:cs="宋体"/>
          <w:sz w:val="21"/>
        </w:rPr>
        <w:t>100 万元×l.5 %＝ 1.5 万元</w:t>
      </w:r>
    </w:p>
    <w:p w14:paraId="63AAA56A">
      <w:pPr>
        <w:pStyle w:val="25"/>
        <w:spacing w:before="120" w:after="120" w:line="400" w:lineRule="exact"/>
        <w:ind w:firstLine="420" w:firstLineChars="200"/>
        <w:contextualSpacing/>
        <w:rPr>
          <w:rFonts w:hint="eastAsia" w:hAnsi="宋体" w:cs="宋体"/>
          <w:sz w:val="21"/>
        </w:rPr>
      </w:pPr>
      <w:r>
        <w:rPr>
          <w:rFonts w:hint="eastAsia" w:hAnsi="宋体" w:cs="宋体"/>
          <w:sz w:val="21"/>
        </w:rPr>
        <w:t>（ 200 － 100 ）万元 ×0.8%＝0.8万元</w:t>
      </w:r>
    </w:p>
    <w:p w14:paraId="04232085">
      <w:pPr>
        <w:pStyle w:val="25"/>
        <w:spacing w:before="120" w:after="120" w:line="400" w:lineRule="exact"/>
        <w:ind w:firstLine="420" w:firstLineChars="200"/>
        <w:contextualSpacing/>
        <w:rPr>
          <w:rFonts w:hAnsi="宋体" w:cs="宋体"/>
          <w:sz w:val="21"/>
        </w:rPr>
      </w:pPr>
      <w:r>
        <w:rPr>
          <w:rFonts w:hint="eastAsia" w:hAnsi="宋体" w:cs="宋体"/>
          <w:sz w:val="21"/>
        </w:rPr>
        <w:t>合计收费＝ 1.5+0.8＝ 2.3（万元）</w:t>
      </w:r>
    </w:p>
    <w:p w14:paraId="56E7D803">
      <w:pPr>
        <w:pStyle w:val="6"/>
        <w:keepNext w:val="0"/>
        <w:keepLines w:val="0"/>
        <w:spacing w:before="0" w:after="0" w:line="400" w:lineRule="exact"/>
        <w:ind w:left="420" w:leftChars="200"/>
        <w:rPr>
          <w:rFonts w:ascii="黑体" w:hAnsi="黑体" w:eastAsia="黑体"/>
          <w:sz w:val="24"/>
        </w:rPr>
      </w:pPr>
      <w:r>
        <w:rPr>
          <w:rFonts w:ascii="黑体" w:hAnsi="黑体" w:eastAsia="黑体"/>
          <w:sz w:val="24"/>
        </w:rPr>
        <w:t>40. 需要补充的其他内容</w:t>
      </w:r>
    </w:p>
    <w:p w14:paraId="087259F1">
      <w:pPr>
        <w:pStyle w:val="25"/>
        <w:spacing w:before="120" w:after="120" w:line="400" w:lineRule="exact"/>
        <w:ind w:firstLine="420" w:firstLineChars="200"/>
        <w:contextualSpacing/>
        <w:rPr>
          <w:rFonts w:hint="eastAsia" w:hAnsi="宋体" w:cs="宋体"/>
          <w:sz w:val="21"/>
        </w:rPr>
      </w:pPr>
      <w:r>
        <w:rPr>
          <w:rFonts w:hint="eastAsia" w:hAnsi="宋体" w:cs="宋体"/>
          <w:sz w:val="21"/>
        </w:rPr>
        <w:t>40.1本招标文件解释规则详见“投标人须知前附表”。</w:t>
      </w:r>
    </w:p>
    <w:p w14:paraId="325EE6BC">
      <w:pPr>
        <w:pStyle w:val="25"/>
        <w:spacing w:before="120" w:after="120" w:line="400" w:lineRule="exact"/>
        <w:ind w:firstLine="420" w:firstLineChars="200"/>
        <w:contextualSpacing/>
        <w:rPr>
          <w:rFonts w:hint="eastAsia" w:hAnsi="宋体" w:cs="宋体"/>
          <w:sz w:val="21"/>
        </w:rPr>
      </w:pPr>
      <w:r>
        <w:rPr>
          <w:rFonts w:hint="eastAsia" w:hAnsi="宋体" w:cs="宋体"/>
          <w:sz w:val="21"/>
        </w:rPr>
        <w:t>40.2 其他事项详见“投标人须知前附表”。</w:t>
      </w:r>
    </w:p>
    <w:p w14:paraId="63A03052">
      <w:pPr>
        <w:pStyle w:val="25"/>
        <w:spacing w:before="120" w:after="120" w:line="400" w:lineRule="exact"/>
        <w:ind w:firstLine="420" w:firstLineChars="200"/>
        <w:contextualSpacing/>
        <w:rPr>
          <w:rFonts w:hint="eastAsia" w:hAnsi="宋体" w:cs="宋体"/>
          <w:sz w:val="21"/>
        </w:rPr>
      </w:pPr>
      <w:r>
        <w:rPr>
          <w:rFonts w:hint="eastAsia" w:hAnsi="宋体" w:cs="宋体"/>
          <w:sz w:val="21"/>
        </w:rPr>
        <w:t>40.3</w:t>
      </w:r>
      <w:bookmarkStart w:id="169" w:name="_Hlk65857140"/>
      <w:r>
        <w:rPr>
          <w:rFonts w:hint="eastAsia" w:hAnsi="宋体" w:cs="宋体"/>
          <w:sz w:val="21"/>
        </w:rPr>
        <w:t>本招标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招标文件规定的中小企业扶持政策：</w:t>
      </w:r>
    </w:p>
    <w:p w14:paraId="1F5D95E3">
      <w:pPr>
        <w:pStyle w:val="25"/>
        <w:spacing w:before="120" w:after="120" w:line="400" w:lineRule="exact"/>
        <w:ind w:firstLine="420" w:firstLineChars="200"/>
        <w:contextualSpacing/>
        <w:rPr>
          <w:rFonts w:hint="eastAsia" w:hAnsi="宋体" w:cs="宋体"/>
          <w:sz w:val="21"/>
        </w:rPr>
      </w:pPr>
      <w:r>
        <w:rPr>
          <w:rFonts w:hint="eastAsia" w:hAnsi="宋体" w:cs="宋体"/>
          <w:sz w:val="21"/>
        </w:rPr>
        <w:t>（1）在货物采购项目中，货物由中小企业制造，即货物由中小企业生产且使用该中小企业商号或者注册商标，不对其中涉及的工程承建商和服务的承接商作出要求；</w:t>
      </w:r>
    </w:p>
    <w:p w14:paraId="0EE90232">
      <w:pPr>
        <w:pStyle w:val="25"/>
        <w:spacing w:before="120" w:after="120" w:line="400" w:lineRule="exact"/>
        <w:ind w:firstLine="420" w:firstLineChars="200"/>
        <w:contextualSpacing/>
        <w:rPr>
          <w:rFonts w:hint="eastAsia" w:hAnsi="宋体" w:cs="宋体"/>
          <w:sz w:val="21"/>
        </w:rPr>
      </w:pPr>
      <w:r>
        <w:rPr>
          <w:rFonts w:hint="eastAsia" w:hAnsi="宋体" w:cs="宋体"/>
          <w:sz w:val="21"/>
        </w:rPr>
        <w:t>（2）在工程采购项目中，工程由中小企业承建，即工程施工单位为中小企业，不对其中涉及的货物的制造商和服务的承接商作出要求；</w:t>
      </w:r>
    </w:p>
    <w:p w14:paraId="7EB3B09B">
      <w:pPr>
        <w:pStyle w:val="25"/>
        <w:spacing w:before="120" w:after="120" w:line="400" w:lineRule="exact"/>
        <w:ind w:firstLine="420" w:firstLineChars="200"/>
        <w:contextualSpacing/>
        <w:rPr>
          <w:rFonts w:hint="eastAsia" w:hAnsi="宋体" w:cs="宋体"/>
          <w:sz w:val="21"/>
        </w:rPr>
      </w:pPr>
      <w:r>
        <w:rPr>
          <w:rFonts w:hint="eastAsia" w:hAnsi="宋体" w:cs="宋体"/>
          <w:sz w:val="21"/>
        </w:rPr>
        <w:t>（3）在服务采购项目中，服务由中小企业承接，即提供服务的人员为中小企业依照《中华人民共和国劳动合同法》订立劳动合同的从业人员，不对其中涉及的货物的制造商和工程承建商作出要求。</w:t>
      </w:r>
    </w:p>
    <w:p w14:paraId="5DF83CC7">
      <w:pPr>
        <w:pStyle w:val="25"/>
        <w:spacing w:before="120" w:after="120" w:line="400" w:lineRule="exact"/>
        <w:ind w:firstLine="420" w:firstLineChars="200"/>
        <w:contextualSpacing/>
        <w:rPr>
          <w:rFonts w:hint="eastAsia" w:hAnsi="宋体" w:cs="宋体"/>
          <w:sz w:val="21"/>
        </w:rPr>
      </w:pPr>
      <w:r>
        <w:rPr>
          <w:rFonts w:hint="eastAsia" w:hAnsi="宋体" w:cs="宋体"/>
          <w:sz w:val="21"/>
        </w:rPr>
        <w:t>在货物采购项目中，供应商提供的货物既有中小企业制造货物，也有大型企业制造货物的，不享受本招标文件规定的中小企业扶持政策。以联合体形式参加政府采购活动，联合体各方均为中小企业的，联合体视同中小企业。其中，联合体各方均为小微企业的，联合体视同小微企业。</w:t>
      </w:r>
    </w:p>
    <w:p w14:paraId="59F15EE0">
      <w:pPr>
        <w:pStyle w:val="25"/>
        <w:spacing w:before="120" w:after="120" w:line="400" w:lineRule="exact"/>
        <w:ind w:firstLine="420" w:firstLineChars="200"/>
        <w:contextualSpacing/>
        <w:rPr>
          <w:rFonts w:hint="eastAsia" w:hAnsi="宋体" w:cs="宋体"/>
          <w:sz w:val="21"/>
        </w:rPr>
      </w:pPr>
      <w:r>
        <w:rPr>
          <w:rFonts w:hint="eastAsia" w:hAnsi="宋体" w:cs="宋体"/>
          <w:sz w:val="21"/>
        </w:rPr>
        <w:t>依据本招标文件规定享受扶持政策获得政府采购合同的，小微企业不得将合同分包给大中型企业，中型企业不得将合同分包给大型企业。</w:t>
      </w:r>
      <w:bookmarkEnd w:id="169"/>
    </w:p>
    <w:p w14:paraId="5160A988">
      <w:pPr>
        <w:pStyle w:val="25"/>
        <w:spacing w:line="360" w:lineRule="auto"/>
        <w:ind w:firstLine="420" w:firstLineChars="200"/>
        <w:rPr>
          <w:rFonts w:hAnsi="宋体"/>
          <w:sz w:val="21"/>
        </w:rPr>
      </w:pPr>
    </w:p>
    <w:p w14:paraId="480A9339">
      <w:pPr>
        <w:pStyle w:val="25"/>
        <w:spacing w:line="360" w:lineRule="auto"/>
        <w:ind w:firstLine="420" w:firstLineChars="200"/>
        <w:rPr>
          <w:rFonts w:hAnsi="宋体"/>
          <w:sz w:val="21"/>
        </w:rPr>
      </w:pPr>
    </w:p>
    <w:p w14:paraId="4C424FE8">
      <w:pPr>
        <w:pStyle w:val="25"/>
        <w:snapToGrid w:val="0"/>
        <w:spacing w:line="360" w:lineRule="auto"/>
        <w:rPr>
          <w:rFonts w:hint="eastAsia" w:hAnsi="宋体"/>
        </w:rPr>
      </w:pPr>
      <w:r>
        <w:rPr>
          <w:rFonts w:hAnsi="宋体"/>
          <w:sz w:val="21"/>
        </w:rPr>
        <w:br w:type="page"/>
      </w:r>
      <w:r>
        <w:rPr>
          <w:rFonts w:hint="eastAsia" w:ascii="黑体" w:hAnsi="黑体" w:eastAsia="黑体" w:cs="黑体"/>
          <w:bCs/>
          <w:sz w:val="32"/>
          <w:szCs w:val="32"/>
        </w:rPr>
        <w:t>附件1：</w:t>
      </w:r>
    </w:p>
    <w:p w14:paraId="37E5A960">
      <w:pPr>
        <w:widowControl/>
        <w:shd w:val="clear" w:color="auto" w:fill="FFFFFF"/>
        <w:spacing w:line="480" w:lineRule="atLeast"/>
        <w:jc w:val="center"/>
        <w:rPr>
          <w:rFonts w:hint="eastAsia" w:ascii="仿宋" w:hAnsi="仿宋" w:eastAsia="仿宋" w:cs="宋体"/>
          <w:kern w:val="0"/>
          <w:sz w:val="32"/>
          <w:szCs w:val="32"/>
        </w:rPr>
      </w:pPr>
      <w:r>
        <w:rPr>
          <w:rFonts w:hint="eastAsia" w:ascii="宋体" w:hAnsi="宋体" w:cs="宋体"/>
          <w:b/>
          <w:bCs/>
          <w:kern w:val="0"/>
          <w:sz w:val="32"/>
          <w:szCs w:val="32"/>
        </w:rPr>
        <w:t>广西壮族自治区政府采购项目合同验收书（格式）</w:t>
      </w:r>
    </w:p>
    <w:p w14:paraId="4FC02FFF">
      <w:pPr>
        <w:widowControl/>
        <w:shd w:val="clear" w:color="auto" w:fill="FFFFFF"/>
        <w:spacing w:line="480" w:lineRule="atLeast"/>
        <w:jc w:val="center"/>
        <w:rPr>
          <w:rFonts w:hint="eastAsia" w:ascii="仿宋" w:hAnsi="仿宋" w:eastAsia="仿宋" w:cs="宋体"/>
          <w:kern w:val="0"/>
          <w:sz w:val="32"/>
          <w:szCs w:val="32"/>
        </w:rPr>
      </w:pPr>
    </w:p>
    <w:p w14:paraId="09E038B5">
      <w:pPr>
        <w:widowControl/>
        <w:shd w:val="clear" w:color="auto" w:fill="FFFFFF"/>
        <w:snapToGrid w:val="0"/>
        <w:spacing w:line="320" w:lineRule="atLeast"/>
        <w:ind w:firstLine="480"/>
        <w:jc w:val="left"/>
        <w:rPr>
          <w:rFonts w:hint="eastAsia" w:ascii="宋体" w:hAnsi="宋体" w:cs="宋体"/>
          <w:kern w:val="0"/>
          <w:szCs w:val="21"/>
        </w:rPr>
      </w:pPr>
      <w:r>
        <w:rPr>
          <w:rFonts w:hint="eastAsia" w:ascii="宋体" w:hAnsi="宋体" w:cs="宋体"/>
          <w:kern w:val="0"/>
          <w:szCs w:val="21"/>
        </w:rPr>
        <w:t>根据政府采购项目（</w:t>
      </w:r>
      <w:r>
        <w:rPr>
          <w:rFonts w:hint="eastAsia" w:ascii="宋体" w:hAnsi="宋体" w:cs="宋体"/>
          <w:kern w:val="0"/>
          <w:szCs w:val="21"/>
          <w:u w:val="single"/>
        </w:rPr>
        <w:t>采购合同编号：</w:t>
      </w:r>
      <w:r>
        <w:rPr>
          <w:rFonts w:hint="eastAsia" w:ascii="宋体" w:hAnsi="宋体" w:cs="宋体"/>
          <w:kern w:val="0"/>
          <w:szCs w:val="21"/>
          <w:u w:val="single"/>
        </w:rPr>
        <w:softHyphen/>
      </w:r>
      <w:r>
        <w:rPr>
          <w:rFonts w:hint="eastAsia" w:ascii="宋体" w:hAnsi="宋体" w:cs="宋体"/>
          <w:kern w:val="0"/>
          <w:szCs w:val="21"/>
          <w:u w:val="single"/>
        </w:rPr>
        <w:t xml:space="preserve"> </w:t>
      </w:r>
      <w:r>
        <w:rPr>
          <w:rFonts w:hint="eastAsia" w:ascii="宋体" w:hAnsi="宋体" w:cs="宋体"/>
          <w:kern w:val="0"/>
          <w:szCs w:val="21"/>
        </w:rPr>
        <w:t>）的约定，我单位对（</w:t>
      </w:r>
      <w:r>
        <w:rPr>
          <w:rFonts w:hint="eastAsia" w:ascii="宋体" w:hAnsi="宋体" w:cs="宋体"/>
          <w:kern w:val="0"/>
          <w:szCs w:val="21"/>
          <w:u w:val="single"/>
        </w:rPr>
        <w:t xml:space="preserve"> 项目名称 </w:t>
      </w:r>
      <w:r>
        <w:rPr>
          <w:rFonts w:hint="eastAsia" w:ascii="宋体" w:hAnsi="宋体" w:cs="宋体"/>
          <w:kern w:val="0"/>
          <w:szCs w:val="21"/>
        </w:rPr>
        <w:t>） 政府采购项目中标（或成交）供应商</w:t>
      </w:r>
      <w:r>
        <w:rPr>
          <w:rFonts w:hint="eastAsia" w:ascii="宋体" w:hAnsi="宋体" w:cs="宋体"/>
          <w:kern w:val="0"/>
          <w:szCs w:val="21"/>
          <w:u w:val="single"/>
        </w:rPr>
        <w:t xml:space="preserve"> </w:t>
      </w:r>
      <w:r>
        <w:rPr>
          <w:rFonts w:ascii="宋体" w:hAnsi="宋体" w:cs="宋体"/>
          <w:kern w:val="0"/>
          <w:szCs w:val="21"/>
          <w:u w:val="single"/>
        </w:rPr>
        <w:t xml:space="preserve">  </w:t>
      </w:r>
      <w:r>
        <w:rPr>
          <w:rFonts w:hint="eastAsia" w:ascii="宋体" w:hAnsi="宋体" w:cs="宋体"/>
          <w:kern w:val="0"/>
          <w:szCs w:val="21"/>
          <w:u w:val="single"/>
        </w:rPr>
        <w:t xml:space="preserve">（ 公司名称 </w:t>
      </w:r>
      <w:r>
        <w:rPr>
          <w:rFonts w:hint="eastAsia" w:ascii="宋体" w:hAnsi="宋体" w:cs="宋体"/>
          <w:kern w:val="0"/>
          <w:szCs w:val="21"/>
        </w:rPr>
        <w:t>）提供的货物（或者工程、服务）进行了验收，验收情况如下：</w:t>
      </w:r>
    </w:p>
    <w:tbl>
      <w:tblPr>
        <w:tblStyle w:val="50"/>
        <w:tblW w:w="5000" w:type="pct"/>
        <w:jc w:val="center"/>
        <w:tblLayout w:type="autofit"/>
        <w:tblCellMar>
          <w:top w:w="0" w:type="dxa"/>
          <w:left w:w="0" w:type="dxa"/>
          <w:bottom w:w="0" w:type="dxa"/>
          <w:right w:w="0" w:type="dxa"/>
        </w:tblCellMar>
      </w:tblPr>
      <w:tblGrid>
        <w:gridCol w:w="792"/>
        <w:gridCol w:w="813"/>
        <w:gridCol w:w="1600"/>
        <w:gridCol w:w="786"/>
        <w:gridCol w:w="102"/>
        <w:gridCol w:w="1975"/>
        <w:gridCol w:w="173"/>
        <w:gridCol w:w="678"/>
        <w:gridCol w:w="1407"/>
      </w:tblGrid>
      <w:tr w14:paraId="2529D31D">
        <w:tblPrEx>
          <w:tblCellMar>
            <w:top w:w="0" w:type="dxa"/>
            <w:left w:w="0" w:type="dxa"/>
            <w:bottom w:w="0" w:type="dxa"/>
            <w:right w:w="0" w:type="dxa"/>
          </w:tblCellMar>
        </w:tblPrEx>
        <w:trPr>
          <w:trHeight w:val="497" w:hRule="atLeast"/>
          <w:jc w:val="center"/>
        </w:trPr>
        <w:tc>
          <w:tcPr>
            <w:tcW w:w="1925" w:type="pct"/>
            <w:gridSpan w:val="3"/>
            <w:tcBorders>
              <w:top w:val="single" w:color="auto" w:sz="8" w:space="0"/>
              <w:left w:val="single" w:color="auto" w:sz="8" w:space="0"/>
              <w:bottom w:val="single" w:color="auto" w:sz="8" w:space="0"/>
              <w:right w:val="single" w:color="auto" w:sz="8" w:space="0"/>
            </w:tcBorders>
            <w:noWrap w:val="0"/>
            <w:vAlign w:val="center"/>
          </w:tcPr>
          <w:p w14:paraId="40330885">
            <w:pPr>
              <w:widowControl/>
              <w:snapToGrid w:val="0"/>
              <w:spacing w:before="100" w:beforeAutospacing="1" w:after="100" w:afterAutospacing="1" w:line="320" w:lineRule="atLeast"/>
              <w:ind w:firstLine="5"/>
              <w:jc w:val="center"/>
              <w:rPr>
                <w:rFonts w:ascii="宋体" w:hAnsi="宋体" w:cs="宋体"/>
                <w:kern w:val="0"/>
                <w:szCs w:val="21"/>
              </w:rPr>
            </w:pPr>
            <w:r>
              <w:rPr>
                <w:rFonts w:ascii="宋体" w:hAnsi="宋体" w:cs="宋体"/>
                <w:kern w:val="0"/>
                <w:szCs w:val="21"/>
              </w:rPr>
              <w:t>验收方式：</w:t>
            </w:r>
          </w:p>
        </w:tc>
        <w:tc>
          <w:tcPr>
            <w:tcW w:w="3075" w:type="pct"/>
            <w:gridSpan w:val="6"/>
            <w:tcBorders>
              <w:top w:val="single" w:color="auto" w:sz="8" w:space="0"/>
              <w:left w:val="nil"/>
              <w:bottom w:val="single" w:color="auto" w:sz="8" w:space="0"/>
              <w:right w:val="single" w:color="auto" w:sz="8" w:space="0"/>
            </w:tcBorders>
            <w:noWrap w:val="0"/>
            <w:vAlign w:val="center"/>
          </w:tcPr>
          <w:p w14:paraId="174A6CEC">
            <w:pPr>
              <w:widowControl/>
              <w:snapToGrid w:val="0"/>
              <w:spacing w:before="100" w:beforeAutospacing="1" w:after="100" w:afterAutospacing="1" w:line="320" w:lineRule="atLeast"/>
              <w:jc w:val="center"/>
              <w:rPr>
                <w:rFonts w:ascii="宋体" w:hAnsi="宋体" w:cs="宋体"/>
                <w:kern w:val="0"/>
                <w:szCs w:val="21"/>
              </w:rPr>
            </w:pPr>
            <w:r>
              <w:rPr>
                <w:rFonts w:ascii="宋体" w:hAnsi="宋体" w:cs="宋体"/>
                <w:kern w:val="0"/>
                <w:szCs w:val="21"/>
              </w:rPr>
              <w:t>□自行验收     □委托验收</w:t>
            </w:r>
          </w:p>
        </w:tc>
      </w:tr>
      <w:tr w14:paraId="4F865C8E">
        <w:tblPrEx>
          <w:tblCellMar>
            <w:top w:w="0" w:type="dxa"/>
            <w:left w:w="0" w:type="dxa"/>
            <w:bottom w:w="0" w:type="dxa"/>
            <w:right w:w="0" w:type="dxa"/>
          </w:tblCellMar>
        </w:tblPrEx>
        <w:trPr>
          <w:trHeight w:val="622" w:hRule="atLeast"/>
          <w:jc w:val="center"/>
        </w:trPr>
        <w:tc>
          <w:tcPr>
            <w:tcW w:w="476" w:type="pct"/>
            <w:tcBorders>
              <w:top w:val="nil"/>
              <w:left w:val="single" w:color="auto" w:sz="8" w:space="0"/>
              <w:bottom w:val="single" w:color="auto" w:sz="8" w:space="0"/>
              <w:right w:val="single" w:color="auto" w:sz="8" w:space="0"/>
            </w:tcBorders>
            <w:noWrap w:val="0"/>
            <w:vAlign w:val="center"/>
          </w:tcPr>
          <w:p w14:paraId="55AA630C">
            <w:pPr>
              <w:widowControl/>
              <w:snapToGrid w:val="0"/>
              <w:spacing w:before="100" w:beforeAutospacing="1" w:after="100" w:afterAutospacing="1" w:line="320" w:lineRule="atLeast"/>
              <w:ind w:firstLine="2"/>
              <w:jc w:val="center"/>
              <w:rPr>
                <w:rFonts w:ascii="宋体" w:hAnsi="宋体" w:cs="宋体"/>
                <w:kern w:val="0"/>
                <w:szCs w:val="21"/>
              </w:rPr>
            </w:pPr>
            <w:r>
              <w:rPr>
                <w:rFonts w:ascii="宋体" w:hAnsi="宋体" w:cs="宋体"/>
                <w:kern w:val="0"/>
                <w:szCs w:val="21"/>
              </w:rPr>
              <w:t>序号</w:t>
            </w:r>
          </w:p>
        </w:tc>
        <w:tc>
          <w:tcPr>
            <w:tcW w:w="1449" w:type="pct"/>
            <w:gridSpan w:val="2"/>
            <w:tcBorders>
              <w:top w:val="nil"/>
              <w:left w:val="nil"/>
              <w:bottom w:val="single" w:color="auto" w:sz="8" w:space="0"/>
              <w:right w:val="single" w:color="auto" w:sz="8" w:space="0"/>
            </w:tcBorders>
            <w:noWrap w:val="0"/>
            <w:vAlign w:val="center"/>
          </w:tcPr>
          <w:p w14:paraId="31114100">
            <w:pPr>
              <w:widowControl/>
              <w:snapToGrid w:val="0"/>
              <w:spacing w:before="100" w:beforeAutospacing="1" w:after="100" w:afterAutospacing="1" w:line="320" w:lineRule="atLeast"/>
              <w:ind w:firstLine="2"/>
              <w:jc w:val="center"/>
              <w:rPr>
                <w:rFonts w:ascii="宋体" w:hAnsi="宋体" w:cs="宋体"/>
                <w:kern w:val="0"/>
                <w:szCs w:val="21"/>
              </w:rPr>
            </w:pPr>
            <w:r>
              <w:rPr>
                <w:rFonts w:ascii="宋体" w:hAnsi="宋体" w:cs="宋体"/>
                <w:kern w:val="0"/>
                <w:szCs w:val="21"/>
              </w:rPr>
              <w:t>名称</w:t>
            </w:r>
          </w:p>
        </w:tc>
        <w:tc>
          <w:tcPr>
            <w:tcW w:w="1718" w:type="pct"/>
            <w:gridSpan w:val="3"/>
            <w:tcBorders>
              <w:top w:val="nil"/>
              <w:left w:val="nil"/>
              <w:bottom w:val="single" w:color="auto" w:sz="8" w:space="0"/>
              <w:right w:val="single" w:color="auto" w:sz="8" w:space="0"/>
            </w:tcBorders>
            <w:noWrap w:val="0"/>
            <w:vAlign w:val="center"/>
          </w:tcPr>
          <w:p w14:paraId="3CB4EDC2">
            <w:pPr>
              <w:widowControl/>
              <w:snapToGrid w:val="0"/>
              <w:spacing w:before="100" w:beforeAutospacing="1" w:after="100" w:afterAutospacing="1" w:line="320" w:lineRule="atLeast"/>
              <w:ind w:firstLine="2"/>
              <w:jc w:val="center"/>
              <w:rPr>
                <w:rFonts w:ascii="宋体" w:hAnsi="宋体" w:cs="宋体"/>
                <w:kern w:val="0"/>
                <w:szCs w:val="21"/>
              </w:rPr>
            </w:pPr>
            <w:r>
              <w:rPr>
                <w:rFonts w:ascii="宋体" w:hAnsi="宋体" w:cs="宋体"/>
                <w:kern w:val="0"/>
                <w:szCs w:val="21"/>
              </w:rPr>
              <w:t>货物型号规格、标准及配置等（或者服务内容、标准）</w:t>
            </w:r>
          </w:p>
        </w:tc>
        <w:tc>
          <w:tcPr>
            <w:tcW w:w="511" w:type="pct"/>
            <w:gridSpan w:val="2"/>
            <w:tcBorders>
              <w:top w:val="nil"/>
              <w:left w:val="nil"/>
              <w:bottom w:val="single" w:color="auto" w:sz="8" w:space="0"/>
              <w:right w:val="single" w:color="auto" w:sz="8" w:space="0"/>
            </w:tcBorders>
            <w:noWrap w:val="0"/>
            <w:vAlign w:val="center"/>
          </w:tcPr>
          <w:p w14:paraId="4BF4B1DE">
            <w:pPr>
              <w:widowControl/>
              <w:snapToGrid w:val="0"/>
              <w:spacing w:before="100" w:beforeAutospacing="1" w:after="100" w:afterAutospacing="1" w:line="320" w:lineRule="atLeast"/>
              <w:jc w:val="center"/>
              <w:rPr>
                <w:rFonts w:ascii="宋体" w:hAnsi="宋体" w:cs="宋体"/>
                <w:kern w:val="0"/>
                <w:szCs w:val="21"/>
              </w:rPr>
            </w:pPr>
            <w:r>
              <w:rPr>
                <w:rFonts w:ascii="宋体" w:hAnsi="宋体" w:cs="宋体"/>
                <w:kern w:val="0"/>
                <w:szCs w:val="21"/>
              </w:rPr>
              <w:t>数量</w:t>
            </w:r>
          </w:p>
        </w:tc>
        <w:tc>
          <w:tcPr>
            <w:tcW w:w="845" w:type="pct"/>
            <w:tcBorders>
              <w:top w:val="nil"/>
              <w:left w:val="nil"/>
              <w:bottom w:val="single" w:color="auto" w:sz="8" w:space="0"/>
              <w:right w:val="single" w:color="auto" w:sz="8" w:space="0"/>
            </w:tcBorders>
            <w:noWrap w:val="0"/>
            <w:vAlign w:val="center"/>
          </w:tcPr>
          <w:p w14:paraId="2EA03479">
            <w:pPr>
              <w:widowControl/>
              <w:snapToGrid w:val="0"/>
              <w:spacing w:before="100" w:beforeAutospacing="1" w:after="100" w:afterAutospacing="1" w:line="320" w:lineRule="atLeast"/>
              <w:ind w:firstLine="2"/>
              <w:jc w:val="center"/>
              <w:rPr>
                <w:rFonts w:ascii="宋体" w:hAnsi="宋体" w:cs="宋体"/>
                <w:kern w:val="0"/>
                <w:szCs w:val="21"/>
              </w:rPr>
            </w:pPr>
            <w:r>
              <w:rPr>
                <w:rFonts w:ascii="宋体" w:hAnsi="宋体" w:cs="宋体"/>
                <w:kern w:val="0"/>
                <w:szCs w:val="21"/>
              </w:rPr>
              <w:t>金额</w:t>
            </w:r>
          </w:p>
        </w:tc>
      </w:tr>
      <w:tr w14:paraId="62F57A83">
        <w:tblPrEx>
          <w:tblCellMar>
            <w:top w:w="0" w:type="dxa"/>
            <w:left w:w="0" w:type="dxa"/>
            <w:bottom w:w="0" w:type="dxa"/>
            <w:right w:w="0" w:type="dxa"/>
          </w:tblCellMar>
        </w:tblPrEx>
        <w:trPr>
          <w:trHeight w:val="487" w:hRule="atLeast"/>
          <w:jc w:val="center"/>
        </w:trPr>
        <w:tc>
          <w:tcPr>
            <w:tcW w:w="476" w:type="pct"/>
            <w:tcBorders>
              <w:top w:val="nil"/>
              <w:left w:val="single" w:color="auto" w:sz="8" w:space="0"/>
              <w:bottom w:val="single" w:color="auto" w:sz="8" w:space="0"/>
              <w:right w:val="single" w:color="auto" w:sz="8" w:space="0"/>
            </w:tcBorders>
            <w:noWrap w:val="0"/>
            <w:vAlign w:val="center"/>
          </w:tcPr>
          <w:p w14:paraId="0E93F155">
            <w:pPr>
              <w:widowControl/>
              <w:spacing w:before="100" w:beforeAutospacing="1" w:after="100" w:afterAutospacing="1" w:line="240" w:lineRule="atLeast"/>
              <w:jc w:val="center"/>
              <w:rPr>
                <w:rFonts w:ascii="宋体" w:hAnsi="宋体" w:cs="宋体"/>
                <w:kern w:val="0"/>
                <w:szCs w:val="21"/>
              </w:rPr>
            </w:pPr>
          </w:p>
        </w:tc>
        <w:tc>
          <w:tcPr>
            <w:tcW w:w="1449" w:type="pct"/>
            <w:gridSpan w:val="2"/>
            <w:tcBorders>
              <w:top w:val="nil"/>
              <w:left w:val="nil"/>
              <w:bottom w:val="single" w:color="auto" w:sz="8" w:space="0"/>
              <w:right w:val="single" w:color="auto" w:sz="8" w:space="0"/>
            </w:tcBorders>
            <w:noWrap w:val="0"/>
            <w:vAlign w:val="center"/>
          </w:tcPr>
          <w:p w14:paraId="5C6FAA1C">
            <w:pPr>
              <w:widowControl/>
              <w:spacing w:before="100" w:beforeAutospacing="1" w:after="100" w:afterAutospacing="1" w:line="240" w:lineRule="atLeast"/>
              <w:jc w:val="center"/>
              <w:rPr>
                <w:rFonts w:ascii="宋体" w:hAnsi="宋体" w:cs="宋体"/>
                <w:kern w:val="0"/>
                <w:szCs w:val="21"/>
              </w:rPr>
            </w:pPr>
          </w:p>
        </w:tc>
        <w:tc>
          <w:tcPr>
            <w:tcW w:w="1718" w:type="pct"/>
            <w:gridSpan w:val="3"/>
            <w:tcBorders>
              <w:top w:val="nil"/>
              <w:left w:val="nil"/>
              <w:bottom w:val="single" w:color="auto" w:sz="8" w:space="0"/>
              <w:right w:val="single" w:color="auto" w:sz="8" w:space="0"/>
            </w:tcBorders>
            <w:noWrap w:val="0"/>
            <w:vAlign w:val="center"/>
          </w:tcPr>
          <w:p w14:paraId="39F9C1D3">
            <w:pPr>
              <w:widowControl/>
              <w:spacing w:before="100" w:beforeAutospacing="1" w:after="100" w:afterAutospacing="1" w:line="240" w:lineRule="atLeast"/>
              <w:jc w:val="center"/>
              <w:rPr>
                <w:rFonts w:ascii="宋体" w:hAnsi="宋体" w:cs="宋体"/>
                <w:kern w:val="0"/>
                <w:szCs w:val="21"/>
              </w:rPr>
            </w:pPr>
          </w:p>
        </w:tc>
        <w:tc>
          <w:tcPr>
            <w:tcW w:w="511" w:type="pct"/>
            <w:gridSpan w:val="2"/>
            <w:tcBorders>
              <w:top w:val="nil"/>
              <w:left w:val="nil"/>
              <w:bottom w:val="single" w:color="auto" w:sz="8" w:space="0"/>
              <w:right w:val="single" w:color="auto" w:sz="8" w:space="0"/>
            </w:tcBorders>
            <w:noWrap w:val="0"/>
            <w:vAlign w:val="center"/>
          </w:tcPr>
          <w:p w14:paraId="01D6426C">
            <w:pPr>
              <w:widowControl/>
              <w:spacing w:before="100" w:beforeAutospacing="1" w:after="100" w:afterAutospacing="1" w:line="240" w:lineRule="atLeast"/>
              <w:jc w:val="center"/>
              <w:rPr>
                <w:rFonts w:ascii="宋体" w:hAnsi="宋体" w:cs="宋体"/>
                <w:kern w:val="0"/>
                <w:szCs w:val="21"/>
              </w:rPr>
            </w:pPr>
          </w:p>
        </w:tc>
        <w:tc>
          <w:tcPr>
            <w:tcW w:w="845" w:type="pct"/>
            <w:tcBorders>
              <w:top w:val="nil"/>
              <w:left w:val="nil"/>
              <w:bottom w:val="single" w:color="auto" w:sz="8" w:space="0"/>
              <w:right w:val="single" w:color="auto" w:sz="8" w:space="0"/>
            </w:tcBorders>
            <w:noWrap w:val="0"/>
            <w:vAlign w:val="center"/>
          </w:tcPr>
          <w:p w14:paraId="2229825A">
            <w:pPr>
              <w:widowControl/>
              <w:spacing w:before="100" w:beforeAutospacing="1" w:after="100" w:afterAutospacing="1" w:line="240" w:lineRule="atLeast"/>
              <w:jc w:val="center"/>
              <w:rPr>
                <w:rFonts w:ascii="宋体" w:hAnsi="宋体" w:cs="宋体"/>
                <w:kern w:val="0"/>
                <w:szCs w:val="21"/>
              </w:rPr>
            </w:pPr>
          </w:p>
        </w:tc>
      </w:tr>
      <w:tr w14:paraId="5B193035">
        <w:tblPrEx>
          <w:tblCellMar>
            <w:top w:w="0" w:type="dxa"/>
            <w:left w:w="0" w:type="dxa"/>
            <w:bottom w:w="0" w:type="dxa"/>
            <w:right w:w="0" w:type="dxa"/>
          </w:tblCellMar>
        </w:tblPrEx>
        <w:trPr>
          <w:trHeight w:val="487" w:hRule="atLeast"/>
          <w:jc w:val="center"/>
        </w:trPr>
        <w:tc>
          <w:tcPr>
            <w:tcW w:w="476" w:type="pct"/>
            <w:tcBorders>
              <w:top w:val="nil"/>
              <w:left w:val="single" w:color="auto" w:sz="8" w:space="0"/>
              <w:bottom w:val="single" w:color="auto" w:sz="8" w:space="0"/>
              <w:right w:val="single" w:color="auto" w:sz="8" w:space="0"/>
            </w:tcBorders>
            <w:noWrap w:val="0"/>
            <w:vAlign w:val="center"/>
          </w:tcPr>
          <w:p w14:paraId="499B61A8">
            <w:pPr>
              <w:widowControl/>
              <w:spacing w:before="100" w:beforeAutospacing="1" w:after="100" w:afterAutospacing="1" w:line="240" w:lineRule="atLeast"/>
              <w:jc w:val="center"/>
              <w:rPr>
                <w:rFonts w:ascii="宋体" w:hAnsi="宋体" w:cs="宋体"/>
                <w:kern w:val="0"/>
                <w:szCs w:val="21"/>
              </w:rPr>
            </w:pPr>
          </w:p>
        </w:tc>
        <w:tc>
          <w:tcPr>
            <w:tcW w:w="1449" w:type="pct"/>
            <w:gridSpan w:val="2"/>
            <w:tcBorders>
              <w:top w:val="nil"/>
              <w:left w:val="nil"/>
              <w:bottom w:val="single" w:color="auto" w:sz="8" w:space="0"/>
              <w:right w:val="single" w:color="auto" w:sz="8" w:space="0"/>
            </w:tcBorders>
            <w:noWrap w:val="0"/>
            <w:vAlign w:val="center"/>
          </w:tcPr>
          <w:p w14:paraId="685C4646">
            <w:pPr>
              <w:widowControl/>
              <w:spacing w:before="100" w:beforeAutospacing="1" w:after="100" w:afterAutospacing="1" w:line="240" w:lineRule="atLeast"/>
              <w:jc w:val="center"/>
              <w:rPr>
                <w:rFonts w:ascii="宋体" w:hAnsi="宋体" w:cs="宋体"/>
                <w:kern w:val="0"/>
                <w:szCs w:val="21"/>
              </w:rPr>
            </w:pPr>
          </w:p>
        </w:tc>
        <w:tc>
          <w:tcPr>
            <w:tcW w:w="1718" w:type="pct"/>
            <w:gridSpan w:val="3"/>
            <w:tcBorders>
              <w:top w:val="nil"/>
              <w:left w:val="nil"/>
              <w:bottom w:val="single" w:color="auto" w:sz="8" w:space="0"/>
              <w:right w:val="single" w:color="auto" w:sz="8" w:space="0"/>
            </w:tcBorders>
            <w:noWrap w:val="0"/>
            <w:vAlign w:val="center"/>
          </w:tcPr>
          <w:p w14:paraId="4CBB2E10">
            <w:pPr>
              <w:widowControl/>
              <w:spacing w:before="100" w:beforeAutospacing="1" w:after="100" w:afterAutospacing="1" w:line="240" w:lineRule="atLeast"/>
              <w:jc w:val="center"/>
              <w:rPr>
                <w:rFonts w:ascii="宋体" w:hAnsi="宋体" w:cs="宋体"/>
                <w:kern w:val="0"/>
                <w:szCs w:val="21"/>
              </w:rPr>
            </w:pPr>
          </w:p>
        </w:tc>
        <w:tc>
          <w:tcPr>
            <w:tcW w:w="511" w:type="pct"/>
            <w:gridSpan w:val="2"/>
            <w:tcBorders>
              <w:top w:val="nil"/>
              <w:left w:val="nil"/>
              <w:bottom w:val="single" w:color="auto" w:sz="8" w:space="0"/>
              <w:right w:val="single" w:color="auto" w:sz="8" w:space="0"/>
            </w:tcBorders>
            <w:noWrap w:val="0"/>
            <w:vAlign w:val="center"/>
          </w:tcPr>
          <w:p w14:paraId="242B97DC">
            <w:pPr>
              <w:widowControl/>
              <w:spacing w:before="100" w:beforeAutospacing="1" w:after="100" w:afterAutospacing="1" w:line="240" w:lineRule="atLeast"/>
              <w:jc w:val="center"/>
              <w:rPr>
                <w:rFonts w:ascii="宋体" w:hAnsi="宋体" w:cs="宋体"/>
                <w:kern w:val="0"/>
                <w:szCs w:val="21"/>
              </w:rPr>
            </w:pPr>
          </w:p>
        </w:tc>
        <w:tc>
          <w:tcPr>
            <w:tcW w:w="845" w:type="pct"/>
            <w:tcBorders>
              <w:top w:val="nil"/>
              <w:left w:val="nil"/>
              <w:bottom w:val="single" w:color="auto" w:sz="8" w:space="0"/>
              <w:right w:val="single" w:color="auto" w:sz="8" w:space="0"/>
            </w:tcBorders>
            <w:noWrap w:val="0"/>
            <w:vAlign w:val="center"/>
          </w:tcPr>
          <w:p w14:paraId="3F5A0D97">
            <w:pPr>
              <w:widowControl/>
              <w:spacing w:before="100" w:beforeAutospacing="1" w:after="100" w:afterAutospacing="1" w:line="240" w:lineRule="atLeast"/>
              <w:jc w:val="center"/>
              <w:rPr>
                <w:rFonts w:ascii="宋体" w:hAnsi="宋体" w:cs="宋体"/>
                <w:kern w:val="0"/>
                <w:szCs w:val="21"/>
              </w:rPr>
            </w:pPr>
          </w:p>
        </w:tc>
      </w:tr>
      <w:tr w14:paraId="5989D1C9">
        <w:tblPrEx>
          <w:tblCellMar>
            <w:top w:w="0" w:type="dxa"/>
            <w:left w:w="0" w:type="dxa"/>
            <w:bottom w:w="0" w:type="dxa"/>
            <w:right w:w="0" w:type="dxa"/>
          </w:tblCellMar>
        </w:tblPrEx>
        <w:trPr>
          <w:trHeight w:val="487" w:hRule="atLeast"/>
          <w:jc w:val="center"/>
        </w:trPr>
        <w:tc>
          <w:tcPr>
            <w:tcW w:w="476" w:type="pct"/>
            <w:tcBorders>
              <w:top w:val="nil"/>
              <w:left w:val="single" w:color="auto" w:sz="8" w:space="0"/>
              <w:bottom w:val="single" w:color="auto" w:sz="8" w:space="0"/>
              <w:right w:val="single" w:color="auto" w:sz="8" w:space="0"/>
            </w:tcBorders>
            <w:noWrap w:val="0"/>
            <w:vAlign w:val="center"/>
          </w:tcPr>
          <w:p w14:paraId="717A846C">
            <w:pPr>
              <w:widowControl/>
              <w:spacing w:before="100" w:beforeAutospacing="1" w:after="100" w:afterAutospacing="1" w:line="240" w:lineRule="atLeast"/>
              <w:jc w:val="center"/>
              <w:rPr>
                <w:rFonts w:ascii="宋体" w:hAnsi="宋体" w:cs="宋体"/>
                <w:kern w:val="0"/>
                <w:szCs w:val="21"/>
              </w:rPr>
            </w:pPr>
          </w:p>
        </w:tc>
        <w:tc>
          <w:tcPr>
            <w:tcW w:w="1449" w:type="pct"/>
            <w:gridSpan w:val="2"/>
            <w:tcBorders>
              <w:top w:val="nil"/>
              <w:left w:val="nil"/>
              <w:bottom w:val="single" w:color="auto" w:sz="8" w:space="0"/>
              <w:right w:val="single" w:color="auto" w:sz="8" w:space="0"/>
            </w:tcBorders>
            <w:noWrap w:val="0"/>
            <w:vAlign w:val="center"/>
          </w:tcPr>
          <w:p w14:paraId="7C2D516A">
            <w:pPr>
              <w:widowControl/>
              <w:spacing w:before="100" w:beforeAutospacing="1" w:after="100" w:afterAutospacing="1" w:line="240" w:lineRule="atLeast"/>
              <w:jc w:val="center"/>
              <w:rPr>
                <w:rFonts w:ascii="宋体" w:hAnsi="宋体" w:cs="宋体"/>
                <w:kern w:val="0"/>
                <w:szCs w:val="21"/>
              </w:rPr>
            </w:pPr>
          </w:p>
        </w:tc>
        <w:tc>
          <w:tcPr>
            <w:tcW w:w="1718" w:type="pct"/>
            <w:gridSpan w:val="3"/>
            <w:tcBorders>
              <w:top w:val="nil"/>
              <w:left w:val="nil"/>
              <w:bottom w:val="single" w:color="auto" w:sz="8" w:space="0"/>
              <w:right w:val="single" w:color="auto" w:sz="8" w:space="0"/>
            </w:tcBorders>
            <w:noWrap w:val="0"/>
            <w:vAlign w:val="center"/>
          </w:tcPr>
          <w:p w14:paraId="0B08F724">
            <w:pPr>
              <w:widowControl/>
              <w:spacing w:before="100" w:beforeAutospacing="1" w:after="100" w:afterAutospacing="1" w:line="240" w:lineRule="atLeast"/>
              <w:jc w:val="center"/>
              <w:rPr>
                <w:rFonts w:ascii="宋体" w:hAnsi="宋体" w:cs="宋体"/>
                <w:kern w:val="0"/>
                <w:szCs w:val="21"/>
              </w:rPr>
            </w:pPr>
          </w:p>
        </w:tc>
        <w:tc>
          <w:tcPr>
            <w:tcW w:w="511" w:type="pct"/>
            <w:gridSpan w:val="2"/>
            <w:tcBorders>
              <w:top w:val="nil"/>
              <w:left w:val="nil"/>
              <w:bottom w:val="single" w:color="auto" w:sz="8" w:space="0"/>
              <w:right w:val="single" w:color="auto" w:sz="8" w:space="0"/>
            </w:tcBorders>
            <w:noWrap w:val="0"/>
            <w:vAlign w:val="center"/>
          </w:tcPr>
          <w:p w14:paraId="19580AC0">
            <w:pPr>
              <w:widowControl/>
              <w:spacing w:before="100" w:beforeAutospacing="1" w:after="100" w:afterAutospacing="1" w:line="240" w:lineRule="atLeast"/>
              <w:jc w:val="center"/>
              <w:rPr>
                <w:rFonts w:ascii="宋体" w:hAnsi="宋体" w:cs="宋体"/>
                <w:kern w:val="0"/>
                <w:szCs w:val="21"/>
              </w:rPr>
            </w:pPr>
          </w:p>
        </w:tc>
        <w:tc>
          <w:tcPr>
            <w:tcW w:w="845" w:type="pct"/>
            <w:tcBorders>
              <w:top w:val="nil"/>
              <w:left w:val="nil"/>
              <w:bottom w:val="single" w:color="auto" w:sz="8" w:space="0"/>
              <w:right w:val="single" w:color="auto" w:sz="8" w:space="0"/>
            </w:tcBorders>
            <w:noWrap w:val="0"/>
            <w:vAlign w:val="center"/>
          </w:tcPr>
          <w:p w14:paraId="75510687">
            <w:pPr>
              <w:widowControl/>
              <w:spacing w:before="100" w:beforeAutospacing="1" w:after="100" w:afterAutospacing="1" w:line="240" w:lineRule="atLeast"/>
              <w:jc w:val="center"/>
              <w:rPr>
                <w:rFonts w:ascii="宋体" w:hAnsi="宋体" w:cs="宋体"/>
                <w:kern w:val="0"/>
                <w:szCs w:val="21"/>
              </w:rPr>
            </w:pPr>
          </w:p>
        </w:tc>
      </w:tr>
      <w:tr w14:paraId="5EA58FCB">
        <w:tblPrEx>
          <w:tblCellMar>
            <w:top w:w="0" w:type="dxa"/>
            <w:left w:w="0" w:type="dxa"/>
            <w:bottom w:w="0" w:type="dxa"/>
            <w:right w:w="0" w:type="dxa"/>
          </w:tblCellMar>
        </w:tblPrEx>
        <w:trPr>
          <w:trHeight w:val="487" w:hRule="atLeast"/>
          <w:jc w:val="center"/>
        </w:trPr>
        <w:tc>
          <w:tcPr>
            <w:tcW w:w="3644" w:type="pct"/>
            <w:gridSpan w:val="6"/>
            <w:tcBorders>
              <w:top w:val="nil"/>
              <w:left w:val="single" w:color="auto" w:sz="8" w:space="0"/>
              <w:bottom w:val="single" w:color="auto" w:sz="8" w:space="0"/>
              <w:right w:val="single" w:color="auto" w:sz="8" w:space="0"/>
            </w:tcBorders>
            <w:noWrap w:val="0"/>
            <w:vAlign w:val="center"/>
          </w:tcPr>
          <w:p w14:paraId="0F598F6B">
            <w:pPr>
              <w:widowControl/>
              <w:snapToGrid w:val="0"/>
              <w:spacing w:before="100" w:beforeAutospacing="1" w:after="100" w:afterAutospacing="1" w:line="320" w:lineRule="atLeast"/>
              <w:ind w:firstLine="5"/>
              <w:jc w:val="center"/>
              <w:rPr>
                <w:rFonts w:ascii="宋体" w:hAnsi="宋体" w:cs="宋体"/>
                <w:kern w:val="0"/>
                <w:szCs w:val="21"/>
              </w:rPr>
            </w:pPr>
            <w:r>
              <w:rPr>
                <w:rFonts w:ascii="宋体" w:hAnsi="宋体" w:cs="宋体"/>
                <w:kern w:val="0"/>
                <w:szCs w:val="21"/>
              </w:rPr>
              <w:t>合 计</w:t>
            </w:r>
          </w:p>
        </w:tc>
        <w:tc>
          <w:tcPr>
            <w:tcW w:w="511" w:type="pct"/>
            <w:gridSpan w:val="2"/>
            <w:tcBorders>
              <w:top w:val="nil"/>
              <w:left w:val="nil"/>
              <w:bottom w:val="single" w:color="auto" w:sz="8" w:space="0"/>
              <w:right w:val="single" w:color="auto" w:sz="8" w:space="0"/>
            </w:tcBorders>
            <w:noWrap w:val="0"/>
            <w:vAlign w:val="center"/>
          </w:tcPr>
          <w:p w14:paraId="4A332162">
            <w:pPr>
              <w:widowControl/>
              <w:spacing w:before="100" w:beforeAutospacing="1" w:after="100" w:afterAutospacing="1" w:line="240" w:lineRule="atLeast"/>
              <w:jc w:val="center"/>
              <w:rPr>
                <w:rFonts w:ascii="宋体" w:hAnsi="宋体" w:cs="宋体"/>
                <w:kern w:val="0"/>
                <w:szCs w:val="21"/>
              </w:rPr>
            </w:pPr>
          </w:p>
        </w:tc>
        <w:tc>
          <w:tcPr>
            <w:tcW w:w="845" w:type="pct"/>
            <w:tcBorders>
              <w:top w:val="nil"/>
              <w:left w:val="nil"/>
              <w:bottom w:val="single" w:color="auto" w:sz="8" w:space="0"/>
              <w:right w:val="single" w:color="auto" w:sz="8" w:space="0"/>
            </w:tcBorders>
            <w:noWrap w:val="0"/>
            <w:vAlign w:val="center"/>
          </w:tcPr>
          <w:p w14:paraId="01DF6BDD">
            <w:pPr>
              <w:widowControl/>
              <w:spacing w:before="100" w:beforeAutospacing="1" w:after="100" w:afterAutospacing="1" w:line="240" w:lineRule="atLeast"/>
              <w:jc w:val="center"/>
              <w:rPr>
                <w:rFonts w:ascii="宋体" w:hAnsi="宋体" w:cs="宋体"/>
                <w:kern w:val="0"/>
                <w:szCs w:val="21"/>
              </w:rPr>
            </w:pPr>
          </w:p>
        </w:tc>
      </w:tr>
      <w:tr w14:paraId="7AEA1F83">
        <w:tblPrEx>
          <w:tblCellMar>
            <w:top w:w="0" w:type="dxa"/>
            <w:left w:w="0" w:type="dxa"/>
            <w:bottom w:w="0" w:type="dxa"/>
            <w:right w:w="0" w:type="dxa"/>
          </w:tblCellMar>
        </w:tblPrEx>
        <w:trPr>
          <w:trHeight w:val="641" w:hRule="atLeast"/>
          <w:jc w:val="center"/>
        </w:trPr>
        <w:tc>
          <w:tcPr>
            <w:tcW w:w="5000" w:type="pct"/>
            <w:gridSpan w:val="9"/>
            <w:tcBorders>
              <w:top w:val="nil"/>
              <w:left w:val="single" w:color="auto" w:sz="8" w:space="0"/>
              <w:bottom w:val="single" w:color="auto" w:sz="8" w:space="0"/>
              <w:right w:val="single" w:color="auto" w:sz="8" w:space="0"/>
            </w:tcBorders>
            <w:noWrap w:val="0"/>
            <w:vAlign w:val="center"/>
          </w:tcPr>
          <w:p w14:paraId="046A2E16">
            <w:pPr>
              <w:widowControl/>
              <w:snapToGrid w:val="0"/>
              <w:spacing w:before="100" w:beforeAutospacing="1" w:after="100" w:afterAutospacing="1" w:line="320" w:lineRule="atLeast"/>
              <w:ind w:firstLine="210" w:firstLineChars="100"/>
              <w:jc w:val="left"/>
              <w:rPr>
                <w:rFonts w:ascii="宋体" w:hAnsi="宋体" w:cs="宋体"/>
                <w:kern w:val="0"/>
                <w:szCs w:val="21"/>
              </w:rPr>
            </w:pPr>
            <w:r>
              <w:rPr>
                <w:rFonts w:ascii="宋体" w:hAnsi="宋体" w:cs="宋体"/>
                <w:kern w:val="0"/>
                <w:szCs w:val="21"/>
              </w:rPr>
              <w:t xml:space="preserve">合计大写金额： </w:t>
            </w:r>
            <w:r>
              <w:rPr>
                <w:rFonts w:hint="eastAsia" w:ascii="宋体" w:hAnsi="宋体" w:cs="宋体"/>
                <w:kern w:val="0"/>
                <w:szCs w:val="21"/>
              </w:rPr>
              <w:t xml:space="preserve"> </w:t>
            </w:r>
            <w:r>
              <w:rPr>
                <w:rFonts w:ascii="宋体" w:hAnsi="宋体" w:cs="宋体"/>
                <w:kern w:val="0"/>
                <w:szCs w:val="21"/>
              </w:rPr>
              <w:t xml:space="preserve">仟 </w:t>
            </w:r>
            <w:r>
              <w:rPr>
                <w:rFonts w:hint="eastAsia" w:ascii="宋体" w:hAnsi="宋体" w:cs="宋体"/>
                <w:kern w:val="0"/>
                <w:szCs w:val="21"/>
              </w:rPr>
              <w:t xml:space="preserve"> </w:t>
            </w:r>
            <w:r>
              <w:rPr>
                <w:rFonts w:ascii="宋体" w:hAnsi="宋体" w:cs="宋体"/>
                <w:kern w:val="0"/>
                <w:szCs w:val="21"/>
              </w:rPr>
              <w:t xml:space="preserve">佰 </w:t>
            </w:r>
            <w:r>
              <w:rPr>
                <w:rFonts w:hint="eastAsia" w:ascii="宋体" w:hAnsi="宋体" w:cs="宋体"/>
                <w:kern w:val="0"/>
                <w:szCs w:val="21"/>
              </w:rPr>
              <w:t xml:space="preserve"> </w:t>
            </w:r>
            <w:r>
              <w:rPr>
                <w:rFonts w:ascii="宋体" w:hAnsi="宋体" w:cs="宋体"/>
                <w:kern w:val="0"/>
                <w:szCs w:val="21"/>
              </w:rPr>
              <w:t xml:space="preserve">拾 </w:t>
            </w:r>
            <w:r>
              <w:rPr>
                <w:rFonts w:hint="eastAsia" w:ascii="宋体" w:hAnsi="宋体" w:cs="宋体"/>
                <w:kern w:val="0"/>
                <w:szCs w:val="21"/>
              </w:rPr>
              <w:t xml:space="preserve"> </w:t>
            </w:r>
            <w:r>
              <w:rPr>
                <w:rFonts w:ascii="宋体" w:hAnsi="宋体" w:cs="宋体"/>
                <w:kern w:val="0"/>
                <w:szCs w:val="21"/>
              </w:rPr>
              <w:t xml:space="preserve">万 </w:t>
            </w:r>
            <w:r>
              <w:rPr>
                <w:rFonts w:hint="eastAsia" w:ascii="宋体" w:hAnsi="宋体" w:cs="宋体"/>
                <w:kern w:val="0"/>
                <w:szCs w:val="21"/>
              </w:rPr>
              <w:t xml:space="preserve"> </w:t>
            </w:r>
            <w:r>
              <w:rPr>
                <w:rFonts w:ascii="宋体" w:hAnsi="宋体" w:cs="宋体"/>
                <w:kern w:val="0"/>
                <w:szCs w:val="21"/>
              </w:rPr>
              <w:t xml:space="preserve">仟 </w:t>
            </w:r>
            <w:r>
              <w:rPr>
                <w:rFonts w:hint="eastAsia" w:ascii="宋体" w:hAnsi="宋体" w:cs="宋体"/>
                <w:kern w:val="0"/>
                <w:szCs w:val="21"/>
              </w:rPr>
              <w:t xml:space="preserve"> </w:t>
            </w:r>
            <w:r>
              <w:rPr>
                <w:rFonts w:ascii="宋体" w:hAnsi="宋体" w:cs="宋体"/>
                <w:kern w:val="0"/>
                <w:szCs w:val="21"/>
              </w:rPr>
              <w:t xml:space="preserve">佰 </w:t>
            </w:r>
            <w:r>
              <w:rPr>
                <w:rFonts w:hint="eastAsia" w:ascii="宋体" w:hAnsi="宋体" w:cs="宋体"/>
                <w:kern w:val="0"/>
                <w:szCs w:val="21"/>
              </w:rPr>
              <w:t xml:space="preserve"> </w:t>
            </w:r>
            <w:r>
              <w:rPr>
                <w:rFonts w:ascii="宋体" w:hAnsi="宋体" w:cs="宋体"/>
                <w:kern w:val="0"/>
                <w:szCs w:val="21"/>
              </w:rPr>
              <w:t xml:space="preserve">拾 </w:t>
            </w:r>
            <w:r>
              <w:rPr>
                <w:rFonts w:hint="eastAsia" w:ascii="宋体" w:hAnsi="宋体" w:cs="宋体"/>
                <w:kern w:val="0"/>
                <w:szCs w:val="21"/>
              </w:rPr>
              <w:t xml:space="preserve"> </w:t>
            </w:r>
            <w:r>
              <w:rPr>
                <w:rFonts w:ascii="宋体" w:hAnsi="宋体" w:cs="宋体"/>
                <w:kern w:val="0"/>
                <w:szCs w:val="21"/>
              </w:rPr>
              <w:t>元</w:t>
            </w:r>
          </w:p>
        </w:tc>
      </w:tr>
      <w:tr w14:paraId="60DBDD01">
        <w:tblPrEx>
          <w:tblCellMar>
            <w:top w:w="0" w:type="dxa"/>
            <w:left w:w="0" w:type="dxa"/>
            <w:bottom w:w="0" w:type="dxa"/>
            <w:right w:w="0" w:type="dxa"/>
          </w:tblCellMar>
        </w:tblPrEx>
        <w:trPr>
          <w:trHeight w:val="641" w:hRule="atLeast"/>
          <w:jc w:val="center"/>
        </w:trPr>
        <w:tc>
          <w:tcPr>
            <w:tcW w:w="964" w:type="pct"/>
            <w:gridSpan w:val="2"/>
            <w:tcBorders>
              <w:top w:val="nil"/>
              <w:left w:val="single" w:color="auto" w:sz="8" w:space="0"/>
              <w:bottom w:val="single" w:color="auto" w:sz="8" w:space="0"/>
              <w:right w:val="single" w:color="auto" w:sz="8" w:space="0"/>
            </w:tcBorders>
            <w:noWrap w:val="0"/>
            <w:vAlign w:val="center"/>
          </w:tcPr>
          <w:p w14:paraId="6045FE95">
            <w:pPr>
              <w:widowControl/>
              <w:snapToGrid w:val="0"/>
              <w:spacing w:before="100" w:beforeAutospacing="1" w:after="100" w:afterAutospacing="1" w:line="320" w:lineRule="atLeast"/>
              <w:ind w:firstLine="2"/>
              <w:jc w:val="center"/>
              <w:rPr>
                <w:rFonts w:ascii="宋体" w:hAnsi="宋体" w:cs="宋体"/>
                <w:kern w:val="0"/>
                <w:szCs w:val="21"/>
              </w:rPr>
            </w:pPr>
            <w:r>
              <w:rPr>
                <w:rFonts w:ascii="宋体" w:hAnsi="宋体" w:cs="宋体"/>
                <w:kern w:val="0"/>
                <w:szCs w:val="21"/>
              </w:rPr>
              <w:t>实际供货日期</w:t>
            </w:r>
          </w:p>
        </w:tc>
        <w:tc>
          <w:tcPr>
            <w:tcW w:w="1433" w:type="pct"/>
            <w:gridSpan w:val="2"/>
            <w:tcBorders>
              <w:top w:val="nil"/>
              <w:left w:val="nil"/>
              <w:bottom w:val="single" w:color="auto" w:sz="8" w:space="0"/>
              <w:right w:val="single" w:color="auto" w:sz="8" w:space="0"/>
            </w:tcBorders>
            <w:noWrap w:val="0"/>
            <w:vAlign w:val="center"/>
          </w:tcPr>
          <w:p w14:paraId="347B2BD4">
            <w:pPr>
              <w:widowControl/>
              <w:spacing w:before="100" w:beforeAutospacing="1" w:after="100" w:afterAutospacing="1" w:line="240" w:lineRule="atLeast"/>
              <w:jc w:val="center"/>
              <w:rPr>
                <w:rFonts w:ascii="宋体" w:hAnsi="宋体" w:cs="宋体"/>
                <w:kern w:val="0"/>
                <w:szCs w:val="21"/>
              </w:rPr>
            </w:pPr>
          </w:p>
        </w:tc>
        <w:tc>
          <w:tcPr>
            <w:tcW w:w="1351" w:type="pct"/>
            <w:gridSpan w:val="3"/>
            <w:tcBorders>
              <w:top w:val="nil"/>
              <w:left w:val="nil"/>
              <w:bottom w:val="single" w:color="auto" w:sz="8" w:space="0"/>
              <w:right w:val="single" w:color="auto" w:sz="8" w:space="0"/>
            </w:tcBorders>
            <w:noWrap w:val="0"/>
            <w:vAlign w:val="center"/>
          </w:tcPr>
          <w:p w14:paraId="579FAFE6">
            <w:pPr>
              <w:widowControl/>
              <w:snapToGrid w:val="0"/>
              <w:spacing w:before="100" w:beforeAutospacing="1" w:after="100" w:afterAutospacing="1" w:line="320" w:lineRule="atLeast"/>
              <w:ind w:firstLine="46"/>
              <w:jc w:val="center"/>
              <w:rPr>
                <w:rFonts w:ascii="宋体" w:hAnsi="宋体" w:cs="宋体"/>
                <w:kern w:val="0"/>
                <w:szCs w:val="21"/>
              </w:rPr>
            </w:pPr>
            <w:r>
              <w:rPr>
                <w:rFonts w:ascii="宋体" w:hAnsi="宋体" w:cs="宋体"/>
                <w:kern w:val="0"/>
                <w:szCs w:val="21"/>
              </w:rPr>
              <w:t>合同交货验收日期</w:t>
            </w:r>
          </w:p>
        </w:tc>
        <w:tc>
          <w:tcPr>
            <w:tcW w:w="1251" w:type="pct"/>
            <w:gridSpan w:val="2"/>
            <w:tcBorders>
              <w:top w:val="nil"/>
              <w:left w:val="nil"/>
              <w:bottom w:val="single" w:color="auto" w:sz="8" w:space="0"/>
              <w:right w:val="single" w:color="auto" w:sz="8" w:space="0"/>
            </w:tcBorders>
            <w:noWrap w:val="0"/>
            <w:vAlign w:val="center"/>
          </w:tcPr>
          <w:p w14:paraId="3ADEC902">
            <w:pPr>
              <w:widowControl/>
              <w:spacing w:before="100" w:beforeAutospacing="1" w:after="100" w:afterAutospacing="1" w:line="240" w:lineRule="atLeast"/>
              <w:jc w:val="center"/>
              <w:rPr>
                <w:rFonts w:ascii="宋体" w:hAnsi="宋体" w:cs="宋体"/>
                <w:kern w:val="0"/>
                <w:szCs w:val="21"/>
              </w:rPr>
            </w:pPr>
          </w:p>
        </w:tc>
      </w:tr>
      <w:tr w14:paraId="74F73230">
        <w:tblPrEx>
          <w:tblCellMar>
            <w:top w:w="0" w:type="dxa"/>
            <w:left w:w="0" w:type="dxa"/>
            <w:bottom w:w="0" w:type="dxa"/>
            <w:right w:w="0" w:type="dxa"/>
          </w:tblCellMar>
        </w:tblPrEx>
        <w:trPr>
          <w:trHeight w:val="394" w:hRule="atLeast"/>
          <w:jc w:val="center"/>
        </w:trPr>
        <w:tc>
          <w:tcPr>
            <w:tcW w:w="964" w:type="pct"/>
            <w:gridSpan w:val="2"/>
            <w:tcBorders>
              <w:top w:val="nil"/>
              <w:left w:val="single" w:color="auto" w:sz="8" w:space="0"/>
              <w:bottom w:val="single" w:color="auto" w:sz="8" w:space="0"/>
              <w:right w:val="single" w:color="auto" w:sz="8" w:space="0"/>
            </w:tcBorders>
            <w:noWrap w:val="0"/>
            <w:vAlign w:val="center"/>
          </w:tcPr>
          <w:p w14:paraId="370ED4FE">
            <w:pPr>
              <w:widowControl/>
              <w:spacing w:before="100" w:beforeAutospacing="1" w:after="100" w:afterAutospacing="1" w:line="240" w:lineRule="atLeast"/>
              <w:jc w:val="center"/>
              <w:rPr>
                <w:rFonts w:ascii="宋体" w:hAnsi="宋体" w:cs="宋体"/>
                <w:kern w:val="0"/>
                <w:szCs w:val="21"/>
              </w:rPr>
            </w:pPr>
          </w:p>
        </w:tc>
        <w:tc>
          <w:tcPr>
            <w:tcW w:w="1433" w:type="pct"/>
            <w:gridSpan w:val="2"/>
            <w:tcBorders>
              <w:top w:val="nil"/>
              <w:left w:val="nil"/>
              <w:bottom w:val="single" w:color="auto" w:sz="8" w:space="0"/>
              <w:right w:val="single" w:color="auto" w:sz="8" w:space="0"/>
            </w:tcBorders>
            <w:noWrap w:val="0"/>
            <w:vAlign w:val="center"/>
          </w:tcPr>
          <w:p w14:paraId="00797A7B">
            <w:pPr>
              <w:widowControl/>
              <w:spacing w:before="100" w:beforeAutospacing="1" w:after="100" w:afterAutospacing="1" w:line="240" w:lineRule="atLeast"/>
              <w:jc w:val="center"/>
              <w:rPr>
                <w:rFonts w:ascii="宋体" w:hAnsi="宋体" w:cs="宋体"/>
                <w:kern w:val="0"/>
                <w:szCs w:val="21"/>
              </w:rPr>
            </w:pPr>
          </w:p>
        </w:tc>
        <w:tc>
          <w:tcPr>
            <w:tcW w:w="1351" w:type="pct"/>
            <w:gridSpan w:val="3"/>
            <w:tcBorders>
              <w:top w:val="nil"/>
              <w:left w:val="nil"/>
              <w:bottom w:val="single" w:color="auto" w:sz="8" w:space="0"/>
              <w:right w:val="single" w:color="auto" w:sz="8" w:space="0"/>
            </w:tcBorders>
            <w:noWrap w:val="0"/>
            <w:vAlign w:val="center"/>
          </w:tcPr>
          <w:p w14:paraId="7A69B3AC">
            <w:pPr>
              <w:widowControl/>
              <w:spacing w:before="100" w:beforeAutospacing="1" w:after="100" w:afterAutospacing="1" w:line="240" w:lineRule="atLeast"/>
              <w:jc w:val="center"/>
              <w:rPr>
                <w:rFonts w:ascii="宋体" w:hAnsi="宋体" w:cs="宋体"/>
                <w:kern w:val="0"/>
                <w:szCs w:val="21"/>
              </w:rPr>
            </w:pPr>
          </w:p>
        </w:tc>
        <w:tc>
          <w:tcPr>
            <w:tcW w:w="1251" w:type="pct"/>
            <w:gridSpan w:val="2"/>
            <w:tcBorders>
              <w:top w:val="nil"/>
              <w:left w:val="nil"/>
              <w:bottom w:val="single" w:color="auto" w:sz="8" w:space="0"/>
              <w:right w:val="single" w:color="auto" w:sz="8" w:space="0"/>
            </w:tcBorders>
            <w:noWrap w:val="0"/>
            <w:vAlign w:val="center"/>
          </w:tcPr>
          <w:p w14:paraId="3B5C69AE">
            <w:pPr>
              <w:widowControl/>
              <w:spacing w:before="100" w:beforeAutospacing="1" w:after="100" w:afterAutospacing="1" w:line="240" w:lineRule="atLeast"/>
              <w:jc w:val="center"/>
              <w:rPr>
                <w:rFonts w:ascii="宋体" w:hAnsi="宋体" w:cs="宋体"/>
                <w:kern w:val="0"/>
                <w:szCs w:val="21"/>
              </w:rPr>
            </w:pPr>
          </w:p>
        </w:tc>
      </w:tr>
      <w:tr w14:paraId="6A0C0934">
        <w:tblPrEx>
          <w:tblCellMar>
            <w:top w:w="0" w:type="dxa"/>
            <w:left w:w="0" w:type="dxa"/>
            <w:bottom w:w="0" w:type="dxa"/>
            <w:right w:w="0" w:type="dxa"/>
          </w:tblCellMar>
        </w:tblPrEx>
        <w:trPr>
          <w:trHeight w:val="693" w:hRule="atLeast"/>
          <w:jc w:val="center"/>
        </w:trPr>
        <w:tc>
          <w:tcPr>
            <w:tcW w:w="964" w:type="pct"/>
            <w:gridSpan w:val="2"/>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47D469AD">
            <w:pPr>
              <w:widowControl/>
              <w:snapToGrid w:val="0"/>
              <w:spacing w:before="100" w:beforeAutospacing="1" w:after="100" w:afterAutospacing="1" w:line="320" w:lineRule="atLeast"/>
              <w:jc w:val="left"/>
              <w:rPr>
                <w:rFonts w:ascii="宋体" w:hAnsi="宋体" w:cs="宋体"/>
                <w:kern w:val="0"/>
                <w:szCs w:val="21"/>
              </w:rPr>
            </w:pPr>
            <w:r>
              <w:rPr>
                <w:rFonts w:ascii="宋体" w:hAnsi="宋体" w:cs="宋体"/>
                <w:kern w:val="0"/>
                <w:szCs w:val="21"/>
              </w:rPr>
              <w:t>验收具体内容</w:t>
            </w:r>
          </w:p>
        </w:tc>
        <w:tc>
          <w:tcPr>
            <w:tcW w:w="4036" w:type="pct"/>
            <w:gridSpan w:val="7"/>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64E5B30F">
            <w:pPr>
              <w:widowControl/>
              <w:snapToGrid w:val="0"/>
              <w:spacing w:before="100" w:beforeAutospacing="1" w:after="100" w:afterAutospacing="1" w:line="320" w:lineRule="atLeast"/>
              <w:jc w:val="left"/>
              <w:rPr>
                <w:rFonts w:ascii="宋体" w:hAnsi="宋体" w:cs="宋体"/>
                <w:kern w:val="0"/>
                <w:szCs w:val="21"/>
              </w:rPr>
            </w:pPr>
            <w:r>
              <w:rPr>
                <w:rFonts w:ascii="宋体" w:hAnsi="宋体" w:cs="宋体"/>
                <w:kern w:val="0"/>
                <w:szCs w:val="21"/>
              </w:rPr>
              <w:t>（应按采购合同、</w:t>
            </w:r>
            <w:r>
              <w:rPr>
                <w:rFonts w:hint="eastAsia" w:ascii="宋体" w:hAnsi="宋体" w:cs="宋体"/>
                <w:kern w:val="0"/>
                <w:szCs w:val="21"/>
              </w:rPr>
              <w:t>采购文件、投标</w:t>
            </w:r>
            <w:r>
              <w:rPr>
                <w:rFonts w:ascii="宋体" w:hAnsi="宋体" w:cs="宋体"/>
                <w:kern w:val="0"/>
                <w:szCs w:val="21"/>
              </w:rPr>
              <w:t>响应文件及验收方案等进行验收；并核对中标</w:t>
            </w:r>
            <w:r>
              <w:rPr>
                <w:rFonts w:hint="eastAsia" w:ascii="宋体" w:hAnsi="宋体" w:cs="宋体"/>
                <w:kern w:val="0"/>
                <w:szCs w:val="21"/>
              </w:rPr>
              <w:t>或者成交供应商</w:t>
            </w:r>
            <w:r>
              <w:rPr>
                <w:rFonts w:ascii="宋体" w:hAnsi="宋体" w:cs="宋体"/>
                <w:kern w:val="0"/>
                <w:szCs w:val="21"/>
              </w:rPr>
              <w:t>在安装调试等方面是否违反合同约定或者服务规范要求、提供的质量保证证明材料是否齐全、应有的配件及附件是否达到合同约定等。</w:t>
            </w:r>
            <w:r>
              <w:rPr>
                <w:rFonts w:hint="eastAsia" w:ascii="宋体" w:hAnsi="宋体" w:cs="宋体"/>
                <w:kern w:val="0"/>
                <w:szCs w:val="21"/>
              </w:rPr>
              <w:t>见</w:t>
            </w:r>
            <w:r>
              <w:rPr>
                <w:rFonts w:ascii="宋体" w:hAnsi="宋体" w:cs="宋体"/>
                <w:kern w:val="0"/>
                <w:szCs w:val="21"/>
              </w:rPr>
              <w:t>附件）</w:t>
            </w:r>
          </w:p>
        </w:tc>
      </w:tr>
      <w:tr w14:paraId="2938F216">
        <w:tblPrEx>
          <w:tblCellMar>
            <w:top w:w="0" w:type="dxa"/>
            <w:left w:w="0" w:type="dxa"/>
            <w:bottom w:w="0" w:type="dxa"/>
            <w:right w:w="0" w:type="dxa"/>
          </w:tblCellMar>
        </w:tblPrEx>
        <w:trPr>
          <w:trHeight w:val="870" w:hRule="atLeast"/>
          <w:jc w:val="center"/>
        </w:trPr>
        <w:tc>
          <w:tcPr>
            <w:tcW w:w="964" w:type="pct"/>
            <w:gridSpan w:val="2"/>
            <w:vMerge w:val="restart"/>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168E2FF0">
            <w:pPr>
              <w:widowControl/>
              <w:spacing w:before="100" w:beforeAutospacing="1" w:after="100" w:afterAutospacing="1" w:line="320" w:lineRule="atLeast"/>
              <w:jc w:val="left"/>
              <w:rPr>
                <w:rFonts w:ascii="宋体" w:hAnsi="宋体" w:cs="宋体"/>
                <w:kern w:val="0"/>
                <w:szCs w:val="21"/>
              </w:rPr>
            </w:pPr>
            <w:r>
              <w:rPr>
                <w:rFonts w:ascii="宋体" w:hAnsi="宋体" w:cs="宋体"/>
                <w:kern w:val="0"/>
                <w:szCs w:val="21"/>
              </w:rPr>
              <w:t>验收小组意见</w:t>
            </w:r>
          </w:p>
        </w:tc>
        <w:tc>
          <w:tcPr>
            <w:tcW w:w="4036" w:type="pct"/>
            <w:gridSpan w:val="7"/>
            <w:tcBorders>
              <w:top w:val="nil"/>
              <w:left w:val="nil"/>
              <w:bottom w:val="single" w:color="auto" w:sz="8" w:space="0"/>
              <w:right w:val="single" w:color="auto" w:sz="8" w:space="0"/>
            </w:tcBorders>
            <w:noWrap w:val="0"/>
            <w:vAlign w:val="center"/>
          </w:tcPr>
          <w:p w14:paraId="6E49D73B">
            <w:pPr>
              <w:widowControl/>
              <w:spacing w:before="100" w:beforeAutospacing="1" w:after="100" w:afterAutospacing="1" w:line="320" w:lineRule="atLeast"/>
              <w:ind w:firstLine="210" w:firstLineChars="100"/>
              <w:jc w:val="left"/>
              <w:rPr>
                <w:rFonts w:ascii="宋体" w:hAnsi="宋体" w:cs="宋体"/>
                <w:kern w:val="0"/>
                <w:szCs w:val="21"/>
              </w:rPr>
            </w:pPr>
            <w:r>
              <w:rPr>
                <w:rFonts w:ascii="宋体" w:hAnsi="宋体" w:cs="宋体"/>
                <w:kern w:val="0"/>
                <w:szCs w:val="21"/>
              </w:rPr>
              <w:t>验收结论性意见：</w:t>
            </w:r>
          </w:p>
        </w:tc>
      </w:tr>
      <w:tr w14:paraId="5EE44E48">
        <w:tblPrEx>
          <w:tblCellMar>
            <w:top w:w="0" w:type="dxa"/>
            <w:left w:w="0" w:type="dxa"/>
            <w:bottom w:w="0" w:type="dxa"/>
            <w:right w:w="0" w:type="dxa"/>
          </w:tblCellMar>
        </w:tblPrEx>
        <w:trPr>
          <w:trHeight w:val="607" w:hRule="atLeast"/>
          <w:jc w:val="center"/>
        </w:trPr>
        <w:tc>
          <w:tcPr>
            <w:tcW w:w="964" w:type="pct"/>
            <w:gridSpan w:val="2"/>
            <w:vMerge w:val="continue"/>
            <w:tcBorders>
              <w:top w:val="nil"/>
              <w:left w:val="single" w:color="auto" w:sz="8" w:space="0"/>
              <w:bottom w:val="single" w:color="auto" w:sz="8" w:space="0"/>
              <w:right w:val="single" w:color="auto" w:sz="8" w:space="0"/>
            </w:tcBorders>
            <w:noWrap w:val="0"/>
            <w:vAlign w:val="center"/>
          </w:tcPr>
          <w:p w14:paraId="20967166">
            <w:pPr>
              <w:widowControl/>
              <w:jc w:val="left"/>
              <w:rPr>
                <w:rFonts w:ascii="宋体" w:hAnsi="宋体" w:cs="宋体"/>
                <w:kern w:val="0"/>
                <w:szCs w:val="21"/>
              </w:rPr>
            </w:pPr>
          </w:p>
        </w:tc>
        <w:tc>
          <w:tcPr>
            <w:tcW w:w="4036" w:type="pct"/>
            <w:gridSpan w:val="7"/>
            <w:tcBorders>
              <w:top w:val="nil"/>
              <w:left w:val="nil"/>
              <w:bottom w:val="single" w:color="auto" w:sz="8" w:space="0"/>
              <w:right w:val="single" w:color="auto" w:sz="8" w:space="0"/>
            </w:tcBorders>
            <w:noWrap w:val="0"/>
            <w:vAlign w:val="center"/>
          </w:tcPr>
          <w:p w14:paraId="54C7C8EC">
            <w:pPr>
              <w:widowControl/>
              <w:spacing w:before="100" w:beforeAutospacing="1" w:after="100" w:afterAutospacing="1" w:line="320" w:lineRule="atLeast"/>
              <w:ind w:firstLine="210" w:firstLineChars="100"/>
              <w:jc w:val="left"/>
              <w:rPr>
                <w:rFonts w:ascii="宋体" w:hAnsi="宋体" w:cs="宋体"/>
                <w:kern w:val="0"/>
                <w:szCs w:val="21"/>
              </w:rPr>
            </w:pPr>
            <w:r>
              <w:rPr>
                <w:rFonts w:ascii="宋体" w:hAnsi="宋体" w:cs="宋体"/>
                <w:kern w:val="0"/>
                <w:szCs w:val="21"/>
              </w:rPr>
              <w:t>有异议的意见和说明理由：</w:t>
            </w:r>
          </w:p>
          <w:p w14:paraId="17B2DFDD">
            <w:pPr>
              <w:widowControl/>
              <w:spacing w:before="100" w:beforeAutospacing="1" w:after="100" w:afterAutospacing="1" w:line="320" w:lineRule="atLeast"/>
              <w:ind w:firstLine="210" w:firstLineChars="100"/>
              <w:jc w:val="left"/>
              <w:rPr>
                <w:rFonts w:ascii="宋体" w:hAnsi="宋体" w:cs="宋体"/>
                <w:kern w:val="0"/>
                <w:szCs w:val="21"/>
              </w:rPr>
            </w:pPr>
            <w:r>
              <w:rPr>
                <w:rFonts w:ascii="宋体" w:hAnsi="宋体" w:cs="宋体"/>
                <w:kern w:val="0"/>
                <w:szCs w:val="21"/>
              </w:rPr>
              <w:t>签字：</w:t>
            </w:r>
          </w:p>
        </w:tc>
      </w:tr>
      <w:tr w14:paraId="5ED8BC29">
        <w:tblPrEx>
          <w:tblCellMar>
            <w:top w:w="0" w:type="dxa"/>
            <w:left w:w="0" w:type="dxa"/>
            <w:bottom w:w="0" w:type="dxa"/>
            <w:right w:w="0" w:type="dxa"/>
          </w:tblCellMar>
        </w:tblPrEx>
        <w:trPr>
          <w:trHeight w:val="507" w:hRule="atLeast"/>
          <w:jc w:val="center"/>
        </w:trPr>
        <w:tc>
          <w:tcPr>
            <w:tcW w:w="5000" w:type="pct"/>
            <w:gridSpan w:val="9"/>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49403A85">
            <w:pPr>
              <w:widowControl/>
              <w:spacing w:before="100" w:beforeAutospacing="1" w:after="100" w:afterAutospacing="1" w:line="320" w:lineRule="atLeast"/>
              <w:jc w:val="left"/>
              <w:rPr>
                <w:rFonts w:ascii="宋体" w:hAnsi="宋体" w:cs="宋体"/>
                <w:kern w:val="0"/>
                <w:szCs w:val="21"/>
              </w:rPr>
            </w:pPr>
            <w:r>
              <w:rPr>
                <w:rFonts w:ascii="宋体" w:hAnsi="宋体" w:cs="宋体"/>
                <w:kern w:val="0"/>
                <w:szCs w:val="21"/>
              </w:rPr>
              <w:t>验收小组成员签字：</w:t>
            </w:r>
          </w:p>
        </w:tc>
      </w:tr>
      <w:tr w14:paraId="6D99D19E">
        <w:tblPrEx>
          <w:tblCellMar>
            <w:top w:w="0" w:type="dxa"/>
            <w:left w:w="0" w:type="dxa"/>
            <w:bottom w:w="0" w:type="dxa"/>
            <w:right w:w="0" w:type="dxa"/>
          </w:tblCellMar>
        </w:tblPrEx>
        <w:trPr>
          <w:trHeight w:val="736" w:hRule="atLeast"/>
          <w:jc w:val="center"/>
        </w:trPr>
        <w:tc>
          <w:tcPr>
            <w:tcW w:w="5000" w:type="pct"/>
            <w:gridSpan w:val="9"/>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2AB590A7">
            <w:pPr>
              <w:widowControl/>
              <w:spacing w:before="100" w:beforeAutospacing="1" w:after="100" w:afterAutospacing="1" w:line="320" w:lineRule="atLeast"/>
              <w:jc w:val="left"/>
              <w:rPr>
                <w:rFonts w:ascii="宋体" w:hAnsi="宋体" w:cs="宋体"/>
                <w:kern w:val="0"/>
                <w:szCs w:val="21"/>
              </w:rPr>
            </w:pPr>
            <w:r>
              <w:rPr>
                <w:rFonts w:ascii="宋体" w:hAnsi="宋体" w:cs="宋体"/>
                <w:kern w:val="0"/>
                <w:szCs w:val="21"/>
              </w:rPr>
              <w:t>监督人员或者其他相关人员签字：</w:t>
            </w:r>
          </w:p>
          <w:p w14:paraId="3A009043">
            <w:pPr>
              <w:widowControl/>
              <w:spacing w:before="100" w:beforeAutospacing="1" w:after="100" w:afterAutospacing="1" w:line="320" w:lineRule="atLeast"/>
              <w:ind w:firstLine="74"/>
              <w:jc w:val="left"/>
              <w:rPr>
                <w:rFonts w:ascii="宋体" w:hAnsi="宋体" w:cs="宋体"/>
                <w:kern w:val="0"/>
                <w:szCs w:val="21"/>
              </w:rPr>
            </w:pPr>
            <w:r>
              <w:rPr>
                <w:rFonts w:ascii="宋体" w:hAnsi="宋体" w:cs="宋体"/>
                <w:kern w:val="0"/>
                <w:szCs w:val="21"/>
              </w:rPr>
              <w:t>或者受邀机构的意见（盖章）：</w:t>
            </w:r>
          </w:p>
        </w:tc>
      </w:tr>
      <w:tr w14:paraId="7B4A2F8A">
        <w:tblPrEx>
          <w:tblCellMar>
            <w:top w:w="0" w:type="dxa"/>
            <w:left w:w="0" w:type="dxa"/>
            <w:bottom w:w="0" w:type="dxa"/>
            <w:right w:w="0" w:type="dxa"/>
          </w:tblCellMar>
        </w:tblPrEx>
        <w:trPr>
          <w:trHeight w:val="264" w:hRule="atLeast"/>
          <w:jc w:val="center"/>
        </w:trPr>
        <w:tc>
          <w:tcPr>
            <w:tcW w:w="2458" w:type="pct"/>
            <w:gridSpan w:val="5"/>
            <w:tcBorders>
              <w:top w:val="nil"/>
              <w:left w:val="single" w:color="auto" w:sz="8" w:space="0"/>
              <w:bottom w:val="single" w:color="auto" w:sz="8" w:space="0"/>
              <w:right w:val="nil"/>
            </w:tcBorders>
            <w:noWrap w:val="0"/>
            <w:tcMar>
              <w:top w:w="0" w:type="dxa"/>
              <w:left w:w="108" w:type="dxa"/>
              <w:bottom w:w="0" w:type="dxa"/>
              <w:right w:w="108" w:type="dxa"/>
            </w:tcMar>
            <w:vAlign w:val="center"/>
          </w:tcPr>
          <w:p w14:paraId="545DF17A">
            <w:pPr>
              <w:widowControl/>
              <w:spacing w:before="100" w:beforeAutospacing="1" w:after="100" w:afterAutospacing="1" w:line="320" w:lineRule="atLeast"/>
              <w:jc w:val="left"/>
              <w:rPr>
                <w:rFonts w:ascii="宋体" w:hAnsi="宋体" w:cs="宋体"/>
                <w:kern w:val="0"/>
                <w:szCs w:val="21"/>
              </w:rPr>
            </w:pPr>
            <w:r>
              <w:rPr>
                <w:rFonts w:ascii="宋体" w:hAnsi="宋体" w:cs="宋体"/>
                <w:kern w:val="0"/>
                <w:szCs w:val="21"/>
              </w:rPr>
              <w:t>中标</w:t>
            </w:r>
            <w:r>
              <w:rPr>
                <w:rFonts w:hint="eastAsia" w:ascii="宋体" w:hAnsi="宋体" w:cs="宋体"/>
                <w:kern w:val="0"/>
                <w:szCs w:val="21"/>
              </w:rPr>
              <w:t>或者成交供应商</w:t>
            </w:r>
            <w:r>
              <w:rPr>
                <w:rFonts w:ascii="宋体" w:hAnsi="宋体" w:cs="宋体"/>
                <w:kern w:val="0"/>
                <w:szCs w:val="21"/>
              </w:rPr>
              <w:t>负责人签字或盖章：</w:t>
            </w:r>
          </w:p>
          <w:p w14:paraId="4D124E2D">
            <w:pPr>
              <w:widowControl/>
              <w:spacing w:before="100" w:beforeAutospacing="1" w:after="100" w:afterAutospacing="1" w:line="320" w:lineRule="atLeast"/>
              <w:jc w:val="left"/>
              <w:rPr>
                <w:rFonts w:ascii="宋体" w:hAnsi="宋体" w:cs="宋体"/>
                <w:kern w:val="0"/>
                <w:szCs w:val="21"/>
              </w:rPr>
            </w:pPr>
          </w:p>
          <w:p w14:paraId="5689F81C">
            <w:pPr>
              <w:widowControl/>
              <w:spacing w:before="100" w:beforeAutospacing="1" w:after="100" w:afterAutospacing="1" w:line="320" w:lineRule="atLeast"/>
              <w:jc w:val="left"/>
              <w:rPr>
                <w:rFonts w:ascii="宋体" w:hAnsi="宋体" w:cs="宋体"/>
                <w:kern w:val="0"/>
                <w:szCs w:val="21"/>
              </w:rPr>
            </w:pPr>
            <w:r>
              <w:rPr>
                <w:rFonts w:ascii="宋体" w:hAnsi="宋体" w:cs="宋体"/>
                <w:kern w:val="0"/>
                <w:szCs w:val="21"/>
              </w:rPr>
              <w:t>联系电话：</w:t>
            </w:r>
            <w:r>
              <w:rPr>
                <w:rFonts w:hint="eastAsia" w:ascii="宋体" w:hAnsi="宋体" w:cs="宋体"/>
                <w:kern w:val="0"/>
                <w:szCs w:val="21"/>
              </w:rPr>
              <w:t xml:space="preserve">               </w:t>
            </w:r>
            <w:r>
              <w:rPr>
                <w:rFonts w:ascii="宋体" w:hAnsi="宋体" w:cs="宋体"/>
                <w:kern w:val="0"/>
                <w:szCs w:val="21"/>
              </w:rPr>
              <w:t xml:space="preserve"> 年</w:t>
            </w:r>
            <w:r>
              <w:rPr>
                <w:rFonts w:hint="eastAsia" w:ascii="宋体" w:hAnsi="宋体" w:cs="宋体"/>
                <w:kern w:val="0"/>
                <w:szCs w:val="21"/>
              </w:rPr>
              <w:t xml:space="preserve"> </w:t>
            </w:r>
            <w:r>
              <w:rPr>
                <w:rFonts w:ascii="宋体" w:hAnsi="宋体" w:cs="宋体"/>
                <w:kern w:val="0"/>
                <w:szCs w:val="21"/>
              </w:rPr>
              <w:t xml:space="preserve"> 月 </w:t>
            </w:r>
            <w:r>
              <w:rPr>
                <w:rFonts w:hint="eastAsia" w:ascii="宋体" w:hAnsi="宋体" w:cs="宋体"/>
                <w:kern w:val="0"/>
                <w:szCs w:val="21"/>
              </w:rPr>
              <w:t xml:space="preserve"> </w:t>
            </w:r>
            <w:r>
              <w:rPr>
                <w:rFonts w:ascii="宋体" w:hAnsi="宋体" w:cs="宋体"/>
                <w:kern w:val="0"/>
                <w:szCs w:val="21"/>
              </w:rPr>
              <w:t>日</w:t>
            </w:r>
          </w:p>
        </w:tc>
        <w:tc>
          <w:tcPr>
            <w:tcW w:w="2542" w:type="pct"/>
            <w:gridSpan w:val="4"/>
            <w:tcBorders>
              <w:top w:val="nil"/>
              <w:left w:val="nil"/>
              <w:bottom w:val="single" w:color="auto" w:sz="8" w:space="0"/>
              <w:right w:val="single" w:color="auto" w:sz="8" w:space="0"/>
            </w:tcBorders>
            <w:noWrap w:val="0"/>
            <w:vAlign w:val="center"/>
          </w:tcPr>
          <w:p w14:paraId="38065336">
            <w:pPr>
              <w:widowControl/>
              <w:spacing w:before="100" w:beforeAutospacing="1" w:after="100" w:afterAutospacing="1" w:line="320" w:lineRule="atLeast"/>
              <w:ind w:firstLine="210" w:firstLineChars="100"/>
              <w:jc w:val="left"/>
              <w:rPr>
                <w:rFonts w:ascii="宋体" w:hAnsi="宋体" w:cs="宋体"/>
                <w:kern w:val="0"/>
                <w:szCs w:val="21"/>
              </w:rPr>
            </w:pPr>
            <w:r>
              <w:rPr>
                <w:rFonts w:ascii="宋体" w:hAnsi="宋体" w:cs="宋体"/>
                <w:kern w:val="0"/>
                <w:szCs w:val="21"/>
              </w:rPr>
              <w:t>采购人或受托机构的意见（盖章）：</w:t>
            </w:r>
          </w:p>
          <w:p w14:paraId="6D65FB0A">
            <w:pPr>
              <w:widowControl/>
              <w:spacing w:before="100" w:beforeAutospacing="1" w:after="100" w:afterAutospacing="1" w:line="320" w:lineRule="atLeast"/>
              <w:ind w:firstLine="210" w:firstLineChars="100"/>
              <w:jc w:val="left"/>
              <w:rPr>
                <w:rFonts w:ascii="宋体" w:hAnsi="宋体" w:cs="宋体"/>
                <w:kern w:val="0"/>
                <w:szCs w:val="21"/>
              </w:rPr>
            </w:pPr>
          </w:p>
          <w:p w14:paraId="574EAD5E">
            <w:pPr>
              <w:widowControl/>
              <w:spacing w:before="100" w:beforeAutospacing="1" w:after="100" w:afterAutospacing="1" w:line="320" w:lineRule="atLeast"/>
              <w:ind w:firstLine="210" w:firstLineChars="100"/>
              <w:jc w:val="left"/>
              <w:rPr>
                <w:rFonts w:ascii="宋体" w:hAnsi="宋体" w:cs="宋体"/>
                <w:kern w:val="0"/>
                <w:szCs w:val="21"/>
              </w:rPr>
            </w:pPr>
            <w:r>
              <w:rPr>
                <w:rFonts w:ascii="宋体" w:hAnsi="宋体" w:cs="宋体"/>
                <w:kern w:val="0"/>
                <w:szCs w:val="21"/>
              </w:rPr>
              <w:t>联系电话：</w:t>
            </w:r>
            <w:r>
              <w:rPr>
                <w:rFonts w:hint="eastAsia" w:ascii="宋体" w:hAnsi="宋体" w:cs="宋体"/>
                <w:kern w:val="0"/>
                <w:szCs w:val="21"/>
              </w:rPr>
              <w:t xml:space="preserve">                  </w:t>
            </w:r>
            <w:r>
              <w:rPr>
                <w:rFonts w:ascii="宋体" w:hAnsi="宋体" w:cs="宋体"/>
                <w:kern w:val="0"/>
                <w:szCs w:val="21"/>
              </w:rPr>
              <w:t>年</w:t>
            </w:r>
            <w:r>
              <w:rPr>
                <w:rFonts w:hint="eastAsia" w:ascii="宋体" w:hAnsi="宋体" w:cs="宋体"/>
                <w:kern w:val="0"/>
                <w:szCs w:val="21"/>
              </w:rPr>
              <w:t xml:space="preserve"> </w:t>
            </w:r>
            <w:r>
              <w:rPr>
                <w:rFonts w:ascii="宋体" w:hAnsi="宋体" w:cs="宋体"/>
                <w:kern w:val="0"/>
                <w:szCs w:val="21"/>
              </w:rPr>
              <w:t xml:space="preserve"> 月</w:t>
            </w:r>
            <w:r>
              <w:rPr>
                <w:rFonts w:hint="eastAsia" w:ascii="宋体" w:hAnsi="宋体" w:cs="宋体"/>
                <w:kern w:val="0"/>
                <w:szCs w:val="21"/>
              </w:rPr>
              <w:t xml:space="preserve"> </w:t>
            </w:r>
            <w:r>
              <w:rPr>
                <w:rFonts w:ascii="宋体" w:hAnsi="宋体" w:cs="宋体"/>
                <w:kern w:val="0"/>
                <w:szCs w:val="21"/>
              </w:rPr>
              <w:t xml:space="preserve"> 日</w:t>
            </w:r>
          </w:p>
        </w:tc>
      </w:tr>
    </w:tbl>
    <w:p w14:paraId="5B38EE41">
      <w:pPr>
        <w:pStyle w:val="25"/>
        <w:snapToGrid w:val="0"/>
        <w:ind w:left="3360" w:hanging="420"/>
        <w:rPr>
          <w:rFonts w:hint="eastAsia" w:hAnsi="宋体"/>
        </w:rPr>
      </w:pPr>
      <w:r>
        <w:rPr>
          <w:rFonts w:hAnsi="宋体"/>
        </w:rPr>
        <w:br w:type="page"/>
      </w:r>
    </w:p>
    <w:p w14:paraId="3A969046">
      <w:pPr>
        <w:pStyle w:val="25"/>
        <w:snapToGrid w:val="0"/>
        <w:rPr>
          <w:rFonts w:hint="eastAsia" w:ascii="黑体" w:hAnsi="黑体" w:eastAsia="黑体" w:cs="黑体"/>
          <w:sz w:val="32"/>
          <w:szCs w:val="32"/>
        </w:rPr>
      </w:pPr>
      <w:r>
        <w:rPr>
          <w:rFonts w:hint="eastAsia" w:ascii="黑体" w:hAnsi="黑体" w:eastAsia="黑体" w:cs="黑体"/>
          <w:sz w:val="32"/>
          <w:szCs w:val="32"/>
        </w:rPr>
        <w:t>附件2：</w:t>
      </w:r>
    </w:p>
    <w:p w14:paraId="1493A38F">
      <w:pPr>
        <w:jc w:val="center"/>
        <w:rPr>
          <w:rFonts w:hint="eastAsia" w:ascii="宋体" w:hAnsi="宋体" w:cs="宋体"/>
          <w:b/>
          <w:bCs/>
          <w:sz w:val="32"/>
          <w:szCs w:val="32"/>
        </w:rPr>
      </w:pPr>
      <w:r>
        <w:rPr>
          <w:rFonts w:hint="eastAsia" w:ascii="宋体" w:hAnsi="宋体" w:cs="宋体"/>
          <w:b/>
          <w:bCs/>
          <w:sz w:val="32"/>
          <w:szCs w:val="32"/>
        </w:rPr>
        <w:t>政府采购项目履约保证金退付意见书</w:t>
      </w:r>
    </w:p>
    <w:p w14:paraId="37ACC6F9">
      <w:pPr>
        <w:jc w:val="center"/>
        <w:rPr>
          <w:rFonts w:hint="eastAsia" w:ascii="黑体" w:hAnsi="黑体" w:eastAsia="黑体"/>
          <w:sz w:val="18"/>
          <w:szCs w:val="18"/>
        </w:rPr>
      </w:pPr>
      <w:r>
        <w:rPr>
          <w:rFonts w:hint="eastAsia" w:ascii="黑体" w:hAnsi="黑体" w:eastAsia="黑体"/>
          <w:sz w:val="18"/>
          <w:szCs w:val="18"/>
        </w:rPr>
        <w:t>（本项目如有，可以参考使用）</w:t>
      </w:r>
    </w:p>
    <w:tbl>
      <w:tblPr>
        <w:tblStyle w:val="5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8009"/>
      </w:tblGrid>
      <w:tr w14:paraId="07AEF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jc w:val="center"/>
        </w:trPr>
        <w:tc>
          <w:tcPr>
            <w:tcW w:w="817" w:type="dxa"/>
            <w:vMerge w:val="restart"/>
            <w:noWrap w:val="0"/>
            <w:vAlign w:val="center"/>
          </w:tcPr>
          <w:p w14:paraId="2551ED92">
            <w:pPr>
              <w:jc w:val="center"/>
              <w:rPr>
                <w:rFonts w:hint="eastAsia"/>
                <w:sz w:val="24"/>
              </w:rPr>
            </w:pPr>
            <w:r>
              <w:rPr>
                <w:rFonts w:hint="eastAsia"/>
                <w:sz w:val="24"/>
              </w:rPr>
              <w:t>供</w:t>
            </w:r>
          </w:p>
          <w:p w14:paraId="6C04F9AE">
            <w:pPr>
              <w:jc w:val="center"/>
              <w:rPr>
                <w:rFonts w:hint="eastAsia"/>
                <w:sz w:val="24"/>
              </w:rPr>
            </w:pPr>
            <w:r>
              <w:rPr>
                <w:rFonts w:hint="eastAsia"/>
                <w:sz w:val="24"/>
              </w:rPr>
              <w:t>应</w:t>
            </w:r>
          </w:p>
          <w:p w14:paraId="0C764839">
            <w:pPr>
              <w:jc w:val="center"/>
              <w:rPr>
                <w:rFonts w:hint="eastAsia"/>
                <w:sz w:val="24"/>
              </w:rPr>
            </w:pPr>
            <w:r>
              <w:rPr>
                <w:rFonts w:hint="eastAsia"/>
                <w:sz w:val="24"/>
              </w:rPr>
              <w:t>商</w:t>
            </w:r>
          </w:p>
          <w:p w14:paraId="7A97C691">
            <w:pPr>
              <w:jc w:val="center"/>
              <w:rPr>
                <w:rFonts w:hint="eastAsia"/>
                <w:sz w:val="24"/>
              </w:rPr>
            </w:pPr>
            <w:r>
              <w:rPr>
                <w:rFonts w:hint="eastAsia"/>
                <w:sz w:val="24"/>
              </w:rPr>
              <w:t>申</w:t>
            </w:r>
          </w:p>
          <w:p w14:paraId="4C800385">
            <w:pPr>
              <w:jc w:val="center"/>
              <w:rPr>
                <w:rFonts w:hint="eastAsia"/>
                <w:sz w:val="24"/>
              </w:rPr>
            </w:pPr>
            <w:r>
              <w:rPr>
                <w:rFonts w:hint="eastAsia"/>
                <w:sz w:val="24"/>
              </w:rPr>
              <w:t>请</w:t>
            </w:r>
          </w:p>
        </w:tc>
        <w:tc>
          <w:tcPr>
            <w:tcW w:w="8009" w:type="dxa"/>
            <w:noWrap w:val="0"/>
            <w:vAlign w:val="center"/>
          </w:tcPr>
          <w:p w14:paraId="0285BCE5">
            <w:pPr>
              <w:rPr>
                <w:rFonts w:hint="eastAsia"/>
                <w:sz w:val="24"/>
              </w:rPr>
            </w:pPr>
            <w:r>
              <w:rPr>
                <w:rFonts w:hint="eastAsia"/>
                <w:sz w:val="24"/>
              </w:rPr>
              <w:t>项目编号：</w:t>
            </w:r>
          </w:p>
        </w:tc>
      </w:tr>
      <w:tr w14:paraId="3A929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jc w:val="center"/>
        </w:trPr>
        <w:tc>
          <w:tcPr>
            <w:tcW w:w="817" w:type="dxa"/>
            <w:vMerge w:val="continue"/>
            <w:noWrap w:val="0"/>
            <w:vAlign w:val="center"/>
          </w:tcPr>
          <w:p w14:paraId="01194E0C">
            <w:pPr>
              <w:rPr>
                <w:rFonts w:hint="eastAsia"/>
                <w:sz w:val="24"/>
              </w:rPr>
            </w:pPr>
          </w:p>
        </w:tc>
        <w:tc>
          <w:tcPr>
            <w:tcW w:w="8009" w:type="dxa"/>
            <w:noWrap w:val="0"/>
            <w:vAlign w:val="center"/>
          </w:tcPr>
          <w:p w14:paraId="5F3F474B">
            <w:pPr>
              <w:rPr>
                <w:rFonts w:hint="eastAsia"/>
                <w:sz w:val="24"/>
              </w:rPr>
            </w:pPr>
            <w:r>
              <w:rPr>
                <w:rFonts w:hint="eastAsia"/>
                <w:sz w:val="24"/>
              </w:rPr>
              <w:t>项目名称：</w:t>
            </w:r>
          </w:p>
        </w:tc>
      </w:tr>
      <w:tr w14:paraId="1EDD9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17" w:type="dxa"/>
            <w:vMerge w:val="continue"/>
            <w:noWrap w:val="0"/>
            <w:vAlign w:val="top"/>
          </w:tcPr>
          <w:p w14:paraId="4B49C45E">
            <w:pPr>
              <w:rPr>
                <w:rFonts w:hint="eastAsia"/>
                <w:sz w:val="24"/>
              </w:rPr>
            </w:pPr>
          </w:p>
        </w:tc>
        <w:tc>
          <w:tcPr>
            <w:tcW w:w="8009" w:type="dxa"/>
            <w:noWrap w:val="0"/>
            <w:vAlign w:val="top"/>
          </w:tcPr>
          <w:p w14:paraId="2BEA800D">
            <w:pPr>
              <w:rPr>
                <w:rFonts w:hint="eastAsia"/>
                <w:sz w:val="24"/>
              </w:rPr>
            </w:pPr>
            <w:r>
              <w:rPr>
                <w:rFonts w:hint="eastAsia"/>
                <w:sz w:val="24"/>
              </w:rPr>
              <w:t xml:space="preserve">  </w:t>
            </w:r>
          </w:p>
          <w:p w14:paraId="5158602D">
            <w:pPr>
              <w:ind w:firstLine="480" w:firstLineChars="200"/>
              <w:rPr>
                <w:rFonts w:hint="eastAsia"/>
                <w:sz w:val="24"/>
              </w:rPr>
            </w:pPr>
            <w:r>
              <w:rPr>
                <w:rFonts w:hint="eastAsia"/>
                <w:sz w:val="24"/>
              </w:rPr>
              <w:t>该项目已于</w:t>
            </w:r>
            <w:r>
              <w:rPr>
                <w:rFonts w:hint="eastAsia"/>
                <w:sz w:val="24"/>
                <w:u w:val="single"/>
              </w:rPr>
              <w:t xml:space="preserve">       </w:t>
            </w:r>
            <w:r>
              <w:rPr>
                <w:rFonts w:hint="eastAsia"/>
                <w:sz w:val="24"/>
              </w:rPr>
              <w:t>年</w:t>
            </w:r>
            <w:r>
              <w:rPr>
                <w:rFonts w:hint="eastAsia"/>
                <w:sz w:val="24"/>
                <w:u w:val="single"/>
              </w:rPr>
              <w:t xml:space="preserve">     </w:t>
            </w:r>
            <w:r>
              <w:rPr>
                <w:rFonts w:hint="eastAsia"/>
                <w:sz w:val="24"/>
              </w:rPr>
              <w:t>月</w:t>
            </w:r>
            <w:r>
              <w:rPr>
                <w:rFonts w:hint="eastAsia"/>
                <w:sz w:val="24"/>
                <w:u w:val="single"/>
              </w:rPr>
              <w:t xml:space="preserve">     </w:t>
            </w:r>
            <w:r>
              <w:rPr>
                <w:rFonts w:hint="eastAsia"/>
                <w:sz w:val="24"/>
              </w:rPr>
              <w:t>日验收并交付使用。根据合同规定，该项目的履约保证金期限于</w:t>
            </w:r>
            <w:r>
              <w:rPr>
                <w:rFonts w:hint="eastAsia"/>
                <w:sz w:val="24"/>
                <w:u w:val="single"/>
              </w:rPr>
              <w:t xml:space="preserve">         </w:t>
            </w:r>
            <w:r>
              <w:rPr>
                <w:rFonts w:hint="eastAsia"/>
                <w:sz w:val="24"/>
              </w:rPr>
              <w:t>年</w:t>
            </w:r>
            <w:r>
              <w:rPr>
                <w:rFonts w:hint="eastAsia"/>
                <w:sz w:val="24"/>
                <w:u w:val="single"/>
              </w:rPr>
              <w:t xml:space="preserve">        </w:t>
            </w:r>
            <w:r>
              <w:rPr>
                <w:rFonts w:hint="eastAsia"/>
                <w:sz w:val="24"/>
              </w:rPr>
              <w:t>月</w:t>
            </w:r>
            <w:r>
              <w:rPr>
                <w:rFonts w:hint="eastAsia"/>
                <w:sz w:val="24"/>
                <w:u w:val="single"/>
              </w:rPr>
              <w:t xml:space="preserve">        </w:t>
            </w:r>
            <w:r>
              <w:rPr>
                <w:rFonts w:hint="eastAsia"/>
                <w:sz w:val="24"/>
              </w:rPr>
              <w:t>日已满，请将履约保证金</w:t>
            </w:r>
          </w:p>
          <w:p w14:paraId="6D833FAE">
            <w:pPr>
              <w:rPr>
                <w:rFonts w:hint="eastAsia"/>
                <w:sz w:val="24"/>
              </w:rPr>
            </w:pPr>
            <w:r>
              <w:rPr>
                <w:rFonts w:hint="eastAsia"/>
                <w:sz w:val="24"/>
                <w:u w:val="single"/>
              </w:rPr>
              <w:t xml:space="preserve">                                      </w:t>
            </w:r>
            <w:r>
              <w:rPr>
                <w:rFonts w:hint="eastAsia"/>
                <w:sz w:val="24"/>
              </w:rPr>
              <w:t>（大写）¥</w:t>
            </w:r>
            <w:r>
              <w:rPr>
                <w:rFonts w:hint="eastAsia"/>
                <w:sz w:val="24"/>
                <w:u w:val="single"/>
              </w:rPr>
              <w:t xml:space="preserve">          </w:t>
            </w:r>
            <w:r>
              <w:rPr>
                <w:rFonts w:hint="eastAsia"/>
                <w:sz w:val="24"/>
              </w:rPr>
              <w:t>（小写）退付到达以下账户。</w:t>
            </w:r>
          </w:p>
          <w:p w14:paraId="7D47AE95">
            <w:pPr>
              <w:rPr>
                <w:rFonts w:hint="eastAsia"/>
                <w:sz w:val="24"/>
              </w:rPr>
            </w:pPr>
            <w:r>
              <w:rPr>
                <w:rFonts w:hint="eastAsia"/>
                <w:sz w:val="24"/>
              </w:rPr>
              <w:t>单位名称：</w:t>
            </w:r>
          </w:p>
          <w:p w14:paraId="0144E00F">
            <w:pPr>
              <w:rPr>
                <w:rFonts w:hint="eastAsia"/>
                <w:sz w:val="24"/>
              </w:rPr>
            </w:pPr>
            <w:r>
              <w:rPr>
                <w:rFonts w:hint="eastAsia"/>
                <w:sz w:val="24"/>
              </w:rPr>
              <w:t>开户银行：</w:t>
            </w:r>
          </w:p>
          <w:p w14:paraId="65BC912E">
            <w:pPr>
              <w:rPr>
                <w:rFonts w:hint="eastAsia"/>
                <w:sz w:val="24"/>
              </w:rPr>
            </w:pPr>
            <w:r>
              <w:rPr>
                <w:rFonts w:hint="eastAsia"/>
                <w:sz w:val="24"/>
              </w:rPr>
              <w:t>账    号：</w:t>
            </w:r>
          </w:p>
          <w:p w14:paraId="3DF418A3">
            <w:pPr>
              <w:rPr>
                <w:rFonts w:hint="eastAsia"/>
                <w:sz w:val="24"/>
              </w:rPr>
            </w:pPr>
            <w:r>
              <w:rPr>
                <w:rFonts w:hint="eastAsia"/>
                <w:sz w:val="24"/>
              </w:rPr>
              <w:t>联系人及电话：</w:t>
            </w:r>
          </w:p>
          <w:p w14:paraId="55C22CF0">
            <w:pPr>
              <w:rPr>
                <w:rFonts w:hint="eastAsia"/>
                <w:sz w:val="24"/>
              </w:rPr>
            </w:pPr>
          </w:p>
          <w:p w14:paraId="64FA29CA">
            <w:pPr>
              <w:jc w:val="center"/>
              <w:rPr>
                <w:rFonts w:hint="eastAsia"/>
                <w:sz w:val="24"/>
              </w:rPr>
            </w:pPr>
            <w:r>
              <w:rPr>
                <w:rFonts w:hint="eastAsia"/>
                <w:sz w:val="24"/>
              </w:rPr>
              <w:t xml:space="preserve">                           供应商公章：</w:t>
            </w:r>
          </w:p>
          <w:p w14:paraId="091593A6">
            <w:pPr>
              <w:jc w:val="center"/>
              <w:rPr>
                <w:rFonts w:hint="eastAsia"/>
                <w:sz w:val="24"/>
              </w:rPr>
            </w:pPr>
            <w:r>
              <w:rPr>
                <w:rFonts w:hint="eastAsia"/>
                <w:sz w:val="24"/>
              </w:rPr>
              <w:t xml:space="preserve">                                                年    月    日</w:t>
            </w:r>
          </w:p>
        </w:tc>
      </w:tr>
      <w:tr w14:paraId="7E6B7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5" w:hRule="atLeast"/>
          <w:jc w:val="center"/>
        </w:trPr>
        <w:tc>
          <w:tcPr>
            <w:tcW w:w="817" w:type="dxa"/>
            <w:noWrap w:val="0"/>
            <w:vAlign w:val="center"/>
          </w:tcPr>
          <w:p w14:paraId="668C0AE0">
            <w:pPr>
              <w:jc w:val="center"/>
              <w:rPr>
                <w:rFonts w:hint="eastAsia"/>
                <w:sz w:val="24"/>
              </w:rPr>
            </w:pPr>
            <w:r>
              <w:rPr>
                <w:rFonts w:hint="eastAsia"/>
                <w:sz w:val="24"/>
              </w:rPr>
              <w:t>采</w:t>
            </w:r>
          </w:p>
          <w:p w14:paraId="6C432851">
            <w:pPr>
              <w:jc w:val="center"/>
              <w:rPr>
                <w:rFonts w:hint="eastAsia"/>
                <w:sz w:val="24"/>
              </w:rPr>
            </w:pPr>
            <w:r>
              <w:rPr>
                <w:rFonts w:hint="eastAsia"/>
                <w:sz w:val="24"/>
              </w:rPr>
              <w:t>购</w:t>
            </w:r>
          </w:p>
          <w:p w14:paraId="0C7526FD">
            <w:pPr>
              <w:jc w:val="center"/>
              <w:rPr>
                <w:rFonts w:hint="eastAsia"/>
                <w:sz w:val="24"/>
              </w:rPr>
            </w:pPr>
            <w:r>
              <w:rPr>
                <w:rFonts w:hint="eastAsia"/>
                <w:sz w:val="24"/>
              </w:rPr>
              <w:t>单</w:t>
            </w:r>
          </w:p>
          <w:p w14:paraId="19781CCE">
            <w:pPr>
              <w:jc w:val="center"/>
              <w:rPr>
                <w:rFonts w:hint="eastAsia"/>
                <w:sz w:val="24"/>
              </w:rPr>
            </w:pPr>
            <w:r>
              <w:rPr>
                <w:rFonts w:hint="eastAsia"/>
                <w:sz w:val="24"/>
              </w:rPr>
              <w:t>位</w:t>
            </w:r>
          </w:p>
          <w:p w14:paraId="42DECE6D">
            <w:pPr>
              <w:jc w:val="center"/>
              <w:rPr>
                <w:rFonts w:hint="eastAsia"/>
                <w:sz w:val="24"/>
              </w:rPr>
            </w:pPr>
            <w:r>
              <w:rPr>
                <w:rFonts w:hint="eastAsia"/>
                <w:sz w:val="24"/>
              </w:rPr>
              <w:t>意</w:t>
            </w:r>
          </w:p>
          <w:p w14:paraId="6896EAD0">
            <w:pPr>
              <w:jc w:val="center"/>
              <w:rPr>
                <w:rFonts w:hint="eastAsia"/>
                <w:sz w:val="24"/>
              </w:rPr>
            </w:pPr>
            <w:r>
              <w:rPr>
                <w:rFonts w:hint="eastAsia"/>
                <w:sz w:val="24"/>
              </w:rPr>
              <w:t>见</w:t>
            </w:r>
          </w:p>
        </w:tc>
        <w:tc>
          <w:tcPr>
            <w:tcW w:w="8009" w:type="dxa"/>
            <w:noWrap w:val="0"/>
            <w:vAlign w:val="top"/>
          </w:tcPr>
          <w:p w14:paraId="11008773">
            <w:pPr>
              <w:rPr>
                <w:rFonts w:hint="eastAsia"/>
                <w:sz w:val="24"/>
              </w:rPr>
            </w:pPr>
          </w:p>
          <w:p w14:paraId="154ED912">
            <w:pPr>
              <w:rPr>
                <w:rFonts w:hint="eastAsia"/>
                <w:sz w:val="24"/>
              </w:rPr>
            </w:pPr>
            <w:r>
              <w:rPr>
                <w:rFonts w:hint="eastAsia"/>
                <w:sz w:val="24"/>
              </w:rPr>
              <w:t>退付意见：是否同意退付履约保证金及退付金额：</w:t>
            </w:r>
          </w:p>
          <w:p w14:paraId="07657A2B">
            <w:pPr>
              <w:rPr>
                <w:rFonts w:hint="eastAsia"/>
                <w:sz w:val="24"/>
              </w:rPr>
            </w:pPr>
          </w:p>
          <w:p w14:paraId="3D8177CF">
            <w:pPr>
              <w:rPr>
                <w:rFonts w:hint="eastAsia"/>
                <w:sz w:val="24"/>
              </w:rPr>
            </w:pPr>
          </w:p>
          <w:p w14:paraId="321A3163">
            <w:pPr>
              <w:rPr>
                <w:rFonts w:hint="eastAsia"/>
                <w:sz w:val="24"/>
              </w:rPr>
            </w:pPr>
            <w:r>
              <w:rPr>
                <w:rFonts w:hint="eastAsia"/>
                <w:sz w:val="24"/>
              </w:rPr>
              <w:t xml:space="preserve">联系人及电话：                                </w:t>
            </w:r>
          </w:p>
          <w:p w14:paraId="7D561948">
            <w:pPr>
              <w:rPr>
                <w:rFonts w:hint="eastAsia"/>
                <w:sz w:val="24"/>
              </w:rPr>
            </w:pPr>
          </w:p>
          <w:p w14:paraId="1B6C8375">
            <w:pPr>
              <w:ind w:firstLine="4560" w:firstLineChars="1900"/>
              <w:rPr>
                <w:rFonts w:hint="eastAsia"/>
                <w:sz w:val="24"/>
              </w:rPr>
            </w:pPr>
            <w:r>
              <w:rPr>
                <w:rFonts w:hint="eastAsia"/>
                <w:sz w:val="24"/>
              </w:rPr>
              <w:t xml:space="preserve"> 采购单位公章：</w:t>
            </w:r>
          </w:p>
          <w:p w14:paraId="14DDE69D">
            <w:pPr>
              <w:jc w:val="center"/>
              <w:rPr>
                <w:rFonts w:hint="eastAsia"/>
                <w:sz w:val="24"/>
              </w:rPr>
            </w:pPr>
            <w:r>
              <w:rPr>
                <w:rFonts w:hint="eastAsia"/>
                <w:sz w:val="24"/>
              </w:rPr>
              <w:t xml:space="preserve">                                                年    月    日</w:t>
            </w:r>
          </w:p>
        </w:tc>
      </w:tr>
      <w:tr w14:paraId="7BB3C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3" w:hRule="atLeast"/>
          <w:jc w:val="center"/>
        </w:trPr>
        <w:tc>
          <w:tcPr>
            <w:tcW w:w="817" w:type="dxa"/>
            <w:noWrap w:val="0"/>
            <w:vAlign w:val="center"/>
          </w:tcPr>
          <w:p w14:paraId="3D5540CE">
            <w:pPr>
              <w:jc w:val="center"/>
              <w:rPr>
                <w:rFonts w:hint="eastAsia"/>
                <w:sz w:val="24"/>
              </w:rPr>
            </w:pPr>
            <w:r>
              <w:rPr>
                <w:rFonts w:hint="eastAsia"/>
                <w:sz w:val="24"/>
              </w:rPr>
              <w:t>财</w:t>
            </w:r>
          </w:p>
          <w:p w14:paraId="3A218826">
            <w:pPr>
              <w:jc w:val="center"/>
              <w:rPr>
                <w:rFonts w:hint="eastAsia"/>
                <w:sz w:val="24"/>
              </w:rPr>
            </w:pPr>
            <w:r>
              <w:rPr>
                <w:rFonts w:hint="eastAsia"/>
                <w:sz w:val="24"/>
              </w:rPr>
              <w:t>务</w:t>
            </w:r>
          </w:p>
          <w:p w14:paraId="1E933D99">
            <w:pPr>
              <w:jc w:val="center"/>
              <w:rPr>
                <w:rFonts w:hint="eastAsia"/>
                <w:sz w:val="24"/>
              </w:rPr>
            </w:pPr>
            <w:r>
              <w:rPr>
                <w:rFonts w:hint="eastAsia"/>
                <w:sz w:val="24"/>
              </w:rPr>
              <w:t>部</w:t>
            </w:r>
          </w:p>
          <w:p w14:paraId="22CD8446">
            <w:pPr>
              <w:jc w:val="center"/>
              <w:rPr>
                <w:rFonts w:hint="eastAsia"/>
                <w:sz w:val="24"/>
              </w:rPr>
            </w:pPr>
            <w:r>
              <w:rPr>
                <w:rFonts w:hint="eastAsia"/>
                <w:sz w:val="24"/>
              </w:rPr>
              <w:t>门</w:t>
            </w:r>
          </w:p>
          <w:p w14:paraId="56F58F3D">
            <w:pPr>
              <w:jc w:val="center"/>
              <w:rPr>
                <w:rFonts w:hint="eastAsia"/>
                <w:sz w:val="24"/>
              </w:rPr>
            </w:pPr>
            <w:r>
              <w:rPr>
                <w:rFonts w:hint="eastAsia"/>
                <w:sz w:val="24"/>
              </w:rPr>
              <w:t>意</w:t>
            </w:r>
          </w:p>
          <w:p w14:paraId="06B9280B">
            <w:pPr>
              <w:jc w:val="center"/>
              <w:rPr>
                <w:rFonts w:hint="eastAsia"/>
                <w:sz w:val="24"/>
              </w:rPr>
            </w:pPr>
            <w:r>
              <w:rPr>
                <w:rFonts w:hint="eastAsia"/>
                <w:sz w:val="24"/>
              </w:rPr>
              <w:t>见</w:t>
            </w:r>
          </w:p>
        </w:tc>
        <w:tc>
          <w:tcPr>
            <w:tcW w:w="8009" w:type="dxa"/>
            <w:noWrap w:val="0"/>
            <w:vAlign w:val="top"/>
          </w:tcPr>
          <w:p w14:paraId="50320418">
            <w:pPr>
              <w:rPr>
                <w:rFonts w:hint="eastAsia"/>
                <w:sz w:val="24"/>
              </w:rPr>
            </w:pPr>
            <w:r>
              <w:rPr>
                <w:rFonts w:hint="eastAsia"/>
                <w:sz w:val="24"/>
              </w:rPr>
              <w:t>此表于</w:t>
            </w:r>
            <w:r>
              <w:rPr>
                <w:rFonts w:hint="eastAsia"/>
                <w:sz w:val="24"/>
                <w:u w:val="single"/>
              </w:rPr>
              <w:t xml:space="preserve">     </w:t>
            </w:r>
            <w:r>
              <w:rPr>
                <w:rFonts w:hint="eastAsia"/>
                <w:sz w:val="24"/>
              </w:rPr>
              <w:t>年</w:t>
            </w:r>
            <w:r>
              <w:rPr>
                <w:rFonts w:hint="eastAsia"/>
                <w:sz w:val="24"/>
                <w:u w:val="single"/>
              </w:rPr>
              <w:t xml:space="preserve">     </w:t>
            </w:r>
            <w:r>
              <w:rPr>
                <w:rFonts w:hint="eastAsia"/>
                <w:sz w:val="24"/>
              </w:rPr>
              <w:t>月</w:t>
            </w:r>
            <w:r>
              <w:rPr>
                <w:rFonts w:hint="eastAsia"/>
                <w:sz w:val="24"/>
                <w:u w:val="single"/>
              </w:rPr>
              <w:t xml:space="preserve">      </w:t>
            </w:r>
            <w:r>
              <w:rPr>
                <w:rFonts w:hint="eastAsia"/>
                <w:sz w:val="24"/>
              </w:rPr>
              <w:t>日收到。</w:t>
            </w:r>
          </w:p>
          <w:p w14:paraId="03692AB9">
            <w:pPr>
              <w:rPr>
                <w:rFonts w:hint="eastAsia"/>
                <w:sz w:val="24"/>
              </w:rPr>
            </w:pPr>
          </w:p>
          <w:p w14:paraId="6D08EBD8">
            <w:pPr>
              <w:rPr>
                <w:rFonts w:hint="eastAsia"/>
                <w:sz w:val="24"/>
              </w:rPr>
            </w:pPr>
            <w:r>
              <w:rPr>
                <w:rFonts w:hint="eastAsia"/>
                <w:sz w:val="24"/>
              </w:rPr>
              <w:t>会计审核：</w:t>
            </w:r>
          </w:p>
          <w:p w14:paraId="137901A8">
            <w:pPr>
              <w:rPr>
                <w:rFonts w:hint="eastAsia"/>
                <w:sz w:val="24"/>
              </w:rPr>
            </w:pPr>
          </w:p>
          <w:p w14:paraId="082A043D">
            <w:pPr>
              <w:rPr>
                <w:rFonts w:hint="eastAsia"/>
                <w:sz w:val="24"/>
              </w:rPr>
            </w:pPr>
            <w:r>
              <w:rPr>
                <w:rFonts w:hint="eastAsia"/>
                <w:sz w:val="24"/>
              </w:rPr>
              <w:t>财务负责人审核：</w:t>
            </w:r>
          </w:p>
          <w:p w14:paraId="0521208D">
            <w:pPr>
              <w:rPr>
                <w:rFonts w:hint="eastAsia"/>
                <w:sz w:val="24"/>
              </w:rPr>
            </w:pPr>
          </w:p>
          <w:p w14:paraId="723D7101">
            <w:pPr>
              <w:rPr>
                <w:rFonts w:hint="eastAsia"/>
                <w:sz w:val="24"/>
              </w:rPr>
            </w:pPr>
            <w:r>
              <w:rPr>
                <w:rFonts w:hint="eastAsia"/>
                <w:sz w:val="24"/>
              </w:rPr>
              <w:t>单位负责人签字：</w:t>
            </w:r>
          </w:p>
          <w:p w14:paraId="37ACE67B">
            <w:pPr>
              <w:rPr>
                <w:rFonts w:hint="eastAsia"/>
                <w:sz w:val="24"/>
              </w:rPr>
            </w:pPr>
          </w:p>
          <w:p w14:paraId="393D2F83">
            <w:pPr>
              <w:rPr>
                <w:rFonts w:hint="eastAsia"/>
                <w:sz w:val="24"/>
              </w:rPr>
            </w:pPr>
            <w:r>
              <w:rPr>
                <w:rFonts w:hint="eastAsia"/>
                <w:sz w:val="24"/>
              </w:rPr>
              <w:t>出纳办理转账日期：</w:t>
            </w:r>
          </w:p>
        </w:tc>
      </w:tr>
    </w:tbl>
    <w:p w14:paraId="585FFAB7">
      <w:pPr>
        <w:pStyle w:val="18"/>
        <w:ind w:left="420" w:leftChars="114" w:hanging="181" w:hangingChars="100"/>
        <w:rPr>
          <w:rFonts w:hint="eastAsia" w:hAnsi="宋体"/>
        </w:rPr>
      </w:pPr>
      <w:r>
        <w:rPr>
          <w:rFonts w:hint="eastAsia" w:ascii="宋体"/>
          <w:b/>
          <w:bCs/>
          <w:sz w:val="18"/>
          <w:szCs w:val="18"/>
        </w:rPr>
        <w:t>注：供应商凭经采购单位审批的退付意见书到履约保证金收取单位财务部门办理履约保证金退付事宜。</w:t>
      </w:r>
    </w:p>
    <w:p w14:paraId="2FCCF529">
      <w:pPr>
        <w:pStyle w:val="25"/>
        <w:spacing w:line="360" w:lineRule="auto"/>
        <w:ind w:firstLine="400" w:firstLineChars="200"/>
        <w:rPr>
          <w:rFonts w:hint="eastAsia" w:hAnsi="宋体"/>
        </w:rPr>
      </w:pPr>
      <w:r>
        <w:rPr>
          <w:rFonts w:hAnsi="宋体"/>
        </w:rPr>
        <w:br w:type="page"/>
      </w:r>
    </w:p>
    <w:p w14:paraId="631118BD">
      <w:pPr>
        <w:pStyle w:val="25"/>
        <w:snapToGrid w:val="0"/>
        <w:spacing w:before="120" w:after="120"/>
        <w:rPr>
          <w:rFonts w:hint="eastAsia" w:hAnsi="宋体"/>
        </w:rPr>
      </w:pPr>
    </w:p>
    <w:p w14:paraId="71C6FABC">
      <w:pPr>
        <w:pStyle w:val="25"/>
        <w:snapToGrid w:val="0"/>
        <w:spacing w:before="120" w:after="120"/>
        <w:rPr>
          <w:rFonts w:hint="eastAsia" w:hAnsi="宋体"/>
        </w:rPr>
      </w:pPr>
    </w:p>
    <w:p w14:paraId="1CC9926A">
      <w:pPr>
        <w:pStyle w:val="25"/>
        <w:snapToGrid w:val="0"/>
        <w:spacing w:before="120" w:after="120"/>
        <w:rPr>
          <w:rFonts w:hint="eastAsia" w:hAnsi="宋体"/>
        </w:rPr>
      </w:pPr>
    </w:p>
    <w:p w14:paraId="3C881841">
      <w:pPr>
        <w:pStyle w:val="25"/>
        <w:snapToGrid w:val="0"/>
        <w:spacing w:before="120" w:after="120"/>
        <w:rPr>
          <w:rFonts w:hint="eastAsia" w:hAnsi="宋体"/>
        </w:rPr>
      </w:pPr>
    </w:p>
    <w:p w14:paraId="0E6401A0">
      <w:pPr>
        <w:pStyle w:val="25"/>
        <w:snapToGrid w:val="0"/>
        <w:spacing w:before="120" w:after="120"/>
        <w:rPr>
          <w:rFonts w:hint="eastAsia" w:hAnsi="宋体"/>
        </w:rPr>
      </w:pPr>
    </w:p>
    <w:p w14:paraId="3CDC2927">
      <w:pPr>
        <w:pStyle w:val="25"/>
        <w:snapToGrid w:val="0"/>
        <w:spacing w:before="120" w:after="120"/>
        <w:rPr>
          <w:rFonts w:hint="eastAsia" w:hAnsi="宋体"/>
        </w:rPr>
      </w:pPr>
    </w:p>
    <w:p w14:paraId="19A208FD">
      <w:pPr>
        <w:pStyle w:val="25"/>
        <w:snapToGrid w:val="0"/>
        <w:spacing w:before="120" w:after="120"/>
        <w:rPr>
          <w:rFonts w:hint="eastAsia" w:hAnsi="宋体"/>
        </w:rPr>
      </w:pPr>
    </w:p>
    <w:p w14:paraId="7C230EAE">
      <w:pPr>
        <w:pStyle w:val="25"/>
        <w:snapToGrid w:val="0"/>
        <w:spacing w:before="120" w:after="120"/>
        <w:rPr>
          <w:rFonts w:hint="eastAsia" w:hAnsi="宋体"/>
        </w:rPr>
      </w:pPr>
    </w:p>
    <w:p w14:paraId="6BB09727">
      <w:pPr>
        <w:pStyle w:val="25"/>
        <w:snapToGrid w:val="0"/>
        <w:spacing w:before="120" w:after="120"/>
        <w:rPr>
          <w:rFonts w:hint="eastAsia" w:hAnsi="宋体"/>
        </w:rPr>
      </w:pPr>
    </w:p>
    <w:p w14:paraId="5EE173A1">
      <w:pPr>
        <w:pStyle w:val="25"/>
        <w:snapToGrid w:val="0"/>
        <w:spacing w:before="120" w:after="120"/>
        <w:rPr>
          <w:rFonts w:hint="eastAsia" w:hAnsi="宋体"/>
        </w:rPr>
      </w:pPr>
    </w:p>
    <w:p w14:paraId="4E8E699F">
      <w:pPr>
        <w:pStyle w:val="25"/>
        <w:snapToGrid w:val="0"/>
        <w:spacing w:before="120" w:after="120"/>
        <w:rPr>
          <w:rFonts w:hint="eastAsia" w:hAnsi="宋体"/>
        </w:rPr>
      </w:pPr>
    </w:p>
    <w:p w14:paraId="79CF6494">
      <w:pPr>
        <w:pStyle w:val="25"/>
        <w:snapToGrid w:val="0"/>
        <w:spacing w:before="120" w:after="120"/>
        <w:rPr>
          <w:rFonts w:hint="eastAsia" w:hAnsi="宋体"/>
        </w:rPr>
      </w:pPr>
    </w:p>
    <w:p w14:paraId="1501ED02">
      <w:pPr>
        <w:pStyle w:val="25"/>
        <w:snapToGrid w:val="0"/>
        <w:spacing w:before="120" w:after="120"/>
        <w:rPr>
          <w:rFonts w:hint="eastAsia" w:hAnsi="宋体"/>
        </w:rPr>
      </w:pPr>
    </w:p>
    <w:p w14:paraId="2A344B57">
      <w:pPr>
        <w:pStyle w:val="2"/>
        <w:jc w:val="center"/>
        <w:rPr>
          <w:rFonts w:hint="eastAsia"/>
        </w:rPr>
      </w:pPr>
      <w:bookmarkStart w:id="170" w:name="_Toc254970689"/>
      <w:bookmarkStart w:id="171" w:name="_Toc15687"/>
      <w:bookmarkStart w:id="172" w:name="_Toc254970548"/>
      <w:bookmarkStart w:id="173" w:name="_Toc330456896"/>
      <w:r>
        <w:rPr>
          <w:rFonts w:hint="eastAsia"/>
        </w:rPr>
        <w:t>第四章  评标方法及评标标准</w:t>
      </w:r>
      <w:bookmarkEnd w:id="170"/>
      <w:bookmarkEnd w:id="171"/>
      <w:bookmarkEnd w:id="172"/>
      <w:bookmarkEnd w:id="173"/>
    </w:p>
    <w:p w14:paraId="669EBF42">
      <w:pPr>
        <w:rPr>
          <w:rFonts w:hint="eastAsia"/>
        </w:rPr>
      </w:pPr>
      <w:bookmarkStart w:id="174" w:name="_Toc254970549"/>
      <w:bookmarkStart w:id="175" w:name="_Toc254970690"/>
    </w:p>
    <w:bookmarkEnd w:id="174"/>
    <w:bookmarkEnd w:id="175"/>
    <w:p w14:paraId="78865236">
      <w:pPr>
        <w:rPr>
          <w:rFonts w:hint="eastAsia"/>
        </w:rPr>
      </w:pPr>
    </w:p>
    <w:p w14:paraId="5B1A83EE">
      <w:pPr>
        <w:rPr>
          <w:rFonts w:hint="eastAsia"/>
        </w:rPr>
      </w:pPr>
    </w:p>
    <w:p w14:paraId="7000F709">
      <w:pPr>
        <w:rPr>
          <w:rFonts w:hint="eastAsia"/>
        </w:rPr>
      </w:pPr>
    </w:p>
    <w:p w14:paraId="6EF9A684">
      <w:pPr>
        <w:rPr>
          <w:rFonts w:hint="eastAsia"/>
        </w:rPr>
      </w:pPr>
    </w:p>
    <w:p w14:paraId="3A306CA1">
      <w:pPr>
        <w:rPr>
          <w:rFonts w:hint="eastAsia"/>
        </w:rPr>
      </w:pPr>
    </w:p>
    <w:p w14:paraId="2075EB04">
      <w:pPr>
        <w:rPr>
          <w:rFonts w:hint="eastAsia"/>
        </w:rPr>
      </w:pPr>
    </w:p>
    <w:p w14:paraId="5684F21D">
      <w:pPr>
        <w:rPr>
          <w:rFonts w:hint="eastAsia"/>
        </w:rPr>
      </w:pPr>
    </w:p>
    <w:p w14:paraId="58BDC2F3">
      <w:pPr>
        <w:rPr>
          <w:rFonts w:hint="eastAsia"/>
        </w:rPr>
      </w:pPr>
    </w:p>
    <w:p w14:paraId="3FBFEEEE">
      <w:pPr>
        <w:spacing w:before="156" w:beforeLines="50" w:after="156" w:afterLines="50" w:line="400" w:lineRule="exact"/>
        <w:rPr>
          <w:rFonts w:hint="eastAsia" w:ascii="宋体" w:hAnsi="宋体"/>
          <w:b/>
          <w:sz w:val="24"/>
        </w:rPr>
      </w:pPr>
    </w:p>
    <w:p w14:paraId="0B2A62F7">
      <w:pPr>
        <w:spacing w:before="156" w:beforeLines="50" w:after="156" w:afterLines="50" w:line="400" w:lineRule="exact"/>
        <w:rPr>
          <w:rFonts w:hint="eastAsia" w:ascii="宋体" w:hAnsi="宋体"/>
          <w:b/>
          <w:sz w:val="24"/>
        </w:rPr>
      </w:pPr>
    </w:p>
    <w:p w14:paraId="0269C914">
      <w:pPr>
        <w:pStyle w:val="25"/>
        <w:spacing w:line="360" w:lineRule="exact"/>
        <w:rPr>
          <w:rFonts w:hint="eastAsia" w:hAnsi="宋体"/>
          <w:b/>
          <w:sz w:val="24"/>
        </w:rPr>
      </w:pPr>
    </w:p>
    <w:p w14:paraId="7A0FC1C2">
      <w:pPr>
        <w:pStyle w:val="25"/>
        <w:spacing w:line="360" w:lineRule="exact"/>
        <w:rPr>
          <w:rFonts w:hint="eastAsia" w:hAnsi="宋体"/>
          <w:b/>
          <w:sz w:val="24"/>
        </w:rPr>
      </w:pPr>
    </w:p>
    <w:p w14:paraId="33E45DB5">
      <w:pPr>
        <w:pStyle w:val="25"/>
        <w:spacing w:line="360" w:lineRule="exact"/>
        <w:rPr>
          <w:rFonts w:hint="eastAsia" w:hAnsi="宋体"/>
          <w:b/>
          <w:sz w:val="24"/>
        </w:rPr>
      </w:pPr>
    </w:p>
    <w:p w14:paraId="24EC327A">
      <w:pPr>
        <w:pStyle w:val="25"/>
        <w:spacing w:line="360" w:lineRule="exact"/>
        <w:rPr>
          <w:rFonts w:hint="eastAsia" w:hAnsi="宋体"/>
          <w:b/>
          <w:sz w:val="24"/>
        </w:rPr>
      </w:pPr>
    </w:p>
    <w:p w14:paraId="003B0ACC">
      <w:pPr>
        <w:pStyle w:val="25"/>
        <w:spacing w:line="360" w:lineRule="exact"/>
        <w:rPr>
          <w:rFonts w:hint="eastAsia" w:hAnsi="宋体"/>
          <w:b/>
          <w:sz w:val="24"/>
        </w:rPr>
      </w:pPr>
    </w:p>
    <w:p w14:paraId="518DB7E0">
      <w:pPr>
        <w:pStyle w:val="25"/>
        <w:spacing w:line="360" w:lineRule="exact"/>
        <w:rPr>
          <w:rFonts w:hint="eastAsia" w:hAnsi="宋体"/>
          <w:b/>
          <w:sz w:val="24"/>
        </w:rPr>
      </w:pPr>
    </w:p>
    <w:p w14:paraId="1B559625">
      <w:pPr>
        <w:pStyle w:val="25"/>
        <w:spacing w:line="360" w:lineRule="exact"/>
        <w:rPr>
          <w:rFonts w:hAnsi="宋体"/>
          <w:bCs/>
        </w:rPr>
      </w:pPr>
      <w:r>
        <w:rPr>
          <w:rFonts w:hAnsi="宋体"/>
          <w:bCs/>
        </w:rPr>
        <w:t xml:space="preserve"> </w:t>
      </w:r>
    </w:p>
    <w:p w14:paraId="4A709B99">
      <w:pPr>
        <w:pStyle w:val="25"/>
        <w:spacing w:line="360" w:lineRule="exact"/>
        <w:rPr>
          <w:rFonts w:hint="eastAsia" w:hAnsi="宋体"/>
          <w:bCs/>
        </w:rPr>
      </w:pPr>
    </w:p>
    <w:p w14:paraId="0016E9EC">
      <w:pPr>
        <w:pStyle w:val="4"/>
        <w:keepNext w:val="0"/>
        <w:keepLines w:val="0"/>
        <w:jc w:val="center"/>
        <w:rPr>
          <w:sz w:val="30"/>
          <w:szCs w:val="30"/>
        </w:rPr>
      </w:pPr>
      <w:r>
        <w:rPr>
          <w:rFonts w:hint="eastAsia"/>
          <w:sz w:val="30"/>
          <w:szCs w:val="30"/>
        </w:rPr>
        <w:t>一、评标方法</w:t>
      </w:r>
    </w:p>
    <w:p w14:paraId="31AD7ED5">
      <w:pPr>
        <w:pStyle w:val="25"/>
        <w:spacing w:line="360" w:lineRule="auto"/>
        <w:ind w:firstLine="420"/>
        <w:rPr>
          <w:rFonts w:hAnsi="宋体"/>
          <w:sz w:val="21"/>
        </w:rPr>
      </w:pPr>
      <w:r>
        <w:rPr>
          <w:rFonts w:hint="eastAsia" w:hAnsi="宋体"/>
          <w:sz w:val="21"/>
        </w:rPr>
        <w:t>综合评分法，是指投标文件满足招标文件全部实质性要求，且按照评审因素的量化指标评审得分最高的投标人为中标候选人的评标方法。</w:t>
      </w:r>
    </w:p>
    <w:p w14:paraId="0083738A">
      <w:pPr>
        <w:pStyle w:val="25"/>
        <w:spacing w:line="360" w:lineRule="auto"/>
        <w:ind w:firstLine="420"/>
        <w:rPr>
          <w:rFonts w:hAnsi="宋体"/>
          <w:sz w:val="21"/>
        </w:rPr>
      </w:pPr>
      <w:r>
        <w:rPr>
          <w:rFonts w:hint="eastAsia" w:hAnsi="宋体"/>
          <w:sz w:val="21"/>
        </w:rPr>
        <w:t>最低评标价法，是指投标文件满足招标文件全部实质性要求，且投标报价最低的投标人为中标候选人的评标方法。</w:t>
      </w:r>
    </w:p>
    <w:p w14:paraId="1006CA13">
      <w:pPr>
        <w:pStyle w:val="4"/>
        <w:keepNext w:val="0"/>
        <w:keepLines w:val="0"/>
        <w:jc w:val="center"/>
        <w:rPr>
          <w:rFonts w:hint="eastAsia"/>
          <w:sz w:val="30"/>
          <w:szCs w:val="30"/>
        </w:rPr>
      </w:pPr>
      <w:r>
        <w:rPr>
          <w:rFonts w:hint="eastAsia"/>
          <w:sz w:val="30"/>
          <w:szCs w:val="30"/>
        </w:rPr>
        <w:t>二、评标程序</w:t>
      </w:r>
    </w:p>
    <w:p w14:paraId="6595356F">
      <w:pPr>
        <w:pStyle w:val="6"/>
        <w:keepNext w:val="0"/>
        <w:keepLines w:val="0"/>
        <w:spacing w:before="0" w:after="0" w:line="360" w:lineRule="auto"/>
        <w:ind w:left="420" w:leftChars="200"/>
        <w:rPr>
          <w:rFonts w:hint="eastAsia" w:ascii="宋体" w:hAnsi="宋体"/>
          <w:sz w:val="21"/>
          <w:szCs w:val="21"/>
        </w:rPr>
      </w:pPr>
      <w:r>
        <w:rPr>
          <w:rFonts w:hint="eastAsia" w:ascii="宋体" w:hAnsi="宋体"/>
          <w:sz w:val="21"/>
          <w:szCs w:val="21"/>
        </w:rPr>
        <w:t>1.符合性审查</w:t>
      </w:r>
    </w:p>
    <w:p w14:paraId="611DC104">
      <w:pPr>
        <w:pStyle w:val="25"/>
        <w:snapToGrid w:val="0"/>
        <w:spacing w:line="360" w:lineRule="auto"/>
        <w:ind w:left="1" w:firstLine="420"/>
        <w:rPr>
          <w:rFonts w:hint="eastAsia" w:hAnsi="宋体"/>
          <w:b/>
          <w:kern w:val="2"/>
          <w:sz w:val="21"/>
        </w:rPr>
      </w:pPr>
      <w:r>
        <w:rPr>
          <w:rFonts w:hint="eastAsia" w:hAnsi="宋体"/>
          <w:b/>
          <w:kern w:val="2"/>
          <w:sz w:val="21"/>
        </w:rPr>
        <w:t>评标委员会应当对符合资格的投标人的投标文件进行投标报价、商务、技术等实质性内容符合性审查，以确定其是否满足招标文件的实质性要求。</w:t>
      </w:r>
    </w:p>
    <w:p w14:paraId="1B5CD0E1">
      <w:pPr>
        <w:pStyle w:val="6"/>
        <w:keepNext w:val="0"/>
        <w:keepLines w:val="0"/>
        <w:spacing w:before="0" w:after="0" w:line="360" w:lineRule="auto"/>
        <w:ind w:left="420" w:leftChars="200"/>
        <w:rPr>
          <w:rFonts w:hint="eastAsia" w:ascii="宋体" w:hAnsi="宋体"/>
          <w:sz w:val="21"/>
          <w:szCs w:val="21"/>
        </w:rPr>
      </w:pPr>
      <w:r>
        <w:rPr>
          <w:rFonts w:hint="eastAsia" w:ascii="宋体" w:hAnsi="宋体"/>
          <w:sz w:val="21"/>
          <w:szCs w:val="21"/>
        </w:rPr>
        <w:t>2</w:t>
      </w:r>
      <w:r>
        <w:rPr>
          <w:rFonts w:ascii="宋体" w:hAnsi="宋体"/>
          <w:sz w:val="21"/>
          <w:szCs w:val="21"/>
        </w:rPr>
        <w:t>.</w:t>
      </w:r>
      <w:r>
        <w:rPr>
          <w:rFonts w:hint="eastAsia" w:ascii="宋体" w:hAnsi="宋体"/>
          <w:sz w:val="21"/>
          <w:szCs w:val="21"/>
        </w:rPr>
        <w:t>符合性审查不通过而导致投标无效的情形</w:t>
      </w:r>
    </w:p>
    <w:p w14:paraId="74E2E0C5">
      <w:pPr>
        <w:snapToGrid w:val="0"/>
        <w:spacing w:line="360" w:lineRule="auto"/>
        <w:ind w:firstLine="422" w:firstLineChars="200"/>
        <w:rPr>
          <w:rFonts w:hint="eastAsia" w:ascii="宋体" w:hAnsi="宋体"/>
          <w:b/>
          <w:szCs w:val="21"/>
        </w:rPr>
      </w:pPr>
      <w:r>
        <w:rPr>
          <w:rFonts w:hint="eastAsia" w:ascii="宋体" w:hAnsi="宋体"/>
          <w:b/>
          <w:szCs w:val="21"/>
        </w:rPr>
        <w:t>投标人的投标文件中存在对招标文件的任何实质性要求和条件的负偏离，将被视为投标无效。</w:t>
      </w:r>
    </w:p>
    <w:p w14:paraId="5F246FBA">
      <w:pPr>
        <w:pStyle w:val="6"/>
        <w:keepNext w:val="0"/>
        <w:keepLines w:val="0"/>
        <w:spacing w:before="0" w:after="0" w:line="360" w:lineRule="auto"/>
        <w:ind w:left="420" w:leftChars="200"/>
        <w:rPr>
          <w:rFonts w:hint="eastAsia" w:ascii="宋体" w:hAnsi="宋体"/>
          <w:sz w:val="21"/>
          <w:szCs w:val="21"/>
        </w:rPr>
      </w:pPr>
      <w:r>
        <w:rPr>
          <w:rFonts w:hint="eastAsia" w:ascii="宋体" w:hAnsi="宋体"/>
          <w:sz w:val="21"/>
          <w:szCs w:val="21"/>
        </w:rPr>
        <w:t>2.1在报价评审时，如发现下列情形之一的，将被视为投标无效：</w:t>
      </w:r>
    </w:p>
    <w:p w14:paraId="310866C5">
      <w:pPr>
        <w:pStyle w:val="7"/>
        <w:numPr>
          <w:ilvl w:val="0"/>
          <w:numId w:val="11"/>
        </w:numPr>
        <w:spacing w:line="360" w:lineRule="auto"/>
        <w:ind w:left="-2" w:firstLine="422"/>
        <w:rPr>
          <w:rFonts w:hint="eastAsia" w:ascii="宋体" w:hAnsi="宋体"/>
          <w:b/>
          <w:szCs w:val="21"/>
        </w:rPr>
      </w:pPr>
      <w:r>
        <w:rPr>
          <w:rFonts w:hint="eastAsia" w:ascii="宋体" w:hAnsi="宋体"/>
          <w:b/>
          <w:spacing w:val="-6"/>
          <w:szCs w:val="21"/>
        </w:rPr>
        <w:t>报价文件未提供“投标人须知前附表”第13条“报价文件”规定中“必须提供”的文件资料的</w:t>
      </w:r>
      <w:r>
        <w:rPr>
          <w:rFonts w:hint="eastAsia" w:ascii="宋体" w:hAnsi="宋体"/>
          <w:b/>
          <w:szCs w:val="21"/>
        </w:rPr>
        <w:t>；</w:t>
      </w:r>
    </w:p>
    <w:p w14:paraId="0B90A1DA">
      <w:pPr>
        <w:pStyle w:val="7"/>
        <w:numPr>
          <w:ilvl w:val="0"/>
          <w:numId w:val="11"/>
        </w:numPr>
        <w:spacing w:line="360" w:lineRule="auto"/>
        <w:ind w:left="-2" w:firstLine="422"/>
        <w:rPr>
          <w:rFonts w:hint="eastAsia" w:ascii="宋体" w:hAnsi="宋体"/>
          <w:b/>
          <w:szCs w:val="21"/>
        </w:rPr>
      </w:pPr>
      <w:r>
        <w:rPr>
          <w:rFonts w:hint="eastAsia" w:ascii="宋体" w:hAnsi="宋体"/>
          <w:b/>
          <w:szCs w:val="21"/>
        </w:rPr>
        <w:t>未采用人民币报价或者未按照招标文件标明的币种报价的；</w:t>
      </w:r>
    </w:p>
    <w:p w14:paraId="1541580F">
      <w:pPr>
        <w:pStyle w:val="7"/>
        <w:numPr>
          <w:ilvl w:val="0"/>
          <w:numId w:val="11"/>
        </w:numPr>
        <w:spacing w:line="360" w:lineRule="auto"/>
        <w:ind w:left="-2" w:firstLine="422"/>
        <w:rPr>
          <w:rFonts w:hint="eastAsia" w:ascii="宋体" w:hAnsi="宋体"/>
          <w:b/>
          <w:szCs w:val="21"/>
        </w:rPr>
      </w:pPr>
      <w:r>
        <w:rPr>
          <w:rFonts w:hint="eastAsia" w:ascii="宋体" w:hAnsi="宋体"/>
          <w:b/>
          <w:szCs w:val="21"/>
        </w:rPr>
        <w:t>各分标报价超出招标文件相应分标规定最高限价，或者超出相应分标采购预算金额的；</w:t>
      </w:r>
    </w:p>
    <w:p w14:paraId="45339A6F">
      <w:pPr>
        <w:pStyle w:val="7"/>
        <w:numPr>
          <w:ilvl w:val="0"/>
          <w:numId w:val="11"/>
        </w:numPr>
        <w:spacing w:line="360" w:lineRule="auto"/>
        <w:ind w:left="-2" w:firstLine="422"/>
        <w:rPr>
          <w:rFonts w:hint="eastAsia" w:ascii="宋体" w:hAnsi="宋体"/>
          <w:b/>
          <w:szCs w:val="21"/>
        </w:rPr>
      </w:pPr>
      <w:r>
        <w:rPr>
          <w:rFonts w:hint="eastAsia" w:ascii="宋体" w:hAnsi="宋体"/>
          <w:b/>
          <w:szCs w:val="21"/>
        </w:rPr>
        <w:t>投标人未就所投分标进行报价或者存在漏项报价；投标人未就所投分标的单项内容作唯一报价；投标人未就所投分标的全部内容作完整唯一总价报价；存在有选择、有条件报价的（招标文件允许有备选方案或者其他约定的除外）；</w:t>
      </w:r>
    </w:p>
    <w:p w14:paraId="3022BE27">
      <w:pPr>
        <w:pStyle w:val="7"/>
        <w:numPr>
          <w:ilvl w:val="0"/>
          <w:numId w:val="11"/>
        </w:numPr>
        <w:spacing w:line="360" w:lineRule="auto"/>
        <w:ind w:left="-2" w:firstLine="422"/>
        <w:rPr>
          <w:rFonts w:hint="eastAsia" w:ascii="宋体" w:hAnsi="宋体"/>
          <w:b/>
          <w:szCs w:val="21"/>
        </w:rPr>
      </w:pPr>
      <w:r>
        <w:rPr>
          <w:rFonts w:hint="eastAsia" w:ascii="宋体" w:hAnsi="宋体"/>
          <w:b/>
          <w:szCs w:val="21"/>
        </w:rPr>
        <w:t>修正后的报价，投标人不确认的；</w:t>
      </w:r>
    </w:p>
    <w:p w14:paraId="023839A4">
      <w:pPr>
        <w:pStyle w:val="7"/>
        <w:numPr>
          <w:ilvl w:val="0"/>
          <w:numId w:val="11"/>
        </w:numPr>
        <w:spacing w:line="360" w:lineRule="auto"/>
        <w:ind w:left="-2" w:firstLine="422"/>
        <w:rPr>
          <w:rFonts w:hint="eastAsia" w:ascii="宋体" w:hAnsi="宋体"/>
          <w:b/>
          <w:szCs w:val="21"/>
        </w:rPr>
      </w:pPr>
      <w:r>
        <w:rPr>
          <w:rFonts w:hint="eastAsia" w:ascii="宋体" w:hAnsi="宋体"/>
          <w:b/>
          <w:szCs w:val="21"/>
        </w:rPr>
        <w:t>投标人属于本章第</w:t>
      </w:r>
      <w:r>
        <w:rPr>
          <w:rFonts w:ascii="宋体" w:hAnsi="宋体"/>
          <w:b/>
          <w:szCs w:val="21"/>
        </w:rPr>
        <w:t>5.1</w:t>
      </w:r>
      <w:r>
        <w:rPr>
          <w:rFonts w:hint="eastAsia" w:ascii="宋体" w:hAnsi="宋体"/>
          <w:b/>
          <w:szCs w:val="21"/>
        </w:rPr>
        <w:t>条（2）情形的；</w:t>
      </w:r>
    </w:p>
    <w:p w14:paraId="54EA0237">
      <w:pPr>
        <w:pStyle w:val="7"/>
        <w:numPr>
          <w:ilvl w:val="0"/>
          <w:numId w:val="11"/>
        </w:numPr>
        <w:spacing w:line="360" w:lineRule="auto"/>
        <w:ind w:left="-2" w:firstLine="422"/>
        <w:rPr>
          <w:rFonts w:hint="eastAsia" w:ascii="宋体" w:hAnsi="宋体"/>
          <w:b/>
          <w:szCs w:val="21"/>
        </w:rPr>
      </w:pPr>
      <w:r>
        <w:rPr>
          <w:rFonts w:hint="eastAsia" w:ascii="宋体" w:hAnsi="宋体"/>
          <w:b/>
          <w:spacing w:val="-6"/>
          <w:szCs w:val="21"/>
        </w:rPr>
        <w:t>报价文件</w:t>
      </w:r>
      <w:r>
        <w:rPr>
          <w:rFonts w:hint="eastAsia" w:ascii="宋体" w:hAnsi="宋体"/>
          <w:b/>
          <w:szCs w:val="21"/>
        </w:rPr>
        <w:t>响应的标的数量及单位与招标文件要求实质性不一致的。</w:t>
      </w:r>
    </w:p>
    <w:p w14:paraId="3DA03A72">
      <w:pPr>
        <w:pStyle w:val="6"/>
        <w:keepNext w:val="0"/>
        <w:keepLines w:val="0"/>
        <w:spacing w:before="0" w:after="0" w:line="360" w:lineRule="auto"/>
        <w:ind w:left="420" w:leftChars="200"/>
        <w:rPr>
          <w:rFonts w:hint="eastAsia" w:ascii="宋体" w:hAnsi="宋体"/>
          <w:sz w:val="21"/>
          <w:szCs w:val="21"/>
        </w:rPr>
      </w:pPr>
      <w:r>
        <w:rPr>
          <w:rFonts w:hint="eastAsia" w:ascii="宋体" w:hAnsi="宋体"/>
          <w:sz w:val="21"/>
          <w:szCs w:val="21"/>
        </w:rPr>
        <w:t>2.2在商务及技术评审时，如发现下列情形之一的，将被视为投标无效：</w:t>
      </w:r>
    </w:p>
    <w:p w14:paraId="11FEC545">
      <w:pPr>
        <w:numPr>
          <w:ilvl w:val="0"/>
          <w:numId w:val="12"/>
        </w:numPr>
        <w:snapToGrid w:val="0"/>
        <w:spacing w:line="360" w:lineRule="auto"/>
        <w:ind w:firstLine="422" w:firstLineChars="200"/>
        <w:rPr>
          <w:rFonts w:hint="eastAsia" w:ascii="宋体" w:hAnsi="宋体"/>
          <w:b/>
          <w:szCs w:val="21"/>
        </w:rPr>
      </w:pPr>
      <w:r>
        <w:rPr>
          <w:rFonts w:hint="eastAsia" w:ascii="宋体" w:hAnsi="宋体"/>
          <w:b/>
          <w:szCs w:val="21"/>
        </w:rPr>
        <w:t>投标文件未按招标文件要求签署、盖章的；</w:t>
      </w:r>
    </w:p>
    <w:p w14:paraId="6C46ECF5">
      <w:pPr>
        <w:numPr>
          <w:ilvl w:val="0"/>
          <w:numId w:val="12"/>
        </w:numPr>
        <w:snapToGrid w:val="0"/>
        <w:spacing w:line="360" w:lineRule="auto"/>
        <w:ind w:firstLine="422" w:firstLineChars="200"/>
        <w:rPr>
          <w:rFonts w:hint="eastAsia" w:ascii="宋体" w:hAnsi="宋体"/>
          <w:b/>
          <w:szCs w:val="21"/>
        </w:rPr>
      </w:pPr>
      <w:r>
        <w:rPr>
          <w:rFonts w:hint="eastAsia" w:ascii="宋体" w:hAnsi="宋体"/>
          <w:b/>
          <w:szCs w:val="21"/>
        </w:rPr>
        <w:t>委托代理人未能出具有效身份证或者出具的身份证与授权委托书中的信息不符的；</w:t>
      </w:r>
    </w:p>
    <w:p w14:paraId="6E208612">
      <w:pPr>
        <w:numPr>
          <w:ilvl w:val="0"/>
          <w:numId w:val="12"/>
        </w:numPr>
        <w:snapToGrid w:val="0"/>
        <w:spacing w:line="360" w:lineRule="auto"/>
        <w:ind w:firstLine="422" w:firstLineChars="200"/>
        <w:rPr>
          <w:rFonts w:hint="eastAsia" w:ascii="宋体" w:hAnsi="宋体"/>
          <w:b/>
          <w:szCs w:val="21"/>
        </w:rPr>
      </w:pPr>
      <w:r>
        <w:rPr>
          <w:rFonts w:hint="eastAsia" w:ascii="宋体" w:hAnsi="宋体"/>
          <w:b/>
          <w:szCs w:val="21"/>
        </w:rPr>
        <w:t>为无效投标保证金的或者未按照招标文件的规定提交投标保证金的；</w:t>
      </w:r>
    </w:p>
    <w:p w14:paraId="22FC1A1B">
      <w:pPr>
        <w:numPr>
          <w:ilvl w:val="0"/>
          <w:numId w:val="12"/>
        </w:numPr>
        <w:snapToGrid w:val="0"/>
        <w:spacing w:line="360" w:lineRule="auto"/>
        <w:ind w:firstLine="422" w:firstLineChars="200"/>
        <w:rPr>
          <w:rFonts w:hint="eastAsia" w:ascii="宋体" w:hAnsi="宋体"/>
          <w:b/>
          <w:szCs w:val="21"/>
        </w:rPr>
      </w:pPr>
      <w:r>
        <w:rPr>
          <w:rFonts w:hint="eastAsia" w:ascii="宋体" w:hAnsi="宋体"/>
          <w:b/>
          <w:szCs w:val="21"/>
        </w:rPr>
        <w:t>投标文件未提供“投标人须知前附表”第13条“商务及技术文件”规定中“必须提供”或者“委托时必须提供”的文件资料的；</w:t>
      </w:r>
    </w:p>
    <w:p w14:paraId="4BFE0D14">
      <w:pPr>
        <w:numPr>
          <w:ilvl w:val="0"/>
          <w:numId w:val="12"/>
        </w:numPr>
        <w:snapToGrid w:val="0"/>
        <w:spacing w:line="360" w:lineRule="auto"/>
        <w:ind w:firstLine="422" w:firstLineChars="200"/>
        <w:rPr>
          <w:rFonts w:hint="eastAsia" w:ascii="宋体" w:hAnsi="宋体"/>
          <w:b/>
          <w:szCs w:val="21"/>
        </w:rPr>
      </w:pPr>
      <w:r>
        <w:rPr>
          <w:rFonts w:hint="eastAsia" w:ascii="宋体" w:hAnsi="宋体"/>
          <w:b/>
          <w:szCs w:val="21"/>
        </w:rPr>
        <w:t>允许负偏离的条款数超过“投标人须知前附表”规定项数的；</w:t>
      </w:r>
    </w:p>
    <w:p w14:paraId="326A0AED">
      <w:pPr>
        <w:numPr>
          <w:ilvl w:val="0"/>
          <w:numId w:val="12"/>
        </w:numPr>
        <w:snapToGrid w:val="0"/>
        <w:spacing w:line="360" w:lineRule="auto"/>
        <w:ind w:firstLine="422" w:firstLineChars="200"/>
        <w:rPr>
          <w:rFonts w:hint="eastAsia" w:ascii="宋体" w:hAnsi="宋体"/>
          <w:b/>
          <w:szCs w:val="21"/>
        </w:rPr>
      </w:pPr>
      <w:r>
        <w:rPr>
          <w:rFonts w:hint="eastAsia" w:ascii="宋体" w:hAnsi="宋体"/>
          <w:b/>
          <w:szCs w:val="21"/>
        </w:rPr>
        <w:t>投标文件的实质性内容未使用中文表述、使用计量单位不符合招标文件要求的；</w:t>
      </w:r>
    </w:p>
    <w:p w14:paraId="412B3977">
      <w:pPr>
        <w:numPr>
          <w:ilvl w:val="0"/>
          <w:numId w:val="12"/>
        </w:numPr>
        <w:snapToGrid w:val="0"/>
        <w:spacing w:line="360" w:lineRule="auto"/>
        <w:ind w:firstLine="422" w:firstLineChars="200"/>
        <w:rPr>
          <w:rFonts w:hint="eastAsia" w:ascii="宋体" w:hAnsi="宋体"/>
          <w:b/>
          <w:szCs w:val="21"/>
        </w:rPr>
      </w:pPr>
      <w:r>
        <w:rPr>
          <w:rFonts w:hint="eastAsia" w:ascii="宋体" w:hAnsi="宋体"/>
          <w:b/>
          <w:szCs w:val="21"/>
        </w:rPr>
        <w:t>投标文件中的文件资料因填写不齐全或者内容虚假或者出现其他情形而导致被评标委员会认定无效的；</w:t>
      </w:r>
    </w:p>
    <w:p w14:paraId="1272B20C">
      <w:pPr>
        <w:numPr>
          <w:ilvl w:val="0"/>
          <w:numId w:val="12"/>
        </w:numPr>
        <w:snapToGrid w:val="0"/>
        <w:spacing w:line="360" w:lineRule="auto"/>
        <w:ind w:firstLine="422" w:firstLineChars="200"/>
        <w:rPr>
          <w:rFonts w:hint="eastAsia" w:ascii="宋体" w:hAnsi="宋体"/>
          <w:b/>
          <w:szCs w:val="21"/>
        </w:rPr>
      </w:pPr>
      <w:r>
        <w:rPr>
          <w:rFonts w:hint="eastAsia" w:ascii="宋体" w:hAnsi="宋体"/>
          <w:b/>
          <w:szCs w:val="21"/>
        </w:rPr>
        <w:t>投标文件含有采购人不能接受的附加条件的；</w:t>
      </w:r>
    </w:p>
    <w:p w14:paraId="02BD3C7C">
      <w:pPr>
        <w:numPr>
          <w:ilvl w:val="0"/>
          <w:numId w:val="12"/>
        </w:numPr>
        <w:snapToGrid w:val="0"/>
        <w:spacing w:line="360" w:lineRule="auto"/>
        <w:ind w:firstLine="422" w:firstLineChars="200"/>
        <w:rPr>
          <w:rFonts w:hint="eastAsia" w:ascii="宋体" w:hAnsi="宋体"/>
          <w:b/>
          <w:szCs w:val="21"/>
        </w:rPr>
      </w:pPr>
      <w:r>
        <w:rPr>
          <w:rFonts w:hint="eastAsia" w:ascii="宋体" w:hAnsi="宋体"/>
          <w:b/>
          <w:szCs w:val="21"/>
        </w:rPr>
        <w:t>属于投标人须知正文第</w:t>
      </w:r>
      <w:r>
        <w:rPr>
          <w:rFonts w:ascii="宋体" w:hAnsi="宋体"/>
          <w:b/>
          <w:szCs w:val="21"/>
        </w:rPr>
        <w:t>9.2</w:t>
      </w:r>
      <w:r>
        <w:rPr>
          <w:rFonts w:hint="eastAsia" w:ascii="宋体" w:hAnsi="宋体"/>
          <w:b/>
          <w:szCs w:val="21"/>
        </w:rPr>
        <w:t>条情形的；</w:t>
      </w:r>
    </w:p>
    <w:p w14:paraId="5C6ADBCB">
      <w:pPr>
        <w:numPr>
          <w:ilvl w:val="0"/>
          <w:numId w:val="12"/>
        </w:numPr>
        <w:snapToGrid w:val="0"/>
        <w:spacing w:line="360" w:lineRule="auto"/>
        <w:ind w:firstLine="422" w:firstLineChars="200"/>
        <w:rPr>
          <w:rFonts w:ascii="宋体" w:hAnsi="宋体"/>
          <w:b/>
          <w:szCs w:val="21"/>
        </w:rPr>
      </w:pPr>
      <w:r>
        <w:rPr>
          <w:rFonts w:hint="eastAsia" w:ascii="宋体" w:hAnsi="宋体"/>
          <w:b/>
          <w:szCs w:val="21"/>
        </w:rPr>
        <w:t>投标文件标注的项目名称或者项目编号与招标文件标注的项目名称或者项目编号不一致的；</w:t>
      </w:r>
    </w:p>
    <w:p w14:paraId="2A9F2DFD">
      <w:pPr>
        <w:numPr>
          <w:ilvl w:val="0"/>
          <w:numId w:val="12"/>
        </w:numPr>
        <w:snapToGrid w:val="0"/>
        <w:spacing w:line="360" w:lineRule="auto"/>
        <w:ind w:firstLine="422" w:firstLineChars="200"/>
        <w:rPr>
          <w:rFonts w:hint="eastAsia" w:ascii="宋体" w:hAnsi="宋体"/>
          <w:b/>
          <w:szCs w:val="21"/>
        </w:rPr>
      </w:pPr>
      <w:r>
        <w:rPr>
          <w:rFonts w:hint="eastAsia" w:ascii="宋体" w:hAnsi="宋体"/>
          <w:b/>
          <w:szCs w:val="21"/>
        </w:rPr>
        <w:t>投标文件中承诺的投标有效期低于招标文件要求的期限的；</w:t>
      </w:r>
    </w:p>
    <w:p w14:paraId="3413F41A">
      <w:pPr>
        <w:numPr>
          <w:ilvl w:val="0"/>
          <w:numId w:val="12"/>
        </w:numPr>
        <w:snapToGrid w:val="0"/>
        <w:spacing w:line="360" w:lineRule="auto"/>
        <w:ind w:firstLine="422" w:firstLineChars="200"/>
        <w:rPr>
          <w:rFonts w:hint="eastAsia" w:ascii="宋体" w:hAnsi="宋体"/>
          <w:b/>
          <w:szCs w:val="21"/>
        </w:rPr>
      </w:pPr>
      <w:r>
        <w:rPr>
          <w:rFonts w:hint="eastAsia" w:ascii="宋体" w:hAnsi="宋体"/>
          <w:b/>
          <w:szCs w:val="21"/>
        </w:rPr>
        <w:t>招标文件明确不允许分包，投标文件拟分包的；</w:t>
      </w:r>
    </w:p>
    <w:p w14:paraId="118904C1">
      <w:pPr>
        <w:pStyle w:val="19"/>
        <w:numPr>
          <w:ilvl w:val="0"/>
          <w:numId w:val="12"/>
        </w:numPr>
        <w:snapToGrid w:val="0"/>
        <w:spacing w:line="360" w:lineRule="auto"/>
        <w:ind w:firstLine="413" w:firstLineChars="0"/>
        <w:rPr>
          <w:rFonts w:hint="eastAsia" w:ascii="宋体" w:hAnsi="宋体" w:eastAsia="宋体"/>
          <w:b/>
          <w:kern w:val="2"/>
          <w:sz w:val="21"/>
          <w:szCs w:val="21"/>
        </w:rPr>
      </w:pPr>
      <w:r>
        <w:rPr>
          <w:rFonts w:hint="eastAsia" w:ascii="宋体" w:hAnsi="宋体" w:eastAsia="宋体"/>
          <w:b/>
          <w:kern w:val="2"/>
          <w:sz w:val="21"/>
          <w:szCs w:val="21"/>
        </w:rPr>
        <w:t>虚假投标，或者出现其他情形而导致被评标委员会认定无效的；</w:t>
      </w:r>
    </w:p>
    <w:p w14:paraId="46E3EB9A">
      <w:pPr>
        <w:pStyle w:val="19"/>
        <w:numPr>
          <w:ilvl w:val="0"/>
          <w:numId w:val="12"/>
        </w:numPr>
        <w:snapToGrid w:val="0"/>
        <w:spacing w:line="360" w:lineRule="auto"/>
        <w:ind w:firstLine="413" w:firstLineChars="0"/>
        <w:rPr>
          <w:rFonts w:ascii="宋体" w:hAnsi="宋体" w:eastAsia="宋体"/>
          <w:b/>
          <w:kern w:val="2"/>
          <w:sz w:val="21"/>
          <w:szCs w:val="21"/>
        </w:rPr>
      </w:pPr>
      <w:r>
        <w:rPr>
          <w:rFonts w:hint="eastAsia" w:ascii="宋体" w:hAnsi="宋体" w:eastAsia="宋体"/>
          <w:b/>
          <w:kern w:val="2"/>
          <w:sz w:val="21"/>
          <w:szCs w:val="21"/>
        </w:rPr>
        <w:t>招标文件未载明允许提供备选（替代）投标方案或明确不允许提供备选（替代）投标方案时，投标人提供了备选（替代）投标方案的；</w:t>
      </w:r>
    </w:p>
    <w:p w14:paraId="0E3B618A">
      <w:pPr>
        <w:pStyle w:val="19"/>
        <w:numPr>
          <w:ilvl w:val="0"/>
          <w:numId w:val="12"/>
        </w:numPr>
        <w:snapToGrid w:val="0"/>
        <w:spacing w:line="360" w:lineRule="auto"/>
        <w:ind w:firstLine="413" w:firstLineChars="0"/>
        <w:rPr>
          <w:rFonts w:hint="eastAsia" w:ascii="宋体" w:hAnsi="宋体" w:eastAsia="宋体"/>
          <w:b/>
          <w:kern w:val="2"/>
          <w:sz w:val="21"/>
          <w:szCs w:val="21"/>
        </w:rPr>
      </w:pPr>
      <w:r>
        <w:rPr>
          <w:rFonts w:hint="eastAsia" w:ascii="宋体" w:hAnsi="宋体" w:eastAsia="宋体"/>
          <w:b/>
          <w:kern w:val="2"/>
          <w:sz w:val="21"/>
          <w:szCs w:val="21"/>
        </w:rPr>
        <w:t>未响应招标文件实质性要求的。</w:t>
      </w:r>
    </w:p>
    <w:p w14:paraId="36A07C92">
      <w:pPr>
        <w:numPr>
          <w:ilvl w:val="0"/>
          <w:numId w:val="12"/>
        </w:numPr>
        <w:snapToGrid w:val="0"/>
        <w:spacing w:line="360" w:lineRule="auto"/>
        <w:ind w:firstLine="422" w:firstLineChars="200"/>
        <w:rPr>
          <w:rFonts w:hint="eastAsia" w:ascii="宋体" w:hAnsi="宋体"/>
          <w:b/>
          <w:szCs w:val="21"/>
        </w:rPr>
      </w:pPr>
      <w:r>
        <w:rPr>
          <w:rFonts w:hint="eastAsia" w:ascii="宋体" w:hAnsi="宋体"/>
          <w:b/>
          <w:szCs w:val="21"/>
        </w:rPr>
        <w:t>法律、法规和招标文件规定的其他无效情形。</w:t>
      </w:r>
    </w:p>
    <w:p w14:paraId="6CF4700B">
      <w:pPr>
        <w:pStyle w:val="6"/>
        <w:keepNext w:val="0"/>
        <w:keepLines w:val="0"/>
        <w:spacing w:before="0" w:after="0" w:line="360" w:lineRule="auto"/>
        <w:ind w:left="420" w:leftChars="200"/>
        <w:rPr>
          <w:rFonts w:hint="eastAsia" w:ascii="宋体" w:hAnsi="宋体"/>
          <w:sz w:val="21"/>
          <w:szCs w:val="21"/>
        </w:rPr>
      </w:pPr>
      <w:r>
        <w:rPr>
          <w:rFonts w:hint="eastAsia" w:ascii="宋体" w:hAnsi="宋体"/>
          <w:sz w:val="21"/>
          <w:szCs w:val="21"/>
        </w:rPr>
        <w:t>2.3在技术评审时，如发现下列情形之一的，将被视为投标无效：</w:t>
      </w:r>
    </w:p>
    <w:p w14:paraId="5C9955EE">
      <w:pPr>
        <w:pStyle w:val="19"/>
        <w:snapToGrid w:val="0"/>
        <w:spacing w:line="360" w:lineRule="auto"/>
        <w:ind w:firstLine="413" w:firstLineChars="196"/>
        <w:rPr>
          <w:rFonts w:hint="eastAsia" w:ascii="宋体" w:hAnsi="宋体" w:eastAsia="宋体"/>
          <w:b/>
          <w:kern w:val="2"/>
          <w:sz w:val="21"/>
          <w:szCs w:val="21"/>
        </w:rPr>
      </w:pPr>
      <w:r>
        <w:rPr>
          <w:rFonts w:hint="eastAsia" w:ascii="宋体" w:hAnsi="宋体" w:eastAsia="宋体"/>
          <w:b/>
          <w:kern w:val="2"/>
          <w:sz w:val="21"/>
          <w:szCs w:val="21"/>
        </w:rPr>
        <w:t>（1）技术要求评审允许负偏离的条款数超过“投标人须知前附表”规定项数的；</w:t>
      </w:r>
    </w:p>
    <w:p w14:paraId="2D2DF5DC">
      <w:pPr>
        <w:pStyle w:val="19"/>
        <w:snapToGrid w:val="0"/>
        <w:spacing w:line="360" w:lineRule="auto"/>
        <w:ind w:firstLine="413" w:firstLineChars="196"/>
        <w:rPr>
          <w:rFonts w:hint="eastAsia" w:ascii="宋体" w:hAnsi="宋体" w:eastAsia="宋体"/>
          <w:b/>
          <w:kern w:val="2"/>
          <w:sz w:val="21"/>
          <w:szCs w:val="21"/>
        </w:rPr>
      </w:pPr>
      <w:r>
        <w:rPr>
          <w:rFonts w:hint="eastAsia" w:ascii="宋体" w:hAnsi="宋体" w:eastAsia="宋体"/>
          <w:b/>
          <w:kern w:val="2"/>
          <w:sz w:val="21"/>
          <w:szCs w:val="21"/>
        </w:rPr>
        <w:t>（2）投标文件未提供“投标人须知前附表”第13.</w:t>
      </w:r>
      <w:r>
        <w:rPr>
          <w:rFonts w:ascii="宋体" w:hAnsi="宋体" w:eastAsia="宋体"/>
          <w:b/>
          <w:kern w:val="2"/>
          <w:sz w:val="21"/>
          <w:szCs w:val="21"/>
        </w:rPr>
        <w:t>1</w:t>
      </w:r>
      <w:r>
        <w:rPr>
          <w:rFonts w:hint="eastAsia" w:ascii="宋体" w:hAnsi="宋体" w:eastAsia="宋体"/>
          <w:b/>
          <w:kern w:val="2"/>
          <w:sz w:val="21"/>
          <w:szCs w:val="21"/>
        </w:rPr>
        <w:t>条规定中“必须提供”的文件资料的；</w:t>
      </w:r>
    </w:p>
    <w:p w14:paraId="13F1A9B5">
      <w:pPr>
        <w:pStyle w:val="19"/>
        <w:snapToGrid w:val="0"/>
        <w:spacing w:line="360" w:lineRule="auto"/>
        <w:ind w:firstLine="413" w:firstLineChars="196"/>
        <w:rPr>
          <w:rFonts w:hint="eastAsia" w:ascii="宋体" w:hAnsi="宋体" w:eastAsia="宋体"/>
          <w:b/>
          <w:kern w:val="2"/>
          <w:sz w:val="21"/>
          <w:szCs w:val="21"/>
        </w:rPr>
      </w:pPr>
      <w:r>
        <w:rPr>
          <w:rFonts w:hint="eastAsia" w:ascii="宋体" w:hAnsi="宋体" w:eastAsia="宋体"/>
          <w:b/>
          <w:kern w:val="2"/>
          <w:sz w:val="21"/>
          <w:szCs w:val="21"/>
        </w:rPr>
        <w:t>（3）虚假投标，或者出现其他情形而导致被评标委员会认定无效的；</w:t>
      </w:r>
    </w:p>
    <w:p w14:paraId="25EABA89">
      <w:pPr>
        <w:pStyle w:val="19"/>
        <w:snapToGrid w:val="0"/>
        <w:spacing w:line="360" w:lineRule="auto"/>
        <w:ind w:firstLine="413" w:firstLineChars="196"/>
        <w:rPr>
          <w:rFonts w:ascii="宋体" w:hAnsi="宋体" w:eastAsia="宋体"/>
          <w:b/>
          <w:kern w:val="2"/>
          <w:sz w:val="21"/>
          <w:szCs w:val="21"/>
        </w:rPr>
      </w:pPr>
      <w:r>
        <w:rPr>
          <w:rFonts w:hint="eastAsia" w:ascii="宋体" w:hAnsi="宋体" w:eastAsia="宋体"/>
          <w:b/>
          <w:kern w:val="2"/>
          <w:sz w:val="21"/>
          <w:szCs w:val="21"/>
        </w:rPr>
        <w:t>（4）</w:t>
      </w:r>
      <w:bookmarkStart w:id="176" w:name="_Hlk71706244"/>
      <w:r>
        <w:rPr>
          <w:rFonts w:hint="eastAsia" w:ascii="宋体" w:hAnsi="宋体" w:eastAsia="宋体"/>
          <w:b/>
          <w:kern w:val="2"/>
          <w:sz w:val="21"/>
          <w:szCs w:val="21"/>
        </w:rPr>
        <w:t>招标文件未载明允许提供备选（替代）投标方案或明确不允许提供备选（替代）投标方案时，投标人提供了备选（替代）投标方案的；</w:t>
      </w:r>
      <w:bookmarkEnd w:id="176"/>
    </w:p>
    <w:p w14:paraId="6ABDED01">
      <w:pPr>
        <w:pStyle w:val="19"/>
        <w:snapToGrid w:val="0"/>
        <w:spacing w:line="360" w:lineRule="auto"/>
        <w:ind w:firstLine="413" w:firstLineChars="196"/>
        <w:rPr>
          <w:rFonts w:hint="eastAsia" w:ascii="宋体" w:hAnsi="宋体" w:eastAsia="宋体"/>
          <w:b/>
          <w:kern w:val="2"/>
          <w:sz w:val="21"/>
          <w:szCs w:val="21"/>
        </w:rPr>
      </w:pPr>
      <w:r>
        <w:rPr>
          <w:rFonts w:hint="eastAsia" w:ascii="宋体" w:hAnsi="宋体" w:eastAsia="宋体"/>
          <w:b/>
          <w:kern w:val="2"/>
          <w:sz w:val="21"/>
          <w:szCs w:val="21"/>
        </w:rPr>
        <w:t>（5）未响应招标文件实质性要求的。</w:t>
      </w:r>
    </w:p>
    <w:p w14:paraId="583A5F6E">
      <w:pPr>
        <w:pStyle w:val="6"/>
        <w:keepNext w:val="0"/>
        <w:keepLines w:val="0"/>
        <w:spacing w:before="0" w:after="0" w:line="360" w:lineRule="auto"/>
        <w:ind w:left="420" w:leftChars="200"/>
        <w:rPr>
          <w:rFonts w:hint="eastAsia" w:ascii="宋体" w:hAnsi="宋体"/>
          <w:sz w:val="21"/>
          <w:szCs w:val="21"/>
        </w:rPr>
      </w:pPr>
      <w:r>
        <w:rPr>
          <w:rFonts w:hint="eastAsia" w:ascii="宋体" w:hAnsi="宋体"/>
          <w:sz w:val="21"/>
          <w:szCs w:val="21"/>
        </w:rPr>
        <w:t>3</w:t>
      </w:r>
      <w:r>
        <w:rPr>
          <w:rFonts w:ascii="宋体" w:hAnsi="宋体"/>
          <w:sz w:val="21"/>
          <w:szCs w:val="21"/>
        </w:rPr>
        <w:t>.</w:t>
      </w:r>
      <w:r>
        <w:rPr>
          <w:rFonts w:hint="eastAsia" w:ascii="宋体" w:hAnsi="宋体"/>
          <w:sz w:val="21"/>
          <w:szCs w:val="21"/>
        </w:rPr>
        <w:t>澄清补正</w:t>
      </w:r>
    </w:p>
    <w:p w14:paraId="41F4E5EB">
      <w:pPr>
        <w:spacing w:line="360" w:lineRule="auto"/>
        <w:ind w:firstLine="420" w:firstLineChars="200"/>
        <w:rPr>
          <w:rFonts w:hint="eastAsia" w:ascii="宋体" w:hAnsi="宋体" w:cs="Courier New"/>
          <w:b/>
          <w:szCs w:val="21"/>
        </w:rPr>
      </w:pPr>
      <w:r>
        <w:rPr>
          <w:rFonts w:hint="eastAsia" w:ascii="宋体" w:hAnsi="宋体" w:cs="Courier New"/>
          <w:szCs w:val="21"/>
        </w:rPr>
        <w:t>对投标文件中含义不明确、同类问题表述不一致或者有明显文字和计算错误的内容，评标委员会应在广西政府采购云平台发布电子澄清函，要求投标人在规定时间内作出必要的澄清、说明或者补正。投标人在广西政府采购云平台接收到电子澄清函后根据澄清函内容上传PDF格式回函，电子澄清答复函使用CA证书加盖投标人电子签章后在线上传至评标委员会。投标人的澄清、说明或者补正不得超出投标文件的范围或者改变投标文件的实质性内容。</w:t>
      </w:r>
    </w:p>
    <w:p w14:paraId="725D9E09">
      <w:pPr>
        <w:spacing w:line="360" w:lineRule="auto"/>
        <w:ind w:firstLine="420" w:firstLineChars="200"/>
        <w:rPr>
          <w:rFonts w:hint="eastAsia" w:ascii="宋体" w:hAnsi="宋体" w:cs="Courier New"/>
          <w:szCs w:val="21"/>
        </w:rPr>
      </w:pPr>
      <w:r>
        <w:rPr>
          <w:rFonts w:hint="eastAsia" w:ascii="宋体" w:hAnsi="宋体" w:cs="Courier New"/>
          <w:szCs w:val="21"/>
        </w:rPr>
        <w:t>异常情况处理：如遇无法正常使用线上发送澄清函的情况，将启动书面形式办理。启动书面形式办理的情况下，评标委员会以书面形式要求投标人在规定时间内作出必要的澄清、说明或者补正。投标人的澄清、说明或者补正必须采用书面形式，并加盖公章，或者由法定代表人或者其授权的代表签字。</w:t>
      </w:r>
    </w:p>
    <w:p w14:paraId="14B66CA6">
      <w:pPr>
        <w:spacing w:line="360" w:lineRule="auto"/>
        <w:ind w:firstLine="420" w:firstLineChars="200"/>
        <w:rPr>
          <w:rFonts w:hint="eastAsia" w:ascii="宋体" w:hAnsi="宋体" w:cs="Courier New"/>
          <w:szCs w:val="21"/>
        </w:rPr>
      </w:pPr>
      <w:r>
        <w:rPr>
          <w:rFonts w:hint="eastAsia" w:ascii="宋体" w:hAnsi="宋体" w:cs="Courier New"/>
          <w:szCs w:val="21"/>
        </w:rPr>
        <w:t>未按评标委员会的要求作出明确澄清、说明或者更正的投标人的投标文件将按照有利于采购人的原则由评标委员会进行判定。</w:t>
      </w:r>
    </w:p>
    <w:p w14:paraId="52D1D183">
      <w:pPr>
        <w:pStyle w:val="6"/>
        <w:keepNext w:val="0"/>
        <w:keepLines w:val="0"/>
        <w:spacing w:before="0" w:after="0" w:line="360" w:lineRule="auto"/>
        <w:ind w:left="420" w:leftChars="200"/>
        <w:rPr>
          <w:rFonts w:hint="eastAsia" w:ascii="宋体" w:hAnsi="宋体"/>
          <w:sz w:val="21"/>
          <w:szCs w:val="21"/>
        </w:rPr>
      </w:pPr>
      <w:r>
        <w:rPr>
          <w:rFonts w:ascii="宋体" w:hAnsi="宋体"/>
          <w:sz w:val="21"/>
          <w:szCs w:val="21"/>
        </w:rPr>
        <w:t>4.</w:t>
      </w:r>
      <w:r>
        <w:rPr>
          <w:rFonts w:hint="eastAsia" w:ascii="宋体" w:hAnsi="宋体"/>
          <w:sz w:val="21"/>
          <w:szCs w:val="21"/>
        </w:rPr>
        <w:t>投标文件修正</w:t>
      </w:r>
    </w:p>
    <w:p w14:paraId="5CEF085E">
      <w:pPr>
        <w:pStyle w:val="6"/>
        <w:keepNext w:val="0"/>
        <w:keepLines w:val="0"/>
        <w:spacing w:before="0" w:after="0" w:line="360" w:lineRule="auto"/>
        <w:ind w:left="420" w:leftChars="200"/>
        <w:rPr>
          <w:rFonts w:hint="eastAsia" w:ascii="宋体" w:hAnsi="宋体"/>
          <w:b w:val="0"/>
          <w:sz w:val="21"/>
          <w:szCs w:val="21"/>
        </w:rPr>
      </w:pPr>
      <w:r>
        <w:rPr>
          <w:rFonts w:ascii="宋体" w:hAnsi="宋体"/>
          <w:b w:val="0"/>
          <w:sz w:val="21"/>
          <w:szCs w:val="21"/>
        </w:rPr>
        <w:t>4</w:t>
      </w:r>
      <w:r>
        <w:rPr>
          <w:rFonts w:hint="eastAsia" w:ascii="宋体" w:hAnsi="宋体"/>
          <w:b w:val="0"/>
          <w:sz w:val="21"/>
          <w:szCs w:val="21"/>
        </w:rPr>
        <w:t xml:space="preserve">.1投标文件报价出现前后不一致的，除“投标文件前附表”另有规定的情形，按照下列规定修正： </w:t>
      </w:r>
    </w:p>
    <w:p w14:paraId="73594B37">
      <w:pPr>
        <w:pStyle w:val="25"/>
        <w:snapToGrid w:val="0"/>
        <w:spacing w:line="360" w:lineRule="auto"/>
        <w:ind w:firstLine="420" w:firstLineChars="200"/>
        <w:rPr>
          <w:rFonts w:hAnsi="宋体"/>
          <w:sz w:val="21"/>
        </w:rPr>
      </w:pPr>
      <w:r>
        <w:rPr>
          <w:rFonts w:hint="eastAsia" w:hAnsi="宋体"/>
          <w:sz w:val="21"/>
        </w:rPr>
        <w:t>（1）投标文件中开标一览表（报价表）内容与投标文件中相应内容不一致的，以开标一览表（报价表）为准；</w:t>
      </w:r>
    </w:p>
    <w:p w14:paraId="23DBC6D5">
      <w:pPr>
        <w:pStyle w:val="25"/>
        <w:snapToGrid w:val="0"/>
        <w:spacing w:line="360" w:lineRule="auto"/>
        <w:ind w:firstLine="420" w:firstLineChars="200"/>
        <w:rPr>
          <w:rFonts w:hAnsi="宋体"/>
          <w:sz w:val="21"/>
        </w:rPr>
      </w:pPr>
      <w:r>
        <w:rPr>
          <w:rFonts w:hint="eastAsia" w:hAnsi="宋体"/>
          <w:sz w:val="21"/>
        </w:rPr>
        <w:t>（2）大写金额和小写金额不一致的，以大写金额为准；</w:t>
      </w:r>
    </w:p>
    <w:p w14:paraId="2B3F4E06">
      <w:pPr>
        <w:pStyle w:val="25"/>
        <w:snapToGrid w:val="0"/>
        <w:spacing w:line="360" w:lineRule="auto"/>
        <w:ind w:firstLine="420" w:firstLineChars="200"/>
        <w:rPr>
          <w:rFonts w:hAnsi="宋体"/>
          <w:sz w:val="21"/>
        </w:rPr>
      </w:pPr>
      <w:r>
        <w:rPr>
          <w:rFonts w:hint="eastAsia" w:hAnsi="宋体"/>
          <w:sz w:val="21"/>
        </w:rPr>
        <w:t>（3）单价金额小数点或者百分比有明显错位的，以开标一览表的总价为准，并修改单价；</w:t>
      </w:r>
    </w:p>
    <w:p w14:paraId="130F5A94">
      <w:pPr>
        <w:pStyle w:val="25"/>
        <w:snapToGrid w:val="0"/>
        <w:spacing w:line="360" w:lineRule="auto"/>
        <w:ind w:firstLine="420" w:firstLineChars="200"/>
        <w:rPr>
          <w:rFonts w:hAnsi="宋体"/>
          <w:sz w:val="21"/>
        </w:rPr>
      </w:pPr>
      <w:r>
        <w:rPr>
          <w:rFonts w:hint="eastAsia" w:hAnsi="宋体"/>
          <w:sz w:val="21"/>
        </w:rPr>
        <w:t>（4）总价金额与按单价汇总金额不一致的，以单价金额计算结果为准。</w:t>
      </w:r>
    </w:p>
    <w:p w14:paraId="07395330">
      <w:pPr>
        <w:pStyle w:val="25"/>
        <w:snapToGrid w:val="0"/>
        <w:spacing w:line="360" w:lineRule="auto"/>
        <w:ind w:firstLine="420" w:firstLineChars="200"/>
        <w:rPr>
          <w:rFonts w:hint="eastAsia" w:hAnsi="宋体"/>
          <w:sz w:val="21"/>
        </w:rPr>
      </w:pPr>
      <w:r>
        <w:rPr>
          <w:rFonts w:hint="eastAsia" w:hAnsi="宋体"/>
          <w:sz w:val="21"/>
        </w:rPr>
        <w:t>同时出现两种以上不一致的，按照以上（1）-（4）规定的顺序修正。修正后的报价经投标人确认后产生约束力，投标人不确认的，</w:t>
      </w:r>
      <w:r>
        <w:rPr>
          <w:rFonts w:hint="eastAsia" w:hAnsi="宋体"/>
          <w:b/>
          <w:kern w:val="2"/>
          <w:sz w:val="21"/>
        </w:rPr>
        <w:t>其投标无效</w:t>
      </w:r>
      <w:r>
        <w:rPr>
          <w:rFonts w:hint="eastAsia" w:hAnsi="宋体"/>
          <w:sz w:val="21"/>
        </w:rPr>
        <w:t>。</w:t>
      </w:r>
    </w:p>
    <w:p w14:paraId="2FF49AB9">
      <w:pPr>
        <w:pStyle w:val="6"/>
        <w:keepNext w:val="0"/>
        <w:keepLines w:val="0"/>
        <w:spacing w:before="0" w:after="0" w:line="360" w:lineRule="auto"/>
        <w:rPr>
          <w:rFonts w:hint="eastAsia" w:ascii="宋体" w:hAnsi="宋体"/>
          <w:b w:val="0"/>
          <w:sz w:val="21"/>
          <w:szCs w:val="21"/>
        </w:rPr>
      </w:pPr>
      <w:r>
        <w:rPr>
          <w:rFonts w:ascii="宋体" w:hAnsi="宋体"/>
          <w:b w:val="0"/>
          <w:sz w:val="21"/>
          <w:szCs w:val="21"/>
        </w:rPr>
        <w:t xml:space="preserve">    4</w:t>
      </w:r>
      <w:r>
        <w:rPr>
          <w:rFonts w:hint="eastAsia" w:ascii="宋体" w:hAnsi="宋体"/>
          <w:b w:val="0"/>
          <w:sz w:val="21"/>
          <w:szCs w:val="21"/>
        </w:rPr>
        <w:t>.2经投标人确认修正后的报价若超过采购预算金额或者最高限价，</w:t>
      </w:r>
      <w:r>
        <w:rPr>
          <w:rFonts w:hint="eastAsia" w:ascii="宋体" w:hAnsi="宋体"/>
          <w:sz w:val="21"/>
          <w:szCs w:val="21"/>
        </w:rPr>
        <w:t>投标人的投标文件作无效投标处理</w:t>
      </w:r>
      <w:r>
        <w:rPr>
          <w:rFonts w:hint="eastAsia" w:ascii="宋体" w:hAnsi="宋体"/>
          <w:b w:val="0"/>
          <w:sz w:val="21"/>
          <w:szCs w:val="21"/>
        </w:rPr>
        <w:t>。</w:t>
      </w:r>
    </w:p>
    <w:p w14:paraId="67647AFF">
      <w:pPr>
        <w:snapToGrid w:val="0"/>
        <w:spacing w:line="360" w:lineRule="auto"/>
        <w:ind w:firstLine="420" w:firstLineChars="200"/>
        <w:rPr>
          <w:rFonts w:hint="eastAsia" w:ascii="宋体" w:hAnsi="宋体"/>
          <w:szCs w:val="21"/>
        </w:rPr>
      </w:pPr>
      <w:r>
        <w:rPr>
          <w:rFonts w:ascii="宋体" w:hAnsi="宋体"/>
          <w:szCs w:val="21"/>
        </w:rPr>
        <w:t>4</w:t>
      </w:r>
      <w:r>
        <w:rPr>
          <w:rFonts w:hint="eastAsia" w:ascii="宋体" w:hAnsi="宋体"/>
          <w:szCs w:val="21"/>
        </w:rPr>
        <w:t>.3经投标人确认修正后的报价作为签订合同的依据，并以此报价计算价格分。</w:t>
      </w:r>
    </w:p>
    <w:p w14:paraId="3887742C">
      <w:pPr>
        <w:pStyle w:val="6"/>
        <w:keepNext w:val="0"/>
        <w:keepLines w:val="0"/>
        <w:spacing w:before="0" w:after="0" w:line="360" w:lineRule="auto"/>
        <w:ind w:left="420" w:leftChars="200"/>
        <w:rPr>
          <w:rFonts w:hint="eastAsia" w:ascii="宋体" w:hAnsi="宋体"/>
          <w:sz w:val="21"/>
          <w:szCs w:val="21"/>
        </w:rPr>
      </w:pPr>
      <w:r>
        <w:rPr>
          <w:rFonts w:ascii="宋体" w:hAnsi="宋体"/>
          <w:sz w:val="21"/>
          <w:szCs w:val="21"/>
        </w:rPr>
        <w:t>5.</w:t>
      </w:r>
      <w:r>
        <w:rPr>
          <w:rFonts w:hint="eastAsia" w:ascii="宋体" w:hAnsi="宋体"/>
          <w:sz w:val="21"/>
          <w:szCs w:val="21"/>
        </w:rPr>
        <w:t>比较与评价</w:t>
      </w:r>
    </w:p>
    <w:p w14:paraId="7622B755">
      <w:pPr>
        <w:snapToGrid w:val="0"/>
        <w:spacing w:line="360" w:lineRule="auto"/>
        <w:ind w:firstLine="420" w:firstLineChars="200"/>
        <w:rPr>
          <w:rFonts w:hint="eastAsia" w:ascii="宋体" w:hAnsi="宋体"/>
          <w:szCs w:val="21"/>
        </w:rPr>
      </w:pPr>
      <w:r>
        <w:rPr>
          <w:rFonts w:hint="eastAsia" w:ascii="宋体" w:hAnsi="宋体"/>
          <w:szCs w:val="21"/>
        </w:rPr>
        <w:t>5.1采用综合评分法的</w:t>
      </w:r>
    </w:p>
    <w:p w14:paraId="5EC2AB42">
      <w:pPr>
        <w:snapToGrid w:val="0"/>
        <w:spacing w:line="360" w:lineRule="auto"/>
        <w:ind w:firstLine="420" w:firstLineChars="200"/>
        <w:rPr>
          <w:rFonts w:hint="eastAsia" w:ascii="宋体" w:hAnsi="宋体"/>
          <w:color w:val="auto"/>
          <w:szCs w:val="21"/>
        </w:rPr>
      </w:pPr>
      <w:r>
        <w:rPr>
          <w:rFonts w:hint="eastAsia" w:ascii="宋体" w:hAnsi="宋体"/>
          <w:szCs w:val="21"/>
        </w:rPr>
        <w:t>（1）评标委员会按照招标文件中规定的评标方法及评标标准，对符合性审查合格的投标文件进行商务和技术</w:t>
      </w:r>
      <w:r>
        <w:rPr>
          <w:rFonts w:hint="eastAsia" w:ascii="宋体" w:hAnsi="宋体"/>
          <w:color w:val="auto"/>
          <w:szCs w:val="21"/>
        </w:rPr>
        <w:t>评估，综合比较与评价。</w:t>
      </w:r>
    </w:p>
    <w:p w14:paraId="44EAA602">
      <w:pPr>
        <w:snapToGrid w:val="0"/>
        <w:spacing w:line="360" w:lineRule="auto"/>
        <w:ind w:firstLine="420" w:firstLineChars="200"/>
        <w:rPr>
          <w:rFonts w:ascii="宋体" w:hAnsi="宋体"/>
          <w:color w:val="auto"/>
          <w:szCs w:val="21"/>
        </w:rPr>
      </w:pPr>
      <w:r>
        <w:rPr>
          <w:rFonts w:hint="eastAsia" w:ascii="宋体" w:hAnsi="宋体"/>
          <w:color w:val="auto"/>
          <w:szCs w:val="21"/>
        </w:rPr>
        <w:t>（2）评标委员会独立对每个投标人的投标文件进行评价，并汇总每个投标人的得分。</w:t>
      </w:r>
    </w:p>
    <w:p w14:paraId="367133D6">
      <w:pPr>
        <w:snapToGrid w:val="0"/>
        <w:spacing w:line="360" w:lineRule="auto"/>
        <w:ind w:firstLine="420" w:firstLineChars="200"/>
        <w:rPr>
          <w:rFonts w:ascii="宋体" w:hAnsi="宋体"/>
          <w:szCs w:val="21"/>
        </w:rPr>
      </w:pPr>
      <w:r>
        <w:rPr>
          <w:rFonts w:hint="eastAsia" w:ascii="宋体" w:hAnsi="宋体"/>
          <w:szCs w:val="21"/>
        </w:rPr>
        <w:t>1）评标委员会在评审中发现下列情形之一的，应当启动异常低价投标审查程序：</w:t>
      </w:r>
    </w:p>
    <w:p w14:paraId="3C14C504">
      <w:pPr>
        <w:snapToGrid w:val="0"/>
        <w:spacing w:line="360" w:lineRule="auto"/>
        <w:ind w:firstLine="420" w:firstLineChars="200"/>
        <w:rPr>
          <w:rFonts w:hint="eastAsia" w:ascii="宋体" w:hAnsi="宋体"/>
          <w:color w:val="FF0000"/>
          <w:szCs w:val="21"/>
          <w:highlight w:val="yellow"/>
        </w:rPr>
      </w:pPr>
      <w:r>
        <w:rPr>
          <w:rFonts w:hint="eastAsia" w:ascii="宋体" w:hAnsi="宋体"/>
          <w:szCs w:val="21"/>
        </w:rPr>
        <w:t>①投标报价低于全部通过符合性审查供应商投标报价平均值</w:t>
      </w:r>
      <w:r>
        <w:rPr>
          <w:rFonts w:ascii="宋体" w:hAnsi="宋体"/>
          <w:szCs w:val="21"/>
          <w:u w:val="single"/>
        </w:rPr>
        <w:t xml:space="preserve"> </w:t>
      </w:r>
      <w:r>
        <w:rPr>
          <w:rFonts w:hint="eastAsia" w:ascii="宋体" w:hAnsi="宋体"/>
          <w:szCs w:val="21"/>
          <w:u w:val="single"/>
        </w:rPr>
        <w:t>65%</w:t>
      </w:r>
      <w:r>
        <w:rPr>
          <w:rFonts w:ascii="宋体" w:hAnsi="宋体"/>
          <w:szCs w:val="21"/>
          <w:u w:val="single"/>
        </w:rPr>
        <w:t xml:space="preserve"> </w:t>
      </w:r>
      <w:r>
        <w:rPr>
          <w:rFonts w:hint="eastAsia" w:ascii="宋体" w:hAnsi="宋体"/>
          <w:szCs w:val="21"/>
        </w:rPr>
        <w:t>的，即投标报价＜全部通过符合性审查供应商投标报价平均值×</w:t>
      </w:r>
      <w:r>
        <w:rPr>
          <w:rFonts w:ascii="宋体" w:hAnsi="宋体"/>
          <w:szCs w:val="21"/>
          <w:u w:val="single"/>
        </w:rPr>
        <w:t xml:space="preserve">  </w:t>
      </w:r>
      <w:r>
        <w:rPr>
          <w:rFonts w:hint="eastAsia" w:ascii="宋体" w:hAnsi="宋体"/>
          <w:szCs w:val="21"/>
          <w:u w:val="single"/>
        </w:rPr>
        <w:t>65%</w:t>
      </w:r>
      <w:r>
        <w:rPr>
          <w:rFonts w:ascii="宋体" w:hAnsi="宋体"/>
          <w:szCs w:val="21"/>
          <w:u w:val="single"/>
        </w:rPr>
        <w:t xml:space="preserve">  </w:t>
      </w:r>
      <w:r>
        <w:rPr>
          <w:rFonts w:hint="eastAsia" w:ascii="宋体" w:hAnsi="宋体"/>
          <w:szCs w:val="21"/>
        </w:rPr>
        <w:t>；</w:t>
      </w:r>
    </w:p>
    <w:p w14:paraId="153F4727">
      <w:pPr>
        <w:snapToGrid w:val="0"/>
        <w:spacing w:line="360" w:lineRule="auto"/>
        <w:ind w:firstLine="420" w:firstLineChars="200"/>
        <w:rPr>
          <w:rFonts w:hint="eastAsia" w:ascii="宋体" w:hAnsi="宋体"/>
          <w:szCs w:val="21"/>
        </w:rPr>
      </w:pPr>
      <w:r>
        <w:rPr>
          <w:rFonts w:hint="eastAsia" w:ascii="宋体" w:hAnsi="宋体"/>
          <w:szCs w:val="21"/>
        </w:rPr>
        <w:t>②投标报价低于通过符合性审查的次低报价供应商投标报价</w:t>
      </w:r>
      <w:r>
        <w:rPr>
          <w:rFonts w:ascii="宋体" w:hAnsi="宋体"/>
          <w:szCs w:val="21"/>
          <w:u w:val="single"/>
        </w:rPr>
        <w:t xml:space="preserve"> </w:t>
      </w:r>
      <w:r>
        <w:rPr>
          <w:rFonts w:hint="eastAsia" w:ascii="宋体" w:hAnsi="宋体"/>
          <w:szCs w:val="21"/>
          <w:u w:val="single"/>
        </w:rPr>
        <w:t>65%</w:t>
      </w:r>
      <w:r>
        <w:rPr>
          <w:rFonts w:ascii="宋体" w:hAnsi="宋体"/>
          <w:szCs w:val="21"/>
          <w:u w:val="single"/>
        </w:rPr>
        <w:t xml:space="preserve"> </w:t>
      </w:r>
      <w:r>
        <w:rPr>
          <w:rFonts w:hint="eastAsia" w:ascii="宋体" w:hAnsi="宋体"/>
          <w:szCs w:val="21"/>
        </w:rPr>
        <w:t>的，即投标报价＜通过符合性审查的次低报价供应商投标报价×</w:t>
      </w:r>
      <w:r>
        <w:rPr>
          <w:rFonts w:ascii="宋体" w:hAnsi="宋体"/>
          <w:szCs w:val="21"/>
          <w:u w:val="single"/>
        </w:rPr>
        <w:t xml:space="preserve"> </w:t>
      </w:r>
      <w:r>
        <w:rPr>
          <w:rFonts w:hint="eastAsia" w:ascii="宋体" w:hAnsi="宋体"/>
          <w:szCs w:val="21"/>
          <w:u w:val="single"/>
        </w:rPr>
        <w:t>65%</w:t>
      </w:r>
      <w:r>
        <w:rPr>
          <w:rFonts w:ascii="宋体" w:hAnsi="宋体"/>
          <w:szCs w:val="21"/>
          <w:u w:val="single"/>
        </w:rPr>
        <w:t xml:space="preserve">  </w:t>
      </w:r>
      <w:r>
        <w:rPr>
          <w:rFonts w:hint="eastAsia" w:ascii="宋体" w:hAnsi="宋体"/>
          <w:szCs w:val="21"/>
        </w:rPr>
        <w:t>；</w:t>
      </w:r>
    </w:p>
    <w:p w14:paraId="55E7A6FD">
      <w:pPr>
        <w:snapToGrid w:val="0"/>
        <w:spacing w:line="360" w:lineRule="auto"/>
        <w:ind w:firstLine="420" w:firstLineChars="200"/>
        <w:rPr>
          <w:rFonts w:hint="eastAsia" w:ascii="宋体" w:hAnsi="宋体"/>
          <w:color w:val="FF0000"/>
          <w:szCs w:val="21"/>
          <w:highlight w:val="yellow"/>
        </w:rPr>
      </w:pPr>
      <w:r>
        <w:rPr>
          <w:rFonts w:hint="eastAsia" w:ascii="宋体" w:hAnsi="宋体"/>
          <w:szCs w:val="21"/>
        </w:rPr>
        <w:t>③投标报价低于采购项目最高限价</w:t>
      </w:r>
      <w:r>
        <w:rPr>
          <w:rFonts w:ascii="宋体" w:hAnsi="宋体"/>
          <w:szCs w:val="21"/>
          <w:u w:val="single"/>
        </w:rPr>
        <w:t xml:space="preserve"> </w:t>
      </w:r>
      <w:r>
        <w:rPr>
          <w:rFonts w:hint="eastAsia" w:ascii="宋体" w:hAnsi="宋体"/>
          <w:szCs w:val="21"/>
          <w:u w:val="single"/>
        </w:rPr>
        <w:t>65%</w:t>
      </w:r>
      <w:r>
        <w:rPr>
          <w:rFonts w:ascii="宋体" w:hAnsi="宋体"/>
          <w:szCs w:val="21"/>
          <w:u w:val="single"/>
        </w:rPr>
        <w:t xml:space="preserve">  </w:t>
      </w:r>
      <w:r>
        <w:rPr>
          <w:rFonts w:hint="eastAsia" w:ascii="宋体" w:hAnsi="宋体"/>
          <w:szCs w:val="21"/>
        </w:rPr>
        <w:t>的，即投标报价＜采购项目最高限价×</w:t>
      </w:r>
      <w:r>
        <w:rPr>
          <w:rFonts w:ascii="宋体" w:hAnsi="宋体"/>
          <w:szCs w:val="21"/>
          <w:u w:val="single"/>
        </w:rPr>
        <w:t xml:space="preserve"> </w:t>
      </w:r>
      <w:r>
        <w:rPr>
          <w:rFonts w:hint="eastAsia" w:ascii="宋体" w:hAnsi="宋体"/>
          <w:szCs w:val="21"/>
          <w:u w:val="single"/>
        </w:rPr>
        <w:t>65%</w:t>
      </w:r>
      <w:r>
        <w:rPr>
          <w:rFonts w:ascii="宋体" w:hAnsi="宋体"/>
          <w:szCs w:val="21"/>
          <w:u w:val="single"/>
        </w:rPr>
        <w:t xml:space="preserve"> </w:t>
      </w:r>
      <w:r>
        <w:rPr>
          <w:rFonts w:hint="eastAsia" w:ascii="宋体" w:hAnsi="宋体"/>
          <w:szCs w:val="21"/>
        </w:rPr>
        <w:t>；</w:t>
      </w:r>
    </w:p>
    <w:p w14:paraId="2FE34873">
      <w:pPr>
        <w:snapToGrid w:val="0"/>
        <w:spacing w:line="360" w:lineRule="auto"/>
        <w:ind w:firstLine="420" w:firstLineChars="200"/>
        <w:rPr>
          <w:rFonts w:hint="eastAsia" w:ascii="宋体" w:hAnsi="宋体"/>
          <w:szCs w:val="21"/>
        </w:rPr>
      </w:pPr>
      <w:r>
        <w:rPr>
          <w:rFonts w:hint="eastAsia" w:ascii="宋体" w:hAnsi="宋体"/>
          <w:szCs w:val="21"/>
        </w:rPr>
        <w:t>④评标委员会基于专业判断，认为供应商报价过低，有可能影响产品质量或者不能诚信履约的其他情形。</w:t>
      </w:r>
    </w:p>
    <w:p w14:paraId="76644F7F">
      <w:pPr>
        <w:snapToGrid w:val="0"/>
        <w:spacing w:line="360" w:lineRule="auto"/>
        <w:ind w:firstLine="420" w:firstLineChars="200"/>
        <w:rPr>
          <w:rFonts w:hint="eastAsia" w:ascii="宋体" w:hAnsi="宋体"/>
          <w:szCs w:val="21"/>
        </w:rPr>
      </w:pPr>
      <w:r>
        <w:rPr>
          <w:rFonts w:ascii="宋体" w:hAnsi="宋体"/>
          <w:szCs w:val="21"/>
        </w:rPr>
        <w:t>2</w:t>
      </w:r>
      <w:r>
        <w:rPr>
          <w:rFonts w:hint="eastAsia" w:ascii="宋体" w:hAnsi="宋体"/>
          <w:szCs w:val="21"/>
        </w:rPr>
        <w:t>）评标委员会启动异常低价投标审查后，属于前述第1项至第4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③项情形，供应商已随投标文件一并提交相关书面说明及必要的证明材料的，可不再重复提交。</w:t>
      </w:r>
    </w:p>
    <w:p w14:paraId="4E2FE9FB">
      <w:pPr>
        <w:snapToGrid w:val="0"/>
        <w:spacing w:line="360" w:lineRule="auto"/>
        <w:ind w:firstLine="420" w:firstLineChars="200"/>
        <w:rPr>
          <w:rFonts w:hint="eastAsia" w:ascii="宋体" w:hAnsi="宋体"/>
          <w:szCs w:val="21"/>
        </w:rPr>
      </w:pPr>
      <w:r>
        <w:rPr>
          <w:rFonts w:hint="eastAsia" w:ascii="宋体" w:hAnsi="宋体"/>
          <w:szCs w:val="21"/>
        </w:rPr>
        <w:t>评标委员会依据专业经验，参考同类项目中标（成交）价格、类似产品市场价格水平、行业人工费用标准、国家有关部门指导行业协会发布的行业平均成本等情况，对报价合理性进行判断。</w:t>
      </w:r>
      <w:r>
        <w:rPr>
          <w:rFonts w:hint="eastAsia" w:ascii="宋体" w:hAnsi="宋体"/>
          <w:b/>
          <w:szCs w:val="21"/>
        </w:rPr>
        <w:t>投标供应商不能提供书面说明、证明材料，或者提供的书面说明、证明材料不能证明其报价合理性的，评标委员会应当将其作为无效投标处理。</w:t>
      </w:r>
    </w:p>
    <w:p w14:paraId="3A08F572">
      <w:pPr>
        <w:snapToGrid w:val="0"/>
        <w:spacing w:line="360" w:lineRule="auto"/>
        <w:ind w:firstLine="420" w:firstLineChars="200"/>
        <w:rPr>
          <w:rFonts w:hint="eastAsia" w:ascii="宋体" w:hAnsi="宋体"/>
          <w:szCs w:val="21"/>
        </w:rPr>
      </w:pPr>
      <w:r>
        <w:rPr>
          <w:rFonts w:hint="eastAsia" w:ascii="宋体" w:hAnsi="宋体"/>
          <w:szCs w:val="21"/>
        </w:rPr>
        <w:t>采购人、采购代理机构应当为评标委员会在评审现场及时获取同类项目中标（成交）价格、类似产品市场价格水平、行业人工费用标准、国家有关部门指导行业协会发布的行业平均成本等相关信息资料提供便利。评标委员会借助互联网等渠道查询相关信息的，应当严格遵守评审工作纪律，不得实施影响评审公正的行为。</w:t>
      </w:r>
    </w:p>
    <w:p w14:paraId="6ECB40EA">
      <w:pPr>
        <w:snapToGrid w:val="0"/>
        <w:spacing w:line="360" w:lineRule="auto"/>
        <w:ind w:firstLine="420" w:firstLineChars="200"/>
        <w:rPr>
          <w:rFonts w:ascii="宋体" w:hAnsi="宋体"/>
          <w:szCs w:val="21"/>
        </w:rPr>
      </w:pPr>
      <w:r>
        <w:rPr>
          <w:rFonts w:hint="eastAsia" w:ascii="宋体" w:hAnsi="宋体"/>
          <w:szCs w:val="21"/>
        </w:rPr>
        <w:t>异常低价投标审查的启动原因、审查意见和审查结果应当在评审报告中记录，并随供应商提供的相关书面说明及证明材料；如有，以及评标委员会有关互联网浏览、查询历史一并归档。</w:t>
      </w:r>
    </w:p>
    <w:p w14:paraId="518BDA60">
      <w:pPr>
        <w:snapToGrid w:val="0"/>
        <w:spacing w:line="360" w:lineRule="auto"/>
        <w:ind w:firstLine="420" w:firstLineChars="200"/>
        <w:rPr>
          <w:rFonts w:hint="eastAsia" w:ascii="宋体" w:hAnsi="宋体"/>
          <w:szCs w:val="21"/>
        </w:rPr>
      </w:pPr>
      <w:r>
        <w:rPr>
          <w:rFonts w:hint="eastAsia" w:ascii="宋体" w:hAnsi="宋体"/>
          <w:szCs w:val="21"/>
        </w:rPr>
        <w:t>（3）评标委员会按照招标文件中规定的评标方法和标准计算各投标人的报价得分。在计算过程中，不得去掉最高报价或者最低报价。</w:t>
      </w:r>
    </w:p>
    <w:p w14:paraId="18CD6AC9">
      <w:pPr>
        <w:snapToGrid w:val="0"/>
        <w:spacing w:line="360" w:lineRule="auto"/>
        <w:ind w:firstLine="420" w:firstLineChars="200"/>
        <w:rPr>
          <w:rFonts w:hint="eastAsia" w:ascii="宋体" w:hAnsi="宋体"/>
          <w:szCs w:val="21"/>
        </w:rPr>
      </w:pPr>
      <w:r>
        <w:rPr>
          <w:rFonts w:hint="eastAsia" w:ascii="宋体" w:hAnsi="宋体"/>
          <w:szCs w:val="21"/>
        </w:rPr>
        <w:t>（4）各投标人的得分为所有评委的有效评分的算术平均数。</w:t>
      </w:r>
    </w:p>
    <w:p w14:paraId="63C2CCBB">
      <w:pPr>
        <w:snapToGrid w:val="0"/>
        <w:spacing w:line="360" w:lineRule="auto"/>
        <w:ind w:firstLine="420" w:firstLineChars="200"/>
        <w:rPr>
          <w:rFonts w:hint="eastAsia" w:ascii="宋体" w:hAnsi="宋体"/>
          <w:szCs w:val="21"/>
        </w:rPr>
      </w:pPr>
      <w:r>
        <w:rPr>
          <w:rFonts w:hint="eastAsia" w:ascii="宋体" w:hAnsi="宋体"/>
          <w:szCs w:val="21"/>
        </w:rPr>
        <w:t>（5）评标委员会按照招标文件中的规定推荐中标候选人。</w:t>
      </w:r>
    </w:p>
    <w:p w14:paraId="16A08AF7">
      <w:pPr>
        <w:snapToGrid w:val="0"/>
        <w:spacing w:line="360" w:lineRule="auto"/>
        <w:ind w:firstLine="420" w:firstLineChars="200"/>
        <w:rPr>
          <w:rFonts w:ascii="宋体" w:hAnsi="宋体"/>
          <w:szCs w:val="21"/>
        </w:rPr>
      </w:pPr>
      <w:r>
        <w:rPr>
          <w:rFonts w:hint="eastAsia" w:ascii="宋体" w:hAnsi="宋体"/>
          <w:szCs w:val="21"/>
        </w:rPr>
        <w:t>（6）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作出结论。持不同意见的评标委员会成员应当在评标报告上签署不同意见及理由，否则视为同意评标报告。</w:t>
      </w:r>
    </w:p>
    <w:p w14:paraId="73569752">
      <w:pPr>
        <w:snapToGrid w:val="0"/>
        <w:spacing w:line="360" w:lineRule="auto"/>
        <w:ind w:firstLine="424" w:firstLineChars="202"/>
        <w:jc w:val="center"/>
        <w:rPr>
          <w:rFonts w:hint="eastAsia"/>
        </w:rPr>
      </w:pPr>
      <w:r>
        <w:br w:type="page"/>
      </w:r>
      <w:r>
        <w:rPr>
          <w:rFonts w:ascii="宋体" w:hAnsi="宋体" w:cs="宋体"/>
          <w:b/>
          <w:bCs/>
          <w:sz w:val="32"/>
          <w:szCs w:val="32"/>
        </w:rPr>
        <w:t>三</w:t>
      </w:r>
      <w:r>
        <w:rPr>
          <w:rFonts w:hint="eastAsia" w:ascii="宋体" w:hAnsi="宋体" w:cs="宋体"/>
          <w:b/>
          <w:bCs/>
          <w:sz w:val="32"/>
          <w:szCs w:val="32"/>
        </w:rPr>
        <w:t>、评标标准</w:t>
      </w:r>
    </w:p>
    <w:p w14:paraId="6B27565F">
      <w:pPr>
        <w:pStyle w:val="4"/>
        <w:keepNext w:val="0"/>
        <w:keepLines w:val="0"/>
        <w:jc w:val="center"/>
      </w:pPr>
      <w:r>
        <w:rPr>
          <w:rFonts w:hint="eastAsia"/>
        </w:rPr>
        <w:t>综合评分法</w:t>
      </w:r>
    </w:p>
    <w:p w14:paraId="2F88635C">
      <w:pPr>
        <w:jc w:val="center"/>
        <w:rPr>
          <w:b/>
          <w:bCs/>
          <w:color w:val="000000"/>
          <w:sz w:val="28"/>
          <w:szCs w:val="28"/>
        </w:rPr>
      </w:pPr>
      <w:r>
        <w:rPr>
          <w:rFonts w:hint="eastAsia"/>
          <w:b/>
          <w:bCs/>
          <w:color w:val="000000"/>
          <w:sz w:val="28"/>
          <w:szCs w:val="28"/>
        </w:rPr>
        <w:t>适用分标1、5</w:t>
      </w:r>
    </w:p>
    <w:p w14:paraId="66FFFAC6">
      <w:pPr>
        <w:jc w:val="center"/>
        <w:rPr>
          <w:rFonts w:hint="eastAsia"/>
          <w:b/>
          <w:bCs/>
        </w:rPr>
      </w:pPr>
    </w:p>
    <w:tbl>
      <w:tblPr>
        <w:tblStyle w:val="5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8"/>
        <w:gridCol w:w="1421"/>
        <w:gridCol w:w="1529"/>
        <w:gridCol w:w="5074"/>
      </w:tblGrid>
      <w:tr w14:paraId="726AC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126" w:type="pct"/>
            <w:gridSpan w:val="2"/>
            <w:noWrap w:val="0"/>
            <w:vAlign w:val="center"/>
          </w:tcPr>
          <w:p w14:paraId="2458FC69">
            <w:pPr>
              <w:adjustRightInd w:val="0"/>
              <w:spacing w:line="360" w:lineRule="exact"/>
              <w:jc w:val="center"/>
              <w:textAlignment w:val="baseline"/>
              <w:rPr>
                <w:rFonts w:ascii="宋体" w:hAnsi="宋体"/>
                <w:b/>
                <w:szCs w:val="21"/>
              </w:rPr>
            </w:pPr>
            <w:r>
              <w:rPr>
                <w:rFonts w:hint="eastAsia" w:ascii="宋体" w:hAnsi="宋体"/>
                <w:b/>
                <w:szCs w:val="21"/>
              </w:rPr>
              <w:t>序号</w:t>
            </w:r>
          </w:p>
        </w:tc>
        <w:tc>
          <w:tcPr>
            <w:tcW w:w="897" w:type="pct"/>
            <w:noWrap w:val="0"/>
            <w:vAlign w:val="center"/>
          </w:tcPr>
          <w:p w14:paraId="4BF0B68C">
            <w:pPr>
              <w:adjustRightInd w:val="0"/>
              <w:spacing w:line="360" w:lineRule="exact"/>
              <w:jc w:val="center"/>
              <w:textAlignment w:val="baseline"/>
              <w:rPr>
                <w:rFonts w:ascii="宋体" w:hAnsi="宋体"/>
                <w:b/>
                <w:szCs w:val="21"/>
              </w:rPr>
            </w:pPr>
            <w:r>
              <w:rPr>
                <w:rFonts w:hint="eastAsia" w:ascii="宋体" w:hAnsi="宋体"/>
                <w:b/>
                <w:szCs w:val="21"/>
              </w:rPr>
              <w:t>评审因素</w:t>
            </w:r>
          </w:p>
        </w:tc>
        <w:tc>
          <w:tcPr>
            <w:tcW w:w="2976" w:type="pct"/>
            <w:noWrap w:val="0"/>
            <w:vAlign w:val="center"/>
          </w:tcPr>
          <w:p w14:paraId="59E99C6E">
            <w:pPr>
              <w:adjustRightInd w:val="0"/>
              <w:spacing w:line="360" w:lineRule="exact"/>
              <w:jc w:val="center"/>
              <w:textAlignment w:val="baseline"/>
              <w:rPr>
                <w:rFonts w:ascii="宋体" w:hAnsi="宋体"/>
                <w:b/>
                <w:szCs w:val="21"/>
              </w:rPr>
            </w:pPr>
            <w:r>
              <w:rPr>
                <w:rFonts w:hint="eastAsia" w:ascii="宋体" w:hAnsi="宋体"/>
                <w:b/>
                <w:szCs w:val="21"/>
              </w:rPr>
              <w:t>评标标准</w:t>
            </w:r>
          </w:p>
        </w:tc>
      </w:tr>
      <w:tr w14:paraId="686DA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2" w:type="pct"/>
            <w:noWrap w:val="0"/>
            <w:vAlign w:val="center"/>
          </w:tcPr>
          <w:p w14:paraId="1D0D14C3">
            <w:pPr>
              <w:adjustRightInd w:val="0"/>
              <w:spacing w:line="360" w:lineRule="exact"/>
              <w:jc w:val="center"/>
              <w:textAlignment w:val="baseline"/>
              <w:rPr>
                <w:rFonts w:ascii="宋体" w:hAnsi="宋体"/>
                <w:szCs w:val="21"/>
              </w:rPr>
            </w:pPr>
            <w:r>
              <w:rPr>
                <w:rFonts w:hint="eastAsia" w:ascii="宋体" w:hAnsi="宋体"/>
                <w:szCs w:val="21"/>
              </w:rPr>
              <w:t>1</w:t>
            </w:r>
          </w:p>
        </w:tc>
        <w:tc>
          <w:tcPr>
            <w:tcW w:w="833" w:type="pct"/>
            <w:noWrap w:val="0"/>
            <w:vAlign w:val="center"/>
          </w:tcPr>
          <w:p w14:paraId="0A260D15">
            <w:pPr>
              <w:adjustRightInd w:val="0"/>
              <w:spacing w:line="360" w:lineRule="exact"/>
              <w:jc w:val="center"/>
              <w:textAlignment w:val="baseline"/>
              <w:rPr>
                <w:rFonts w:ascii="宋体" w:hAnsi="宋体"/>
                <w:b/>
                <w:bCs/>
                <w:szCs w:val="21"/>
              </w:rPr>
            </w:pPr>
            <w:r>
              <w:rPr>
                <w:rFonts w:hint="eastAsia" w:ascii="宋体" w:hAnsi="宋体"/>
                <w:b/>
                <w:bCs/>
                <w:szCs w:val="21"/>
              </w:rPr>
              <w:t>价格分</w:t>
            </w:r>
          </w:p>
          <w:p w14:paraId="2DD071BF">
            <w:pPr>
              <w:adjustRightInd w:val="0"/>
              <w:spacing w:line="360" w:lineRule="exact"/>
              <w:jc w:val="center"/>
              <w:textAlignment w:val="baseline"/>
              <w:rPr>
                <w:rFonts w:ascii="宋体" w:hAnsi="宋体"/>
                <w:b/>
                <w:bCs/>
                <w:szCs w:val="21"/>
              </w:rPr>
            </w:pPr>
            <w:r>
              <w:rPr>
                <w:rFonts w:hint="eastAsia" w:ascii="宋体" w:hAnsi="宋体"/>
                <w:b/>
                <w:bCs/>
                <w:szCs w:val="21"/>
              </w:rPr>
              <w:t>（满分</w:t>
            </w:r>
            <w:r>
              <w:rPr>
                <w:rFonts w:ascii="宋体" w:hAnsi="宋体"/>
                <w:b/>
                <w:bCs/>
                <w:szCs w:val="21"/>
                <w:u w:val="single"/>
              </w:rPr>
              <w:t>30</w:t>
            </w:r>
            <w:r>
              <w:rPr>
                <w:rFonts w:hint="eastAsia" w:ascii="宋体" w:hAnsi="宋体"/>
                <w:b/>
                <w:bCs/>
                <w:szCs w:val="21"/>
              </w:rPr>
              <w:t>分）</w:t>
            </w:r>
          </w:p>
        </w:tc>
        <w:tc>
          <w:tcPr>
            <w:tcW w:w="897" w:type="pct"/>
            <w:noWrap w:val="0"/>
            <w:vAlign w:val="center"/>
          </w:tcPr>
          <w:p w14:paraId="5A33AFFA">
            <w:pPr>
              <w:adjustRightInd w:val="0"/>
              <w:spacing w:line="360" w:lineRule="exact"/>
              <w:jc w:val="center"/>
              <w:textAlignment w:val="baseline"/>
              <w:rPr>
                <w:rFonts w:ascii="宋体" w:hAnsi="宋体"/>
                <w:bCs/>
                <w:szCs w:val="21"/>
              </w:rPr>
            </w:pPr>
            <w:r>
              <w:rPr>
                <w:rFonts w:hint="eastAsia" w:ascii="宋体" w:hAnsi="宋体"/>
                <w:bCs/>
                <w:szCs w:val="21"/>
              </w:rPr>
              <w:t>投标报价（满分</w:t>
            </w:r>
            <w:r>
              <w:rPr>
                <w:rFonts w:ascii="宋体" w:hAnsi="宋体"/>
                <w:bCs/>
                <w:szCs w:val="21"/>
              </w:rPr>
              <w:t>30</w:t>
            </w:r>
            <w:r>
              <w:rPr>
                <w:rFonts w:hint="eastAsia" w:ascii="宋体" w:hAnsi="宋体"/>
                <w:bCs/>
                <w:szCs w:val="21"/>
              </w:rPr>
              <w:t>分）</w:t>
            </w:r>
          </w:p>
        </w:tc>
        <w:tc>
          <w:tcPr>
            <w:tcW w:w="2976" w:type="pct"/>
            <w:noWrap w:val="0"/>
            <w:vAlign w:val="center"/>
          </w:tcPr>
          <w:p w14:paraId="37C3293E">
            <w:pPr>
              <w:snapToGrid w:val="0"/>
              <w:spacing w:line="360" w:lineRule="exact"/>
              <w:ind w:firstLine="233" w:firstLineChars="111"/>
              <w:rPr>
                <w:rFonts w:hint="eastAsia" w:ascii="宋体" w:hAnsi="宋体"/>
                <w:bCs/>
                <w:szCs w:val="21"/>
              </w:rPr>
            </w:pPr>
            <w:r>
              <w:rPr>
                <w:rFonts w:hint="eastAsia" w:ascii="宋体" w:hAnsi="宋体"/>
                <w:bCs/>
                <w:szCs w:val="21"/>
              </w:rPr>
              <w:t>（1）评标报价为投标人的投标报价进行政策性扣除后的价格，评标报价只是作为评标时使用。最终中标人的中标金额等于投标报价。</w:t>
            </w:r>
          </w:p>
          <w:p w14:paraId="51C4E454">
            <w:pPr>
              <w:snapToGrid w:val="0"/>
              <w:spacing w:line="360" w:lineRule="exact"/>
              <w:ind w:firstLine="233" w:firstLineChars="111"/>
              <w:rPr>
                <w:rFonts w:hint="eastAsia" w:ascii="宋体" w:hAnsi="宋体"/>
                <w:bCs/>
                <w:szCs w:val="21"/>
              </w:rPr>
            </w:pPr>
            <w:r>
              <w:rPr>
                <w:rFonts w:hint="eastAsia" w:ascii="宋体" w:hAnsi="宋体"/>
                <w:bCs/>
                <w:szCs w:val="21"/>
              </w:rPr>
              <w:t>（2）政策性扣除计算方法。</w:t>
            </w:r>
          </w:p>
          <w:p w14:paraId="7D6311BE">
            <w:pPr>
              <w:snapToGrid w:val="0"/>
              <w:spacing w:line="360" w:lineRule="exact"/>
              <w:ind w:firstLine="233" w:firstLineChars="111"/>
              <w:rPr>
                <w:rFonts w:hint="eastAsia" w:ascii="宋体" w:hAnsi="宋体"/>
                <w:bCs/>
                <w:szCs w:val="21"/>
              </w:rPr>
            </w:pPr>
            <w:r>
              <w:rPr>
                <w:rFonts w:hint="eastAsia" w:ascii="宋体" w:hAnsi="宋体"/>
                <w:bCs/>
                <w:szCs w:val="21"/>
              </w:rPr>
              <w:t>根据《政府采购促进中小企业发展管理办法》（财库〔2020〕46号）及《广西壮族自治区财政厅关于持续优化政府采购营商环境推动高质量发展的通知》（桂财采〔2024〕55号）的规定，投标人在其投标文件中提供《中小企业声明函》，且其投标全部货物由小微企业制造的，对其投标报价给予10%的扣除，扣除后的价格为评标报价，即评标报价=投标报价×（1-10%）。除上述情况外，评标报价=投标报价。</w:t>
            </w:r>
          </w:p>
          <w:p w14:paraId="606005C9">
            <w:pPr>
              <w:snapToGrid w:val="0"/>
              <w:spacing w:line="360" w:lineRule="exact"/>
              <w:ind w:firstLine="233" w:firstLineChars="111"/>
              <w:rPr>
                <w:rFonts w:hint="eastAsia" w:ascii="宋体" w:hAnsi="宋体"/>
                <w:bCs/>
                <w:szCs w:val="21"/>
              </w:rPr>
            </w:pPr>
            <w:r>
              <w:rPr>
                <w:rFonts w:hint="eastAsia" w:ascii="宋体" w:hAnsi="宋体"/>
                <w:bCs/>
                <w:szCs w:val="21"/>
              </w:rPr>
              <w:t>（3）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监狱企业属于小型、微型企业的，不重复享受政策。</w:t>
            </w:r>
          </w:p>
          <w:p w14:paraId="1694CC6D">
            <w:pPr>
              <w:snapToGrid w:val="0"/>
              <w:spacing w:line="360" w:lineRule="exact"/>
              <w:ind w:firstLine="233" w:firstLineChars="111"/>
              <w:rPr>
                <w:rFonts w:hint="eastAsia" w:ascii="宋体" w:hAnsi="宋体"/>
                <w:bCs/>
                <w:szCs w:val="21"/>
              </w:rPr>
            </w:pPr>
            <w:r>
              <w:rPr>
                <w:rFonts w:hint="eastAsia" w:ascii="宋体" w:hAnsi="宋体"/>
                <w:bCs/>
                <w:szCs w:val="21"/>
              </w:rPr>
              <w:t>（4）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5AB1EDB5">
            <w:pPr>
              <w:snapToGrid w:val="0"/>
              <w:spacing w:line="360" w:lineRule="exact"/>
              <w:ind w:firstLine="233" w:firstLineChars="111"/>
              <w:rPr>
                <w:rFonts w:hint="eastAsia" w:ascii="宋体" w:hAnsi="宋体"/>
                <w:bCs/>
                <w:szCs w:val="21"/>
              </w:rPr>
            </w:pPr>
            <w:r>
              <w:rPr>
                <w:rFonts w:hint="eastAsia" w:ascii="宋体" w:hAnsi="宋体"/>
                <w:bCs/>
                <w:szCs w:val="21"/>
              </w:rPr>
              <w:t>（5）本国产品政策性扣除计算方法。</w:t>
            </w:r>
          </w:p>
          <w:p w14:paraId="1C848727">
            <w:pPr>
              <w:snapToGrid w:val="0"/>
              <w:spacing w:line="360" w:lineRule="exact"/>
              <w:ind w:firstLine="233" w:firstLineChars="111"/>
              <w:rPr>
                <w:rFonts w:hint="eastAsia" w:ascii="宋体" w:hAnsi="宋体"/>
                <w:bCs/>
                <w:szCs w:val="21"/>
              </w:rPr>
            </w:pPr>
            <w:r>
              <w:rPr>
                <w:rFonts w:hint="eastAsia" w:ascii="宋体" w:hAnsi="宋体"/>
                <w:bCs/>
                <w:szCs w:val="21"/>
              </w:rPr>
              <w:t>根据《国务院办公厅关于在政府采购中实施本国产品标准及相关政策的通知》（国办发〔2025〕34号）的规定，政府采购活动中既有本国产品又有非本国产品参与竞争的，依法对本国产品给予价格评审优惠，对本国产品的报价给予20%的价格扣除，用扣除后的价格参与评审。</w:t>
            </w:r>
          </w:p>
          <w:p w14:paraId="0537A548">
            <w:pPr>
              <w:snapToGrid w:val="0"/>
              <w:spacing w:line="360" w:lineRule="exact"/>
              <w:ind w:firstLine="233" w:firstLineChars="111"/>
              <w:rPr>
                <w:rFonts w:hint="eastAsia" w:ascii="宋体" w:hAnsi="宋体"/>
                <w:bCs/>
                <w:szCs w:val="21"/>
              </w:rPr>
            </w:pPr>
            <w:r>
              <w:rPr>
                <w:rFonts w:hint="eastAsia" w:ascii="宋体" w:hAnsi="宋体"/>
                <w:bCs/>
                <w:szCs w:val="21"/>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未达到80%，不享受价格评审优惠。</w:t>
            </w:r>
          </w:p>
          <w:p w14:paraId="7AF9DB7E">
            <w:pPr>
              <w:snapToGrid w:val="0"/>
              <w:spacing w:line="360" w:lineRule="exact"/>
              <w:ind w:firstLine="233" w:firstLineChars="111"/>
              <w:rPr>
                <w:rFonts w:hint="eastAsia" w:ascii="宋体" w:hAnsi="宋体"/>
                <w:bCs/>
                <w:szCs w:val="21"/>
              </w:rPr>
            </w:pPr>
            <w:r>
              <w:rPr>
                <w:rFonts w:hint="eastAsia" w:ascii="宋体" w:hAnsi="宋体"/>
                <w:bCs/>
                <w:szCs w:val="21"/>
              </w:rPr>
              <w:t>供应商在其投标文件中提供《关于符合本国产品标准的声明函》或财政部会同有关部门规定的有关证明文件，出具符合要求的《声明函》或有关证明文件的，该产品视为本国产品。</w:t>
            </w:r>
          </w:p>
          <w:p w14:paraId="30BFC74E">
            <w:pPr>
              <w:snapToGrid w:val="0"/>
              <w:spacing w:line="360" w:lineRule="exact"/>
              <w:ind w:firstLine="233" w:firstLineChars="111"/>
              <w:rPr>
                <w:rFonts w:hint="eastAsia" w:ascii="宋体" w:hAnsi="宋体"/>
                <w:bCs/>
                <w:szCs w:val="21"/>
              </w:rPr>
            </w:pPr>
            <w:r>
              <w:rPr>
                <w:rFonts w:hint="eastAsia" w:ascii="宋体" w:hAnsi="宋体"/>
                <w:bCs/>
                <w:szCs w:val="21"/>
              </w:rPr>
              <w:t>如果所有参与竞争的供应商均可享受本国产品价格评审优惠，则统一不进行价格扣除。</w:t>
            </w:r>
          </w:p>
          <w:p w14:paraId="15F8CA21">
            <w:pPr>
              <w:snapToGrid w:val="0"/>
              <w:spacing w:line="360" w:lineRule="exact"/>
              <w:ind w:firstLine="233" w:firstLineChars="111"/>
              <w:rPr>
                <w:rFonts w:ascii="宋体" w:hAnsi="宋体"/>
                <w:bCs/>
                <w:szCs w:val="21"/>
              </w:rPr>
            </w:pPr>
            <w:r>
              <w:rPr>
                <w:rFonts w:hint="eastAsia" w:ascii="宋体" w:hAnsi="宋体"/>
                <w:bCs/>
                <w:szCs w:val="21"/>
              </w:rPr>
              <w:t>（6）中小企业折扣与本国产品折扣进行叠加计算，用扣除后的价格参加评审。即评审价=投标报价-中小企业折扣-本国产品折扣，除上述情况外，评审价=投标报价。</w:t>
            </w:r>
          </w:p>
          <w:p w14:paraId="2323D591">
            <w:pPr>
              <w:snapToGrid w:val="0"/>
              <w:spacing w:line="360" w:lineRule="exact"/>
              <w:ind w:firstLine="233" w:firstLineChars="111"/>
              <w:rPr>
                <w:rFonts w:hint="eastAsia" w:ascii="宋体" w:hAnsi="宋体"/>
                <w:bCs/>
                <w:szCs w:val="21"/>
              </w:rPr>
            </w:pPr>
            <w:r>
              <w:rPr>
                <w:rFonts w:hint="eastAsia" w:ascii="宋体" w:hAnsi="宋体"/>
                <w:bCs/>
                <w:szCs w:val="21"/>
              </w:rPr>
              <w:t>（7）满足招标文件要求且评标报价最低的评标报价为评标基准价，其价格分为满分。</w:t>
            </w:r>
          </w:p>
          <w:p w14:paraId="0DB080B7">
            <w:pPr>
              <w:snapToGrid w:val="0"/>
              <w:spacing w:line="360" w:lineRule="exact"/>
              <w:ind w:firstLine="234" w:firstLineChars="111"/>
              <w:rPr>
                <w:rFonts w:hint="eastAsia" w:ascii="宋体" w:hAnsi="宋体"/>
                <w:b/>
                <w:bCs/>
                <w:szCs w:val="21"/>
              </w:rPr>
            </w:pPr>
            <w:r>
              <w:rPr>
                <w:rFonts w:hint="eastAsia" w:ascii="宋体" w:hAnsi="宋体"/>
                <w:b/>
                <w:bCs/>
                <w:szCs w:val="21"/>
              </w:rPr>
              <w:t xml:space="preserve">（8）价格分计算公式：        </w:t>
            </w:r>
          </w:p>
          <w:p w14:paraId="6AC221EE">
            <w:pPr>
              <w:spacing w:line="360" w:lineRule="exact"/>
              <w:rPr>
                <w:rFonts w:hint="eastAsia" w:ascii="宋体" w:hAnsi="宋体" w:cs="Courier New"/>
                <w:bCs/>
                <w:szCs w:val="21"/>
              </w:rPr>
            </w:pPr>
            <w:r>
              <w:rPr>
                <w:rFonts w:hint="eastAsia" w:ascii="宋体" w:hAnsi="宋体"/>
                <w:b/>
                <w:bCs/>
                <w:szCs w:val="21"/>
              </w:rPr>
              <w:t>价格分=（评标基准价/评标报价）×30分</w:t>
            </w:r>
          </w:p>
        </w:tc>
      </w:tr>
      <w:tr w14:paraId="664E9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2" w:type="pct"/>
            <w:vMerge w:val="restart"/>
            <w:noWrap w:val="0"/>
            <w:vAlign w:val="center"/>
          </w:tcPr>
          <w:p w14:paraId="0C062100">
            <w:pPr>
              <w:adjustRightInd w:val="0"/>
              <w:spacing w:line="360" w:lineRule="exact"/>
              <w:jc w:val="center"/>
              <w:textAlignment w:val="baseline"/>
              <w:rPr>
                <w:rFonts w:hint="eastAsia" w:ascii="宋体" w:hAnsi="宋体"/>
                <w:szCs w:val="21"/>
              </w:rPr>
            </w:pPr>
            <w:r>
              <w:rPr>
                <w:rFonts w:hint="eastAsia" w:ascii="宋体" w:hAnsi="宋体"/>
                <w:szCs w:val="21"/>
              </w:rPr>
              <w:t>2</w:t>
            </w:r>
          </w:p>
        </w:tc>
        <w:tc>
          <w:tcPr>
            <w:tcW w:w="833" w:type="pct"/>
            <w:vMerge w:val="restart"/>
            <w:noWrap w:val="0"/>
            <w:vAlign w:val="center"/>
          </w:tcPr>
          <w:p w14:paraId="3579950E">
            <w:pPr>
              <w:adjustRightInd w:val="0"/>
              <w:spacing w:line="360" w:lineRule="exact"/>
              <w:jc w:val="center"/>
              <w:textAlignment w:val="baseline"/>
              <w:rPr>
                <w:rFonts w:hint="eastAsia" w:ascii="宋体" w:hAnsi="宋体"/>
                <w:b/>
                <w:bCs/>
                <w:szCs w:val="21"/>
              </w:rPr>
            </w:pPr>
            <w:r>
              <w:rPr>
                <w:rFonts w:hint="eastAsia" w:ascii="宋体" w:hAnsi="宋体"/>
                <w:b/>
                <w:bCs/>
                <w:szCs w:val="21"/>
              </w:rPr>
              <w:t>技术分（满分57分）</w:t>
            </w:r>
          </w:p>
        </w:tc>
        <w:tc>
          <w:tcPr>
            <w:tcW w:w="897" w:type="pct"/>
            <w:noWrap w:val="0"/>
            <w:vAlign w:val="center"/>
          </w:tcPr>
          <w:p w14:paraId="21F4FF07">
            <w:pPr>
              <w:adjustRightInd w:val="0"/>
              <w:spacing w:line="360" w:lineRule="exact"/>
              <w:jc w:val="left"/>
              <w:textAlignment w:val="baseline"/>
              <w:rPr>
                <w:rFonts w:ascii="宋体" w:hAnsi="宋体"/>
                <w:szCs w:val="21"/>
                <w:u w:val="single"/>
              </w:rPr>
            </w:pPr>
            <w:r>
              <w:rPr>
                <w:rFonts w:hint="eastAsia" w:ascii="宋体" w:hAnsi="宋体"/>
                <w:szCs w:val="21"/>
              </w:rPr>
              <w:t>产品技术或性能分（满分11分）</w:t>
            </w:r>
          </w:p>
        </w:tc>
        <w:tc>
          <w:tcPr>
            <w:tcW w:w="2976" w:type="pct"/>
            <w:noWrap w:val="0"/>
            <w:vAlign w:val="center"/>
          </w:tcPr>
          <w:p w14:paraId="34B27609">
            <w:pPr>
              <w:widowControl/>
              <w:shd w:val="clear" w:color="auto" w:fill="FFFFFF"/>
              <w:spacing w:line="360" w:lineRule="exact"/>
              <w:ind w:firstLine="420" w:firstLineChars="200"/>
              <w:rPr>
                <w:rFonts w:hAnsi="宋体" w:cs="Courier New"/>
                <w:highlight w:val="yellow"/>
              </w:rPr>
            </w:pPr>
            <w:r>
              <w:rPr>
                <w:rFonts w:hint="eastAsia" w:hAnsi="宋体" w:cs="Courier New"/>
              </w:rPr>
              <w:t>投标人投标产品“技术需求及要求”标记“▲”号的技术参数完全满足招标文件要求的得基本分11分。未标记“▲”号的技术参数存在负偏离的或不响应的，在基本分（11分）的基础上，每有一项扣</w:t>
            </w:r>
            <w:r>
              <w:rPr>
                <w:rFonts w:hint="eastAsia" w:hAnsi="宋体" w:cs="Courier New"/>
                <w:b/>
              </w:rPr>
              <w:t>1</w:t>
            </w:r>
            <w:r>
              <w:rPr>
                <w:rFonts w:hint="eastAsia" w:hAnsi="宋体" w:cs="Courier New"/>
              </w:rPr>
              <w:t>分，最多扣完本项分值。</w:t>
            </w:r>
          </w:p>
        </w:tc>
      </w:tr>
      <w:tr w14:paraId="19C16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2" w:type="pct"/>
            <w:vMerge w:val="continue"/>
            <w:noWrap w:val="0"/>
            <w:vAlign w:val="center"/>
          </w:tcPr>
          <w:p w14:paraId="4514FF18">
            <w:pPr>
              <w:adjustRightInd w:val="0"/>
              <w:spacing w:line="360" w:lineRule="exact"/>
              <w:jc w:val="center"/>
              <w:textAlignment w:val="baseline"/>
              <w:rPr>
                <w:rFonts w:hint="eastAsia" w:ascii="宋体" w:hAnsi="宋体"/>
                <w:szCs w:val="21"/>
              </w:rPr>
            </w:pPr>
          </w:p>
        </w:tc>
        <w:tc>
          <w:tcPr>
            <w:tcW w:w="833" w:type="pct"/>
            <w:vMerge w:val="continue"/>
            <w:noWrap w:val="0"/>
            <w:vAlign w:val="center"/>
          </w:tcPr>
          <w:p w14:paraId="54A74B7D">
            <w:pPr>
              <w:adjustRightInd w:val="0"/>
              <w:spacing w:line="360" w:lineRule="exact"/>
              <w:jc w:val="center"/>
              <w:textAlignment w:val="baseline"/>
              <w:rPr>
                <w:rFonts w:hint="eastAsia" w:ascii="宋体" w:hAnsi="宋体"/>
                <w:b/>
                <w:bCs/>
                <w:szCs w:val="21"/>
              </w:rPr>
            </w:pPr>
          </w:p>
        </w:tc>
        <w:tc>
          <w:tcPr>
            <w:tcW w:w="897" w:type="pct"/>
            <w:noWrap w:val="0"/>
            <w:vAlign w:val="center"/>
          </w:tcPr>
          <w:p w14:paraId="30880DBE">
            <w:pPr>
              <w:adjustRightInd w:val="0"/>
              <w:spacing w:line="360" w:lineRule="exact"/>
              <w:jc w:val="left"/>
              <w:textAlignment w:val="baseline"/>
              <w:rPr>
                <w:rFonts w:hint="eastAsia" w:ascii="宋体" w:hAnsi="宋体"/>
                <w:color w:val="FF0000"/>
                <w:szCs w:val="21"/>
              </w:rPr>
            </w:pPr>
            <w:r>
              <w:rPr>
                <w:rFonts w:hint="eastAsia" w:ascii="宋体" w:hAnsi="宋体"/>
                <w:bCs/>
                <w:szCs w:val="21"/>
              </w:rPr>
              <w:t>项目实施方案（满分12分）</w:t>
            </w:r>
          </w:p>
        </w:tc>
        <w:tc>
          <w:tcPr>
            <w:tcW w:w="2976" w:type="pct"/>
            <w:noWrap w:val="0"/>
            <w:vAlign w:val="top"/>
          </w:tcPr>
          <w:p w14:paraId="473245B2">
            <w:pPr>
              <w:spacing w:line="360" w:lineRule="exact"/>
              <w:ind w:firstLine="420" w:firstLineChars="200"/>
              <w:jc w:val="left"/>
              <w:rPr>
                <w:rFonts w:hint="eastAsia" w:ascii="宋体" w:hAnsi="宋体"/>
                <w:szCs w:val="21"/>
                <w:highlight w:val="yellow"/>
              </w:rPr>
            </w:pPr>
            <w:r>
              <w:rPr>
                <w:rFonts w:hint="eastAsia" w:ascii="宋体" w:hAnsi="宋体"/>
                <w:szCs w:val="21"/>
              </w:rPr>
              <w:t>一档（6分）：对项目理解基本正确，项目实施方案内容有基本框架，能提供项目实施管理、组织架构、产品配送组织计划、</w:t>
            </w:r>
            <w:r>
              <w:rPr>
                <w:rFonts w:hint="eastAsia" w:ascii="宋体" w:hAnsi="宋体" w:cs="宋体"/>
                <w:bCs/>
                <w:szCs w:val="21"/>
              </w:rPr>
              <w:t>运输方式、交货</w:t>
            </w:r>
            <w:r>
              <w:rPr>
                <w:rFonts w:hint="eastAsia" w:ascii="宋体" w:hAnsi="宋体" w:cs="宋体"/>
                <w:szCs w:val="21"/>
              </w:rPr>
              <w:t>保障措施</w:t>
            </w:r>
            <w:r>
              <w:rPr>
                <w:rFonts w:hint="eastAsia" w:ascii="宋体" w:hAnsi="宋体"/>
                <w:szCs w:val="21"/>
              </w:rPr>
              <w:t>及时间安排，提供项目实施团队人员名单，项目实施团队人员不少于3人。</w:t>
            </w:r>
          </w:p>
          <w:p w14:paraId="6C9D93D0">
            <w:pPr>
              <w:spacing w:line="360" w:lineRule="exact"/>
              <w:ind w:firstLine="420" w:firstLineChars="200"/>
              <w:jc w:val="left"/>
              <w:rPr>
                <w:rFonts w:hint="eastAsia" w:ascii="宋体" w:hAnsi="宋体"/>
                <w:szCs w:val="21"/>
              </w:rPr>
            </w:pPr>
            <w:r>
              <w:rPr>
                <w:rFonts w:hint="eastAsia" w:ascii="宋体" w:hAnsi="宋体"/>
                <w:szCs w:val="21"/>
              </w:rPr>
              <w:t>二档（9分）：满足一档的基础上，项目实施方案内容具体且合理，能提供具体项目执行组织措施、项目供货保障措施（如物流、仓储等）、完整的供货保障资料（如投标人与供货产品厂商的订购协议，或供货产品代理证明、或供货渠道证明等），提供合理的项目进度计划和运输、交货</w:t>
            </w:r>
            <w:r>
              <w:rPr>
                <w:rFonts w:hint="eastAsia" w:ascii="宋体" w:hAnsi="宋体" w:cs="宋体"/>
                <w:bCs/>
                <w:szCs w:val="21"/>
              </w:rPr>
              <w:t>中的应急处理方案，</w:t>
            </w:r>
            <w:r>
              <w:rPr>
                <w:rFonts w:hint="eastAsia" w:ascii="宋体" w:hAnsi="宋体"/>
                <w:szCs w:val="21"/>
              </w:rPr>
              <w:t>质量与安全保证、风险预防措施等。</w:t>
            </w:r>
          </w:p>
          <w:p w14:paraId="15ED4585">
            <w:pPr>
              <w:spacing w:line="360" w:lineRule="exact"/>
              <w:ind w:firstLine="420" w:firstLineChars="200"/>
              <w:jc w:val="left"/>
              <w:rPr>
                <w:rFonts w:hint="eastAsia" w:ascii="宋体" w:hAnsi="宋体"/>
                <w:szCs w:val="21"/>
              </w:rPr>
            </w:pPr>
            <w:r>
              <w:rPr>
                <w:rFonts w:hint="eastAsia" w:ascii="宋体" w:hAnsi="宋体"/>
                <w:szCs w:val="21"/>
              </w:rPr>
              <w:t>三档（12分）：在满足二档要求的基础上，能详细、合理阐述各阶段工作安排与进度计划，能够根据项目提供明确的实施进度和管理措施（</w:t>
            </w:r>
            <w:r>
              <w:rPr>
                <w:rFonts w:hint="eastAsia" w:ascii="宋体" w:hAnsi="宋体"/>
                <w:bCs/>
              </w:rPr>
              <w:t>包含质量管理、进度管理、沟通管理、风险管理等</w:t>
            </w:r>
            <w:r>
              <w:rPr>
                <w:rFonts w:hint="eastAsia" w:ascii="宋体" w:hAnsi="宋体"/>
                <w:szCs w:val="21"/>
              </w:rPr>
              <w:t>）、完备的质量控制方案和验收措施，提供项目实施计划进度表、保证按期交付承诺书，并有明确的质量与安全保障承诺。针对项目实施中的潜在风险进行了全面评估，制定了详细的应对措施与可行的备选方案，整体方案适配采购人项目交付实际；投入的实施团队人员能力可解决项目由备货至最终交付验收的各种问题（须提供相关佐证材料，可以是以往项目问题解决案例或问题处理报告等）。</w:t>
            </w:r>
          </w:p>
          <w:p w14:paraId="4C9DCCC8">
            <w:pPr>
              <w:spacing w:line="360" w:lineRule="exact"/>
              <w:ind w:firstLine="420" w:firstLineChars="200"/>
              <w:jc w:val="left"/>
              <w:rPr>
                <w:rFonts w:hint="eastAsia" w:ascii="宋体" w:hAnsi="宋体"/>
                <w:szCs w:val="21"/>
              </w:rPr>
            </w:pPr>
          </w:p>
          <w:p w14:paraId="220612E2">
            <w:pPr>
              <w:widowControl/>
              <w:shd w:val="clear" w:color="auto" w:fill="FFFFFF"/>
              <w:spacing w:line="360" w:lineRule="exact"/>
              <w:ind w:firstLine="422" w:firstLineChars="200"/>
              <w:rPr>
                <w:rFonts w:ascii="宋体" w:hAnsi="宋体"/>
                <w:b/>
                <w:bCs/>
              </w:rPr>
            </w:pPr>
            <w:r>
              <w:rPr>
                <w:rFonts w:hint="eastAsia" w:ascii="宋体" w:hAnsi="宋体"/>
                <w:b/>
                <w:bCs/>
              </w:rPr>
              <w:t>注：</w:t>
            </w:r>
          </w:p>
          <w:p w14:paraId="15EB6C03">
            <w:pPr>
              <w:widowControl/>
              <w:shd w:val="clear" w:color="auto" w:fill="FFFFFF"/>
              <w:spacing w:line="360" w:lineRule="exact"/>
              <w:ind w:firstLine="422" w:firstLineChars="200"/>
              <w:rPr>
                <w:rFonts w:hint="eastAsia" w:ascii="宋体" w:hAnsi="宋体" w:cs="Courier New"/>
                <w:b/>
                <w:bCs/>
              </w:rPr>
            </w:pPr>
            <w:r>
              <w:rPr>
                <w:rFonts w:hint="eastAsia" w:ascii="宋体" w:hAnsi="宋体" w:cs="Courier New"/>
                <w:b/>
                <w:bCs/>
              </w:rPr>
              <w:t>1.不符合最低入档条件的按0分计分。</w:t>
            </w:r>
          </w:p>
          <w:p w14:paraId="2453B430">
            <w:pPr>
              <w:widowControl/>
              <w:shd w:val="clear" w:color="auto" w:fill="FFFFFF"/>
              <w:spacing w:line="360" w:lineRule="exact"/>
              <w:ind w:firstLine="422" w:firstLineChars="200"/>
              <w:rPr>
                <w:rFonts w:hint="eastAsia" w:hAnsi="宋体" w:cs="Courier New"/>
              </w:rPr>
            </w:pPr>
            <w:r>
              <w:rPr>
                <w:rFonts w:hint="eastAsia" w:ascii="宋体" w:hAnsi="宋体" w:cs="Courier New"/>
                <w:b/>
                <w:bCs/>
              </w:rPr>
              <w:t>2.投标人在投标文件中提供项目实施团队人员名单，以及提供2025年11月至2026年5月内，投标人为团队人员缴纳至少三个月的社保证明材料或聘用合同复印件，并加盖投标人公章或电子公章。</w:t>
            </w:r>
          </w:p>
        </w:tc>
      </w:tr>
      <w:tr w14:paraId="23DC8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2" w:type="pct"/>
            <w:vMerge w:val="continue"/>
            <w:noWrap w:val="0"/>
            <w:vAlign w:val="center"/>
          </w:tcPr>
          <w:p w14:paraId="33BAE318">
            <w:pPr>
              <w:adjustRightInd w:val="0"/>
              <w:spacing w:line="360" w:lineRule="exact"/>
              <w:jc w:val="center"/>
              <w:textAlignment w:val="baseline"/>
              <w:rPr>
                <w:rFonts w:hint="eastAsia" w:ascii="宋体" w:hAnsi="宋体"/>
                <w:szCs w:val="21"/>
              </w:rPr>
            </w:pPr>
          </w:p>
        </w:tc>
        <w:tc>
          <w:tcPr>
            <w:tcW w:w="833" w:type="pct"/>
            <w:vMerge w:val="continue"/>
            <w:noWrap w:val="0"/>
            <w:vAlign w:val="center"/>
          </w:tcPr>
          <w:p w14:paraId="331AAB23">
            <w:pPr>
              <w:adjustRightInd w:val="0"/>
              <w:spacing w:line="360" w:lineRule="exact"/>
              <w:jc w:val="center"/>
              <w:textAlignment w:val="baseline"/>
              <w:rPr>
                <w:rFonts w:hint="eastAsia" w:ascii="宋体" w:hAnsi="宋体"/>
                <w:b/>
                <w:bCs/>
                <w:szCs w:val="21"/>
              </w:rPr>
            </w:pPr>
          </w:p>
        </w:tc>
        <w:tc>
          <w:tcPr>
            <w:tcW w:w="897" w:type="pct"/>
            <w:noWrap w:val="0"/>
            <w:vAlign w:val="center"/>
          </w:tcPr>
          <w:p w14:paraId="4C1C4AB7">
            <w:pPr>
              <w:adjustRightInd w:val="0"/>
              <w:spacing w:line="360" w:lineRule="exact"/>
              <w:jc w:val="left"/>
              <w:textAlignment w:val="baseline"/>
              <w:rPr>
                <w:rFonts w:ascii="宋体" w:hAnsi="宋体"/>
                <w:bCs/>
                <w:szCs w:val="21"/>
              </w:rPr>
            </w:pPr>
            <w:r>
              <w:rPr>
                <w:rFonts w:hint="eastAsia" w:ascii="宋体" w:hAnsi="宋体"/>
                <w:bCs/>
                <w:szCs w:val="21"/>
              </w:rPr>
              <w:t>培训服务分（满分6分）</w:t>
            </w:r>
          </w:p>
        </w:tc>
        <w:tc>
          <w:tcPr>
            <w:tcW w:w="2976" w:type="pct"/>
            <w:noWrap w:val="0"/>
            <w:vAlign w:val="top"/>
          </w:tcPr>
          <w:p w14:paraId="3D33763B">
            <w:pPr>
              <w:spacing w:line="360" w:lineRule="exact"/>
              <w:ind w:firstLine="420" w:firstLineChars="200"/>
              <w:jc w:val="left"/>
              <w:rPr>
                <w:rFonts w:ascii="宋体" w:hAnsi="宋体"/>
                <w:bCs/>
              </w:rPr>
            </w:pPr>
            <w:r>
              <w:rPr>
                <w:rFonts w:hint="eastAsia" w:ascii="宋体" w:hAnsi="宋体"/>
                <w:bCs/>
                <w:szCs w:val="21"/>
              </w:rPr>
              <w:t>人员培训分（6分）</w:t>
            </w:r>
          </w:p>
          <w:p w14:paraId="7ABA9EBB">
            <w:pPr>
              <w:spacing w:line="360" w:lineRule="exact"/>
              <w:ind w:firstLine="420" w:firstLineChars="200"/>
              <w:jc w:val="left"/>
              <w:rPr>
                <w:rFonts w:ascii="宋体" w:hAnsi="宋体"/>
                <w:bCs/>
                <w:szCs w:val="21"/>
              </w:rPr>
            </w:pPr>
            <w:r>
              <w:rPr>
                <w:rFonts w:hint="eastAsia" w:ascii="宋体" w:hAnsi="宋体"/>
                <w:bCs/>
                <w:szCs w:val="21"/>
              </w:rPr>
              <w:t>（1）有明确的培训内容、培训时间、培训方式等内容；</w:t>
            </w:r>
          </w:p>
          <w:p w14:paraId="39E7D752">
            <w:pPr>
              <w:spacing w:line="360" w:lineRule="exact"/>
              <w:ind w:firstLine="420" w:firstLineChars="200"/>
              <w:jc w:val="left"/>
              <w:rPr>
                <w:rFonts w:ascii="宋体" w:hAnsi="宋体"/>
                <w:bCs/>
                <w:szCs w:val="21"/>
              </w:rPr>
            </w:pPr>
            <w:r>
              <w:rPr>
                <w:rFonts w:hint="eastAsia" w:ascii="宋体" w:hAnsi="宋体"/>
                <w:bCs/>
                <w:szCs w:val="21"/>
              </w:rPr>
              <w:t>（2）为采购人培训设备不少于3名操作人员，且确保培训结束后操作人员能熟练操作设备；</w:t>
            </w:r>
          </w:p>
          <w:p w14:paraId="4592A069">
            <w:pPr>
              <w:spacing w:line="360" w:lineRule="exact"/>
              <w:ind w:firstLine="420" w:firstLineChars="200"/>
              <w:jc w:val="left"/>
              <w:rPr>
                <w:rFonts w:ascii="宋体" w:hAnsi="宋体"/>
                <w:bCs/>
                <w:szCs w:val="21"/>
              </w:rPr>
            </w:pPr>
            <w:r>
              <w:rPr>
                <w:rFonts w:hint="eastAsia" w:ascii="宋体" w:hAnsi="宋体"/>
                <w:bCs/>
                <w:szCs w:val="21"/>
              </w:rPr>
              <w:t>（3）承诺在质保期内提供至少4次培训。</w:t>
            </w:r>
          </w:p>
          <w:p w14:paraId="4836D821">
            <w:pPr>
              <w:widowControl/>
              <w:shd w:val="clear" w:color="auto" w:fill="FFFFFF"/>
              <w:spacing w:line="360" w:lineRule="exact"/>
              <w:ind w:firstLine="420" w:firstLineChars="200"/>
              <w:rPr>
                <w:rFonts w:hint="eastAsia" w:ascii="宋体" w:hAnsi="宋体" w:cs="Courier New"/>
                <w:b/>
                <w:bCs/>
                <w:color w:val="FF0000"/>
              </w:rPr>
            </w:pPr>
            <w:r>
              <w:rPr>
                <w:rFonts w:hint="eastAsia" w:ascii="宋体" w:hAnsi="宋体"/>
                <w:bCs/>
                <w:szCs w:val="21"/>
              </w:rPr>
              <w:t>投标文件提供培训方案，培训方案中须具有上述内容的承诺，满足上述三项要求的得基本分3分；承诺每增加培训1名操作人员且确保培训结束后操作人员能熟练操作各种设备的加0.5分，最多加1.5分；承诺每增加1次培训的加0.5分，最多加1.5分。满分6分。</w:t>
            </w:r>
          </w:p>
        </w:tc>
      </w:tr>
      <w:tr w14:paraId="2D72C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2" w:type="pct"/>
            <w:vMerge w:val="continue"/>
            <w:noWrap w:val="0"/>
            <w:vAlign w:val="center"/>
          </w:tcPr>
          <w:p w14:paraId="671D49CF">
            <w:pPr>
              <w:adjustRightInd w:val="0"/>
              <w:spacing w:line="360" w:lineRule="exact"/>
              <w:jc w:val="center"/>
              <w:textAlignment w:val="baseline"/>
              <w:rPr>
                <w:rFonts w:hint="eastAsia" w:ascii="宋体" w:hAnsi="宋体"/>
                <w:szCs w:val="21"/>
              </w:rPr>
            </w:pPr>
          </w:p>
        </w:tc>
        <w:tc>
          <w:tcPr>
            <w:tcW w:w="833" w:type="pct"/>
            <w:vMerge w:val="continue"/>
            <w:noWrap w:val="0"/>
            <w:vAlign w:val="center"/>
          </w:tcPr>
          <w:p w14:paraId="161F0538">
            <w:pPr>
              <w:adjustRightInd w:val="0"/>
              <w:spacing w:line="360" w:lineRule="exact"/>
              <w:jc w:val="center"/>
              <w:textAlignment w:val="baseline"/>
              <w:rPr>
                <w:rFonts w:hint="eastAsia" w:ascii="宋体" w:hAnsi="宋体"/>
                <w:b/>
                <w:bCs/>
                <w:szCs w:val="21"/>
              </w:rPr>
            </w:pPr>
          </w:p>
        </w:tc>
        <w:tc>
          <w:tcPr>
            <w:tcW w:w="897" w:type="pct"/>
            <w:noWrap w:val="0"/>
            <w:vAlign w:val="center"/>
          </w:tcPr>
          <w:p w14:paraId="2B3BE2FB">
            <w:pPr>
              <w:adjustRightInd w:val="0"/>
              <w:spacing w:line="360" w:lineRule="exact"/>
              <w:jc w:val="left"/>
              <w:textAlignment w:val="baseline"/>
              <w:rPr>
                <w:rFonts w:hint="eastAsia" w:ascii="宋体" w:hAnsi="宋体"/>
                <w:bCs/>
              </w:rPr>
            </w:pPr>
          </w:p>
          <w:p w14:paraId="531FBA54">
            <w:pPr>
              <w:adjustRightInd w:val="0"/>
              <w:spacing w:line="360" w:lineRule="exact"/>
              <w:jc w:val="left"/>
              <w:textAlignment w:val="baseline"/>
              <w:rPr>
                <w:rFonts w:hint="eastAsia" w:ascii="宋体" w:hAnsi="宋体"/>
                <w:bCs/>
              </w:rPr>
            </w:pPr>
          </w:p>
          <w:p w14:paraId="66384088">
            <w:pPr>
              <w:adjustRightInd w:val="0"/>
              <w:spacing w:line="360" w:lineRule="exact"/>
              <w:jc w:val="left"/>
              <w:textAlignment w:val="baseline"/>
              <w:rPr>
                <w:rFonts w:hint="eastAsia" w:ascii="宋体" w:hAnsi="宋体"/>
                <w:bCs/>
              </w:rPr>
            </w:pPr>
          </w:p>
          <w:p w14:paraId="701F3903">
            <w:pPr>
              <w:adjustRightInd w:val="0"/>
              <w:spacing w:line="360" w:lineRule="exact"/>
              <w:jc w:val="left"/>
              <w:textAlignment w:val="baseline"/>
              <w:rPr>
                <w:rFonts w:hint="eastAsia" w:ascii="宋体" w:hAnsi="宋体"/>
                <w:bCs/>
              </w:rPr>
            </w:pPr>
          </w:p>
          <w:p w14:paraId="3F35E308">
            <w:pPr>
              <w:adjustRightInd w:val="0"/>
              <w:spacing w:line="360" w:lineRule="exact"/>
              <w:jc w:val="left"/>
              <w:textAlignment w:val="baseline"/>
              <w:rPr>
                <w:rFonts w:hint="eastAsia" w:ascii="宋体" w:hAnsi="宋体"/>
                <w:bCs/>
              </w:rPr>
            </w:pPr>
          </w:p>
          <w:p w14:paraId="69F297B2">
            <w:pPr>
              <w:adjustRightInd w:val="0"/>
              <w:spacing w:line="360" w:lineRule="exact"/>
              <w:jc w:val="left"/>
              <w:textAlignment w:val="baseline"/>
              <w:rPr>
                <w:rFonts w:hint="eastAsia" w:ascii="宋体" w:hAnsi="宋体"/>
                <w:bCs/>
                <w:szCs w:val="21"/>
              </w:rPr>
            </w:pPr>
            <w:r>
              <w:rPr>
                <w:rFonts w:hint="eastAsia" w:ascii="宋体" w:hAnsi="宋体"/>
                <w:bCs/>
              </w:rPr>
              <w:t>技术支持服务方案分（满分9分）</w:t>
            </w:r>
          </w:p>
        </w:tc>
        <w:tc>
          <w:tcPr>
            <w:tcW w:w="2976" w:type="pct"/>
            <w:noWrap w:val="0"/>
            <w:vAlign w:val="top"/>
          </w:tcPr>
          <w:p w14:paraId="365CB695">
            <w:pPr>
              <w:spacing w:line="360" w:lineRule="exact"/>
              <w:ind w:firstLine="420" w:firstLineChars="200"/>
              <w:jc w:val="left"/>
              <w:rPr>
                <w:rFonts w:hint="eastAsia" w:ascii="宋体" w:hAnsi="宋体"/>
                <w:bCs/>
              </w:rPr>
            </w:pPr>
            <w:r>
              <w:rPr>
                <w:rFonts w:hint="eastAsia" w:ascii="宋体" w:hAnsi="宋体"/>
                <w:bCs/>
              </w:rPr>
              <w:t>一档（3分）：投标人能够针对项目技术服务支持需求及要求提供技术服务支持方案，但方案仅能满足招标文件要求。</w:t>
            </w:r>
          </w:p>
          <w:p w14:paraId="1D0FFD52">
            <w:pPr>
              <w:spacing w:line="360" w:lineRule="exact"/>
              <w:ind w:firstLine="420" w:firstLineChars="200"/>
              <w:jc w:val="left"/>
              <w:rPr>
                <w:rFonts w:hint="eastAsia" w:ascii="宋体" w:hAnsi="宋体"/>
                <w:bCs/>
              </w:rPr>
            </w:pPr>
            <w:r>
              <w:rPr>
                <w:rFonts w:hint="eastAsia" w:ascii="宋体" w:hAnsi="宋体"/>
                <w:bCs/>
              </w:rPr>
              <w:t>二档（6分）：本项目为应急救援用装备，投标人能够针对项目技术服务支持需求及要求提供同类装备应急演练或应急救援实战基本方案，所提供同类装备应急演练或应急救援实战方案经过实践应用，并有投标人或投标产品生产厂家相应的应用案例佐证。</w:t>
            </w:r>
          </w:p>
          <w:p w14:paraId="063D30FF">
            <w:pPr>
              <w:spacing w:line="360" w:lineRule="exact"/>
              <w:ind w:firstLine="420" w:firstLineChars="200"/>
              <w:jc w:val="left"/>
              <w:rPr>
                <w:rFonts w:hint="eastAsia" w:ascii="宋体" w:hAnsi="宋体"/>
                <w:bCs/>
              </w:rPr>
            </w:pPr>
            <w:r>
              <w:rPr>
                <w:rFonts w:hint="eastAsia" w:ascii="宋体" w:hAnsi="宋体"/>
                <w:bCs/>
              </w:rPr>
              <w:t>三档（9分）：满足二档要求，并提供应急突发事件救援抢险或应急演练活动现场保障服务方案，且保障服务方案经过实践应用，并有投标人或投标产品生产厂家相应的应用案例佐证。应急演练或应急救援实战方案，及现场演练保障方案具有有效性和实用性</w:t>
            </w:r>
            <w:r>
              <w:rPr>
                <w:rFonts w:hint="eastAsia" w:ascii="宋体" w:hAnsi="宋体"/>
                <w:bCs/>
                <w:szCs w:val="21"/>
              </w:rPr>
              <w:t>。</w:t>
            </w:r>
          </w:p>
          <w:p w14:paraId="627B28FE">
            <w:pPr>
              <w:widowControl/>
              <w:shd w:val="clear" w:color="auto" w:fill="FFFFFF"/>
              <w:spacing w:line="360" w:lineRule="exact"/>
              <w:ind w:firstLine="422" w:firstLineChars="200"/>
              <w:rPr>
                <w:rFonts w:hint="eastAsia" w:ascii="宋体" w:hAnsi="宋体"/>
                <w:bCs/>
                <w:szCs w:val="21"/>
              </w:rPr>
            </w:pPr>
            <w:r>
              <w:rPr>
                <w:rFonts w:hint="eastAsia" w:ascii="宋体" w:hAnsi="宋体"/>
                <w:b/>
                <w:szCs w:val="21"/>
              </w:rPr>
              <w:t>注：未提供方案的按0分计分。</w:t>
            </w:r>
          </w:p>
        </w:tc>
      </w:tr>
      <w:tr w14:paraId="56941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2" w:type="pct"/>
            <w:vMerge w:val="continue"/>
            <w:noWrap w:val="0"/>
            <w:vAlign w:val="center"/>
          </w:tcPr>
          <w:p w14:paraId="08DF276E">
            <w:pPr>
              <w:adjustRightInd w:val="0"/>
              <w:spacing w:line="360" w:lineRule="exact"/>
              <w:jc w:val="center"/>
              <w:textAlignment w:val="baseline"/>
              <w:rPr>
                <w:rFonts w:hint="eastAsia" w:ascii="宋体" w:hAnsi="宋体"/>
                <w:szCs w:val="21"/>
              </w:rPr>
            </w:pPr>
          </w:p>
        </w:tc>
        <w:tc>
          <w:tcPr>
            <w:tcW w:w="833" w:type="pct"/>
            <w:vMerge w:val="continue"/>
            <w:noWrap w:val="0"/>
            <w:vAlign w:val="center"/>
          </w:tcPr>
          <w:p w14:paraId="3CDDDA7E">
            <w:pPr>
              <w:adjustRightInd w:val="0"/>
              <w:spacing w:line="360" w:lineRule="exact"/>
              <w:jc w:val="center"/>
              <w:textAlignment w:val="baseline"/>
              <w:rPr>
                <w:rFonts w:hint="eastAsia" w:ascii="宋体" w:hAnsi="宋体"/>
                <w:b/>
                <w:bCs/>
                <w:szCs w:val="21"/>
              </w:rPr>
            </w:pPr>
          </w:p>
        </w:tc>
        <w:tc>
          <w:tcPr>
            <w:tcW w:w="897" w:type="pct"/>
            <w:noWrap w:val="0"/>
            <w:vAlign w:val="center"/>
          </w:tcPr>
          <w:p w14:paraId="47E421E2">
            <w:pPr>
              <w:spacing w:line="410" w:lineRule="exact"/>
              <w:jc w:val="center"/>
              <w:rPr>
                <w:rFonts w:hint="eastAsia" w:ascii="宋体" w:hAnsi="宋体"/>
                <w:szCs w:val="21"/>
              </w:rPr>
            </w:pPr>
            <w:r>
              <w:rPr>
                <w:rFonts w:hint="eastAsia" w:ascii="宋体" w:hAnsi="宋体"/>
                <w:szCs w:val="21"/>
              </w:rPr>
              <w:t>应急预案</w:t>
            </w:r>
          </w:p>
          <w:p w14:paraId="2AF9AF27">
            <w:pPr>
              <w:adjustRightInd w:val="0"/>
              <w:spacing w:line="360" w:lineRule="exact"/>
              <w:jc w:val="center"/>
              <w:textAlignment w:val="baseline"/>
              <w:rPr>
                <w:rFonts w:hint="eastAsia" w:ascii="宋体" w:hAnsi="宋体"/>
                <w:bCs/>
                <w:szCs w:val="21"/>
              </w:rPr>
            </w:pPr>
            <w:r>
              <w:rPr>
                <w:rFonts w:hint="eastAsia" w:ascii="宋体" w:hAnsi="宋体"/>
                <w:szCs w:val="21"/>
              </w:rPr>
              <w:t>（满分7分）</w:t>
            </w:r>
          </w:p>
        </w:tc>
        <w:tc>
          <w:tcPr>
            <w:tcW w:w="2976" w:type="pct"/>
            <w:noWrap w:val="0"/>
            <w:vAlign w:val="center"/>
          </w:tcPr>
          <w:p w14:paraId="68822BD3">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szCs w:val="21"/>
              </w:rPr>
            </w:pPr>
            <w:r>
              <w:rPr>
                <w:rFonts w:hint="eastAsia" w:ascii="宋体" w:hAnsi="宋体"/>
                <w:szCs w:val="21"/>
              </w:rPr>
              <w:t>一档（3分）：对本项目的应急预案只有基本框架，具有拟投入的应急服务人员和应急措施。拟投入的应急服务人员</w:t>
            </w:r>
            <w:r>
              <w:rPr>
                <w:rFonts w:hint="eastAsia" w:ascii="宋体" w:hAnsi="宋体"/>
                <w:b/>
                <w:bCs/>
                <w:szCs w:val="21"/>
              </w:rPr>
              <w:t>至少1人</w:t>
            </w:r>
            <w:r>
              <w:rPr>
                <w:rFonts w:hint="eastAsia" w:ascii="宋体" w:hAnsi="宋体"/>
                <w:szCs w:val="21"/>
              </w:rPr>
              <w:t>。</w:t>
            </w:r>
          </w:p>
          <w:p w14:paraId="1734FCF6">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szCs w:val="21"/>
              </w:rPr>
            </w:pPr>
            <w:r>
              <w:rPr>
                <w:rFonts w:hint="eastAsia" w:ascii="宋体" w:hAnsi="宋体"/>
                <w:szCs w:val="21"/>
              </w:rPr>
              <w:t>二档（5分）：对本项目的应急预案完整，具有设备供货、安装调试、验收等各阶段的应急预案，具有应急响应措施，拟投入的应急服务人员</w:t>
            </w:r>
            <w:r>
              <w:rPr>
                <w:rFonts w:hint="eastAsia" w:ascii="宋体" w:hAnsi="宋体"/>
                <w:b/>
                <w:bCs/>
                <w:szCs w:val="21"/>
              </w:rPr>
              <w:t>至少2人</w:t>
            </w:r>
            <w:r>
              <w:rPr>
                <w:rFonts w:hint="eastAsia" w:ascii="宋体" w:hAnsi="宋体"/>
                <w:szCs w:val="21"/>
              </w:rPr>
              <w:t>。</w:t>
            </w:r>
          </w:p>
          <w:p w14:paraId="36D7EC37">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szCs w:val="21"/>
              </w:rPr>
            </w:pPr>
            <w:r>
              <w:rPr>
                <w:rFonts w:hint="eastAsia" w:ascii="宋体" w:hAnsi="宋体"/>
                <w:szCs w:val="21"/>
              </w:rPr>
              <w:t>三档（7分）：对本项目的应急预案完善，具有设备供货、安装调试、验收等各阶段的应急预案，针对应急突发事件具有处置方法及响应措施，具有明确的响应时间，拟投入的应急服务人员</w:t>
            </w:r>
            <w:r>
              <w:rPr>
                <w:rFonts w:hint="eastAsia" w:ascii="宋体" w:hAnsi="宋体"/>
                <w:b/>
                <w:bCs/>
                <w:szCs w:val="21"/>
              </w:rPr>
              <w:t>至少3人</w:t>
            </w:r>
            <w:r>
              <w:rPr>
                <w:rFonts w:hint="eastAsia" w:ascii="宋体" w:hAnsi="宋体"/>
                <w:szCs w:val="21"/>
              </w:rPr>
              <w:t>。</w:t>
            </w:r>
          </w:p>
          <w:p w14:paraId="321FB0EB">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szCs w:val="21"/>
              </w:rPr>
            </w:pPr>
          </w:p>
          <w:p w14:paraId="00E49E9E">
            <w:pPr>
              <w:keepNext w:val="0"/>
              <w:keepLines w:val="0"/>
              <w:pageBreakBefore w:val="0"/>
              <w:widowControl w:val="0"/>
              <w:kinsoku/>
              <w:wordWrap/>
              <w:overflowPunct/>
              <w:topLinePunct w:val="0"/>
              <w:autoSpaceDE/>
              <w:autoSpaceDN/>
              <w:bidi w:val="0"/>
              <w:adjustRightInd/>
              <w:snapToGrid/>
              <w:spacing w:line="360" w:lineRule="exact"/>
              <w:ind w:firstLine="422" w:firstLineChars="200"/>
              <w:jc w:val="left"/>
              <w:textAlignment w:val="auto"/>
              <w:rPr>
                <w:rFonts w:hint="eastAsia" w:ascii="宋体" w:hAnsi="宋体"/>
                <w:szCs w:val="21"/>
              </w:rPr>
            </w:pPr>
            <w:r>
              <w:rPr>
                <w:rFonts w:hint="eastAsia" w:ascii="宋体" w:hAnsi="宋体"/>
                <w:b/>
                <w:bCs/>
                <w:szCs w:val="21"/>
              </w:rPr>
              <w:t>投标文件中提供2025年11月至2026年5月内，投标人为应急服务人员缴纳至少三个月的社保证明材料或聘用合同复印件，并加盖投标人公章或电子公章。</w:t>
            </w:r>
          </w:p>
        </w:tc>
      </w:tr>
      <w:tr w14:paraId="521E6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1" w:hRule="atLeast"/>
          <w:jc w:val="center"/>
        </w:trPr>
        <w:tc>
          <w:tcPr>
            <w:tcW w:w="292" w:type="pct"/>
            <w:vMerge w:val="continue"/>
            <w:noWrap w:val="0"/>
            <w:vAlign w:val="center"/>
          </w:tcPr>
          <w:p w14:paraId="2AE03EFA">
            <w:pPr>
              <w:adjustRightInd w:val="0"/>
              <w:spacing w:line="360" w:lineRule="exact"/>
              <w:jc w:val="center"/>
              <w:textAlignment w:val="baseline"/>
              <w:rPr>
                <w:rFonts w:hint="eastAsia" w:ascii="宋体" w:hAnsi="宋体"/>
                <w:szCs w:val="21"/>
              </w:rPr>
            </w:pPr>
          </w:p>
        </w:tc>
        <w:tc>
          <w:tcPr>
            <w:tcW w:w="833" w:type="pct"/>
            <w:vMerge w:val="continue"/>
            <w:noWrap w:val="0"/>
            <w:vAlign w:val="center"/>
          </w:tcPr>
          <w:p w14:paraId="5E78F7E4">
            <w:pPr>
              <w:adjustRightInd w:val="0"/>
              <w:spacing w:line="360" w:lineRule="exact"/>
              <w:jc w:val="center"/>
              <w:textAlignment w:val="baseline"/>
              <w:rPr>
                <w:rFonts w:hint="eastAsia" w:ascii="宋体" w:hAnsi="宋体"/>
                <w:b/>
                <w:bCs/>
                <w:szCs w:val="21"/>
              </w:rPr>
            </w:pPr>
          </w:p>
        </w:tc>
        <w:tc>
          <w:tcPr>
            <w:tcW w:w="897" w:type="pct"/>
            <w:noWrap w:val="0"/>
            <w:vAlign w:val="center"/>
          </w:tcPr>
          <w:p w14:paraId="6B701595">
            <w:pPr>
              <w:adjustRightInd w:val="0"/>
              <w:spacing w:line="360" w:lineRule="exact"/>
              <w:jc w:val="center"/>
              <w:textAlignment w:val="baseline"/>
              <w:rPr>
                <w:rFonts w:hint="eastAsia" w:ascii="宋体" w:hAnsi="宋体"/>
                <w:bCs/>
                <w:color w:val="FF0000"/>
              </w:rPr>
            </w:pPr>
            <w:r>
              <w:rPr>
                <w:rFonts w:hint="eastAsia" w:ascii="宋体" w:hAnsi="宋体"/>
                <w:bCs/>
              </w:rPr>
              <w:t>售后服务方案（满分12分）</w:t>
            </w:r>
          </w:p>
        </w:tc>
        <w:tc>
          <w:tcPr>
            <w:tcW w:w="2976" w:type="pct"/>
            <w:noWrap w:val="0"/>
            <w:vAlign w:val="center"/>
          </w:tcPr>
          <w:p w14:paraId="40DD52BC">
            <w:pPr>
              <w:spacing w:line="410" w:lineRule="exact"/>
              <w:jc w:val="left"/>
              <w:rPr>
                <w:rFonts w:hint="eastAsia" w:ascii="宋体" w:hAnsi="宋体"/>
                <w:b/>
                <w:szCs w:val="21"/>
              </w:rPr>
            </w:pPr>
            <w:r>
              <w:rPr>
                <w:rFonts w:hint="eastAsia" w:ascii="宋体" w:hAnsi="宋体"/>
                <w:b/>
                <w:szCs w:val="21"/>
              </w:rPr>
              <w:t>（1）售后服务方案（满分9分）</w:t>
            </w:r>
          </w:p>
          <w:p w14:paraId="139D4530">
            <w:pPr>
              <w:spacing w:line="410" w:lineRule="exact"/>
              <w:jc w:val="left"/>
              <w:rPr>
                <w:rFonts w:hint="eastAsia" w:ascii="宋体" w:hAnsi="宋体"/>
                <w:bCs/>
                <w:szCs w:val="21"/>
              </w:rPr>
            </w:pPr>
            <w:r>
              <w:rPr>
                <w:rFonts w:hint="eastAsia" w:ascii="宋体" w:hAnsi="宋体"/>
                <w:bCs/>
                <w:szCs w:val="21"/>
              </w:rPr>
              <w:t>一档（3分）：有明确的售后服务方案，提供专门的服务技术支持、服务保障方案，且投标人或投标产品生产厂家配备有充足且有经验的售后服务的技术人员不少于2名，全程负责对接项目至质保期满，保障采购人售后服务期的响应及现场服务的效率性。</w:t>
            </w:r>
          </w:p>
          <w:p w14:paraId="59969F4F">
            <w:pPr>
              <w:spacing w:line="410" w:lineRule="exact"/>
              <w:jc w:val="left"/>
              <w:rPr>
                <w:rFonts w:hint="eastAsia" w:ascii="宋体" w:hAnsi="宋体"/>
                <w:bCs/>
                <w:szCs w:val="21"/>
              </w:rPr>
            </w:pPr>
            <w:r>
              <w:rPr>
                <w:rFonts w:hint="eastAsia" w:ascii="宋体" w:hAnsi="宋体"/>
                <w:bCs/>
                <w:szCs w:val="21"/>
              </w:rPr>
              <w:t>二档（6分）：满足一档要求的基础上，提供7×24小时售后服务热线，并有可靠的服务响应体系，优于招标文件售后服务要求的服务响应时间、服务响应方式；质保期满后，有偿维护方式、服务范围等明确，且费用方案优惠。</w:t>
            </w:r>
          </w:p>
          <w:p w14:paraId="57C0D5A1">
            <w:pPr>
              <w:spacing w:line="410" w:lineRule="exact"/>
              <w:jc w:val="left"/>
              <w:rPr>
                <w:rFonts w:hint="eastAsia" w:ascii="宋体" w:hAnsi="宋体"/>
                <w:bCs/>
                <w:szCs w:val="21"/>
              </w:rPr>
            </w:pPr>
            <w:r>
              <w:rPr>
                <w:rFonts w:hint="eastAsia" w:ascii="宋体" w:hAnsi="宋体"/>
                <w:bCs/>
                <w:szCs w:val="21"/>
              </w:rPr>
              <w:t>三档（9分）：满足二档要求的基础上，有完善的售后服务体系；提供服务响应满足市区内2小时到达现场（须有明确的服务保障方案及到场时间实现方式），有故障处理服务、升级服务、巡检服务、保障服务等具体方式方法和措施，发生故障时提供备用机或有替代解决方案；具备标准化服务流程（含问题跟踪、升级机制、定期报告等）；售后服务保障方案能贯穿项目全生命周期并具备可延展性，并能充分满足人员培训需求和解答疑问，售后服务保障质量及响应效率。质保期满后，能够提供维修零配件优惠，平时到达现场处理故障时间为6小时以内,质保期内和质保期外提供技术支持服务、定期回访。</w:t>
            </w:r>
          </w:p>
          <w:p w14:paraId="672151FE">
            <w:pPr>
              <w:spacing w:line="410" w:lineRule="exact"/>
              <w:jc w:val="left"/>
              <w:rPr>
                <w:rFonts w:hint="eastAsia" w:ascii="宋体" w:hAnsi="宋体"/>
                <w:bCs/>
                <w:szCs w:val="21"/>
              </w:rPr>
            </w:pPr>
            <w:r>
              <w:rPr>
                <w:rFonts w:hint="eastAsia" w:ascii="宋体" w:hAnsi="宋体"/>
                <w:bCs/>
                <w:szCs w:val="21"/>
              </w:rPr>
              <w:t>注：</w:t>
            </w:r>
          </w:p>
          <w:p w14:paraId="69FC99AE">
            <w:pPr>
              <w:spacing w:line="410" w:lineRule="exact"/>
              <w:jc w:val="left"/>
              <w:rPr>
                <w:rFonts w:hint="eastAsia" w:ascii="宋体" w:hAnsi="宋体"/>
                <w:bCs/>
                <w:szCs w:val="21"/>
              </w:rPr>
            </w:pPr>
            <w:r>
              <w:rPr>
                <w:rFonts w:hint="eastAsia" w:ascii="宋体" w:hAnsi="宋体"/>
                <w:bCs/>
                <w:szCs w:val="21"/>
              </w:rPr>
              <w:t>1.不符合最低入档条件的按0分计分。</w:t>
            </w:r>
          </w:p>
          <w:p w14:paraId="40428F08">
            <w:pPr>
              <w:spacing w:line="410" w:lineRule="exact"/>
              <w:jc w:val="left"/>
              <w:rPr>
                <w:rFonts w:hint="eastAsia" w:ascii="宋体" w:hAnsi="宋体"/>
                <w:bCs/>
                <w:szCs w:val="21"/>
              </w:rPr>
            </w:pPr>
            <w:r>
              <w:rPr>
                <w:rFonts w:hint="eastAsia" w:ascii="宋体" w:hAnsi="宋体"/>
                <w:bCs/>
                <w:szCs w:val="21"/>
              </w:rPr>
              <w:t>2.投标文件中需附上拟投入售后服务人员的具体名单，并对应提供2025年11月至2026年5月内，投标人或投标产品生产厂家为售后服务人员缴纳至少三个月的社保证明材料或聘用合同复印件，并加盖投标人公章或电子公章</w:t>
            </w:r>
          </w:p>
          <w:p w14:paraId="09EB7516">
            <w:pPr>
              <w:spacing w:line="410" w:lineRule="exact"/>
              <w:jc w:val="left"/>
              <w:rPr>
                <w:rFonts w:hint="eastAsia" w:ascii="宋体" w:hAnsi="宋体"/>
                <w:b/>
                <w:szCs w:val="21"/>
              </w:rPr>
            </w:pPr>
            <w:r>
              <w:rPr>
                <w:rFonts w:hint="eastAsia" w:ascii="宋体" w:hAnsi="宋体"/>
                <w:b/>
                <w:szCs w:val="21"/>
              </w:rPr>
              <w:t>（2）质保期延长（满分3分）：</w:t>
            </w:r>
          </w:p>
          <w:p w14:paraId="3555C357">
            <w:pPr>
              <w:spacing w:line="410" w:lineRule="exact"/>
              <w:jc w:val="left"/>
              <w:rPr>
                <w:rFonts w:hint="eastAsia" w:ascii="宋体" w:hAnsi="宋体"/>
                <w:bCs/>
                <w:szCs w:val="21"/>
              </w:rPr>
            </w:pPr>
            <w:r>
              <w:rPr>
                <w:rFonts w:hint="eastAsia" w:ascii="宋体" w:hAnsi="宋体"/>
                <w:bCs/>
                <w:szCs w:val="21"/>
              </w:rPr>
              <w:t>分标1：在完全满足招标文件要求的基础上，每延长半年（或增加10000公里）得0.5分，满分3分。（注：投标文件中须附承诺书，有条件的承诺不予计分）。</w:t>
            </w:r>
          </w:p>
          <w:p w14:paraId="38B2AC54">
            <w:pPr>
              <w:spacing w:line="410" w:lineRule="exact"/>
              <w:jc w:val="left"/>
              <w:rPr>
                <w:rFonts w:hint="eastAsia" w:ascii="宋体" w:hAnsi="宋体"/>
                <w:szCs w:val="21"/>
              </w:rPr>
            </w:pPr>
            <w:r>
              <w:rPr>
                <w:rFonts w:hint="eastAsia" w:ascii="宋体" w:hAnsi="宋体"/>
                <w:bCs/>
                <w:szCs w:val="21"/>
              </w:rPr>
              <w:t>分标5：在完全满足招标文件要求的基础上，每延长半年得0.5分，满分3分。（注：投标文件中须附承诺书，有条件的承诺不予计分）。</w:t>
            </w:r>
          </w:p>
        </w:tc>
      </w:tr>
      <w:tr w14:paraId="6B572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0" w:hRule="atLeast"/>
          <w:jc w:val="center"/>
        </w:trPr>
        <w:tc>
          <w:tcPr>
            <w:tcW w:w="292" w:type="pct"/>
            <w:noWrap w:val="0"/>
            <w:vAlign w:val="center"/>
          </w:tcPr>
          <w:p w14:paraId="0298480A">
            <w:pPr>
              <w:adjustRightInd w:val="0"/>
              <w:spacing w:line="360" w:lineRule="exact"/>
              <w:jc w:val="center"/>
              <w:textAlignment w:val="baseline"/>
              <w:rPr>
                <w:rFonts w:hint="eastAsia" w:ascii="宋体" w:hAnsi="宋体"/>
                <w:szCs w:val="21"/>
              </w:rPr>
            </w:pPr>
            <w:r>
              <w:rPr>
                <w:rFonts w:hint="eastAsia" w:ascii="宋体" w:hAnsi="宋体"/>
                <w:szCs w:val="21"/>
              </w:rPr>
              <w:t>3</w:t>
            </w:r>
          </w:p>
        </w:tc>
        <w:tc>
          <w:tcPr>
            <w:tcW w:w="833" w:type="pct"/>
            <w:noWrap w:val="0"/>
            <w:vAlign w:val="center"/>
          </w:tcPr>
          <w:p w14:paraId="54656543">
            <w:pPr>
              <w:adjustRightInd w:val="0"/>
              <w:spacing w:line="360" w:lineRule="exact"/>
              <w:jc w:val="center"/>
              <w:textAlignment w:val="baseline"/>
              <w:rPr>
                <w:rFonts w:hint="eastAsia" w:ascii="宋体" w:hAnsi="宋体"/>
                <w:b/>
                <w:bCs/>
                <w:color w:val="auto"/>
                <w:szCs w:val="21"/>
              </w:rPr>
            </w:pPr>
            <w:r>
              <w:rPr>
                <w:rFonts w:hint="eastAsia" w:ascii="宋体" w:hAnsi="宋体"/>
                <w:b/>
                <w:bCs/>
                <w:color w:val="auto"/>
                <w:szCs w:val="21"/>
              </w:rPr>
              <w:t>商务分（满分11分）</w:t>
            </w:r>
          </w:p>
        </w:tc>
        <w:tc>
          <w:tcPr>
            <w:tcW w:w="897" w:type="pct"/>
            <w:noWrap w:val="0"/>
            <w:vAlign w:val="center"/>
          </w:tcPr>
          <w:p w14:paraId="297ABBEE">
            <w:pPr>
              <w:adjustRightInd w:val="0"/>
              <w:spacing w:line="360" w:lineRule="exact"/>
              <w:jc w:val="center"/>
              <w:textAlignment w:val="baseline"/>
              <w:rPr>
                <w:rFonts w:hint="eastAsia" w:ascii="宋体" w:hAnsi="宋体"/>
                <w:bCs/>
                <w:color w:val="auto"/>
              </w:rPr>
            </w:pPr>
          </w:p>
          <w:p w14:paraId="485985CB">
            <w:pPr>
              <w:adjustRightInd w:val="0"/>
              <w:spacing w:line="360" w:lineRule="exact"/>
              <w:jc w:val="center"/>
              <w:textAlignment w:val="baseline"/>
              <w:rPr>
                <w:rFonts w:hint="eastAsia" w:ascii="宋体" w:hAnsi="宋体"/>
                <w:bCs/>
                <w:color w:val="auto"/>
                <w:szCs w:val="21"/>
              </w:rPr>
            </w:pPr>
            <w:r>
              <w:rPr>
                <w:rFonts w:hint="eastAsia" w:ascii="宋体" w:hAnsi="宋体"/>
                <w:bCs/>
                <w:color w:val="auto"/>
              </w:rPr>
              <w:t>信誉业绩（满分11分）</w:t>
            </w:r>
          </w:p>
        </w:tc>
        <w:tc>
          <w:tcPr>
            <w:tcW w:w="2976" w:type="pct"/>
            <w:noWrap w:val="0"/>
            <w:vAlign w:val="top"/>
          </w:tcPr>
          <w:p w14:paraId="4A1DB408">
            <w:pPr>
              <w:spacing w:line="360" w:lineRule="exact"/>
              <w:ind w:firstLine="422" w:firstLineChars="200"/>
              <w:rPr>
                <w:rFonts w:ascii="宋体" w:hAnsi="宋体" w:cs="Courier New"/>
                <w:b/>
                <w:color w:val="auto"/>
                <w:szCs w:val="21"/>
              </w:rPr>
            </w:pPr>
            <w:r>
              <w:rPr>
                <w:rFonts w:hint="eastAsia" w:ascii="宋体" w:hAnsi="宋体" w:cs="Courier New"/>
                <w:b/>
                <w:color w:val="auto"/>
                <w:szCs w:val="21"/>
              </w:rPr>
              <w:t>（1）认证证书（满分3分）：</w:t>
            </w:r>
          </w:p>
          <w:p w14:paraId="62CEAEA9">
            <w:pPr>
              <w:wordWrap w:val="0"/>
              <w:spacing w:line="360" w:lineRule="exact"/>
              <w:ind w:firstLine="420" w:firstLineChars="200"/>
              <w:rPr>
                <w:rFonts w:ascii="宋体" w:hAnsi="宋体" w:cs="Courier New"/>
                <w:color w:val="auto"/>
                <w:szCs w:val="21"/>
              </w:rPr>
            </w:pPr>
            <w:r>
              <w:rPr>
                <w:rFonts w:hint="eastAsia" w:ascii="宋体" w:hAnsi="宋体" w:cs="Courier New"/>
                <w:b w:val="0"/>
                <w:bCs w:val="0"/>
                <w:color w:val="auto"/>
              </w:rPr>
              <w:t>核心产品生产厂家</w:t>
            </w:r>
            <w:r>
              <w:rPr>
                <w:rFonts w:hint="eastAsia" w:ascii="宋体" w:hAnsi="宋体" w:cs="Courier New"/>
                <w:b w:val="0"/>
                <w:bCs w:val="0"/>
                <w:color w:val="auto"/>
                <w:szCs w:val="21"/>
              </w:rPr>
              <w:t>通</w:t>
            </w:r>
            <w:r>
              <w:rPr>
                <w:rFonts w:hint="eastAsia" w:ascii="宋体" w:hAnsi="宋体" w:cs="Courier New"/>
                <w:color w:val="auto"/>
                <w:szCs w:val="21"/>
              </w:rPr>
              <w:t>过</w:t>
            </w:r>
            <w:r>
              <w:rPr>
                <w:rFonts w:hint="eastAsia" w:ascii="宋体" w:hAnsi="宋体"/>
                <w:color w:val="auto"/>
                <w:szCs w:val="21"/>
              </w:rPr>
              <w:t>ISO9001</w:t>
            </w:r>
            <w:r>
              <w:rPr>
                <w:rFonts w:hint="eastAsia" w:ascii="宋体" w:hAnsi="宋体" w:cs="Courier New"/>
                <w:color w:val="auto"/>
                <w:szCs w:val="21"/>
              </w:rPr>
              <w:t>质量管理体系认证、</w:t>
            </w:r>
            <w:r>
              <w:rPr>
                <w:rFonts w:hint="eastAsia" w:ascii="宋体" w:hAnsi="宋体"/>
                <w:color w:val="auto"/>
                <w:szCs w:val="21"/>
              </w:rPr>
              <w:t>ISO14001</w:t>
            </w:r>
            <w:r>
              <w:rPr>
                <w:rFonts w:hint="eastAsia" w:ascii="宋体" w:hAnsi="宋体" w:cs="Courier New"/>
                <w:color w:val="auto"/>
                <w:szCs w:val="21"/>
              </w:rPr>
              <w:t>环境管理体系认证、ISO45001职业健康安全管理体系认证的，每个认证证书得1分，满分3分。</w:t>
            </w:r>
          </w:p>
          <w:p w14:paraId="4FA44A67">
            <w:pPr>
              <w:wordWrap w:val="0"/>
              <w:spacing w:line="360" w:lineRule="exact"/>
              <w:ind w:firstLine="420" w:firstLineChars="200"/>
              <w:rPr>
                <w:rFonts w:ascii="宋体" w:hAnsi="宋体" w:cs="Courier New"/>
                <w:b w:val="0"/>
                <w:bCs w:val="0"/>
                <w:color w:val="auto"/>
                <w:szCs w:val="21"/>
              </w:rPr>
            </w:pPr>
            <w:r>
              <w:rPr>
                <w:rFonts w:hint="eastAsia" w:ascii="宋体" w:hAnsi="宋体" w:cs="Courier New"/>
                <w:b w:val="0"/>
                <w:bCs w:val="0"/>
                <w:color w:val="auto"/>
                <w:szCs w:val="21"/>
              </w:rPr>
              <w:t>注：上述各分标，须于投标文件中提供有效期内的证书复印件，并同时提供在全国认证认可信息公共服务平台（http://cx.cnca.cn/CertECloud/index/index/page）对该证书的信息查询截图作为评审依据，已失效、撤销、过期或不提供截图的不得分。</w:t>
            </w:r>
          </w:p>
          <w:p w14:paraId="6E126206">
            <w:pPr>
              <w:spacing w:line="360" w:lineRule="exact"/>
              <w:ind w:firstLine="422" w:firstLineChars="200"/>
              <w:rPr>
                <w:rFonts w:ascii="宋体" w:hAnsi="宋体" w:cs="Courier New"/>
                <w:b/>
                <w:color w:val="auto"/>
                <w:szCs w:val="21"/>
              </w:rPr>
            </w:pPr>
            <w:r>
              <w:rPr>
                <w:rFonts w:hint="eastAsia" w:ascii="宋体" w:hAnsi="宋体" w:cs="Courier New"/>
                <w:b/>
                <w:color w:val="auto"/>
                <w:szCs w:val="21"/>
              </w:rPr>
              <w:t xml:space="preserve"> （2）业绩（满分8分）：</w:t>
            </w:r>
          </w:p>
          <w:p w14:paraId="663F3259">
            <w:pPr>
              <w:spacing w:line="360" w:lineRule="exact"/>
              <w:ind w:firstLine="420" w:firstLineChars="200"/>
              <w:rPr>
                <w:rFonts w:hint="eastAsia" w:ascii="宋体" w:hAnsi="宋体" w:cs="宋体"/>
                <w:color w:val="auto"/>
                <w:kern w:val="0"/>
                <w:szCs w:val="21"/>
              </w:rPr>
            </w:pPr>
            <w:r>
              <w:rPr>
                <w:rFonts w:hint="eastAsia" w:ascii="宋体" w:hAnsi="宋体" w:cs="宋体"/>
                <w:color w:val="auto"/>
                <w:kern w:val="0"/>
                <w:szCs w:val="21"/>
              </w:rPr>
              <w:t>投标文件中提供自2023年1月1日（以合同签订日期为准）以来，本项目所投分标产品</w:t>
            </w:r>
            <w:r>
              <w:rPr>
                <w:rFonts w:hint="eastAsia" w:ascii="宋体" w:hAnsi="宋体" w:cs="宋体"/>
                <w:b w:val="0"/>
                <w:bCs w:val="0"/>
                <w:color w:val="auto"/>
                <w:kern w:val="0"/>
                <w:szCs w:val="21"/>
              </w:rPr>
              <w:t>的投标人自身同类业绩或投标产品制造商的同类销售业绩，每</w:t>
            </w:r>
            <w:r>
              <w:rPr>
                <w:rFonts w:hint="eastAsia" w:ascii="宋体" w:hAnsi="宋体" w:cs="宋体"/>
                <w:color w:val="auto"/>
                <w:kern w:val="0"/>
                <w:szCs w:val="21"/>
              </w:rPr>
              <w:t>提供一个项目业绩的得2分，满分8分。</w:t>
            </w:r>
          </w:p>
          <w:p w14:paraId="6F3BFB11">
            <w:pPr>
              <w:spacing w:line="360" w:lineRule="exact"/>
              <w:ind w:firstLine="420" w:firstLineChars="200"/>
              <w:rPr>
                <w:rFonts w:hint="eastAsia" w:ascii="宋体" w:hAnsi="宋体"/>
                <w:bCs/>
                <w:color w:val="auto"/>
                <w:szCs w:val="21"/>
              </w:rPr>
            </w:pPr>
            <w:r>
              <w:rPr>
                <w:rFonts w:hint="eastAsia" w:ascii="宋体" w:hAnsi="宋体" w:cs="Courier New"/>
                <w:b w:val="0"/>
                <w:bCs/>
                <w:color w:val="auto"/>
                <w:kern w:val="0"/>
                <w:szCs w:val="21"/>
              </w:rPr>
              <w:t>[注：投标文件中需提供采购合同复印件以及有效的货物销售发票复印件（票据信息应与项目合同对应），未体现关键信息（如：至少包括采购单位、设备清单、合同签订时间、甲乙双方盖章页）的合同业绩不予计分；同一合同多项产品的只计一次分；若中标后发现材料虚假，采购人将报监管部门查处]</w:t>
            </w:r>
          </w:p>
        </w:tc>
      </w:tr>
      <w:tr w14:paraId="3460C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jc w:val="center"/>
        </w:trPr>
        <w:tc>
          <w:tcPr>
            <w:tcW w:w="292" w:type="pct"/>
            <w:noWrap w:val="0"/>
            <w:vAlign w:val="center"/>
          </w:tcPr>
          <w:p w14:paraId="3EE0C555">
            <w:pPr>
              <w:adjustRightInd w:val="0"/>
              <w:snapToGrid w:val="0"/>
              <w:spacing w:line="360" w:lineRule="exact"/>
              <w:jc w:val="center"/>
              <w:textAlignment w:val="baseline"/>
              <w:rPr>
                <w:rFonts w:hint="eastAsia" w:ascii="宋体" w:hAnsi="宋体"/>
                <w:szCs w:val="21"/>
              </w:rPr>
            </w:pPr>
            <w:r>
              <w:rPr>
                <w:rFonts w:hint="eastAsia" w:ascii="宋体" w:hAnsi="宋体"/>
                <w:szCs w:val="21"/>
              </w:rPr>
              <w:t>4</w:t>
            </w:r>
          </w:p>
        </w:tc>
        <w:tc>
          <w:tcPr>
            <w:tcW w:w="833" w:type="pct"/>
            <w:noWrap w:val="0"/>
            <w:vAlign w:val="center"/>
          </w:tcPr>
          <w:p w14:paraId="49AA1310">
            <w:pPr>
              <w:adjustRightInd w:val="0"/>
              <w:snapToGrid w:val="0"/>
              <w:spacing w:line="360" w:lineRule="exact"/>
              <w:jc w:val="center"/>
              <w:textAlignment w:val="baseline"/>
              <w:rPr>
                <w:rFonts w:hint="eastAsia" w:ascii="宋体" w:hAnsi="宋体"/>
                <w:b/>
                <w:szCs w:val="21"/>
              </w:rPr>
            </w:pPr>
            <w:r>
              <w:rPr>
                <w:rFonts w:hint="eastAsia" w:ascii="宋体" w:hAnsi="宋体"/>
                <w:b/>
                <w:bCs/>
                <w:szCs w:val="21"/>
              </w:rPr>
              <w:t>政策分（</w:t>
            </w:r>
            <w:r>
              <w:rPr>
                <w:rFonts w:hint="eastAsia" w:ascii="宋体" w:hAnsi="宋体"/>
                <w:b/>
                <w:szCs w:val="21"/>
              </w:rPr>
              <w:t>满分2</w:t>
            </w:r>
            <w:r>
              <w:rPr>
                <w:rFonts w:hint="eastAsia" w:ascii="宋体" w:hAnsi="宋体"/>
                <w:b/>
                <w:bCs/>
                <w:szCs w:val="21"/>
              </w:rPr>
              <w:t>分）</w:t>
            </w:r>
          </w:p>
        </w:tc>
        <w:tc>
          <w:tcPr>
            <w:tcW w:w="897" w:type="pct"/>
            <w:noWrap w:val="0"/>
            <w:vAlign w:val="center"/>
          </w:tcPr>
          <w:p w14:paraId="2243BEBB">
            <w:pPr>
              <w:adjustRightInd w:val="0"/>
              <w:snapToGrid w:val="0"/>
              <w:spacing w:line="360" w:lineRule="exact"/>
              <w:jc w:val="center"/>
              <w:textAlignment w:val="baseline"/>
              <w:rPr>
                <w:rFonts w:hint="eastAsia" w:ascii="宋体" w:hAnsi="宋体"/>
                <w:color w:val="FF0000"/>
                <w:szCs w:val="21"/>
              </w:rPr>
            </w:pPr>
            <w:r>
              <w:rPr>
                <w:rFonts w:hint="eastAsia" w:ascii="宋体" w:hAnsi="宋体"/>
                <w:szCs w:val="21"/>
              </w:rPr>
              <w:t>节能、环保产品（满分2分）</w:t>
            </w:r>
          </w:p>
        </w:tc>
        <w:tc>
          <w:tcPr>
            <w:tcW w:w="2976" w:type="pct"/>
            <w:noWrap w:val="0"/>
            <w:vAlign w:val="center"/>
          </w:tcPr>
          <w:p w14:paraId="754C8919">
            <w:pPr>
              <w:adjustRightInd w:val="0"/>
              <w:snapToGrid w:val="0"/>
              <w:spacing w:line="360" w:lineRule="exact"/>
              <w:ind w:firstLine="435"/>
              <w:textAlignment w:val="baseline"/>
              <w:rPr>
                <w:rFonts w:hint="eastAsia" w:ascii="宋体" w:hAnsi="宋体"/>
                <w:bCs/>
                <w:szCs w:val="21"/>
              </w:rPr>
            </w:pPr>
            <w:r>
              <w:rPr>
                <w:rFonts w:hint="eastAsia" w:ascii="宋体" w:hAnsi="宋体"/>
                <w:bCs/>
                <w:szCs w:val="21"/>
              </w:rPr>
              <w:t>（1）属于财政部《节能产品政府采购品目清单》内优先采购（清单内未标注“★”的品目）的产品[投标文件中提供有效的认证证书复印件及品目清单（标注出投标产品在品目清单中所属的品目）]的，每有一项投标产品符合的得0.2分，最多得1分。</w:t>
            </w:r>
          </w:p>
          <w:p w14:paraId="411D68CF">
            <w:pPr>
              <w:adjustRightInd w:val="0"/>
              <w:snapToGrid w:val="0"/>
              <w:spacing w:line="360" w:lineRule="exact"/>
              <w:ind w:firstLine="435"/>
              <w:textAlignment w:val="baseline"/>
              <w:rPr>
                <w:rFonts w:hint="eastAsia" w:ascii="宋体" w:hAnsi="宋体"/>
                <w:b/>
                <w:szCs w:val="21"/>
              </w:rPr>
            </w:pPr>
            <w:r>
              <w:rPr>
                <w:rFonts w:hint="eastAsia" w:ascii="宋体" w:hAnsi="宋体"/>
                <w:bCs/>
                <w:szCs w:val="21"/>
              </w:rPr>
              <w:t>（2）属于财政部《环境标志产品政府采购品目清单》内的产品[投标文件中提供有效的认证证书复印件及品目清单（标注出投标产品在品目清单中所属的品目）] 的，每有一项投标产品符合的得0.2分，最多得1分。</w:t>
            </w:r>
          </w:p>
        </w:tc>
      </w:tr>
      <w:tr w14:paraId="08D3D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9" w:hRule="atLeast"/>
          <w:jc w:val="center"/>
        </w:trPr>
        <w:tc>
          <w:tcPr>
            <w:tcW w:w="5000" w:type="pct"/>
            <w:gridSpan w:val="4"/>
            <w:noWrap w:val="0"/>
            <w:vAlign w:val="center"/>
          </w:tcPr>
          <w:p w14:paraId="59F9846C">
            <w:pPr>
              <w:snapToGrid w:val="0"/>
              <w:spacing w:line="360" w:lineRule="exact"/>
              <w:rPr>
                <w:rFonts w:ascii="宋体" w:hAnsi="宋体"/>
                <w:b/>
                <w:bCs/>
                <w:kern w:val="0"/>
                <w:szCs w:val="21"/>
              </w:rPr>
            </w:pPr>
            <w:r>
              <w:rPr>
                <w:rFonts w:hint="eastAsia" w:ascii="宋体" w:hAnsi="宋体"/>
                <w:b/>
                <w:bCs/>
                <w:kern w:val="0"/>
                <w:szCs w:val="21"/>
              </w:rPr>
              <w:t>总得分=1+2+3+4</w:t>
            </w:r>
          </w:p>
        </w:tc>
      </w:tr>
    </w:tbl>
    <w:p w14:paraId="1911694C">
      <w:pPr>
        <w:pStyle w:val="25"/>
        <w:spacing w:line="380" w:lineRule="exact"/>
        <w:rPr>
          <w:rFonts w:hint="eastAsia" w:hAnsi="宋体" w:eastAsia="宋体"/>
          <w:bCs/>
          <w:sz w:val="21"/>
          <w:lang w:val="en-US" w:eastAsia="zh-CN"/>
        </w:rPr>
      </w:pPr>
    </w:p>
    <w:p w14:paraId="0EEE829C">
      <w:pPr>
        <w:pStyle w:val="25"/>
        <w:spacing w:line="380" w:lineRule="exact"/>
        <w:ind w:firstLine="420"/>
        <w:rPr>
          <w:rFonts w:hint="eastAsia" w:hAnsi="宋体"/>
          <w:bCs/>
          <w:sz w:val="21"/>
        </w:rPr>
        <w:sectPr>
          <w:pgSz w:w="11906" w:h="16838"/>
          <w:pgMar w:top="1440" w:right="1800" w:bottom="1440" w:left="1800" w:header="851" w:footer="992" w:gutter="0"/>
          <w:cols w:space="720" w:num="1"/>
          <w:docGrid w:type="lines" w:linePitch="312" w:charSpace="0"/>
        </w:sectPr>
      </w:pPr>
      <w:r>
        <w:rPr>
          <w:rFonts w:hint="eastAsia" w:hAnsi="宋体"/>
          <w:bCs/>
          <w:sz w:val="21"/>
        </w:rPr>
        <w:t>注：计分方法按四舍五入取至百分位</w:t>
      </w:r>
    </w:p>
    <w:p w14:paraId="4E9C5D58">
      <w:pPr>
        <w:pStyle w:val="4"/>
        <w:keepNext w:val="0"/>
        <w:keepLines w:val="0"/>
        <w:jc w:val="center"/>
        <w:rPr>
          <w:color w:val="000000"/>
        </w:rPr>
      </w:pPr>
      <w:r>
        <w:rPr>
          <w:rFonts w:hint="eastAsia"/>
          <w:color w:val="000000"/>
        </w:rPr>
        <w:t>综合评分法</w:t>
      </w:r>
    </w:p>
    <w:p w14:paraId="6B56F10C">
      <w:pPr>
        <w:jc w:val="center"/>
        <w:rPr>
          <w:b/>
          <w:bCs/>
          <w:color w:val="000000"/>
          <w:sz w:val="28"/>
          <w:szCs w:val="28"/>
        </w:rPr>
      </w:pPr>
      <w:r>
        <w:rPr>
          <w:rFonts w:hint="eastAsia"/>
          <w:b/>
          <w:bCs/>
          <w:color w:val="000000"/>
          <w:sz w:val="28"/>
          <w:szCs w:val="28"/>
        </w:rPr>
        <w:t>适用分标2、3、4</w:t>
      </w:r>
    </w:p>
    <w:p w14:paraId="32D969DA">
      <w:pPr>
        <w:jc w:val="center"/>
        <w:rPr>
          <w:rFonts w:hint="eastAsia"/>
          <w:b/>
          <w:bCs/>
        </w:rPr>
      </w:pPr>
    </w:p>
    <w:tbl>
      <w:tblPr>
        <w:tblStyle w:val="5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6"/>
        <w:gridCol w:w="1422"/>
        <w:gridCol w:w="1530"/>
        <w:gridCol w:w="5080"/>
      </w:tblGrid>
      <w:tr w14:paraId="58EA4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125" w:type="pct"/>
            <w:gridSpan w:val="2"/>
            <w:noWrap w:val="0"/>
            <w:vAlign w:val="center"/>
          </w:tcPr>
          <w:p w14:paraId="291CD0F5">
            <w:pPr>
              <w:adjustRightInd w:val="0"/>
              <w:spacing w:line="360" w:lineRule="exact"/>
              <w:jc w:val="center"/>
              <w:textAlignment w:val="baseline"/>
              <w:rPr>
                <w:rFonts w:ascii="宋体" w:hAnsi="宋体"/>
                <w:b/>
                <w:szCs w:val="21"/>
              </w:rPr>
            </w:pPr>
            <w:r>
              <w:rPr>
                <w:rFonts w:hint="eastAsia" w:ascii="宋体" w:hAnsi="宋体"/>
                <w:b/>
                <w:szCs w:val="21"/>
              </w:rPr>
              <w:t>序号</w:t>
            </w:r>
          </w:p>
        </w:tc>
        <w:tc>
          <w:tcPr>
            <w:tcW w:w="897" w:type="pct"/>
            <w:noWrap w:val="0"/>
            <w:vAlign w:val="center"/>
          </w:tcPr>
          <w:p w14:paraId="1C57469F">
            <w:pPr>
              <w:adjustRightInd w:val="0"/>
              <w:spacing w:line="360" w:lineRule="exact"/>
              <w:jc w:val="center"/>
              <w:textAlignment w:val="baseline"/>
              <w:rPr>
                <w:rFonts w:ascii="宋体" w:hAnsi="宋体"/>
                <w:b/>
                <w:szCs w:val="21"/>
              </w:rPr>
            </w:pPr>
            <w:r>
              <w:rPr>
                <w:rFonts w:hint="eastAsia" w:ascii="宋体" w:hAnsi="宋体"/>
                <w:b/>
                <w:szCs w:val="21"/>
              </w:rPr>
              <w:t>评审因素</w:t>
            </w:r>
          </w:p>
        </w:tc>
        <w:tc>
          <w:tcPr>
            <w:tcW w:w="2977" w:type="pct"/>
            <w:noWrap w:val="0"/>
            <w:vAlign w:val="center"/>
          </w:tcPr>
          <w:p w14:paraId="59F06EA9">
            <w:pPr>
              <w:adjustRightInd w:val="0"/>
              <w:spacing w:line="360" w:lineRule="exact"/>
              <w:jc w:val="center"/>
              <w:textAlignment w:val="baseline"/>
              <w:rPr>
                <w:rFonts w:ascii="宋体" w:hAnsi="宋体"/>
                <w:b/>
                <w:szCs w:val="21"/>
              </w:rPr>
            </w:pPr>
            <w:r>
              <w:rPr>
                <w:rFonts w:hint="eastAsia" w:ascii="宋体" w:hAnsi="宋体"/>
                <w:b/>
                <w:szCs w:val="21"/>
              </w:rPr>
              <w:t>评标标准</w:t>
            </w:r>
          </w:p>
        </w:tc>
      </w:tr>
      <w:tr w14:paraId="51D07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1" w:type="pct"/>
            <w:noWrap w:val="0"/>
            <w:vAlign w:val="center"/>
          </w:tcPr>
          <w:p w14:paraId="409D2A0F">
            <w:pPr>
              <w:adjustRightInd w:val="0"/>
              <w:spacing w:line="360" w:lineRule="exact"/>
              <w:jc w:val="center"/>
              <w:textAlignment w:val="baseline"/>
              <w:rPr>
                <w:rFonts w:ascii="宋体" w:hAnsi="宋体"/>
                <w:szCs w:val="21"/>
              </w:rPr>
            </w:pPr>
            <w:r>
              <w:rPr>
                <w:rFonts w:hint="eastAsia" w:ascii="宋体" w:hAnsi="宋体"/>
                <w:szCs w:val="21"/>
              </w:rPr>
              <w:t>1</w:t>
            </w:r>
          </w:p>
        </w:tc>
        <w:tc>
          <w:tcPr>
            <w:tcW w:w="833" w:type="pct"/>
            <w:noWrap w:val="0"/>
            <w:vAlign w:val="center"/>
          </w:tcPr>
          <w:p w14:paraId="6478DF0B">
            <w:pPr>
              <w:adjustRightInd w:val="0"/>
              <w:spacing w:line="360" w:lineRule="exact"/>
              <w:jc w:val="center"/>
              <w:textAlignment w:val="baseline"/>
              <w:rPr>
                <w:rFonts w:ascii="宋体" w:hAnsi="宋体"/>
                <w:b/>
                <w:bCs/>
                <w:szCs w:val="21"/>
              </w:rPr>
            </w:pPr>
            <w:r>
              <w:rPr>
                <w:rFonts w:hint="eastAsia" w:ascii="宋体" w:hAnsi="宋体"/>
                <w:b/>
                <w:bCs/>
                <w:szCs w:val="21"/>
              </w:rPr>
              <w:t>价格分</w:t>
            </w:r>
          </w:p>
          <w:p w14:paraId="035BEDF7">
            <w:pPr>
              <w:adjustRightInd w:val="0"/>
              <w:spacing w:line="360" w:lineRule="exact"/>
              <w:jc w:val="center"/>
              <w:textAlignment w:val="baseline"/>
              <w:rPr>
                <w:rFonts w:ascii="宋体" w:hAnsi="宋体"/>
                <w:b/>
                <w:bCs/>
                <w:szCs w:val="21"/>
              </w:rPr>
            </w:pPr>
            <w:r>
              <w:rPr>
                <w:rFonts w:hint="eastAsia" w:ascii="宋体" w:hAnsi="宋体"/>
                <w:b/>
                <w:bCs/>
                <w:szCs w:val="21"/>
              </w:rPr>
              <w:t>（满分</w:t>
            </w:r>
            <w:r>
              <w:rPr>
                <w:rFonts w:ascii="宋体" w:hAnsi="宋体"/>
                <w:b/>
                <w:bCs/>
                <w:szCs w:val="21"/>
                <w:u w:val="single"/>
              </w:rPr>
              <w:t>30</w:t>
            </w:r>
            <w:r>
              <w:rPr>
                <w:rFonts w:hint="eastAsia" w:ascii="宋体" w:hAnsi="宋体"/>
                <w:b/>
                <w:bCs/>
                <w:szCs w:val="21"/>
              </w:rPr>
              <w:t>分）</w:t>
            </w:r>
          </w:p>
        </w:tc>
        <w:tc>
          <w:tcPr>
            <w:tcW w:w="897" w:type="pct"/>
            <w:noWrap w:val="0"/>
            <w:vAlign w:val="center"/>
          </w:tcPr>
          <w:p w14:paraId="01C66071">
            <w:pPr>
              <w:adjustRightInd w:val="0"/>
              <w:spacing w:line="360" w:lineRule="exact"/>
              <w:jc w:val="center"/>
              <w:textAlignment w:val="baseline"/>
              <w:rPr>
                <w:rFonts w:ascii="宋体" w:hAnsi="宋体"/>
                <w:bCs/>
                <w:color w:val="FF0000"/>
                <w:szCs w:val="21"/>
              </w:rPr>
            </w:pPr>
            <w:r>
              <w:rPr>
                <w:rFonts w:hint="eastAsia" w:ascii="宋体" w:hAnsi="宋体"/>
                <w:bCs/>
                <w:szCs w:val="21"/>
              </w:rPr>
              <w:t>投标报价（满分</w:t>
            </w:r>
            <w:r>
              <w:rPr>
                <w:rFonts w:ascii="宋体" w:hAnsi="宋体"/>
                <w:bCs/>
                <w:szCs w:val="21"/>
              </w:rPr>
              <w:t>30</w:t>
            </w:r>
            <w:r>
              <w:rPr>
                <w:rFonts w:hint="eastAsia" w:ascii="宋体" w:hAnsi="宋体"/>
                <w:bCs/>
                <w:szCs w:val="21"/>
              </w:rPr>
              <w:t>分）</w:t>
            </w:r>
          </w:p>
        </w:tc>
        <w:tc>
          <w:tcPr>
            <w:tcW w:w="2977" w:type="pct"/>
            <w:noWrap w:val="0"/>
            <w:vAlign w:val="center"/>
          </w:tcPr>
          <w:p w14:paraId="0C39D01C">
            <w:pPr>
              <w:snapToGrid w:val="0"/>
              <w:spacing w:line="360" w:lineRule="exact"/>
              <w:ind w:firstLine="233" w:firstLineChars="111"/>
              <w:rPr>
                <w:rFonts w:hint="eastAsia" w:ascii="宋体" w:hAnsi="宋体"/>
                <w:bCs/>
                <w:szCs w:val="21"/>
              </w:rPr>
            </w:pPr>
            <w:r>
              <w:rPr>
                <w:rFonts w:hint="eastAsia" w:ascii="宋体" w:hAnsi="宋体"/>
                <w:bCs/>
                <w:szCs w:val="21"/>
              </w:rPr>
              <w:t>（1）评标报价为投标人的投标报价进行政策性扣除后的价格，评标报价只是作为评标时使用。最终中标人的中标金额等于投标报价。</w:t>
            </w:r>
          </w:p>
          <w:p w14:paraId="3B62F806">
            <w:pPr>
              <w:snapToGrid w:val="0"/>
              <w:spacing w:line="360" w:lineRule="exact"/>
              <w:ind w:firstLine="233" w:firstLineChars="111"/>
              <w:rPr>
                <w:rFonts w:hint="eastAsia" w:ascii="宋体" w:hAnsi="宋体"/>
                <w:bCs/>
                <w:szCs w:val="21"/>
              </w:rPr>
            </w:pPr>
            <w:r>
              <w:rPr>
                <w:rFonts w:hint="eastAsia" w:ascii="宋体" w:hAnsi="宋体"/>
                <w:bCs/>
                <w:szCs w:val="21"/>
              </w:rPr>
              <w:t>（2）政策性扣除计算方法。</w:t>
            </w:r>
          </w:p>
          <w:p w14:paraId="6F36C2D3">
            <w:pPr>
              <w:snapToGrid w:val="0"/>
              <w:spacing w:line="360" w:lineRule="exact"/>
              <w:ind w:firstLine="233" w:firstLineChars="111"/>
              <w:rPr>
                <w:rFonts w:hint="eastAsia" w:ascii="宋体" w:hAnsi="宋体"/>
                <w:bCs/>
                <w:szCs w:val="21"/>
              </w:rPr>
            </w:pPr>
            <w:r>
              <w:rPr>
                <w:rFonts w:hint="eastAsia" w:ascii="宋体" w:hAnsi="宋体"/>
                <w:bCs/>
                <w:szCs w:val="21"/>
              </w:rPr>
              <w:t>根据《政府采购促进中小企业发展管理办法》（财库〔2020〕46号）及《广西壮族自治区财政厅关于持续优化政府采购营商环境推动高质量发展的通知》（桂财采〔2024〕55号）的规定，投标人在其投标文件中提供《中小企业声明函》，且其投标全部货物由小微企业制造的，对其投标报价给予10%的扣除，扣除后的价格为评标报价，即评标报价=投标报价×（1-10%）。除上述情况外，评标报价=投标报价。</w:t>
            </w:r>
          </w:p>
          <w:p w14:paraId="49DA6510">
            <w:pPr>
              <w:snapToGrid w:val="0"/>
              <w:spacing w:line="360" w:lineRule="exact"/>
              <w:ind w:firstLine="233" w:firstLineChars="111"/>
              <w:rPr>
                <w:rFonts w:hint="eastAsia" w:ascii="宋体" w:hAnsi="宋体"/>
                <w:bCs/>
                <w:szCs w:val="21"/>
              </w:rPr>
            </w:pPr>
            <w:r>
              <w:rPr>
                <w:rFonts w:hint="eastAsia" w:ascii="宋体" w:hAnsi="宋体"/>
                <w:bCs/>
                <w:szCs w:val="21"/>
              </w:rPr>
              <w:t>（3）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监狱企业属于小型、微型企业的，不重复享受政策。</w:t>
            </w:r>
          </w:p>
          <w:p w14:paraId="07E8A264">
            <w:pPr>
              <w:snapToGrid w:val="0"/>
              <w:spacing w:line="360" w:lineRule="exact"/>
              <w:ind w:firstLine="233" w:firstLineChars="111"/>
              <w:rPr>
                <w:rFonts w:hint="eastAsia" w:ascii="宋体" w:hAnsi="宋体"/>
                <w:bCs/>
                <w:szCs w:val="21"/>
              </w:rPr>
            </w:pPr>
            <w:r>
              <w:rPr>
                <w:rFonts w:hint="eastAsia" w:ascii="宋体" w:hAnsi="宋体"/>
                <w:bCs/>
                <w:szCs w:val="21"/>
              </w:rPr>
              <w:t>（4）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347394DA">
            <w:pPr>
              <w:snapToGrid w:val="0"/>
              <w:spacing w:line="360" w:lineRule="exact"/>
              <w:ind w:firstLine="233" w:firstLineChars="111"/>
              <w:rPr>
                <w:rFonts w:hint="eastAsia" w:ascii="宋体" w:hAnsi="宋体"/>
                <w:bCs/>
                <w:szCs w:val="21"/>
              </w:rPr>
            </w:pPr>
            <w:r>
              <w:rPr>
                <w:rFonts w:hint="eastAsia" w:ascii="宋体" w:hAnsi="宋体"/>
                <w:bCs/>
                <w:szCs w:val="21"/>
              </w:rPr>
              <w:t>（5）本国产品政策性扣除计算方法。</w:t>
            </w:r>
          </w:p>
          <w:p w14:paraId="516EC6F8">
            <w:pPr>
              <w:snapToGrid w:val="0"/>
              <w:spacing w:line="360" w:lineRule="exact"/>
              <w:ind w:firstLine="233" w:firstLineChars="111"/>
              <w:rPr>
                <w:rFonts w:hint="eastAsia" w:ascii="宋体" w:hAnsi="宋体"/>
                <w:bCs/>
                <w:szCs w:val="21"/>
              </w:rPr>
            </w:pPr>
            <w:r>
              <w:rPr>
                <w:rFonts w:hint="eastAsia" w:ascii="宋体" w:hAnsi="宋体"/>
                <w:bCs/>
                <w:szCs w:val="21"/>
              </w:rPr>
              <w:t>根据《国务院办公厅关于在政府采购中实施本国产品标准及相关政策的通知》（国办发〔2025〕34号）的规定，政府采购活动中既有本国产品又有非本国产品参与竞争的，依法对本国产品给予价格评审优惠，对本国产品的报价给予20%的价格扣除，用扣除后的价格参与评审。</w:t>
            </w:r>
          </w:p>
          <w:p w14:paraId="04F5866C">
            <w:pPr>
              <w:snapToGrid w:val="0"/>
              <w:spacing w:line="360" w:lineRule="exact"/>
              <w:ind w:firstLine="233" w:firstLineChars="111"/>
              <w:rPr>
                <w:rFonts w:hint="eastAsia" w:ascii="宋体" w:hAnsi="宋体"/>
                <w:bCs/>
                <w:szCs w:val="21"/>
              </w:rPr>
            </w:pPr>
            <w:r>
              <w:rPr>
                <w:rFonts w:hint="eastAsia" w:ascii="宋体" w:hAnsi="宋体"/>
                <w:bCs/>
                <w:szCs w:val="21"/>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未达到80%，不享受价格评审优惠。</w:t>
            </w:r>
          </w:p>
          <w:p w14:paraId="6CC503BF">
            <w:pPr>
              <w:snapToGrid w:val="0"/>
              <w:spacing w:line="360" w:lineRule="exact"/>
              <w:ind w:firstLine="233" w:firstLineChars="111"/>
              <w:rPr>
                <w:rFonts w:hint="eastAsia" w:ascii="宋体" w:hAnsi="宋体"/>
                <w:bCs/>
                <w:szCs w:val="21"/>
              </w:rPr>
            </w:pPr>
            <w:r>
              <w:rPr>
                <w:rFonts w:hint="eastAsia" w:ascii="宋体" w:hAnsi="宋体"/>
                <w:bCs/>
                <w:szCs w:val="21"/>
              </w:rPr>
              <w:t>供应商在其投标文件中提供《关于符合本国产品标准的声明函》或财政部会同有关部门规定的有关证明文件，出具符合要求的《声明函》或有关证明文件的，该产品视为本国产品。</w:t>
            </w:r>
          </w:p>
          <w:p w14:paraId="6AA1F1DF">
            <w:pPr>
              <w:snapToGrid w:val="0"/>
              <w:spacing w:line="360" w:lineRule="exact"/>
              <w:ind w:firstLine="233" w:firstLineChars="111"/>
              <w:rPr>
                <w:rFonts w:hint="eastAsia" w:ascii="宋体" w:hAnsi="宋体"/>
                <w:bCs/>
                <w:szCs w:val="21"/>
              </w:rPr>
            </w:pPr>
            <w:r>
              <w:rPr>
                <w:rFonts w:hint="eastAsia" w:ascii="宋体" w:hAnsi="宋体"/>
                <w:bCs/>
                <w:szCs w:val="21"/>
              </w:rPr>
              <w:t>如果所有参与竞争的供应商均可享受本国产品价格评审优惠，则统一不进行价格扣除。</w:t>
            </w:r>
          </w:p>
          <w:p w14:paraId="75A4FB05">
            <w:pPr>
              <w:snapToGrid w:val="0"/>
              <w:spacing w:line="360" w:lineRule="exact"/>
              <w:ind w:firstLine="233" w:firstLineChars="111"/>
              <w:rPr>
                <w:rFonts w:ascii="宋体" w:hAnsi="宋体"/>
                <w:bCs/>
                <w:szCs w:val="21"/>
              </w:rPr>
            </w:pPr>
            <w:r>
              <w:rPr>
                <w:rFonts w:hint="eastAsia" w:ascii="宋体" w:hAnsi="宋体"/>
                <w:bCs/>
                <w:szCs w:val="21"/>
              </w:rPr>
              <w:t>（6）中小企业折扣与本国产品折扣进行叠加计算，用扣除后的价格参加评审。即评审价=投标报价-中小企业折扣-本国产品折扣，除上述情况外，评审价=投标报价。</w:t>
            </w:r>
          </w:p>
          <w:p w14:paraId="7D4F4FE9">
            <w:pPr>
              <w:snapToGrid w:val="0"/>
              <w:spacing w:line="360" w:lineRule="exact"/>
              <w:ind w:firstLine="233" w:firstLineChars="111"/>
              <w:rPr>
                <w:rFonts w:hint="eastAsia" w:ascii="宋体" w:hAnsi="宋体"/>
                <w:bCs/>
                <w:szCs w:val="21"/>
              </w:rPr>
            </w:pPr>
            <w:r>
              <w:rPr>
                <w:rFonts w:hint="eastAsia" w:ascii="宋体" w:hAnsi="宋体"/>
                <w:bCs/>
                <w:szCs w:val="21"/>
              </w:rPr>
              <w:t>（7）满足招标文件要求且评标报价最低的评标报价为评标基准价，其价格分为满分。</w:t>
            </w:r>
          </w:p>
          <w:p w14:paraId="003D15AD">
            <w:pPr>
              <w:snapToGrid w:val="0"/>
              <w:spacing w:line="360" w:lineRule="exact"/>
              <w:ind w:firstLine="234" w:firstLineChars="111"/>
              <w:rPr>
                <w:rFonts w:hint="eastAsia" w:ascii="宋体" w:hAnsi="宋体"/>
                <w:b/>
                <w:bCs/>
                <w:color w:val="000000"/>
                <w:szCs w:val="21"/>
              </w:rPr>
            </w:pPr>
            <w:r>
              <w:rPr>
                <w:rFonts w:hint="eastAsia" w:ascii="宋体" w:hAnsi="宋体"/>
                <w:b/>
                <w:bCs/>
                <w:color w:val="000000"/>
                <w:szCs w:val="21"/>
              </w:rPr>
              <w:t xml:space="preserve">（8）价格分计算公式：        </w:t>
            </w:r>
          </w:p>
          <w:p w14:paraId="69FC1EC7">
            <w:pPr>
              <w:spacing w:line="360" w:lineRule="exact"/>
              <w:rPr>
                <w:rFonts w:hint="eastAsia" w:ascii="宋体" w:hAnsi="宋体" w:cs="Courier New"/>
                <w:bCs/>
                <w:szCs w:val="21"/>
              </w:rPr>
            </w:pPr>
            <w:r>
              <w:rPr>
                <w:rFonts w:hint="eastAsia" w:ascii="宋体" w:hAnsi="宋体"/>
                <w:b/>
                <w:bCs/>
                <w:color w:val="000000"/>
                <w:szCs w:val="21"/>
              </w:rPr>
              <w:t>价格分=（评标基准价/评标报价）×30分</w:t>
            </w:r>
          </w:p>
        </w:tc>
      </w:tr>
      <w:tr w14:paraId="35CCA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1" w:type="pct"/>
            <w:vMerge w:val="restart"/>
            <w:noWrap w:val="0"/>
            <w:vAlign w:val="center"/>
          </w:tcPr>
          <w:p w14:paraId="07C2B8B2">
            <w:pPr>
              <w:adjustRightInd w:val="0"/>
              <w:spacing w:line="360" w:lineRule="exact"/>
              <w:jc w:val="center"/>
              <w:textAlignment w:val="baseline"/>
              <w:rPr>
                <w:rFonts w:hint="eastAsia" w:ascii="宋体" w:hAnsi="宋体"/>
                <w:szCs w:val="21"/>
              </w:rPr>
            </w:pPr>
            <w:r>
              <w:rPr>
                <w:rFonts w:hint="eastAsia" w:ascii="宋体" w:hAnsi="宋体"/>
                <w:szCs w:val="21"/>
              </w:rPr>
              <w:t>2</w:t>
            </w:r>
          </w:p>
        </w:tc>
        <w:tc>
          <w:tcPr>
            <w:tcW w:w="833" w:type="pct"/>
            <w:vMerge w:val="restart"/>
            <w:noWrap w:val="0"/>
            <w:vAlign w:val="center"/>
          </w:tcPr>
          <w:p w14:paraId="182A51D9">
            <w:pPr>
              <w:adjustRightInd w:val="0"/>
              <w:spacing w:line="360" w:lineRule="exact"/>
              <w:jc w:val="center"/>
              <w:textAlignment w:val="baseline"/>
              <w:rPr>
                <w:rFonts w:hint="eastAsia" w:ascii="宋体" w:hAnsi="宋体"/>
                <w:b/>
                <w:bCs/>
                <w:szCs w:val="21"/>
              </w:rPr>
            </w:pPr>
            <w:r>
              <w:rPr>
                <w:rFonts w:hint="eastAsia" w:ascii="宋体" w:hAnsi="宋体"/>
                <w:b/>
                <w:bCs/>
                <w:szCs w:val="21"/>
              </w:rPr>
              <w:t>技术分（满分57分）</w:t>
            </w:r>
          </w:p>
        </w:tc>
        <w:tc>
          <w:tcPr>
            <w:tcW w:w="897" w:type="pct"/>
            <w:noWrap w:val="0"/>
            <w:vAlign w:val="center"/>
          </w:tcPr>
          <w:p w14:paraId="2CFA83D1">
            <w:pPr>
              <w:adjustRightInd w:val="0"/>
              <w:spacing w:line="360" w:lineRule="exact"/>
              <w:jc w:val="left"/>
              <w:textAlignment w:val="baseline"/>
              <w:rPr>
                <w:rFonts w:ascii="宋体" w:hAnsi="宋体"/>
                <w:szCs w:val="21"/>
                <w:u w:val="single"/>
              </w:rPr>
            </w:pPr>
            <w:r>
              <w:rPr>
                <w:rFonts w:hint="eastAsia" w:ascii="宋体" w:hAnsi="宋体"/>
                <w:szCs w:val="21"/>
              </w:rPr>
              <w:t>产品技术或性能分（满分12分）</w:t>
            </w:r>
          </w:p>
        </w:tc>
        <w:tc>
          <w:tcPr>
            <w:tcW w:w="2977" w:type="pct"/>
            <w:noWrap w:val="0"/>
            <w:vAlign w:val="center"/>
          </w:tcPr>
          <w:p w14:paraId="5AD804FB">
            <w:pPr>
              <w:widowControl/>
              <w:shd w:val="clear" w:color="auto" w:fill="FFFFFF"/>
              <w:spacing w:line="360" w:lineRule="exact"/>
              <w:ind w:firstLine="420" w:firstLineChars="200"/>
              <w:rPr>
                <w:rFonts w:hint="eastAsia" w:hAnsi="宋体" w:cs="Courier New"/>
              </w:rPr>
            </w:pPr>
            <w:r>
              <w:rPr>
                <w:rFonts w:hint="eastAsia" w:hAnsi="宋体" w:cs="Courier New"/>
              </w:rPr>
              <w:t>投标人投标产品“技术需求及要求”标记“▲”号的技术参数完全满足招标文件要求的得基本分12分。未标记“▲”号的技术参数存在负偏离的或不响应的，在基本分（12分）的基础上，每有一项扣</w:t>
            </w:r>
            <w:r>
              <w:rPr>
                <w:rFonts w:hint="eastAsia" w:hAnsi="宋体" w:cs="Courier New"/>
                <w:b/>
              </w:rPr>
              <w:t>1</w:t>
            </w:r>
            <w:r>
              <w:rPr>
                <w:rFonts w:hint="eastAsia" w:hAnsi="宋体" w:cs="Courier New"/>
              </w:rPr>
              <w:t>分，最多扣完本项分值。</w:t>
            </w:r>
          </w:p>
        </w:tc>
      </w:tr>
      <w:tr w14:paraId="03B22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1" w:type="pct"/>
            <w:vMerge w:val="continue"/>
            <w:noWrap w:val="0"/>
            <w:vAlign w:val="center"/>
          </w:tcPr>
          <w:p w14:paraId="325A94C9">
            <w:pPr>
              <w:adjustRightInd w:val="0"/>
              <w:spacing w:line="360" w:lineRule="exact"/>
              <w:jc w:val="center"/>
              <w:textAlignment w:val="baseline"/>
              <w:rPr>
                <w:rFonts w:hint="eastAsia" w:ascii="宋体" w:hAnsi="宋体"/>
                <w:szCs w:val="21"/>
              </w:rPr>
            </w:pPr>
          </w:p>
        </w:tc>
        <w:tc>
          <w:tcPr>
            <w:tcW w:w="833" w:type="pct"/>
            <w:vMerge w:val="continue"/>
            <w:noWrap w:val="0"/>
            <w:vAlign w:val="center"/>
          </w:tcPr>
          <w:p w14:paraId="42F34C30">
            <w:pPr>
              <w:adjustRightInd w:val="0"/>
              <w:spacing w:line="360" w:lineRule="exact"/>
              <w:jc w:val="center"/>
              <w:textAlignment w:val="baseline"/>
              <w:rPr>
                <w:rFonts w:hint="eastAsia" w:ascii="宋体" w:hAnsi="宋体"/>
                <w:b/>
                <w:bCs/>
                <w:szCs w:val="21"/>
              </w:rPr>
            </w:pPr>
          </w:p>
        </w:tc>
        <w:tc>
          <w:tcPr>
            <w:tcW w:w="897" w:type="pct"/>
            <w:noWrap w:val="0"/>
            <w:vAlign w:val="center"/>
          </w:tcPr>
          <w:p w14:paraId="381B300A">
            <w:pPr>
              <w:adjustRightInd w:val="0"/>
              <w:spacing w:line="360" w:lineRule="exact"/>
              <w:jc w:val="left"/>
              <w:textAlignment w:val="baseline"/>
              <w:rPr>
                <w:rFonts w:hint="eastAsia" w:ascii="宋体" w:hAnsi="宋体"/>
                <w:color w:val="FF0000"/>
                <w:szCs w:val="21"/>
              </w:rPr>
            </w:pPr>
            <w:r>
              <w:rPr>
                <w:rFonts w:hint="eastAsia" w:ascii="宋体" w:hAnsi="宋体"/>
                <w:bCs/>
                <w:szCs w:val="21"/>
              </w:rPr>
              <w:t>项目实施方案（满分12分）</w:t>
            </w:r>
          </w:p>
        </w:tc>
        <w:tc>
          <w:tcPr>
            <w:tcW w:w="2977" w:type="pct"/>
            <w:noWrap w:val="0"/>
            <w:vAlign w:val="top"/>
          </w:tcPr>
          <w:p w14:paraId="518A28EE">
            <w:pPr>
              <w:spacing w:line="360" w:lineRule="exact"/>
              <w:ind w:firstLine="420" w:firstLineChars="200"/>
              <w:jc w:val="left"/>
              <w:rPr>
                <w:rFonts w:hint="eastAsia" w:ascii="宋体" w:hAnsi="宋体"/>
                <w:color w:val="0000FF"/>
                <w:szCs w:val="21"/>
                <w:highlight w:val="cyan"/>
              </w:rPr>
            </w:pPr>
            <w:r>
              <w:rPr>
                <w:rFonts w:hint="eastAsia" w:ascii="宋体" w:hAnsi="宋体"/>
                <w:szCs w:val="21"/>
              </w:rPr>
              <w:t>一档（6分）：对项目理解基本正确，项目实施方案内容有基本框架，能提供项目实施管理、组织架构、产品配送组织计划、</w:t>
            </w:r>
            <w:r>
              <w:rPr>
                <w:rFonts w:hint="eastAsia" w:ascii="宋体" w:hAnsi="宋体" w:cs="宋体"/>
                <w:bCs/>
                <w:szCs w:val="21"/>
              </w:rPr>
              <w:t>运输方式、交货保障措施及时间安排，</w:t>
            </w:r>
            <w:r>
              <w:rPr>
                <w:rFonts w:hint="eastAsia" w:ascii="宋体" w:hAnsi="宋体"/>
                <w:bCs/>
                <w:szCs w:val="21"/>
              </w:rPr>
              <w:t>提供项目实施团队人员名单，项目实施团队人员不少于5人。</w:t>
            </w:r>
          </w:p>
          <w:p w14:paraId="27815775">
            <w:pPr>
              <w:spacing w:line="360" w:lineRule="exact"/>
              <w:ind w:firstLine="420" w:firstLineChars="200"/>
              <w:jc w:val="left"/>
              <w:rPr>
                <w:rFonts w:hint="eastAsia" w:ascii="宋体" w:hAnsi="宋体"/>
                <w:szCs w:val="21"/>
              </w:rPr>
            </w:pPr>
            <w:r>
              <w:rPr>
                <w:rFonts w:hint="eastAsia" w:ascii="宋体" w:hAnsi="宋体"/>
                <w:szCs w:val="21"/>
              </w:rPr>
              <w:t>二档（9分）：满足一档的基础上，项目实施方案内容具体且合理，能提供具体项目执行组织措施、项目供货保障措施（如物流、仓储等）、完整的供货保障资料（如投标人与供货产品厂商的订购协议，或供货产品代理证明、或供货渠道证明）、合理的项目进度计划和运输、交货</w:t>
            </w:r>
            <w:r>
              <w:rPr>
                <w:rFonts w:hint="eastAsia" w:ascii="宋体" w:hAnsi="宋体" w:cs="宋体"/>
                <w:bCs/>
                <w:szCs w:val="21"/>
              </w:rPr>
              <w:t>中的应急处理方案，</w:t>
            </w:r>
            <w:r>
              <w:rPr>
                <w:rFonts w:hint="eastAsia" w:ascii="宋体" w:hAnsi="宋体"/>
                <w:szCs w:val="21"/>
              </w:rPr>
              <w:t>质量与安全保证、风险预防措施等。</w:t>
            </w:r>
          </w:p>
          <w:p w14:paraId="5A7CF87A">
            <w:pPr>
              <w:spacing w:line="360" w:lineRule="exact"/>
              <w:ind w:firstLine="420" w:firstLineChars="200"/>
              <w:jc w:val="left"/>
              <w:rPr>
                <w:rFonts w:hint="eastAsia" w:ascii="宋体" w:hAnsi="宋体"/>
                <w:szCs w:val="21"/>
              </w:rPr>
            </w:pPr>
            <w:r>
              <w:rPr>
                <w:rFonts w:hint="eastAsia" w:ascii="宋体" w:hAnsi="宋体"/>
                <w:szCs w:val="21"/>
              </w:rPr>
              <w:t>三档（12分）：在满足二档要求的基础上，能详细、合理阐述各阶段工作安排与进度计划，能够根据项目提供明确的实施进度和管理措施（</w:t>
            </w:r>
            <w:r>
              <w:rPr>
                <w:rFonts w:hint="eastAsia" w:ascii="宋体" w:hAnsi="宋体"/>
                <w:bCs/>
              </w:rPr>
              <w:t>包含质量管理、进度管理、沟通管理、风险管理等</w:t>
            </w:r>
            <w:r>
              <w:rPr>
                <w:rFonts w:hint="eastAsia" w:ascii="宋体" w:hAnsi="宋体"/>
                <w:szCs w:val="21"/>
              </w:rPr>
              <w:t>）、完备的质量控制方案和验收措施，提供项目实施计划进度表、保证按期交付承诺书，并有明确的质量与安全保障承诺。针对项目实施中的潜在风险进行了全面评估，制定了详细的应对措施与可行的备选方案，整体方案适配采购人项目交付实际；投入的实施团队人员能力可解决项目由备货至最终交付验收的各种问题（须提供相关佐证材料，可以是以往项目问题解决案例或问题处理报告等）。</w:t>
            </w:r>
          </w:p>
          <w:p w14:paraId="413BCFC7">
            <w:pPr>
              <w:spacing w:line="360" w:lineRule="exact"/>
              <w:ind w:firstLine="420" w:firstLineChars="200"/>
              <w:jc w:val="left"/>
              <w:rPr>
                <w:rFonts w:hint="eastAsia" w:ascii="宋体" w:hAnsi="宋体"/>
                <w:szCs w:val="21"/>
              </w:rPr>
            </w:pPr>
          </w:p>
          <w:p w14:paraId="19E61A77">
            <w:pPr>
              <w:widowControl/>
              <w:shd w:val="clear" w:color="auto" w:fill="FFFFFF"/>
              <w:spacing w:line="360" w:lineRule="exact"/>
              <w:ind w:firstLine="422" w:firstLineChars="200"/>
              <w:rPr>
                <w:rFonts w:ascii="宋体" w:hAnsi="宋体"/>
                <w:b/>
                <w:bCs/>
              </w:rPr>
            </w:pPr>
            <w:r>
              <w:rPr>
                <w:rFonts w:hint="eastAsia" w:ascii="宋体" w:hAnsi="宋体"/>
                <w:b/>
                <w:bCs/>
              </w:rPr>
              <w:t>注：</w:t>
            </w:r>
          </w:p>
          <w:p w14:paraId="27943038">
            <w:pPr>
              <w:widowControl/>
              <w:shd w:val="clear" w:color="auto" w:fill="FFFFFF"/>
              <w:spacing w:line="360" w:lineRule="exact"/>
              <w:ind w:firstLine="422" w:firstLineChars="200"/>
              <w:rPr>
                <w:rFonts w:hint="eastAsia" w:ascii="宋体" w:hAnsi="宋体" w:cs="Courier New"/>
                <w:b/>
                <w:bCs/>
              </w:rPr>
            </w:pPr>
            <w:r>
              <w:rPr>
                <w:rFonts w:hint="eastAsia" w:ascii="宋体" w:hAnsi="宋体" w:cs="Courier New"/>
                <w:b/>
                <w:bCs/>
              </w:rPr>
              <w:t>1.不符合最低入档条件的按0分计分。</w:t>
            </w:r>
          </w:p>
          <w:p w14:paraId="705F077B">
            <w:pPr>
              <w:widowControl/>
              <w:shd w:val="clear" w:color="auto" w:fill="FFFFFF"/>
              <w:spacing w:line="360" w:lineRule="exact"/>
              <w:ind w:firstLine="422" w:firstLineChars="200"/>
              <w:rPr>
                <w:rFonts w:hint="eastAsia" w:hAnsi="宋体" w:cs="Courier New"/>
              </w:rPr>
            </w:pPr>
            <w:r>
              <w:rPr>
                <w:rFonts w:hint="eastAsia" w:ascii="宋体" w:hAnsi="宋体" w:cs="Courier New"/>
                <w:b/>
                <w:bCs/>
              </w:rPr>
              <w:t>2.投标人在投标文件中提供项目实施团队人员名单，以及提供2025年11月至2026年5月内，投标人为团队人员缴纳至少三个月的社保证明材料或聘用合同复印件，并加盖投标人公章或电子公章。</w:t>
            </w:r>
          </w:p>
        </w:tc>
      </w:tr>
      <w:tr w14:paraId="324FA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1" w:type="pct"/>
            <w:vMerge w:val="continue"/>
            <w:noWrap w:val="0"/>
            <w:vAlign w:val="center"/>
          </w:tcPr>
          <w:p w14:paraId="4FE958A5">
            <w:pPr>
              <w:adjustRightInd w:val="0"/>
              <w:spacing w:line="360" w:lineRule="exact"/>
              <w:jc w:val="center"/>
              <w:textAlignment w:val="baseline"/>
              <w:rPr>
                <w:rFonts w:hint="eastAsia" w:ascii="宋体" w:hAnsi="宋体"/>
                <w:szCs w:val="21"/>
              </w:rPr>
            </w:pPr>
          </w:p>
        </w:tc>
        <w:tc>
          <w:tcPr>
            <w:tcW w:w="833" w:type="pct"/>
            <w:vMerge w:val="continue"/>
            <w:noWrap w:val="0"/>
            <w:vAlign w:val="center"/>
          </w:tcPr>
          <w:p w14:paraId="513B6E7D">
            <w:pPr>
              <w:adjustRightInd w:val="0"/>
              <w:spacing w:line="360" w:lineRule="exact"/>
              <w:jc w:val="center"/>
              <w:textAlignment w:val="baseline"/>
              <w:rPr>
                <w:rFonts w:hint="eastAsia" w:ascii="宋体" w:hAnsi="宋体"/>
                <w:b/>
                <w:bCs/>
                <w:szCs w:val="21"/>
              </w:rPr>
            </w:pPr>
          </w:p>
        </w:tc>
        <w:tc>
          <w:tcPr>
            <w:tcW w:w="897" w:type="pct"/>
            <w:vMerge w:val="restart"/>
            <w:noWrap w:val="0"/>
            <w:vAlign w:val="center"/>
          </w:tcPr>
          <w:p w14:paraId="04091AF4">
            <w:pPr>
              <w:adjustRightInd w:val="0"/>
              <w:spacing w:line="360" w:lineRule="exact"/>
              <w:jc w:val="left"/>
              <w:textAlignment w:val="baseline"/>
              <w:rPr>
                <w:rFonts w:ascii="宋体" w:hAnsi="宋体"/>
                <w:bCs/>
                <w:szCs w:val="21"/>
              </w:rPr>
            </w:pPr>
            <w:r>
              <w:rPr>
                <w:rFonts w:hint="eastAsia" w:ascii="宋体" w:hAnsi="宋体"/>
                <w:bCs/>
                <w:szCs w:val="21"/>
              </w:rPr>
              <w:t>培训服务分（满分6分）</w:t>
            </w:r>
          </w:p>
        </w:tc>
        <w:tc>
          <w:tcPr>
            <w:tcW w:w="2977" w:type="pct"/>
            <w:noWrap w:val="0"/>
            <w:vAlign w:val="top"/>
          </w:tcPr>
          <w:p w14:paraId="22B26803">
            <w:pPr>
              <w:spacing w:line="360" w:lineRule="exact"/>
              <w:ind w:firstLine="442" w:firstLineChars="200"/>
              <w:jc w:val="left"/>
              <w:rPr>
                <w:rFonts w:hint="eastAsia" w:ascii="宋体" w:hAnsi="宋体"/>
                <w:b/>
                <w:color w:val="auto"/>
                <w:sz w:val="22"/>
                <w:szCs w:val="22"/>
              </w:rPr>
            </w:pPr>
            <w:r>
              <w:rPr>
                <w:rFonts w:hint="eastAsia" w:ascii="宋体" w:hAnsi="宋体"/>
                <w:b/>
                <w:color w:val="auto"/>
                <w:sz w:val="22"/>
                <w:szCs w:val="22"/>
              </w:rPr>
              <w:t>分标2：</w:t>
            </w:r>
          </w:p>
          <w:p w14:paraId="01A1506D">
            <w:pPr>
              <w:spacing w:line="360" w:lineRule="exact"/>
              <w:ind w:firstLine="422" w:firstLineChars="200"/>
              <w:jc w:val="left"/>
              <w:rPr>
                <w:rFonts w:ascii="宋体" w:hAnsi="宋体"/>
                <w:b/>
                <w:color w:val="auto"/>
              </w:rPr>
            </w:pPr>
            <w:r>
              <w:rPr>
                <w:rFonts w:hint="eastAsia" w:ascii="宋体" w:hAnsi="宋体"/>
                <w:b/>
                <w:color w:val="auto"/>
              </w:rPr>
              <w:t>（1）</w:t>
            </w:r>
            <w:r>
              <w:rPr>
                <w:rFonts w:hint="eastAsia" w:ascii="宋体" w:hAnsi="宋体"/>
                <w:b/>
                <w:color w:val="auto"/>
                <w:szCs w:val="21"/>
              </w:rPr>
              <w:t>培训资质（3分）</w:t>
            </w:r>
          </w:p>
          <w:p w14:paraId="0137D92C">
            <w:pPr>
              <w:spacing w:line="360" w:lineRule="exact"/>
              <w:ind w:firstLine="420" w:firstLineChars="200"/>
              <w:jc w:val="left"/>
              <w:rPr>
                <w:rFonts w:hint="eastAsia" w:ascii="宋体" w:hAnsi="宋体"/>
                <w:color w:val="auto"/>
                <w:szCs w:val="21"/>
              </w:rPr>
            </w:pPr>
            <w:r>
              <w:rPr>
                <w:rFonts w:hint="eastAsia" w:ascii="宋体" w:hAnsi="宋体"/>
                <w:color w:val="auto"/>
                <w:szCs w:val="21"/>
              </w:rPr>
              <w:t>为确保无人机培训课程质量，针对性地培养无人机驾驶员资源，投标人或投标人可委托所投无人机生产企业提供针对性的无人机培训。</w:t>
            </w:r>
          </w:p>
          <w:p w14:paraId="6D99F473">
            <w:pPr>
              <w:spacing w:line="360" w:lineRule="exact"/>
              <w:ind w:firstLine="420" w:firstLineChars="200"/>
              <w:jc w:val="left"/>
              <w:rPr>
                <w:rFonts w:hint="eastAsia" w:ascii="宋体" w:hAnsi="宋体"/>
                <w:color w:val="auto"/>
                <w:szCs w:val="21"/>
              </w:rPr>
            </w:pPr>
            <w:r>
              <w:rPr>
                <w:rFonts w:hint="eastAsia" w:ascii="宋体" w:hAnsi="宋体"/>
                <w:color w:val="auto"/>
                <w:szCs w:val="21"/>
              </w:rPr>
              <w:t>a.投标人或所投无人机生产企业具有民用无人机操控员训练机构合格证，得2分；</w:t>
            </w:r>
          </w:p>
          <w:p w14:paraId="04EBB459">
            <w:pPr>
              <w:spacing w:line="360" w:lineRule="exact"/>
              <w:ind w:firstLine="420" w:firstLineChars="200"/>
              <w:jc w:val="left"/>
              <w:rPr>
                <w:rFonts w:hint="eastAsia" w:ascii="宋体" w:hAnsi="宋体"/>
                <w:color w:val="auto"/>
                <w:szCs w:val="21"/>
              </w:rPr>
            </w:pPr>
            <w:r>
              <w:rPr>
                <w:rFonts w:hint="eastAsia" w:ascii="宋体" w:hAnsi="宋体"/>
                <w:color w:val="auto"/>
                <w:szCs w:val="21"/>
              </w:rPr>
              <w:t>b.投标人或所投无人机生产企业具有中国民用航空局颁发的民用无人驾驶航空器操控员执照（权利等级为教员）人员【或具有中国民用航空局颁发的民用无人驾驶航空器操控员执照（权利等级为超视距）人员】，且满足本分标无人机机型的教员，每有1人得0.5分，最多得1分。</w:t>
            </w:r>
          </w:p>
          <w:p w14:paraId="13FB565A">
            <w:pPr>
              <w:widowControl/>
              <w:shd w:val="clear" w:color="auto" w:fill="FFFFFF"/>
              <w:spacing w:line="360" w:lineRule="exact"/>
              <w:ind w:firstLine="420" w:firstLineChars="200"/>
              <w:rPr>
                <w:rFonts w:hint="eastAsia" w:ascii="宋体" w:hAnsi="宋体"/>
                <w:szCs w:val="21"/>
              </w:rPr>
            </w:pPr>
            <w:r>
              <w:rPr>
                <w:rFonts w:hint="eastAsia" w:ascii="宋体" w:hAnsi="宋体"/>
                <w:szCs w:val="21"/>
              </w:rPr>
              <w:t>注：上述a.b项，投标文件中需提供相关证书复印件，方可得分。</w:t>
            </w:r>
          </w:p>
          <w:p w14:paraId="63B528F8">
            <w:pPr>
              <w:pStyle w:val="18"/>
              <w:ind w:firstLine="422" w:firstLineChars="200"/>
              <w:rPr>
                <w:rFonts w:hint="eastAsia" w:ascii="宋体" w:hAnsi="宋体"/>
                <w:b/>
                <w:bCs/>
                <w:kern w:val="2"/>
                <w:sz w:val="21"/>
                <w:szCs w:val="21"/>
                <w:lang w:val="en-US" w:eastAsia="zh-CN"/>
              </w:rPr>
            </w:pPr>
            <w:r>
              <w:rPr>
                <w:rFonts w:hint="eastAsia" w:ascii="宋体" w:hAnsi="宋体"/>
                <w:b/>
                <w:bCs/>
                <w:kern w:val="2"/>
                <w:sz w:val="21"/>
                <w:szCs w:val="21"/>
                <w:lang w:val="en-US" w:eastAsia="zh-CN"/>
              </w:rPr>
              <w:t>（2）培训服务分（3分）</w:t>
            </w:r>
          </w:p>
          <w:p w14:paraId="1D201003">
            <w:pPr>
              <w:pStyle w:val="18"/>
              <w:ind w:firstLine="420" w:firstLineChars="200"/>
              <w:rPr>
                <w:rFonts w:hint="eastAsia" w:ascii="宋体" w:hAnsi="宋体"/>
                <w:kern w:val="2"/>
                <w:sz w:val="21"/>
                <w:szCs w:val="21"/>
                <w:lang w:val="en-US" w:eastAsia="zh-CN"/>
              </w:rPr>
            </w:pPr>
            <w:r>
              <w:rPr>
                <w:rFonts w:hint="eastAsia" w:ascii="宋体" w:hAnsi="宋体"/>
                <w:kern w:val="2"/>
                <w:sz w:val="21"/>
                <w:szCs w:val="21"/>
                <w:lang w:val="en-US" w:eastAsia="zh-CN"/>
              </w:rPr>
              <w:t>a.有明确的培训内容、培训时间、培训方式等内容；</w:t>
            </w:r>
          </w:p>
          <w:p w14:paraId="1619CFB4">
            <w:pPr>
              <w:pStyle w:val="18"/>
              <w:ind w:firstLine="420" w:firstLineChars="200"/>
              <w:rPr>
                <w:rFonts w:hint="eastAsia" w:ascii="宋体" w:hAnsi="宋体"/>
                <w:kern w:val="2"/>
                <w:sz w:val="21"/>
                <w:szCs w:val="21"/>
                <w:lang w:val="en-US" w:eastAsia="zh-CN"/>
              </w:rPr>
            </w:pPr>
            <w:r>
              <w:rPr>
                <w:rFonts w:hint="eastAsia" w:ascii="宋体" w:hAnsi="宋体"/>
                <w:kern w:val="2"/>
                <w:sz w:val="21"/>
                <w:szCs w:val="21"/>
                <w:lang w:val="en-US" w:eastAsia="zh-CN"/>
              </w:rPr>
              <w:t>b.承诺在质保期内提供至少2次培训。</w:t>
            </w:r>
          </w:p>
          <w:p w14:paraId="6CEB6B34">
            <w:pPr>
              <w:pStyle w:val="18"/>
              <w:ind w:firstLine="420" w:firstLineChars="200"/>
              <w:rPr>
                <w:rFonts w:hint="eastAsia"/>
                <w:lang w:val="en-US" w:eastAsia="zh-CN"/>
              </w:rPr>
            </w:pPr>
            <w:r>
              <w:rPr>
                <w:rFonts w:hint="eastAsia" w:ascii="宋体" w:hAnsi="宋体"/>
                <w:kern w:val="2"/>
                <w:sz w:val="21"/>
                <w:szCs w:val="21"/>
                <w:lang w:val="en-US" w:eastAsia="zh-CN"/>
              </w:rPr>
              <w:t>投标文件提供培训方案，培训方案中须具有上述内容的承诺，满足上述三项要求的得基本分2分；每增加1次培训且确保培训结束后受培人员能熟练操作各种设备的加0.5分，最多加1分。满分3分。</w:t>
            </w:r>
          </w:p>
        </w:tc>
      </w:tr>
      <w:tr w14:paraId="1DA90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1" w:type="pct"/>
            <w:vMerge w:val="continue"/>
            <w:noWrap w:val="0"/>
            <w:vAlign w:val="center"/>
          </w:tcPr>
          <w:p w14:paraId="59F8173A">
            <w:pPr>
              <w:adjustRightInd w:val="0"/>
              <w:spacing w:line="360" w:lineRule="exact"/>
              <w:jc w:val="center"/>
              <w:textAlignment w:val="baseline"/>
              <w:rPr>
                <w:rFonts w:hint="eastAsia" w:ascii="宋体" w:hAnsi="宋体"/>
                <w:szCs w:val="21"/>
              </w:rPr>
            </w:pPr>
          </w:p>
        </w:tc>
        <w:tc>
          <w:tcPr>
            <w:tcW w:w="833" w:type="pct"/>
            <w:vMerge w:val="continue"/>
            <w:noWrap w:val="0"/>
            <w:vAlign w:val="center"/>
          </w:tcPr>
          <w:p w14:paraId="4B2D2355">
            <w:pPr>
              <w:adjustRightInd w:val="0"/>
              <w:spacing w:line="360" w:lineRule="exact"/>
              <w:jc w:val="center"/>
              <w:textAlignment w:val="baseline"/>
              <w:rPr>
                <w:rFonts w:hint="eastAsia" w:ascii="宋体" w:hAnsi="宋体"/>
                <w:b/>
                <w:bCs/>
                <w:szCs w:val="21"/>
              </w:rPr>
            </w:pPr>
          </w:p>
        </w:tc>
        <w:tc>
          <w:tcPr>
            <w:tcW w:w="897" w:type="pct"/>
            <w:vMerge w:val="continue"/>
            <w:noWrap w:val="0"/>
            <w:vAlign w:val="center"/>
          </w:tcPr>
          <w:p w14:paraId="3C930F77">
            <w:pPr>
              <w:adjustRightInd w:val="0"/>
              <w:spacing w:line="360" w:lineRule="exact"/>
              <w:jc w:val="left"/>
              <w:textAlignment w:val="baseline"/>
              <w:rPr>
                <w:rFonts w:hint="eastAsia" w:ascii="宋体" w:hAnsi="宋体"/>
                <w:bCs/>
                <w:szCs w:val="21"/>
              </w:rPr>
            </w:pPr>
          </w:p>
        </w:tc>
        <w:tc>
          <w:tcPr>
            <w:tcW w:w="2977" w:type="pct"/>
            <w:noWrap w:val="0"/>
            <w:vAlign w:val="top"/>
          </w:tcPr>
          <w:p w14:paraId="4BFA9B01">
            <w:pPr>
              <w:spacing w:line="360" w:lineRule="exact"/>
              <w:ind w:firstLine="442" w:firstLineChars="200"/>
              <w:jc w:val="left"/>
              <w:rPr>
                <w:rFonts w:hint="eastAsia" w:ascii="宋体" w:hAnsi="宋体"/>
                <w:b/>
                <w:color w:val="auto"/>
                <w:sz w:val="22"/>
                <w:szCs w:val="22"/>
              </w:rPr>
            </w:pPr>
            <w:r>
              <w:rPr>
                <w:rFonts w:hint="eastAsia" w:ascii="宋体" w:hAnsi="宋体"/>
                <w:b/>
                <w:color w:val="auto"/>
                <w:sz w:val="22"/>
                <w:szCs w:val="22"/>
              </w:rPr>
              <w:t>分标3、4：</w:t>
            </w:r>
          </w:p>
          <w:p w14:paraId="013738D1">
            <w:pPr>
              <w:spacing w:line="360" w:lineRule="exact"/>
              <w:ind w:firstLine="422" w:firstLineChars="200"/>
              <w:jc w:val="left"/>
              <w:rPr>
                <w:rFonts w:ascii="宋体" w:hAnsi="宋体"/>
                <w:b/>
              </w:rPr>
            </w:pPr>
            <w:r>
              <w:rPr>
                <w:rFonts w:hint="eastAsia" w:ascii="宋体" w:hAnsi="宋体"/>
                <w:b/>
              </w:rPr>
              <w:t>（1）</w:t>
            </w:r>
            <w:r>
              <w:rPr>
                <w:rFonts w:hint="eastAsia" w:ascii="宋体" w:hAnsi="宋体"/>
                <w:b/>
                <w:szCs w:val="21"/>
              </w:rPr>
              <w:t>培训服务分（6分）</w:t>
            </w:r>
          </w:p>
          <w:p w14:paraId="26945EB2">
            <w:pPr>
              <w:spacing w:line="360" w:lineRule="exact"/>
              <w:ind w:firstLine="420" w:firstLineChars="200"/>
              <w:jc w:val="left"/>
              <w:rPr>
                <w:rFonts w:ascii="宋体" w:hAnsi="宋体"/>
                <w:szCs w:val="21"/>
              </w:rPr>
            </w:pPr>
            <w:r>
              <w:rPr>
                <w:rFonts w:hint="eastAsia" w:ascii="宋体" w:hAnsi="宋体"/>
                <w:szCs w:val="21"/>
              </w:rPr>
              <w:t>a.有明确的培训内容、培训时间、培训方式等内容；</w:t>
            </w:r>
          </w:p>
          <w:p w14:paraId="4414D577">
            <w:pPr>
              <w:spacing w:line="360" w:lineRule="exact"/>
              <w:ind w:firstLine="420" w:firstLineChars="200"/>
              <w:jc w:val="left"/>
              <w:rPr>
                <w:rFonts w:ascii="宋体" w:hAnsi="宋体"/>
                <w:szCs w:val="21"/>
              </w:rPr>
            </w:pPr>
            <w:r>
              <w:rPr>
                <w:rFonts w:hint="eastAsia" w:ascii="宋体" w:hAnsi="宋体"/>
                <w:szCs w:val="21"/>
              </w:rPr>
              <w:t>b.为采购人培训每台设备不少于3名操作人员，且确保培训结束后操作人员能熟练操作设备；</w:t>
            </w:r>
          </w:p>
          <w:p w14:paraId="208F1802">
            <w:pPr>
              <w:spacing w:line="360" w:lineRule="exact"/>
              <w:ind w:firstLine="420" w:firstLineChars="200"/>
              <w:jc w:val="left"/>
              <w:rPr>
                <w:rFonts w:ascii="宋体" w:hAnsi="宋体"/>
                <w:szCs w:val="21"/>
              </w:rPr>
            </w:pPr>
            <w:r>
              <w:rPr>
                <w:rFonts w:hint="eastAsia" w:ascii="宋体" w:hAnsi="宋体"/>
                <w:szCs w:val="21"/>
              </w:rPr>
              <w:t>c.承诺在质保期内提供至少4次培训。</w:t>
            </w:r>
          </w:p>
          <w:p w14:paraId="4318A8A1">
            <w:pPr>
              <w:pStyle w:val="18"/>
              <w:ind w:firstLine="420" w:firstLineChars="200"/>
              <w:rPr>
                <w:rFonts w:hint="eastAsia" w:ascii="宋体" w:hAnsi="宋体"/>
                <w:color w:val="0000FF"/>
                <w:kern w:val="2"/>
                <w:sz w:val="21"/>
                <w:szCs w:val="21"/>
                <w:lang w:val="en-US" w:eastAsia="zh-CN"/>
              </w:rPr>
            </w:pPr>
            <w:r>
              <w:rPr>
                <w:rFonts w:hint="eastAsia" w:ascii="宋体" w:hAnsi="宋体"/>
                <w:kern w:val="2"/>
                <w:sz w:val="21"/>
                <w:szCs w:val="21"/>
                <w:lang w:val="en-US" w:eastAsia="zh-CN"/>
              </w:rPr>
              <w:t>投标文件提供培训方案，培训方案中须具有上述内容的承诺，满足上述三项要求的得基本分3分； 承诺每增加培训1名操作人员且确保培训结束后操作人员能熟练操作各种设备的加0.5分，最多加1.5分；承诺每增加1次培训的加0.5分，最多加1.5分。满分6分。</w:t>
            </w:r>
          </w:p>
        </w:tc>
      </w:tr>
      <w:tr w14:paraId="4DFB7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1" w:type="pct"/>
            <w:vMerge w:val="continue"/>
            <w:noWrap w:val="0"/>
            <w:vAlign w:val="center"/>
          </w:tcPr>
          <w:p w14:paraId="3A1EE2EB">
            <w:pPr>
              <w:adjustRightInd w:val="0"/>
              <w:spacing w:line="360" w:lineRule="exact"/>
              <w:jc w:val="center"/>
              <w:textAlignment w:val="baseline"/>
              <w:rPr>
                <w:rFonts w:hint="eastAsia" w:ascii="宋体" w:hAnsi="宋体"/>
                <w:szCs w:val="21"/>
              </w:rPr>
            </w:pPr>
          </w:p>
        </w:tc>
        <w:tc>
          <w:tcPr>
            <w:tcW w:w="833" w:type="pct"/>
            <w:vMerge w:val="continue"/>
            <w:noWrap w:val="0"/>
            <w:vAlign w:val="center"/>
          </w:tcPr>
          <w:p w14:paraId="0860CEA7">
            <w:pPr>
              <w:adjustRightInd w:val="0"/>
              <w:spacing w:line="360" w:lineRule="exact"/>
              <w:jc w:val="center"/>
              <w:textAlignment w:val="baseline"/>
              <w:rPr>
                <w:rFonts w:hint="eastAsia" w:ascii="宋体" w:hAnsi="宋体"/>
                <w:b/>
                <w:bCs/>
                <w:szCs w:val="21"/>
              </w:rPr>
            </w:pPr>
          </w:p>
        </w:tc>
        <w:tc>
          <w:tcPr>
            <w:tcW w:w="897" w:type="pct"/>
            <w:noWrap w:val="0"/>
            <w:vAlign w:val="center"/>
          </w:tcPr>
          <w:p w14:paraId="721E8BE3">
            <w:pPr>
              <w:adjustRightInd w:val="0"/>
              <w:spacing w:line="360" w:lineRule="exact"/>
              <w:jc w:val="center"/>
              <w:textAlignment w:val="baseline"/>
              <w:rPr>
                <w:rFonts w:hint="eastAsia" w:ascii="宋体" w:hAnsi="宋体"/>
                <w:bCs/>
                <w:szCs w:val="21"/>
              </w:rPr>
            </w:pPr>
            <w:r>
              <w:rPr>
                <w:rFonts w:hint="eastAsia" w:ascii="宋体" w:hAnsi="宋体"/>
                <w:bCs/>
              </w:rPr>
              <w:t>技术支持服务方案分（满分9分）</w:t>
            </w:r>
          </w:p>
        </w:tc>
        <w:tc>
          <w:tcPr>
            <w:tcW w:w="2977" w:type="pct"/>
            <w:noWrap w:val="0"/>
            <w:vAlign w:val="center"/>
          </w:tcPr>
          <w:p w14:paraId="054CA4E7">
            <w:pPr>
              <w:spacing w:line="360" w:lineRule="exact"/>
              <w:ind w:firstLine="420" w:firstLineChars="200"/>
              <w:jc w:val="left"/>
              <w:rPr>
                <w:rFonts w:hint="eastAsia" w:ascii="宋体" w:hAnsi="宋体"/>
                <w:bCs/>
              </w:rPr>
            </w:pPr>
            <w:r>
              <w:rPr>
                <w:rFonts w:hint="eastAsia" w:ascii="宋体" w:hAnsi="宋体"/>
                <w:bCs/>
              </w:rPr>
              <w:t>一档（3分）：投标人能够针对项目技术服务支持需求及要求提供技术服务支持方案，但方案仅能满足招标文件要求。</w:t>
            </w:r>
          </w:p>
          <w:p w14:paraId="6B913577">
            <w:pPr>
              <w:spacing w:line="360" w:lineRule="exact"/>
              <w:ind w:firstLine="420" w:firstLineChars="200"/>
              <w:jc w:val="left"/>
              <w:rPr>
                <w:rFonts w:hint="eastAsia" w:ascii="宋体" w:hAnsi="宋体"/>
                <w:bCs/>
              </w:rPr>
            </w:pPr>
            <w:r>
              <w:rPr>
                <w:rFonts w:hint="eastAsia" w:ascii="宋体" w:hAnsi="宋体"/>
                <w:bCs/>
              </w:rPr>
              <w:t>二档（6分）：本项目为应急救援用装备，投标人能够针对项目技术服务支持需求及要求提供同类装备应急演练或应急救援实战基本方案，所提供同类装备应急演练或应急救援实战方案经过实践应用，并有投标人或投标产品生产厂家相应的应用案例佐证。</w:t>
            </w:r>
          </w:p>
          <w:p w14:paraId="0E9320F4">
            <w:pPr>
              <w:spacing w:line="360" w:lineRule="exact"/>
              <w:ind w:firstLine="420" w:firstLineChars="200"/>
              <w:jc w:val="left"/>
              <w:rPr>
                <w:rFonts w:hint="eastAsia" w:ascii="宋体" w:hAnsi="宋体"/>
                <w:bCs/>
              </w:rPr>
            </w:pPr>
            <w:r>
              <w:rPr>
                <w:rFonts w:hint="eastAsia" w:ascii="宋体" w:hAnsi="宋体"/>
                <w:bCs/>
              </w:rPr>
              <w:t>三档（9分）：满足二档要求，并提供应急突发事件救援抢险或应急演练活动现场保障服务方案，且保障服务方案经过实践应用，并有投标人或投标产品生产厂家相应的应用案例佐证。应急演练或应急救援实战方案，及现场演练保障方案具有有效性和实用性</w:t>
            </w:r>
            <w:r>
              <w:rPr>
                <w:rFonts w:hint="eastAsia" w:ascii="宋体" w:hAnsi="宋体"/>
                <w:bCs/>
                <w:szCs w:val="21"/>
              </w:rPr>
              <w:t>。</w:t>
            </w:r>
          </w:p>
          <w:p w14:paraId="08E7FDFF">
            <w:pPr>
              <w:spacing w:line="360" w:lineRule="exact"/>
              <w:ind w:firstLine="422" w:firstLineChars="200"/>
              <w:jc w:val="left"/>
              <w:rPr>
                <w:rFonts w:hint="eastAsia" w:ascii="宋体" w:hAnsi="宋体"/>
                <w:szCs w:val="21"/>
              </w:rPr>
            </w:pPr>
            <w:r>
              <w:rPr>
                <w:rFonts w:hint="eastAsia" w:ascii="宋体" w:hAnsi="宋体"/>
                <w:b/>
                <w:szCs w:val="21"/>
              </w:rPr>
              <w:t>注：未提供方案的按0分计分。</w:t>
            </w:r>
          </w:p>
        </w:tc>
      </w:tr>
      <w:tr w14:paraId="4CBBC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1" w:type="pct"/>
            <w:vMerge w:val="continue"/>
            <w:noWrap w:val="0"/>
            <w:vAlign w:val="center"/>
          </w:tcPr>
          <w:p w14:paraId="2A913A4E">
            <w:pPr>
              <w:adjustRightInd w:val="0"/>
              <w:spacing w:line="360" w:lineRule="exact"/>
              <w:jc w:val="center"/>
              <w:textAlignment w:val="baseline"/>
              <w:rPr>
                <w:rFonts w:hint="eastAsia" w:ascii="宋体" w:hAnsi="宋体"/>
                <w:szCs w:val="21"/>
              </w:rPr>
            </w:pPr>
          </w:p>
        </w:tc>
        <w:tc>
          <w:tcPr>
            <w:tcW w:w="833" w:type="pct"/>
            <w:vMerge w:val="continue"/>
            <w:noWrap w:val="0"/>
            <w:vAlign w:val="center"/>
          </w:tcPr>
          <w:p w14:paraId="63859542">
            <w:pPr>
              <w:adjustRightInd w:val="0"/>
              <w:spacing w:line="360" w:lineRule="exact"/>
              <w:jc w:val="center"/>
              <w:textAlignment w:val="baseline"/>
              <w:rPr>
                <w:rFonts w:hint="eastAsia" w:ascii="宋体" w:hAnsi="宋体"/>
                <w:b/>
                <w:bCs/>
                <w:szCs w:val="21"/>
              </w:rPr>
            </w:pPr>
          </w:p>
        </w:tc>
        <w:tc>
          <w:tcPr>
            <w:tcW w:w="897" w:type="pct"/>
            <w:noWrap w:val="0"/>
            <w:vAlign w:val="center"/>
          </w:tcPr>
          <w:p w14:paraId="6CD51FB4">
            <w:pPr>
              <w:spacing w:line="240" w:lineRule="auto"/>
              <w:jc w:val="center"/>
              <w:rPr>
                <w:rFonts w:hint="eastAsia" w:ascii="宋体" w:hAnsi="宋体"/>
                <w:szCs w:val="21"/>
              </w:rPr>
            </w:pPr>
            <w:r>
              <w:rPr>
                <w:rFonts w:hint="eastAsia" w:ascii="宋体" w:hAnsi="宋体"/>
                <w:szCs w:val="21"/>
              </w:rPr>
              <w:t>应急预案</w:t>
            </w:r>
          </w:p>
          <w:p w14:paraId="2EC29168">
            <w:pPr>
              <w:adjustRightInd w:val="0"/>
              <w:spacing w:line="360" w:lineRule="exact"/>
              <w:jc w:val="center"/>
              <w:textAlignment w:val="baseline"/>
              <w:rPr>
                <w:rFonts w:hint="eastAsia" w:ascii="宋体" w:hAnsi="宋体"/>
                <w:bCs/>
              </w:rPr>
            </w:pPr>
            <w:r>
              <w:rPr>
                <w:rFonts w:hint="eastAsia" w:ascii="宋体" w:hAnsi="宋体"/>
                <w:szCs w:val="21"/>
              </w:rPr>
              <w:t>（满分6分）</w:t>
            </w:r>
          </w:p>
        </w:tc>
        <w:tc>
          <w:tcPr>
            <w:tcW w:w="2977" w:type="pct"/>
            <w:noWrap w:val="0"/>
            <w:vAlign w:val="center"/>
          </w:tcPr>
          <w:p w14:paraId="18A839D3">
            <w:pPr>
              <w:spacing w:line="410" w:lineRule="exact"/>
              <w:rPr>
                <w:rFonts w:hint="eastAsia" w:ascii="宋体" w:hAnsi="宋体"/>
                <w:szCs w:val="21"/>
              </w:rPr>
            </w:pPr>
            <w:r>
              <w:rPr>
                <w:rFonts w:hint="eastAsia" w:ascii="宋体" w:hAnsi="宋体"/>
                <w:szCs w:val="21"/>
              </w:rPr>
              <w:t>一档（2分）：对本项目的应急预案只有基本框架，具有拟投入的应急服务人员和应急措施。拟投入的应急服务人员</w:t>
            </w:r>
            <w:r>
              <w:rPr>
                <w:rFonts w:hint="eastAsia" w:ascii="宋体" w:hAnsi="宋体"/>
                <w:b/>
                <w:bCs/>
                <w:szCs w:val="21"/>
              </w:rPr>
              <w:t>至少3人</w:t>
            </w:r>
            <w:r>
              <w:rPr>
                <w:rFonts w:hint="eastAsia" w:ascii="宋体" w:hAnsi="宋体"/>
                <w:szCs w:val="21"/>
              </w:rPr>
              <w:t>。</w:t>
            </w:r>
          </w:p>
          <w:p w14:paraId="48CA5836">
            <w:pPr>
              <w:spacing w:line="410" w:lineRule="exact"/>
              <w:rPr>
                <w:rFonts w:hint="eastAsia" w:ascii="宋体" w:hAnsi="宋体"/>
                <w:szCs w:val="21"/>
              </w:rPr>
            </w:pPr>
            <w:r>
              <w:rPr>
                <w:rFonts w:hint="eastAsia" w:ascii="宋体" w:hAnsi="宋体"/>
                <w:szCs w:val="21"/>
              </w:rPr>
              <w:t>二档（4分）：对本项目的应急预案完整，具有设备供货、安装调试、验收等各阶段的应急预案，具有响应响应措施，拟投入的应急服务人员</w:t>
            </w:r>
            <w:r>
              <w:rPr>
                <w:rFonts w:hint="eastAsia" w:ascii="宋体" w:hAnsi="宋体"/>
                <w:b/>
                <w:bCs/>
                <w:szCs w:val="21"/>
              </w:rPr>
              <w:t>至少4人</w:t>
            </w:r>
            <w:r>
              <w:rPr>
                <w:rFonts w:hint="eastAsia" w:ascii="宋体" w:hAnsi="宋体"/>
                <w:szCs w:val="21"/>
              </w:rPr>
              <w:t>。</w:t>
            </w:r>
          </w:p>
          <w:p w14:paraId="286F025D">
            <w:pPr>
              <w:spacing w:line="410" w:lineRule="exact"/>
              <w:jc w:val="left"/>
              <w:rPr>
                <w:rFonts w:hint="eastAsia" w:ascii="宋体" w:hAnsi="宋体"/>
                <w:szCs w:val="21"/>
              </w:rPr>
            </w:pPr>
            <w:r>
              <w:rPr>
                <w:rFonts w:hint="eastAsia" w:ascii="宋体" w:hAnsi="宋体"/>
                <w:szCs w:val="21"/>
              </w:rPr>
              <w:t>三档（6分）：对本项目的应急预案完善，具有设备供货、安装调试、验收等各阶段的应急预案，针对应急突发事件具有处置方法及响应措施，具有明确的响应时间，拟投入的应急服务人员</w:t>
            </w:r>
            <w:r>
              <w:rPr>
                <w:rFonts w:hint="eastAsia" w:ascii="宋体" w:hAnsi="宋体"/>
                <w:b/>
                <w:bCs/>
                <w:szCs w:val="21"/>
              </w:rPr>
              <w:t>至少5人</w:t>
            </w:r>
            <w:r>
              <w:rPr>
                <w:rFonts w:hint="eastAsia" w:ascii="宋体" w:hAnsi="宋体"/>
                <w:szCs w:val="21"/>
              </w:rPr>
              <w:t>。</w:t>
            </w:r>
          </w:p>
          <w:p w14:paraId="37A0A802">
            <w:pPr>
              <w:spacing w:line="360" w:lineRule="exact"/>
              <w:ind w:firstLine="422" w:firstLineChars="200"/>
              <w:jc w:val="left"/>
              <w:rPr>
                <w:rFonts w:hint="eastAsia" w:ascii="宋体" w:hAnsi="宋体"/>
                <w:b/>
                <w:szCs w:val="21"/>
              </w:rPr>
            </w:pPr>
            <w:r>
              <w:rPr>
                <w:rFonts w:hint="eastAsia" w:ascii="宋体" w:hAnsi="宋体"/>
                <w:b/>
                <w:bCs/>
                <w:szCs w:val="21"/>
              </w:rPr>
              <w:t>投标文件中提供2025年11月至2026年5月内，投标人为应急服务人员缴纳至少三个月的社保证明材料或聘用合同复印件，并加盖投标人公章或电子公章。</w:t>
            </w:r>
          </w:p>
        </w:tc>
      </w:tr>
      <w:tr w14:paraId="1A67E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5" w:hRule="atLeast"/>
          <w:jc w:val="center"/>
        </w:trPr>
        <w:tc>
          <w:tcPr>
            <w:tcW w:w="291" w:type="pct"/>
            <w:vMerge w:val="continue"/>
            <w:noWrap w:val="0"/>
            <w:vAlign w:val="center"/>
          </w:tcPr>
          <w:p w14:paraId="7DF647F1">
            <w:pPr>
              <w:adjustRightInd w:val="0"/>
              <w:spacing w:line="360" w:lineRule="exact"/>
              <w:jc w:val="center"/>
              <w:textAlignment w:val="baseline"/>
              <w:rPr>
                <w:rFonts w:hint="eastAsia" w:ascii="宋体" w:hAnsi="宋体"/>
                <w:szCs w:val="21"/>
              </w:rPr>
            </w:pPr>
          </w:p>
        </w:tc>
        <w:tc>
          <w:tcPr>
            <w:tcW w:w="833" w:type="pct"/>
            <w:vMerge w:val="continue"/>
            <w:noWrap w:val="0"/>
            <w:vAlign w:val="center"/>
          </w:tcPr>
          <w:p w14:paraId="49B4966E">
            <w:pPr>
              <w:adjustRightInd w:val="0"/>
              <w:spacing w:line="240" w:lineRule="auto"/>
              <w:jc w:val="center"/>
              <w:textAlignment w:val="baseline"/>
              <w:rPr>
                <w:rFonts w:hint="eastAsia" w:ascii="宋体" w:hAnsi="宋体"/>
                <w:b/>
                <w:bCs/>
                <w:szCs w:val="21"/>
              </w:rPr>
            </w:pPr>
          </w:p>
        </w:tc>
        <w:tc>
          <w:tcPr>
            <w:tcW w:w="897" w:type="pct"/>
            <w:noWrap w:val="0"/>
            <w:vAlign w:val="center"/>
          </w:tcPr>
          <w:p w14:paraId="332D8B03">
            <w:pPr>
              <w:adjustRightInd w:val="0"/>
              <w:spacing w:line="240" w:lineRule="auto"/>
              <w:jc w:val="center"/>
              <w:textAlignment w:val="baseline"/>
              <w:rPr>
                <w:rFonts w:hint="eastAsia" w:ascii="宋体" w:hAnsi="宋体"/>
                <w:bCs/>
                <w:color w:val="FF0000"/>
              </w:rPr>
            </w:pPr>
            <w:r>
              <w:rPr>
                <w:rFonts w:hint="eastAsia" w:ascii="宋体" w:hAnsi="宋体"/>
                <w:bCs/>
              </w:rPr>
              <w:t>售后服务方案（满分12分）</w:t>
            </w:r>
          </w:p>
        </w:tc>
        <w:tc>
          <w:tcPr>
            <w:tcW w:w="2977" w:type="pct"/>
            <w:noWrap w:val="0"/>
            <w:vAlign w:val="center"/>
          </w:tcPr>
          <w:p w14:paraId="34917EF5">
            <w:pPr>
              <w:spacing w:line="360" w:lineRule="exact"/>
              <w:ind w:firstLine="422" w:firstLineChars="200"/>
              <w:jc w:val="left"/>
              <w:rPr>
                <w:rFonts w:hint="eastAsia" w:ascii="宋体" w:hAnsi="宋体"/>
                <w:b/>
                <w:bCs/>
              </w:rPr>
            </w:pPr>
            <w:r>
              <w:rPr>
                <w:rFonts w:hint="eastAsia" w:ascii="宋体" w:hAnsi="宋体"/>
                <w:b/>
                <w:bCs/>
              </w:rPr>
              <w:t>（1）售后服务方案（满分9分）</w:t>
            </w:r>
          </w:p>
          <w:p w14:paraId="344B767F">
            <w:pPr>
              <w:spacing w:line="360" w:lineRule="exact"/>
              <w:ind w:firstLine="420" w:firstLineChars="200"/>
              <w:jc w:val="left"/>
              <w:rPr>
                <w:rFonts w:hint="eastAsia" w:ascii="宋体" w:hAnsi="宋体"/>
                <w:bCs/>
              </w:rPr>
            </w:pPr>
            <w:r>
              <w:rPr>
                <w:rFonts w:hint="eastAsia" w:ascii="宋体" w:hAnsi="宋体"/>
                <w:bCs/>
              </w:rPr>
              <w:t>一档（3分）：有明确</w:t>
            </w:r>
            <w:r>
              <w:rPr>
                <w:rFonts w:ascii="宋体" w:hAnsi="宋体"/>
                <w:bCs/>
              </w:rPr>
              <w:t>的售后服务方案</w:t>
            </w:r>
            <w:r>
              <w:rPr>
                <w:rFonts w:hint="eastAsia" w:ascii="宋体" w:hAnsi="宋体"/>
                <w:bCs/>
              </w:rPr>
              <w:t>，提供专门的服务技术支持、服务保障方案，且</w:t>
            </w:r>
            <w:r>
              <w:rPr>
                <w:rFonts w:hint="eastAsia" w:ascii="宋体" w:hAnsi="宋体"/>
                <w:b/>
                <w:bCs/>
                <w:szCs w:val="21"/>
              </w:rPr>
              <w:t>投标人或投标产品生产厂家配备有充足且有经验的售后服务的技术人员不少于3名</w:t>
            </w:r>
            <w:r>
              <w:rPr>
                <w:rFonts w:hint="eastAsia" w:ascii="宋体" w:hAnsi="宋体"/>
                <w:b/>
                <w:bCs/>
              </w:rPr>
              <w:t>，</w:t>
            </w:r>
            <w:r>
              <w:rPr>
                <w:rFonts w:hint="eastAsia" w:ascii="宋体" w:hAnsi="宋体"/>
                <w:bCs/>
              </w:rPr>
              <w:t>全程负责对接项目至质保期满，保障采购人售后服务期的响应及现场服务的效率性。</w:t>
            </w:r>
          </w:p>
          <w:p w14:paraId="11291533">
            <w:pPr>
              <w:spacing w:line="360" w:lineRule="exact"/>
              <w:ind w:firstLine="420" w:firstLineChars="200"/>
              <w:jc w:val="left"/>
              <w:rPr>
                <w:rFonts w:hint="eastAsia" w:ascii="宋体" w:hAnsi="宋体"/>
                <w:bCs/>
              </w:rPr>
            </w:pPr>
            <w:r>
              <w:rPr>
                <w:rFonts w:hint="eastAsia" w:ascii="宋体" w:hAnsi="宋体"/>
                <w:bCs/>
              </w:rPr>
              <w:t>二档（6分）：满足一档要求的基础上，提供7×24小时售后服务热线，并有可靠的服务响应体系，优于招标文件售后服务要求的服务响应时间、服务响应方式；质保期后，有偿维护方式、服务范围等明确，且费用方案优惠。</w:t>
            </w:r>
          </w:p>
          <w:p w14:paraId="426F6D0A">
            <w:pPr>
              <w:spacing w:line="360" w:lineRule="exact"/>
              <w:ind w:firstLine="420" w:firstLineChars="200"/>
              <w:jc w:val="left"/>
              <w:rPr>
                <w:rFonts w:hint="eastAsia" w:ascii="宋体" w:hAnsi="宋体"/>
                <w:bCs/>
                <w:color w:val="FF0000"/>
              </w:rPr>
            </w:pPr>
            <w:r>
              <w:rPr>
                <w:rFonts w:hint="eastAsia" w:ascii="宋体" w:hAnsi="宋体"/>
                <w:bCs/>
              </w:rPr>
              <w:t>三档（9分）：满足二档要求的基础上，</w:t>
            </w:r>
            <w:r>
              <w:rPr>
                <w:rFonts w:hint="eastAsia" w:ascii="宋体" w:hAnsi="宋体"/>
                <w:szCs w:val="21"/>
              </w:rPr>
              <w:t>有完善的售后服务体系；</w:t>
            </w:r>
            <w:r>
              <w:rPr>
                <w:rFonts w:hint="eastAsia" w:ascii="宋体" w:hAnsi="宋体"/>
                <w:bCs/>
              </w:rPr>
              <w:t>提供服务响应满足市区内2小时到达现场（须有明确的服务保障方案及到场时间实现方式），有故障处理服务、升级服务、巡检服务、保障服务等具体方式方法和措施，</w:t>
            </w:r>
            <w:r>
              <w:rPr>
                <w:rFonts w:hint="eastAsia" w:ascii="宋体"/>
                <w:bCs/>
                <w:kern w:val="0"/>
                <w:szCs w:val="21"/>
              </w:rPr>
              <w:t>发生故障时提供备用机或有替代解决方案；具备标准化服务流程（含问题跟踪、升级机制、定期报告等）；</w:t>
            </w:r>
            <w:r>
              <w:rPr>
                <w:rFonts w:hint="eastAsia" w:ascii="宋体" w:hAnsi="宋体"/>
                <w:bCs/>
              </w:rPr>
              <w:t>售后服务保障方案能贯穿项目全生命周期并具备可延展性，并能充分满足人员培训需求和解答疑问，售后服务保障质量及响应效率。</w:t>
            </w:r>
            <w:r>
              <w:rPr>
                <w:rFonts w:hint="eastAsia" w:ascii="宋体" w:hAnsi="宋体"/>
                <w:szCs w:val="21"/>
              </w:rPr>
              <w:t>质保期满后，</w:t>
            </w:r>
            <w:r>
              <w:rPr>
                <w:rFonts w:hint="eastAsia" w:ascii="宋体" w:hAnsi="宋体"/>
                <w:bCs/>
              </w:rPr>
              <w:t>能够提供</w:t>
            </w:r>
            <w:r>
              <w:rPr>
                <w:rFonts w:hint="eastAsia" w:ascii="宋体" w:hAnsi="宋体"/>
                <w:szCs w:val="21"/>
              </w:rPr>
              <w:t>维修零配件优惠，平时到达现场处理故障时间为6小时以内,质保期内和质保期外提供技术支持服务、定期回访。</w:t>
            </w:r>
          </w:p>
          <w:p w14:paraId="1AEED055">
            <w:pPr>
              <w:spacing w:line="360" w:lineRule="exact"/>
              <w:ind w:firstLine="422" w:firstLineChars="200"/>
              <w:jc w:val="left"/>
              <w:rPr>
                <w:rFonts w:ascii="宋体" w:hAnsi="宋体"/>
                <w:b/>
              </w:rPr>
            </w:pPr>
            <w:r>
              <w:rPr>
                <w:rFonts w:hint="eastAsia" w:ascii="宋体" w:hAnsi="宋体"/>
                <w:b/>
                <w:bCs/>
              </w:rPr>
              <w:t>注：</w:t>
            </w:r>
          </w:p>
          <w:p w14:paraId="41BF57D9">
            <w:pPr>
              <w:widowControl/>
              <w:shd w:val="clear" w:color="auto" w:fill="FFFFFF"/>
              <w:spacing w:line="360" w:lineRule="exact"/>
              <w:ind w:firstLine="422" w:firstLineChars="200"/>
              <w:rPr>
                <w:rFonts w:hint="eastAsia" w:ascii="宋体" w:hAnsi="宋体" w:cs="Courier New"/>
                <w:b/>
                <w:bCs/>
              </w:rPr>
            </w:pPr>
            <w:r>
              <w:rPr>
                <w:rFonts w:hint="eastAsia" w:ascii="宋体" w:hAnsi="宋体" w:cs="Courier New"/>
                <w:b/>
                <w:bCs/>
              </w:rPr>
              <w:t>1.不符合最低入档条件的按0分计分。</w:t>
            </w:r>
          </w:p>
          <w:p w14:paraId="33E776E9">
            <w:pPr>
              <w:keepNext w:val="0"/>
              <w:keepLines w:val="0"/>
              <w:pageBreakBefore w:val="0"/>
              <w:kinsoku/>
              <w:wordWrap/>
              <w:overflowPunct/>
              <w:topLinePunct w:val="0"/>
              <w:autoSpaceDE/>
              <w:autoSpaceDN/>
              <w:bidi w:val="0"/>
              <w:adjustRightInd/>
              <w:spacing w:line="360" w:lineRule="exact"/>
              <w:ind w:firstLine="422" w:firstLineChars="200"/>
              <w:jc w:val="left"/>
              <w:textAlignment w:val="auto"/>
              <w:rPr>
                <w:rFonts w:hint="eastAsia" w:ascii="宋体" w:hAnsi="宋体"/>
                <w:b/>
                <w:bCs/>
              </w:rPr>
            </w:pPr>
            <w:r>
              <w:rPr>
                <w:rFonts w:hint="eastAsia" w:ascii="宋体" w:hAnsi="宋体" w:cs="Courier New"/>
                <w:b/>
                <w:bCs/>
              </w:rPr>
              <w:t>2.投标文件中需附上拟投入售后服务人员的具体名单，并对应提供2025年11月至2026年5月内，投标人或投标产品生产厂家为售后服务人员缴纳至少三个月的社保证明材料或聘用合同复印件，并加盖投标人公章或电子公章</w:t>
            </w:r>
          </w:p>
          <w:p w14:paraId="4D56A2CE">
            <w:pPr>
              <w:keepNext w:val="0"/>
              <w:keepLines w:val="0"/>
              <w:pageBreakBefore w:val="0"/>
              <w:kinsoku/>
              <w:wordWrap/>
              <w:overflowPunct/>
              <w:topLinePunct w:val="0"/>
              <w:autoSpaceDE/>
              <w:autoSpaceDN/>
              <w:bidi w:val="0"/>
              <w:adjustRightInd/>
              <w:spacing w:line="360" w:lineRule="exact"/>
              <w:ind w:firstLine="422" w:firstLineChars="200"/>
              <w:jc w:val="left"/>
              <w:textAlignment w:val="auto"/>
              <w:rPr>
                <w:rFonts w:hint="eastAsia" w:ascii="宋体" w:hAnsi="宋体"/>
                <w:b/>
                <w:bCs/>
              </w:rPr>
            </w:pPr>
            <w:r>
              <w:rPr>
                <w:rFonts w:hint="eastAsia" w:ascii="宋体" w:hAnsi="宋体"/>
                <w:b/>
                <w:bCs/>
              </w:rPr>
              <w:t>（2）质保期延长（满分3分）：</w:t>
            </w:r>
          </w:p>
          <w:p w14:paraId="65760B51">
            <w:pPr>
              <w:keepNext w:val="0"/>
              <w:keepLines w:val="0"/>
              <w:pageBreakBefore w:val="0"/>
              <w:widowControl/>
              <w:kinsoku/>
              <w:wordWrap/>
              <w:overflowPunct/>
              <w:topLinePunct w:val="0"/>
              <w:autoSpaceDE/>
              <w:autoSpaceDN/>
              <w:bidi w:val="0"/>
              <w:adjustRightInd/>
              <w:snapToGrid w:val="0"/>
              <w:spacing w:line="360" w:lineRule="exact"/>
              <w:ind w:firstLine="422" w:firstLineChars="200"/>
              <w:textAlignment w:val="auto"/>
              <w:rPr>
                <w:rFonts w:ascii="宋体" w:hAnsi="宋体"/>
                <w:bCs/>
              </w:rPr>
            </w:pPr>
            <w:r>
              <w:rPr>
                <w:rFonts w:hint="eastAsia" w:ascii="宋体" w:hAnsi="宋体" w:cs="Courier New"/>
                <w:b/>
                <w:bCs/>
                <w:szCs w:val="21"/>
              </w:rPr>
              <w:t>分标3：</w:t>
            </w:r>
            <w:r>
              <w:rPr>
                <w:rFonts w:hint="eastAsia" w:ascii="宋体" w:hAnsi="宋体"/>
                <w:bCs/>
              </w:rPr>
              <w:t>在完全满足招标文件要求的基础上，每延长半年（</w:t>
            </w:r>
            <w:r>
              <w:rPr>
                <w:rFonts w:hint="eastAsia" w:ascii="宋体" w:hAnsi="宋体"/>
                <w:bCs/>
                <w:szCs w:val="21"/>
              </w:rPr>
              <w:t>或增加10000公里</w:t>
            </w:r>
            <w:r>
              <w:rPr>
                <w:rFonts w:hint="eastAsia" w:ascii="宋体" w:hAnsi="宋体"/>
                <w:bCs/>
              </w:rPr>
              <w:t>）得0.5分，满分3分。</w:t>
            </w:r>
            <w:r>
              <w:rPr>
                <w:rFonts w:hint="eastAsia" w:ascii="宋体" w:hAnsi="宋体"/>
                <w:b/>
                <w:bCs/>
              </w:rPr>
              <w:t>（注：投标文件中须附承诺书，有条件的承诺不予计分）</w:t>
            </w:r>
            <w:r>
              <w:rPr>
                <w:rFonts w:hint="eastAsia" w:ascii="宋体" w:hAnsi="宋体"/>
                <w:bCs/>
              </w:rPr>
              <w:t>。</w:t>
            </w:r>
          </w:p>
          <w:p w14:paraId="68890DE9">
            <w:pPr>
              <w:keepNext w:val="0"/>
              <w:keepLines w:val="0"/>
              <w:pageBreakBefore w:val="0"/>
              <w:kinsoku/>
              <w:wordWrap/>
              <w:overflowPunct/>
              <w:topLinePunct w:val="0"/>
              <w:autoSpaceDE/>
              <w:autoSpaceDN/>
              <w:bidi w:val="0"/>
              <w:adjustRightInd/>
              <w:spacing w:line="360" w:lineRule="exact"/>
              <w:jc w:val="left"/>
              <w:textAlignment w:val="auto"/>
              <w:rPr>
                <w:rFonts w:hint="eastAsia" w:ascii="宋体" w:hAnsi="宋体"/>
                <w:b/>
                <w:bCs/>
                <w:szCs w:val="21"/>
              </w:rPr>
            </w:pPr>
            <w:r>
              <w:rPr>
                <w:rFonts w:hint="eastAsia" w:ascii="宋体" w:hAnsi="宋体" w:cs="Courier New"/>
                <w:b/>
                <w:bCs/>
                <w:szCs w:val="21"/>
              </w:rPr>
              <w:t>分标2、4：</w:t>
            </w:r>
            <w:r>
              <w:rPr>
                <w:rFonts w:hint="eastAsia" w:ascii="宋体" w:hAnsi="宋体"/>
                <w:bCs/>
              </w:rPr>
              <w:t>在完全</w:t>
            </w:r>
            <w:r>
              <w:rPr>
                <w:rFonts w:hint="eastAsia" w:ascii="宋体" w:hAnsi="宋体"/>
                <w:bCs/>
                <w:color w:val="auto"/>
              </w:rPr>
              <w:t>满足招标文件要求的基础上，</w:t>
            </w:r>
            <w:r>
              <w:rPr>
                <w:rFonts w:hint="eastAsia" w:ascii="宋体" w:hAnsi="宋体" w:cs="Courier New"/>
                <w:color w:val="auto"/>
                <w:szCs w:val="21"/>
              </w:rPr>
              <w:t>按标的项数计算，50%或以上投标产品（投标文件要注明具体产品名称）质保期</w:t>
            </w:r>
            <w:r>
              <w:rPr>
                <w:rFonts w:hint="eastAsia" w:ascii="宋体" w:hAnsi="宋体"/>
                <w:bCs/>
                <w:color w:val="auto"/>
              </w:rPr>
              <w:t>每延长半年得0</w:t>
            </w:r>
            <w:r>
              <w:rPr>
                <w:rFonts w:hint="eastAsia" w:ascii="宋体" w:hAnsi="宋体"/>
                <w:bCs/>
              </w:rPr>
              <w:t>.5分，满分3分。</w:t>
            </w:r>
            <w:r>
              <w:rPr>
                <w:rFonts w:hint="eastAsia" w:ascii="宋体" w:hAnsi="宋体"/>
                <w:b/>
                <w:bCs/>
              </w:rPr>
              <w:t>（注：投标文件中须附承诺书，有条件的承诺不予计分）</w:t>
            </w:r>
            <w:r>
              <w:rPr>
                <w:rFonts w:hint="eastAsia" w:ascii="宋体" w:hAnsi="宋体"/>
                <w:bCs/>
              </w:rPr>
              <w:t>。</w:t>
            </w:r>
          </w:p>
        </w:tc>
      </w:tr>
      <w:tr w14:paraId="7EA85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0" w:hRule="atLeast"/>
          <w:jc w:val="center"/>
        </w:trPr>
        <w:tc>
          <w:tcPr>
            <w:tcW w:w="291" w:type="pct"/>
            <w:noWrap w:val="0"/>
            <w:vAlign w:val="center"/>
          </w:tcPr>
          <w:p w14:paraId="498A1E3D">
            <w:pPr>
              <w:adjustRightInd w:val="0"/>
              <w:spacing w:line="360" w:lineRule="exact"/>
              <w:jc w:val="center"/>
              <w:textAlignment w:val="baseline"/>
              <w:rPr>
                <w:rFonts w:hint="eastAsia" w:ascii="宋体" w:hAnsi="宋体"/>
                <w:szCs w:val="21"/>
              </w:rPr>
            </w:pPr>
            <w:r>
              <w:rPr>
                <w:rFonts w:hint="eastAsia" w:ascii="宋体" w:hAnsi="宋体"/>
                <w:szCs w:val="21"/>
              </w:rPr>
              <w:t>3</w:t>
            </w:r>
          </w:p>
        </w:tc>
        <w:tc>
          <w:tcPr>
            <w:tcW w:w="833" w:type="pct"/>
            <w:noWrap w:val="0"/>
            <w:vAlign w:val="center"/>
          </w:tcPr>
          <w:p w14:paraId="361AE2BC">
            <w:pPr>
              <w:adjustRightInd w:val="0"/>
              <w:spacing w:line="360" w:lineRule="exact"/>
              <w:jc w:val="center"/>
              <w:textAlignment w:val="baseline"/>
              <w:rPr>
                <w:rFonts w:hint="eastAsia" w:ascii="宋体" w:hAnsi="宋体"/>
                <w:b/>
                <w:bCs/>
                <w:szCs w:val="21"/>
              </w:rPr>
            </w:pPr>
            <w:r>
              <w:rPr>
                <w:rFonts w:hint="eastAsia" w:ascii="宋体" w:hAnsi="宋体"/>
                <w:b/>
                <w:bCs/>
                <w:szCs w:val="21"/>
              </w:rPr>
              <w:t>商务分（满分11分）</w:t>
            </w:r>
          </w:p>
        </w:tc>
        <w:tc>
          <w:tcPr>
            <w:tcW w:w="897" w:type="pct"/>
            <w:noWrap w:val="0"/>
            <w:vAlign w:val="center"/>
          </w:tcPr>
          <w:p w14:paraId="7EF33488">
            <w:pPr>
              <w:adjustRightInd w:val="0"/>
              <w:spacing w:line="360" w:lineRule="exact"/>
              <w:jc w:val="center"/>
              <w:textAlignment w:val="baseline"/>
              <w:rPr>
                <w:rFonts w:hint="eastAsia" w:ascii="宋体" w:hAnsi="宋体"/>
                <w:bCs/>
                <w:color w:val="FF0000"/>
                <w:szCs w:val="21"/>
              </w:rPr>
            </w:pPr>
            <w:r>
              <w:rPr>
                <w:rFonts w:hint="eastAsia" w:ascii="宋体" w:hAnsi="宋体"/>
                <w:bCs/>
              </w:rPr>
              <w:t>信誉业绩（满分11分）</w:t>
            </w:r>
          </w:p>
        </w:tc>
        <w:tc>
          <w:tcPr>
            <w:tcW w:w="2977" w:type="pct"/>
            <w:noWrap w:val="0"/>
            <w:vAlign w:val="top"/>
          </w:tcPr>
          <w:p w14:paraId="08E1D009">
            <w:pPr>
              <w:spacing w:line="360" w:lineRule="exact"/>
              <w:ind w:firstLine="422" w:firstLineChars="200"/>
              <w:rPr>
                <w:rFonts w:ascii="宋体" w:hAnsi="宋体" w:cs="Courier New"/>
                <w:b/>
                <w:szCs w:val="21"/>
              </w:rPr>
            </w:pPr>
            <w:r>
              <w:rPr>
                <w:rFonts w:hint="eastAsia" w:ascii="宋体" w:hAnsi="宋体" w:cs="Courier New"/>
                <w:b/>
                <w:szCs w:val="21"/>
              </w:rPr>
              <w:t>（1）认证证书（满分3分）：</w:t>
            </w:r>
          </w:p>
          <w:p w14:paraId="37478A1D">
            <w:pPr>
              <w:wordWrap w:val="0"/>
              <w:spacing w:line="360" w:lineRule="exact"/>
              <w:ind w:firstLine="420" w:firstLineChars="200"/>
              <w:rPr>
                <w:rFonts w:ascii="宋体" w:hAnsi="宋体" w:cs="Courier New"/>
                <w:szCs w:val="21"/>
              </w:rPr>
            </w:pPr>
            <w:r>
              <w:rPr>
                <w:rFonts w:hint="eastAsia" w:ascii="宋体" w:hAnsi="宋体" w:cs="Courier New"/>
                <w:szCs w:val="21"/>
              </w:rPr>
              <w:t>核心产品生产厂家通过</w:t>
            </w:r>
            <w:r>
              <w:rPr>
                <w:rFonts w:hint="eastAsia" w:ascii="宋体" w:hAnsi="宋体"/>
                <w:szCs w:val="21"/>
              </w:rPr>
              <w:t>ISO9001</w:t>
            </w:r>
            <w:r>
              <w:rPr>
                <w:rFonts w:hint="eastAsia" w:ascii="宋体" w:hAnsi="宋体" w:cs="Courier New"/>
                <w:szCs w:val="21"/>
              </w:rPr>
              <w:t>质量管理体系认证、</w:t>
            </w:r>
            <w:r>
              <w:rPr>
                <w:rFonts w:hint="eastAsia" w:ascii="宋体" w:hAnsi="宋体"/>
                <w:szCs w:val="21"/>
              </w:rPr>
              <w:t>ISO14001</w:t>
            </w:r>
            <w:r>
              <w:rPr>
                <w:rFonts w:hint="eastAsia" w:ascii="宋体" w:hAnsi="宋体" w:cs="Courier New"/>
                <w:szCs w:val="21"/>
              </w:rPr>
              <w:t>环境管理体系认证、ISO45001职业健康安全管理体系认证的，每个认证证书得1分，满分3分。</w:t>
            </w:r>
          </w:p>
          <w:p w14:paraId="6FF57890">
            <w:pPr>
              <w:wordWrap w:val="0"/>
              <w:spacing w:line="360" w:lineRule="exact"/>
              <w:ind w:firstLine="422" w:firstLineChars="200"/>
              <w:rPr>
                <w:rFonts w:ascii="宋体" w:hAnsi="宋体" w:cs="Courier New"/>
                <w:szCs w:val="21"/>
              </w:rPr>
            </w:pPr>
            <w:r>
              <w:rPr>
                <w:rFonts w:hint="eastAsia" w:ascii="宋体" w:hAnsi="宋体" w:cs="Courier New"/>
                <w:b/>
                <w:bCs/>
                <w:szCs w:val="21"/>
              </w:rPr>
              <w:t>注：上述各分标，须于投标文件中提供有效期内的证书复印件，并同时提供在全国认证认可信息公共服务平台（http://cx.cnca.cn/CertECloud/index/index/page）对该证书的信息查询截图作为评审依据，已失效或撤销的不得分。</w:t>
            </w:r>
          </w:p>
          <w:p w14:paraId="2E3812E8">
            <w:pPr>
              <w:spacing w:line="360" w:lineRule="exact"/>
              <w:ind w:firstLine="422" w:firstLineChars="200"/>
              <w:rPr>
                <w:rFonts w:ascii="宋体" w:hAnsi="宋体" w:cs="Courier New"/>
                <w:b/>
                <w:szCs w:val="21"/>
              </w:rPr>
            </w:pPr>
            <w:r>
              <w:rPr>
                <w:rFonts w:hint="eastAsia" w:ascii="宋体" w:hAnsi="宋体" w:cs="Courier New"/>
                <w:b/>
                <w:szCs w:val="21"/>
              </w:rPr>
              <w:t xml:space="preserve"> （2）业绩（满分8分）：</w:t>
            </w:r>
          </w:p>
          <w:p w14:paraId="2557C6CC">
            <w:pPr>
              <w:spacing w:line="360" w:lineRule="exact"/>
              <w:ind w:firstLine="420" w:firstLineChars="200"/>
              <w:rPr>
                <w:rFonts w:hint="eastAsia" w:ascii="宋体" w:hAnsi="宋体" w:cs="宋体"/>
                <w:kern w:val="0"/>
                <w:szCs w:val="21"/>
              </w:rPr>
            </w:pPr>
            <w:r>
              <w:rPr>
                <w:rFonts w:hint="eastAsia" w:ascii="宋体" w:hAnsi="宋体" w:cs="宋体"/>
                <w:kern w:val="0"/>
                <w:szCs w:val="21"/>
              </w:rPr>
              <w:t>①投标文件中提供自2023年1月1日（以合同签订日期为准）以来，投标人完成的本项目所投分标的</w:t>
            </w:r>
            <w:r>
              <w:rPr>
                <w:rFonts w:hint="eastAsia" w:ascii="宋体" w:hAnsi="宋体" w:cs="宋体"/>
                <w:b/>
                <w:bCs/>
                <w:kern w:val="0"/>
                <w:szCs w:val="21"/>
              </w:rPr>
              <w:t>核心产品的同类销售业绩，</w:t>
            </w:r>
            <w:r>
              <w:rPr>
                <w:rFonts w:hint="eastAsia" w:ascii="宋体" w:hAnsi="宋体" w:cs="宋体"/>
                <w:kern w:val="0"/>
                <w:szCs w:val="21"/>
              </w:rPr>
              <w:t>每提供一个项目业绩的得1.5分，满分3分。</w:t>
            </w:r>
          </w:p>
          <w:p w14:paraId="5FDA4B9E">
            <w:pPr>
              <w:spacing w:line="360" w:lineRule="exact"/>
              <w:ind w:firstLine="420" w:firstLineChars="200"/>
              <w:rPr>
                <w:rFonts w:hint="eastAsia" w:ascii="宋体" w:hAnsi="宋体" w:cs="宋体"/>
                <w:kern w:val="0"/>
                <w:szCs w:val="21"/>
              </w:rPr>
            </w:pPr>
            <w:r>
              <w:rPr>
                <w:rFonts w:hint="eastAsia" w:ascii="宋体" w:hAnsi="宋体" w:cs="宋体"/>
                <w:kern w:val="0"/>
                <w:szCs w:val="21"/>
              </w:rPr>
              <w:t>②投标文件中提供自2023年1月1日（以合同签订日期为准）以来，投标人完成的本项目所投分标的任一产品</w:t>
            </w:r>
            <w:r>
              <w:rPr>
                <w:rFonts w:hint="eastAsia" w:ascii="宋体" w:hAnsi="宋体" w:cs="宋体"/>
                <w:b/>
                <w:bCs/>
                <w:kern w:val="0"/>
                <w:szCs w:val="21"/>
              </w:rPr>
              <w:t>（核心产品除外）的同类销售业绩</w:t>
            </w:r>
            <w:r>
              <w:rPr>
                <w:rFonts w:hint="eastAsia" w:ascii="宋体" w:hAnsi="宋体" w:cs="宋体"/>
                <w:kern w:val="0"/>
                <w:szCs w:val="21"/>
              </w:rPr>
              <w:t>，每提供一个项目业绩的得1分，满分5分。</w:t>
            </w:r>
          </w:p>
          <w:p w14:paraId="270745F5">
            <w:pPr>
              <w:spacing w:line="360" w:lineRule="exact"/>
              <w:ind w:firstLine="422" w:firstLineChars="200"/>
              <w:rPr>
                <w:rFonts w:hint="eastAsia" w:ascii="宋体" w:hAnsi="宋体"/>
                <w:bCs/>
                <w:szCs w:val="21"/>
              </w:rPr>
            </w:pPr>
            <w:r>
              <w:rPr>
                <w:rFonts w:hint="eastAsia" w:ascii="宋体" w:hAnsi="宋体" w:cs="Courier New"/>
                <w:b/>
                <w:kern w:val="0"/>
                <w:szCs w:val="21"/>
              </w:rPr>
              <w:t>[注：投标文件中需提供采购合同复印件以及有效的货物销售发票复印件（票据信息应与项目合同对应），未体现关键信息（如：至少包括采购单位、设备清单、合同签订时间、甲乙双方盖章页）的合同业绩不予计分；同一合同多项产品的只计一次分；若中标后发现材料虚假，采购人将报监管部门查处]</w:t>
            </w:r>
          </w:p>
        </w:tc>
      </w:tr>
      <w:tr w14:paraId="0F94F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jc w:val="center"/>
        </w:trPr>
        <w:tc>
          <w:tcPr>
            <w:tcW w:w="291" w:type="pct"/>
            <w:noWrap w:val="0"/>
            <w:vAlign w:val="center"/>
          </w:tcPr>
          <w:p w14:paraId="7A261314">
            <w:pPr>
              <w:adjustRightInd w:val="0"/>
              <w:snapToGrid w:val="0"/>
              <w:spacing w:line="360" w:lineRule="exact"/>
              <w:jc w:val="center"/>
              <w:textAlignment w:val="baseline"/>
              <w:rPr>
                <w:rFonts w:hint="eastAsia" w:ascii="宋体" w:hAnsi="宋体"/>
                <w:szCs w:val="21"/>
              </w:rPr>
            </w:pPr>
            <w:r>
              <w:rPr>
                <w:rFonts w:hint="eastAsia" w:ascii="宋体" w:hAnsi="宋体"/>
                <w:szCs w:val="21"/>
              </w:rPr>
              <w:t>4</w:t>
            </w:r>
          </w:p>
        </w:tc>
        <w:tc>
          <w:tcPr>
            <w:tcW w:w="833" w:type="pct"/>
            <w:noWrap w:val="0"/>
            <w:vAlign w:val="center"/>
          </w:tcPr>
          <w:p w14:paraId="49364FC1">
            <w:pPr>
              <w:adjustRightInd w:val="0"/>
              <w:snapToGrid w:val="0"/>
              <w:spacing w:line="360" w:lineRule="exact"/>
              <w:jc w:val="center"/>
              <w:textAlignment w:val="baseline"/>
              <w:rPr>
                <w:rFonts w:hint="eastAsia" w:ascii="宋体" w:hAnsi="宋体"/>
                <w:b/>
                <w:szCs w:val="21"/>
              </w:rPr>
            </w:pPr>
            <w:r>
              <w:rPr>
                <w:rFonts w:hint="eastAsia" w:ascii="宋体" w:hAnsi="宋体"/>
                <w:b/>
                <w:bCs/>
                <w:szCs w:val="21"/>
              </w:rPr>
              <w:t>政策分（</w:t>
            </w:r>
            <w:r>
              <w:rPr>
                <w:rFonts w:hint="eastAsia" w:ascii="宋体" w:hAnsi="宋体"/>
                <w:b/>
                <w:szCs w:val="21"/>
              </w:rPr>
              <w:t>满分2</w:t>
            </w:r>
            <w:r>
              <w:rPr>
                <w:rFonts w:hint="eastAsia" w:ascii="宋体" w:hAnsi="宋体"/>
                <w:b/>
                <w:bCs/>
                <w:szCs w:val="21"/>
              </w:rPr>
              <w:t>分）</w:t>
            </w:r>
          </w:p>
        </w:tc>
        <w:tc>
          <w:tcPr>
            <w:tcW w:w="897" w:type="pct"/>
            <w:noWrap w:val="0"/>
            <w:vAlign w:val="center"/>
          </w:tcPr>
          <w:p w14:paraId="5A3BE9D9">
            <w:pPr>
              <w:adjustRightInd w:val="0"/>
              <w:snapToGrid w:val="0"/>
              <w:spacing w:line="360" w:lineRule="exact"/>
              <w:jc w:val="center"/>
              <w:textAlignment w:val="baseline"/>
              <w:rPr>
                <w:rFonts w:hint="eastAsia" w:ascii="宋体" w:hAnsi="宋体"/>
                <w:color w:val="FF0000"/>
                <w:szCs w:val="21"/>
              </w:rPr>
            </w:pPr>
            <w:r>
              <w:rPr>
                <w:rFonts w:hint="eastAsia" w:ascii="宋体" w:hAnsi="宋体"/>
                <w:szCs w:val="21"/>
              </w:rPr>
              <w:t>节能、环保产品（满分2分）</w:t>
            </w:r>
          </w:p>
        </w:tc>
        <w:tc>
          <w:tcPr>
            <w:tcW w:w="2977" w:type="pct"/>
            <w:noWrap w:val="0"/>
            <w:vAlign w:val="center"/>
          </w:tcPr>
          <w:p w14:paraId="74813A2B">
            <w:pPr>
              <w:spacing w:line="360" w:lineRule="exact"/>
              <w:ind w:firstLine="420"/>
              <w:rPr>
                <w:rFonts w:hint="eastAsia" w:ascii="宋体" w:hAnsi="宋体" w:cs="Courier New"/>
                <w:bCs/>
                <w:kern w:val="0"/>
                <w:szCs w:val="21"/>
              </w:rPr>
            </w:pPr>
            <w:r>
              <w:rPr>
                <w:rFonts w:hint="eastAsia" w:ascii="宋体" w:hAnsi="宋体" w:cs="Courier New"/>
                <w:bCs/>
                <w:kern w:val="0"/>
                <w:szCs w:val="21"/>
              </w:rPr>
              <w:t>（1）属于财政部《节能产品政府采购品目清单》内优先采购（清单内未标注“★”的品目）的产品[投标文件中提供有效的认证证书复印件及品目清单（标注出投标产品在品目清单中所属的品目）]的，每有一项投标产品符合的</w:t>
            </w:r>
            <w:r>
              <w:rPr>
                <w:rFonts w:hint="eastAsia" w:ascii="宋体" w:hAnsi="宋体" w:cs="Courier New"/>
                <w:szCs w:val="21"/>
              </w:rPr>
              <w:t>得0.2分</w:t>
            </w:r>
            <w:r>
              <w:rPr>
                <w:rFonts w:hint="eastAsia" w:ascii="宋体" w:hAnsi="宋体" w:cs="Courier New"/>
                <w:bCs/>
                <w:kern w:val="0"/>
                <w:szCs w:val="21"/>
              </w:rPr>
              <w:t>，最多得1分。</w:t>
            </w:r>
          </w:p>
          <w:p w14:paraId="0664F4BF">
            <w:pPr>
              <w:adjustRightInd w:val="0"/>
              <w:snapToGrid w:val="0"/>
              <w:spacing w:line="360" w:lineRule="exact"/>
              <w:ind w:firstLine="435"/>
              <w:textAlignment w:val="baseline"/>
              <w:rPr>
                <w:rFonts w:hint="eastAsia" w:ascii="宋体" w:hAnsi="宋体"/>
                <w:b/>
                <w:szCs w:val="21"/>
              </w:rPr>
            </w:pPr>
            <w:r>
              <w:rPr>
                <w:rFonts w:hint="eastAsia" w:ascii="宋体" w:hAnsi="宋体" w:cs="Courier New"/>
                <w:bCs/>
                <w:kern w:val="0"/>
                <w:szCs w:val="21"/>
              </w:rPr>
              <w:t>（2）属于财政部《环境标志产品政府采购品目清单》内的产品[投标文件中提供有效的认证证书复印件及品目清单（标注出投标产品在品目清单中所属的品目）] 的，每有一项投标产品符合的</w:t>
            </w:r>
            <w:r>
              <w:rPr>
                <w:rFonts w:hint="eastAsia" w:ascii="宋体" w:hAnsi="宋体" w:cs="Courier New"/>
                <w:szCs w:val="21"/>
              </w:rPr>
              <w:t>得0.2分</w:t>
            </w:r>
            <w:r>
              <w:rPr>
                <w:rFonts w:hint="eastAsia" w:ascii="宋体" w:hAnsi="宋体" w:cs="Courier New"/>
                <w:bCs/>
                <w:kern w:val="0"/>
                <w:szCs w:val="21"/>
              </w:rPr>
              <w:t>，最多得1分。</w:t>
            </w:r>
          </w:p>
        </w:tc>
      </w:tr>
      <w:tr w14:paraId="4DFEE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9" w:hRule="atLeast"/>
          <w:jc w:val="center"/>
        </w:trPr>
        <w:tc>
          <w:tcPr>
            <w:tcW w:w="5000" w:type="pct"/>
            <w:gridSpan w:val="4"/>
            <w:noWrap w:val="0"/>
            <w:vAlign w:val="center"/>
          </w:tcPr>
          <w:p w14:paraId="20A7D4C0">
            <w:pPr>
              <w:snapToGrid w:val="0"/>
              <w:spacing w:line="360" w:lineRule="exact"/>
              <w:rPr>
                <w:rFonts w:ascii="宋体" w:hAnsi="宋体"/>
                <w:b/>
                <w:bCs/>
                <w:kern w:val="0"/>
                <w:szCs w:val="21"/>
              </w:rPr>
            </w:pPr>
            <w:r>
              <w:rPr>
                <w:rFonts w:hint="eastAsia" w:ascii="宋体" w:hAnsi="宋体"/>
                <w:b/>
                <w:bCs/>
                <w:kern w:val="0"/>
                <w:szCs w:val="21"/>
              </w:rPr>
              <w:t>总得分=1+2+3+4</w:t>
            </w:r>
          </w:p>
        </w:tc>
      </w:tr>
    </w:tbl>
    <w:p w14:paraId="29FE73C6">
      <w:pPr>
        <w:pStyle w:val="25"/>
        <w:spacing w:line="380" w:lineRule="exact"/>
        <w:ind w:firstLine="420"/>
        <w:rPr>
          <w:rFonts w:hint="eastAsia" w:hAnsi="宋体"/>
          <w:bCs/>
          <w:sz w:val="21"/>
        </w:rPr>
      </w:pPr>
    </w:p>
    <w:p w14:paraId="57851343">
      <w:pPr>
        <w:pStyle w:val="25"/>
        <w:spacing w:line="380" w:lineRule="exact"/>
        <w:ind w:firstLine="420"/>
        <w:rPr>
          <w:rFonts w:hAnsi="宋体"/>
          <w:bCs/>
          <w:sz w:val="21"/>
        </w:rPr>
      </w:pPr>
      <w:r>
        <w:rPr>
          <w:rFonts w:hint="eastAsia" w:hAnsi="宋体"/>
          <w:bCs/>
          <w:sz w:val="21"/>
        </w:rPr>
        <w:t>注：计分方法按四舍五入取至百分位。</w:t>
      </w:r>
    </w:p>
    <w:p w14:paraId="6EC24814">
      <w:pPr>
        <w:jc w:val="center"/>
        <w:rPr>
          <w:rFonts w:hint="eastAsia"/>
          <w:b/>
          <w:bCs/>
        </w:rPr>
      </w:pPr>
    </w:p>
    <w:p w14:paraId="2B09D16F">
      <w:pPr>
        <w:pStyle w:val="4"/>
        <w:keepNext w:val="0"/>
        <w:keepLines w:val="0"/>
        <w:jc w:val="center"/>
        <w:rPr>
          <w:sz w:val="30"/>
          <w:szCs w:val="30"/>
        </w:rPr>
      </w:pPr>
      <w:r>
        <w:rPr>
          <w:rFonts w:hint="eastAsia"/>
          <w:sz w:val="30"/>
          <w:szCs w:val="30"/>
        </w:rPr>
        <w:t>四、中标候选人推荐</w:t>
      </w:r>
    </w:p>
    <w:p w14:paraId="74EADDC8">
      <w:pPr>
        <w:pStyle w:val="25"/>
        <w:spacing w:line="360" w:lineRule="auto"/>
        <w:ind w:firstLine="482" w:firstLineChars="200"/>
        <w:contextualSpacing/>
        <w:rPr>
          <w:rFonts w:hint="eastAsia" w:hAnsi="宋体"/>
          <w:b/>
          <w:bCs/>
          <w:sz w:val="24"/>
          <w:szCs w:val="24"/>
        </w:rPr>
      </w:pPr>
      <w:r>
        <w:rPr>
          <w:rFonts w:hint="eastAsia" w:hAnsi="宋体"/>
          <w:b/>
          <w:bCs/>
          <w:sz w:val="24"/>
          <w:szCs w:val="24"/>
        </w:rPr>
        <w:t>综合评分法</w:t>
      </w:r>
    </w:p>
    <w:p w14:paraId="4B2F5491">
      <w:pPr>
        <w:pStyle w:val="25"/>
        <w:spacing w:line="360" w:lineRule="auto"/>
        <w:ind w:firstLine="420" w:firstLineChars="200"/>
        <w:contextualSpacing/>
        <w:rPr>
          <w:rFonts w:hAnsi="宋体"/>
          <w:sz w:val="21"/>
        </w:rPr>
      </w:pPr>
      <w:r>
        <w:rPr>
          <w:rFonts w:hint="eastAsia" w:hAnsi="宋体"/>
          <w:sz w:val="21"/>
        </w:rPr>
        <w:t>1</w:t>
      </w:r>
      <w:r>
        <w:rPr>
          <w:rFonts w:hAnsi="宋体"/>
          <w:sz w:val="21"/>
        </w:rPr>
        <w:t>.</w:t>
      </w:r>
      <w:r>
        <w:rPr>
          <w:rFonts w:hint="eastAsia" w:hAnsi="宋体"/>
          <w:sz w:val="21"/>
        </w:rPr>
        <w:t>评标委员会根据原始评标记录和评标结果编写评标报告，并通过电子交易平台向采购人、采购代理机构提交。</w:t>
      </w:r>
    </w:p>
    <w:p w14:paraId="6C4844AD">
      <w:pPr>
        <w:pStyle w:val="25"/>
        <w:spacing w:line="360" w:lineRule="auto"/>
        <w:ind w:firstLine="420" w:firstLineChars="200"/>
        <w:contextualSpacing/>
        <w:rPr>
          <w:rFonts w:hint="eastAsia" w:hAnsi="宋体"/>
          <w:sz w:val="21"/>
        </w:rPr>
      </w:pPr>
      <w:r>
        <w:rPr>
          <w:rFonts w:hint="eastAsia" w:hAnsi="宋体"/>
          <w:sz w:val="21"/>
        </w:rPr>
        <w:t>2</w:t>
      </w:r>
      <w:r>
        <w:rPr>
          <w:rFonts w:hAnsi="宋体"/>
          <w:sz w:val="21"/>
        </w:rPr>
        <w:t>.</w:t>
      </w:r>
      <w:r>
        <w:rPr>
          <w:rFonts w:hint="eastAsia" w:hAnsi="宋体"/>
          <w:sz w:val="21"/>
        </w:rPr>
        <w:t>评标委员会将根据总得分由高到低排列次序并推荐中标候选人。得分相同的，按投标报价由低到高顺序排列。得分相同且投标报价相同的并列，或由评标委员会根据本招标文件第三章“投标人须知前附表”</w:t>
      </w:r>
      <w:r>
        <w:rPr>
          <w:rFonts w:hAnsi="宋体"/>
          <w:sz w:val="21"/>
        </w:rPr>
        <w:t>8.1</w:t>
      </w:r>
      <w:r>
        <w:rPr>
          <w:rFonts w:hint="eastAsia" w:hAnsi="宋体"/>
          <w:sz w:val="21"/>
        </w:rPr>
        <w:t>款、3</w:t>
      </w:r>
      <w:r>
        <w:rPr>
          <w:rFonts w:hAnsi="宋体"/>
          <w:sz w:val="21"/>
        </w:rPr>
        <w:t>0.1</w:t>
      </w:r>
      <w:r>
        <w:rPr>
          <w:rFonts w:hint="eastAsia" w:hAnsi="宋体"/>
          <w:sz w:val="21"/>
        </w:rPr>
        <w:t>款优先顺序推荐候选人排名。投标文件满足招标文件全部实质性要求，且按照评审因素的量化指标评审得分最高的投标人为排名第一的中标候选人。</w:t>
      </w:r>
    </w:p>
    <w:p w14:paraId="77DDA599">
      <w:pPr>
        <w:pStyle w:val="4"/>
        <w:keepNext w:val="0"/>
        <w:keepLines w:val="0"/>
        <w:jc w:val="center"/>
        <w:rPr>
          <w:rFonts w:hint="eastAsia" w:hAnsi="宋体"/>
          <w:sz w:val="21"/>
        </w:rPr>
      </w:pPr>
      <w:r>
        <w:rPr>
          <w:rFonts w:hAnsi="宋体"/>
          <w:b w:val="0"/>
          <w:sz w:val="24"/>
        </w:rPr>
        <w:br w:type="page"/>
      </w:r>
    </w:p>
    <w:p w14:paraId="0B119005">
      <w:pPr>
        <w:spacing w:before="120" w:beforeLines="50" w:after="120" w:afterLines="50" w:line="400" w:lineRule="exact"/>
        <w:rPr>
          <w:rFonts w:hint="eastAsia" w:ascii="宋体" w:hAnsi="宋体"/>
          <w:b/>
          <w:sz w:val="24"/>
        </w:rPr>
      </w:pPr>
    </w:p>
    <w:p w14:paraId="3AA35726">
      <w:pPr>
        <w:spacing w:before="120" w:beforeLines="50" w:after="120" w:afterLines="50" w:line="400" w:lineRule="exact"/>
        <w:rPr>
          <w:rFonts w:hint="eastAsia" w:ascii="宋体" w:hAnsi="宋体"/>
          <w:b/>
          <w:sz w:val="24"/>
        </w:rPr>
      </w:pPr>
    </w:p>
    <w:p w14:paraId="07CD7C1E">
      <w:pPr>
        <w:spacing w:before="120" w:beforeLines="50" w:after="120" w:afterLines="50" w:line="400" w:lineRule="exact"/>
        <w:rPr>
          <w:rFonts w:hint="eastAsia" w:ascii="宋体" w:hAnsi="宋体"/>
          <w:b/>
          <w:sz w:val="24"/>
        </w:rPr>
      </w:pPr>
    </w:p>
    <w:p w14:paraId="7A37EA94">
      <w:pPr>
        <w:spacing w:before="120" w:beforeLines="50" w:after="120" w:afterLines="50" w:line="400" w:lineRule="exact"/>
        <w:rPr>
          <w:rFonts w:ascii="宋体" w:hAnsi="宋体"/>
          <w:b/>
          <w:sz w:val="24"/>
        </w:rPr>
      </w:pPr>
    </w:p>
    <w:p w14:paraId="5795C514">
      <w:pPr>
        <w:spacing w:before="120" w:beforeLines="50" w:after="120" w:afterLines="50" w:line="400" w:lineRule="exact"/>
        <w:rPr>
          <w:rFonts w:hint="eastAsia" w:ascii="宋体" w:hAnsi="宋体"/>
          <w:b/>
          <w:sz w:val="24"/>
        </w:rPr>
      </w:pPr>
    </w:p>
    <w:p w14:paraId="0C013189">
      <w:pPr>
        <w:pStyle w:val="2"/>
        <w:jc w:val="center"/>
        <w:rPr>
          <w:rFonts w:hint="eastAsia"/>
        </w:rPr>
      </w:pPr>
      <w:bookmarkStart w:id="177" w:name="_Toc25250"/>
      <w:r>
        <w:rPr>
          <w:rFonts w:hint="eastAsia"/>
        </w:rPr>
        <w:t>第五章  拟签订的合同文本</w:t>
      </w:r>
      <w:bookmarkEnd w:id="177"/>
    </w:p>
    <w:p w14:paraId="61C802CB">
      <w:pPr>
        <w:snapToGrid w:val="0"/>
        <w:jc w:val="center"/>
        <w:rPr>
          <w:rFonts w:hint="eastAsia" w:ascii="宋体" w:hAnsi="宋体"/>
          <w:bCs/>
          <w:sz w:val="32"/>
          <w:szCs w:val="32"/>
        </w:rPr>
      </w:pPr>
    </w:p>
    <w:p w14:paraId="79492D52">
      <w:pPr>
        <w:snapToGrid w:val="0"/>
        <w:jc w:val="center"/>
        <w:rPr>
          <w:rFonts w:hint="eastAsia" w:ascii="宋体" w:hAnsi="宋体"/>
          <w:bCs/>
          <w:sz w:val="32"/>
          <w:szCs w:val="32"/>
        </w:rPr>
      </w:pPr>
    </w:p>
    <w:p w14:paraId="4165B62B">
      <w:pPr>
        <w:snapToGrid w:val="0"/>
        <w:jc w:val="center"/>
        <w:rPr>
          <w:rFonts w:hint="eastAsia" w:ascii="宋体" w:hAnsi="宋体"/>
          <w:bCs/>
          <w:sz w:val="32"/>
          <w:szCs w:val="32"/>
        </w:rPr>
      </w:pPr>
    </w:p>
    <w:p w14:paraId="535873ED">
      <w:pPr>
        <w:snapToGrid w:val="0"/>
        <w:jc w:val="center"/>
        <w:rPr>
          <w:rFonts w:hint="eastAsia" w:ascii="宋体" w:hAnsi="宋体"/>
          <w:bCs/>
          <w:sz w:val="32"/>
          <w:szCs w:val="32"/>
        </w:rPr>
      </w:pPr>
    </w:p>
    <w:p w14:paraId="5E9C3342">
      <w:pPr>
        <w:snapToGrid w:val="0"/>
        <w:jc w:val="center"/>
        <w:rPr>
          <w:rFonts w:hint="eastAsia" w:ascii="宋体" w:hAnsi="宋体"/>
          <w:bCs/>
          <w:sz w:val="32"/>
          <w:szCs w:val="32"/>
        </w:rPr>
      </w:pPr>
    </w:p>
    <w:p w14:paraId="04A021F6">
      <w:pPr>
        <w:snapToGrid w:val="0"/>
        <w:jc w:val="center"/>
        <w:rPr>
          <w:rFonts w:hint="eastAsia" w:ascii="宋体" w:hAnsi="宋体"/>
          <w:bCs/>
          <w:sz w:val="32"/>
          <w:szCs w:val="32"/>
        </w:rPr>
      </w:pPr>
    </w:p>
    <w:p w14:paraId="3BCF3457">
      <w:pPr>
        <w:snapToGrid w:val="0"/>
        <w:jc w:val="center"/>
        <w:rPr>
          <w:rFonts w:hint="eastAsia" w:ascii="宋体" w:hAnsi="宋体"/>
          <w:bCs/>
          <w:sz w:val="32"/>
          <w:szCs w:val="32"/>
        </w:rPr>
      </w:pPr>
    </w:p>
    <w:p w14:paraId="4D671F3E">
      <w:pPr>
        <w:snapToGrid w:val="0"/>
        <w:jc w:val="center"/>
        <w:rPr>
          <w:rFonts w:hint="eastAsia" w:ascii="宋体" w:hAnsi="宋体"/>
          <w:bCs/>
          <w:sz w:val="32"/>
          <w:szCs w:val="32"/>
        </w:rPr>
      </w:pPr>
    </w:p>
    <w:p w14:paraId="647940BD">
      <w:pPr>
        <w:snapToGrid w:val="0"/>
        <w:jc w:val="center"/>
        <w:rPr>
          <w:rFonts w:hint="eastAsia" w:ascii="宋体" w:hAnsi="宋体"/>
          <w:bCs/>
          <w:sz w:val="32"/>
          <w:szCs w:val="32"/>
        </w:rPr>
      </w:pPr>
    </w:p>
    <w:p w14:paraId="0C2C6A3B">
      <w:pPr>
        <w:snapToGrid w:val="0"/>
        <w:jc w:val="center"/>
        <w:rPr>
          <w:rFonts w:hint="eastAsia" w:ascii="宋体" w:hAnsi="宋体"/>
          <w:bCs/>
          <w:sz w:val="32"/>
          <w:szCs w:val="32"/>
        </w:rPr>
      </w:pPr>
    </w:p>
    <w:p w14:paraId="3A6F5B87">
      <w:pPr>
        <w:snapToGrid w:val="0"/>
        <w:jc w:val="center"/>
        <w:rPr>
          <w:rFonts w:hint="eastAsia" w:ascii="宋体" w:hAnsi="宋体"/>
          <w:bCs/>
          <w:sz w:val="32"/>
          <w:szCs w:val="32"/>
        </w:rPr>
      </w:pPr>
    </w:p>
    <w:p w14:paraId="46C0ED8F">
      <w:pPr>
        <w:pStyle w:val="18"/>
        <w:jc w:val="center"/>
        <w:rPr>
          <w:rFonts w:ascii="宋体" w:hAnsi="宋体"/>
          <w:b/>
          <w:bCs/>
          <w:spacing w:val="-20"/>
          <w:kern w:val="44"/>
          <w:sz w:val="48"/>
          <w:szCs w:val="48"/>
        </w:rPr>
      </w:pPr>
      <w:r>
        <w:rPr>
          <w:rFonts w:ascii="宋体" w:hAnsi="宋体"/>
          <w:bCs/>
        </w:rPr>
        <w:br w:type="page"/>
      </w:r>
    </w:p>
    <w:p w14:paraId="791D8AB0">
      <w:pPr>
        <w:pStyle w:val="18"/>
        <w:jc w:val="center"/>
        <w:rPr>
          <w:rFonts w:hint="eastAsia" w:ascii="宋体" w:hAnsi="宋体"/>
          <w:b/>
          <w:bCs/>
          <w:spacing w:val="-20"/>
          <w:kern w:val="44"/>
          <w:sz w:val="48"/>
          <w:szCs w:val="48"/>
        </w:rPr>
      </w:pPr>
      <w:r>
        <w:rPr>
          <w:rFonts w:hint="eastAsia" w:ascii="宋体" w:hAnsi="宋体"/>
          <w:b/>
          <w:bCs/>
          <w:spacing w:val="-20"/>
          <w:kern w:val="44"/>
          <w:sz w:val="48"/>
          <w:szCs w:val="48"/>
        </w:rPr>
        <w:t xml:space="preserve"> </w:t>
      </w:r>
    </w:p>
    <w:p w14:paraId="731AD1B6">
      <w:pPr>
        <w:pStyle w:val="18"/>
        <w:spacing w:line="360" w:lineRule="auto"/>
        <w:jc w:val="center"/>
        <w:rPr>
          <w:rFonts w:hint="eastAsia" w:ascii="宋体" w:hAnsi="宋体"/>
          <w:b/>
          <w:bCs/>
          <w:spacing w:val="-20"/>
          <w:kern w:val="44"/>
          <w:sz w:val="48"/>
          <w:szCs w:val="48"/>
        </w:rPr>
      </w:pPr>
      <w:r>
        <w:rPr>
          <w:rFonts w:hint="eastAsia" w:ascii="宋体" w:hAnsi="宋体"/>
          <w:b/>
          <w:bCs/>
          <w:spacing w:val="-20"/>
          <w:kern w:val="44"/>
          <w:sz w:val="48"/>
          <w:szCs w:val="48"/>
        </w:rPr>
        <w:t xml:space="preserve"> 政府采购货物买卖合同</w:t>
      </w:r>
    </w:p>
    <w:p w14:paraId="0E35F36D">
      <w:pPr>
        <w:spacing w:line="360" w:lineRule="auto"/>
        <w:rPr>
          <w:rFonts w:ascii="宋体" w:hAnsi="宋体"/>
          <w:b/>
          <w:bCs/>
          <w:spacing w:val="-20"/>
          <w:kern w:val="44"/>
          <w:sz w:val="40"/>
          <w:szCs w:val="40"/>
        </w:rPr>
      </w:pPr>
    </w:p>
    <w:p w14:paraId="06A8FC90">
      <w:pPr>
        <w:rPr>
          <w:rFonts w:ascii="宋体" w:hAnsi="宋体"/>
          <w:b/>
          <w:bCs/>
          <w:spacing w:val="-20"/>
          <w:kern w:val="44"/>
          <w:sz w:val="40"/>
          <w:szCs w:val="40"/>
        </w:rPr>
      </w:pPr>
    </w:p>
    <w:p w14:paraId="48A72F0D">
      <w:pPr>
        <w:rPr>
          <w:rFonts w:hint="eastAsia" w:ascii="宋体" w:hAnsi="宋体"/>
          <w:b/>
          <w:bCs/>
          <w:spacing w:val="-20"/>
          <w:kern w:val="44"/>
          <w:sz w:val="40"/>
          <w:szCs w:val="40"/>
        </w:rPr>
      </w:pPr>
    </w:p>
    <w:p w14:paraId="56EA34ED">
      <w:pPr>
        <w:rPr>
          <w:rFonts w:hint="eastAsia" w:ascii="宋体" w:hAnsi="宋体"/>
          <w:b/>
          <w:bCs/>
          <w:spacing w:val="-20"/>
          <w:kern w:val="44"/>
          <w:sz w:val="40"/>
          <w:szCs w:val="40"/>
        </w:rPr>
      </w:pPr>
      <w:r>
        <w:rPr>
          <w:rFonts w:hint="eastAsia" w:ascii="宋体" w:hAnsi="宋体"/>
          <w:b/>
          <w:bCs/>
          <w:spacing w:val="-20"/>
          <w:kern w:val="44"/>
          <w:sz w:val="40"/>
          <w:szCs w:val="40"/>
        </w:rPr>
        <w:t xml:space="preserve"> </w:t>
      </w:r>
    </w:p>
    <w:p w14:paraId="1EC58688">
      <w:pPr>
        <w:rPr>
          <w:rFonts w:hint="eastAsia" w:ascii="宋体" w:hAnsi="宋体"/>
          <w:b/>
          <w:bCs/>
          <w:spacing w:val="-20"/>
          <w:kern w:val="44"/>
          <w:sz w:val="40"/>
          <w:szCs w:val="40"/>
        </w:rPr>
      </w:pPr>
      <w:r>
        <w:rPr>
          <w:rFonts w:hint="eastAsia" w:ascii="宋体" w:hAnsi="宋体"/>
          <w:b/>
          <w:bCs/>
          <w:spacing w:val="-20"/>
          <w:kern w:val="44"/>
          <w:sz w:val="40"/>
          <w:szCs w:val="40"/>
        </w:rPr>
        <w:t xml:space="preserve"> </w:t>
      </w:r>
    </w:p>
    <w:p w14:paraId="5FB87E8A">
      <w:pPr>
        <w:spacing w:line="360" w:lineRule="auto"/>
        <w:ind w:left="420" w:leftChars="200"/>
        <w:rPr>
          <w:rFonts w:hint="eastAsia"/>
          <w:sz w:val="32"/>
          <w:szCs w:val="32"/>
        </w:rPr>
      </w:pPr>
      <w:r>
        <w:rPr>
          <w:rFonts w:hint="eastAsia" w:ascii="宋体" w:hAnsi="宋体"/>
          <w:kern w:val="0"/>
          <w:sz w:val="32"/>
          <w:szCs w:val="32"/>
        </w:rPr>
        <w:t>项目名称：</w:t>
      </w:r>
      <w:r>
        <w:rPr>
          <w:rFonts w:hint="eastAsia"/>
          <w:sz w:val="32"/>
          <w:szCs w:val="32"/>
          <w:u w:val="single"/>
        </w:rPr>
        <w:t xml:space="preserve">                             </w:t>
      </w:r>
    </w:p>
    <w:p w14:paraId="756B1746">
      <w:pPr>
        <w:spacing w:line="360" w:lineRule="auto"/>
        <w:ind w:left="420" w:leftChars="200"/>
        <w:rPr>
          <w:sz w:val="32"/>
          <w:szCs w:val="32"/>
          <w:u w:val="single"/>
        </w:rPr>
      </w:pPr>
      <w:r>
        <w:rPr>
          <w:rFonts w:hint="eastAsia" w:ascii="宋体" w:hAnsi="宋体"/>
          <w:sz w:val="32"/>
          <w:szCs w:val="32"/>
        </w:rPr>
        <w:t>合同编号：</w:t>
      </w:r>
      <w:r>
        <w:rPr>
          <w:rFonts w:hint="eastAsia"/>
          <w:sz w:val="32"/>
          <w:szCs w:val="32"/>
          <w:u w:val="single"/>
        </w:rPr>
        <w:t xml:space="preserve">                             </w:t>
      </w:r>
    </w:p>
    <w:p w14:paraId="18BBFAF1">
      <w:pPr>
        <w:spacing w:line="360" w:lineRule="auto"/>
        <w:ind w:left="420" w:leftChars="200"/>
        <w:rPr>
          <w:sz w:val="32"/>
          <w:szCs w:val="32"/>
        </w:rPr>
      </w:pPr>
      <w:r>
        <w:rPr>
          <w:rFonts w:hint="eastAsia" w:ascii="宋体" w:hAnsi="宋体"/>
          <w:sz w:val="32"/>
          <w:szCs w:val="32"/>
        </w:rPr>
        <w:t>甲</w:t>
      </w:r>
      <w:r>
        <w:rPr>
          <w:rFonts w:hint="eastAsia"/>
          <w:sz w:val="32"/>
          <w:szCs w:val="32"/>
        </w:rPr>
        <w:t xml:space="preserve">    </w:t>
      </w:r>
      <w:r>
        <w:rPr>
          <w:rFonts w:hint="eastAsia" w:ascii="宋体" w:hAnsi="宋体"/>
          <w:sz w:val="32"/>
          <w:szCs w:val="32"/>
        </w:rPr>
        <w:t>方：</w:t>
      </w:r>
      <w:r>
        <w:rPr>
          <w:rFonts w:hint="eastAsia"/>
          <w:sz w:val="32"/>
          <w:szCs w:val="32"/>
          <w:u w:val="single"/>
        </w:rPr>
        <w:t xml:space="preserve">                             </w:t>
      </w:r>
    </w:p>
    <w:p w14:paraId="4FE3582E">
      <w:pPr>
        <w:spacing w:line="360" w:lineRule="auto"/>
        <w:ind w:left="420" w:leftChars="200"/>
        <w:rPr>
          <w:sz w:val="32"/>
          <w:szCs w:val="32"/>
          <w:u w:val="single"/>
        </w:rPr>
      </w:pPr>
      <w:r>
        <w:rPr>
          <w:rFonts w:hint="eastAsia" w:ascii="宋体" w:hAnsi="宋体"/>
          <w:sz w:val="32"/>
          <w:szCs w:val="32"/>
        </w:rPr>
        <w:t>乙</w:t>
      </w:r>
      <w:r>
        <w:rPr>
          <w:rFonts w:hint="eastAsia"/>
          <w:sz w:val="32"/>
          <w:szCs w:val="32"/>
        </w:rPr>
        <w:t xml:space="preserve">    </w:t>
      </w:r>
      <w:r>
        <w:rPr>
          <w:rFonts w:hint="eastAsia" w:ascii="宋体" w:hAnsi="宋体"/>
          <w:sz w:val="32"/>
          <w:szCs w:val="32"/>
        </w:rPr>
        <w:t>方：</w:t>
      </w:r>
      <w:r>
        <w:rPr>
          <w:rFonts w:hint="eastAsia"/>
          <w:sz w:val="32"/>
          <w:szCs w:val="32"/>
          <w:u w:val="single"/>
        </w:rPr>
        <w:t xml:space="preserve">                             </w:t>
      </w:r>
    </w:p>
    <w:p w14:paraId="62C4CFE4">
      <w:pPr>
        <w:spacing w:line="360" w:lineRule="auto"/>
        <w:ind w:left="420" w:leftChars="200"/>
        <w:rPr>
          <w:sz w:val="32"/>
          <w:szCs w:val="32"/>
        </w:rPr>
      </w:pPr>
      <w:r>
        <w:rPr>
          <w:rFonts w:hint="eastAsia" w:ascii="宋体" w:hAnsi="宋体"/>
          <w:sz w:val="32"/>
          <w:szCs w:val="32"/>
        </w:rPr>
        <w:t>签订时间：</w:t>
      </w:r>
      <w:r>
        <w:rPr>
          <w:rFonts w:hint="eastAsia"/>
          <w:sz w:val="32"/>
          <w:szCs w:val="32"/>
          <w:u w:val="single"/>
        </w:rPr>
        <w:t xml:space="preserve">      </w:t>
      </w:r>
      <w:r>
        <w:rPr>
          <w:sz w:val="32"/>
          <w:szCs w:val="32"/>
          <w:u w:val="single"/>
        </w:rPr>
        <w:t xml:space="preserve">           </w:t>
      </w:r>
      <w:r>
        <w:rPr>
          <w:rFonts w:hint="eastAsia"/>
          <w:sz w:val="32"/>
          <w:szCs w:val="32"/>
          <w:u w:val="single"/>
        </w:rPr>
        <w:t xml:space="preserve">            </w:t>
      </w:r>
    </w:p>
    <w:p w14:paraId="39B668CC">
      <w:pPr>
        <w:rPr>
          <w:szCs w:val="21"/>
        </w:rPr>
      </w:pPr>
      <w:r>
        <w:t xml:space="preserve"> </w:t>
      </w:r>
    </w:p>
    <w:p w14:paraId="6478ADCD">
      <w:pPr>
        <w:pStyle w:val="3"/>
        <w:jc w:val="center"/>
        <w:rPr>
          <w:rFonts w:ascii="宋体" w:hAnsi="宋体" w:cs="Arial"/>
        </w:rPr>
      </w:pPr>
      <w:r>
        <w:rPr>
          <w:sz w:val="44"/>
          <w:szCs w:val="44"/>
        </w:rPr>
        <w:br w:type="page"/>
      </w:r>
      <w:r>
        <w:rPr>
          <w:rFonts w:ascii="宋体" w:hAnsi="宋体" w:cs="Arial"/>
          <w:highlight w:val="none"/>
        </w:rPr>
        <w:t>货物采购合同</w:t>
      </w:r>
    </w:p>
    <w:p w14:paraId="35A019D4">
      <w:pPr>
        <w:spacing w:line="400" w:lineRule="exact"/>
        <w:rPr>
          <w:rFonts w:ascii="宋体" w:hAnsi="宋体"/>
          <w:bCs/>
          <w:szCs w:val="21"/>
        </w:rPr>
      </w:pPr>
    </w:p>
    <w:p w14:paraId="13E71D9E">
      <w:pPr>
        <w:snapToGrid w:val="0"/>
        <w:spacing w:line="360" w:lineRule="auto"/>
        <w:rPr>
          <w:rFonts w:hint="eastAsia" w:ascii="宋体" w:hAnsi="宋体"/>
          <w:szCs w:val="21"/>
          <w:u w:val="single"/>
        </w:rPr>
      </w:pPr>
      <w:r>
        <w:rPr>
          <w:rFonts w:hint="eastAsia" w:ascii="宋体" w:hAnsi="宋体"/>
          <w:szCs w:val="21"/>
        </w:rPr>
        <w:t>采购人（甲方）：</w:t>
      </w:r>
      <w:r>
        <w:rPr>
          <w:rFonts w:hint="eastAsia" w:ascii="宋体" w:hAnsi="宋体"/>
          <w:szCs w:val="21"/>
          <w:u w:val="single"/>
        </w:rPr>
        <w:t>广西壮族自治区公路发展中心</w:t>
      </w:r>
      <w:r>
        <w:rPr>
          <w:rFonts w:hint="eastAsia" w:ascii="宋体" w:hAnsi="宋体"/>
          <w:szCs w:val="21"/>
        </w:rPr>
        <w:t xml:space="preserve">  </w:t>
      </w:r>
    </w:p>
    <w:p w14:paraId="739248E8">
      <w:pPr>
        <w:snapToGrid w:val="0"/>
        <w:spacing w:line="360" w:lineRule="auto"/>
        <w:rPr>
          <w:rFonts w:hint="eastAsia" w:ascii="宋体" w:hAnsi="宋体"/>
          <w:szCs w:val="21"/>
          <w:u w:val="single"/>
        </w:rPr>
      </w:pPr>
      <w:r>
        <w:rPr>
          <w:rFonts w:hint="eastAsia" w:ascii="宋体" w:hAnsi="宋体"/>
          <w:szCs w:val="21"/>
        </w:rPr>
        <w:t>供应商（乙方）：</w:t>
      </w:r>
      <w:r>
        <w:rPr>
          <w:rFonts w:hint="eastAsia" w:ascii="宋体" w:hAnsi="宋体"/>
          <w:szCs w:val="21"/>
          <w:u w:val="single"/>
        </w:rPr>
        <w:t xml:space="preserve">                </w:t>
      </w:r>
    </w:p>
    <w:p w14:paraId="127A4F9E">
      <w:pPr>
        <w:snapToGrid w:val="0"/>
        <w:spacing w:line="360" w:lineRule="auto"/>
        <w:rPr>
          <w:rFonts w:hint="eastAsia" w:ascii="宋体" w:hAnsi="宋体"/>
          <w:szCs w:val="21"/>
        </w:rPr>
      </w:pPr>
      <w:r>
        <w:rPr>
          <w:rFonts w:hint="eastAsia" w:ascii="宋体" w:hAnsi="宋体"/>
          <w:spacing w:val="-20"/>
          <w:szCs w:val="21"/>
        </w:rPr>
        <w:t>采 购 计 划 号：</w:t>
      </w:r>
      <w:r>
        <w:rPr>
          <w:rFonts w:hint="eastAsia" w:ascii="宋体" w:hAnsi="宋体"/>
          <w:spacing w:val="-20"/>
          <w:szCs w:val="21"/>
          <w:u w:val="single"/>
        </w:rPr>
        <w:t xml:space="preserve">                                </w:t>
      </w:r>
    </w:p>
    <w:p w14:paraId="65124B41">
      <w:pPr>
        <w:snapToGrid w:val="0"/>
        <w:spacing w:line="360" w:lineRule="auto"/>
        <w:rPr>
          <w:rFonts w:hint="eastAsia" w:ascii="宋体" w:hAnsi="宋体"/>
          <w:szCs w:val="21"/>
          <w:u w:val="single"/>
        </w:rPr>
      </w:pPr>
      <w:r>
        <w:rPr>
          <w:rFonts w:hint="eastAsia" w:ascii="宋体" w:hAnsi="宋体"/>
          <w:szCs w:val="21"/>
        </w:rPr>
        <w:t>项目名称：</w:t>
      </w:r>
      <w:r>
        <w:rPr>
          <w:rFonts w:hint="eastAsia" w:ascii="宋体" w:hAnsi="宋体"/>
          <w:szCs w:val="21"/>
          <w:u w:val="single"/>
        </w:rPr>
        <w:t xml:space="preserve">                              </w:t>
      </w:r>
    </w:p>
    <w:p w14:paraId="106AAC8F">
      <w:pPr>
        <w:snapToGrid w:val="0"/>
        <w:spacing w:line="360" w:lineRule="auto"/>
        <w:rPr>
          <w:rFonts w:hint="eastAsia" w:ascii="宋体" w:hAnsi="宋体"/>
          <w:szCs w:val="21"/>
        </w:rPr>
      </w:pPr>
      <w:r>
        <w:rPr>
          <w:rFonts w:hint="eastAsia" w:ascii="宋体" w:hAnsi="宋体"/>
          <w:szCs w:val="21"/>
        </w:rPr>
        <w:t>合同类型：</w:t>
      </w:r>
      <w:r>
        <w:rPr>
          <w:rFonts w:hint="eastAsia" w:ascii="宋体" w:hAnsi="宋体"/>
          <w:szCs w:val="21"/>
          <w:u w:val="single"/>
        </w:rPr>
        <w:t>买卖合同</w:t>
      </w:r>
    </w:p>
    <w:p w14:paraId="1332A7A1">
      <w:pPr>
        <w:spacing w:line="360" w:lineRule="auto"/>
        <w:rPr>
          <w:rFonts w:hint="eastAsia" w:ascii="宋体" w:hAnsi="宋体"/>
          <w:szCs w:val="21"/>
        </w:rPr>
      </w:pPr>
      <w:r>
        <w:rPr>
          <w:rFonts w:hint="eastAsia" w:ascii="宋体" w:hAnsi="宋体"/>
          <w:szCs w:val="21"/>
        </w:rPr>
        <w:t>本合同为中小企业预留合同：</w:t>
      </w:r>
      <w:r>
        <w:rPr>
          <w:rFonts w:hint="eastAsia" w:ascii="宋体" w:hAnsi="宋体"/>
          <w:szCs w:val="21"/>
          <w:u w:val="single"/>
        </w:rPr>
        <w:t xml:space="preserve">    </w:t>
      </w:r>
      <w:r>
        <w:rPr>
          <w:rFonts w:hint="eastAsia" w:ascii="宋体" w:hAnsi="宋体"/>
          <w:szCs w:val="21"/>
        </w:rPr>
        <w:t>。</w:t>
      </w:r>
    </w:p>
    <w:p w14:paraId="0D4670AF">
      <w:pPr>
        <w:pStyle w:val="18"/>
        <w:rPr>
          <w:rFonts w:hint="eastAsia" w:ascii="金山简黑体" w:hAnsi="Courier New"/>
          <w:sz w:val="21"/>
          <w:szCs w:val="21"/>
        </w:rPr>
      </w:pPr>
      <w:r>
        <w:rPr>
          <w:sz w:val="21"/>
          <w:szCs w:val="21"/>
        </w:rPr>
        <w:t xml:space="preserve"> </w:t>
      </w:r>
    </w:p>
    <w:p w14:paraId="56A2FD28">
      <w:pPr>
        <w:snapToGrid w:val="0"/>
        <w:spacing w:line="400" w:lineRule="exact"/>
        <w:ind w:firstLine="420" w:firstLineChars="200"/>
        <w:rPr>
          <w:rFonts w:ascii="宋体" w:hAnsi="宋体"/>
          <w:szCs w:val="21"/>
        </w:rPr>
      </w:pPr>
      <w:r>
        <w:rPr>
          <w:rFonts w:hint="eastAsia" w:ascii="宋体" w:hAnsi="宋体"/>
          <w:szCs w:val="21"/>
        </w:rPr>
        <w:t>根据《中华人民共和国政府采购法》《政府采购货物和服务招标投标管理办法》《中华人民共和国民法典》等法律、法规规定，按照招标文件规定条款和乙方投标文件及其承诺，甲乙双方签订本合同。</w:t>
      </w:r>
    </w:p>
    <w:p w14:paraId="663ACC53">
      <w:pPr>
        <w:snapToGrid w:val="0"/>
        <w:spacing w:line="400" w:lineRule="exact"/>
        <w:ind w:firstLine="422" w:firstLineChars="200"/>
        <w:rPr>
          <w:rFonts w:ascii="宋体" w:hAnsi="宋体"/>
          <w:b/>
          <w:szCs w:val="21"/>
        </w:rPr>
      </w:pPr>
      <w:r>
        <w:rPr>
          <w:rFonts w:hint="eastAsia" w:ascii="宋体" w:hAnsi="宋体"/>
          <w:b/>
          <w:szCs w:val="21"/>
        </w:rPr>
        <w:t>第一条　合同标的</w:t>
      </w:r>
    </w:p>
    <w:p w14:paraId="2BF7EBE2">
      <w:pPr>
        <w:snapToGrid w:val="0"/>
        <w:spacing w:line="400" w:lineRule="exact"/>
        <w:ind w:firstLine="420" w:firstLineChars="200"/>
        <w:rPr>
          <w:rFonts w:ascii="宋体" w:hAnsi="宋体"/>
          <w:szCs w:val="21"/>
        </w:rPr>
      </w:pPr>
      <w:r>
        <w:rPr>
          <w:rFonts w:hint="eastAsia" w:ascii="宋体" w:hAnsi="宋体"/>
          <w:szCs w:val="21"/>
        </w:rPr>
        <w:t>1</w:t>
      </w:r>
      <w:r>
        <w:rPr>
          <w:rFonts w:ascii="宋体" w:hAnsi="宋体"/>
          <w:szCs w:val="21"/>
        </w:rPr>
        <w:t>.</w:t>
      </w:r>
      <w:r>
        <w:rPr>
          <w:rFonts w:hint="eastAsia" w:ascii="宋体" w:hAnsi="宋体"/>
          <w:szCs w:val="21"/>
        </w:rPr>
        <w:t>供货一览表</w:t>
      </w:r>
    </w:p>
    <w:tbl>
      <w:tblPr>
        <w:tblStyle w:val="5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6"/>
        <w:gridCol w:w="1101"/>
        <w:gridCol w:w="946"/>
        <w:gridCol w:w="1102"/>
        <w:gridCol w:w="1081"/>
        <w:gridCol w:w="812"/>
        <w:gridCol w:w="597"/>
        <w:gridCol w:w="846"/>
        <w:gridCol w:w="1407"/>
      </w:tblGrid>
      <w:tr w14:paraId="6D287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372" w:type="pct"/>
            <w:noWrap w:val="0"/>
            <w:vAlign w:val="center"/>
          </w:tcPr>
          <w:p w14:paraId="31249768">
            <w:pPr>
              <w:snapToGrid w:val="0"/>
              <w:spacing w:line="400" w:lineRule="exact"/>
              <w:jc w:val="center"/>
              <w:rPr>
                <w:rFonts w:ascii="宋体" w:hAnsi="宋体"/>
                <w:szCs w:val="21"/>
              </w:rPr>
            </w:pPr>
            <w:r>
              <w:rPr>
                <w:rFonts w:hint="eastAsia" w:ascii="宋体" w:hAnsi="宋体"/>
                <w:szCs w:val="21"/>
              </w:rPr>
              <w:t>序号</w:t>
            </w:r>
          </w:p>
        </w:tc>
        <w:tc>
          <w:tcPr>
            <w:tcW w:w="646" w:type="pct"/>
            <w:noWrap w:val="0"/>
            <w:vAlign w:val="center"/>
          </w:tcPr>
          <w:p w14:paraId="48F42B38">
            <w:pPr>
              <w:snapToGrid w:val="0"/>
              <w:spacing w:line="400" w:lineRule="exact"/>
              <w:jc w:val="center"/>
              <w:rPr>
                <w:rFonts w:ascii="宋体" w:hAnsi="宋体"/>
                <w:szCs w:val="21"/>
              </w:rPr>
            </w:pPr>
            <w:r>
              <w:rPr>
                <w:rFonts w:hint="eastAsia" w:ascii="宋体" w:hAnsi="宋体"/>
                <w:szCs w:val="21"/>
              </w:rPr>
              <w:t>标的名称</w:t>
            </w:r>
          </w:p>
        </w:tc>
        <w:tc>
          <w:tcPr>
            <w:tcW w:w="555" w:type="pct"/>
            <w:noWrap w:val="0"/>
            <w:vAlign w:val="center"/>
          </w:tcPr>
          <w:p w14:paraId="0C31EDB6">
            <w:pPr>
              <w:snapToGrid w:val="0"/>
              <w:spacing w:line="400" w:lineRule="exact"/>
              <w:jc w:val="center"/>
              <w:rPr>
                <w:rFonts w:hint="eastAsia" w:ascii="宋体" w:hAnsi="宋体"/>
                <w:szCs w:val="21"/>
              </w:rPr>
            </w:pPr>
            <w:r>
              <w:rPr>
                <w:rFonts w:hint="eastAsia" w:ascii="宋体" w:hAnsi="宋体"/>
                <w:szCs w:val="21"/>
              </w:rPr>
              <w:t>商标</w:t>
            </w:r>
          </w:p>
          <w:p w14:paraId="3274E1AF">
            <w:pPr>
              <w:snapToGrid w:val="0"/>
              <w:spacing w:line="400" w:lineRule="exact"/>
              <w:jc w:val="center"/>
              <w:rPr>
                <w:rFonts w:ascii="宋体" w:hAnsi="宋体"/>
                <w:szCs w:val="21"/>
              </w:rPr>
            </w:pPr>
            <w:r>
              <w:rPr>
                <w:rFonts w:hint="eastAsia" w:ascii="宋体" w:hAnsi="宋体"/>
                <w:szCs w:val="21"/>
              </w:rPr>
              <w:t>品牌</w:t>
            </w:r>
          </w:p>
        </w:tc>
        <w:tc>
          <w:tcPr>
            <w:tcW w:w="646" w:type="pct"/>
            <w:noWrap w:val="0"/>
            <w:vAlign w:val="center"/>
          </w:tcPr>
          <w:p w14:paraId="35E67018">
            <w:pPr>
              <w:snapToGrid w:val="0"/>
              <w:spacing w:line="400" w:lineRule="exact"/>
              <w:jc w:val="center"/>
              <w:rPr>
                <w:rFonts w:ascii="宋体" w:hAnsi="宋体"/>
                <w:szCs w:val="21"/>
              </w:rPr>
            </w:pPr>
            <w:r>
              <w:rPr>
                <w:rFonts w:hint="eastAsia" w:ascii="宋体" w:hAnsi="宋体"/>
                <w:szCs w:val="21"/>
              </w:rPr>
              <w:t>规格型号</w:t>
            </w:r>
          </w:p>
        </w:tc>
        <w:tc>
          <w:tcPr>
            <w:tcW w:w="634" w:type="pct"/>
            <w:noWrap w:val="0"/>
            <w:vAlign w:val="center"/>
          </w:tcPr>
          <w:p w14:paraId="79D8D40B">
            <w:pPr>
              <w:snapToGrid w:val="0"/>
              <w:spacing w:line="400" w:lineRule="exact"/>
              <w:jc w:val="center"/>
              <w:rPr>
                <w:rFonts w:ascii="宋体" w:hAnsi="宋体"/>
                <w:szCs w:val="21"/>
              </w:rPr>
            </w:pPr>
            <w:r>
              <w:rPr>
                <w:rFonts w:hint="eastAsia" w:ascii="宋体" w:hAnsi="宋体"/>
                <w:szCs w:val="21"/>
              </w:rPr>
              <w:t>生产厂家</w:t>
            </w:r>
          </w:p>
        </w:tc>
        <w:tc>
          <w:tcPr>
            <w:tcW w:w="476" w:type="pct"/>
            <w:noWrap w:val="0"/>
            <w:vAlign w:val="center"/>
          </w:tcPr>
          <w:p w14:paraId="528345C0">
            <w:pPr>
              <w:snapToGrid w:val="0"/>
              <w:spacing w:line="400" w:lineRule="exact"/>
              <w:jc w:val="center"/>
              <w:rPr>
                <w:rFonts w:ascii="宋体" w:hAnsi="宋体"/>
                <w:szCs w:val="21"/>
              </w:rPr>
            </w:pPr>
            <w:r>
              <w:rPr>
                <w:rFonts w:hint="eastAsia" w:ascii="宋体" w:hAnsi="宋体"/>
                <w:szCs w:val="21"/>
              </w:rPr>
              <w:t>数  量</w:t>
            </w:r>
          </w:p>
        </w:tc>
        <w:tc>
          <w:tcPr>
            <w:tcW w:w="350" w:type="pct"/>
            <w:noWrap w:val="0"/>
            <w:vAlign w:val="center"/>
          </w:tcPr>
          <w:p w14:paraId="10921D25">
            <w:pPr>
              <w:snapToGrid w:val="0"/>
              <w:spacing w:line="400" w:lineRule="exact"/>
              <w:jc w:val="center"/>
              <w:rPr>
                <w:rFonts w:ascii="宋体" w:hAnsi="宋体"/>
                <w:szCs w:val="21"/>
              </w:rPr>
            </w:pPr>
            <w:r>
              <w:rPr>
                <w:rFonts w:hint="eastAsia" w:ascii="宋体" w:hAnsi="宋体"/>
                <w:szCs w:val="21"/>
              </w:rPr>
              <w:t>单位</w:t>
            </w:r>
          </w:p>
        </w:tc>
        <w:tc>
          <w:tcPr>
            <w:tcW w:w="496" w:type="pct"/>
            <w:noWrap w:val="0"/>
            <w:vAlign w:val="center"/>
          </w:tcPr>
          <w:p w14:paraId="36D7F66D">
            <w:pPr>
              <w:snapToGrid w:val="0"/>
              <w:spacing w:line="400" w:lineRule="exact"/>
              <w:jc w:val="center"/>
              <w:rPr>
                <w:rFonts w:ascii="宋体" w:hAnsi="宋体"/>
                <w:szCs w:val="21"/>
              </w:rPr>
            </w:pPr>
            <w:r>
              <w:rPr>
                <w:rFonts w:hint="eastAsia" w:ascii="宋体" w:hAnsi="宋体"/>
                <w:szCs w:val="21"/>
              </w:rPr>
              <w:t>单  价</w:t>
            </w:r>
          </w:p>
          <w:p w14:paraId="72D1AF1D">
            <w:pPr>
              <w:snapToGrid w:val="0"/>
              <w:spacing w:line="400" w:lineRule="exact"/>
              <w:jc w:val="center"/>
              <w:rPr>
                <w:rFonts w:ascii="宋体" w:hAnsi="宋体"/>
                <w:szCs w:val="21"/>
              </w:rPr>
            </w:pPr>
            <w:r>
              <w:rPr>
                <w:rFonts w:hint="eastAsia" w:ascii="宋体" w:hAnsi="宋体"/>
                <w:szCs w:val="21"/>
              </w:rPr>
              <w:t>（元）</w:t>
            </w:r>
          </w:p>
        </w:tc>
        <w:tc>
          <w:tcPr>
            <w:tcW w:w="824" w:type="pct"/>
            <w:noWrap w:val="0"/>
            <w:vAlign w:val="center"/>
          </w:tcPr>
          <w:p w14:paraId="24A6175B">
            <w:pPr>
              <w:snapToGrid w:val="0"/>
              <w:spacing w:line="400" w:lineRule="exact"/>
              <w:jc w:val="center"/>
              <w:rPr>
                <w:rFonts w:ascii="宋体" w:hAnsi="宋体"/>
                <w:szCs w:val="21"/>
              </w:rPr>
            </w:pPr>
            <w:r>
              <w:rPr>
                <w:rFonts w:hint="eastAsia" w:ascii="宋体" w:hAnsi="宋体"/>
                <w:szCs w:val="21"/>
              </w:rPr>
              <w:t>金  额</w:t>
            </w:r>
          </w:p>
          <w:p w14:paraId="6397A201">
            <w:pPr>
              <w:snapToGrid w:val="0"/>
              <w:spacing w:line="400" w:lineRule="exact"/>
              <w:jc w:val="center"/>
              <w:rPr>
                <w:rFonts w:ascii="宋体" w:hAnsi="宋体"/>
                <w:szCs w:val="21"/>
              </w:rPr>
            </w:pPr>
            <w:r>
              <w:rPr>
                <w:rFonts w:hint="eastAsia" w:ascii="宋体" w:hAnsi="宋体"/>
                <w:szCs w:val="21"/>
              </w:rPr>
              <w:t>（元）</w:t>
            </w:r>
          </w:p>
        </w:tc>
      </w:tr>
      <w:tr w14:paraId="38563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372" w:type="pct"/>
            <w:noWrap w:val="0"/>
            <w:vAlign w:val="center"/>
          </w:tcPr>
          <w:p w14:paraId="341B604B">
            <w:pPr>
              <w:snapToGrid w:val="0"/>
              <w:spacing w:line="400" w:lineRule="exact"/>
              <w:jc w:val="center"/>
              <w:rPr>
                <w:rFonts w:ascii="宋体" w:hAnsi="宋体"/>
                <w:szCs w:val="21"/>
              </w:rPr>
            </w:pPr>
            <w:r>
              <w:rPr>
                <w:rFonts w:hint="eastAsia" w:ascii="宋体" w:hAnsi="宋体"/>
                <w:szCs w:val="21"/>
              </w:rPr>
              <w:t>1</w:t>
            </w:r>
          </w:p>
        </w:tc>
        <w:tc>
          <w:tcPr>
            <w:tcW w:w="646" w:type="pct"/>
            <w:noWrap w:val="0"/>
            <w:vAlign w:val="center"/>
          </w:tcPr>
          <w:p w14:paraId="4A060D1E">
            <w:pPr>
              <w:snapToGrid w:val="0"/>
              <w:spacing w:line="400" w:lineRule="exact"/>
              <w:jc w:val="center"/>
              <w:rPr>
                <w:rFonts w:ascii="宋体" w:hAnsi="宋体"/>
                <w:szCs w:val="21"/>
              </w:rPr>
            </w:pPr>
          </w:p>
        </w:tc>
        <w:tc>
          <w:tcPr>
            <w:tcW w:w="555" w:type="pct"/>
            <w:noWrap w:val="0"/>
            <w:vAlign w:val="center"/>
          </w:tcPr>
          <w:p w14:paraId="720766CE">
            <w:pPr>
              <w:spacing w:line="400" w:lineRule="exact"/>
              <w:jc w:val="center"/>
              <w:rPr>
                <w:rFonts w:ascii="宋体" w:hAnsi="宋体"/>
                <w:szCs w:val="21"/>
              </w:rPr>
            </w:pPr>
          </w:p>
        </w:tc>
        <w:tc>
          <w:tcPr>
            <w:tcW w:w="646" w:type="pct"/>
            <w:noWrap w:val="0"/>
            <w:vAlign w:val="center"/>
          </w:tcPr>
          <w:p w14:paraId="158923FE">
            <w:pPr>
              <w:spacing w:line="400" w:lineRule="exact"/>
              <w:jc w:val="center"/>
              <w:rPr>
                <w:rFonts w:ascii="宋体" w:hAnsi="宋体"/>
                <w:szCs w:val="21"/>
              </w:rPr>
            </w:pPr>
          </w:p>
        </w:tc>
        <w:tc>
          <w:tcPr>
            <w:tcW w:w="634" w:type="pct"/>
            <w:noWrap w:val="0"/>
            <w:vAlign w:val="top"/>
          </w:tcPr>
          <w:p w14:paraId="551BEA03">
            <w:pPr>
              <w:snapToGrid w:val="0"/>
              <w:spacing w:line="400" w:lineRule="exact"/>
              <w:jc w:val="center"/>
              <w:rPr>
                <w:rFonts w:ascii="宋体" w:hAnsi="宋体"/>
                <w:szCs w:val="21"/>
              </w:rPr>
            </w:pPr>
          </w:p>
        </w:tc>
        <w:tc>
          <w:tcPr>
            <w:tcW w:w="476" w:type="pct"/>
            <w:noWrap w:val="0"/>
            <w:vAlign w:val="center"/>
          </w:tcPr>
          <w:p w14:paraId="46D4B134">
            <w:pPr>
              <w:snapToGrid w:val="0"/>
              <w:spacing w:line="400" w:lineRule="exact"/>
              <w:jc w:val="center"/>
              <w:rPr>
                <w:rFonts w:ascii="宋体" w:hAnsi="宋体"/>
                <w:szCs w:val="21"/>
              </w:rPr>
            </w:pPr>
          </w:p>
        </w:tc>
        <w:tc>
          <w:tcPr>
            <w:tcW w:w="350" w:type="pct"/>
            <w:noWrap w:val="0"/>
            <w:vAlign w:val="center"/>
          </w:tcPr>
          <w:p w14:paraId="09B39D73">
            <w:pPr>
              <w:snapToGrid w:val="0"/>
              <w:spacing w:line="400" w:lineRule="exact"/>
              <w:jc w:val="center"/>
              <w:rPr>
                <w:rFonts w:ascii="宋体" w:hAnsi="宋体"/>
                <w:szCs w:val="21"/>
              </w:rPr>
            </w:pPr>
          </w:p>
        </w:tc>
        <w:tc>
          <w:tcPr>
            <w:tcW w:w="496" w:type="pct"/>
            <w:noWrap w:val="0"/>
            <w:vAlign w:val="center"/>
          </w:tcPr>
          <w:p w14:paraId="35575FD3">
            <w:pPr>
              <w:snapToGrid w:val="0"/>
              <w:spacing w:line="400" w:lineRule="exact"/>
              <w:jc w:val="center"/>
              <w:rPr>
                <w:rFonts w:ascii="宋体" w:hAnsi="宋体"/>
                <w:szCs w:val="21"/>
              </w:rPr>
            </w:pPr>
          </w:p>
        </w:tc>
        <w:tc>
          <w:tcPr>
            <w:tcW w:w="824" w:type="pct"/>
            <w:noWrap w:val="0"/>
            <w:vAlign w:val="center"/>
          </w:tcPr>
          <w:p w14:paraId="431C53B2">
            <w:pPr>
              <w:snapToGrid w:val="0"/>
              <w:spacing w:line="400" w:lineRule="exact"/>
              <w:jc w:val="center"/>
              <w:rPr>
                <w:rFonts w:ascii="宋体" w:hAnsi="宋体"/>
                <w:szCs w:val="21"/>
              </w:rPr>
            </w:pPr>
          </w:p>
        </w:tc>
      </w:tr>
      <w:tr w14:paraId="24CCB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372" w:type="pct"/>
            <w:noWrap w:val="0"/>
            <w:vAlign w:val="center"/>
          </w:tcPr>
          <w:p w14:paraId="42C08D12">
            <w:pPr>
              <w:snapToGrid w:val="0"/>
              <w:spacing w:line="400" w:lineRule="exact"/>
              <w:jc w:val="center"/>
              <w:rPr>
                <w:rFonts w:ascii="宋体" w:hAnsi="宋体"/>
                <w:szCs w:val="21"/>
              </w:rPr>
            </w:pPr>
            <w:r>
              <w:rPr>
                <w:rFonts w:hint="eastAsia" w:ascii="宋体" w:hAnsi="宋体"/>
                <w:szCs w:val="21"/>
              </w:rPr>
              <w:t>2</w:t>
            </w:r>
          </w:p>
        </w:tc>
        <w:tc>
          <w:tcPr>
            <w:tcW w:w="646" w:type="pct"/>
            <w:noWrap w:val="0"/>
            <w:vAlign w:val="center"/>
          </w:tcPr>
          <w:p w14:paraId="5AD5DD1C">
            <w:pPr>
              <w:snapToGrid w:val="0"/>
              <w:spacing w:line="400" w:lineRule="exact"/>
              <w:jc w:val="center"/>
              <w:rPr>
                <w:rFonts w:ascii="宋体" w:hAnsi="宋体"/>
                <w:szCs w:val="21"/>
              </w:rPr>
            </w:pPr>
          </w:p>
        </w:tc>
        <w:tc>
          <w:tcPr>
            <w:tcW w:w="555" w:type="pct"/>
            <w:noWrap w:val="0"/>
            <w:vAlign w:val="center"/>
          </w:tcPr>
          <w:p w14:paraId="62D804BA">
            <w:pPr>
              <w:spacing w:line="400" w:lineRule="exact"/>
              <w:jc w:val="center"/>
              <w:rPr>
                <w:rFonts w:ascii="宋体" w:hAnsi="宋体"/>
                <w:szCs w:val="21"/>
              </w:rPr>
            </w:pPr>
          </w:p>
        </w:tc>
        <w:tc>
          <w:tcPr>
            <w:tcW w:w="646" w:type="pct"/>
            <w:noWrap w:val="0"/>
            <w:vAlign w:val="center"/>
          </w:tcPr>
          <w:p w14:paraId="75D59950">
            <w:pPr>
              <w:spacing w:line="400" w:lineRule="exact"/>
              <w:jc w:val="center"/>
              <w:rPr>
                <w:rFonts w:ascii="宋体" w:hAnsi="宋体"/>
                <w:szCs w:val="21"/>
              </w:rPr>
            </w:pPr>
          </w:p>
        </w:tc>
        <w:tc>
          <w:tcPr>
            <w:tcW w:w="634" w:type="pct"/>
            <w:noWrap w:val="0"/>
            <w:vAlign w:val="top"/>
          </w:tcPr>
          <w:p w14:paraId="2F8CD555">
            <w:pPr>
              <w:snapToGrid w:val="0"/>
              <w:spacing w:line="400" w:lineRule="exact"/>
              <w:jc w:val="center"/>
              <w:rPr>
                <w:rFonts w:ascii="宋体" w:hAnsi="宋体"/>
                <w:szCs w:val="21"/>
              </w:rPr>
            </w:pPr>
          </w:p>
        </w:tc>
        <w:tc>
          <w:tcPr>
            <w:tcW w:w="476" w:type="pct"/>
            <w:noWrap w:val="0"/>
            <w:vAlign w:val="center"/>
          </w:tcPr>
          <w:p w14:paraId="0E92EF19">
            <w:pPr>
              <w:snapToGrid w:val="0"/>
              <w:spacing w:line="400" w:lineRule="exact"/>
              <w:jc w:val="center"/>
              <w:rPr>
                <w:rFonts w:ascii="宋体" w:hAnsi="宋体"/>
                <w:szCs w:val="21"/>
              </w:rPr>
            </w:pPr>
          </w:p>
        </w:tc>
        <w:tc>
          <w:tcPr>
            <w:tcW w:w="350" w:type="pct"/>
            <w:noWrap w:val="0"/>
            <w:vAlign w:val="center"/>
          </w:tcPr>
          <w:p w14:paraId="09A66DD6">
            <w:pPr>
              <w:snapToGrid w:val="0"/>
              <w:spacing w:line="400" w:lineRule="exact"/>
              <w:jc w:val="center"/>
              <w:rPr>
                <w:rFonts w:ascii="宋体" w:hAnsi="宋体"/>
                <w:szCs w:val="21"/>
              </w:rPr>
            </w:pPr>
          </w:p>
        </w:tc>
        <w:tc>
          <w:tcPr>
            <w:tcW w:w="496" w:type="pct"/>
            <w:noWrap w:val="0"/>
            <w:vAlign w:val="center"/>
          </w:tcPr>
          <w:p w14:paraId="18220FC7">
            <w:pPr>
              <w:snapToGrid w:val="0"/>
              <w:spacing w:line="400" w:lineRule="exact"/>
              <w:jc w:val="center"/>
              <w:rPr>
                <w:rFonts w:ascii="宋体" w:hAnsi="宋体"/>
                <w:szCs w:val="21"/>
              </w:rPr>
            </w:pPr>
          </w:p>
        </w:tc>
        <w:tc>
          <w:tcPr>
            <w:tcW w:w="824" w:type="pct"/>
            <w:noWrap w:val="0"/>
            <w:vAlign w:val="center"/>
          </w:tcPr>
          <w:p w14:paraId="08B8B960">
            <w:pPr>
              <w:snapToGrid w:val="0"/>
              <w:spacing w:line="400" w:lineRule="exact"/>
              <w:jc w:val="center"/>
              <w:rPr>
                <w:rFonts w:ascii="宋体" w:hAnsi="宋体"/>
                <w:szCs w:val="21"/>
              </w:rPr>
            </w:pPr>
          </w:p>
        </w:tc>
      </w:tr>
      <w:tr w14:paraId="03EAD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372" w:type="pct"/>
            <w:noWrap w:val="0"/>
            <w:vAlign w:val="center"/>
          </w:tcPr>
          <w:p w14:paraId="68F92F72">
            <w:pPr>
              <w:snapToGrid w:val="0"/>
              <w:spacing w:line="400" w:lineRule="exact"/>
              <w:jc w:val="center"/>
              <w:rPr>
                <w:rFonts w:hint="eastAsia" w:ascii="宋体" w:hAnsi="宋体"/>
                <w:szCs w:val="21"/>
              </w:rPr>
            </w:pPr>
            <w:r>
              <w:rPr>
                <w:rFonts w:ascii="宋体" w:hAnsi="宋体"/>
                <w:szCs w:val="21"/>
              </w:rPr>
              <w:t>……</w:t>
            </w:r>
          </w:p>
        </w:tc>
        <w:tc>
          <w:tcPr>
            <w:tcW w:w="646" w:type="pct"/>
            <w:noWrap w:val="0"/>
            <w:vAlign w:val="center"/>
          </w:tcPr>
          <w:p w14:paraId="3EF25E64">
            <w:pPr>
              <w:snapToGrid w:val="0"/>
              <w:spacing w:line="400" w:lineRule="exact"/>
              <w:jc w:val="center"/>
              <w:rPr>
                <w:rFonts w:ascii="宋体" w:hAnsi="宋体"/>
                <w:szCs w:val="21"/>
              </w:rPr>
            </w:pPr>
          </w:p>
        </w:tc>
        <w:tc>
          <w:tcPr>
            <w:tcW w:w="555" w:type="pct"/>
            <w:noWrap w:val="0"/>
            <w:vAlign w:val="center"/>
          </w:tcPr>
          <w:p w14:paraId="4D2C4DF6">
            <w:pPr>
              <w:spacing w:line="400" w:lineRule="exact"/>
              <w:jc w:val="center"/>
              <w:rPr>
                <w:rFonts w:ascii="宋体" w:hAnsi="宋体"/>
                <w:szCs w:val="21"/>
              </w:rPr>
            </w:pPr>
          </w:p>
        </w:tc>
        <w:tc>
          <w:tcPr>
            <w:tcW w:w="646" w:type="pct"/>
            <w:noWrap w:val="0"/>
            <w:vAlign w:val="center"/>
          </w:tcPr>
          <w:p w14:paraId="2313A21D">
            <w:pPr>
              <w:spacing w:line="400" w:lineRule="exact"/>
              <w:jc w:val="center"/>
              <w:rPr>
                <w:rFonts w:ascii="宋体" w:hAnsi="宋体"/>
                <w:szCs w:val="21"/>
              </w:rPr>
            </w:pPr>
          </w:p>
        </w:tc>
        <w:tc>
          <w:tcPr>
            <w:tcW w:w="634" w:type="pct"/>
            <w:noWrap w:val="0"/>
            <w:vAlign w:val="top"/>
          </w:tcPr>
          <w:p w14:paraId="1FD0E67C">
            <w:pPr>
              <w:snapToGrid w:val="0"/>
              <w:spacing w:line="400" w:lineRule="exact"/>
              <w:jc w:val="center"/>
              <w:rPr>
                <w:rFonts w:ascii="宋体" w:hAnsi="宋体"/>
                <w:szCs w:val="21"/>
              </w:rPr>
            </w:pPr>
          </w:p>
        </w:tc>
        <w:tc>
          <w:tcPr>
            <w:tcW w:w="476" w:type="pct"/>
            <w:noWrap w:val="0"/>
            <w:vAlign w:val="center"/>
          </w:tcPr>
          <w:p w14:paraId="5249727D">
            <w:pPr>
              <w:snapToGrid w:val="0"/>
              <w:spacing w:line="400" w:lineRule="exact"/>
              <w:jc w:val="center"/>
              <w:rPr>
                <w:rFonts w:ascii="宋体" w:hAnsi="宋体"/>
                <w:szCs w:val="21"/>
              </w:rPr>
            </w:pPr>
          </w:p>
        </w:tc>
        <w:tc>
          <w:tcPr>
            <w:tcW w:w="350" w:type="pct"/>
            <w:noWrap w:val="0"/>
            <w:vAlign w:val="center"/>
          </w:tcPr>
          <w:p w14:paraId="7CE04E74">
            <w:pPr>
              <w:snapToGrid w:val="0"/>
              <w:spacing w:line="400" w:lineRule="exact"/>
              <w:jc w:val="center"/>
              <w:rPr>
                <w:rFonts w:ascii="宋体" w:hAnsi="宋体"/>
                <w:szCs w:val="21"/>
              </w:rPr>
            </w:pPr>
          </w:p>
        </w:tc>
        <w:tc>
          <w:tcPr>
            <w:tcW w:w="496" w:type="pct"/>
            <w:noWrap w:val="0"/>
            <w:vAlign w:val="center"/>
          </w:tcPr>
          <w:p w14:paraId="1B885CD8">
            <w:pPr>
              <w:snapToGrid w:val="0"/>
              <w:spacing w:line="400" w:lineRule="exact"/>
              <w:jc w:val="center"/>
              <w:rPr>
                <w:rFonts w:ascii="宋体" w:hAnsi="宋体"/>
                <w:szCs w:val="21"/>
              </w:rPr>
            </w:pPr>
          </w:p>
        </w:tc>
        <w:tc>
          <w:tcPr>
            <w:tcW w:w="824" w:type="pct"/>
            <w:noWrap w:val="0"/>
            <w:vAlign w:val="center"/>
          </w:tcPr>
          <w:p w14:paraId="16C48A20">
            <w:pPr>
              <w:snapToGrid w:val="0"/>
              <w:spacing w:line="400" w:lineRule="exact"/>
              <w:jc w:val="center"/>
              <w:rPr>
                <w:rFonts w:ascii="宋体" w:hAnsi="宋体"/>
                <w:szCs w:val="21"/>
              </w:rPr>
            </w:pPr>
          </w:p>
        </w:tc>
      </w:tr>
      <w:tr w14:paraId="5B8F6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5000" w:type="pct"/>
            <w:gridSpan w:val="9"/>
            <w:noWrap w:val="0"/>
            <w:vAlign w:val="center"/>
          </w:tcPr>
          <w:p w14:paraId="01A8A9B0">
            <w:pPr>
              <w:snapToGrid w:val="0"/>
              <w:spacing w:line="400" w:lineRule="exact"/>
              <w:rPr>
                <w:rFonts w:ascii="宋体" w:hAnsi="宋体"/>
                <w:szCs w:val="21"/>
              </w:rPr>
            </w:pPr>
            <w:r>
              <w:rPr>
                <w:rFonts w:hint="eastAsia" w:ascii="宋体" w:hAnsi="宋体"/>
                <w:szCs w:val="21"/>
              </w:rPr>
              <w:t>人民币合计金额：</w:t>
            </w:r>
            <w:r>
              <w:rPr>
                <w:rFonts w:hint="eastAsia" w:ascii="宋体" w:hAnsi="宋体"/>
                <w:szCs w:val="21"/>
                <w:u w:val="single"/>
              </w:rPr>
              <w:t xml:space="preserve">               </w:t>
            </w:r>
            <w:r>
              <w:rPr>
                <w:rFonts w:hint="eastAsia" w:ascii="宋体" w:hAnsi="宋体"/>
                <w:szCs w:val="21"/>
              </w:rPr>
              <w:t>（¥</w:t>
            </w:r>
            <w:r>
              <w:rPr>
                <w:rFonts w:hint="eastAsia" w:ascii="宋体" w:hAnsi="宋体"/>
                <w:szCs w:val="21"/>
                <w:u w:val="single"/>
              </w:rPr>
              <w:t xml:space="preserve">          </w:t>
            </w:r>
            <w:r>
              <w:rPr>
                <w:rFonts w:hint="eastAsia" w:ascii="宋体" w:hAnsi="宋体"/>
                <w:szCs w:val="21"/>
              </w:rPr>
              <w:t>）</w:t>
            </w:r>
          </w:p>
        </w:tc>
      </w:tr>
    </w:tbl>
    <w:p w14:paraId="0AB85CE8">
      <w:pPr>
        <w:snapToGrid w:val="0"/>
        <w:spacing w:line="400" w:lineRule="exact"/>
        <w:ind w:right="52" w:firstLine="420" w:firstLineChars="200"/>
        <w:rPr>
          <w:rFonts w:hint="eastAsia" w:ascii="宋体" w:hAnsi="宋体"/>
          <w:szCs w:val="21"/>
        </w:rPr>
      </w:pPr>
      <w:r>
        <w:rPr>
          <w:rFonts w:hint="eastAsia" w:ascii="宋体" w:hAnsi="宋体"/>
          <w:szCs w:val="21"/>
        </w:rPr>
        <w:t>2</w:t>
      </w:r>
      <w:r>
        <w:rPr>
          <w:rFonts w:ascii="宋体" w:hAnsi="宋体"/>
          <w:szCs w:val="21"/>
        </w:rPr>
        <w:t>.</w:t>
      </w:r>
      <w:r>
        <w:rPr>
          <w:rFonts w:hint="eastAsia" w:ascii="宋体" w:hAnsi="宋体"/>
          <w:szCs w:val="21"/>
        </w:rPr>
        <w:t>合同合计金额包含设备及服务需求要求所需的费用总和，为人民币含税价，且为甲方指定地点的现场交货价，合同履行过程中甲方不再支付合同金额以外的费用。</w:t>
      </w:r>
    </w:p>
    <w:p w14:paraId="316B3D3A">
      <w:pPr>
        <w:snapToGrid w:val="0"/>
        <w:spacing w:line="400" w:lineRule="exact"/>
        <w:ind w:right="52" w:firstLine="420" w:firstLineChars="200"/>
        <w:rPr>
          <w:rFonts w:ascii="宋体" w:hAnsi="宋体"/>
          <w:szCs w:val="21"/>
        </w:rPr>
      </w:pPr>
      <w:r>
        <w:rPr>
          <w:rFonts w:ascii="宋体" w:hAnsi="宋体"/>
          <w:szCs w:val="21"/>
        </w:rPr>
        <w:t>3</w:t>
      </w:r>
      <w:r>
        <w:rPr>
          <w:rFonts w:hint="eastAsia" w:ascii="宋体" w:hAnsi="宋体"/>
          <w:szCs w:val="21"/>
        </w:rPr>
        <w:t>.乙方在投标时如有漏报单价或每单价报价中漏报、少报费用的，视为该等单价及/或费用已隐含在投标报价中，合同履行过程中不得再向甲方主张支付该等单价及/或费用。</w:t>
      </w:r>
    </w:p>
    <w:p w14:paraId="4EC649E8">
      <w:pPr>
        <w:snapToGrid w:val="0"/>
        <w:spacing w:line="400" w:lineRule="exact"/>
        <w:ind w:right="52" w:firstLine="420" w:firstLineChars="200"/>
        <w:rPr>
          <w:rFonts w:ascii="宋体" w:hAnsi="宋体"/>
          <w:szCs w:val="21"/>
        </w:rPr>
      </w:pPr>
      <w:r>
        <w:rPr>
          <w:rFonts w:hint="eastAsia" w:ascii="宋体" w:hAnsi="宋体"/>
          <w:szCs w:val="21"/>
        </w:rPr>
        <w:t>4.采购合同履行中，甲方需追加与合同标的相同的货物的，在不改变合同其他条款的前提下，可以与乙方协商签订补充合同，但所有补充合同的采购金额不得超过原合同采购金额的10%。</w:t>
      </w:r>
    </w:p>
    <w:p w14:paraId="3C1BBBF0">
      <w:pPr>
        <w:snapToGrid w:val="0"/>
        <w:spacing w:line="400" w:lineRule="exact"/>
        <w:ind w:right="52" w:firstLine="420" w:firstLineChars="200"/>
        <w:rPr>
          <w:rFonts w:hint="eastAsia" w:ascii="宋体" w:hAnsi="宋体"/>
          <w:szCs w:val="21"/>
        </w:rPr>
      </w:pPr>
      <w:r>
        <w:rPr>
          <w:rFonts w:hint="eastAsia" w:ascii="宋体" w:hAnsi="宋体"/>
          <w:szCs w:val="21"/>
        </w:rPr>
        <w:t>3.合同期限（含质保期）：</w:t>
      </w:r>
      <w:r>
        <w:rPr>
          <w:rFonts w:hint="eastAsia" w:ascii="宋体" w:hAnsi="宋体"/>
          <w:szCs w:val="21"/>
          <w:u w:val="single"/>
        </w:rPr>
        <w:t xml:space="preserve">    </w:t>
      </w:r>
      <w:r>
        <w:rPr>
          <w:rFonts w:hint="eastAsia" w:ascii="宋体" w:hAnsi="宋体"/>
          <w:szCs w:val="21"/>
        </w:rPr>
        <w:t>年，自</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日起至</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日止。</w:t>
      </w:r>
    </w:p>
    <w:p w14:paraId="5B9494E0">
      <w:pPr>
        <w:snapToGrid w:val="0"/>
        <w:spacing w:line="400" w:lineRule="exact"/>
        <w:ind w:firstLine="422" w:firstLineChars="200"/>
        <w:rPr>
          <w:rFonts w:ascii="宋体" w:hAnsi="宋体"/>
          <w:szCs w:val="21"/>
        </w:rPr>
      </w:pPr>
      <w:r>
        <w:rPr>
          <w:rFonts w:hint="eastAsia" w:ascii="宋体" w:hAnsi="宋体"/>
          <w:b/>
          <w:szCs w:val="21"/>
        </w:rPr>
        <w:t>第二条　质量保证</w:t>
      </w:r>
    </w:p>
    <w:p w14:paraId="7121E23F">
      <w:pPr>
        <w:snapToGrid w:val="0"/>
        <w:spacing w:line="400" w:lineRule="exact"/>
        <w:ind w:firstLine="420" w:firstLineChars="200"/>
        <w:rPr>
          <w:rFonts w:ascii="宋体" w:hAnsi="宋体"/>
          <w:szCs w:val="21"/>
        </w:rPr>
      </w:pPr>
      <w:r>
        <w:rPr>
          <w:rFonts w:hint="eastAsia" w:ascii="宋体" w:hAnsi="宋体"/>
          <w:szCs w:val="21"/>
        </w:rPr>
        <w:t>1</w:t>
      </w:r>
      <w:r>
        <w:rPr>
          <w:rFonts w:ascii="宋体" w:hAnsi="宋体"/>
          <w:szCs w:val="21"/>
        </w:rPr>
        <w:t>.</w:t>
      </w:r>
      <w:r>
        <w:rPr>
          <w:rFonts w:hint="eastAsia" w:ascii="宋体" w:hAnsi="宋体"/>
          <w:szCs w:val="21"/>
        </w:rPr>
        <w:t>乙方所提供的货物型号、技术规格、技术参数等质量必须与招投标文件和承诺相一致。乙方提供的节能和环保产品必须是列入政府采购清单的产品。</w:t>
      </w:r>
    </w:p>
    <w:p w14:paraId="37BFD255">
      <w:pPr>
        <w:snapToGrid w:val="0"/>
        <w:spacing w:line="400" w:lineRule="exact"/>
        <w:ind w:firstLine="420" w:firstLineChars="200"/>
        <w:rPr>
          <w:rFonts w:ascii="宋体" w:hAnsi="宋体"/>
          <w:szCs w:val="21"/>
        </w:rPr>
      </w:pPr>
      <w:r>
        <w:rPr>
          <w:rFonts w:hint="eastAsia" w:ascii="宋体" w:hAnsi="宋体"/>
          <w:szCs w:val="21"/>
        </w:rPr>
        <w:t>2</w:t>
      </w:r>
      <w:r>
        <w:rPr>
          <w:rFonts w:ascii="宋体" w:hAnsi="宋体"/>
          <w:szCs w:val="21"/>
        </w:rPr>
        <w:t>.</w:t>
      </w:r>
      <w:r>
        <w:rPr>
          <w:rFonts w:hint="eastAsia" w:ascii="宋体" w:hAnsi="宋体"/>
          <w:szCs w:val="21"/>
        </w:rPr>
        <w:t>乙方所提供的货物必须是全新、未使用的原装产品，且在正常安装、使用和保养条件下，其使用寿命期内各项指标均达到质量要求。</w:t>
      </w:r>
    </w:p>
    <w:p w14:paraId="7480651F">
      <w:pPr>
        <w:snapToGrid w:val="0"/>
        <w:spacing w:line="400" w:lineRule="exact"/>
        <w:ind w:firstLine="420" w:firstLineChars="200"/>
        <w:rPr>
          <w:rFonts w:hint="eastAsia" w:ascii="宋体" w:hAnsi="宋体"/>
          <w:szCs w:val="21"/>
        </w:rPr>
      </w:pPr>
      <w:r>
        <w:rPr>
          <w:rFonts w:hint="eastAsia" w:ascii="宋体" w:hAnsi="宋体"/>
          <w:szCs w:val="21"/>
        </w:rPr>
        <w:t>3.满足乙方在投标文件中对质量承诺和采购人对项目要求。</w:t>
      </w:r>
    </w:p>
    <w:p w14:paraId="01645EAE">
      <w:pPr>
        <w:snapToGrid w:val="0"/>
        <w:spacing w:line="400" w:lineRule="exact"/>
        <w:ind w:firstLine="422" w:firstLineChars="200"/>
        <w:rPr>
          <w:rFonts w:ascii="宋体" w:hAnsi="宋体"/>
          <w:szCs w:val="21"/>
        </w:rPr>
      </w:pPr>
      <w:r>
        <w:rPr>
          <w:rFonts w:hint="eastAsia" w:ascii="宋体" w:hAnsi="宋体"/>
          <w:b/>
          <w:szCs w:val="21"/>
        </w:rPr>
        <w:t>第三条　权利保证</w:t>
      </w:r>
    </w:p>
    <w:p w14:paraId="7CFCC0C3">
      <w:pPr>
        <w:snapToGrid w:val="0"/>
        <w:spacing w:line="400" w:lineRule="exact"/>
        <w:ind w:firstLine="420" w:firstLineChars="200"/>
        <w:rPr>
          <w:rFonts w:ascii="宋体" w:hAnsi="宋体"/>
          <w:szCs w:val="21"/>
        </w:rPr>
      </w:pPr>
      <w:r>
        <w:rPr>
          <w:rFonts w:hint="eastAsia" w:ascii="宋体" w:hAnsi="宋体"/>
          <w:szCs w:val="21"/>
        </w:rPr>
        <w:t>1</w:t>
      </w:r>
      <w:r>
        <w:rPr>
          <w:rFonts w:ascii="宋体" w:hAnsi="宋体"/>
          <w:szCs w:val="21"/>
        </w:rPr>
        <w:t>.</w:t>
      </w:r>
      <w:r>
        <w:rPr>
          <w:rFonts w:hint="eastAsia" w:ascii="宋体" w:hAnsi="宋体"/>
          <w:szCs w:val="21"/>
        </w:rPr>
        <w:t>乙方对其向甲方交付的</w:t>
      </w:r>
      <w:r>
        <w:rPr>
          <w:rFonts w:ascii="宋体" w:hAnsi="宋体"/>
          <w:szCs w:val="21"/>
        </w:rPr>
        <w:t>货物</w:t>
      </w:r>
      <w:r>
        <w:rPr>
          <w:rFonts w:hint="eastAsia" w:ascii="宋体" w:hAnsi="宋体"/>
          <w:szCs w:val="21"/>
        </w:rPr>
        <w:t>承担</w:t>
      </w:r>
      <w:r>
        <w:rPr>
          <w:rFonts w:ascii="宋体" w:hAnsi="宋体"/>
          <w:szCs w:val="21"/>
        </w:rPr>
        <w:t>权利瑕疵担保义务。</w:t>
      </w:r>
    </w:p>
    <w:p w14:paraId="6D87F207">
      <w:pPr>
        <w:snapToGrid w:val="0"/>
        <w:spacing w:line="400" w:lineRule="exact"/>
        <w:ind w:firstLine="420" w:firstLineChars="200"/>
        <w:rPr>
          <w:rFonts w:ascii="宋体" w:hAnsi="宋体"/>
          <w:szCs w:val="21"/>
        </w:rPr>
      </w:pPr>
      <w:r>
        <w:rPr>
          <w:rFonts w:hint="eastAsia" w:ascii="宋体" w:hAnsi="宋体"/>
          <w:szCs w:val="21"/>
        </w:rPr>
        <w:t>2</w:t>
      </w:r>
      <w:r>
        <w:rPr>
          <w:rFonts w:ascii="宋体" w:hAnsi="宋体"/>
          <w:szCs w:val="21"/>
        </w:rPr>
        <w:t>.</w:t>
      </w:r>
      <w:r>
        <w:rPr>
          <w:rFonts w:hint="eastAsia" w:ascii="宋体" w:hAnsi="宋体"/>
          <w:szCs w:val="21"/>
        </w:rPr>
        <w:t>乙方应保证所提供货物在使用时不会侵犯任何第三方的专利权、商标权、工业设计权或其他权利。乙方提供的货物如侵犯了第三方合法权益而引发的任何纠纷或诉讼，均由乙方负责交涉并承担全部责任。若因此导致甲方经济损失的，乙方应当予以赔偿，赔偿范围包括但不限于实际发生的经济损失以及甲方为解决纠纷、维护自身合法权益而产生的律师费、诉讼费、保全费、财产保全保函费、差旅费等。</w:t>
      </w:r>
    </w:p>
    <w:p w14:paraId="63BF3611">
      <w:pPr>
        <w:snapToGrid w:val="0"/>
        <w:spacing w:line="400" w:lineRule="exact"/>
        <w:ind w:firstLine="420" w:firstLineChars="200"/>
        <w:rPr>
          <w:rFonts w:hint="eastAsia" w:ascii="宋体" w:hAnsi="宋体"/>
          <w:szCs w:val="21"/>
        </w:rPr>
      </w:pPr>
      <w:r>
        <w:rPr>
          <w:rFonts w:hint="eastAsia" w:ascii="宋体" w:hAnsi="宋体"/>
          <w:szCs w:val="21"/>
        </w:rPr>
        <w:t>3</w:t>
      </w:r>
      <w:r>
        <w:rPr>
          <w:rFonts w:ascii="宋体" w:hAnsi="宋体"/>
          <w:szCs w:val="21"/>
        </w:rPr>
        <w:t>.</w:t>
      </w:r>
      <w:r>
        <w:rPr>
          <w:rFonts w:hint="eastAsia" w:ascii="宋体" w:hAnsi="宋体"/>
          <w:szCs w:val="21"/>
        </w:rPr>
        <w:t>乙方应按采购文件规定的时间向甲方提供使用货物的有关完整技术资料。</w:t>
      </w:r>
    </w:p>
    <w:p w14:paraId="4BBB1C6D">
      <w:pPr>
        <w:snapToGrid w:val="0"/>
        <w:spacing w:line="400" w:lineRule="exact"/>
        <w:ind w:firstLine="420" w:firstLineChars="200"/>
        <w:rPr>
          <w:rFonts w:ascii="宋体" w:hAnsi="宋体"/>
          <w:szCs w:val="21"/>
        </w:rPr>
      </w:pPr>
      <w:r>
        <w:rPr>
          <w:rFonts w:ascii="宋体" w:hAnsi="宋体"/>
          <w:szCs w:val="21"/>
        </w:rPr>
        <w:t>4.</w:t>
      </w:r>
      <w:r>
        <w:rPr>
          <w:rFonts w:hint="eastAsia" w:ascii="宋体" w:hAnsi="宋体"/>
          <w:szCs w:val="21"/>
        </w:rPr>
        <w:t>没有甲方事先书面同意，乙方不得将由甲方提供的有关合同或任何合同条文、规格、计划、图纸、样品或资料提供给与履行本合同无关的任何其他人。即使向履行本合同有关的人员提供，也应注意保密并限于履行合同的必需范围。如乙方违反上述规定泄露甲方相关资料、保密信息的，乙方应当支付甲方因此造成的损失，甲方损失能够计算的按照实际损失赔偿，甲方的损失无法具体计算的，乙方应当按照合同价款2%进行赔偿。乙方还应当向甲方支付合同价款20%的违约金。</w:t>
      </w:r>
    </w:p>
    <w:p w14:paraId="400CF859">
      <w:pPr>
        <w:snapToGrid w:val="0"/>
        <w:spacing w:line="400" w:lineRule="exact"/>
        <w:ind w:firstLine="420" w:firstLineChars="200"/>
        <w:rPr>
          <w:rFonts w:ascii="宋体" w:hAnsi="宋体"/>
          <w:szCs w:val="21"/>
        </w:rPr>
      </w:pPr>
      <w:r>
        <w:rPr>
          <w:rFonts w:ascii="宋体" w:hAnsi="宋体"/>
          <w:szCs w:val="21"/>
        </w:rPr>
        <w:t>5.</w:t>
      </w:r>
      <w:r>
        <w:rPr>
          <w:rFonts w:hint="eastAsia" w:ascii="宋体" w:hAnsi="宋体"/>
          <w:szCs w:val="21"/>
        </w:rPr>
        <w:t>乙方保证所交付的货物的所有权完全属于乙方且无任何抵押、质押、查封等产权瑕疵，如乙方提供的货物存在产权瑕疵则应当向甲方支付因此造成的损失。</w:t>
      </w:r>
    </w:p>
    <w:p w14:paraId="077591BC">
      <w:pPr>
        <w:snapToGrid w:val="0"/>
        <w:spacing w:line="400" w:lineRule="exact"/>
        <w:ind w:firstLine="420" w:firstLineChars="200"/>
        <w:rPr>
          <w:rFonts w:hint="eastAsia" w:ascii="宋体" w:hAnsi="宋体"/>
          <w:szCs w:val="21"/>
        </w:rPr>
      </w:pPr>
      <w:r>
        <w:rPr>
          <w:rFonts w:ascii="宋体" w:hAnsi="宋体"/>
          <w:szCs w:val="21"/>
        </w:rPr>
        <w:t>6</w:t>
      </w:r>
      <w:r>
        <w:rPr>
          <w:rFonts w:hint="eastAsia" w:ascii="宋体" w:hAnsi="宋体"/>
          <w:szCs w:val="21"/>
        </w:rPr>
        <w:t>.乙方对自身提供的报价文件、资质、承诺等均客观、真实，不得虚构或隐瞒事实影响本合同的履行，否则乙方应当对甲方承担缔约过失责任，赔偿甲方的损失。</w:t>
      </w:r>
    </w:p>
    <w:p w14:paraId="347FE280">
      <w:pPr>
        <w:snapToGrid w:val="0"/>
        <w:spacing w:line="400" w:lineRule="exact"/>
        <w:ind w:firstLine="422" w:firstLineChars="200"/>
        <w:rPr>
          <w:rFonts w:ascii="宋体" w:hAnsi="宋体"/>
          <w:b/>
          <w:szCs w:val="21"/>
        </w:rPr>
      </w:pPr>
      <w:r>
        <w:rPr>
          <w:rFonts w:hint="eastAsia" w:ascii="宋体" w:hAnsi="宋体"/>
          <w:b/>
          <w:szCs w:val="21"/>
        </w:rPr>
        <w:t>第四条　包装和运输</w:t>
      </w:r>
    </w:p>
    <w:p w14:paraId="233B781B">
      <w:pPr>
        <w:snapToGrid w:val="0"/>
        <w:spacing w:line="400" w:lineRule="exact"/>
        <w:ind w:firstLine="420" w:firstLineChars="200"/>
        <w:rPr>
          <w:rFonts w:hint="eastAsia" w:ascii="宋体" w:hAnsi="宋体"/>
          <w:szCs w:val="21"/>
        </w:rPr>
      </w:pPr>
      <w:r>
        <w:rPr>
          <w:rFonts w:hint="eastAsia" w:ascii="宋体" w:hAnsi="宋体"/>
          <w:szCs w:val="21"/>
        </w:rPr>
        <w:t>1.乙方提供的货物均应按符合采购文件要求的包装材料、包装标准、包装方式进行包装，包装应满足运输距离、防潮、防震、防锈和防破损装卸等要求包装，以保证货物安全运达甲方指定地点，且每一包装单元内应附详细的装箱单和质量合格证。甲方验收后发现货物或货物包装不符合要求的，甲方有权拒收并且不视为违约。</w:t>
      </w:r>
    </w:p>
    <w:p w14:paraId="20EA3AB9">
      <w:pPr>
        <w:snapToGrid w:val="0"/>
        <w:spacing w:line="400" w:lineRule="exact"/>
        <w:ind w:firstLine="420" w:firstLineChars="200"/>
        <w:rPr>
          <w:rFonts w:hint="eastAsia" w:ascii="宋体" w:hAnsi="宋体"/>
          <w:szCs w:val="21"/>
        </w:rPr>
      </w:pPr>
      <w:r>
        <w:rPr>
          <w:rFonts w:hint="eastAsia" w:ascii="宋体" w:hAnsi="宋体"/>
          <w:szCs w:val="21"/>
        </w:rPr>
        <w:t>2.货物的运输方式：</w:t>
      </w:r>
      <w:r>
        <w:rPr>
          <w:rFonts w:hint="eastAsia" w:ascii="宋体" w:hAnsi="宋体"/>
          <w:szCs w:val="21"/>
          <w:u w:val="single"/>
        </w:rPr>
        <w:t>乙方自定；交货地点：广西区内甲方指定地点。</w:t>
      </w:r>
    </w:p>
    <w:p w14:paraId="71A7B295">
      <w:pPr>
        <w:snapToGrid w:val="0"/>
        <w:spacing w:line="400" w:lineRule="exact"/>
        <w:ind w:firstLine="420" w:firstLineChars="200"/>
        <w:rPr>
          <w:rFonts w:hint="eastAsia" w:ascii="宋体" w:hAnsi="宋体"/>
          <w:szCs w:val="21"/>
        </w:rPr>
      </w:pPr>
      <w:r>
        <w:rPr>
          <w:rFonts w:hint="eastAsia" w:ascii="宋体" w:hAnsi="宋体"/>
          <w:szCs w:val="21"/>
        </w:rPr>
        <w:t>3.乙方负责货物运输、卸货，货物运输合理损耗及计算方法：</w:t>
      </w:r>
      <w:r>
        <w:rPr>
          <w:rFonts w:hint="eastAsia" w:ascii="宋体" w:hAnsi="宋体"/>
          <w:szCs w:val="21"/>
          <w:u w:val="single"/>
        </w:rPr>
        <w:t>由乙方负责</w:t>
      </w:r>
      <w:r>
        <w:rPr>
          <w:rFonts w:hint="eastAsia" w:ascii="宋体" w:hAnsi="宋体"/>
          <w:szCs w:val="21"/>
        </w:rPr>
        <w:t>。</w:t>
      </w:r>
    </w:p>
    <w:p w14:paraId="680645A9">
      <w:pPr>
        <w:snapToGrid w:val="0"/>
        <w:spacing w:line="400" w:lineRule="exact"/>
        <w:ind w:firstLine="420" w:firstLineChars="200"/>
        <w:rPr>
          <w:rFonts w:hint="eastAsia" w:ascii="宋体" w:hAnsi="宋体"/>
          <w:szCs w:val="21"/>
        </w:rPr>
      </w:pPr>
      <w:r>
        <w:rPr>
          <w:rFonts w:hint="eastAsia" w:ascii="宋体" w:hAnsi="宋体"/>
          <w:szCs w:val="21"/>
        </w:rPr>
        <w:t>4.乙方在货物发运手续办理完毕后二十四小时内或货到甲方四十八小时前通知甲方，以准备接货。</w:t>
      </w:r>
    </w:p>
    <w:p w14:paraId="6B04069C">
      <w:pPr>
        <w:snapToGrid w:val="0"/>
        <w:spacing w:line="400" w:lineRule="exact"/>
        <w:ind w:firstLine="422" w:firstLineChars="200"/>
        <w:rPr>
          <w:rFonts w:ascii="宋体" w:hAnsi="宋体"/>
          <w:szCs w:val="21"/>
        </w:rPr>
      </w:pPr>
      <w:r>
        <w:rPr>
          <w:rFonts w:hint="eastAsia" w:ascii="宋体" w:hAnsi="宋体"/>
          <w:b/>
          <w:szCs w:val="21"/>
        </w:rPr>
        <w:t>第五条　产品的交付和验收</w:t>
      </w:r>
    </w:p>
    <w:p w14:paraId="5B2B70CF">
      <w:pPr>
        <w:snapToGrid w:val="0"/>
        <w:spacing w:line="400" w:lineRule="exact"/>
        <w:ind w:firstLine="420" w:firstLineChars="200"/>
        <w:rPr>
          <w:rFonts w:ascii="宋体" w:hAnsi="宋体"/>
          <w:szCs w:val="21"/>
        </w:rPr>
      </w:pPr>
      <w:r>
        <w:rPr>
          <w:rFonts w:hint="eastAsia" w:ascii="宋体" w:hAnsi="宋体"/>
          <w:szCs w:val="21"/>
        </w:rPr>
        <w:t>1</w:t>
      </w:r>
      <w:r>
        <w:rPr>
          <w:rFonts w:ascii="宋体" w:hAnsi="宋体"/>
          <w:szCs w:val="21"/>
        </w:rPr>
        <w:t>.</w:t>
      </w:r>
      <w:r>
        <w:rPr>
          <w:rFonts w:hint="eastAsia" w:ascii="宋体" w:hAnsi="宋体"/>
          <w:szCs w:val="21"/>
        </w:rPr>
        <w:t>交货时间及地点：</w:t>
      </w:r>
      <w:r>
        <w:rPr>
          <w:rFonts w:hint="eastAsia" w:ascii="宋体" w:hAnsi="宋体"/>
          <w:szCs w:val="21"/>
          <w:u w:val="single"/>
        </w:rPr>
        <w:t xml:space="preserve">                                </w:t>
      </w:r>
      <w:r>
        <w:rPr>
          <w:rFonts w:hint="eastAsia" w:ascii="宋体" w:hAnsi="宋体"/>
          <w:szCs w:val="21"/>
        </w:rPr>
        <w:t>。全部产品从乙方到甲方指定地点所发生包括但不限于运费、保险费、装卸费、仓储费及其他一切费用由乙方承担。货物装卸、转运需要装卸、运输工具的由乙方自行负责。</w:t>
      </w:r>
    </w:p>
    <w:p w14:paraId="2EB7876B">
      <w:pPr>
        <w:snapToGrid w:val="0"/>
        <w:spacing w:line="400" w:lineRule="exact"/>
        <w:ind w:firstLine="420" w:firstLineChars="200"/>
        <w:rPr>
          <w:rFonts w:hint="eastAsia" w:ascii="宋体" w:hAnsi="宋体"/>
          <w:szCs w:val="21"/>
        </w:rPr>
      </w:pPr>
      <w:r>
        <w:rPr>
          <w:rFonts w:hint="eastAsia" w:ascii="宋体" w:hAnsi="宋体"/>
          <w:szCs w:val="21"/>
        </w:rPr>
        <w:t>2.乙方应严格执行合同约定的供货周期，保质、保量的完成产品的供货。在货物到达指定地点后，甲方有权依据招标文件规定的技术要求、国家有关质量标准与投标文件的承诺对数量、包装、规格、品牌、质量、随附单证等清点进行到货验收，对于不符合要求的货物，甲方有权拒绝接收并要求乙方另行发货。乙方另行发出的货物后未在本条第1款约定的时间内完成安装调试的，按逾期交付处理。未经到货验收的货物乙方不得安装调试，已经安装的甲方有权拒绝进行产品验收。</w:t>
      </w:r>
    </w:p>
    <w:p w14:paraId="13DD5879">
      <w:pPr>
        <w:snapToGrid w:val="0"/>
        <w:spacing w:line="400" w:lineRule="exact"/>
        <w:ind w:firstLine="420" w:firstLineChars="200"/>
        <w:rPr>
          <w:rFonts w:hint="eastAsia" w:ascii="宋体" w:hAnsi="宋体"/>
          <w:szCs w:val="21"/>
        </w:rPr>
      </w:pPr>
      <w:r>
        <w:rPr>
          <w:rFonts w:ascii="宋体" w:hAnsi="宋体"/>
          <w:szCs w:val="21"/>
        </w:rPr>
        <w:t>3</w:t>
      </w:r>
      <w:r>
        <w:rPr>
          <w:rFonts w:hint="eastAsia" w:ascii="宋体" w:hAnsi="宋体"/>
          <w:szCs w:val="21"/>
        </w:rPr>
        <w:t>.乙方应在货物托运前24小时及货物预计抵达指定交货地点的24小时前以书面方式通知甲方进行到货验收及场地准备工作，并取得甲方收到通知的回执。</w:t>
      </w:r>
    </w:p>
    <w:p w14:paraId="7D25BCC7">
      <w:pPr>
        <w:snapToGrid w:val="0"/>
        <w:spacing w:line="400" w:lineRule="exact"/>
        <w:ind w:firstLine="420" w:firstLineChars="200"/>
        <w:rPr>
          <w:rFonts w:hint="eastAsia" w:ascii="宋体" w:hAnsi="宋体"/>
          <w:szCs w:val="21"/>
        </w:rPr>
      </w:pPr>
      <w:r>
        <w:rPr>
          <w:rFonts w:hint="eastAsia" w:ascii="宋体" w:hAnsi="宋体"/>
          <w:szCs w:val="21"/>
        </w:rPr>
        <w:t>书面通知应包括但不限于合同编号、产品名称及装箱清单、运输方式、运输服务商及联系方式、运单号、发运人、发运时间、预计到达时间。</w:t>
      </w:r>
    </w:p>
    <w:p w14:paraId="69BE8BF7">
      <w:pPr>
        <w:snapToGrid w:val="0"/>
        <w:spacing w:line="400" w:lineRule="exact"/>
        <w:ind w:firstLine="420" w:firstLineChars="200"/>
        <w:rPr>
          <w:rFonts w:hint="eastAsia" w:ascii="宋体" w:hAnsi="宋体"/>
          <w:szCs w:val="21"/>
        </w:rPr>
      </w:pPr>
      <w:r>
        <w:rPr>
          <w:rFonts w:hint="eastAsia" w:ascii="宋体" w:hAnsi="宋体"/>
          <w:szCs w:val="21"/>
        </w:rPr>
        <w:t>未按约定提前通知的，甲方有权拒绝到货验收，乙方自行承担责任和风险。</w:t>
      </w:r>
    </w:p>
    <w:p w14:paraId="29BD629D">
      <w:pPr>
        <w:snapToGrid w:val="0"/>
        <w:spacing w:line="400" w:lineRule="exact"/>
        <w:ind w:firstLine="420" w:firstLineChars="200"/>
        <w:rPr>
          <w:rFonts w:hint="eastAsia" w:ascii="宋体" w:hAnsi="宋体"/>
          <w:szCs w:val="21"/>
        </w:rPr>
      </w:pPr>
      <w:r>
        <w:rPr>
          <w:rFonts w:ascii="宋体" w:hAnsi="宋体"/>
          <w:szCs w:val="21"/>
        </w:rPr>
        <w:t>4</w:t>
      </w:r>
      <w:r>
        <w:rPr>
          <w:rFonts w:hint="eastAsia" w:ascii="宋体" w:hAnsi="宋体"/>
          <w:szCs w:val="21"/>
        </w:rPr>
        <w:t>.甲方可根据实际需要情况调整乙方交货时间和地点，但要求提前供货的应给与乙方必要、合理准备时间。</w:t>
      </w:r>
    </w:p>
    <w:p w14:paraId="5FB4580F">
      <w:pPr>
        <w:snapToGrid w:val="0"/>
        <w:spacing w:line="400" w:lineRule="exact"/>
        <w:ind w:firstLine="420" w:firstLineChars="200"/>
        <w:rPr>
          <w:rFonts w:hint="eastAsia" w:ascii="宋体" w:hAnsi="宋体"/>
          <w:szCs w:val="21"/>
        </w:rPr>
      </w:pPr>
      <w:r>
        <w:rPr>
          <w:rFonts w:ascii="宋体" w:hAnsi="宋体"/>
          <w:szCs w:val="21"/>
        </w:rPr>
        <w:t>5</w:t>
      </w:r>
      <w:r>
        <w:rPr>
          <w:rFonts w:hint="eastAsia" w:ascii="宋体" w:hAnsi="宋体"/>
          <w:szCs w:val="21"/>
        </w:rPr>
        <w:t>.乙方交货同时应将所提供货物的装箱清单、产品合格证书、用户手册、原厂保修卡、随机资料、工具和备品、备件等交付给甲方，如有缺失应予补齐；乙方不能补齐的，按本条第2款约定的交货不合格处理。除另有约定外，本合同不接受分批交付。</w:t>
      </w:r>
    </w:p>
    <w:p w14:paraId="4DF02E4C">
      <w:pPr>
        <w:snapToGrid w:val="0"/>
        <w:spacing w:line="400" w:lineRule="exact"/>
        <w:ind w:firstLine="420" w:firstLineChars="200"/>
        <w:rPr>
          <w:rFonts w:hint="eastAsia" w:ascii="宋体" w:hAnsi="宋体"/>
          <w:szCs w:val="21"/>
        </w:rPr>
      </w:pPr>
      <w:r>
        <w:rPr>
          <w:rFonts w:ascii="宋体" w:hAnsi="宋体"/>
          <w:szCs w:val="21"/>
        </w:rPr>
        <w:t>6</w:t>
      </w:r>
      <w:r>
        <w:rPr>
          <w:rFonts w:hint="eastAsia" w:ascii="宋体" w:hAnsi="宋体"/>
          <w:szCs w:val="21"/>
        </w:rPr>
        <w:t>.乙方交货前应对产品作出全面检查和对验收文件进行整理，并列出清单，作为甲方收货验收和使用的技术条件依据，检验的结果应随货物交甲方。甲方</w:t>
      </w:r>
      <w:r>
        <w:rPr>
          <w:rFonts w:hint="eastAsia" w:hAnsi="宋体"/>
        </w:rPr>
        <w:t>收到乙方的书面验收申请后5个工作日内组织验收。乙方在提出验收申请时，应确保已具备验收条件。</w:t>
      </w:r>
    </w:p>
    <w:p w14:paraId="1CDA3CA8">
      <w:pPr>
        <w:snapToGrid w:val="0"/>
        <w:spacing w:line="400" w:lineRule="exact"/>
        <w:ind w:firstLine="420" w:firstLineChars="200"/>
        <w:rPr>
          <w:rFonts w:hint="eastAsia" w:ascii="宋体" w:hAnsi="宋体"/>
          <w:szCs w:val="21"/>
        </w:rPr>
      </w:pPr>
      <w:r>
        <w:rPr>
          <w:rFonts w:hint="eastAsia" w:ascii="宋体" w:hAnsi="宋体"/>
          <w:szCs w:val="21"/>
        </w:rPr>
        <w:t>7.乙方应完成产品交付并安装调试至能够正常使用；如因甲方原因暂时不能安装调试的货物，经双方签字确认后可延期组织验收。货物验收合格后由甲、乙双方签署货物验收合格单（加盖甲方公章方为有效），甲、乙双方各执一份。</w:t>
      </w:r>
    </w:p>
    <w:p w14:paraId="56605F2D">
      <w:pPr>
        <w:snapToGrid w:val="0"/>
        <w:spacing w:line="400" w:lineRule="exact"/>
        <w:ind w:firstLine="420" w:firstLineChars="200"/>
        <w:rPr>
          <w:rFonts w:hint="eastAsia" w:ascii="宋体" w:hAnsi="宋体"/>
          <w:szCs w:val="21"/>
        </w:rPr>
      </w:pPr>
      <w:r>
        <w:rPr>
          <w:rFonts w:hint="eastAsia" w:ascii="宋体" w:hAnsi="宋体"/>
          <w:szCs w:val="21"/>
        </w:rPr>
        <w:t>8.对技术复杂的货物，甲方应请国家认可的专业检测机构参与初步验收及最终验收，并由其出具质量检测报告。</w:t>
      </w:r>
    </w:p>
    <w:p w14:paraId="38B3AD39">
      <w:pPr>
        <w:snapToGrid w:val="0"/>
        <w:spacing w:line="400" w:lineRule="exact"/>
        <w:ind w:firstLine="420" w:firstLineChars="200"/>
        <w:rPr>
          <w:rFonts w:hint="eastAsia" w:ascii="宋体" w:hAnsi="宋体"/>
          <w:szCs w:val="21"/>
        </w:rPr>
      </w:pPr>
      <w:r>
        <w:rPr>
          <w:rFonts w:hint="eastAsia" w:ascii="宋体" w:hAnsi="宋体"/>
          <w:szCs w:val="21"/>
        </w:rPr>
        <w:t>9.根据规定或因产品技术性强而需要相关部门检测结果作为验收依据或需要有相关部门组织、参加的，应委托相关部门先行检测或邀请相关部门组织、参加产品验收。检测、验收所需费用由乙方负责。</w:t>
      </w:r>
    </w:p>
    <w:p w14:paraId="02EED9E8">
      <w:pPr>
        <w:snapToGrid w:val="0"/>
        <w:spacing w:line="400" w:lineRule="exact"/>
        <w:ind w:firstLine="420" w:firstLineChars="200"/>
        <w:rPr>
          <w:rFonts w:hint="eastAsia" w:ascii="宋体" w:hAnsi="宋体"/>
          <w:szCs w:val="21"/>
        </w:rPr>
      </w:pPr>
      <w:r>
        <w:rPr>
          <w:rFonts w:hint="eastAsia" w:ascii="宋体" w:hAnsi="宋体"/>
          <w:szCs w:val="21"/>
        </w:rPr>
        <w:t>10.甲方委托第三方组织的验收项目，其验收时间以该项目验收方案确定的验收时间为准，验收结果以该项目验收报告结论为准。在验收过程中发现乙方有违约情形的，甲方有权暂不支付已到达支付条件的货款，待乙方违约问题解决后再行办理货款结算。</w:t>
      </w:r>
    </w:p>
    <w:p w14:paraId="116CB4E1">
      <w:pPr>
        <w:snapToGrid w:val="0"/>
        <w:spacing w:line="400" w:lineRule="exact"/>
        <w:ind w:firstLine="420" w:firstLineChars="200"/>
        <w:rPr>
          <w:rFonts w:hint="eastAsia" w:ascii="宋体" w:hAnsi="宋体"/>
          <w:szCs w:val="21"/>
        </w:rPr>
      </w:pPr>
      <w:r>
        <w:rPr>
          <w:rFonts w:ascii="宋体" w:hAnsi="宋体"/>
          <w:szCs w:val="21"/>
        </w:rPr>
        <w:t>1</w:t>
      </w:r>
      <w:r>
        <w:rPr>
          <w:rFonts w:hint="eastAsia" w:ascii="宋体" w:hAnsi="宋体"/>
          <w:szCs w:val="21"/>
        </w:rPr>
        <w:t>1.甲乙双方对产品质量有争议协商不成且必须通过检测才能判断时，甲方有权委托具有相应资质的检测单位按照相关标准进行检测，检测费用由乙方承担；若质量检测不合格的，乙方应当在15日内更换符合本合同质量要求的合格产品，由此产生的费用由乙方承担，并承担相应违约责任。</w:t>
      </w:r>
    </w:p>
    <w:p w14:paraId="5BEF8245">
      <w:pPr>
        <w:snapToGrid w:val="0"/>
        <w:spacing w:line="400" w:lineRule="exact"/>
        <w:ind w:firstLine="420" w:firstLineChars="200"/>
        <w:rPr>
          <w:rFonts w:hint="eastAsia" w:ascii="宋体" w:hAnsi="宋体"/>
          <w:szCs w:val="21"/>
        </w:rPr>
      </w:pPr>
      <w:r>
        <w:rPr>
          <w:rFonts w:ascii="宋体" w:hAnsi="宋体"/>
          <w:szCs w:val="21"/>
        </w:rPr>
        <w:t>1</w:t>
      </w:r>
      <w:r>
        <w:rPr>
          <w:rFonts w:hint="eastAsia" w:ascii="宋体" w:hAnsi="宋体"/>
          <w:szCs w:val="21"/>
        </w:rPr>
        <w:t>2.验收时乙方必须在现场，验收完毕后作出验收结果报告；验收费用按招标文件约定承担方负责。</w:t>
      </w:r>
    </w:p>
    <w:p w14:paraId="6089DA05">
      <w:pPr>
        <w:snapToGrid w:val="0"/>
        <w:spacing w:line="400" w:lineRule="exact"/>
        <w:ind w:firstLine="420" w:firstLineChars="200"/>
        <w:rPr>
          <w:rFonts w:hint="eastAsia" w:ascii="宋体" w:hAnsi="宋体"/>
          <w:szCs w:val="21"/>
        </w:rPr>
      </w:pPr>
      <w:r>
        <w:rPr>
          <w:rFonts w:hint="eastAsia" w:ascii="宋体" w:hAnsi="宋体"/>
          <w:szCs w:val="21"/>
        </w:rPr>
        <w:t>13.甲方对验收有异议的，在验收后五个工作日内以书面形式向乙方提出，乙方应自收到甲方书面异议后五个工作日内及时予以解决。</w:t>
      </w:r>
    </w:p>
    <w:p w14:paraId="39F3041F">
      <w:pPr>
        <w:snapToGrid w:val="0"/>
        <w:spacing w:line="400" w:lineRule="exact"/>
        <w:ind w:firstLine="420" w:firstLineChars="200"/>
        <w:rPr>
          <w:rFonts w:hint="eastAsia" w:ascii="宋体" w:hAnsi="宋体"/>
          <w:szCs w:val="21"/>
        </w:rPr>
      </w:pPr>
      <w:r>
        <w:rPr>
          <w:rFonts w:hint="eastAsia" w:ascii="宋体" w:hAnsi="宋体"/>
          <w:szCs w:val="21"/>
        </w:rPr>
        <w:t>14.货物安装调试完毕并经甲方验收合格前货物毁损、灭失的风险均由乙方承担。</w:t>
      </w:r>
    </w:p>
    <w:p w14:paraId="6CD42315">
      <w:pPr>
        <w:snapToGrid w:val="0"/>
        <w:spacing w:line="400" w:lineRule="exact"/>
        <w:ind w:firstLine="420" w:firstLineChars="200"/>
        <w:rPr>
          <w:rFonts w:ascii="宋体" w:hAnsi="宋体"/>
          <w:szCs w:val="21"/>
        </w:rPr>
      </w:pPr>
      <w:r>
        <w:rPr>
          <w:rFonts w:hint="eastAsia" w:ascii="宋体" w:hAnsi="宋体"/>
          <w:szCs w:val="21"/>
        </w:rPr>
        <w:t>15.其他未尽事宜按照《关于印发广西壮族自治区政府采购项目履约验收管理办法的通知》[桂财采〔2015〕22号]以及《财政部关于进一步加强政府采购需求和履约验收管理的指导意见》[财库〔2016〕205号]规定执行。</w:t>
      </w:r>
    </w:p>
    <w:p w14:paraId="05745585">
      <w:pPr>
        <w:snapToGrid w:val="0"/>
        <w:spacing w:line="400" w:lineRule="exact"/>
        <w:ind w:firstLine="422" w:firstLineChars="200"/>
        <w:rPr>
          <w:rFonts w:ascii="宋体" w:hAnsi="宋体"/>
          <w:b/>
          <w:szCs w:val="21"/>
        </w:rPr>
      </w:pPr>
      <w:r>
        <w:rPr>
          <w:rFonts w:hint="eastAsia" w:ascii="宋体" w:hAnsi="宋体"/>
          <w:b/>
          <w:szCs w:val="21"/>
        </w:rPr>
        <w:t>第六条  安装调试和培训</w:t>
      </w:r>
    </w:p>
    <w:p w14:paraId="2FCAC726">
      <w:pPr>
        <w:snapToGrid w:val="0"/>
        <w:spacing w:line="400" w:lineRule="exact"/>
        <w:ind w:firstLine="420" w:firstLineChars="200"/>
        <w:rPr>
          <w:rFonts w:hint="eastAsia" w:ascii="宋体" w:hAnsi="宋体"/>
          <w:szCs w:val="21"/>
        </w:rPr>
      </w:pPr>
      <w:r>
        <w:rPr>
          <w:rFonts w:hint="eastAsia" w:ascii="宋体" w:hAnsi="宋体"/>
          <w:szCs w:val="21"/>
        </w:rPr>
        <w:t>1.甲方在乙方对货物进行安装调试时应提供必要安装条件（如场地、电源、水源等）。</w:t>
      </w:r>
    </w:p>
    <w:p w14:paraId="652FEEFD">
      <w:pPr>
        <w:snapToGrid w:val="0"/>
        <w:spacing w:line="400" w:lineRule="exact"/>
        <w:ind w:firstLine="420" w:firstLineChars="200"/>
        <w:rPr>
          <w:rFonts w:hint="eastAsia" w:ascii="宋体" w:hAnsi="宋体"/>
          <w:szCs w:val="21"/>
        </w:rPr>
      </w:pPr>
      <w:r>
        <w:rPr>
          <w:rFonts w:hint="eastAsia" w:ascii="宋体" w:hAnsi="宋体"/>
          <w:szCs w:val="21"/>
        </w:rPr>
        <w:t>2.产品到货验收完毕后，乙方可对产品进行安装调试，并培训甲方的使用操作人员，直到设备运行符合技术要求，甲方使用人员熟练掌握全部功能及基本维修，甲方方可进行最终验收。</w:t>
      </w:r>
    </w:p>
    <w:p w14:paraId="44E3EEAB">
      <w:pPr>
        <w:snapToGrid w:val="0"/>
        <w:spacing w:line="400" w:lineRule="exact"/>
        <w:ind w:firstLine="420" w:firstLineChars="200"/>
        <w:rPr>
          <w:rFonts w:hint="eastAsia" w:ascii="宋体" w:hAnsi="宋体"/>
          <w:szCs w:val="21"/>
        </w:rPr>
      </w:pPr>
      <w:r>
        <w:rPr>
          <w:rFonts w:hint="eastAsia" w:ascii="宋体" w:hAnsi="宋体"/>
          <w:szCs w:val="21"/>
        </w:rPr>
        <w:t>乙方对甲方人员的培训不再另行收费，甲方不支付乙方培训甲方的任何费用。培训时间、地点：</w:t>
      </w:r>
      <w:r>
        <w:rPr>
          <w:rFonts w:hint="eastAsia" w:ascii="宋体" w:hAnsi="宋体"/>
          <w:szCs w:val="21"/>
          <w:u w:val="single"/>
        </w:rPr>
        <w:t>由甲方决定，乙方无条件满足甲方要求</w:t>
      </w:r>
      <w:r>
        <w:rPr>
          <w:rFonts w:hint="eastAsia" w:ascii="宋体" w:hAnsi="宋体"/>
          <w:szCs w:val="21"/>
        </w:rPr>
        <w:t>。</w:t>
      </w:r>
    </w:p>
    <w:p w14:paraId="567C27A0">
      <w:pPr>
        <w:snapToGrid w:val="0"/>
        <w:spacing w:line="400" w:lineRule="exact"/>
        <w:ind w:firstLine="420" w:firstLineChars="200"/>
        <w:rPr>
          <w:rFonts w:ascii="宋体" w:hAnsi="宋体"/>
          <w:szCs w:val="21"/>
          <w:u w:val="single"/>
        </w:rPr>
      </w:pPr>
      <w:r>
        <w:rPr>
          <w:rFonts w:hint="eastAsia" w:ascii="宋体" w:hAnsi="宋体"/>
          <w:szCs w:val="21"/>
        </w:rPr>
        <w:t>3.产品安装期间乙方应严格做好安全防护措施，设置安全警示标识，及时消除安全隐患，做到安全施工、文明施工，承担相关费用。安装期间发生安全事故的，责任由乙方承担，由此造成甲方、乙方人员或者第三方损失的，乙方予以赔偿。</w:t>
      </w:r>
    </w:p>
    <w:p w14:paraId="16352BF7">
      <w:pPr>
        <w:snapToGrid w:val="0"/>
        <w:spacing w:line="400" w:lineRule="exact"/>
        <w:ind w:firstLine="422" w:firstLineChars="200"/>
        <w:rPr>
          <w:rFonts w:ascii="宋体" w:hAnsi="宋体"/>
          <w:szCs w:val="21"/>
        </w:rPr>
      </w:pPr>
      <w:r>
        <w:rPr>
          <w:rFonts w:hint="eastAsia" w:ascii="宋体" w:hAnsi="宋体"/>
          <w:b/>
          <w:szCs w:val="21"/>
        </w:rPr>
        <w:t>第七条　付款方式</w:t>
      </w:r>
    </w:p>
    <w:p w14:paraId="573170B9">
      <w:pPr>
        <w:adjustRightInd w:val="0"/>
        <w:snapToGrid w:val="0"/>
        <w:spacing w:line="360" w:lineRule="auto"/>
        <w:ind w:firstLine="420" w:firstLineChars="200"/>
        <w:rPr>
          <w:rFonts w:ascii="宋体" w:hAnsi="宋体" w:cs="宋体"/>
        </w:rPr>
      </w:pPr>
      <w:r>
        <w:rPr>
          <w:rFonts w:hint="eastAsia" w:ascii="宋体" w:hAnsi="宋体"/>
          <w:szCs w:val="21"/>
        </w:rPr>
        <w:t>1.</w:t>
      </w:r>
      <w:r>
        <w:rPr>
          <w:rFonts w:hint="eastAsia" w:ascii="宋体" w:hAnsi="宋体" w:cs="宋体"/>
        </w:rPr>
        <w:t>当采购数量与实际使用数量不一致时，乙方应根据实际使用量供货，合同的最终结算金额按实际使用量乘以中标单价进行计算，但不得超出合同价的10%。</w:t>
      </w:r>
    </w:p>
    <w:p w14:paraId="517327D9">
      <w:pPr>
        <w:adjustRightInd w:val="0"/>
        <w:snapToGrid w:val="0"/>
        <w:spacing w:line="360" w:lineRule="auto"/>
        <w:ind w:firstLine="420" w:firstLineChars="200"/>
        <w:rPr>
          <w:rFonts w:ascii="宋体" w:hAnsi="宋体"/>
          <w:szCs w:val="21"/>
          <w:u w:val="single"/>
        </w:rPr>
      </w:pPr>
      <w:r>
        <w:rPr>
          <w:rFonts w:hint="eastAsia" w:ascii="宋体" w:hAnsi="宋体"/>
          <w:szCs w:val="21"/>
        </w:rPr>
        <w:t>2.付款：</w:t>
      </w:r>
      <w:r>
        <w:rPr>
          <w:rFonts w:hint="eastAsia" w:ascii="宋体" w:hAnsi="宋体"/>
          <w:szCs w:val="21"/>
          <w:u w:val="single"/>
        </w:rPr>
        <w:t xml:space="preserve">                                                                 </w:t>
      </w:r>
      <w:r>
        <w:rPr>
          <w:rFonts w:hint="eastAsia" w:ascii="宋体" w:hAnsi="宋体"/>
          <w:szCs w:val="21"/>
        </w:rPr>
        <w:t>。</w:t>
      </w:r>
    </w:p>
    <w:p w14:paraId="7EB9BFD1">
      <w:pPr>
        <w:snapToGrid w:val="0"/>
        <w:spacing w:line="400" w:lineRule="exact"/>
        <w:ind w:left="-61" w:leftChars="-29" w:firstLine="517" w:firstLineChars="245"/>
        <w:rPr>
          <w:rFonts w:ascii="宋体" w:hAnsi="宋体"/>
          <w:b/>
          <w:szCs w:val="21"/>
        </w:rPr>
      </w:pPr>
      <w:r>
        <w:rPr>
          <w:rFonts w:hint="eastAsia" w:ascii="宋体" w:hAnsi="宋体"/>
          <w:b/>
          <w:szCs w:val="21"/>
        </w:rPr>
        <w:t>第八条　履约保证金</w:t>
      </w:r>
    </w:p>
    <w:p w14:paraId="7E2DCDC1">
      <w:pPr>
        <w:spacing w:line="360" w:lineRule="exact"/>
        <w:ind w:firstLine="420" w:firstLineChars="200"/>
        <w:rPr>
          <w:rFonts w:hint="eastAsia" w:ascii="宋体" w:hAnsi="宋体"/>
          <w:szCs w:val="21"/>
        </w:rPr>
      </w:pPr>
      <w:r>
        <w:rPr>
          <w:rFonts w:hint="eastAsia" w:ascii="宋体" w:hAnsi="宋体"/>
          <w:szCs w:val="21"/>
        </w:rPr>
        <w:t>1.履约保证金金额：按合同金额的5%收取。（若中标供应商符合《政府采购促进中小企业发展管理办法》（财库〔2020〕46号）及《广西壮族自治区财政厅关于持续优化政府采购营商环境推动高质量发展的通知》（桂财采〔2024〕55号）规定的，履约保证金将按合同金额的2%收取。）</w:t>
      </w:r>
    </w:p>
    <w:p w14:paraId="4537A389">
      <w:pPr>
        <w:spacing w:line="360" w:lineRule="exact"/>
        <w:ind w:firstLine="420" w:firstLineChars="200"/>
        <w:rPr>
          <w:rFonts w:hint="eastAsia" w:ascii="宋体" w:hAnsi="宋体"/>
          <w:szCs w:val="21"/>
        </w:rPr>
      </w:pPr>
      <w:r>
        <w:rPr>
          <w:rFonts w:hint="eastAsia" w:ascii="宋体" w:hAnsi="宋体"/>
          <w:szCs w:val="21"/>
        </w:rPr>
        <w:t>2.履约保证金递交方式：银行转账、支票、汇票、本票等非现金方式。</w:t>
      </w:r>
    </w:p>
    <w:p w14:paraId="586B6063">
      <w:pPr>
        <w:spacing w:line="360" w:lineRule="exact"/>
        <w:ind w:firstLine="420" w:firstLineChars="200"/>
        <w:rPr>
          <w:rFonts w:hint="eastAsia" w:ascii="宋体" w:hAnsi="宋体"/>
          <w:szCs w:val="21"/>
        </w:rPr>
      </w:pPr>
      <w:r>
        <w:rPr>
          <w:rFonts w:hint="eastAsia" w:ascii="宋体" w:hAnsi="宋体"/>
          <w:szCs w:val="21"/>
        </w:rPr>
        <w:t>3.履约保证金缴纳期限：自中标通知书发出之日起10个工作日内。</w:t>
      </w:r>
    </w:p>
    <w:p w14:paraId="51AA7BBF">
      <w:pPr>
        <w:spacing w:line="360" w:lineRule="exact"/>
        <w:ind w:firstLine="420" w:firstLineChars="200"/>
        <w:rPr>
          <w:rFonts w:hint="eastAsia" w:ascii="宋体" w:hAnsi="宋体"/>
          <w:szCs w:val="21"/>
        </w:rPr>
      </w:pPr>
      <w:r>
        <w:rPr>
          <w:rFonts w:hint="eastAsia" w:ascii="宋体" w:hAnsi="宋体"/>
          <w:szCs w:val="21"/>
        </w:rPr>
        <w:t>4.履约保证金退付方式、时间及条件：履约保证金在项目履约完成（按合同约定履行完合同所有内容）后，由乙方向甲方提出申请，甲方在收到申请材料后对相关违约情况进行核对，如有违约或赔偿的，涉及违约的违约金和损失赔偿从履约保证金中扣减，如有剩余甲方在5个工作日内退还（不计利息）；不足扣减的，甲方有权从未支付的合同款中（如有）扣除；履约保证金不足以抵扣违约或赔偿的，甲方有权另外向乙方追偿损失。</w:t>
      </w:r>
    </w:p>
    <w:p w14:paraId="16A50766">
      <w:pPr>
        <w:spacing w:line="360" w:lineRule="exact"/>
        <w:ind w:firstLine="420" w:firstLineChars="200"/>
        <w:rPr>
          <w:rFonts w:hint="eastAsia" w:ascii="宋体" w:hAnsi="宋体"/>
          <w:szCs w:val="21"/>
        </w:rPr>
      </w:pPr>
      <w:r>
        <w:rPr>
          <w:rFonts w:hint="eastAsia" w:ascii="宋体" w:hAnsi="宋体"/>
          <w:szCs w:val="21"/>
        </w:rPr>
        <w:t>5.不予退还的情形：签订合同后，如乙方不按双方签订的合同规定履约，则其全部履约保证金不予退还。</w:t>
      </w:r>
    </w:p>
    <w:p w14:paraId="24B98C0A">
      <w:pPr>
        <w:spacing w:line="360" w:lineRule="exact"/>
        <w:ind w:firstLine="420" w:firstLineChars="200"/>
        <w:rPr>
          <w:rFonts w:hint="eastAsia" w:ascii="宋体" w:hAnsi="宋体"/>
          <w:szCs w:val="21"/>
        </w:rPr>
      </w:pPr>
      <w:r>
        <w:rPr>
          <w:rFonts w:hint="eastAsia" w:ascii="宋体" w:hAnsi="宋体"/>
          <w:szCs w:val="21"/>
        </w:rPr>
        <w:t>6.履约保证金指定账户：</w:t>
      </w:r>
    </w:p>
    <w:p w14:paraId="35AF0FF5">
      <w:pPr>
        <w:spacing w:line="340" w:lineRule="exact"/>
        <w:ind w:firstLine="420" w:firstLineChars="200"/>
        <w:rPr>
          <w:rFonts w:hint="eastAsia" w:ascii="宋体" w:hAnsi="宋体"/>
          <w:color w:val="000000"/>
          <w:szCs w:val="21"/>
          <w:u w:val="single"/>
        </w:rPr>
      </w:pPr>
      <w:r>
        <w:rPr>
          <w:rFonts w:hint="eastAsia" w:ascii="宋体" w:hAnsi="宋体"/>
          <w:color w:val="000000"/>
          <w:szCs w:val="21"/>
          <w:u w:val="single"/>
        </w:rPr>
        <w:t xml:space="preserve">开户名称：广西壮族自治区公路发展中心 </w:t>
      </w:r>
    </w:p>
    <w:p w14:paraId="3DD516D2">
      <w:pPr>
        <w:spacing w:line="340" w:lineRule="exact"/>
        <w:ind w:firstLine="420" w:firstLineChars="200"/>
        <w:rPr>
          <w:rFonts w:hint="eastAsia" w:ascii="宋体" w:hAnsi="宋体"/>
          <w:color w:val="000000"/>
          <w:szCs w:val="21"/>
          <w:u w:val="single"/>
        </w:rPr>
      </w:pPr>
      <w:r>
        <w:rPr>
          <w:rFonts w:hint="eastAsia" w:ascii="宋体" w:hAnsi="宋体"/>
          <w:color w:val="000000"/>
          <w:szCs w:val="21"/>
          <w:u w:val="single"/>
        </w:rPr>
        <w:t xml:space="preserve">开户银行：工行南宁市市府支行  </w:t>
      </w:r>
    </w:p>
    <w:p w14:paraId="6A4F0E7D">
      <w:pPr>
        <w:spacing w:line="360" w:lineRule="exact"/>
        <w:ind w:firstLine="400" w:firstLineChars="200"/>
        <w:rPr>
          <w:rFonts w:hint="eastAsia" w:ascii="宋体" w:hAnsi="宋体"/>
          <w:color w:val="000000"/>
          <w:szCs w:val="21"/>
        </w:rPr>
      </w:pPr>
      <w:r>
        <w:rPr>
          <w:rFonts w:hint="eastAsia" w:ascii="宋体" w:hAnsi="宋体"/>
          <w:color w:val="000000"/>
          <w:kern w:val="0"/>
          <w:sz w:val="20"/>
          <w:szCs w:val="21"/>
          <w:u w:val="single"/>
        </w:rPr>
        <w:t xml:space="preserve">银行账号：2102174609221000218   </w:t>
      </w:r>
    </w:p>
    <w:p w14:paraId="4F25015D">
      <w:pPr>
        <w:snapToGrid w:val="0"/>
        <w:spacing w:line="400" w:lineRule="exact"/>
        <w:ind w:left="-61" w:firstLine="514"/>
        <w:rPr>
          <w:rFonts w:ascii="宋体" w:hAnsi="宋体"/>
          <w:b/>
          <w:color w:val="000000"/>
          <w:szCs w:val="21"/>
        </w:rPr>
      </w:pPr>
      <w:r>
        <w:rPr>
          <w:rFonts w:hint="eastAsia" w:ascii="宋体" w:hAnsi="宋体"/>
          <w:b/>
          <w:color w:val="000000"/>
          <w:szCs w:val="21"/>
        </w:rPr>
        <w:t>第九条  税费</w:t>
      </w:r>
    </w:p>
    <w:p w14:paraId="3AC6CDA1">
      <w:pPr>
        <w:snapToGrid w:val="0"/>
        <w:spacing w:line="400" w:lineRule="exact"/>
        <w:ind w:left="-61" w:firstLine="514"/>
        <w:rPr>
          <w:rFonts w:ascii="宋体" w:hAnsi="宋体"/>
          <w:szCs w:val="21"/>
        </w:rPr>
      </w:pPr>
      <w:r>
        <w:rPr>
          <w:rFonts w:hint="eastAsia" w:ascii="宋体" w:hAnsi="宋体"/>
          <w:szCs w:val="21"/>
        </w:rPr>
        <w:t>本合同执行中相关的一切税费均由乙方负担。</w:t>
      </w:r>
    </w:p>
    <w:p w14:paraId="0F57BEAE">
      <w:pPr>
        <w:snapToGrid w:val="0"/>
        <w:spacing w:line="400" w:lineRule="exact"/>
        <w:ind w:left="-61" w:firstLine="514"/>
        <w:rPr>
          <w:rFonts w:ascii="宋体" w:hAnsi="宋体"/>
          <w:b/>
          <w:szCs w:val="21"/>
        </w:rPr>
      </w:pPr>
      <w:r>
        <w:rPr>
          <w:rFonts w:hint="eastAsia" w:ascii="宋体" w:hAnsi="宋体"/>
          <w:b/>
          <w:szCs w:val="21"/>
        </w:rPr>
        <w:t>第十条  质量保证及售后服务</w:t>
      </w:r>
    </w:p>
    <w:p w14:paraId="30ECFAEA">
      <w:pPr>
        <w:snapToGrid w:val="0"/>
        <w:spacing w:line="400" w:lineRule="exact"/>
        <w:ind w:left="-61" w:firstLine="514"/>
        <w:rPr>
          <w:rFonts w:ascii="宋体" w:hAnsi="宋体" w:cs="Arial"/>
          <w:szCs w:val="21"/>
        </w:rPr>
      </w:pPr>
      <w:r>
        <w:rPr>
          <w:rFonts w:hint="eastAsia" w:ascii="宋体" w:hAnsi="宋体" w:cs="Arial"/>
          <w:szCs w:val="21"/>
        </w:rPr>
        <w:t>1.本合同产品的质量保证期为自产品验收合格次日起至少</w:t>
      </w:r>
      <w:r>
        <w:rPr>
          <w:rFonts w:hint="eastAsia" w:ascii="宋体" w:hAnsi="宋体" w:cs="Arial"/>
          <w:szCs w:val="21"/>
          <w:u w:val="single"/>
        </w:rPr>
        <w:t xml:space="preserve">   年</w:t>
      </w:r>
      <w:r>
        <w:rPr>
          <w:rFonts w:hint="eastAsia" w:ascii="宋体" w:hAnsi="宋体" w:cs="Arial"/>
          <w:szCs w:val="21"/>
        </w:rPr>
        <w:t>（制造商承诺保修期超过此期限的以较长时间为准）。在质量保证期内，货物出现质量问题，乙方应当在甲方通知起</w:t>
      </w:r>
      <w:r>
        <w:rPr>
          <w:rFonts w:hint="eastAsia" w:ascii="宋体" w:hAnsi="宋体" w:cs="Arial"/>
          <w:szCs w:val="21"/>
          <w:u w:val="single"/>
        </w:rPr>
        <w:t xml:space="preserve">  小时</w:t>
      </w:r>
      <w:r>
        <w:rPr>
          <w:rFonts w:hint="eastAsia" w:ascii="宋体" w:hAnsi="宋体" w:cs="Arial"/>
          <w:szCs w:val="21"/>
        </w:rPr>
        <w:t>内响应，如经远程技术指导不能解决故障的，</w:t>
      </w:r>
      <w:r>
        <w:rPr>
          <w:rFonts w:hint="eastAsia" w:ascii="宋体" w:hAnsi="宋体" w:cs="Arial"/>
          <w:b/>
          <w:szCs w:val="21"/>
          <w:u w:val="single"/>
        </w:rPr>
        <w:t xml:space="preserve">  小时内</w:t>
      </w:r>
      <w:r>
        <w:rPr>
          <w:rFonts w:hint="eastAsia" w:ascii="宋体" w:hAnsi="宋体" w:cs="Arial"/>
          <w:szCs w:val="21"/>
        </w:rPr>
        <w:t>免费上门进行维护、维修、更换，接到通知后</w:t>
      </w:r>
      <w:r>
        <w:rPr>
          <w:rFonts w:hint="eastAsia" w:ascii="宋体" w:hAnsi="宋体" w:cs="Arial"/>
          <w:b/>
          <w:szCs w:val="21"/>
          <w:u w:val="single"/>
        </w:rPr>
        <w:t xml:space="preserve">   小时内</w:t>
      </w:r>
      <w:r>
        <w:rPr>
          <w:rFonts w:hint="eastAsia" w:ascii="宋体" w:hAnsi="宋体" w:cs="Arial"/>
          <w:szCs w:val="21"/>
        </w:rPr>
        <w:t>完成维修工作，并提供维护报告。维护维修更换零配件的应提供使用原厂、全新零配件并经甲方确认。</w:t>
      </w:r>
    </w:p>
    <w:p w14:paraId="26A5F85E">
      <w:pPr>
        <w:snapToGrid w:val="0"/>
        <w:spacing w:line="400" w:lineRule="exact"/>
        <w:ind w:left="-61" w:firstLine="514"/>
        <w:rPr>
          <w:rFonts w:hint="eastAsia" w:ascii="宋体" w:hAnsi="宋体" w:cs="Arial"/>
          <w:szCs w:val="21"/>
        </w:rPr>
      </w:pPr>
      <w:r>
        <w:rPr>
          <w:rFonts w:hint="eastAsia" w:ascii="宋体" w:hAnsi="宋体" w:cs="Arial"/>
          <w:szCs w:val="21"/>
        </w:rPr>
        <w:t>2.乙方对其交付产品的质量承担保证责任，因产品设计、生产、存储、运输、工艺、材料缺陷或安装、质保不当等原因发生质量故障的，无论产品的保修期是否经过，均由乙方承担责任，赔偿由此给甲方、第三人造成的全部损失。</w:t>
      </w:r>
    </w:p>
    <w:p w14:paraId="4E9E8F29">
      <w:pPr>
        <w:snapToGrid w:val="0"/>
        <w:spacing w:line="400" w:lineRule="exact"/>
        <w:ind w:left="-61" w:firstLine="514"/>
        <w:rPr>
          <w:rFonts w:ascii="宋体" w:hAnsi="宋体" w:cs="Arial"/>
          <w:szCs w:val="21"/>
        </w:rPr>
      </w:pPr>
      <w:r>
        <w:rPr>
          <w:rFonts w:ascii="宋体" w:hAnsi="宋体" w:cs="Arial"/>
          <w:szCs w:val="21"/>
        </w:rPr>
        <w:t>3</w:t>
      </w:r>
      <w:r>
        <w:rPr>
          <w:rFonts w:hint="eastAsia" w:ascii="宋体" w:hAnsi="宋体" w:cs="Arial"/>
          <w:szCs w:val="21"/>
        </w:rPr>
        <w:t>.按质保要求，产品满三个月之后，质量保证期内，如发生重要或核心部件两次及以上故障，或相同故障经三次维修不能解决的，甲方有权要求乙方无条件退款退货并赔偿损失。</w:t>
      </w:r>
    </w:p>
    <w:p w14:paraId="72E22653">
      <w:pPr>
        <w:snapToGrid w:val="0"/>
        <w:spacing w:line="400" w:lineRule="exact"/>
        <w:ind w:left="-61" w:firstLine="514"/>
        <w:rPr>
          <w:rFonts w:ascii="宋体" w:hAnsi="宋体" w:cs="Arial"/>
          <w:szCs w:val="21"/>
        </w:rPr>
      </w:pPr>
      <w:r>
        <w:rPr>
          <w:rFonts w:ascii="宋体" w:hAnsi="宋体" w:cs="Arial"/>
          <w:szCs w:val="21"/>
        </w:rPr>
        <w:t>4</w:t>
      </w:r>
      <w:r>
        <w:rPr>
          <w:rFonts w:hint="eastAsia" w:ascii="宋体" w:hAnsi="宋体" w:cs="Arial"/>
          <w:szCs w:val="21"/>
        </w:rPr>
        <w:t>.质量保证期内，超过约定期限未能修复设备的，乙方应在两日内提供不低于合同设备功能标准的备用设备，保证甲方业务工作的连续性。</w:t>
      </w:r>
    </w:p>
    <w:p w14:paraId="3A42AACA">
      <w:pPr>
        <w:snapToGrid w:val="0"/>
        <w:spacing w:line="400" w:lineRule="exact"/>
        <w:ind w:left="-61" w:firstLine="514"/>
        <w:rPr>
          <w:rFonts w:ascii="宋体" w:hAnsi="宋体" w:cs="Arial"/>
          <w:szCs w:val="21"/>
        </w:rPr>
      </w:pPr>
      <w:r>
        <w:rPr>
          <w:rFonts w:ascii="宋体" w:hAnsi="宋体" w:cs="Arial"/>
          <w:szCs w:val="21"/>
        </w:rPr>
        <w:t>5</w:t>
      </w:r>
      <w:r>
        <w:rPr>
          <w:rFonts w:hint="eastAsia" w:ascii="宋体" w:hAnsi="宋体" w:cs="Arial"/>
          <w:szCs w:val="21"/>
        </w:rPr>
        <w:t>.乙方逾期未按本条约定进行维修、更换或维修、更换后设备达不到设计、标称的功能、参数的，甲方有权自行或委托第三人进行维修、更换，由此产生的费用由乙方承担。经过甲方或第三人维修、更换后的产品，乙方继续按本合同约定承担质量保修责任。乙方未及时履行保修义务导致的损失均由乙方承担。</w:t>
      </w:r>
    </w:p>
    <w:p w14:paraId="61E8C501">
      <w:pPr>
        <w:snapToGrid w:val="0"/>
        <w:spacing w:line="400" w:lineRule="exact"/>
        <w:ind w:left="-61" w:firstLine="514"/>
        <w:rPr>
          <w:rFonts w:ascii="宋体" w:hAnsi="宋体" w:cs="Arial"/>
          <w:szCs w:val="21"/>
        </w:rPr>
      </w:pPr>
      <w:r>
        <w:rPr>
          <w:rFonts w:ascii="宋体" w:hAnsi="宋体" w:cs="Arial"/>
          <w:szCs w:val="21"/>
        </w:rPr>
        <w:t>6</w:t>
      </w:r>
      <w:r>
        <w:rPr>
          <w:rFonts w:hint="eastAsia" w:ascii="宋体" w:hAnsi="宋体" w:cs="Arial"/>
          <w:szCs w:val="21"/>
        </w:rPr>
        <w:t>.产品重要或核心零部件经过维修后，自维修合格之日起，质量保证期重新开始计算。</w:t>
      </w:r>
    </w:p>
    <w:p w14:paraId="6F673217">
      <w:pPr>
        <w:snapToGrid w:val="0"/>
        <w:spacing w:line="400" w:lineRule="exact"/>
        <w:ind w:left="-61" w:firstLine="514"/>
        <w:rPr>
          <w:rFonts w:hint="eastAsia" w:ascii="宋体" w:hAnsi="宋体" w:cs="Arial"/>
          <w:szCs w:val="21"/>
        </w:rPr>
      </w:pPr>
      <w:r>
        <w:rPr>
          <w:rFonts w:hint="eastAsia" w:ascii="宋体" w:hAnsi="宋体" w:cs="Arial"/>
          <w:szCs w:val="21"/>
        </w:rPr>
        <w:t>7.在保修期内，乙方负责对货物出现的质量、故障及安全问题负责处理解决并承担一切费用。若甲方因乙方拒绝承担该项责任而另行委托第三方维修，由此产生的费用由乙方承担。</w:t>
      </w:r>
    </w:p>
    <w:p w14:paraId="7F68F286">
      <w:pPr>
        <w:snapToGrid w:val="0"/>
        <w:spacing w:line="400" w:lineRule="exact"/>
        <w:ind w:left="-61" w:firstLine="514"/>
        <w:rPr>
          <w:rFonts w:hint="eastAsia" w:ascii="宋体" w:hAnsi="宋体" w:cs="Arial"/>
          <w:szCs w:val="21"/>
        </w:rPr>
      </w:pPr>
      <w:r>
        <w:rPr>
          <w:rFonts w:hint="eastAsia" w:ascii="宋体" w:hAnsi="宋体" w:cs="Arial"/>
          <w:szCs w:val="21"/>
        </w:rPr>
        <w:t>8.对于经维修、更换后仍存在质量、故障及安全问题的货物，甲方有权根据实际情况按以下办法处理：</w:t>
      </w:r>
    </w:p>
    <w:p w14:paraId="0123B666">
      <w:pPr>
        <w:snapToGrid w:val="0"/>
        <w:spacing w:line="400" w:lineRule="exact"/>
        <w:ind w:left="-61" w:firstLine="514"/>
        <w:rPr>
          <w:rFonts w:hint="eastAsia" w:ascii="宋体" w:hAnsi="宋体" w:cs="Arial"/>
          <w:szCs w:val="21"/>
        </w:rPr>
      </w:pPr>
      <w:r>
        <w:rPr>
          <w:rFonts w:hint="eastAsia" w:ascii="宋体" w:hAnsi="宋体" w:cs="Arial"/>
          <w:szCs w:val="21"/>
        </w:rPr>
        <w:t>（1）更换：由乙方承担所发生的全部费用。</w:t>
      </w:r>
    </w:p>
    <w:p w14:paraId="42E42418">
      <w:pPr>
        <w:snapToGrid w:val="0"/>
        <w:spacing w:line="400" w:lineRule="exact"/>
        <w:ind w:left="-61" w:firstLine="514"/>
        <w:rPr>
          <w:rFonts w:hint="eastAsia" w:ascii="宋体" w:hAnsi="宋体" w:cs="Arial"/>
          <w:szCs w:val="21"/>
        </w:rPr>
      </w:pPr>
      <w:r>
        <w:rPr>
          <w:rFonts w:hint="eastAsia" w:ascii="宋体" w:hAnsi="宋体" w:cs="Arial"/>
          <w:szCs w:val="21"/>
        </w:rPr>
        <w:t>（2）贬值处理：由甲乙双方合议定价，无法合议定价的以评估价进行认定，因评估而产生的费用由乙方承担，乙方不愿承担评估费的则甲方有权按照本条第三款规定的退货处理。</w:t>
      </w:r>
    </w:p>
    <w:p w14:paraId="41EB48E2">
      <w:pPr>
        <w:snapToGrid w:val="0"/>
        <w:spacing w:line="400" w:lineRule="exact"/>
        <w:ind w:left="-61" w:firstLine="514"/>
        <w:rPr>
          <w:rFonts w:hint="eastAsia" w:ascii="宋体" w:hAnsi="宋体" w:cs="Arial"/>
          <w:szCs w:val="21"/>
        </w:rPr>
      </w:pPr>
      <w:r>
        <w:rPr>
          <w:rFonts w:hint="eastAsia" w:ascii="宋体" w:hAnsi="宋体" w:cs="Arial"/>
          <w:szCs w:val="21"/>
        </w:rPr>
        <w:t>（3）退货：乙方应退还甲方支付存在质量、故障及安全问题的货物的货款，同时应承担该货物的直接费用（人工、运输、保险、检验、货款利息及银行手续费等）。</w:t>
      </w:r>
    </w:p>
    <w:p w14:paraId="0C2889F9">
      <w:pPr>
        <w:snapToGrid w:val="0"/>
        <w:spacing w:line="400" w:lineRule="exact"/>
        <w:ind w:left="-61" w:firstLine="514"/>
        <w:rPr>
          <w:rFonts w:hint="eastAsia" w:ascii="宋体" w:hAnsi="宋体" w:cs="Arial"/>
          <w:szCs w:val="21"/>
        </w:rPr>
      </w:pPr>
      <w:r>
        <w:rPr>
          <w:rFonts w:hint="eastAsia" w:ascii="宋体" w:hAnsi="宋体" w:cs="Arial"/>
          <w:szCs w:val="21"/>
        </w:rPr>
        <w:t>9.货物因人为因素出现的故障不在免费保修范围内。货物质量保证期届满后的维修或人为因素引发的故障由乙方按投标文件承诺执行，乙方不得拒绝维修。</w:t>
      </w:r>
    </w:p>
    <w:p w14:paraId="7FA53F9C">
      <w:pPr>
        <w:snapToGrid w:val="0"/>
        <w:spacing w:line="400" w:lineRule="exact"/>
        <w:ind w:left="-61" w:firstLine="514"/>
        <w:rPr>
          <w:rFonts w:ascii="宋体" w:hAnsi="宋体" w:cs="Arial"/>
          <w:szCs w:val="21"/>
        </w:rPr>
      </w:pPr>
      <w:r>
        <w:rPr>
          <w:rFonts w:ascii="宋体" w:hAnsi="宋体" w:cs="Arial"/>
          <w:szCs w:val="21"/>
        </w:rPr>
        <w:t>10</w:t>
      </w:r>
      <w:r>
        <w:rPr>
          <w:rFonts w:hint="eastAsia" w:ascii="宋体" w:hAnsi="宋体" w:cs="Arial"/>
          <w:szCs w:val="21"/>
        </w:rPr>
        <w:t>.采购文件及乙方在质量保证或售后服务承诺中对质量保修及售后服务有其他更高的要求且对甲方维护权利更有利约定的以该约定为准。</w:t>
      </w:r>
    </w:p>
    <w:p w14:paraId="409B36D0">
      <w:pPr>
        <w:snapToGrid w:val="0"/>
        <w:spacing w:line="400" w:lineRule="exact"/>
        <w:ind w:left="-61" w:firstLine="514"/>
        <w:rPr>
          <w:rFonts w:hint="eastAsia" w:ascii="宋体" w:hAnsi="宋体" w:cs="Arial"/>
          <w:szCs w:val="21"/>
        </w:rPr>
      </w:pPr>
      <w:r>
        <w:rPr>
          <w:rFonts w:ascii="宋体" w:hAnsi="宋体" w:cs="Arial"/>
          <w:szCs w:val="21"/>
        </w:rPr>
        <w:t>11</w:t>
      </w:r>
      <w:r>
        <w:rPr>
          <w:rFonts w:hint="eastAsia" w:ascii="宋体" w:hAnsi="宋体" w:cs="Arial"/>
          <w:szCs w:val="21"/>
        </w:rPr>
        <w:t>.乙方提供的服务承诺和售后服务及保修期责任等其它具体约定事项。（见合同附件）</w:t>
      </w:r>
    </w:p>
    <w:p w14:paraId="72FED13E">
      <w:pPr>
        <w:pStyle w:val="25"/>
        <w:snapToGrid w:val="0"/>
        <w:spacing w:line="400" w:lineRule="exact"/>
        <w:ind w:firstLine="422" w:firstLineChars="200"/>
        <w:rPr>
          <w:rFonts w:hAnsi="宋体"/>
          <w:sz w:val="21"/>
        </w:rPr>
      </w:pPr>
      <w:r>
        <w:rPr>
          <w:rFonts w:hint="eastAsia" w:hAnsi="宋体"/>
          <w:b/>
          <w:sz w:val="21"/>
        </w:rPr>
        <w:t>第十一条  违约责任</w:t>
      </w:r>
    </w:p>
    <w:p w14:paraId="05B84A50">
      <w:pPr>
        <w:snapToGrid w:val="0"/>
        <w:spacing w:line="380" w:lineRule="exact"/>
        <w:ind w:firstLine="420" w:firstLineChars="200"/>
        <w:rPr>
          <w:rFonts w:hint="eastAsia" w:ascii="宋体" w:hAnsi="宋体" w:cs="Arial"/>
          <w:bCs/>
          <w:szCs w:val="21"/>
        </w:rPr>
      </w:pPr>
      <w:r>
        <w:rPr>
          <w:rFonts w:hint="eastAsia" w:ascii="宋体" w:hAnsi="宋体" w:cs="Arial"/>
          <w:bCs/>
          <w:szCs w:val="21"/>
        </w:rPr>
        <w:t>1.若乙方未按本合同约定或甲方发货通知要求的期限交货、安装或完成本合同约定的其他工作的，每逾期一天，乙方应按本合同总价款的3‰向甲方支付违约金，逾期违约金累计不超过违约货款额5%；逾期15天，甲方有权选择单方解除本合同并要求乙方支付合同总价款30%的违约金。甲方无故延期付货款的，每天向乙方偿付延期货款额3‰违约金，甲方违约金支付总额不超过延期货款额1%。</w:t>
      </w:r>
    </w:p>
    <w:p w14:paraId="7D367A97">
      <w:pPr>
        <w:snapToGrid w:val="0"/>
        <w:spacing w:line="380" w:lineRule="exact"/>
        <w:ind w:firstLine="420" w:firstLineChars="200"/>
        <w:rPr>
          <w:rFonts w:hint="eastAsia" w:ascii="宋体" w:hAnsi="宋体" w:cs="Arial"/>
          <w:bCs/>
          <w:szCs w:val="21"/>
        </w:rPr>
      </w:pPr>
      <w:r>
        <w:rPr>
          <w:rFonts w:hint="eastAsia" w:ascii="宋体" w:hAnsi="宋体" w:cs="Arial"/>
          <w:bCs/>
          <w:szCs w:val="21"/>
        </w:rPr>
        <w:t>2经过甲方验收，乙方交付的产品数量、包装、规格、品牌、质量、随附单证等与合同约定不一致的，视为交付不合格，甲方有权采取下列任何一种措施追究乙方违约责任：</w:t>
      </w:r>
    </w:p>
    <w:p w14:paraId="4C146014">
      <w:pPr>
        <w:snapToGrid w:val="0"/>
        <w:spacing w:line="380" w:lineRule="exact"/>
        <w:ind w:firstLine="420" w:firstLineChars="200"/>
        <w:rPr>
          <w:rFonts w:hint="eastAsia" w:ascii="宋体" w:hAnsi="宋体" w:cs="Arial"/>
          <w:bCs/>
          <w:szCs w:val="21"/>
        </w:rPr>
      </w:pPr>
      <w:r>
        <w:rPr>
          <w:rFonts w:hint="eastAsia" w:ascii="宋体" w:hAnsi="宋体" w:cs="Arial"/>
          <w:bCs/>
          <w:szCs w:val="21"/>
        </w:rPr>
        <w:t>（1）拒绝接受不合格产品，要求乙方在5日内无条件更换、补足或修理、重做，由此产生的费用由乙方承担，因此延误交货期的乙方承担相应的违约责任，逾期15日仍未更换、补足或更换、补足后仍不符合合同约定的，甲方有权选择单方解除本合同或部分解除本合同并要求乙方支付解除合同部分价款30%作为违约金；</w:t>
      </w:r>
    </w:p>
    <w:p w14:paraId="270FBFA1">
      <w:pPr>
        <w:snapToGrid w:val="0"/>
        <w:spacing w:line="380" w:lineRule="exact"/>
        <w:ind w:firstLine="420" w:firstLineChars="200"/>
        <w:rPr>
          <w:rFonts w:hint="eastAsia" w:ascii="宋体" w:hAnsi="宋体" w:cs="Arial"/>
          <w:bCs/>
          <w:szCs w:val="21"/>
        </w:rPr>
      </w:pPr>
      <w:r>
        <w:rPr>
          <w:rFonts w:hint="eastAsia" w:ascii="宋体" w:hAnsi="宋体" w:cs="Arial"/>
          <w:bCs/>
          <w:szCs w:val="21"/>
        </w:rPr>
        <w:t>（2）已经接收的产品要求乙方在5日内无条件退货并退还甲方已支付的全部价款并支付退货部分价款30%的违约金；</w:t>
      </w:r>
    </w:p>
    <w:p w14:paraId="53134063">
      <w:pPr>
        <w:snapToGrid w:val="0"/>
        <w:spacing w:line="380" w:lineRule="exact"/>
        <w:ind w:firstLine="420" w:firstLineChars="200"/>
        <w:rPr>
          <w:rFonts w:hint="eastAsia" w:ascii="宋体" w:hAnsi="宋体" w:cs="Arial"/>
          <w:bCs/>
          <w:szCs w:val="21"/>
        </w:rPr>
      </w:pPr>
      <w:r>
        <w:rPr>
          <w:rFonts w:hint="eastAsia" w:ascii="宋体" w:hAnsi="宋体" w:cs="Arial"/>
          <w:bCs/>
          <w:szCs w:val="21"/>
        </w:rPr>
        <w:t>（3）选择不退换货的，甲方有权根据情况以质论价减少价款并要求乙方支付本合同总价款的10%作为违约金。</w:t>
      </w:r>
    </w:p>
    <w:p w14:paraId="4D300EFC">
      <w:pPr>
        <w:snapToGrid w:val="0"/>
        <w:spacing w:line="380" w:lineRule="exact"/>
        <w:ind w:firstLine="420" w:firstLineChars="200"/>
        <w:rPr>
          <w:rFonts w:hint="eastAsia" w:ascii="宋体" w:hAnsi="宋体" w:cs="Arial"/>
          <w:bCs/>
          <w:szCs w:val="21"/>
        </w:rPr>
      </w:pPr>
      <w:r>
        <w:rPr>
          <w:rFonts w:hint="eastAsia" w:ascii="宋体" w:hAnsi="宋体" w:cs="Arial"/>
          <w:bCs/>
          <w:szCs w:val="21"/>
        </w:rPr>
        <w:t>3.乙方应当保证有权销售本合同的所有产品，不会因此侵犯到第三人的所有权、知识产权等一切权利也未对产品设置任何负担，属于第三人拥有知识产权的已经取得第三人合法授权，甲方有权不受限制的使用。若因违反本款约定引起的第三方权利纠纷的由乙方负责交涉并承担全部责任，如甲方因此向第三方承担了相关责任有权向乙方追偿全部损失。若因此导致甲方经济损失的，乙方应当予以赔偿，赔偿范围包括但不限于实际发生的经济损失、使用该产品所需的授权费以及解决争议发生的一切费用（包括但不限于律师费、诉讼费、鉴定费、保全费、财产保全保函费、差旅费等）均由乙方承担。如果不能取得使用许可需要另行购买产品的，所需费用由乙方承担，并赔偿甲方因此受到的损失。</w:t>
      </w:r>
    </w:p>
    <w:p w14:paraId="050C2251">
      <w:pPr>
        <w:snapToGrid w:val="0"/>
        <w:spacing w:line="380" w:lineRule="exact"/>
        <w:ind w:firstLine="420" w:firstLineChars="200"/>
        <w:rPr>
          <w:rFonts w:hint="eastAsia" w:ascii="宋体" w:hAnsi="宋体" w:cs="Arial"/>
          <w:bCs/>
          <w:szCs w:val="21"/>
        </w:rPr>
      </w:pPr>
      <w:r>
        <w:rPr>
          <w:rFonts w:hint="eastAsia" w:ascii="宋体" w:hAnsi="宋体" w:cs="Arial"/>
          <w:bCs/>
          <w:szCs w:val="21"/>
        </w:rPr>
        <w:t>4.因包装、运输引起的货物损坏，按质量不合格处罚，甲方有权要求乙方支重新交付合格的货物并要求乙方向甲方支付违约货款额5%违约金并赔偿甲方经济损失。</w:t>
      </w:r>
    </w:p>
    <w:p w14:paraId="640280C2">
      <w:pPr>
        <w:snapToGrid w:val="0"/>
        <w:spacing w:line="380" w:lineRule="exact"/>
        <w:ind w:firstLine="420" w:firstLineChars="200"/>
        <w:rPr>
          <w:rFonts w:hint="eastAsia" w:ascii="宋体" w:hAnsi="宋体" w:cs="Arial"/>
          <w:bCs/>
          <w:szCs w:val="21"/>
        </w:rPr>
      </w:pPr>
      <w:r>
        <w:rPr>
          <w:rFonts w:hint="eastAsia" w:ascii="宋体" w:hAnsi="宋体" w:cs="Arial"/>
          <w:bCs/>
          <w:szCs w:val="21"/>
        </w:rPr>
        <w:t>5.货物验收结果为不合格且乙方无法通过更换、重做等补救措施达到合格标准的，视为乙方根本性违约，甲方有权解除本合同，乙方应退还甲方已付全部费用并向甲方支付合同合计金额30%的违约金。</w:t>
      </w:r>
    </w:p>
    <w:p w14:paraId="1209CA2D">
      <w:pPr>
        <w:snapToGrid w:val="0"/>
        <w:spacing w:line="380" w:lineRule="exact"/>
        <w:ind w:firstLine="420" w:firstLineChars="200"/>
        <w:rPr>
          <w:rFonts w:hint="eastAsia" w:ascii="宋体" w:hAnsi="宋体" w:cs="Arial"/>
          <w:bCs/>
          <w:szCs w:val="21"/>
        </w:rPr>
      </w:pPr>
      <w:r>
        <w:rPr>
          <w:rFonts w:hint="eastAsia" w:ascii="宋体" w:hAnsi="宋体" w:cs="Arial"/>
          <w:bCs/>
          <w:szCs w:val="21"/>
        </w:rPr>
        <w:t>6.乙方未按本合同和投标文件中规定的服务承诺提供售后服务的，乙方应按本合同合计金额5%向甲方支付违约金。</w:t>
      </w:r>
    </w:p>
    <w:p w14:paraId="0D3F7A50">
      <w:pPr>
        <w:snapToGrid w:val="0"/>
        <w:spacing w:line="380" w:lineRule="exact"/>
        <w:ind w:firstLine="420" w:firstLineChars="200"/>
        <w:rPr>
          <w:rFonts w:hint="eastAsia" w:ascii="宋体" w:hAnsi="宋体" w:cs="Arial"/>
          <w:bCs/>
          <w:szCs w:val="21"/>
        </w:rPr>
      </w:pPr>
      <w:r>
        <w:rPr>
          <w:rFonts w:hint="eastAsia" w:ascii="宋体" w:hAnsi="宋体" w:cs="Arial"/>
          <w:bCs/>
          <w:szCs w:val="21"/>
        </w:rPr>
        <w:t>7.乙方未经甲方同意，不得更换项目人员，否则，更换一个应赔偿甲方500元违约金，更换项目人员超过半数的，甲方有权解除合同并要求乙方支付合同金额的30%的违约金。</w:t>
      </w:r>
    </w:p>
    <w:p w14:paraId="31FBA070">
      <w:pPr>
        <w:snapToGrid w:val="0"/>
        <w:spacing w:line="380" w:lineRule="exact"/>
        <w:ind w:firstLine="420" w:firstLineChars="200"/>
        <w:rPr>
          <w:rFonts w:hint="eastAsia" w:ascii="宋体" w:hAnsi="宋体" w:cs="Arial"/>
          <w:bCs/>
          <w:szCs w:val="21"/>
        </w:rPr>
      </w:pPr>
      <w:r>
        <w:rPr>
          <w:rFonts w:hint="eastAsia" w:ascii="宋体" w:hAnsi="宋体" w:cs="Arial"/>
          <w:bCs/>
          <w:szCs w:val="21"/>
        </w:rPr>
        <w:t>8.本合同签订及履行过程中，未经甲方书面同意，乙方不得将本合同的权利义务以任何方式转让给第三人，否则甲方有权选择单方解除本合同并要求乙方支付合同总价款30%的违约金，并赔偿给甲方造成的损失。</w:t>
      </w:r>
    </w:p>
    <w:p w14:paraId="5161D95B">
      <w:pPr>
        <w:snapToGrid w:val="0"/>
        <w:spacing w:line="380" w:lineRule="exact"/>
        <w:ind w:firstLine="420" w:firstLineChars="200"/>
        <w:rPr>
          <w:rFonts w:hint="eastAsia" w:ascii="宋体" w:hAnsi="宋体" w:cs="Arial"/>
          <w:bCs/>
          <w:szCs w:val="21"/>
        </w:rPr>
      </w:pPr>
      <w:r>
        <w:rPr>
          <w:rFonts w:ascii="宋体" w:hAnsi="宋体" w:cs="Arial"/>
          <w:bCs/>
          <w:szCs w:val="21"/>
        </w:rPr>
        <w:t>9</w:t>
      </w:r>
      <w:r>
        <w:rPr>
          <w:rFonts w:hint="eastAsia" w:ascii="宋体" w:hAnsi="宋体" w:cs="Arial"/>
          <w:bCs/>
          <w:szCs w:val="21"/>
        </w:rPr>
        <w:t>.本合同签订后，乙方要求提前解除合同的，应向甲方支付本合同总价款30%的违约金，退还甲方已支付的全部费用并赔偿由此给甲方造成的全部损失。</w:t>
      </w:r>
    </w:p>
    <w:p w14:paraId="58949C4D">
      <w:pPr>
        <w:snapToGrid w:val="0"/>
        <w:spacing w:line="380" w:lineRule="exact"/>
        <w:ind w:firstLine="420" w:firstLineChars="200"/>
        <w:rPr>
          <w:rFonts w:hint="eastAsia" w:ascii="宋体" w:hAnsi="宋体" w:cs="Arial"/>
          <w:bCs/>
          <w:szCs w:val="21"/>
        </w:rPr>
      </w:pPr>
      <w:r>
        <w:rPr>
          <w:rFonts w:hint="eastAsia" w:ascii="宋体" w:hAnsi="宋体" w:cs="Arial"/>
          <w:bCs/>
          <w:szCs w:val="21"/>
        </w:rPr>
        <w:t>1</w:t>
      </w:r>
      <w:r>
        <w:rPr>
          <w:rFonts w:ascii="宋体" w:hAnsi="宋体" w:cs="Arial"/>
          <w:bCs/>
          <w:szCs w:val="21"/>
        </w:rPr>
        <w:t>0</w:t>
      </w:r>
      <w:r>
        <w:rPr>
          <w:rFonts w:hint="eastAsia" w:ascii="宋体" w:hAnsi="宋体" w:cs="Arial"/>
          <w:bCs/>
          <w:szCs w:val="21"/>
        </w:rPr>
        <w:t>.按本合同约定甲方选择解除合同的，自甲方解除合同的书面通知送达乙方之日起合同解除，乙方应赔偿由此给甲方造成的全部损失。甲方不支付乙方任何费用，乙方对解除合同有异议的异议期为7日。乙方应当在合同解除后5日内退还甲方支付的所有费用（如有），自费运回所交付的货物，付清违约金、赔偿金。</w:t>
      </w:r>
    </w:p>
    <w:p w14:paraId="0F822569">
      <w:pPr>
        <w:snapToGrid w:val="0"/>
        <w:spacing w:line="380" w:lineRule="exact"/>
        <w:ind w:firstLine="420" w:firstLineChars="200"/>
        <w:rPr>
          <w:rFonts w:hint="eastAsia" w:ascii="宋体" w:hAnsi="宋体" w:cs="Arial"/>
          <w:bCs/>
          <w:szCs w:val="21"/>
        </w:rPr>
      </w:pPr>
      <w:r>
        <w:rPr>
          <w:rFonts w:hint="eastAsia" w:ascii="宋体" w:hAnsi="宋体" w:cs="Arial"/>
          <w:bCs/>
          <w:szCs w:val="21"/>
        </w:rPr>
        <w:t>1</w:t>
      </w:r>
      <w:r>
        <w:rPr>
          <w:rFonts w:ascii="宋体" w:hAnsi="宋体" w:cs="Arial"/>
          <w:bCs/>
          <w:szCs w:val="21"/>
        </w:rPr>
        <w:t>1</w:t>
      </w:r>
      <w:r>
        <w:rPr>
          <w:rFonts w:hint="eastAsia" w:ascii="宋体" w:hAnsi="宋体" w:cs="Arial"/>
          <w:bCs/>
          <w:szCs w:val="21"/>
        </w:rPr>
        <w:t>.乙方应当支付给甲方的违约金、赔偿金，甲方有权从履约保证金及未支付的货款中扣除，违约金不足以赔偿给甲方因乙方违约而遭受的损失的，甲方仍有权向乙方进行追偿。</w:t>
      </w:r>
    </w:p>
    <w:p w14:paraId="3D565100">
      <w:pPr>
        <w:snapToGrid w:val="0"/>
        <w:spacing w:line="380" w:lineRule="exact"/>
        <w:ind w:firstLine="420" w:firstLineChars="200"/>
        <w:rPr>
          <w:rFonts w:hint="eastAsia" w:ascii="宋体" w:hAnsi="宋体" w:cs="Arial"/>
          <w:bCs/>
          <w:szCs w:val="21"/>
        </w:rPr>
      </w:pPr>
      <w:r>
        <w:rPr>
          <w:rFonts w:hint="eastAsia" w:ascii="宋体" w:hAnsi="宋体" w:cs="Arial"/>
          <w:bCs/>
          <w:szCs w:val="21"/>
        </w:rPr>
        <w:t>1</w:t>
      </w:r>
      <w:r>
        <w:rPr>
          <w:rFonts w:ascii="宋体" w:hAnsi="宋体" w:cs="Arial"/>
          <w:bCs/>
          <w:szCs w:val="21"/>
        </w:rPr>
        <w:t>2</w:t>
      </w:r>
      <w:r>
        <w:rPr>
          <w:rFonts w:hint="eastAsia" w:ascii="宋体" w:hAnsi="宋体" w:cs="Arial"/>
          <w:bCs/>
          <w:szCs w:val="21"/>
        </w:rPr>
        <w:t>.甲乙双方有其它违约行为的，由违约方向对方支付违约内容涉及货款额的5%，违约内容涉及货款额的5%不足以赔偿经济损失的按实际赔偿。</w:t>
      </w:r>
    </w:p>
    <w:p w14:paraId="46D536E6">
      <w:pPr>
        <w:snapToGrid w:val="0"/>
        <w:spacing w:line="380" w:lineRule="exact"/>
        <w:ind w:firstLine="420" w:firstLineChars="200"/>
        <w:rPr>
          <w:rFonts w:hint="eastAsia" w:ascii="宋体" w:hAnsi="宋体" w:cs="Arial"/>
          <w:bCs/>
          <w:szCs w:val="21"/>
        </w:rPr>
      </w:pPr>
      <w:r>
        <w:rPr>
          <w:rFonts w:hint="eastAsia" w:ascii="宋体" w:hAnsi="宋体" w:cs="Arial"/>
          <w:bCs/>
          <w:szCs w:val="21"/>
        </w:rPr>
        <w:t>1</w:t>
      </w:r>
      <w:r>
        <w:rPr>
          <w:rFonts w:ascii="宋体" w:hAnsi="宋体" w:cs="Arial"/>
          <w:bCs/>
          <w:szCs w:val="21"/>
        </w:rPr>
        <w:t>3</w:t>
      </w:r>
      <w:r>
        <w:rPr>
          <w:rFonts w:hint="eastAsia" w:ascii="宋体" w:hAnsi="宋体" w:cs="Arial"/>
          <w:bCs/>
          <w:szCs w:val="21"/>
        </w:rPr>
        <w:t>.本合同约定的违约责任或经济损失包括但不限于直接损失、预期利益损失、向第三人支付的违约金、赔偿金、因维权所产生的律师费、诉讼费、保全费、保全保函费、执行费、鉴定费、公证费、评估费等。</w:t>
      </w:r>
    </w:p>
    <w:p w14:paraId="2DE3F955">
      <w:pPr>
        <w:pStyle w:val="25"/>
        <w:snapToGrid w:val="0"/>
        <w:spacing w:line="400" w:lineRule="exact"/>
        <w:ind w:firstLine="413" w:firstLineChars="196"/>
        <w:rPr>
          <w:rFonts w:hAnsi="宋体"/>
          <w:b/>
          <w:sz w:val="21"/>
        </w:rPr>
      </w:pPr>
      <w:r>
        <w:rPr>
          <w:rFonts w:hAnsi="宋体"/>
          <w:b/>
          <w:sz w:val="21"/>
        </w:rPr>
        <w:t>第十</w:t>
      </w:r>
      <w:r>
        <w:rPr>
          <w:rFonts w:hint="eastAsia" w:hAnsi="宋体"/>
          <w:b/>
          <w:sz w:val="21"/>
        </w:rPr>
        <w:t>二</w:t>
      </w:r>
      <w:r>
        <w:rPr>
          <w:rFonts w:hAnsi="宋体"/>
          <w:b/>
          <w:sz w:val="21"/>
        </w:rPr>
        <w:t>条  不可抗力事件处</w:t>
      </w:r>
    </w:p>
    <w:p w14:paraId="3423E2EF">
      <w:pPr>
        <w:pStyle w:val="25"/>
        <w:snapToGrid w:val="0"/>
        <w:spacing w:line="400" w:lineRule="exact"/>
        <w:ind w:firstLine="420" w:firstLineChars="200"/>
        <w:rPr>
          <w:rFonts w:hint="eastAsia" w:hAnsi="宋体"/>
          <w:sz w:val="21"/>
        </w:rPr>
      </w:pPr>
      <w:r>
        <w:rPr>
          <w:rFonts w:hint="eastAsia" w:hAnsi="宋体"/>
          <w:sz w:val="21"/>
        </w:rPr>
        <w:t>1.在合同有效期内，任何一方因不可抗力事件导致不能履行合同，则合同履行期可延长，其延长期与不可抗力影响期相同。</w:t>
      </w:r>
    </w:p>
    <w:p w14:paraId="5746708C">
      <w:pPr>
        <w:pStyle w:val="25"/>
        <w:snapToGrid w:val="0"/>
        <w:spacing w:line="400" w:lineRule="exact"/>
        <w:ind w:firstLine="420" w:firstLineChars="200"/>
        <w:rPr>
          <w:rFonts w:hint="eastAsia" w:hAnsi="宋体"/>
          <w:sz w:val="21"/>
        </w:rPr>
      </w:pPr>
      <w:r>
        <w:rPr>
          <w:rFonts w:hint="eastAsia" w:hAnsi="宋体"/>
          <w:sz w:val="21"/>
        </w:rPr>
        <w:t>2.不可抗力事件发生后，应立即通知对方，并寄送有关权威机构出具的证明。</w:t>
      </w:r>
    </w:p>
    <w:p w14:paraId="64B93070">
      <w:pPr>
        <w:pStyle w:val="25"/>
        <w:snapToGrid w:val="0"/>
        <w:spacing w:line="400" w:lineRule="exact"/>
        <w:ind w:firstLine="420" w:firstLineChars="200"/>
        <w:rPr>
          <w:rFonts w:hAnsi="宋体"/>
          <w:sz w:val="21"/>
        </w:rPr>
      </w:pPr>
      <w:r>
        <w:rPr>
          <w:rFonts w:hint="eastAsia" w:hAnsi="宋体"/>
          <w:sz w:val="21"/>
        </w:rPr>
        <w:t>3.不可抗力事件延续一百二十天以上，双方应通过友好协商，确定是否继续履行合同。</w:t>
      </w:r>
    </w:p>
    <w:p w14:paraId="00959D65">
      <w:pPr>
        <w:snapToGrid w:val="0"/>
        <w:spacing w:line="400" w:lineRule="exact"/>
        <w:ind w:firstLine="422" w:firstLineChars="200"/>
        <w:rPr>
          <w:rFonts w:ascii="宋体" w:hAnsi="宋体"/>
          <w:szCs w:val="21"/>
        </w:rPr>
      </w:pPr>
      <w:r>
        <w:rPr>
          <w:rFonts w:hint="eastAsia" w:ascii="宋体" w:hAnsi="宋体"/>
          <w:b/>
          <w:szCs w:val="21"/>
        </w:rPr>
        <w:t>第十三条  合同争议解决</w:t>
      </w:r>
    </w:p>
    <w:p w14:paraId="656680EF">
      <w:pPr>
        <w:snapToGrid w:val="0"/>
        <w:spacing w:line="400" w:lineRule="exact"/>
        <w:ind w:left="-61" w:firstLine="514"/>
        <w:rPr>
          <w:rFonts w:hint="eastAsia" w:ascii="宋体" w:hAnsi="宋体"/>
          <w:szCs w:val="21"/>
        </w:rPr>
      </w:pPr>
      <w:r>
        <w:rPr>
          <w:rFonts w:hint="eastAsia" w:ascii="宋体" w:hAnsi="宋体"/>
          <w:szCs w:val="21"/>
        </w:rPr>
        <w:t>1.因履行本合同引起的或与本合同有关的争议，甲乙双方应首先通过友好协商解决，如果协商不能解决，可向甲方所在地人民法院提起诉讼。</w:t>
      </w:r>
    </w:p>
    <w:p w14:paraId="7415177A">
      <w:pPr>
        <w:snapToGrid w:val="0"/>
        <w:spacing w:line="400" w:lineRule="exact"/>
        <w:ind w:left="-61" w:firstLine="514"/>
        <w:rPr>
          <w:rFonts w:ascii="宋体" w:hAnsi="宋体"/>
          <w:szCs w:val="21"/>
        </w:rPr>
      </w:pPr>
      <w:r>
        <w:rPr>
          <w:rFonts w:hint="eastAsia" w:ascii="宋体" w:hAnsi="宋体"/>
          <w:szCs w:val="21"/>
        </w:rPr>
        <w:t>2.诉讼期间，甲方为保障正常的运营，可选择由乙方继续提供服务（如售后服务）、甲方按照服务时间结算费用或者另行委托第三方提供服务、公开招标等方式，不视为甲方违约。</w:t>
      </w:r>
    </w:p>
    <w:p w14:paraId="1A49AE6C">
      <w:pPr>
        <w:snapToGrid w:val="0"/>
        <w:spacing w:line="400" w:lineRule="exact"/>
        <w:ind w:firstLine="422" w:firstLineChars="200"/>
        <w:rPr>
          <w:rFonts w:ascii="宋体" w:hAnsi="宋体"/>
          <w:b/>
          <w:szCs w:val="21"/>
        </w:rPr>
      </w:pPr>
      <w:r>
        <w:rPr>
          <w:rFonts w:hint="eastAsia" w:ascii="宋体" w:hAnsi="宋体"/>
          <w:b/>
          <w:szCs w:val="21"/>
        </w:rPr>
        <w:t>第十四条　合同的变更、终止与转让</w:t>
      </w:r>
    </w:p>
    <w:p w14:paraId="513B10DF">
      <w:pPr>
        <w:snapToGrid w:val="0"/>
        <w:spacing w:line="400" w:lineRule="exact"/>
        <w:ind w:left="-61" w:firstLine="514"/>
        <w:rPr>
          <w:rFonts w:hint="eastAsia" w:ascii="宋体" w:hAnsi="宋体"/>
          <w:szCs w:val="21"/>
        </w:rPr>
      </w:pPr>
      <w:r>
        <w:rPr>
          <w:rFonts w:hint="eastAsia" w:ascii="宋体" w:hAnsi="宋体"/>
          <w:szCs w:val="21"/>
        </w:rPr>
        <w:t>1.除《中华人民共和国政府采购法》第五十条规定的情形外，本合同一经签订，甲乙双方不得擅自变更、中止或终止。</w:t>
      </w:r>
    </w:p>
    <w:p w14:paraId="6FBD39DF">
      <w:pPr>
        <w:snapToGrid w:val="0"/>
        <w:spacing w:line="400" w:lineRule="exact"/>
        <w:ind w:left="-61" w:firstLine="514"/>
        <w:rPr>
          <w:rFonts w:ascii="宋体" w:hAnsi="宋体"/>
          <w:szCs w:val="21"/>
        </w:rPr>
      </w:pPr>
      <w:r>
        <w:rPr>
          <w:rFonts w:hint="eastAsia" w:ascii="宋体" w:hAnsi="宋体"/>
          <w:szCs w:val="21"/>
        </w:rPr>
        <w:t>2.未经甲方书面同意，乙方不得擅自转让（无进口资格的乙方委托进口货物除外）其应履行的合同义务。</w:t>
      </w:r>
    </w:p>
    <w:p w14:paraId="4A154D3C">
      <w:pPr>
        <w:snapToGrid w:val="0"/>
        <w:spacing w:line="380" w:lineRule="exact"/>
        <w:ind w:firstLine="422" w:firstLineChars="200"/>
        <w:outlineLvl w:val="3"/>
        <w:rPr>
          <w:rFonts w:ascii="宋体" w:hAnsi="宋体" w:cs="Arial"/>
          <w:b/>
          <w:szCs w:val="21"/>
        </w:rPr>
      </w:pPr>
      <w:r>
        <w:rPr>
          <w:rFonts w:hint="eastAsia" w:ascii="宋体" w:hAnsi="宋体" w:cs="Arial"/>
          <w:b/>
          <w:szCs w:val="21"/>
        </w:rPr>
        <w:t>第十五条  通知与送达</w:t>
      </w:r>
    </w:p>
    <w:p w14:paraId="44E456D4">
      <w:pPr>
        <w:snapToGrid w:val="0"/>
        <w:spacing w:line="380" w:lineRule="exact"/>
        <w:ind w:firstLine="420" w:firstLineChars="200"/>
        <w:rPr>
          <w:rFonts w:ascii="宋体" w:hAnsi="宋体" w:cs="Arial"/>
          <w:bCs/>
          <w:szCs w:val="21"/>
        </w:rPr>
      </w:pPr>
      <w:r>
        <w:rPr>
          <w:rFonts w:hint="eastAsia" w:ascii="宋体" w:hAnsi="宋体" w:cs="Arial"/>
          <w:bCs/>
          <w:szCs w:val="21"/>
        </w:rPr>
        <w:t>1.本协议项下对合同一方对另外一方的任何通知或请求，应当发送至接收方在合同中约定的地址、联系人和通信终端。一方当事人变更名称、地址、联系人或通信终端等信息的，应当在变更后3日内及时书面通知对方当事人，对方当事人实际收到变更通知前的送达仍为有效送达，电子送达与书面送达具有同等法律效力。</w:t>
      </w:r>
    </w:p>
    <w:p w14:paraId="69B89A22">
      <w:pPr>
        <w:snapToGrid w:val="0"/>
        <w:spacing w:line="380" w:lineRule="exact"/>
        <w:ind w:firstLine="420" w:firstLineChars="200"/>
        <w:outlineLvl w:val="2"/>
        <w:rPr>
          <w:rFonts w:ascii="宋体" w:hAnsi="宋体" w:cs="Arial"/>
          <w:bCs/>
          <w:szCs w:val="21"/>
        </w:rPr>
      </w:pPr>
      <w:r>
        <w:rPr>
          <w:rFonts w:hint="eastAsia" w:ascii="宋体" w:hAnsi="宋体" w:cs="Arial"/>
          <w:bCs/>
          <w:szCs w:val="21"/>
        </w:rPr>
        <w:t>2.任何一方当事人向对/他方所发出的通知或请求送达时间：</w:t>
      </w:r>
    </w:p>
    <w:p w14:paraId="6D587D97">
      <w:pPr>
        <w:snapToGrid w:val="0"/>
        <w:spacing w:line="380" w:lineRule="exact"/>
        <w:ind w:firstLine="420" w:firstLineChars="200"/>
        <w:rPr>
          <w:rFonts w:ascii="宋体" w:hAnsi="宋体" w:cs="Arial"/>
          <w:bCs/>
          <w:szCs w:val="21"/>
        </w:rPr>
      </w:pPr>
      <w:r>
        <w:rPr>
          <w:rFonts w:hint="eastAsia" w:ascii="宋体" w:hAnsi="宋体" w:cs="Arial"/>
          <w:bCs/>
          <w:szCs w:val="21"/>
        </w:rPr>
        <w:t>（1）如果是传真，则在发送当日视为送达；</w:t>
      </w:r>
    </w:p>
    <w:p w14:paraId="6F0E739F">
      <w:pPr>
        <w:snapToGrid w:val="0"/>
        <w:spacing w:line="380" w:lineRule="exact"/>
        <w:ind w:firstLine="420" w:firstLineChars="200"/>
        <w:rPr>
          <w:rFonts w:ascii="宋体" w:hAnsi="宋体" w:cs="Arial"/>
          <w:bCs/>
          <w:szCs w:val="21"/>
        </w:rPr>
      </w:pPr>
      <w:r>
        <w:rPr>
          <w:rFonts w:hint="eastAsia" w:ascii="宋体" w:hAnsi="宋体" w:cs="Arial"/>
          <w:bCs/>
          <w:szCs w:val="21"/>
        </w:rPr>
        <w:t>（2）如果是短信/微信/电子邮件，电子文件内容在发送方正确填写地址且未被系统退回的情况下，进入对方数据电文接收系统当日视为送达。</w:t>
      </w:r>
    </w:p>
    <w:p w14:paraId="3DE3034C">
      <w:pPr>
        <w:snapToGrid w:val="0"/>
        <w:spacing w:line="380" w:lineRule="exact"/>
        <w:ind w:firstLine="420" w:firstLineChars="200"/>
        <w:rPr>
          <w:rFonts w:ascii="宋体" w:hAnsi="宋体" w:cs="Arial"/>
          <w:bCs/>
          <w:szCs w:val="21"/>
        </w:rPr>
      </w:pPr>
      <w:r>
        <w:rPr>
          <w:rFonts w:hint="eastAsia" w:ascii="宋体" w:hAnsi="宋体" w:cs="Arial"/>
          <w:bCs/>
          <w:szCs w:val="21"/>
        </w:rPr>
        <w:t>（3）如果是信函，在挂号信交邮后第三日视为送达；</w:t>
      </w:r>
    </w:p>
    <w:p w14:paraId="22C394E8">
      <w:pPr>
        <w:snapToGrid w:val="0"/>
        <w:spacing w:line="380" w:lineRule="exact"/>
        <w:ind w:firstLine="420" w:firstLineChars="200"/>
        <w:rPr>
          <w:rFonts w:ascii="宋体" w:hAnsi="宋体" w:cs="Arial"/>
          <w:bCs/>
          <w:szCs w:val="21"/>
        </w:rPr>
      </w:pPr>
      <w:r>
        <w:rPr>
          <w:rFonts w:hint="eastAsia" w:ascii="宋体" w:hAnsi="宋体" w:cs="Arial"/>
          <w:bCs/>
          <w:szCs w:val="21"/>
        </w:rPr>
        <w:t>（4）如果是派人专程送达，则在收件人签收之日视为收到；</w:t>
      </w:r>
    </w:p>
    <w:p w14:paraId="03A85C12">
      <w:pPr>
        <w:snapToGrid w:val="0"/>
        <w:spacing w:line="380" w:lineRule="exact"/>
        <w:ind w:firstLine="420" w:firstLineChars="200"/>
        <w:rPr>
          <w:rFonts w:ascii="宋体" w:hAnsi="宋体" w:cs="Arial"/>
          <w:bCs/>
          <w:szCs w:val="21"/>
        </w:rPr>
      </w:pPr>
      <w:r>
        <w:rPr>
          <w:rFonts w:hint="eastAsia" w:ascii="宋体" w:hAnsi="宋体" w:cs="Arial"/>
          <w:bCs/>
          <w:szCs w:val="21"/>
        </w:rPr>
        <w:t>（5）如果同时使用几种通知方式的，以其中较快到达接收方者为准。</w:t>
      </w:r>
    </w:p>
    <w:p w14:paraId="271DC6A1">
      <w:pPr>
        <w:snapToGrid w:val="0"/>
        <w:spacing w:line="380" w:lineRule="exact"/>
        <w:ind w:firstLine="420" w:firstLineChars="200"/>
        <w:rPr>
          <w:rFonts w:ascii="宋体" w:hAnsi="宋体" w:cs="Arial"/>
          <w:bCs/>
          <w:szCs w:val="21"/>
        </w:rPr>
      </w:pPr>
      <w:r>
        <w:rPr>
          <w:rFonts w:hint="eastAsia" w:ascii="宋体" w:hAnsi="宋体" w:cs="Arial"/>
          <w:bCs/>
          <w:szCs w:val="21"/>
        </w:rPr>
        <w:t>（6）若送达日为非工作日，则视为在下一工作日送达。</w:t>
      </w:r>
    </w:p>
    <w:p w14:paraId="070BAD2F">
      <w:pPr>
        <w:snapToGrid w:val="0"/>
        <w:spacing w:line="380" w:lineRule="exact"/>
        <w:ind w:firstLine="420" w:firstLineChars="200"/>
        <w:rPr>
          <w:rFonts w:ascii="宋体" w:hAnsi="宋体" w:cs="Arial"/>
          <w:bCs/>
          <w:szCs w:val="21"/>
        </w:rPr>
      </w:pPr>
      <w:r>
        <w:rPr>
          <w:rFonts w:hint="eastAsia" w:ascii="宋体" w:hAnsi="宋体" w:cs="Arial"/>
          <w:bCs/>
          <w:szCs w:val="21"/>
        </w:rPr>
        <w:t>3.本合同约定的地址、联系人及电子通信终端等信息亦为双方工作联系往来、法律文书及争议解决时人民法院和/或仲裁机构的法律文书送达地址。人民法院和/或仲裁机构的诉讼文书（含裁判文书）向任何合同任何一方当事人的上述地址和/或工商登记公示地址（居民身份证登记地址）送达的，视为有效送达。当事人对电子通信终端的联系送达适用于争议解决时的送达。</w:t>
      </w:r>
    </w:p>
    <w:p w14:paraId="2E84CCA4">
      <w:pPr>
        <w:snapToGrid w:val="0"/>
        <w:spacing w:line="380" w:lineRule="exact"/>
        <w:ind w:firstLine="420" w:firstLineChars="200"/>
        <w:rPr>
          <w:rFonts w:ascii="宋体" w:hAnsi="宋体" w:cs="Arial"/>
          <w:b/>
          <w:szCs w:val="21"/>
        </w:rPr>
      </w:pPr>
      <w:r>
        <w:rPr>
          <w:rFonts w:hint="eastAsia" w:ascii="宋体" w:hAnsi="宋体" w:cs="Arial"/>
          <w:bCs/>
          <w:szCs w:val="21"/>
        </w:rPr>
        <w:t>4.合同送达条款与争议解决条款均为独立条款，不受合同整体或其他条款的效力的影响。</w:t>
      </w:r>
    </w:p>
    <w:p w14:paraId="24BE98A6">
      <w:pPr>
        <w:snapToGrid w:val="0"/>
        <w:spacing w:line="380" w:lineRule="exact"/>
        <w:ind w:firstLine="422" w:firstLineChars="200"/>
        <w:outlineLvl w:val="3"/>
        <w:rPr>
          <w:rFonts w:ascii="宋体" w:hAnsi="宋体" w:cs="Arial"/>
          <w:b/>
          <w:szCs w:val="21"/>
        </w:rPr>
      </w:pPr>
      <w:r>
        <w:rPr>
          <w:rFonts w:hint="eastAsia" w:ascii="宋体" w:hAnsi="宋体" w:cs="Arial"/>
          <w:b/>
          <w:szCs w:val="21"/>
        </w:rPr>
        <w:t>第十六条  合同组成及相互关系</w:t>
      </w:r>
    </w:p>
    <w:p w14:paraId="59F459A5">
      <w:pPr>
        <w:snapToGrid w:val="0"/>
        <w:spacing w:line="380" w:lineRule="exact"/>
        <w:ind w:firstLine="420" w:firstLineChars="200"/>
        <w:rPr>
          <w:rFonts w:ascii="宋体" w:hAnsi="宋体" w:cs="Arial"/>
          <w:bCs/>
          <w:szCs w:val="21"/>
        </w:rPr>
      </w:pPr>
      <w:r>
        <w:rPr>
          <w:rFonts w:hint="eastAsia" w:ascii="宋体" w:hAnsi="宋体" w:cs="Arial"/>
          <w:bCs/>
          <w:szCs w:val="21"/>
        </w:rPr>
        <w:t xml:space="preserve">1.本合同的采购文件（含招标答疑）、符合招标要求的投标文件、中标通知书、本合同履行过程中双方签章确认的协议或其他文件均为本合同的组成部分，若合同组成文件之间发生矛盾的，以下排列顺序为合同组成文件之间的优先解释顺序： </w:t>
      </w:r>
    </w:p>
    <w:p w14:paraId="456542EE">
      <w:pPr>
        <w:snapToGrid w:val="0"/>
        <w:spacing w:line="380" w:lineRule="exact"/>
        <w:ind w:firstLine="420" w:firstLineChars="200"/>
        <w:rPr>
          <w:rFonts w:ascii="宋体" w:hAnsi="宋体" w:cs="Arial"/>
          <w:bCs/>
          <w:szCs w:val="21"/>
        </w:rPr>
      </w:pPr>
      <w:r>
        <w:rPr>
          <w:rFonts w:hint="eastAsia" w:ascii="宋体" w:hAnsi="宋体" w:cs="Arial"/>
          <w:bCs/>
          <w:szCs w:val="21"/>
        </w:rPr>
        <w:t>（1）本合同及其附件；</w:t>
      </w:r>
    </w:p>
    <w:p w14:paraId="6EEFBC40">
      <w:pPr>
        <w:snapToGrid w:val="0"/>
        <w:spacing w:line="380" w:lineRule="exact"/>
        <w:ind w:firstLine="420" w:firstLineChars="200"/>
        <w:rPr>
          <w:rFonts w:ascii="宋体" w:hAnsi="宋体" w:cs="Arial"/>
          <w:bCs/>
          <w:szCs w:val="21"/>
        </w:rPr>
      </w:pPr>
      <w:r>
        <w:rPr>
          <w:rFonts w:hint="eastAsia" w:ascii="宋体" w:hAnsi="宋体" w:cs="Arial"/>
          <w:bCs/>
          <w:szCs w:val="21"/>
        </w:rPr>
        <w:t>（2）中标通知书；</w:t>
      </w:r>
    </w:p>
    <w:p w14:paraId="5019F838">
      <w:pPr>
        <w:snapToGrid w:val="0"/>
        <w:spacing w:line="380" w:lineRule="exact"/>
        <w:ind w:firstLine="420" w:firstLineChars="200"/>
        <w:rPr>
          <w:rFonts w:ascii="宋体" w:hAnsi="宋体" w:cs="Arial"/>
          <w:bCs/>
          <w:szCs w:val="21"/>
        </w:rPr>
      </w:pPr>
      <w:r>
        <w:rPr>
          <w:rFonts w:hint="eastAsia" w:ascii="宋体" w:hAnsi="宋体" w:cs="Arial"/>
          <w:bCs/>
          <w:szCs w:val="21"/>
        </w:rPr>
        <w:t>（3）符合招标要求的投标文件；</w:t>
      </w:r>
    </w:p>
    <w:p w14:paraId="5A0AF0AF">
      <w:pPr>
        <w:snapToGrid w:val="0"/>
        <w:spacing w:line="380" w:lineRule="exact"/>
        <w:ind w:firstLine="420" w:firstLineChars="200"/>
        <w:rPr>
          <w:rFonts w:ascii="宋体" w:hAnsi="宋体" w:cs="Arial"/>
          <w:bCs/>
          <w:szCs w:val="21"/>
        </w:rPr>
      </w:pPr>
      <w:r>
        <w:rPr>
          <w:rFonts w:hint="eastAsia" w:ascii="宋体" w:hAnsi="宋体" w:cs="Arial"/>
          <w:bCs/>
          <w:szCs w:val="21"/>
        </w:rPr>
        <w:t>（4）采购文件（招标答疑）；</w:t>
      </w:r>
    </w:p>
    <w:p w14:paraId="33E37501">
      <w:pPr>
        <w:snapToGrid w:val="0"/>
        <w:spacing w:line="380" w:lineRule="exact"/>
        <w:ind w:firstLine="420" w:firstLineChars="200"/>
        <w:rPr>
          <w:rFonts w:ascii="宋体" w:hAnsi="宋体" w:cs="Arial"/>
          <w:bCs/>
          <w:szCs w:val="21"/>
        </w:rPr>
      </w:pPr>
      <w:r>
        <w:rPr>
          <w:rFonts w:hint="eastAsia" w:ascii="宋体" w:hAnsi="宋体" w:cs="Arial"/>
          <w:bCs/>
          <w:szCs w:val="21"/>
        </w:rPr>
        <w:t>（5）标准、规范及有关技术文件；</w:t>
      </w:r>
    </w:p>
    <w:p w14:paraId="4DB2F148">
      <w:pPr>
        <w:snapToGrid w:val="0"/>
        <w:spacing w:line="380" w:lineRule="exact"/>
        <w:ind w:firstLine="420" w:firstLineChars="200"/>
        <w:rPr>
          <w:rFonts w:ascii="宋体" w:hAnsi="宋体" w:cs="Arial"/>
          <w:bCs/>
          <w:szCs w:val="21"/>
        </w:rPr>
      </w:pPr>
      <w:r>
        <w:rPr>
          <w:rFonts w:hint="eastAsia" w:ascii="宋体" w:hAnsi="宋体" w:cs="Arial"/>
          <w:bCs/>
          <w:szCs w:val="21"/>
        </w:rPr>
        <w:t>（6）其他合同文件。</w:t>
      </w:r>
    </w:p>
    <w:p w14:paraId="13EE6C81">
      <w:pPr>
        <w:snapToGrid w:val="0"/>
        <w:spacing w:line="380" w:lineRule="exact"/>
        <w:ind w:firstLine="420" w:firstLineChars="200"/>
        <w:rPr>
          <w:rFonts w:ascii="宋体" w:hAnsi="宋体" w:cs="Arial"/>
          <w:bCs/>
          <w:szCs w:val="21"/>
        </w:rPr>
      </w:pPr>
      <w:r>
        <w:rPr>
          <w:rFonts w:hint="eastAsia" w:ascii="宋体" w:hAnsi="宋体" w:cs="Arial"/>
          <w:bCs/>
          <w:szCs w:val="21"/>
        </w:rPr>
        <w:t>2.本合同履行过程中双方签章确认的协议或其他文件均为本合同的组成部分。</w:t>
      </w:r>
    </w:p>
    <w:p w14:paraId="2CF4F74F">
      <w:pPr>
        <w:snapToGrid w:val="0"/>
        <w:spacing w:line="380" w:lineRule="exact"/>
        <w:ind w:firstLine="420" w:firstLineChars="200"/>
        <w:rPr>
          <w:rFonts w:ascii="宋体" w:hAnsi="宋体" w:cs="Arial"/>
          <w:bCs/>
          <w:szCs w:val="21"/>
        </w:rPr>
      </w:pPr>
      <w:r>
        <w:rPr>
          <w:rFonts w:hint="eastAsia" w:ascii="宋体" w:hAnsi="宋体" w:cs="Arial"/>
          <w:bCs/>
          <w:szCs w:val="21"/>
        </w:rPr>
        <w:t>3.前述文件应认为是互为补充和解释的，如有互相矛盾之处，以前述文件所列顺序作为其优先解释的顺序，但如果某一文件对甲方权利维护更有利或对乙方有更高、更严格要求的以该文件内容为准。</w:t>
      </w:r>
    </w:p>
    <w:p w14:paraId="751CD79E">
      <w:pPr>
        <w:snapToGrid w:val="0"/>
        <w:spacing w:line="380" w:lineRule="exact"/>
        <w:ind w:firstLine="420" w:firstLineChars="200"/>
        <w:rPr>
          <w:rFonts w:ascii="宋体" w:hAnsi="宋体" w:cs="Arial"/>
          <w:szCs w:val="21"/>
        </w:rPr>
      </w:pPr>
      <w:r>
        <w:rPr>
          <w:rFonts w:hint="eastAsia" w:ascii="宋体" w:hAnsi="宋体" w:cs="Arial"/>
          <w:bCs/>
          <w:szCs w:val="21"/>
        </w:rPr>
        <w:t>4.前述各项文件包括双方就该合同组成文件所作出的补充和修改，属于同一项文件的，应以最新签署的为准。</w:t>
      </w:r>
      <w:r>
        <w:rPr>
          <w:rFonts w:hint="eastAsia" w:ascii="宋体" w:hAnsi="宋体" w:cs="Arial"/>
          <w:szCs w:val="21"/>
        </w:rPr>
        <w:t>前述文件应认为是互为补充和解释的，如有互相矛盾之处，以前述文件所列顺序作为其优先解释的顺序，但如果某一文件对甲方权利维护更有利或对乙方有更高、更严格要求的以该文件内容为准。</w:t>
      </w:r>
    </w:p>
    <w:p w14:paraId="7B1ACDD8">
      <w:pPr>
        <w:snapToGrid w:val="0"/>
        <w:spacing w:line="380" w:lineRule="exact"/>
        <w:ind w:firstLine="420" w:firstLineChars="200"/>
        <w:rPr>
          <w:rFonts w:ascii="宋体" w:hAnsi="宋体" w:cs="Arial"/>
          <w:szCs w:val="21"/>
        </w:rPr>
      </w:pPr>
      <w:r>
        <w:rPr>
          <w:rFonts w:hint="eastAsia" w:ascii="宋体" w:hAnsi="宋体" w:cs="Arial"/>
          <w:szCs w:val="21"/>
        </w:rPr>
        <w:t>5.前述各项文件包括双方就该合同组成文件所作出的补充和修改，属于同一项文件的，应以最新签署的为准。</w:t>
      </w:r>
    </w:p>
    <w:p w14:paraId="13B0640B">
      <w:pPr>
        <w:snapToGrid w:val="0"/>
        <w:spacing w:line="380" w:lineRule="exact"/>
        <w:ind w:firstLine="422" w:firstLineChars="200"/>
        <w:rPr>
          <w:rFonts w:ascii="宋体" w:hAnsi="宋体" w:cs="Arial"/>
          <w:b/>
          <w:szCs w:val="21"/>
        </w:rPr>
      </w:pPr>
      <w:r>
        <w:rPr>
          <w:rFonts w:hint="eastAsia" w:ascii="宋体" w:hAnsi="宋体" w:cs="Arial"/>
          <w:b/>
          <w:szCs w:val="21"/>
        </w:rPr>
        <w:t>第十七条　合同生效及其它</w:t>
      </w:r>
    </w:p>
    <w:p w14:paraId="47AE69F9">
      <w:pPr>
        <w:snapToGrid w:val="0"/>
        <w:spacing w:line="380" w:lineRule="exact"/>
        <w:ind w:firstLine="420" w:firstLineChars="200"/>
        <w:rPr>
          <w:rFonts w:ascii="宋体" w:hAnsi="宋体" w:cs="Arial"/>
          <w:szCs w:val="21"/>
        </w:rPr>
      </w:pPr>
      <w:r>
        <w:rPr>
          <w:rFonts w:hint="eastAsia" w:ascii="宋体" w:hAnsi="宋体" w:cs="Arial"/>
          <w:szCs w:val="21"/>
        </w:rPr>
        <w:t>1.本合同履行期限为：</w:t>
      </w:r>
      <w:r>
        <w:rPr>
          <w:rFonts w:hint="eastAsia" w:ascii="宋体" w:hAnsi="宋体" w:cs="Arial"/>
          <w:szCs w:val="21"/>
          <w:u w:val="single"/>
        </w:rPr>
        <w:t>按照本合同约定</w:t>
      </w:r>
      <w:r>
        <w:rPr>
          <w:rFonts w:hint="eastAsia" w:ascii="宋体" w:hAnsi="宋体" w:cs="Arial"/>
          <w:szCs w:val="21"/>
        </w:rPr>
        <w:t>；合同履行地点为：</w:t>
      </w:r>
      <w:r>
        <w:rPr>
          <w:rFonts w:hint="eastAsia" w:ascii="宋体" w:hAnsi="宋体" w:cs="Arial"/>
          <w:szCs w:val="21"/>
          <w:u w:val="single"/>
        </w:rPr>
        <w:t>广西南宁市</w:t>
      </w:r>
      <w:r>
        <w:rPr>
          <w:rFonts w:hint="eastAsia" w:ascii="宋体" w:hAnsi="宋体" w:cs="Arial"/>
          <w:szCs w:val="21"/>
        </w:rPr>
        <w:t>；合同履行的方式：</w:t>
      </w:r>
      <w:r>
        <w:rPr>
          <w:rFonts w:hint="eastAsia" w:ascii="宋体" w:hAnsi="宋体" w:cs="Arial"/>
          <w:szCs w:val="21"/>
          <w:u w:val="single"/>
        </w:rPr>
        <w:t>按照本合同约定</w:t>
      </w:r>
      <w:r>
        <w:rPr>
          <w:rFonts w:hint="eastAsia" w:ascii="宋体" w:hAnsi="宋体" w:cs="Arial"/>
          <w:szCs w:val="21"/>
        </w:rPr>
        <w:t>。</w:t>
      </w:r>
    </w:p>
    <w:p w14:paraId="5AB87364">
      <w:pPr>
        <w:snapToGrid w:val="0"/>
        <w:spacing w:line="380" w:lineRule="exact"/>
        <w:ind w:firstLine="420" w:firstLineChars="200"/>
        <w:rPr>
          <w:rFonts w:ascii="宋体" w:hAnsi="宋体" w:cs="Arial"/>
          <w:szCs w:val="21"/>
        </w:rPr>
      </w:pPr>
      <w:r>
        <w:rPr>
          <w:rFonts w:ascii="宋体" w:hAnsi="宋体" w:cs="Arial"/>
          <w:szCs w:val="21"/>
        </w:rPr>
        <w:t>2</w:t>
      </w:r>
      <w:r>
        <w:rPr>
          <w:rFonts w:hint="eastAsia" w:ascii="宋体" w:hAnsi="宋体" w:cs="Arial"/>
          <w:szCs w:val="21"/>
        </w:rPr>
        <w:t>.合同经双方法定代表人或授权代表签字并加盖单位公章后生效。本合同一式五份，具有同等法律效力。</w:t>
      </w:r>
      <w:r>
        <w:rPr>
          <w:rFonts w:hint="eastAsia" w:ascii="宋体" w:hAnsi="宋体" w:cs="Arial"/>
          <w:spacing w:val="4"/>
          <w:szCs w:val="21"/>
        </w:rPr>
        <w:t>采购代理机构</w:t>
      </w:r>
      <w:r>
        <w:rPr>
          <w:rFonts w:hint="eastAsia" w:ascii="宋体" w:hAnsi="宋体" w:cs="Arial"/>
          <w:szCs w:val="21"/>
        </w:rPr>
        <w:t>一份，甲方三份，乙方一份。</w:t>
      </w:r>
    </w:p>
    <w:p w14:paraId="43BBF9CD">
      <w:pPr>
        <w:snapToGrid w:val="0"/>
        <w:spacing w:line="380" w:lineRule="exact"/>
        <w:ind w:firstLine="420" w:firstLineChars="200"/>
        <w:rPr>
          <w:rFonts w:ascii="宋体" w:hAnsi="宋体" w:cs="Arial"/>
          <w:szCs w:val="21"/>
        </w:rPr>
      </w:pPr>
      <w:r>
        <w:rPr>
          <w:rFonts w:ascii="宋体" w:hAnsi="宋体" w:cs="Arial"/>
          <w:szCs w:val="21"/>
        </w:rPr>
        <w:t>3</w:t>
      </w:r>
      <w:r>
        <w:rPr>
          <w:rFonts w:hint="eastAsia" w:ascii="宋体" w:hAnsi="宋体" w:cs="Arial"/>
          <w:szCs w:val="21"/>
        </w:rPr>
        <w:t>.合同执行中涉及采购资金和采购内容修改或补充的，须签书面补充协议方可作为主合同不可分割的一部分。</w:t>
      </w:r>
    </w:p>
    <w:p w14:paraId="14F31998">
      <w:pPr>
        <w:snapToGrid w:val="0"/>
        <w:spacing w:line="400" w:lineRule="exact"/>
        <w:ind w:firstLine="420" w:firstLineChars="200"/>
        <w:rPr>
          <w:rFonts w:hint="eastAsia" w:ascii="宋体" w:hAnsi="宋体"/>
          <w:szCs w:val="21"/>
        </w:rPr>
      </w:pPr>
      <w:r>
        <w:rPr>
          <w:rFonts w:ascii="宋体" w:hAnsi="宋体" w:cs="Arial"/>
          <w:szCs w:val="21"/>
        </w:rPr>
        <w:t>4</w:t>
      </w:r>
      <w:r>
        <w:rPr>
          <w:rFonts w:hint="eastAsia" w:ascii="宋体" w:hAnsi="宋体" w:cs="Arial"/>
          <w:szCs w:val="21"/>
        </w:rPr>
        <w:t>.本合同未尽事宜，遵照《中华人民共和国民法典》有关条文执行。</w:t>
      </w:r>
    </w:p>
    <w:tbl>
      <w:tblPr>
        <w:tblStyle w:val="50"/>
        <w:tblW w:w="5000" w:type="pct"/>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4"/>
        <w:gridCol w:w="4264"/>
      </w:tblGrid>
      <w:tr w14:paraId="59761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trPr>
        <w:tc>
          <w:tcPr>
            <w:tcW w:w="2500" w:type="pct"/>
            <w:tcBorders>
              <w:top w:val="single" w:color="auto" w:sz="4" w:space="0"/>
              <w:left w:val="single" w:color="auto" w:sz="4" w:space="0"/>
              <w:bottom w:val="single" w:color="auto" w:sz="4" w:space="0"/>
              <w:right w:val="single" w:color="auto" w:sz="4" w:space="0"/>
            </w:tcBorders>
            <w:noWrap w:val="0"/>
            <w:vAlign w:val="center"/>
          </w:tcPr>
          <w:p w14:paraId="5B7A6421">
            <w:pPr>
              <w:snapToGrid w:val="0"/>
              <w:spacing w:line="400" w:lineRule="exact"/>
              <w:rPr>
                <w:rFonts w:ascii="宋体" w:hAnsi="宋体"/>
                <w:szCs w:val="21"/>
              </w:rPr>
            </w:pPr>
            <w:r>
              <w:rPr>
                <w:rFonts w:hint="eastAsia" w:ascii="宋体" w:hAnsi="宋体"/>
                <w:szCs w:val="21"/>
              </w:rPr>
              <w:t xml:space="preserve">甲方（章）           </w:t>
            </w:r>
          </w:p>
          <w:p w14:paraId="54FB142B">
            <w:pPr>
              <w:snapToGrid w:val="0"/>
              <w:spacing w:line="400" w:lineRule="exact"/>
              <w:rPr>
                <w:rFonts w:ascii="宋体" w:hAnsi="宋体"/>
                <w:szCs w:val="21"/>
              </w:rPr>
            </w:pPr>
          </w:p>
          <w:p w14:paraId="484682F6">
            <w:pPr>
              <w:snapToGrid w:val="0"/>
              <w:spacing w:line="400" w:lineRule="exact"/>
              <w:ind w:firstLine="945" w:firstLineChars="450"/>
              <w:jc w:val="right"/>
              <w:rPr>
                <w:rFonts w:ascii="宋体" w:hAnsi="宋体"/>
                <w:szCs w:val="21"/>
              </w:rPr>
            </w:pPr>
            <w:r>
              <w:rPr>
                <w:rFonts w:hint="eastAsia" w:ascii="宋体" w:hAnsi="宋体"/>
                <w:szCs w:val="21"/>
              </w:rPr>
              <w:t>年   月   日</w:t>
            </w:r>
          </w:p>
        </w:tc>
        <w:tc>
          <w:tcPr>
            <w:tcW w:w="2500" w:type="pct"/>
            <w:tcBorders>
              <w:top w:val="single" w:color="auto" w:sz="4" w:space="0"/>
              <w:left w:val="single" w:color="auto" w:sz="4" w:space="0"/>
              <w:bottom w:val="single" w:color="auto" w:sz="4" w:space="0"/>
              <w:right w:val="single" w:color="auto" w:sz="4" w:space="0"/>
            </w:tcBorders>
            <w:noWrap w:val="0"/>
            <w:vAlign w:val="center"/>
          </w:tcPr>
          <w:p w14:paraId="5CADF7CF">
            <w:pPr>
              <w:snapToGrid w:val="0"/>
              <w:spacing w:line="400" w:lineRule="exact"/>
              <w:rPr>
                <w:rFonts w:ascii="宋体" w:hAnsi="宋体"/>
                <w:szCs w:val="21"/>
              </w:rPr>
            </w:pPr>
            <w:r>
              <w:rPr>
                <w:rFonts w:hint="eastAsia" w:ascii="宋体" w:hAnsi="宋体"/>
                <w:szCs w:val="21"/>
              </w:rPr>
              <w:t xml:space="preserve">乙方（章）              </w:t>
            </w:r>
          </w:p>
          <w:p w14:paraId="04E0D596">
            <w:pPr>
              <w:snapToGrid w:val="0"/>
              <w:spacing w:line="400" w:lineRule="exact"/>
              <w:rPr>
                <w:rFonts w:ascii="宋体" w:hAnsi="宋体"/>
                <w:szCs w:val="21"/>
              </w:rPr>
            </w:pPr>
          </w:p>
          <w:p w14:paraId="39F1AF0D">
            <w:pPr>
              <w:snapToGrid w:val="0"/>
              <w:spacing w:line="400" w:lineRule="exact"/>
              <w:jc w:val="right"/>
              <w:rPr>
                <w:rFonts w:ascii="宋体" w:hAnsi="宋体"/>
                <w:szCs w:val="21"/>
              </w:rPr>
            </w:pPr>
            <w:r>
              <w:rPr>
                <w:rFonts w:hint="eastAsia" w:ascii="宋体" w:hAnsi="宋体"/>
                <w:szCs w:val="21"/>
              </w:rPr>
              <w:t xml:space="preserve"> 年   月   日</w:t>
            </w:r>
          </w:p>
        </w:tc>
      </w:tr>
      <w:tr w14:paraId="4C5E8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2500" w:type="pct"/>
            <w:tcBorders>
              <w:top w:val="single" w:color="auto" w:sz="4" w:space="0"/>
              <w:left w:val="single" w:color="auto" w:sz="4" w:space="0"/>
              <w:bottom w:val="single" w:color="auto" w:sz="4" w:space="0"/>
              <w:right w:val="single" w:color="auto" w:sz="4" w:space="0"/>
            </w:tcBorders>
            <w:noWrap w:val="0"/>
            <w:vAlign w:val="center"/>
          </w:tcPr>
          <w:p w14:paraId="71CAF6F8">
            <w:pPr>
              <w:snapToGrid w:val="0"/>
              <w:spacing w:line="400" w:lineRule="exact"/>
              <w:rPr>
                <w:rFonts w:ascii="宋体" w:hAnsi="宋体"/>
                <w:szCs w:val="21"/>
              </w:rPr>
            </w:pPr>
            <w:r>
              <w:rPr>
                <w:rFonts w:hint="eastAsia" w:ascii="宋体" w:hAnsi="宋体"/>
                <w:szCs w:val="21"/>
              </w:rPr>
              <w:t>单位地址：</w:t>
            </w:r>
          </w:p>
        </w:tc>
        <w:tc>
          <w:tcPr>
            <w:tcW w:w="2500" w:type="pct"/>
            <w:tcBorders>
              <w:top w:val="single" w:color="auto" w:sz="4" w:space="0"/>
              <w:left w:val="single" w:color="auto" w:sz="4" w:space="0"/>
              <w:bottom w:val="single" w:color="auto" w:sz="4" w:space="0"/>
              <w:right w:val="single" w:color="auto" w:sz="4" w:space="0"/>
            </w:tcBorders>
            <w:noWrap w:val="0"/>
            <w:vAlign w:val="center"/>
          </w:tcPr>
          <w:p w14:paraId="5B2AB3ED">
            <w:pPr>
              <w:snapToGrid w:val="0"/>
              <w:spacing w:line="400" w:lineRule="exact"/>
              <w:rPr>
                <w:rFonts w:ascii="宋体" w:hAnsi="宋体"/>
                <w:szCs w:val="21"/>
              </w:rPr>
            </w:pPr>
            <w:r>
              <w:rPr>
                <w:rFonts w:hint="eastAsia" w:ascii="宋体" w:hAnsi="宋体"/>
                <w:szCs w:val="21"/>
              </w:rPr>
              <w:t>单位地址：</w:t>
            </w:r>
          </w:p>
        </w:tc>
      </w:tr>
      <w:tr w14:paraId="7EB9A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2500" w:type="pct"/>
            <w:tcBorders>
              <w:top w:val="single" w:color="auto" w:sz="4" w:space="0"/>
              <w:left w:val="single" w:color="auto" w:sz="4" w:space="0"/>
              <w:bottom w:val="single" w:color="auto" w:sz="4" w:space="0"/>
              <w:right w:val="single" w:color="auto" w:sz="4" w:space="0"/>
            </w:tcBorders>
            <w:noWrap w:val="0"/>
            <w:vAlign w:val="center"/>
          </w:tcPr>
          <w:p w14:paraId="7F5BEB57">
            <w:pPr>
              <w:snapToGrid w:val="0"/>
              <w:spacing w:line="400" w:lineRule="exact"/>
              <w:rPr>
                <w:rFonts w:ascii="宋体" w:hAnsi="宋体"/>
                <w:szCs w:val="21"/>
              </w:rPr>
            </w:pPr>
            <w:r>
              <w:rPr>
                <w:rFonts w:hint="eastAsia" w:ascii="宋体" w:hAnsi="宋体"/>
                <w:szCs w:val="21"/>
              </w:rPr>
              <w:t>法定代表人：</w:t>
            </w:r>
          </w:p>
        </w:tc>
        <w:tc>
          <w:tcPr>
            <w:tcW w:w="2500" w:type="pct"/>
            <w:tcBorders>
              <w:top w:val="single" w:color="auto" w:sz="4" w:space="0"/>
              <w:left w:val="single" w:color="auto" w:sz="4" w:space="0"/>
              <w:bottom w:val="single" w:color="auto" w:sz="4" w:space="0"/>
              <w:right w:val="single" w:color="auto" w:sz="4" w:space="0"/>
            </w:tcBorders>
            <w:noWrap w:val="0"/>
            <w:vAlign w:val="center"/>
          </w:tcPr>
          <w:p w14:paraId="3323854F">
            <w:pPr>
              <w:snapToGrid w:val="0"/>
              <w:spacing w:line="400" w:lineRule="exact"/>
              <w:rPr>
                <w:rFonts w:ascii="宋体" w:hAnsi="宋体"/>
                <w:szCs w:val="21"/>
              </w:rPr>
            </w:pPr>
            <w:r>
              <w:rPr>
                <w:rFonts w:hint="eastAsia" w:ascii="宋体" w:hAnsi="宋体"/>
                <w:szCs w:val="21"/>
              </w:rPr>
              <w:t>法定代表人：</w:t>
            </w:r>
          </w:p>
        </w:tc>
      </w:tr>
      <w:tr w14:paraId="6340E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2500" w:type="pct"/>
            <w:tcBorders>
              <w:top w:val="single" w:color="auto" w:sz="4" w:space="0"/>
              <w:left w:val="single" w:color="auto" w:sz="4" w:space="0"/>
              <w:bottom w:val="single" w:color="auto" w:sz="4" w:space="0"/>
              <w:right w:val="single" w:color="auto" w:sz="4" w:space="0"/>
            </w:tcBorders>
            <w:noWrap w:val="0"/>
            <w:vAlign w:val="center"/>
          </w:tcPr>
          <w:p w14:paraId="43658276">
            <w:pPr>
              <w:snapToGrid w:val="0"/>
              <w:spacing w:line="400" w:lineRule="exact"/>
              <w:rPr>
                <w:rFonts w:ascii="宋体" w:hAnsi="宋体"/>
                <w:szCs w:val="21"/>
              </w:rPr>
            </w:pPr>
            <w:r>
              <w:rPr>
                <w:rFonts w:hint="eastAsia" w:ascii="宋体" w:hAnsi="宋体"/>
                <w:szCs w:val="21"/>
              </w:rPr>
              <w:t>委托代理人：</w:t>
            </w:r>
          </w:p>
        </w:tc>
        <w:tc>
          <w:tcPr>
            <w:tcW w:w="2500" w:type="pct"/>
            <w:tcBorders>
              <w:top w:val="single" w:color="auto" w:sz="4" w:space="0"/>
              <w:left w:val="single" w:color="auto" w:sz="4" w:space="0"/>
              <w:bottom w:val="single" w:color="auto" w:sz="4" w:space="0"/>
              <w:right w:val="single" w:color="auto" w:sz="4" w:space="0"/>
            </w:tcBorders>
            <w:noWrap w:val="0"/>
            <w:vAlign w:val="center"/>
          </w:tcPr>
          <w:p w14:paraId="04171D24">
            <w:pPr>
              <w:snapToGrid w:val="0"/>
              <w:spacing w:line="400" w:lineRule="exact"/>
              <w:rPr>
                <w:rFonts w:ascii="宋体" w:hAnsi="宋体"/>
                <w:szCs w:val="21"/>
              </w:rPr>
            </w:pPr>
            <w:r>
              <w:rPr>
                <w:rFonts w:hint="eastAsia" w:ascii="宋体" w:hAnsi="宋体"/>
                <w:szCs w:val="21"/>
              </w:rPr>
              <w:t>委托代理人：</w:t>
            </w:r>
          </w:p>
        </w:tc>
      </w:tr>
      <w:tr w14:paraId="0BA1E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2500" w:type="pct"/>
            <w:tcBorders>
              <w:top w:val="single" w:color="auto" w:sz="4" w:space="0"/>
              <w:left w:val="single" w:color="auto" w:sz="4" w:space="0"/>
              <w:bottom w:val="single" w:color="auto" w:sz="4" w:space="0"/>
              <w:right w:val="single" w:color="auto" w:sz="4" w:space="0"/>
            </w:tcBorders>
            <w:noWrap w:val="0"/>
            <w:vAlign w:val="center"/>
          </w:tcPr>
          <w:p w14:paraId="573FC487">
            <w:pPr>
              <w:snapToGrid w:val="0"/>
              <w:spacing w:line="400" w:lineRule="exact"/>
              <w:rPr>
                <w:rFonts w:ascii="宋体" w:hAnsi="宋体"/>
                <w:szCs w:val="21"/>
              </w:rPr>
            </w:pPr>
            <w:r>
              <w:rPr>
                <w:rFonts w:hint="eastAsia" w:ascii="宋体" w:hAnsi="宋体"/>
                <w:szCs w:val="21"/>
              </w:rPr>
              <w:t>电话：</w:t>
            </w:r>
          </w:p>
        </w:tc>
        <w:tc>
          <w:tcPr>
            <w:tcW w:w="2500" w:type="pct"/>
            <w:tcBorders>
              <w:top w:val="single" w:color="auto" w:sz="4" w:space="0"/>
              <w:left w:val="single" w:color="auto" w:sz="4" w:space="0"/>
              <w:bottom w:val="single" w:color="auto" w:sz="4" w:space="0"/>
              <w:right w:val="single" w:color="auto" w:sz="4" w:space="0"/>
            </w:tcBorders>
            <w:noWrap w:val="0"/>
            <w:vAlign w:val="center"/>
          </w:tcPr>
          <w:p w14:paraId="44350CC2">
            <w:pPr>
              <w:snapToGrid w:val="0"/>
              <w:spacing w:line="400" w:lineRule="exact"/>
              <w:rPr>
                <w:rFonts w:ascii="宋体" w:hAnsi="宋体"/>
                <w:szCs w:val="21"/>
              </w:rPr>
            </w:pPr>
            <w:r>
              <w:rPr>
                <w:rFonts w:hint="eastAsia" w:ascii="宋体" w:hAnsi="宋体"/>
                <w:szCs w:val="21"/>
              </w:rPr>
              <w:t>电话：</w:t>
            </w:r>
          </w:p>
        </w:tc>
      </w:tr>
      <w:tr w14:paraId="5FE5B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2500" w:type="pct"/>
            <w:tcBorders>
              <w:top w:val="single" w:color="auto" w:sz="4" w:space="0"/>
              <w:left w:val="single" w:color="auto" w:sz="4" w:space="0"/>
              <w:bottom w:val="single" w:color="auto" w:sz="4" w:space="0"/>
              <w:right w:val="single" w:color="auto" w:sz="4" w:space="0"/>
            </w:tcBorders>
            <w:noWrap w:val="0"/>
            <w:vAlign w:val="center"/>
          </w:tcPr>
          <w:p w14:paraId="69AF1614">
            <w:pPr>
              <w:snapToGrid w:val="0"/>
              <w:spacing w:line="400" w:lineRule="exact"/>
              <w:rPr>
                <w:rFonts w:ascii="宋体" w:hAnsi="宋体"/>
                <w:szCs w:val="21"/>
              </w:rPr>
            </w:pPr>
            <w:r>
              <w:rPr>
                <w:rFonts w:hint="eastAsia" w:ascii="宋体" w:hAnsi="宋体"/>
                <w:szCs w:val="21"/>
              </w:rPr>
              <w:t>电子邮箱：</w:t>
            </w:r>
          </w:p>
        </w:tc>
        <w:tc>
          <w:tcPr>
            <w:tcW w:w="2500" w:type="pct"/>
            <w:tcBorders>
              <w:top w:val="single" w:color="auto" w:sz="4" w:space="0"/>
              <w:left w:val="single" w:color="auto" w:sz="4" w:space="0"/>
              <w:bottom w:val="single" w:color="auto" w:sz="4" w:space="0"/>
              <w:right w:val="single" w:color="auto" w:sz="4" w:space="0"/>
            </w:tcBorders>
            <w:noWrap w:val="0"/>
            <w:vAlign w:val="center"/>
          </w:tcPr>
          <w:p w14:paraId="3A094AE3">
            <w:pPr>
              <w:snapToGrid w:val="0"/>
              <w:spacing w:line="400" w:lineRule="exact"/>
              <w:rPr>
                <w:rFonts w:ascii="宋体" w:hAnsi="宋体"/>
                <w:szCs w:val="21"/>
              </w:rPr>
            </w:pPr>
            <w:r>
              <w:rPr>
                <w:rFonts w:hint="eastAsia" w:ascii="宋体" w:hAnsi="宋体"/>
                <w:szCs w:val="21"/>
              </w:rPr>
              <w:t>电子邮箱：</w:t>
            </w:r>
          </w:p>
        </w:tc>
      </w:tr>
      <w:tr w14:paraId="12695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2500" w:type="pct"/>
            <w:tcBorders>
              <w:top w:val="single" w:color="auto" w:sz="4" w:space="0"/>
              <w:left w:val="single" w:color="auto" w:sz="4" w:space="0"/>
              <w:bottom w:val="single" w:color="auto" w:sz="4" w:space="0"/>
              <w:right w:val="single" w:color="auto" w:sz="4" w:space="0"/>
            </w:tcBorders>
            <w:noWrap w:val="0"/>
            <w:vAlign w:val="center"/>
          </w:tcPr>
          <w:p w14:paraId="76B2F95C">
            <w:pPr>
              <w:snapToGrid w:val="0"/>
              <w:spacing w:line="400" w:lineRule="exact"/>
              <w:rPr>
                <w:rFonts w:ascii="宋体" w:hAnsi="宋体"/>
                <w:szCs w:val="21"/>
              </w:rPr>
            </w:pPr>
            <w:r>
              <w:rPr>
                <w:rFonts w:hint="eastAsia" w:ascii="宋体" w:hAnsi="宋体"/>
                <w:szCs w:val="21"/>
              </w:rPr>
              <w:t>开户银行：</w:t>
            </w:r>
          </w:p>
        </w:tc>
        <w:tc>
          <w:tcPr>
            <w:tcW w:w="2500" w:type="pct"/>
            <w:tcBorders>
              <w:top w:val="single" w:color="auto" w:sz="4" w:space="0"/>
              <w:left w:val="single" w:color="auto" w:sz="4" w:space="0"/>
              <w:bottom w:val="single" w:color="auto" w:sz="4" w:space="0"/>
              <w:right w:val="single" w:color="auto" w:sz="4" w:space="0"/>
            </w:tcBorders>
            <w:noWrap w:val="0"/>
            <w:vAlign w:val="center"/>
          </w:tcPr>
          <w:p w14:paraId="2D5065D3">
            <w:pPr>
              <w:snapToGrid w:val="0"/>
              <w:spacing w:line="400" w:lineRule="exact"/>
              <w:rPr>
                <w:rFonts w:ascii="宋体" w:hAnsi="宋体"/>
                <w:szCs w:val="21"/>
              </w:rPr>
            </w:pPr>
            <w:r>
              <w:rPr>
                <w:rFonts w:hint="eastAsia" w:ascii="宋体" w:hAnsi="宋体"/>
                <w:szCs w:val="21"/>
              </w:rPr>
              <w:t>开户银行：</w:t>
            </w:r>
          </w:p>
        </w:tc>
      </w:tr>
      <w:tr w14:paraId="15361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2500" w:type="pct"/>
            <w:tcBorders>
              <w:top w:val="single" w:color="auto" w:sz="4" w:space="0"/>
              <w:left w:val="single" w:color="auto" w:sz="4" w:space="0"/>
              <w:bottom w:val="single" w:color="auto" w:sz="4" w:space="0"/>
              <w:right w:val="single" w:color="auto" w:sz="4" w:space="0"/>
            </w:tcBorders>
            <w:noWrap w:val="0"/>
            <w:vAlign w:val="center"/>
          </w:tcPr>
          <w:p w14:paraId="7D957FDF">
            <w:pPr>
              <w:snapToGrid w:val="0"/>
              <w:spacing w:line="400" w:lineRule="exact"/>
              <w:rPr>
                <w:rFonts w:ascii="宋体" w:hAnsi="宋体"/>
                <w:szCs w:val="21"/>
              </w:rPr>
            </w:pPr>
            <w:r>
              <w:rPr>
                <w:rFonts w:hint="eastAsia" w:ascii="宋体" w:hAnsi="宋体"/>
                <w:szCs w:val="21"/>
              </w:rPr>
              <w:t>账号：</w:t>
            </w:r>
          </w:p>
        </w:tc>
        <w:tc>
          <w:tcPr>
            <w:tcW w:w="2500" w:type="pct"/>
            <w:tcBorders>
              <w:top w:val="single" w:color="auto" w:sz="4" w:space="0"/>
              <w:left w:val="single" w:color="auto" w:sz="4" w:space="0"/>
              <w:bottom w:val="single" w:color="auto" w:sz="4" w:space="0"/>
              <w:right w:val="single" w:color="auto" w:sz="4" w:space="0"/>
            </w:tcBorders>
            <w:noWrap w:val="0"/>
            <w:vAlign w:val="center"/>
          </w:tcPr>
          <w:p w14:paraId="74042F00">
            <w:pPr>
              <w:snapToGrid w:val="0"/>
              <w:spacing w:line="400" w:lineRule="exact"/>
              <w:rPr>
                <w:rFonts w:ascii="宋体" w:hAnsi="宋体"/>
                <w:szCs w:val="21"/>
              </w:rPr>
            </w:pPr>
            <w:r>
              <w:rPr>
                <w:rFonts w:hint="eastAsia" w:ascii="宋体" w:hAnsi="宋体"/>
                <w:szCs w:val="21"/>
              </w:rPr>
              <w:t>账号：</w:t>
            </w:r>
          </w:p>
        </w:tc>
      </w:tr>
      <w:tr w14:paraId="00364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2500" w:type="pct"/>
            <w:tcBorders>
              <w:top w:val="single" w:color="auto" w:sz="4" w:space="0"/>
              <w:left w:val="single" w:color="auto" w:sz="4" w:space="0"/>
              <w:bottom w:val="single" w:color="auto" w:sz="4" w:space="0"/>
              <w:right w:val="single" w:color="auto" w:sz="4" w:space="0"/>
            </w:tcBorders>
            <w:noWrap w:val="0"/>
            <w:vAlign w:val="center"/>
          </w:tcPr>
          <w:p w14:paraId="0245E882">
            <w:pPr>
              <w:snapToGrid w:val="0"/>
              <w:rPr>
                <w:rFonts w:ascii="宋体" w:hAnsi="宋体"/>
                <w:szCs w:val="21"/>
              </w:rPr>
            </w:pPr>
            <w:r>
              <w:rPr>
                <w:rFonts w:hint="eastAsia" w:ascii="宋体" w:hAnsi="宋体"/>
                <w:szCs w:val="21"/>
              </w:rPr>
              <w:t>纳税人识别号或统一社会信用代码：</w:t>
            </w:r>
          </w:p>
        </w:tc>
        <w:tc>
          <w:tcPr>
            <w:tcW w:w="2500" w:type="pct"/>
            <w:tcBorders>
              <w:top w:val="single" w:color="auto" w:sz="4" w:space="0"/>
              <w:left w:val="single" w:color="auto" w:sz="4" w:space="0"/>
              <w:bottom w:val="single" w:color="auto" w:sz="4" w:space="0"/>
              <w:right w:val="single" w:color="auto" w:sz="4" w:space="0"/>
            </w:tcBorders>
            <w:noWrap w:val="0"/>
            <w:vAlign w:val="center"/>
          </w:tcPr>
          <w:p w14:paraId="3EDA2DFD">
            <w:pPr>
              <w:snapToGrid w:val="0"/>
              <w:rPr>
                <w:rFonts w:ascii="宋体" w:hAnsi="宋体"/>
                <w:szCs w:val="21"/>
              </w:rPr>
            </w:pPr>
            <w:r>
              <w:rPr>
                <w:rFonts w:hint="eastAsia" w:ascii="宋体" w:hAnsi="宋体"/>
                <w:szCs w:val="21"/>
              </w:rPr>
              <w:t>纳税人识别号或统一社会信用代码：</w:t>
            </w:r>
          </w:p>
        </w:tc>
      </w:tr>
      <w:tr w14:paraId="24EEE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2500" w:type="pct"/>
            <w:tcBorders>
              <w:top w:val="single" w:color="auto" w:sz="4" w:space="0"/>
              <w:left w:val="single" w:color="auto" w:sz="4" w:space="0"/>
              <w:bottom w:val="single" w:color="auto" w:sz="4" w:space="0"/>
              <w:right w:val="single" w:color="auto" w:sz="4" w:space="0"/>
            </w:tcBorders>
            <w:noWrap w:val="0"/>
            <w:vAlign w:val="center"/>
          </w:tcPr>
          <w:p w14:paraId="1EE08C58">
            <w:pPr>
              <w:snapToGrid w:val="0"/>
              <w:spacing w:line="400" w:lineRule="exact"/>
              <w:rPr>
                <w:rFonts w:ascii="宋体" w:hAnsi="宋体"/>
                <w:szCs w:val="21"/>
              </w:rPr>
            </w:pPr>
            <w:r>
              <w:rPr>
                <w:rFonts w:hint="eastAsia" w:ascii="宋体" w:hAnsi="宋体"/>
                <w:szCs w:val="21"/>
              </w:rPr>
              <w:t>邮政编码：</w:t>
            </w:r>
          </w:p>
        </w:tc>
        <w:tc>
          <w:tcPr>
            <w:tcW w:w="2500" w:type="pct"/>
            <w:tcBorders>
              <w:top w:val="single" w:color="auto" w:sz="4" w:space="0"/>
              <w:left w:val="single" w:color="auto" w:sz="4" w:space="0"/>
              <w:bottom w:val="single" w:color="auto" w:sz="4" w:space="0"/>
              <w:right w:val="single" w:color="auto" w:sz="4" w:space="0"/>
            </w:tcBorders>
            <w:noWrap w:val="0"/>
            <w:vAlign w:val="center"/>
          </w:tcPr>
          <w:p w14:paraId="4E0EA68C">
            <w:pPr>
              <w:snapToGrid w:val="0"/>
              <w:spacing w:line="400" w:lineRule="exact"/>
              <w:rPr>
                <w:rFonts w:ascii="宋体" w:hAnsi="宋体"/>
                <w:szCs w:val="21"/>
              </w:rPr>
            </w:pPr>
            <w:r>
              <w:rPr>
                <w:rFonts w:hint="eastAsia" w:ascii="宋体" w:hAnsi="宋体"/>
                <w:szCs w:val="21"/>
              </w:rPr>
              <w:t>邮政编码：</w:t>
            </w:r>
          </w:p>
        </w:tc>
      </w:tr>
    </w:tbl>
    <w:p w14:paraId="36B1C50A">
      <w:pPr>
        <w:snapToGrid w:val="0"/>
        <w:spacing w:line="360" w:lineRule="auto"/>
        <w:rPr>
          <w:rFonts w:ascii="宋体" w:hAnsi="宋体"/>
          <w:sz w:val="24"/>
        </w:rPr>
      </w:pPr>
    </w:p>
    <w:p w14:paraId="01C3C282">
      <w:pPr>
        <w:snapToGrid w:val="0"/>
        <w:spacing w:line="360" w:lineRule="auto"/>
        <w:rPr>
          <w:rFonts w:ascii="宋体" w:hAnsi="宋体"/>
          <w:sz w:val="24"/>
        </w:rPr>
      </w:pPr>
    </w:p>
    <w:p w14:paraId="417ED57F">
      <w:pPr>
        <w:snapToGrid w:val="0"/>
        <w:spacing w:line="360" w:lineRule="auto"/>
        <w:rPr>
          <w:rFonts w:hint="eastAsia" w:ascii="宋体" w:hAnsi="宋体"/>
          <w:bCs/>
          <w:sz w:val="32"/>
          <w:szCs w:val="32"/>
        </w:rPr>
      </w:pPr>
    </w:p>
    <w:p w14:paraId="7703E4EC">
      <w:pPr>
        <w:snapToGrid w:val="0"/>
        <w:jc w:val="center"/>
        <w:rPr>
          <w:rFonts w:hint="eastAsia" w:ascii="宋体" w:hAnsi="宋体"/>
          <w:bCs/>
          <w:sz w:val="32"/>
          <w:szCs w:val="32"/>
        </w:rPr>
      </w:pPr>
    </w:p>
    <w:p w14:paraId="449BC420">
      <w:pPr>
        <w:snapToGrid w:val="0"/>
        <w:jc w:val="center"/>
        <w:rPr>
          <w:rFonts w:hint="eastAsia" w:ascii="宋体" w:hAnsi="宋体"/>
          <w:bCs/>
          <w:sz w:val="32"/>
          <w:szCs w:val="32"/>
        </w:rPr>
      </w:pPr>
    </w:p>
    <w:p w14:paraId="36FCC877">
      <w:pPr>
        <w:snapToGrid w:val="0"/>
        <w:jc w:val="center"/>
        <w:rPr>
          <w:rFonts w:hint="eastAsia" w:ascii="宋体" w:hAnsi="宋体"/>
          <w:bCs/>
          <w:sz w:val="32"/>
          <w:szCs w:val="32"/>
        </w:rPr>
      </w:pPr>
    </w:p>
    <w:p w14:paraId="1FB9179C">
      <w:pPr>
        <w:snapToGrid w:val="0"/>
        <w:jc w:val="center"/>
        <w:rPr>
          <w:rFonts w:ascii="宋体" w:hAnsi="宋体"/>
          <w:bCs/>
          <w:sz w:val="32"/>
          <w:szCs w:val="32"/>
        </w:rPr>
      </w:pPr>
    </w:p>
    <w:p w14:paraId="5B27601B">
      <w:pPr>
        <w:snapToGrid w:val="0"/>
        <w:jc w:val="center"/>
        <w:rPr>
          <w:rFonts w:hint="eastAsia" w:ascii="宋体" w:hAnsi="宋体"/>
          <w:bCs/>
          <w:sz w:val="32"/>
          <w:szCs w:val="32"/>
        </w:rPr>
      </w:pPr>
    </w:p>
    <w:p w14:paraId="65036E0D">
      <w:pPr>
        <w:snapToGrid w:val="0"/>
        <w:jc w:val="center"/>
        <w:rPr>
          <w:rFonts w:hint="eastAsia" w:ascii="宋体" w:hAnsi="宋体"/>
          <w:bCs/>
          <w:sz w:val="32"/>
          <w:szCs w:val="32"/>
        </w:rPr>
      </w:pPr>
    </w:p>
    <w:p w14:paraId="2BFCE225">
      <w:pPr>
        <w:snapToGrid w:val="0"/>
        <w:jc w:val="center"/>
        <w:rPr>
          <w:rFonts w:hint="eastAsia" w:ascii="宋体" w:hAnsi="宋体"/>
          <w:bCs/>
          <w:sz w:val="32"/>
          <w:szCs w:val="32"/>
        </w:rPr>
      </w:pPr>
    </w:p>
    <w:p w14:paraId="6320586F">
      <w:pPr>
        <w:snapToGrid w:val="0"/>
        <w:jc w:val="center"/>
        <w:rPr>
          <w:rFonts w:hint="eastAsia" w:ascii="宋体" w:hAnsi="宋体"/>
          <w:bCs/>
          <w:sz w:val="32"/>
          <w:szCs w:val="32"/>
        </w:rPr>
      </w:pPr>
    </w:p>
    <w:p w14:paraId="45A0D5FE">
      <w:pPr>
        <w:pStyle w:val="2"/>
        <w:jc w:val="center"/>
        <w:rPr>
          <w:rFonts w:hint="eastAsia"/>
        </w:rPr>
      </w:pPr>
      <w:bookmarkStart w:id="178" w:name="_Toc25289"/>
      <w:r>
        <w:rPr>
          <w:rFonts w:hint="eastAsia"/>
        </w:rPr>
        <w:t>第六章　投标文件格式</w:t>
      </w:r>
      <w:bookmarkEnd w:id="178"/>
    </w:p>
    <w:p w14:paraId="30D50F8E">
      <w:pPr>
        <w:snapToGrid w:val="0"/>
        <w:spacing w:before="50" w:after="50"/>
        <w:outlineLvl w:val="1"/>
        <w:rPr>
          <w:rFonts w:hint="eastAsia" w:ascii="宋体" w:hAnsi="宋体"/>
          <w:sz w:val="32"/>
          <w:szCs w:val="20"/>
        </w:rPr>
      </w:pPr>
    </w:p>
    <w:p w14:paraId="32EFADC8">
      <w:pPr>
        <w:snapToGrid w:val="0"/>
        <w:spacing w:before="50" w:after="50"/>
        <w:outlineLvl w:val="1"/>
        <w:rPr>
          <w:rFonts w:hint="eastAsia" w:ascii="宋体" w:hAnsi="宋体"/>
          <w:sz w:val="32"/>
          <w:szCs w:val="20"/>
        </w:rPr>
      </w:pPr>
    </w:p>
    <w:p w14:paraId="0CA24798">
      <w:pPr>
        <w:snapToGrid w:val="0"/>
        <w:spacing w:before="50" w:after="50"/>
        <w:outlineLvl w:val="1"/>
        <w:rPr>
          <w:rFonts w:hint="eastAsia" w:ascii="宋体" w:hAnsi="宋体"/>
          <w:sz w:val="32"/>
          <w:szCs w:val="20"/>
        </w:rPr>
      </w:pPr>
    </w:p>
    <w:p w14:paraId="6FB6E448">
      <w:pPr>
        <w:snapToGrid w:val="0"/>
        <w:spacing w:before="50" w:after="50"/>
        <w:outlineLvl w:val="1"/>
        <w:rPr>
          <w:rFonts w:hint="eastAsia" w:ascii="宋体" w:hAnsi="宋体"/>
          <w:sz w:val="32"/>
          <w:szCs w:val="20"/>
        </w:rPr>
      </w:pPr>
    </w:p>
    <w:p w14:paraId="41208817">
      <w:pPr>
        <w:snapToGrid w:val="0"/>
        <w:spacing w:before="50" w:after="50"/>
        <w:outlineLvl w:val="1"/>
        <w:rPr>
          <w:rFonts w:hint="eastAsia" w:ascii="宋体" w:hAnsi="宋体"/>
          <w:sz w:val="32"/>
          <w:szCs w:val="20"/>
        </w:rPr>
      </w:pPr>
    </w:p>
    <w:p w14:paraId="14A3AD68">
      <w:pPr>
        <w:snapToGrid w:val="0"/>
        <w:spacing w:before="50" w:after="50"/>
        <w:outlineLvl w:val="1"/>
        <w:rPr>
          <w:rFonts w:hint="eastAsia" w:ascii="宋体" w:hAnsi="宋体"/>
          <w:sz w:val="32"/>
          <w:szCs w:val="20"/>
        </w:rPr>
      </w:pPr>
    </w:p>
    <w:p w14:paraId="53DE5FAA">
      <w:pPr>
        <w:snapToGrid w:val="0"/>
        <w:spacing w:before="50" w:after="50"/>
        <w:outlineLvl w:val="1"/>
        <w:rPr>
          <w:rFonts w:hint="eastAsia" w:ascii="宋体" w:hAnsi="宋体"/>
          <w:sz w:val="32"/>
          <w:szCs w:val="20"/>
        </w:rPr>
      </w:pPr>
    </w:p>
    <w:p w14:paraId="208A2BAE">
      <w:pPr>
        <w:snapToGrid w:val="0"/>
        <w:spacing w:before="50" w:after="50"/>
        <w:outlineLvl w:val="1"/>
        <w:rPr>
          <w:rFonts w:hint="eastAsia" w:ascii="宋体" w:hAnsi="宋体"/>
          <w:sz w:val="32"/>
          <w:szCs w:val="20"/>
        </w:rPr>
      </w:pPr>
    </w:p>
    <w:p w14:paraId="37EC56A1">
      <w:pPr>
        <w:snapToGrid w:val="0"/>
        <w:spacing w:before="50" w:after="50"/>
        <w:outlineLvl w:val="1"/>
        <w:rPr>
          <w:rFonts w:hint="eastAsia" w:ascii="宋体" w:hAnsi="宋体"/>
          <w:sz w:val="32"/>
          <w:szCs w:val="20"/>
        </w:rPr>
      </w:pPr>
    </w:p>
    <w:p w14:paraId="583413CE">
      <w:pPr>
        <w:snapToGrid w:val="0"/>
        <w:spacing w:before="50" w:after="50"/>
        <w:outlineLvl w:val="1"/>
        <w:rPr>
          <w:rFonts w:hint="eastAsia" w:ascii="宋体" w:hAnsi="宋体"/>
          <w:sz w:val="32"/>
          <w:szCs w:val="20"/>
        </w:rPr>
      </w:pPr>
    </w:p>
    <w:p w14:paraId="0903C342">
      <w:pPr>
        <w:snapToGrid w:val="0"/>
        <w:spacing w:before="50" w:after="50"/>
        <w:outlineLvl w:val="1"/>
        <w:rPr>
          <w:rFonts w:hint="eastAsia" w:ascii="宋体" w:hAnsi="宋体"/>
          <w:sz w:val="32"/>
          <w:szCs w:val="20"/>
        </w:rPr>
      </w:pPr>
    </w:p>
    <w:p w14:paraId="74F012F9">
      <w:pPr>
        <w:snapToGrid w:val="0"/>
        <w:spacing w:before="50" w:after="50"/>
        <w:outlineLvl w:val="1"/>
        <w:rPr>
          <w:rFonts w:hint="eastAsia" w:ascii="宋体" w:hAnsi="宋体"/>
          <w:sz w:val="32"/>
          <w:szCs w:val="20"/>
        </w:rPr>
      </w:pPr>
    </w:p>
    <w:p w14:paraId="36CA1F69">
      <w:pPr>
        <w:snapToGrid w:val="0"/>
        <w:spacing w:before="50" w:after="50"/>
        <w:outlineLvl w:val="1"/>
        <w:rPr>
          <w:rFonts w:hint="eastAsia" w:ascii="宋体" w:hAnsi="宋体"/>
          <w:sz w:val="32"/>
          <w:szCs w:val="20"/>
        </w:rPr>
      </w:pPr>
      <w:r>
        <w:rPr>
          <w:sz w:val="32"/>
          <w:szCs w:val="20"/>
        </w:rPr>
        <w:br w:type="page"/>
      </w:r>
    </w:p>
    <w:p w14:paraId="67C4FB41">
      <w:pPr>
        <w:snapToGrid w:val="0"/>
        <w:spacing w:before="120" w:beforeLines="50" w:after="50"/>
        <w:jc w:val="center"/>
        <w:outlineLvl w:val="1"/>
        <w:rPr>
          <w:rFonts w:hint="eastAsia" w:ascii="宋体" w:hAnsi="宋体"/>
        </w:rPr>
      </w:pPr>
    </w:p>
    <w:p w14:paraId="6658EF12">
      <w:pPr>
        <w:rPr>
          <w:rFonts w:hint="eastAsia"/>
          <w:b/>
          <w:sz w:val="28"/>
          <w:szCs w:val="28"/>
        </w:rPr>
      </w:pPr>
      <w:bookmarkStart w:id="179" w:name="_Toc19686836"/>
      <w:bookmarkStart w:id="180" w:name="_Toc254970557"/>
      <w:bookmarkStart w:id="181" w:name="_Toc254970698"/>
      <w:r>
        <w:rPr>
          <w:rFonts w:hint="eastAsia"/>
          <w:b/>
          <w:sz w:val="28"/>
          <w:szCs w:val="28"/>
        </w:rPr>
        <w:t>一、报价文件格式</w:t>
      </w:r>
      <w:bookmarkEnd w:id="179"/>
    </w:p>
    <w:p w14:paraId="654F45BF">
      <w:pPr>
        <w:snapToGrid w:val="0"/>
        <w:spacing w:before="120" w:beforeLines="50" w:after="50" w:line="360" w:lineRule="auto"/>
        <w:ind w:left="142"/>
        <w:jc w:val="left"/>
        <w:rPr>
          <w:rFonts w:hint="eastAsia" w:ascii="宋体" w:hAnsi="宋体"/>
          <w:b/>
          <w:sz w:val="24"/>
        </w:rPr>
      </w:pPr>
      <w:r>
        <w:rPr>
          <w:rFonts w:hint="eastAsia" w:ascii="宋体" w:hAnsi="宋体"/>
          <w:b/>
          <w:sz w:val="24"/>
        </w:rPr>
        <w:t xml:space="preserve">1. 报价文件封面格式： </w:t>
      </w:r>
    </w:p>
    <w:p w14:paraId="24784F76">
      <w:pPr>
        <w:snapToGrid w:val="0"/>
        <w:spacing w:before="120" w:beforeLines="50" w:after="50" w:line="360" w:lineRule="auto"/>
        <w:ind w:left="142"/>
        <w:jc w:val="center"/>
        <w:rPr>
          <w:rFonts w:hint="eastAsia" w:ascii="宋体" w:hAnsi="宋体" w:eastAsia="方正小标宋简体"/>
          <w:bCs/>
          <w:sz w:val="48"/>
          <w:szCs w:val="48"/>
        </w:rPr>
      </w:pPr>
      <w:r>
        <w:rPr>
          <w:rFonts w:hint="eastAsia" w:ascii="宋体" w:hAnsi="宋体" w:eastAsia="方正小标宋简体"/>
          <w:bCs/>
          <w:sz w:val="48"/>
          <w:szCs w:val="48"/>
        </w:rPr>
        <w:t>电子投标文件</w:t>
      </w:r>
    </w:p>
    <w:p w14:paraId="38B812A8">
      <w:pPr>
        <w:snapToGrid w:val="0"/>
        <w:spacing w:before="120" w:beforeLines="50" w:after="50" w:line="400" w:lineRule="exact"/>
        <w:jc w:val="left"/>
        <w:rPr>
          <w:rFonts w:hint="eastAsia" w:ascii="宋体" w:hAnsi="宋体" w:eastAsia="方正小标宋简体"/>
          <w:bCs/>
          <w:sz w:val="48"/>
          <w:szCs w:val="48"/>
        </w:rPr>
      </w:pPr>
    </w:p>
    <w:p w14:paraId="6391B51C">
      <w:pPr>
        <w:snapToGrid w:val="0"/>
        <w:spacing w:before="120" w:beforeLines="50" w:after="50" w:line="40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报  价  文  件</w:t>
      </w:r>
    </w:p>
    <w:p w14:paraId="05413B5B">
      <w:pPr>
        <w:snapToGrid w:val="0"/>
        <w:spacing w:before="120" w:beforeLines="50" w:after="50" w:line="400" w:lineRule="exact"/>
        <w:rPr>
          <w:rFonts w:hint="eastAsia" w:ascii="宋体" w:hAnsi="宋体"/>
          <w:bCs/>
          <w:sz w:val="24"/>
          <w:szCs w:val="20"/>
        </w:rPr>
      </w:pPr>
    </w:p>
    <w:p w14:paraId="76377103">
      <w:pPr>
        <w:snapToGrid w:val="0"/>
        <w:spacing w:before="120" w:beforeLines="50" w:after="50" w:line="400" w:lineRule="exact"/>
        <w:rPr>
          <w:rFonts w:hint="eastAsia" w:ascii="宋体" w:hAnsi="宋体"/>
          <w:bCs/>
          <w:sz w:val="24"/>
          <w:szCs w:val="20"/>
        </w:rPr>
      </w:pPr>
    </w:p>
    <w:p w14:paraId="40F0021D">
      <w:pPr>
        <w:snapToGrid w:val="0"/>
        <w:spacing w:before="120" w:beforeLines="50" w:after="50" w:line="400" w:lineRule="exact"/>
        <w:rPr>
          <w:rFonts w:hint="eastAsia" w:ascii="宋体" w:hAnsi="宋体"/>
          <w:bCs/>
          <w:sz w:val="24"/>
          <w:szCs w:val="20"/>
        </w:rPr>
      </w:pPr>
    </w:p>
    <w:p w14:paraId="378C9C0F">
      <w:pPr>
        <w:snapToGrid w:val="0"/>
        <w:spacing w:before="120" w:beforeLines="50" w:after="50" w:line="400" w:lineRule="exact"/>
        <w:rPr>
          <w:rFonts w:hint="eastAsia" w:ascii="宋体" w:hAnsi="宋体"/>
          <w:bCs/>
          <w:sz w:val="24"/>
          <w:szCs w:val="20"/>
        </w:rPr>
      </w:pPr>
    </w:p>
    <w:p w14:paraId="506B3D39">
      <w:pPr>
        <w:snapToGrid w:val="0"/>
        <w:spacing w:before="120" w:beforeLines="50" w:after="50" w:line="400" w:lineRule="exact"/>
        <w:ind w:firstLine="360" w:firstLineChars="150"/>
        <w:rPr>
          <w:rFonts w:ascii="宋体" w:hAnsi="宋体"/>
          <w:bCs/>
          <w:sz w:val="24"/>
        </w:rPr>
      </w:pPr>
      <w:r>
        <w:rPr>
          <w:rFonts w:hint="eastAsia" w:ascii="宋体" w:hAnsi="宋体"/>
          <w:bCs/>
          <w:sz w:val="24"/>
        </w:rPr>
        <w:t xml:space="preserve">项目名称： </w:t>
      </w:r>
    </w:p>
    <w:p w14:paraId="53F85A13">
      <w:pPr>
        <w:snapToGrid w:val="0"/>
        <w:spacing w:before="120" w:beforeLines="50" w:after="50" w:line="400" w:lineRule="exact"/>
        <w:ind w:firstLine="360" w:firstLineChars="150"/>
        <w:rPr>
          <w:rFonts w:hint="eastAsia" w:ascii="宋体" w:hAnsi="宋体"/>
          <w:bCs/>
          <w:sz w:val="24"/>
        </w:rPr>
      </w:pPr>
    </w:p>
    <w:p w14:paraId="2F7CC2A8">
      <w:pPr>
        <w:snapToGrid w:val="0"/>
        <w:spacing w:before="120" w:beforeLines="50" w:after="50" w:line="400" w:lineRule="exact"/>
        <w:ind w:firstLine="360" w:firstLineChars="150"/>
        <w:rPr>
          <w:rFonts w:ascii="宋体" w:hAnsi="宋体"/>
          <w:bCs/>
          <w:sz w:val="24"/>
        </w:rPr>
      </w:pPr>
      <w:r>
        <w:rPr>
          <w:rFonts w:hint="eastAsia" w:ascii="宋体" w:hAnsi="宋体"/>
          <w:bCs/>
          <w:sz w:val="24"/>
        </w:rPr>
        <w:t xml:space="preserve">项目编号： </w:t>
      </w:r>
    </w:p>
    <w:p w14:paraId="46B8FD54">
      <w:pPr>
        <w:snapToGrid w:val="0"/>
        <w:spacing w:before="120" w:beforeLines="50" w:after="50" w:line="400" w:lineRule="exact"/>
        <w:ind w:firstLine="360" w:firstLineChars="150"/>
        <w:rPr>
          <w:rFonts w:hint="eastAsia" w:ascii="宋体" w:hAnsi="宋体"/>
          <w:bCs/>
          <w:sz w:val="24"/>
        </w:rPr>
      </w:pPr>
    </w:p>
    <w:p w14:paraId="0835B38C">
      <w:pPr>
        <w:snapToGrid w:val="0"/>
        <w:spacing w:before="120" w:beforeLines="50" w:after="50" w:line="400" w:lineRule="exact"/>
        <w:ind w:firstLine="360" w:firstLineChars="150"/>
        <w:rPr>
          <w:rFonts w:ascii="宋体" w:hAnsi="宋体"/>
          <w:bCs/>
          <w:sz w:val="24"/>
        </w:rPr>
      </w:pPr>
      <w:r>
        <w:rPr>
          <w:rFonts w:hint="eastAsia" w:ascii="宋体" w:hAnsi="宋体"/>
          <w:bCs/>
          <w:sz w:val="24"/>
        </w:rPr>
        <w:t>所投分标：</w:t>
      </w:r>
    </w:p>
    <w:p w14:paraId="09B92047">
      <w:pPr>
        <w:snapToGrid w:val="0"/>
        <w:spacing w:before="120" w:beforeLines="50" w:after="50" w:line="400" w:lineRule="exact"/>
        <w:ind w:firstLine="360" w:firstLineChars="150"/>
        <w:rPr>
          <w:rFonts w:hint="eastAsia" w:ascii="宋体" w:hAnsi="宋体"/>
          <w:bCs/>
          <w:sz w:val="24"/>
        </w:rPr>
      </w:pPr>
    </w:p>
    <w:p w14:paraId="432E1A1F">
      <w:pPr>
        <w:snapToGrid w:val="0"/>
        <w:spacing w:before="120" w:beforeLines="50" w:after="50" w:line="400" w:lineRule="exact"/>
        <w:ind w:firstLine="360" w:firstLineChars="150"/>
        <w:rPr>
          <w:rFonts w:ascii="宋体" w:hAnsi="宋体"/>
          <w:bCs/>
          <w:sz w:val="24"/>
        </w:rPr>
      </w:pPr>
      <w:r>
        <w:rPr>
          <w:rFonts w:hint="eastAsia" w:ascii="宋体" w:hAnsi="宋体"/>
          <w:bCs/>
          <w:sz w:val="24"/>
        </w:rPr>
        <w:t>投标人名称：</w:t>
      </w:r>
    </w:p>
    <w:p w14:paraId="42131D28">
      <w:pPr>
        <w:snapToGrid w:val="0"/>
        <w:spacing w:before="120" w:beforeLines="50" w:after="50" w:line="400" w:lineRule="exact"/>
        <w:ind w:firstLine="360" w:firstLineChars="150"/>
        <w:rPr>
          <w:rFonts w:hint="eastAsia" w:ascii="宋体" w:hAnsi="宋体"/>
          <w:bCs/>
          <w:sz w:val="24"/>
        </w:rPr>
      </w:pPr>
    </w:p>
    <w:p w14:paraId="4668709A">
      <w:pPr>
        <w:snapToGrid w:val="0"/>
        <w:spacing w:before="120" w:beforeLines="50" w:after="50" w:line="400" w:lineRule="exact"/>
        <w:ind w:firstLine="360" w:firstLineChars="150"/>
        <w:rPr>
          <w:rFonts w:hint="eastAsia" w:ascii="宋体" w:hAnsi="宋体"/>
          <w:bCs/>
          <w:sz w:val="24"/>
        </w:rPr>
      </w:pPr>
      <w:r>
        <w:rPr>
          <w:rFonts w:hint="eastAsia" w:ascii="宋体" w:hAnsi="宋体"/>
          <w:bCs/>
          <w:sz w:val="24"/>
        </w:rPr>
        <w:t>投标人地址：</w:t>
      </w:r>
    </w:p>
    <w:p w14:paraId="48747DDA">
      <w:pPr>
        <w:pStyle w:val="7"/>
        <w:snapToGrid w:val="0"/>
        <w:spacing w:before="50" w:after="50" w:line="400" w:lineRule="exact"/>
        <w:ind w:firstLine="960" w:firstLineChars="400"/>
        <w:rPr>
          <w:rFonts w:hint="eastAsia" w:ascii="宋体" w:hAnsi="宋体"/>
          <w:bCs/>
          <w:sz w:val="24"/>
          <w:szCs w:val="24"/>
        </w:rPr>
      </w:pPr>
    </w:p>
    <w:p w14:paraId="0521ACD0">
      <w:pPr>
        <w:snapToGrid w:val="0"/>
        <w:spacing w:before="120" w:beforeLines="50" w:after="50" w:line="400" w:lineRule="exact"/>
        <w:rPr>
          <w:rFonts w:hint="eastAsia" w:ascii="宋体" w:hAnsi="宋体"/>
          <w:sz w:val="30"/>
          <w:szCs w:val="20"/>
        </w:rPr>
      </w:pPr>
      <w:r>
        <w:rPr>
          <w:rFonts w:hint="eastAsia" w:ascii="宋体" w:hAnsi="宋体"/>
          <w:sz w:val="24"/>
        </w:rPr>
        <w:t xml:space="preserve">                                   年  月  日</w:t>
      </w:r>
    </w:p>
    <w:p w14:paraId="433ECB29">
      <w:pPr>
        <w:snapToGrid w:val="0"/>
        <w:spacing w:before="120" w:beforeLines="50" w:after="50" w:line="360" w:lineRule="auto"/>
        <w:jc w:val="left"/>
        <w:rPr>
          <w:rFonts w:hint="eastAsia" w:ascii="宋体" w:hAnsi="宋体"/>
          <w:sz w:val="24"/>
          <w:szCs w:val="20"/>
        </w:rPr>
      </w:pPr>
      <w:r>
        <w:rPr>
          <w:rFonts w:ascii="宋体" w:hAnsi="宋体"/>
          <w:b/>
          <w:sz w:val="24"/>
        </w:rPr>
        <w:br w:type="page"/>
      </w:r>
      <w:r>
        <w:rPr>
          <w:rFonts w:hint="eastAsia" w:ascii="宋体" w:hAnsi="宋体"/>
          <w:b/>
          <w:sz w:val="24"/>
        </w:rPr>
        <w:t>2.</w:t>
      </w:r>
      <w:r>
        <w:rPr>
          <w:rFonts w:hint="eastAsia" w:ascii="宋体" w:hAnsi="宋体"/>
          <w:b/>
          <w:bCs/>
          <w:sz w:val="24"/>
        </w:rPr>
        <w:t>报价文件目录</w:t>
      </w:r>
    </w:p>
    <w:p w14:paraId="113CCA97">
      <w:pPr>
        <w:snapToGrid w:val="0"/>
        <w:spacing w:before="50" w:after="120" w:afterLines="50" w:line="360" w:lineRule="auto"/>
        <w:jc w:val="left"/>
        <w:rPr>
          <w:rFonts w:ascii="宋体" w:hAnsi="宋体"/>
          <w:b/>
          <w:sz w:val="24"/>
        </w:rPr>
      </w:pPr>
      <w:r>
        <w:rPr>
          <w:rFonts w:hint="eastAsia" w:ascii="宋体" w:hAnsi="宋体"/>
          <w:szCs w:val="21"/>
        </w:rPr>
        <w:t>根据招标文件规定及投标人提供的材料自行编写目录。</w:t>
      </w:r>
    </w:p>
    <w:p w14:paraId="681BB511">
      <w:pPr>
        <w:snapToGrid w:val="0"/>
        <w:spacing w:before="120" w:beforeLines="50" w:after="50"/>
        <w:rPr>
          <w:rFonts w:hint="eastAsia" w:ascii="宋体" w:hAnsi="宋体"/>
          <w:b/>
          <w:sz w:val="24"/>
        </w:rPr>
      </w:pPr>
    </w:p>
    <w:p w14:paraId="2C1CDCBC">
      <w:pPr>
        <w:snapToGrid w:val="0"/>
        <w:spacing w:before="120" w:beforeLines="50" w:after="50"/>
        <w:rPr>
          <w:rFonts w:hint="eastAsia" w:ascii="宋体" w:hAnsi="宋体"/>
          <w:b/>
          <w:sz w:val="24"/>
        </w:rPr>
      </w:pPr>
    </w:p>
    <w:p w14:paraId="0411FC8D">
      <w:pPr>
        <w:snapToGrid w:val="0"/>
        <w:spacing w:before="120" w:beforeLines="50" w:after="50"/>
        <w:rPr>
          <w:rFonts w:hint="eastAsia" w:ascii="宋体" w:hAnsi="宋体"/>
          <w:b/>
          <w:sz w:val="24"/>
        </w:rPr>
      </w:pPr>
    </w:p>
    <w:p w14:paraId="1360B52F">
      <w:pPr>
        <w:snapToGrid w:val="0"/>
        <w:spacing w:before="120" w:beforeLines="50" w:after="50"/>
        <w:ind w:left="142"/>
        <w:jc w:val="left"/>
        <w:rPr>
          <w:rFonts w:hint="eastAsia" w:ascii="宋体" w:hAnsi="宋体"/>
          <w:b/>
          <w:sz w:val="24"/>
        </w:rPr>
      </w:pPr>
      <w:r>
        <w:rPr>
          <w:rFonts w:ascii="宋体" w:hAnsi="宋体"/>
          <w:b/>
          <w:sz w:val="24"/>
        </w:rPr>
        <w:br w:type="page"/>
      </w:r>
      <w:r>
        <w:rPr>
          <w:rFonts w:hint="eastAsia" w:ascii="宋体" w:hAnsi="宋体"/>
          <w:b/>
          <w:sz w:val="24"/>
        </w:rPr>
        <w:t>3. 投标函格式：</w:t>
      </w:r>
    </w:p>
    <w:p w14:paraId="79436490">
      <w:pPr>
        <w:snapToGrid w:val="0"/>
        <w:spacing w:before="120" w:beforeLines="50" w:after="50" w:line="360" w:lineRule="auto"/>
        <w:jc w:val="center"/>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投 标 函</w:t>
      </w:r>
    </w:p>
    <w:p w14:paraId="1D8079D4">
      <w:pPr>
        <w:snapToGrid w:val="0"/>
        <w:spacing w:before="120" w:beforeLines="50" w:after="50" w:line="320" w:lineRule="exact"/>
        <w:jc w:val="center"/>
        <w:rPr>
          <w:rFonts w:hint="eastAsia" w:ascii="宋体" w:hAnsi="宋体"/>
          <w:b/>
          <w:sz w:val="32"/>
          <w:szCs w:val="32"/>
        </w:rPr>
      </w:pPr>
    </w:p>
    <w:p w14:paraId="53CE1C9C">
      <w:pPr>
        <w:spacing w:line="360" w:lineRule="auto"/>
        <w:contextualSpacing/>
        <w:rPr>
          <w:rFonts w:hint="eastAsia" w:ascii="宋体" w:hAnsi="宋体"/>
          <w:sz w:val="24"/>
        </w:rPr>
      </w:pPr>
      <w:r>
        <w:rPr>
          <w:rFonts w:hint="eastAsia" w:ascii="宋体" w:hAnsi="宋体"/>
          <w:sz w:val="24"/>
        </w:rPr>
        <w:t>致：</w:t>
      </w:r>
      <w:r>
        <w:rPr>
          <w:rFonts w:hint="eastAsia" w:ascii="宋体" w:hAnsi="宋体"/>
          <w:sz w:val="24"/>
          <w:u w:val="single"/>
        </w:rPr>
        <w:t>采购人名称</w:t>
      </w:r>
      <w:r>
        <w:rPr>
          <w:rFonts w:hint="eastAsia" w:ascii="宋体" w:hAnsi="宋体"/>
          <w:sz w:val="24"/>
        </w:rPr>
        <w:t>：</w:t>
      </w:r>
    </w:p>
    <w:p w14:paraId="4CDB0FD8">
      <w:pPr>
        <w:spacing w:line="360" w:lineRule="auto"/>
        <w:ind w:firstLine="480"/>
        <w:contextualSpacing/>
        <w:rPr>
          <w:rFonts w:hint="eastAsia" w:ascii="宋体" w:hAnsi="宋体"/>
          <w:sz w:val="24"/>
        </w:rPr>
      </w:pPr>
      <w:r>
        <w:rPr>
          <w:rFonts w:hint="eastAsia" w:ascii="宋体" w:hAnsi="宋体"/>
          <w:sz w:val="24"/>
        </w:rPr>
        <w:t>根据贵方</w:t>
      </w:r>
      <w:r>
        <w:rPr>
          <w:rFonts w:hint="eastAsia" w:ascii="宋体" w:hAnsi="宋体"/>
          <w:sz w:val="24"/>
          <w:u w:val="single"/>
        </w:rPr>
        <w:t xml:space="preserve"> 项目名称</w:t>
      </w:r>
      <w:r>
        <w:rPr>
          <w:rFonts w:hint="eastAsia" w:ascii="宋体" w:hAnsi="宋体"/>
          <w:sz w:val="24"/>
        </w:rPr>
        <w:t>（项目编号：</w:t>
      </w:r>
      <w:r>
        <w:rPr>
          <w:rFonts w:hint="eastAsia" w:ascii="宋体" w:hAnsi="宋体"/>
          <w:sz w:val="24"/>
          <w:u w:val="single"/>
        </w:rPr>
        <w:t xml:space="preserve">        </w:t>
      </w:r>
      <w:r>
        <w:rPr>
          <w:rFonts w:hint="eastAsia" w:ascii="宋体" w:hAnsi="宋体"/>
          <w:sz w:val="24"/>
        </w:rPr>
        <w:t>）的招标文件，签字代表______</w:t>
      </w:r>
      <w:r>
        <w:rPr>
          <w:rFonts w:hint="eastAsia" w:ascii="宋体" w:hAnsi="宋体"/>
          <w:sz w:val="24"/>
          <w:u w:val="single"/>
        </w:rPr>
        <w:t xml:space="preserve">     </w:t>
      </w:r>
      <w:r>
        <w:rPr>
          <w:rFonts w:hint="eastAsia" w:ascii="宋体" w:hAnsi="宋体"/>
          <w:sz w:val="24"/>
        </w:rPr>
        <w:t>（姓名）经正式授权并代表投标人</w:t>
      </w:r>
      <w:r>
        <w:rPr>
          <w:rFonts w:hint="eastAsia" w:ascii="宋体" w:hAnsi="宋体"/>
          <w:sz w:val="24"/>
          <w:u w:val="single"/>
        </w:rPr>
        <w:t xml:space="preserve">                 </w:t>
      </w:r>
      <w:r>
        <w:rPr>
          <w:rFonts w:hint="eastAsia" w:ascii="宋体" w:hAnsi="宋体"/>
          <w:sz w:val="24"/>
        </w:rPr>
        <w:t>（投标人名称）提交投标文件。</w:t>
      </w:r>
    </w:p>
    <w:p w14:paraId="103D4A69">
      <w:pPr>
        <w:spacing w:line="360" w:lineRule="auto"/>
        <w:ind w:firstLine="480" w:firstLineChars="200"/>
        <w:contextualSpacing/>
        <w:rPr>
          <w:rFonts w:hint="eastAsia" w:ascii="宋体" w:hAnsi="宋体"/>
          <w:sz w:val="24"/>
        </w:rPr>
      </w:pPr>
      <w:r>
        <w:rPr>
          <w:rFonts w:hint="eastAsia" w:ascii="宋体" w:hAnsi="宋体"/>
          <w:sz w:val="24"/>
        </w:rPr>
        <w:t>据此函，我方宣布同意如下：</w:t>
      </w:r>
    </w:p>
    <w:p w14:paraId="7779D02E">
      <w:pPr>
        <w:spacing w:line="360" w:lineRule="auto"/>
        <w:ind w:firstLine="480" w:firstLineChars="200"/>
        <w:contextualSpacing/>
        <w:rPr>
          <w:rFonts w:hint="eastAsia" w:ascii="宋体" w:hAnsi="宋体"/>
          <w:sz w:val="24"/>
        </w:rPr>
      </w:pPr>
      <w:r>
        <w:rPr>
          <w:rFonts w:hint="eastAsia" w:ascii="宋体" w:hAnsi="宋体"/>
          <w:sz w:val="24"/>
        </w:rPr>
        <w:t>1.我方已详细审查全部“招标文件”，包括修改文件（如有的话）以及全部参考资料和有关附件，已经了解我方对于招标文件、采购过程、采购结果有依法进行询问、质疑、投诉的权利及相关渠道和要求。</w:t>
      </w:r>
    </w:p>
    <w:p w14:paraId="49E6F0D5">
      <w:pPr>
        <w:spacing w:line="360" w:lineRule="auto"/>
        <w:ind w:firstLine="480" w:firstLineChars="200"/>
        <w:contextualSpacing/>
        <w:rPr>
          <w:rFonts w:hint="eastAsia" w:ascii="宋体" w:hAnsi="宋体"/>
          <w:sz w:val="24"/>
        </w:rPr>
      </w:pPr>
      <w:r>
        <w:rPr>
          <w:rFonts w:hint="eastAsia" w:ascii="宋体" w:hAnsi="宋体"/>
          <w:sz w:val="24"/>
        </w:rPr>
        <w:t>2.我方在投标之前已经完全理解并接受招标文件的各项规定和要求，对招标文件的合理性、合法性不再有异议。</w:t>
      </w:r>
    </w:p>
    <w:p w14:paraId="7B175C52">
      <w:pPr>
        <w:spacing w:line="360" w:lineRule="auto"/>
        <w:ind w:firstLine="480" w:firstLineChars="200"/>
        <w:contextualSpacing/>
        <w:rPr>
          <w:rFonts w:hint="eastAsia" w:ascii="宋体" w:hAnsi="宋体"/>
          <w:sz w:val="24"/>
        </w:rPr>
      </w:pPr>
      <w:r>
        <w:rPr>
          <w:rFonts w:hint="eastAsia" w:ascii="宋体" w:hAnsi="宋体"/>
          <w:sz w:val="24"/>
        </w:rPr>
        <w:t>3.本投标有效期自投标截止之日起</w:t>
      </w:r>
      <w:r>
        <w:rPr>
          <w:rFonts w:ascii="宋体" w:hAnsi="宋体"/>
          <w:sz w:val="24"/>
          <w:u w:val="single"/>
        </w:rPr>
        <w:t xml:space="preserve">    </w:t>
      </w:r>
      <w:r>
        <w:rPr>
          <w:rFonts w:hint="eastAsia" w:ascii="宋体" w:hAnsi="宋体"/>
          <w:sz w:val="24"/>
        </w:rPr>
        <w:t>日。</w:t>
      </w:r>
    </w:p>
    <w:p w14:paraId="4B83CD40">
      <w:pPr>
        <w:spacing w:line="360" w:lineRule="auto"/>
        <w:ind w:firstLine="480" w:firstLineChars="200"/>
        <w:contextualSpacing/>
        <w:rPr>
          <w:rFonts w:hint="eastAsia" w:ascii="宋体" w:hAnsi="宋体"/>
          <w:sz w:val="24"/>
        </w:rPr>
      </w:pPr>
      <w:r>
        <w:rPr>
          <w:rFonts w:hint="eastAsia" w:ascii="宋体" w:hAnsi="宋体"/>
          <w:sz w:val="24"/>
        </w:rPr>
        <w:t>4.如中标，本投标文件至本项目合同履行完毕止均保持有效，我方将按“招标文件”及政府采购法律、法规的规定履行合同责任和义务。</w:t>
      </w:r>
    </w:p>
    <w:p w14:paraId="11EE5689">
      <w:pPr>
        <w:spacing w:line="360" w:lineRule="auto"/>
        <w:ind w:firstLine="480" w:firstLineChars="200"/>
        <w:contextualSpacing/>
        <w:rPr>
          <w:rFonts w:hint="eastAsia" w:ascii="宋体" w:hAnsi="宋体"/>
          <w:sz w:val="24"/>
        </w:rPr>
      </w:pPr>
      <w:r>
        <w:rPr>
          <w:rFonts w:hint="eastAsia" w:ascii="宋体" w:hAnsi="宋体"/>
          <w:sz w:val="24"/>
        </w:rPr>
        <w:t>5.我方同意按照贵方要求提供与投标有关的一切数据或者资料。</w:t>
      </w:r>
    </w:p>
    <w:p w14:paraId="0DDE65F7">
      <w:pPr>
        <w:spacing w:line="360" w:lineRule="auto"/>
        <w:ind w:firstLine="480" w:firstLineChars="200"/>
        <w:contextualSpacing/>
        <w:rPr>
          <w:rFonts w:hint="eastAsia" w:ascii="宋体" w:hAnsi="宋体"/>
          <w:sz w:val="24"/>
        </w:rPr>
      </w:pPr>
      <w:r>
        <w:rPr>
          <w:rFonts w:hint="eastAsia" w:ascii="宋体" w:hAnsi="宋体"/>
          <w:sz w:val="24"/>
        </w:rPr>
        <w:t>6.我方向贵方提交的所有投标文件、资料都是准确的和真实的。</w:t>
      </w:r>
    </w:p>
    <w:p w14:paraId="559EEF13">
      <w:pPr>
        <w:spacing w:line="360" w:lineRule="auto"/>
        <w:ind w:firstLine="480" w:firstLineChars="200"/>
        <w:contextualSpacing/>
        <w:rPr>
          <w:rFonts w:hint="eastAsia" w:ascii="宋体" w:hAnsi="宋体"/>
          <w:sz w:val="24"/>
        </w:rPr>
      </w:pPr>
      <w:r>
        <w:rPr>
          <w:rFonts w:hint="eastAsia" w:ascii="宋体" w:hAnsi="宋体"/>
          <w:sz w:val="24"/>
        </w:rPr>
        <w:t>7.以上事项如有虚假或者隐瞒，我方愿意承担一切后果，并不再寻求任何旨在减轻或者免除法律责任的辩解。</w:t>
      </w:r>
    </w:p>
    <w:p w14:paraId="4537A462">
      <w:pPr>
        <w:spacing w:line="360" w:lineRule="auto"/>
        <w:ind w:firstLine="480" w:firstLineChars="200"/>
        <w:contextualSpacing/>
        <w:rPr>
          <w:rFonts w:hint="eastAsia" w:ascii="宋体" w:hAnsi="宋体"/>
          <w:sz w:val="24"/>
        </w:rPr>
      </w:pPr>
      <w:r>
        <w:rPr>
          <w:rFonts w:hint="eastAsia" w:ascii="宋体" w:hAnsi="宋体"/>
          <w:sz w:val="24"/>
        </w:rPr>
        <w:t>8.根据</w:t>
      </w:r>
      <w:r>
        <w:rPr>
          <w:rFonts w:ascii="宋体" w:hAnsi="宋体"/>
          <w:sz w:val="24"/>
        </w:rPr>
        <w:t>《中华人民共和国政府采购法实施条例》第五十条要求对政府采购合同进行公告</w:t>
      </w:r>
      <w:r>
        <w:rPr>
          <w:rFonts w:hint="eastAsia" w:ascii="宋体" w:hAnsi="宋体"/>
          <w:sz w:val="24"/>
        </w:rPr>
        <w:t>，</w:t>
      </w:r>
      <w:r>
        <w:rPr>
          <w:rFonts w:ascii="宋体" w:hAnsi="宋体"/>
          <w:sz w:val="24"/>
        </w:rPr>
        <w:t>但政府采购合同中涉及国家秘密、商业秘密的内容除外。</w:t>
      </w:r>
      <w:r>
        <w:rPr>
          <w:rFonts w:hint="eastAsia" w:ascii="宋体" w:hAnsi="宋体"/>
          <w:sz w:val="24"/>
        </w:rPr>
        <w:t>我方就对本次投标文件进行注明如下：（两项内容中必须选择一项）</w:t>
      </w:r>
    </w:p>
    <w:p w14:paraId="1CADFCC0">
      <w:pPr>
        <w:spacing w:line="360" w:lineRule="auto"/>
        <w:ind w:firstLine="480" w:firstLineChars="200"/>
        <w:contextualSpacing/>
        <w:rPr>
          <w:rFonts w:hint="eastAsia" w:ascii="宋体" w:hAnsi="宋体"/>
          <w:sz w:val="24"/>
        </w:rPr>
      </w:pPr>
      <w:r>
        <w:rPr>
          <w:rFonts w:hint="eastAsia" w:ascii="宋体" w:hAnsi="宋体"/>
          <w:sz w:val="24"/>
        </w:rPr>
        <w:t>□我方本次投标文件</w:t>
      </w:r>
      <w:r>
        <w:rPr>
          <w:rFonts w:ascii="宋体" w:hAnsi="宋体" w:cs="宋体"/>
          <w:kern w:val="0"/>
          <w:sz w:val="24"/>
        </w:rPr>
        <w:t>内容中</w:t>
      </w:r>
      <w:r>
        <w:rPr>
          <w:rFonts w:hint="eastAsia" w:ascii="宋体" w:hAnsi="宋体"/>
          <w:sz w:val="24"/>
        </w:rPr>
        <w:t>未</w:t>
      </w:r>
      <w:r>
        <w:rPr>
          <w:rFonts w:ascii="宋体" w:hAnsi="宋体" w:cs="宋体"/>
          <w:kern w:val="0"/>
          <w:sz w:val="24"/>
        </w:rPr>
        <w:t>涉及商业秘密</w:t>
      </w:r>
      <w:r>
        <w:rPr>
          <w:rFonts w:hint="eastAsia" w:ascii="宋体" w:hAnsi="宋体" w:cs="宋体"/>
          <w:kern w:val="0"/>
          <w:sz w:val="24"/>
        </w:rPr>
        <w:t>；</w:t>
      </w:r>
    </w:p>
    <w:p w14:paraId="7607016C">
      <w:pPr>
        <w:spacing w:line="360" w:lineRule="auto"/>
        <w:ind w:firstLine="480" w:firstLineChars="200"/>
        <w:contextualSpacing/>
        <w:rPr>
          <w:rFonts w:hint="eastAsia" w:ascii="宋体" w:hAnsi="宋体"/>
          <w:sz w:val="24"/>
        </w:rPr>
      </w:pPr>
      <w:r>
        <w:rPr>
          <w:rFonts w:hint="eastAsia" w:ascii="宋体" w:hAnsi="宋体"/>
          <w:sz w:val="24"/>
        </w:rPr>
        <w:t>□我方本次投标文件</w:t>
      </w:r>
      <w:r>
        <w:rPr>
          <w:rFonts w:ascii="宋体" w:hAnsi="宋体" w:cs="宋体"/>
          <w:kern w:val="0"/>
          <w:sz w:val="24"/>
        </w:rPr>
        <w:t>涉及商业秘密</w:t>
      </w:r>
      <w:r>
        <w:rPr>
          <w:rFonts w:hint="eastAsia" w:ascii="宋体" w:hAnsi="宋体" w:cs="宋体"/>
          <w:kern w:val="0"/>
          <w:sz w:val="24"/>
        </w:rPr>
        <w:t>的</w:t>
      </w:r>
      <w:r>
        <w:rPr>
          <w:rFonts w:ascii="宋体" w:hAnsi="宋体" w:cs="宋体"/>
          <w:kern w:val="0"/>
          <w:sz w:val="24"/>
        </w:rPr>
        <w:t>内容</w:t>
      </w:r>
      <w:r>
        <w:rPr>
          <w:rFonts w:hint="eastAsia" w:ascii="宋体" w:hAnsi="宋体" w:cs="宋体"/>
          <w:kern w:val="0"/>
          <w:sz w:val="24"/>
        </w:rPr>
        <w:t>有：</w:t>
      </w:r>
      <w:r>
        <w:rPr>
          <w:rFonts w:hint="eastAsia" w:ascii="宋体" w:hAnsi="宋体" w:cs="宋体"/>
          <w:kern w:val="0"/>
          <w:sz w:val="24"/>
          <w:u w:val="single"/>
        </w:rPr>
        <w:t xml:space="preserve">                         </w:t>
      </w:r>
      <w:r>
        <w:rPr>
          <w:rFonts w:hint="eastAsia" w:ascii="宋体" w:hAnsi="宋体" w:cs="宋体"/>
          <w:kern w:val="0"/>
          <w:sz w:val="24"/>
        </w:rPr>
        <w:t>；</w:t>
      </w:r>
    </w:p>
    <w:p w14:paraId="43E0C3A6">
      <w:pPr>
        <w:spacing w:line="360" w:lineRule="auto"/>
        <w:ind w:firstLine="480" w:firstLineChars="200"/>
        <w:contextualSpacing/>
        <w:rPr>
          <w:rFonts w:hint="eastAsia" w:ascii="宋体" w:hAnsi="宋体"/>
          <w:sz w:val="24"/>
        </w:rPr>
      </w:pPr>
      <w:r>
        <w:rPr>
          <w:rFonts w:hint="eastAsia" w:ascii="宋体" w:hAnsi="宋体"/>
          <w:sz w:val="24"/>
        </w:rPr>
        <w:t>9.与本项目有关的一切正式往来信函请寄：</w:t>
      </w:r>
    </w:p>
    <w:p w14:paraId="45FFC36C">
      <w:pPr>
        <w:spacing w:line="360" w:lineRule="auto"/>
        <w:ind w:firstLine="480" w:firstLineChars="200"/>
        <w:contextualSpacing/>
        <w:rPr>
          <w:rFonts w:hint="eastAsia" w:ascii="宋体" w:hAnsi="宋体"/>
          <w:sz w:val="24"/>
          <w:u w:val="single"/>
        </w:rPr>
      </w:pPr>
      <w:r>
        <w:rPr>
          <w:rFonts w:hint="eastAsia" w:ascii="宋体" w:hAnsi="宋体"/>
          <w:sz w:val="24"/>
        </w:rPr>
        <w:t>地址：</w:t>
      </w:r>
      <w:r>
        <w:rPr>
          <w:rFonts w:hint="eastAsia" w:ascii="宋体" w:hAnsi="宋体"/>
          <w:sz w:val="24"/>
          <w:u w:val="single"/>
        </w:rPr>
        <w:t xml:space="preserve">          </w:t>
      </w:r>
      <w:r>
        <w:rPr>
          <w:rFonts w:hint="eastAsia" w:ascii="宋体" w:hAnsi="宋体"/>
          <w:sz w:val="24"/>
        </w:rPr>
        <w:t>邮编：</w:t>
      </w:r>
      <w:r>
        <w:rPr>
          <w:rFonts w:hint="eastAsia" w:ascii="宋体" w:hAnsi="宋体"/>
          <w:sz w:val="24"/>
          <w:u w:val="single"/>
        </w:rPr>
        <w:t xml:space="preserve">            </w:t>
      </w:r>
    </w:p>
    <w:p w14:paraId="7D3D7F5B">
      <w:pPr>
        <w:spacing w:line="360" w:lineRule="auto"/>
        <w:ind w:firstLine="480" w:firstLineChars="200"/>
        <w:contextualSpacing/>
        <w:rPr>
          <w:rFonts w:hint="eastAsia" w:ascii="宋体" w:hAnsi="宋体"/>
          <w:sz w:val="24"/>
        </w:rPr>
      </w:pPr>
      <w:r>
        <w:rPr>
          <w:rFonts w:hint="eastAsia" w:ascii="宋体" w:hAnsi="宋体"/>
          <w:sz w:val="24"/>
        </w:rPr>
        <w:t>联系人：</w:t>
      </w:r>
      <w:r>
        <w:rPr>
          <w:rFonts w:hint="eastAsia" w:ascii="宋体" w:hAnsi="宋体"/>
          <w:sz w:val="24"/>
          <w:u w:val="single"/>
        </w:rPr>
        <w:t xml:space="preserve"> </w:t>
      </w:r>
      <w:r>
        <w:rPr>
          <w:rFonts w:ascii="宋体" w:hAnsi="宋体"/>
          <w:sz w:val="24"/>
          <w:u w:val="single"/>
        </w:rPr>
        <w:t xml:space="preserve">       </w:t>
      </w:r>
      <w:r>
        <w:rPr>
          <w:rFonts w:hint="eastAsia" w:ascii="宋体" w:hAnsi="宋体"/>
          <w:sz w:val="24"/>
        </w:rPr>
        <w:t>电话：</w:t>
      </w:r>
      <w:r>
        <w:rPr>
          <w:rFonts w:hint="eastAsia" w:ascii="宋体" w:hAnsi="宋体"/>
          <w:sz w:val="24"/>
          <w:u w:val="single"/>
        </w:rPr>
        <w:t xml:space="preserve">        </w:t>
      </w:r>
      <w:r>
        <w:rPr>
          <w:rFonts w:hint="eastAsia" w:ascii="宋体" w:hAnsi="宋体"/>
          <w:sz w:val="24"/>
        </w:rPr>
        <w:t>传真：</w:t>
      </w:r>
      <w:r>
        <w:rPr>
          <w:rFonts w:hint="eastAsia" w:ascii="宋体" w:hAnsi="宋体"/>
          <w:sz w:val="24"/>
          <w:u w:val="single"/>
        </w:rPr>
        <w:t xml:space="preserve">         </w:t>
      </w:r>
      <w:r>
        <w:rPr>
          <w:rFonts w:hint="eastAsia" w:ascii="宋体" w:hAnsi="宋体"/>
          <w:sz w:val="24"/>
        </w:rPr>
        <w:t xml:space="preserve"> 电子邮箱：</w:t>
      </w:r>
      <w:r>
        <w:rPr>
          <w:rFonts w:hint="eastAsia" w:ascii="宋体" w:hAnsi="宋体"/>
          <w:sz w:val="24"/>
          <w:u w:val="single"/>
        </w:rPr>
        <w:t xml:space="preserve"> </w:t>
      </w:r>
      <w:r>
        <w:rPr>
          <w:rFonts w:ascii="宋体" w:hAnsi="宋体"/>
          <w:sz w:val="24"/>
          <w:u w:val="single"/>
        </w:rPr>
        <w:t xml:space="preserve">        </w:t>
      </w:r>
    </w:p>
    <w:p w14:paraId="01DF6CD2">
      <w:pPr>
        <w:spacing w:line="360" w:lineRule="auto"/>
        <w:ind w:firstLine="480" w:firstLineChars="200"/>
        <w:contextualSpacing/>
        <w:rPr>
          <w:rFonts w:hint="eastAsia" w:ascii="宋体" w:hAnsi="宋体"/>
          <w:sz w:val="24"/>
        </w:rPr>
      </w:pPr>
      <w:r>
        <w:rPr>
          <w:rFonts w:hint="eastAsia" w:ascii="宋体" w:hAnsi="宋体"/>
          <w:sz w:val="24"/>
        </w:rPr>
        <w:t>投标人名称：</w:t>
      </w:r>
      <w:r>
        <w:rPr>
          <w:rFonts w:hint="eastAsia" w:ascii="宋体" w:hAnsi="宋体"/>
          <w:sz w:val="24"/>
          <w:u w:val="single"/>
        </w:rPr>
        <w:t xml:space="preserve">                </w:t>
      </w:r>
    </w:p>
    <w:p w14:paraId="49C4FBD5">
      <w:pPr>
        <w:spacing w:line="360" w:lineRule="auto"/>
        <w:ind w:firstLine="480" w:firstLineChars="200"/>
        <w:contextualSpacing/>
        <w:jc w:val="left"/>
        <w:rPr>
          <w:rFonts w:hint="eastAsia" w:ascii="宋体" w:hAnsi="宋体"/>
          <w:sz w:val="24"/>
        </w:rPr>
      </w:pPr>
      <w:r>
        <w:rPr>
          <w:rFonts w:hint="eastAsia" w:ascii="宋体" w:hAnsi="宋体"/>
          <w:sz w:val="24"/>
        </w:rPr>
        <w:t>开户银行：</w:t>
      </w:r>
      <w:r>
        <w:rPr>
          <w:rFonts w:hint="eastAsia" w:ascii="宋体" w:hAnsi="宋体"/>
          <w:sz w:val="24"/>
          <w:u w:val="single"/>
        </w:rPr>
        <w:t xml:space="preserve">                      </w:t>
      </w:r>
      <w:r>
        <w:rPr>
          <w:rFonts w:hint="eastAsia" w:ascii="宋体" w:hAnsi="宋体"/>
          <w:sz w:val="24"/>
        </w:rPr>
        <w:t xml:space="preserve">   银行账号：</w:t>
      </w:r>
      <w:r>
        <w:rPr>
          <w:rFonts w:hint="eastAsia" w:ascii="宋体" w:hAnsi="宋体"/>
          <w:sz w:val="24"/>
          <w:u w:val="single"/>
        </w:rPr>
        <w:t xml:space="preserve">                    </w:t>
      </w:r>
      <w:r>
        <w:rPr>
          <w:rFonts w:hint="eastAsia" w:ascii="宋体" w:hAnsi="宋体"/>
          <w:sz w:val="24"/>
        </w:rPr>
        <w:t xml:space="preserve"> </w:t>
      </w:r>
    </w:p>
    <w:p w14:paraId="2C6542EE">
      <w:pPr>
        <w:pStyle w:val="18"/>
        <w:rPr>
          <w:rFonts w:hint="eastAsia"/>
        </w:rPr>
      </w:pPr>
    </w:p>
    <w:p w14:paraId="75C9AA99">
      <w:pPr>
        <w:spacing w:line="360" w:lineRule="auto"/>
        <w:ind w:firstLine="480" w:firstLineChars="200"/>
        <w:contextualSpacing/>
        <w:jc w:val="left"/>
        <w:rPr>
          <w:rFonts w:hint="eastAsia" w:ascii="宋体" w:hAnsi="宋体"/>
          <w:sz w:val="24"/>
        </w:rPr>
      </w:pPr>
      <w:r>
        <w:rPr>
          <w:rFonts w:hint="eastAsia" w:ascii="宋体" w:hAnsi="宋体"/>
          <w:sz w:val="24"/>
        </w:rPr>
        <w:t xml:space="preserve">              法定代表人或者委托代理人（签字或者电子签名）：_______ </w:t>
      </w:r>
    </w:p>
    <w:p w14:paraId="3787E64F">
      <w:pPr>
        <w:pStyle w:val="25"/>
        <w:spacing w:line="360" w:lineRule="auto"/>
        <w:contextualSpacing/>
        <w:jc w:val="center"/>
        <w:rPr>
          <w:rFonts w:hint="eastAsia" w:hAnsi="宋体"/>
          <w:sz w:val="24"/>
          <w:szCs w:val="24"/>
          <w:u w:val="single"/>
        </w:rPr>
      </w:pPr>
      <w:r>
        <w:rPr>
          <w:rFonts w:hint="eastAsia" w:hAnsi="宋体"/>
          <w:sz w:val="24"/>
        </w:rPr>
        <w:t xml:space="preserve"> </w:t>
      </w:r>
      <w:r>
        <w:rPr>
          <w:rFonts w:hAnsi="宋体"/>
          <w:sz w:val="24"/>
        </w:rPr>
        <w:t xml:space="preserve">                                   </w:t>
      </w:r>
      <w:r>
        <w:rPr>
          <w:rFonts w:hint="eastAsia" w:hAnsi="宋体"/>
          <w:sz w:val="24"/>
        </w:rPr>
        <w:t>投标人名称（电子签章）：</w:t>
      </w:r>
    </w:p>
    <w:p w14:paraId="1C2B3F7C">
      <w:pPr>
        <w:pStyle w:val="25"/>
        <w:spacing w:line="360" w:lineRule="auto"/>
        <w:contextualSpacing/>
        <w:rPr>
          <w:rFonts w:hint="eastAsia" w:hAnsi="宋体"/>
          <w:sz w:val="24"/>
        </w:rPr>
      </w:pPr>
      <w:r>
        <w:rPr>
          <w:rFonts w:hint="eastAsia" w:hAnsi="宋体"/>
          <w:sz w:val="24"/>
          <w:szCs w:val="24"/>
        </w:rPr>
        <w:t xml:space="preserve">                                                </w:t>
      </w:r>
      <w:r>
        <w:rPr>
          <w:rFonts w:hint="eastAsia" w:hAnsi="宋体"/>
          <w:sz w:val="24"/>
          <w:szCs w:val="24"/>
          <w:u w:val="single"/>
        </w:rPr>
        <w:t xml:space="preserve">      </w:t>
      </w:r>
      <w:r>
        <w:rPr>
          <w:rFonts w:hint="eastAsia" w:hAnsi="宋体"/>
          <w:sz w:val="24"/>
          <w:szCs w:val="24"/>
        </w:rPr>
        <w:t>年</w:t>
      </w:r>
      <w:r>
        <w:rPr>
          <w:rFonts w:hint="eastAsia" w:hAnsi="宋体"/>
          <w:sz w:val="24"/>
          <w:szCs w:val="24"/>
          <w:u w:val="single"/>
        </w:rPr>
        <w:t xml:space="preserve">    </w:t>
      </w:r>
      <w:r>
        <w:rPr>
          <w:rFonts w:hint="eastAsia" w:hAnsi="宋体"/>
          <w:sz w:val="24"/>
          <w:szCs w:val="24"/>
        </w:rPr>
        <w:t>月</w:t>
      </w:r>
      <w:r>
        <w:rPr>
          <w:rFonts w:hint="eastAsia" w:hAnsi="宋体"/>
          <w:sz w:val="24"/>
          <w:szCs w:val="24"/>
          <w:u w:val="single"/>
        </w:rPr>
        <w:t xml:space="preserve">     </w:t>
      </w:r>
      <w:r>
        <w:rPr>
          <w:rFonts w:hint="eastAsia" w:hAnsi="宋体"/>
          <w:sz w:val="24"/>
          <w:szCs w:val="24"/>
        </w:rPr>
        <w:t>日</w:t>
      </w:r>
    </w:p>
    <w:p w14:paraId="6A8D84E2">
      <w:pPr>
        <w:snapToGrid w:val="0"/>
        <w:spacing w:before="120" w:beforeLines="50" w:after="50"/>
        <w:jc w:val="left"/>
        <w:rPr>
          <w:rFonts w:ascii="宋体" w:hAnsi="宋体"/>
          <w:b/>
          <w:sz w:val="24"/>
        </w:rPr>
      </w:pPr>
      <w:r>
        <w:rPr>
          <w:rFonts w:hAnsi="宋体"/>
          <w:u w:val="single"/>
        </w:rPr>
        <w:br w:type="page"/>
      </w:r>
      <w:r>
        <w:rPr>
          <w:rFonts w:hint="eastAsia" w:ascii="宋体" w:hAnsi="宋体"/>
          <w:b/>
          <w:sz w:val="24"/>
        </w:rPr>
        <w:t>4. 开标一览表</w:t>
      </w:r>
    </w:p>
    <w:p w14:paraId="65A88D31">
      <w:pPr>
        <w:pStyle w:val="18"/>
        <w:rPr>
          <w:rFonts w:hint="eastAsia"/>
        </w:rPr>
      </w:pPr>
    </w:p>
    <w:p w14:paraId="365D9B08">
      <w:pPr>
        <w:snapToGrid w:val="0"/>
        <w:spacing w:before="50" w:after="50"/>
        <w:jc w:val="center"/>
        <w:rPr>
          <w:rFonts w:hint="eastAsia" w:ascii="宋体" w:hAnsi="宋体"/>
          <w:b/>
          <w:sz w:val="30"/>
          <w:highlight w:val="none"/>
        </w:rPr>
      </w:pPr>
      <w:r>
        <w:rPr>
          <w:rFonts w:hint="eastAsia" w:ascii="宋体" w:hAnsi="宋体"/>
          <w:b/>
          <w:sz w:val="30"/>
          <w:highlight w:val="none"/>
        </w:rPr>
        <w:t>开标一览表</w:t>
      </w:r>
    </w:p>
    <w:p w14:paraId="0F911884">
      <w:pPr>
        <w:snapToGrid w:val="0"/>
        <w:spacing w:before="50" w:after="50"/>
        <w:jc w:val="center"/>
        <w:rPr>
          <w:rFonts w:hint="eastAsia" w:ascii="宋体" w:hAnsi="宋体"/>
          <w:b/>
          <w:sz w:val="30"/>
          <w:szCs w:val="20"/>
        </w:rPr>
      </w:pPr>
    </w:p>
    <w:p w14:paraId="17C69712">
      <w:pPr>
        <w:snapToGrid w:val="0"/>
        <w:spacing w:before="50" w:after="50" w:line="360" w:lineRule="auto"/>
        <w:rPr>
          <w:rFonts w:hint="eastAsia" w:ascii="宋体" w:hAnsi="宋体"/>
          <w:sz w:val="24"/>
          <w:u w:val="single"/>
        </w:rPr>
      </w:pPr>
      <w:r>
        <w:rPr>
          <w:rFonts w:hint="eastAsia" w:ascii="宋体" w:hAnsi="宋体"/>
          <w:sz w:val="24"/>
        </w:rPr>
        <w:t>项目名称：</w:t>
      </w:r>
      <w:r>
        <w:rPr>
          <w:rFonts w:hint="eastAsia" w:ascii="宋体" w:hAnsi="宋体"/>
          <w:sz w:val="24"/>
          <w:u w:val="single"/>
        </w:rPr>
        <w:t xml:space="preserve">      </w:t>
      </w:r>
      <w:r>
        <w:rPr>
          <w:rFonts w:ascii="宋体" w:hAnsi="宋体"/>
          <w:sz w:val="24"/>
          <w:u w:val="single"/>
        </w:rPr>
        <w:t xml:space="preserve">     </w:t>
      </w:r>
      <w:r>
        <w:rPr>
          <w:rFonts w:ascii="宋体" w:hAnsi="宋体"/>
          <w:sz w:val="24"/>
        </w:rPr>
        <w:t xml:space="preserve">         </w:t>
      </w:r>
      <w:r>
        <w:rPr>
          <w:rFonts w:hint="eastAsia" w:ascii="宋体" w:hAnsi="宋体"/>
          <w:sz w:val="24"/>
        </w:rPr>
        <w:t>项目编号：</w:t>
      </w:r>
      <w:r>
        <w:rPr>
          <w:rFonts w:hint="eastAsia" w:ascii="宋体" w:hAnsi="宋体"/>
          <w:sz w:val="24"/>
          <w:u w:val="single"/>
        </w:rPr>
        <w:t xml:space="preserve">  </w:t>
      </w:r>
      <w:r>
        <w:rPr>
          <w:rFonts w:ascii="宋体" w:hAnsi="宋体"/>
          <w:sz w:val="24"/>
          <w:u w:val="single"/>
        </w:rPr>
        <w:t xml:space="preserve">      </w:t>
      </w:r>
      <w:r>
        <w:rPr>
          <w:rFonts w:hint="eastAsia" w:ascii="宋体" w:hAnsi="宋体"/>
          <w:sz w:val="24"/>
          <w:u w:val="single"/>
        </w:rPr>
        <w:t xml:space="preserve">    </w:t>
      </w:r>
      <w:r>
        <w:rPr>
          <w:rFonts w:hint="eastAsia" w:ascii="宋体" w:hAnsi="宋体"/>
          <w:sz w:val="24"/>
        </w:rPr>
        <w:t xml:space="preserve">         </w:t>
      </w:r>
    </w:p>
    <w:p w14:paraId="28853BB3">
      <w:pPr>
        <w:snapToGrid w:val="0"/>
        <w:spacing w:before="50" w:after="50" w:line="360" w:lineRule="auto"/>
        <w:rPr>
          <w:rFonts w:ascii="宋体" w:hAnsi="宋体"/>
          <w:sz w:val="24"/>
        </w:rPr>
      </w:pPr>
      <w:r>
        <w:rPr>
          <w:rFonts w:hint="eastAsia" w:ascii="宋体" w:hAnsi="宋体"/>
          <w:sz w:val="24"/>
        </w:rPr>
        <w:t>投标人名称：</w:t>
      </w:r>
      <w:r>
        <w:rPr>
          <w:rFonts w:hint="eastAsia" w:ascii="宋体" w:hAnsi="宋体"/>
          <w:sz w:val="24"/>
          <w:u w:val="single"/>
        </w:rPr>
        <w:t xml:space="preserve">                     </w:t>
      </w:r>
      <w:r>
        <w:rPr>
          <w:rFonts w:hint="eastAsia" w:ascii="宋体" w:hAnsi="宋体"/>
          <w:sz w:val="24"/>
        </w:rPr>
        <w:t xml:space="preserve">                       单位：元/台（套）</w:t>
      </w:r>
    </w:p>
    <w:p w14:paraId="279A11CC">
      <w:pPr>
        <w:pStyle w:val="18"/>
        <w:rPr>
          <w:rFonts w:hint="eastAsia"/>
        </w:rPr>
      </w:pPr>
      <w:r>
        <w:rPr>
          <w:rFonts w:hint="eastAsia" w:ascii="宋体" w:hAnsi="宋体"/>
        </w:rPr>
        <w:t>分标：</w:t>
      </w:r>
      <w:r>
        <w:rPr>
          <w:rFonts w:hint="eastAsia" w:ascii="宋体" w:hAnsi="宋体"/>
          <w:u w:val="single"/>
        </w:rPr>
        <w:t xml:space="preserve">   </w:t>
      </w:r>
      <w:r>
        <w:rPr>
          <w:rFonts w:ascii="宋体" w:hAnsi="宋体"/>
          <w:u w:val="single"/>
        </w:rPr>
        <w:t xml:space="preserve">    </w:t>
      </w:r>
    </w:p>
    <w:tbl>
      <w:tblPr>
        <w:tblStyle w:val="50"/>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816"/>
        <w:gridCol w:w="1545"/>
        <w:gridCol w:w="762"/>
        <w:gridCol w:w="1020"/>
        <w:gridCol w:w="1118"/>
        <w:gridCol w:w="835"/>
        <w:gridCol w:w="833"/>
        <w:gridCol w:w="1599"/>
      </w:tblGrid>
      <w:tr w14:paraId="6F1089F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410" w:type="pct"/>
            <w:tcBorders>
              <w:top w:val="single" w:color="auto" w:sz="4" w:space="0"/>
              <w:left w:val="single" w:color="auto" w:sz="4" w:space="0"/>
              <w:bottom w:val="single" w:color="auto" w:sz="4" w:space="0"/>
              <w:right w:val="single" w:color="auto" w:sz="4" w:space="0"/>
            </w:tcBorders>
            <w:noWrap w:val="0"/>
            <w:vAlign w:val="center"/>
          </w:tcPr>
          <w:p w14:paraId="1D8AB5E3">
            <w:pPr>
              <w:snapToGrid w:val="0"/>
              <w:spacing w:before="50" w:after="50" w:line="360" w:lineRule="auto"/>
              <w:jc w:val="center"/>
              <w:rPr>
                <w:rFonts w:hint="eastAsia" w:ascii="宋体" w:hAnsi="宋体"/>
                <w:b/>
                <w:sz w:val="24"/>
              </w:rPr>
            </w:pPr>
            <w:r>
              <w:rPr>
                <w:rFonts w:hint="eastAsia" w:ascii="宋体" w:hAnsi="宋体"/>
                <w:b/>
                <w:sz w:val="24"/>
              </w:rPr>
              <w:t>序号</w:t>
            </w:r>
          </w:p>
        </w:tc>
        <w:tc>
          <w:tcPr>
            <w:tcW w:w="916" w:type="pct"/>
            <w:tcBorders>
              <w:top w:val="single" w:color="auto" w:sz="4" w:space="0"/>
              <w:left w:val="single" w:color="auto" w:sz="4" w:space="0"/>
              <w:bottom w:val="single" w:color="auto" w:sz="4" w:space="0"/>
              <w:right w:val="single" w:color="auto" w:sz="4" w:space="0"/>
            </w:tcBorders>
            <w:noWrap w:val="0"/>
            <w:vAlign w:val="center"/>
          </w:tcPr>
          <w:p w14:paraId="11708119">
            <w:pPr>
              <w:snapToGrid w:val="0"/>
              <w:spacing w:before="50" w:after="50" w:line="360" w:lineRule="auto"/>
              <w:jc w:val="center"/>
              <w:rPr>
                <w:rFonts w:hint="eastAsia" w:ascii="宋体" w:hAnsi="宋体"/>
                <w:b/>
                <w:sz w:val="24"/>
              </w:rPr>
            </w:pPr>
            <w:r>
              <w:rPr>
                <w:rFonts w:hint="eastAsia" w:ascii="宋体" w:hAnsi="宋体"/>
                <w:b/>
                <w:sz w:val="24"/>
              </w:rPr>
              <w:t>标的名称</w:t>
            </w:r>
          </w:p>
        </w:tc>
        <w:tc>
          <w:tcPr>
            <w:tcW w:w="457" w:type="pct"/>
            <w:tcBorders>
              <w:top w:val="single" w:color="auto" w:sz="4" w:space="0"/>
              <w:left w:val="single" w:color="auto" w:sz="4" w:space="0"/>
              <w:bottom w:val="single" w:color="auto" w:sz="4" w:space="0"/>
              <w:right w:val="single" w:color="auto" w:sz="4" w:space="0"/>
            </w:tcBorders>
            <w:noWrap w:val="0"/>
            <w:vAlign w:val="center"/>
          </w:tcPr>
          <w:p w14:paraId="3F6ECF85">
            <w:pPr>
              <w:snapToGrid w:val="0"/>
              <w:spacing w:before="50" w:after="50" w:line="360" w:lineRule="auto"/>
              <w:jc w:val="center"/>
              <w:rPr>
                <w:rFonts w:hint="eastAsia" w:ascii="宋体" w:hAnsi="宋体"/>
                <w:b/>
                <w:sz w:val="24"/>
              </w:rPr>
            </w:pPr>
            <w:r>
              <w:rPr>
                <w:rFonts w:hint="eastAsia" w:ascii="宋体" w:hAnsi="宋体"/>
                <w:b/>
                <w:sz w:val="24"/>
              </w:rPr>
              <w:t>品牌</w:t>
            </w:r>
          </w:p>
        </w:tc>
        <w:tc>
          <w:tcPr>
            <w:tcW w:w="608" w:type="pct"/>
            <w:tcBorders>
              <w:top w:val="single" w:color="auto" w:sz="4" w:space="0"/>
              <w:left w:val="single" w:color="auto" w:sz="4" w:space="0"/>
              <w:bottom w:val="single" w:color="auto" w:sz="4" w:space="0"/>
              <w:right w:val="single" w:color="auto" w:sz="4" w:space="0"/>
            </w:tcBorders>
            <w:noWrap w:val="0"/>
            <w:vAlign w:val="center"/>
          </w:tcPr>
          <w:p w14:paraId="0363E2DF">
            <w:pPr>
              <w:snapToGrid w:val="0"/>
              <w:spacing w:before="50" w:after="50" w:line="360" w:lineRule="auto"/>
              <w:jc w:val="center"/>
              <w:rPr>
                <w:rFonts w:ascii="宋体" w:hAnsi="宋体"/>
                <w:b/>
                <w:sz w:val="24"/>
              </w:rPr>
            </w:pPr>
            <w:r>
              <w:rPr>
                <w:rFonts w:ascii="宋体" w:hAnsi="宋体"/>
                <w:b/>
                <w:sz w:val="24"/>
              </w:rPr>
              <w:t>规格或型号</w:t>
            </w:r>
          </w:p>
        </w:tc>
        <w:tc>
          <w:tcPr>
            <w:tcW w:w="665" w:type="pct"/>
            <w:tcBorders>
              <w:top w:val="single" w:color="auto" w:sz="4" w:space="0"/>
              <w:left w:val="single" w:color="auto" w:sz="4" w:space="0"/>
              <w:bottom w:val="single" w:color="auto" w:sz="4" w:space="0"/>
              <w:right w:val="single" w:color="auto" w:sz="4" w:space="0"/>
            </w:tcBorders>
            <w:noWrap w:val="0"/>
            <w:vAlign w:val="center"/>
          </w:tcPr>
          <w:p w14:paraId="00E8036A">
            <w:pPr>
              <w:snapToGrid w:val="0"/>
              <w:spacing w:before="50" w:after="50" w:line="360" w:lineRule="auto"/>
              <w:jc w:val="center"/>
              <w:rPr>
                <w:rFonts w:hint="eastAsia" w:ascii="宋体" w:hAnsi="宋体"/>
                <w:b/>
                <w:sz w:val="24"/>
              </w:rPr>
            </w:pPr>
            <w:r>
              <w:rPr>
                <w:rFonts w:hint="eastAsia" w:ascii="宋体" w:hAnsi="宋体"/>
                <w:b/>
                <w:sz w:val="24"/>
              </w:rPr>
              <w:t>制造商</w:t>
            </w:r>
          </w:p>
        </w:tc>
        <w:tc>
          <w:tcPr>
            <w:tcW w:w="499" w:type="pct"/>
            <w:tcBorders>
              <w:top w:val="single" w:color="auto" w:sz="4" w:space="0"/>
              <w:left w:val="single" w:color="auto" w:sz="4" w:space="0"/>
              <w:bottom w:val="single" w:color="auto" w:sz="4" w:space="0"/>
              <w:right w:val="single" w:color="auto" w:sz="4" w:space="0"/>
            </w:tcBorders>
            <w:noWrap w:val="0"/>
            <w:vAlign w:val="top"/>
          </w:tcPr>
          <w:p w14:paraId="4C10F761">
            <w:pPr>
              <w:snapToGrid w:val="0"/>
              <w:spacing w:before="50" w:after="50" w:line="360" w:lineRule="auto"/>
              <w:jc w:val="center"/>
              <w:rPr>
                <w:rFonts w:hint="eastAsia" w:ascii="宋体" w:hAnsi="宋体"/>
                <w:b/>
                <w:sz w:val="24"/>
              </w:rPr>
            </w:pPr>
            <w:r>
              <w:rPr>
                <w:rFonts w:hint="eastAsia" w:ascii="宋体" w:hAnsi="宋体"/>
                <w:b/>
                <w:sz w:val="24"/>
              </w:rPr>
              <w:t>数量及单位①</w:t>
            </w:r>
          </w:p>
        </w:tc>
        <w:tc>
          <w:tcPr>
            <w:tcW w:w="498" w:type="pct"/>
            <w:tcBorders>
              <w:top w:val="single" w:color="auto" w:sz="4" w:space="0"/>
              <w:left w:val="single" w:color="auto" w:sz="4" w:space="0"/>
              <w:bottom w:val="single" w:color="auto" w:sz="4" w:space="0"/>
              <w:right w:val="single" w:color="auto" w:sz="4" w:space="0"/>
            </w:tcBorders>
            <w:noWrap w:val="0"/>
            <w:vAlign w:val="center"/>
          </w:tcPr>
          <w:p w14:paraId="6910C394">
            <w:pPr>
              <w:snapToGrid w:val="0"/>
              <w:spacing w:before="50" w:after="50" w:line="360" w:lineRule="auto"/>
              <w:jc w:val="center"/>
              <w:rPr>
                <w:rFonts w:ascii="宋体" w:hAnsi="宋体"/>
                <w:b/>
                <w:sz w:val="24"/>
              </w:rPr>
            </w:pPr>
            <w:r>
              <w:rPr>
                <w:rFonts w:hint="eastAsia" w:ascii="宋体" w:hAnsi="宋体"/>
                <w:b/>
                <w:sz w:val="24"/>
              </w:rPr>
              <w:t>单价</w:t>
            </w:r>
          </w:p>
          <w:p w14:paraId="628D591B">
            <w:pPr>
              <w:snapToGrid w:val="0"/>
              <w:spacing w:before="50" w:after="50" w:line="360" w:lineRule="auto"/>
              <w:jc w:val="center"/>
              <w:rPr>
                <w:rFonts w:hint="eastAsia" w:ascii="宋体" w:hAnsi="宋体"/>
                <w:b/>
                <w:sz w:val="24"/>
              </w:rPr>
            </w:pPr>
            <w:r>
              <w:rPr>
                <w:rFonts w:hint="eastAsia" w:ascii="宋体" w:hAnsi="宋体"/>
                <w:b/>
                <w:sz w:val="24"/>
              </w:rPr>
              <w:t>②</w:t>
            </w:r>
          </w:p>
        </w:tc>
        <w:tc>
          <w:tcPr>
            <w:tcW w:w="947" w:type="pct"/>
            <w:tcBorders>
              <w:top w:val="single" w:color="auto" w:sz="4" w:space="0"/>
              <w:left w:val="single" w:color="auto" w:sz="4" w:space="0"/>
              <w:bottom w:val="single" w:color="auto" w:sz="4" w:space="0"/>
              <w:right w:val="single" w:color="auto" w:sz="4" w:space="0"/>
            </w:tcBorders>
            <w:noWrap w:val="0"/>
            <w:vAlign w:val="center"/>
          </w:tcPr>
          <w:p w14:paraId="3CD8D034">
            <w:pPr>
              <w:snapToGrid w:val="0"/>
              <w:spacing w:before="50" w:after="50" w:line="360" w:lineRule="auto"/>
              <w:jc w:val="center"/>
              <w:rPr>
                <w:rFonts w:hint="eastAsia" w:ascii="宋体" w:hAnsi="宋体"/>
                <w:b/>
                <w:sz w:val="24"/>
              </w:rPr>
            </w:pPr>
            <w:r>
              <w:rPr>
                <w:rFonts w:hint="eastAsia" w:ascii="宋体" w:hAnsi="宋体"/>
                <w:b/>
                <w:sz w:val="24"/>
              </w:rPr>
              <w:t>投标报价</w:t>
            </w:r>
          </w:p>
          <w:p w14:paraId="1B8CF51D">
            <w:pPr>
              <w:snapToGrid w:val="0"/>
              <w:spacing w:before="50" w:after="50" w:line="360" w:lineRule="auto"/>
              <w:jc w:val="center"/>
              <w:rPr>
                <w:rFonts w:hint="eastAsia" w:ascii="宋体" w:hAnsi="宋体"/>
                <w:b/>
                <w:sz w:val="24"/>
              </w:rPr>
            </w:pPr>
            <w:r>
              <w:rPr>
                <w:rFonts w:ascii="宋体" w:hAnsi="宋体"/>
                <w:b/>
                <w:sz w:val="24"/>
              </w:rPr>
              <w:t>③</w:t>
            </w:r>
            <w:r>
              <w:rPr>
                <w:rFonts w:hint="eastAsia" w:ascii="宋体" w:hAnsi="宋体"/>
                <w:b/>
                <w:sz w:val="24"/>
              </w:rPr>
              <w:t>=①×②</w:t>
            </w:r>
          </w:p>
        </w:tc>
      </w:tr>
      <w:tr w14:paraId="2B42FF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1" w:hRule="atLeast"/>
          <w:jc w:val="center"/>
        </w:trPr>
        <w:tc>
          <w:tcPr>
            <w:tcW w:w="410" w:type="pct"/>
            <w:tcBorders>
              <w:top w:val="single" w:color="auto" w:sz="4" w:space="0"/>
              <w:left w:val="single" w:color="auto" w:sz="4" w:space="0"/>
              <w:bottom w:val="single" w:color="auto" w:sz="4" w:space="0"/>
              <w:right w:val="single" w:color="auto" w:sz="4" w:space="0"/>
            </w:tcBorders>
            <w:noWrap w:val="0"/>
            <w:vAlign w:val="center"/>
          </w:tcPr>
          <w:p w14:paraId="6B250D8D">
            <w:pPr>
              <w:jc w:val="center"/>
              <w:rPr>
                <w:rFonts w:hint="eastAsia" w:ascii="宋体" w:hAnsi="宋体"/>
                <w:sz w:val="24"/>
              </w:rPr>
            </w:pPr>
            <w:r>
              <w:rPr>
                <w:rFonts w:hint="eastAsia" w:ascii="宋体" w:hAnsi="宋体"/>
                <w:sz w:val="24"/>
              </w:rPr>
              <w:t>1</w:t>
            </w:r>
          </w:p>
        </w:tc>
        <w:tc>
          <w:tcPr>
            <w:tcW w:w="916" w:type="pct"/>
            <w:tcBorders>
              <w:top w:val="single" w:color="auto" w:sz="4" w:space="0"/>
              <w:left w:val="single" w:color="auto" w:sz="4" w:space="0"/>
              <w:bottom w:val="single" w:color="auto" w:sz="4" w:space="0"/>
              <w:right w:val="single" w:color="auto" w:sz="4" w:space="0"/>
            </w:tcBorders>
            <w:noWrap w:val="0"/>
            <w:vAlign w:val="center"/>
          </w:tcPr>
          <w:p w14:paraId="24426911">
            <w:pPr>
              <w:jc w:val="center"/>
              <w:rPr>
                <w:rFonts w:hint="eastAsia" w:ascii="宋体" w:hAnsi="宋体"/>
                <w:sz w:val="24"/>
              </w:rPr>
            </w:pPr>
          </w:p>
        </w:tc>
        <w:tc>
          <w:tcPr>
            <w:tcW w:w="457" w:type="pct"/>
            <w:tcBorders>
              <w:top w:val="single" w:color="auto" w:sz="4" w:space="0"/>
              <w:left w:val="single" w:color="auto" w:sz="4" w:space="0"/>
              <w:bottom w:val="single" w:color="auto" w:sz="4" w:space="0"/>
              <w:right w:val="single" w:color="auto" w:sz="4" w:space="0"/>
            </w:tcBorders>
            <w:noWrap w:val="0"/>
            <w:vAlign w:val="center"/>
          </w:tcPr>
          <w:p w14:paraId="07B4EE57">
            <w:pPr>
              <w:jc w:val="center"/>
              <w:rPr>
                <w:rFonts w:hint="eastAsia" w:ascii="宋体" w:hAnsi="宋体"/>
                <w:sz w:val="24"/>
              </w:rPr>
            </w:pPr>
          </w:p>
        </w:tc>
        <w:tc>
          <w:tcPr>
            <w:tcW w:w="608" w:type="pct"/>
            <w:tcBorders>
              <w:top w:val="single" w:color="auto" w:sz="4" w:space="0"/>
              <w:left w:val="single" w:color="auto" w:sz="4" w:space="0"/>
              <w:bottom w:val="single" w:color="auto" w:sz="4" w:space="0"/>
              <w:right w:val="single" w:color="auto" w:sz="4" w:space="0"/>
            </w:tcBorders>
            <w:noWrap w:val="0"/>
            <w:vAlign w:val="center"/>
          </w:tcPr>
          <w:p w14:paraId="549B64AC">
            <w:pPr>
              <w:jc w:val="center"/>
              <w:rPr>
                <w:rFonts w:hint="eastAsia" w:ascii="宋体" w:hAnsi="宋体"/>
                <w:sz w:val="24"/>
              </w:rPr>
            </w:pPr>
          </w:p>
        </w:tc>
        <w:tc>
          <w:tcPr>
            <w:tcW w:w="665" w:type="pct"/>
            <w:tcBorders>
              <w:top w:val="single" w:color="auto" w:sz="4" w:space="0"/>
              <w:left w:val="single" w:color="auto" w:sz="4" w:space="0"/>
              <w:bottom w:val="single" w:color="auto" w:sz="4" w:space="0"/>
              <w:right w:val="single" w:color="auto" w:sz="4" w:space="0"/>
            </w:tcBorders>
            <w:noWrap w:val="0"/>
            <w:vAlign w:val="center"/>
          </w:tcPr>
          <w:p w14:paraId="07C11FAF">
            <w:pPr>
              <w:jc w:val="center"/>
              <w:rPr>
                <w:rFonts w:hint="eastAsia" w:ascii="宋体" w:hAnsi="宋体"/>
                <w:sz w:val="24"/>
              </w:rPr>
            </w:pPr>
          </w:p>
        </w:tc>
        <w:tc>
          <w:tcPr>
            <w:tcW w:w="499" w:type="pct"/>
            <w:tcBorders>
              <w:top w:val="single" w:color="auto" w:sz="4" w:space="0"/>
              <w:left w:val="single" w:color="auto" w:sz="4" w:space="0"/>
              <w:bottom w:val="single" w:color="auto" w:sz="4" w:space="0"/>
              <w:right w:val="single" w:color="auto" w:sz="4" w:space="0"/>
            </w:tcBorders>
            <w:noWrap w:val="0"/>
            <w:vAlign w:val="center"/>
          </w:tcPr>
          <w:p w14:paraId="39EABA2A">
            <w:pPr>
              <w:jc w:val="center"/>
              <w:rPr>
                <w:rFonts w:hint="eastAsia" w:ascii="宋体" w:hAnsi="宋体"/>
                <w:sz w:val="24"/>
              </w:rPr>
            </w:pPr>
          </w:p>
        </w:tc>
        <w:tc>
          <w:tcPr>
            <w:tcW w:w="498" w:type="pct"/>
            <w:tcBorders>
              <w:top w:val="single" w:color="auto" w:sz="4" w:space="0"/>
              <w:left w:val="single" w:color="auto" w:sz="4" w:space="0"/>
              <w:bottom w:val="single" w:color="auto" w:sz="4" w:space="0"/>
              <w:right w:val="single" w:color="auto" w:sz="4" w:space="0"/>
            </w:tcBorders>
            <w:noWrap w:val="0"/>
            <w:vAlign w:val="center"/>
          </w:tcPr>
          <w:p w14:paraId="4AC751AD">
            <w:pPr>
              <w:jc w:val="center"/>
              <w:rPr>
                <w:rFonts w:hint="eastAsia" w:ascii="宋体" w:hAnsi="宋体"/>
                <w:sz w:val="24"/>
              </w:rPr>
            </w:pPr>
          </w:p>
        </w:tc>
        <w:tc>
          <w:tcPr>
            <w:tcW w:w="947" w:type="pct"/>
            <w:tcBorders>
              <w:top w:val="single" w:color="auto" w:sz="4" w:space="0"/>
              <w:left w:val="single" w:color="auto" w:sz="4" w:space="0"/>
              <w:bottom w:val="single" w:color="auto" w:sz="4" w:space="0"/>
              <w:right w:val="single" w:color="auto" w:sz="4" w:space="0"/>
            </w:tcBorders>
            <w:noWrap w:val="0"/>
            <w:vAlign w:val="center"/>
          </w:tcPr>
          <w:p w14:paraId="469240A7">
            <w:pPr>
              <w:jc w:val="center"/>
              <w:rPr>
                <w:rFonts w:hint="eastAsia" w:ascii="宋体" w:hAnsi="宋体"/>
                <w:sz w:val="24"/>
              </w:rPr>
            </w:pPr>
          </w:p>
        </w:tc>
      </w:tr>
      <w:tr w14:paraId="1968A9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1" w:hRule="atLeast"/>
          <w:jc w:val="center"/>
        </w:trPr>
        <w:tc>
          <w:tcPr>
            <w:tcW w:w="410" w:type="pct"/>
            <w:tcBorders>
              <w:top w:val="single" w:color="auto" w:sz="4" w:space="0"/>
              <w:left w:val="single" w:color="auto" w:sz="4" w:space="0"/>
              <w:bottom w:val="single" w:color="auto" w:sz="4" w:space="0"/>
              <w:right w:val="single" w:color="auto" w:sz="4" w:space="0"/>
            </w:tcBorders>
            <w:noWrap w:val="0"/>
            <w:vAlign w:val="center"/>
          </w:tcPr>
          <w:p w14:paraId="0637F034">
            <w:pPr>
              <w:jc w:val="center"/>
              <w:rPr>
                <w:rFonts w:hint="eastAsia" w:ascii="宋体" w:hAnsi="宋体"/>
                <w:sz w:val="24"/>
              </w:rPr>
            </w:pPr>
            <w:r>
              <w:rPr>
                <w:rFonts w:hint="eastAsia" w:ascii="宋体" w:hAnsi="宋体"/>
                <w:sz w:val="24"/>
              </w:rPr>
              <w:t>2</w:t>
            </w:r>
          </w:p>
        </w:tc>
        <w:tc>
          <w:tcPr>
            <w:tcW w:w="916" w:type="pct"/>
            <w:tcBorders>
              <w:top w:val="single" w:color="auto" w:sz="4" w:space="0"/>
              <w:left w:val="single" w:color="auto" w:sz="4" w:space="0"/>
              <w:bottom w:val="single" w:color="auto" w:sz="4" w:space="0"/>
              <w:right w:val="single" w:color="auto" w:sz="4" w:space="0"/>
            </w:tcBorders>
            <w:noWrap w:val="0"/>
            <w:vAlign w:val="center"/>
          </w:tcPr>
          <w:p w14:paraId="331EEC8E">
            <w:pPr>
              <w:jc w:val="center"/>
              <w:rPr>
                <w:rFonts w:hint="eastAsia" w:ascii="宋体" w:hAnsi="宋体"/>
                <w:sz w:val="24"/>
              </w:rPr>
            </w:pPr>
          </w:p>
        </w:tc>
        <w:tc>
          <w:tcPr>
            <w:tcW w:w="457" w:type="pct"/>
            <w:tcBorders>
              <w:top w:val="single" w:color="auto" w:sz="4" w:space="0"/>
              <w:left w:val="single" w:color="auto" w:sz="4" w:space="0"/>
              <w:bottom w:val="single" w:color="auto" w:sz="4" w:space="0"/>
              <w:right w:val="single" w:color="auto" w:sz="4" w:space="0"/>
            </w:tcBorders>
            <w:noWrap w:val="0"/>
            <w:vAlign w:val="center"/>
          </w:tcPr>
          <w:p w14:paraId="1BC7D1BF">
            <w:pPr>
              <w:jc w:val="center"/>
              <w:rPr>
                <w:rFonts w:hint="eastAsia" w:ascii="宋体" w:hAnsi="宋体"/>
                <w:sz w:val="24"/>
              </w:rPr>
            </w:pPr>
          </w:p>
        </w:tc>
        <w:tc>
          <w:tcPr>
            <w:tcW w:w="608" w:type="pct"/>
            <w:tcBorders>
              <w:top w:val="single" w:color="auto" w:sz="4" w:space="0"/>
              <w:left w:val="single" w:color="auto" w:sz="4" w:space="0"/>
              <w:bottom w:val="single" w:color="auto" w:sz="4" w:space="0"/>
              <w:right w:val="single" w:color="auto" w:sz="4" w:space="0"/>
            </w:tcBorders>
            <w:noWrap w:val="0"/>
            <w:vAlign w:val="center"/>
          </w:tcPr>
          <w:p w14:paraId="18069B60">
            <w:pPr>
              <w:jc w:val="center"/>
              <w:rPr>
                <w:rFonts w:hint="eastAsia" w:ascii="宋体" w:hAnsi="宋体"/>
                <w:sz w:val="24"/>
              </w:rPr>
            </w:pPr>
          </w:p>
        </w:tc>
        <w:tc>
          <w:tcPr>
            <w:tcW w:w="665" w:type="pct"/>
            <w:tcBorders>
              <w:top w:val="single" w:color="auto" w:sz="4" w:space="0"/>
              <w:left w:val="single" w:color="auto" w:sz="4" w:space="0"/>
              <w:bottom w:val="single" w:color="auto" w:sz="4" w:space="0"/>
              <w:right w:val="single" w:color="auto" w:sz="4" w:space="0"/>
            </w:tcBorders>
            <w:noWrap w:val="0"/>
            <w:vAlign w:val="center"/>
          </w:tcPr>
          <w:p w14:paraId="536E77A7">
            <w:pPr>
              <w:jc w:val="center"/>
              <w:rPr>
                <w:rFonts w:hint="eastAsia" w:ascii="宋体" w:hAnsi="宋体"/>
                <w:sz w:val="24"/>
              </w:rPr>
            </w:pPr>
          </w:p>
        </w:tc>
        <w:tc>
          <w:tcPr>
            <w:tcW w:w="499" w:type="pct"/>
            <w:tcBorders>
              <w:top w:val="single" w:color="auto" w:sz="4" w:space="0"/>
              <w:left w:val="single" w:color="auto" w:sz="4" w:space="0"/>
              <w:bottom w:val="single" w:color="auto" w:sz="4" w:space="0"/>
              <w:right w:val="single" w:color="auto" w:sz="4" w:space="0"/>
            </w:tcBorders>
            <w:noWrap w:val="0"/>
            <w:vAlign w:val="center"/>
          </w:tcPr>
          <w:p w14:paraId="1B870A46">
            <w:pPr>
              <w:jc w:val="center"/>
              <w:rPr>
                <w:rFonts w:hint="eastAsia" w:ascii="宋体" w:hAnsi="宋体"/>
                <w:sz w:val="24"/>
              </w:rPr>
            </w:pPr>
          </w:p>
        </w:tc>
        <w:tc>
          <w:tcPr>
            <w:tcW w:w="498" w:type="pct"/>
            <w:tcBorders>
              <w:top w:val="single" w:color="auto" w:sz="4" w:space="0"/>
              <w:left w:val="single" w:color="auto" w:sz="4" w:space="0"/>
              <w:bottom w:val="single" w:color="auto" w:sz="4" w:space="0"/>
              <w:right w:val="single" w:color="auto" w:sz="4" w:space="0"/>
            </w:tcBorders>
            <w:noWrap w:val="0"/>
            <w:vAlign w:val="center"/>
          </w:tcPr>
          <w:p w14:paraId="387B629D">
            <w:pPr>
              <w:jc w:val="center"/>
              <w:rPr>
                <w:rFonts w:hint="eastAsia" w:ascii="宋体" w:hAnsi="宋体"/>
                <w:sz w:val="24"/>
              </w:rPr>
            </w:pPr>
          </w:p>
        </w:tc>
        <w:tc>
          <w:tcPr>
            <w:tcW w:w="947" w:type="pct"/>
            <w:tcBorders>
              <w:top w:val="single" w:color="auto" w:sz="4" w:space="0"/>
              <w:left w:val="single" w:color="auto" w:sz="4" w:space="0"/>
              <w:bottom w:val="single" w:color="auto" w:sz="4" w:space="0"/>
              <w:right w:val="single" w:color="auto" w:sz="4" w:space="0"/>
            </w:tcBorders>
            <w:noWrap w:val="0"/>
            <w:vAlign w:val="center"/>
          </w:tcPr>
          <w:p w14:paraId="4E6EFA4B">
            <w:pPr>
              <w:jc w:val="center"/>
              <w:rPr>
                <w:rFonts w:hint="eastAsia" w:ascii="宋体" w:hAnsi="宋体"/>
                <w:sz w:val="24"/>
              </w:rPr>
            </w:pPr>
          </w:p>
        </w:tc>
      </w:tr>
      <w:tr w14:paraId="0225ED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1" w:hRule="atLeast"/>
          <w:jc w:val="center"/>
        </w:trPr>
        <w:tc>
          <w:tcPr>
            <w:tcW w:w="410" w:type="pct"/>
            <w:tcBorders>
              <w:top w:val="single" w:color="auto" w:sz="4" w:space="0"/>
              <w:left w:val="single" w:color="auto" w:sz="4" w:space="0"/>
              <w:bottom w:val="single" w:color="auto" w:sz="4" w:space="0"/>
              <w:right w:val="single" w:color="auto" w:sz="4" w:space="0"/>
            </w:tcBorders>
            <w:noWrap w:val="0"/>
            <w:vAlign w:val="center"/>
          </w:tcPr>
          <w:p w14:paraId="0EA1883B">
            <w:pPr>
              <w:jc w:val="center"/>
              <w:rPr>
                <w:rFonts w:hint="eastAsia" w:ascii="宋体" w:hAnsi="宋体"/>
                <w:sz w:val="24"/>
              </w:rPr>
            </w:pPr>
            <w:r>
              <w:rPr>
                <w:rFonts w:hint="eastAsia" w:ascii="宋体" w:hAnsi="宋体"/>
                <w:sz w:val="24"/>
              </w:rPr>
              <w:t>.....</w:t>
            </w:r>
          </w:p>
        </w:tc>
        <w:tc>
          <w:tcPr>
            <w:tcW w:w="916" w:type="pct"/>
            <w:tcBorders>
              <w:top w:val="single" w:color="auto" w:sz="4" w:space="0"/>
              <w:left w:val="single" w:color="auto" w:sz="4" w:space="0"/>
              <w:bottom w:val="single" w:color="auto" w:sz="4" w:space="0"/>
              <w:right w:val="single" w:color="auto" w:sz="4" w:space="0"/>
            </w:tcBorders>
            <w:noWrap w:val="0"/>
            <w:vAlign w:val="center"/>
          </w:tcPr>
          <w:p w14:paraId="5E4B7CFC">
            <w:pPr>
              <w:jc w:val="center"/>
              <w:rPr>
                <w:rFonts w:hint="eastAsia" w:ascii="宋体" w:hAnsi="宋体"/>
                <w:sz w:val="24"/>
              </w:rPr>
            </w:pPr>
          </w:p>
        </w:tc>
        <w:tc>
          <w:tcPr>
            <w:tcW w:w="457" w:type="pct"/>
            <w:tcBorders>
              <w:top w:val="single" w:color="auto" w:sz="4" w:space="0"/>
              <w:left w:val="single" w:color="auto" w:sz="4" w:space="0"/>
              <w:bottom w:val="single" w:color="auto" w:sz="4" w:space="0"/>
              <w:right w:val="single" w:color="auto" w:sz="4" w:space="0"/>
            </w:tcBorders>
            <w:noWrap w:val="0"/>
            <w:vAlign w:val="center"/>
          </w:tcPr>
          <w:p w14:paraId="38A3874E">
            <w:pPr>
              <w:jc w:val="center"/>
              <w:rPr>
                <w:rFonts w:hint="eastAsia" w:ascii="宋体" w:hAnsi="宋体"/>
                <w:sz w:val="24"/>
              </w:rPr>
            </w:pPr>
          </w:p>
        </w:tc>
        <w:tc>
          <w:tcPr>
            <w:tcW w:w="608" w:type="pct"/>
            <w:tcBorders>
              <w:top w:val="single" w:color="auto" w:sz="4" w:space="0"/>
              <w:left w:val="single" w:color="auto" w:sz="4" w:space="0"/>
              <w:bottom w:val="single" w:color="auto" w:sz="4" w:space="0"/>
              <w:right w:val="single" w:color="auto" w:sz="4" w:space="0"/>
            </w:tcBorders>
            <w:noWrap w:val="0"/>
            <w:vAlign w:val="center"/>
          </w:tcPr>
          <w:p w14:paraId="0EFFDB9C">
            <w:pPr>
              <w:jc w:val="center"/>
              <w:rPr>
                <w:rFonts w:hint="eastAsia" w:ascii="宋体" w:hAnsi="宋体"/>
                <w:sz w:val="24"/>
              </w:rPr>
            </w:pPr>
          </w:p>
        </w:tc>
        <w:tc>
          <w:tcPr>
            <w:tcW w:w="665" w:type="pct"/>
            <w:tcBorders>
              <w:top w:val="single" w:color="auto" w:sz="4" w:space="0"/>
              <w:left w:val="single" w:color="auto" w:sz="4" w:space="0"/>
              <w:bottom w:val="single" w:color="auto" w:sz="4" w:space="0"/>
              <w:right w:val="single" w:color="auto" w:sz="4" w:space="0"/>
            </w:tcBorders>
            <w:noWrap w:val="0"/>
            <w:vAlign w:val="center"/>
          </w:tcPr>
          <w:p w14:paraId="315C44C6">
            <w:pPr>
              <w:jc w:val="center"/>
              <w:rPr>
                <w:rFonts w:hint="eastAsia" w:ascii="宋体" w:hAnsi="宋体"/>
                <w:sz w:val="24"/>
              </w:rPr>
            </w:pPr>
          </w:p>
        </w:tc>
        <w:tc>
          <w:tcPr>
            <w:tcW w:w="499" w:type="pct"/>
            <w:tcBorders>
              <w:top w:val="single" w:color="auto" w:sz="4" w:space="0"/>
              <w:left w:val="single" w:color="auto" w:sz="4" w:space="0"/>
              <w:bottom w:val="single" w:color="auto" w:sz="4" w:space="0"/>
              <w:right w:val="single" w:color="auto" w:sz="4" w:space="0"/>
            </w:tcBorders>
            <w:noWrap w:val="0"/>
            <w:vAlign w:val="center"/>
          </w:tcPr>
          <w:p w14:paraId="79FC81CA">
            <w:pPr>
              <w:jc w:val="center"/>
              <w:rPr>
                <w:rFonts w:hint="eastAsia" w:ascii="宋体" w:hAnsi="宋体"/>
                <w:sz w:val="24"/>
              </w:rPr>
            </w:pPr>
          </w:p>
        </w:tc>
        <w:tc>
          <w:tcPr>
            <w:tcW w:w="498" w:type="pct"/>
            <w:tcBorders>
              <w:top w:val="single" w:color="auto" w:sz="4" w:space="0"/>
              <w:left w:val="single" w:color="auto" w:sz="4" w:space="0"/>
              <w:bottom w:val="single" w:color="auto" w:sz="4" w:space="0"/>
              <w:right w:val="single" w:color="auto" w:sz="4" w:space="0"/>
            </w:tcBorders>
            <w:noWrap w:val="0"/>
            <w:vAlign w:val="center"/>
          </w:tcPr>
          <w:p w14:paraId="17C7AA87">
            <w:pPr>
              <w:jc w:val="center"/>
              <w:rPr>
                <w:rFonts w:hint="eastAsia" w:ascii="宋体" w:hAnsi="宋体"/>
                <w:sz w:val="24"/>
              </w:rPr>
            </w:pPr>
          </w:p>
        </w:tc>
        <w:tc>
          <w:tcPr>
            <w:tcW w:w="947" w:type="pct"/>
            <w:tcBorders>
              <w:top w:val="single" w:color="auto" w:sz="4" w:space="0"/>
              <w:left w:val="single" w:color="auto" w:sz="4" w:space="0"/>
              <w:bottom w:val="single" w:color="auto" w:sz="4" w:space="0"/>
              <w:right w:val="single" w:color="auto" w:sz="4" w:space="0"/>
            </w:tcBorders>
            <w:noWrap w:val="0"/>
            <w:vAlign w:val="center"/>
          </w:tcPr>
          <w:p w14:paraId="31E4D9C9">
            <w:pPr>
              <w:jc w:val="center"/>
              <w:rPr>
                <w:rFonts w:hint="eastAsia" w:ascii="宋体" w:hAnsi="宋体"/>
                <w:sz w:val="24"/>
              </w:rPr>
            </w:pPr>
          </w:p>
        </w:tc>
      </w:tr>
      <w:tr w14:paraId="55B912A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39" w:hRule="atLeast"/>
          <w:jc w:val="center"/>
        </w:trPr>
        <w:tc>
          <w:tcPr>
            <w:tcW w:w="5000" w:type="pct"/>
            <w:gridSpan w:val="8"/>
            <w:tcBorders>
              <w:top w:val="single" w:color="auto" w:sz="4" w:space="0"/>
              <w:left w:val="single" w:color="auto" w:sz="4" w:space="0"/>
              <w:bottom w:val="single" w:color="auto" w:sz="4" w:space="0"/>
              <w:right w:val="single" w:color="auto" w:sz="4" w:space="0"/>
            </w:tcBorders>
            <w:noWrap w:val="0"/>
            <w:vAlign w:val="bottom"/>
          </w:tcPr>
          <w:p w14:paraId="6C7E343B">
            <w:pPr>
              <w:snapToGrid w:val="0"/>
              <w:spacing w:before="50" w:after="50" w:line="360" w:lineRule="auto"/>
              <w:rPr>
                <w:rFonts w:hint="eastAsia" w:ascii="宋体" w:hAnsi="宋体"/>
                <w:sz w:val="24"/>
              </w:rPr>
            </w:pPr>
            <w:r>
              <w:rPr>
                <w:rFonts w:hint="eastAsia" w:ascii="宋体" w:hAnsi="宋体" w:cs="仿宋_GB2312"/>
                <w:sz w:val="24"/>
              </w:rPr>
              <w:t>合计金额大写：人民币</w:t>
            </w:r>
            <w:r>
              <w:rPr>
                <w:rFonts w:hint="eastAsia" w:ascii="宋体" w:hAnsi="宋体" w:cs="仿宋_GB2312"/>
                <w:sz w:val="24"/>
                <w:u w:val="single"/>
              </w:rPr>
              <w:t xml:space="preserve">           </w:t>
            </w:r>
            <w:r>
              <w:rPr>
                <w:rFonts w:hint="eastAsia" w:ascii="宋体" w:hAnsi="宋体" w:cs="仿宋_GB2312"/>
                <w:sz w:val="24"/>
              </w:rPr>
              <w:t>（¥</w:t>
            </w:r>
            <w:r>
              <w:rPr>
                <w:rFonts w:hint="eastAsia" w:ascii="宋体" w:hAnsi="宋体" w:cs="仿宋_GB2312"/>
                <w:sz w:val="24"/>
                <w:u w:val="single"/>
              </w:rPr>
              <w:t xml:space="preserve">           </w:t>
            </w:r>
            <w:r>
              <w:rPr>
                <w:rFonts w:hint="eastAsia" w:ascii="宋体" w:hAnsi="宋体" w:cs="仿宋_GB2312"/>
                <w:sz w:val="24"/>
              </w:rPr>
              <w:t>）</w:t>
            </w:r>
          </w:p>
        </w:tc>
      </w:tr>
      <w:tr w14:paraId="0F5C9B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39" w:hRule="atLeast"/>
          <w:jc w:val="center"/>
        </w:trPr>
        <w:tc>
          <w:tcPr>
            <w:tcW w:w="5000" w:type="pct"/>
            <w:gridSpan w:val="8"/>
            <w:tcBorders>
              <w:top w:val="single" w:color="auto" w:sz="4" w:space="0"/>
              <w:left w:val="single" w:color="auto" w:sz="4" w:space="0"/>
              <w:bottom w:val="single" w:color="auto" w:sz="4" w:space="0"/>
              <w:right w:val="single" w:color="auto" w:sz="4" w:space="0"/>
            </w:tcBorders>
            <w:noWrap w:val="0"/>
            <w:vAlign w:val="bottom"/>
          </w:tcPr>
          <w:p w14:paraId="6A341338">
            <w:pPr>
              <w:snapToGrid w:val="0"/>
              <w:spacing w:before="50" w:after="50" w:line="360" w:lineRule="auto"/>
              <w:rPr>
                <w:rFonts w:hint="eastAsia" w:ascii="宋体" w:hAnsi="宋体" w:cs="仿宋_GB2312"/>
                <w:sz w:val="24"/>
              </w:rPr>
            </w:pPr>
            <w:r>
              <w:rPr>
                <w:rFonts w:hint="eastAsia" w:ascii="宋体" w:hAnsi="宋体" w:cs="仿宋_GB2312"/>
                <w:sz w:val="24"/>
                <w:u w:val="single"/>
              </w:rPr>
              <w:t>说明：投标产品中，属于本国产品总值为¥       （具体明细详见附表，附表格式自拟），占投标产品报价的比例为    %。</w:t>
            </w:r>
          </w:p>
        </w:tc>
      </w:tr>
    </w:tbl>
    <w:p w14:paraId="367DF3C0">
      <w:pPr>
        <w:snapToGrid w:val="0"/>
        <w:spacing w:line="380" w:lineRule="exact"/>
        <w:jc w:val="left"/>
        <w:rPr>
          <w:rFonts w:hint="eastAsia" w:ascii="宋体" w:hAnsi="宋体"/>
          <w:sz w:val="24"/>
        </w:rPr>
      </w:pPr>
      <w:r>
        <w:rPr>
          <w:rFonts w:hint="eastAsia" w:ascii="宋体" w:hAnsi="宋体"/>
          <w:sz w:val="24"/>
        </w:rPr>
        <w:t xml:space="preserve">注： </w:t>
      </w:r>
    </w:p>
    <w:p w14:paraId="2898C8CA">
      <w:pPr>
        <w:snapToGrid w:val="0"/>
        <w:spacing w:line="360" w:lineRule="auto"/>
        <w:ind w:firstLine="480" w:firstLineChars="200"/>
        <w:jc w:val="left"/>
        <w:rPr>
          <w:rFonts w:hint="eastAsia" w:ascii="宋体" w:hAnsi="宋体"/>
          <w:b/>
          <w:sz w:val="24"/>
        </w:rPr>
      </w:pPr>
      <w:r>
        <w:rPr>
          <w:rFonts w:hint="eastAsia" w:ascii="宋体" w:hAnsi="宋体"/>
          <w:bCs/>
          <w:sz w:val="24"/>
        </w:rPr>
        <w:t>1.</w:t>
      </w:r>
      <w:r>
        <w:rPr>
          <w:rFonts w:hint="eastAsia" w:ascii="宋体" w:hAnsi="宋体"/>
          <w:sz w:val="24"/>
        </w:rPr>
        <w:t>报价一经涂改，应在涂改处加盖投标人公章</w:t>
      </w:r>
      <w:r>
        <w:rPr>
          <w:rFonts w:hint="eastAsia" w:ascii="宋体" w:hAnsi="宋体" w:cs="仿宋_GB2312"/>
          <w:sz w:val="24"/>
        </w:rPr>
        <w:t>或者加盖电子签章</w:t>
      </w:r>
      <w:r>
        <w:rPr>
          <w:rFonts w:hint="eastAsia" w:ascii="宋体" w:hAnsi="宋体"/>
          <w:sz w:val="24"/>
        </w:rPr>
        <w:t>或者由法定代表人或者委托代理人签字（或者电子签名）</w:t>
      </w:r>
      <w:r>
        <w:rPr>
          <w:rFonts w:hint="eastAsia" w:ascii="宋体" w:hAnsi="宋体"/>
          <w:b/>
          <w:sz w:val="24"/>
        </w:rPr>
        <w:t>，否则其投标作无效标处理。</w:t>
      </w:r>
    </w:p>
    <w:p w14:paraId="48596CD7">
      <w:pPr>
        <w:snapToGrid w:val="0"/>
        <w:spacing w:line="360" w:lineRule="auto"/>
        <w:ind w:firstLine="480" w:firstLineChars="200"/>
        <w:jc w:val="left"/>
        <w:rPr>
          <w:rFonts w:hint="eastAsia" w:ascii="宋体" w:hAnsi="宋体"/>
          <w:sz w:val="24"/>
        </w:rPr>
      </w:pPr>
      <w:r>
        <w:rPr>
          <w:rFonts w:ascii="宋体" w:hAnsi="宋体"/>
          <w:sz w:val="24"/>
        </w:rPr>
        <w:t>2</w:t>
      </w:r>
      <w:r>
        <w:rPr>
          <w:rFonts w:hint="eastAsia" w:ascii="宋体" w:hAnsi="宋体"/>
          <w:sz w:val="24"/>
        </w:rPr>
        <w:t>.如为联合体投标，“投标人名称”处必须列明联合体各方名称，并标注联合体牵头人名称，</w:t>
      </w:r>
      <w:r>
        <w:rPr>
          <w:rFonts w:hint="eastAsia" w:ascii="宋体" w:hAnsi="宋体"/>
          <w:b/>
          <w:sz w:val="24"/>
        </w:rPr>
        <w:t>否则其投标作无效标处理。</w:t>
      </w:r>
    </w:p>
    <w:p w14:paraId="01E82CF6">
      <w:pPr>
        <w:snapToGrid w:val="0"/>
        <w:spacing w:line="360" w:lineRule="auto"/>
        <w:ind w:firstLine="456" w:firstLineChars="200"/>
        <w:jc w:val="left"/>
        <w:rPr>
          <w:rFonts w:hint="eastAsia" w:ascii="宋体" w:hAnsi="宋体"/>
          <w:spacing w:val="-6"/>
          <w:sz w:val="24"/>
        </w:rPr>
      </w:pPr>
      <w:r>
        <w:rPr>
          <w:rFonts w:ascii="宋体" w:hAnsi="宋体"/>
          <w:spacing w:val="-6"/>
          <w:sz w:val="24"/>
        </w:rPr>
        <w:t>3</w:t>
      </w:r>
      <w:r>
        <w:rPr>
          <w:rFonts w:hint="eastAsia" w:ascii="宋体" w:hAnsi="宋体"/>
          <w:spacing w:val="-6"/>
          <w:sz w:val="24"/>
        </w:rPr>
        <w:t>.如为联合体投标，盖章处须加盖联合体牵头人电子签章，</w:t>
      </w:r>
      <w:r>
        <w:rPr>
          <w:rFonts w:hint="eastAsia" w:ascii="宋体" w:hAnsi="宋体"/>
          <w:b/>
          <w:spacing w:val="-6"/>
          <w:sz w:val="24"/>
        </w:rPr>
        <w:t>否则其投标作无效标处理。</w:t>
      </w:r>
    </w:p>
    <w:p w14:paraId="74368DD0">
      <w:pPr>
        <w:snapToGrid w:val="0"/>
        <w:spacing w:line="380" w:lineRule="exact"/>
        <w:ind w:firstLine="480" w:firstLineChars="200"/>
        <w:rPr>
          <w:rFonts w:ascii="宋体" w:hAnsi="宋体"/>
          <w:b/>
          <w:sz w:val="24"/>
        </w:rPr>
      </w:pPr>
      <w:r>
        <w:rPr>
          <w:rFonts w:ascii="宋体" w:hAnsi="宋体"/>
          <w:sz w:val="24"/>
        </w:rPr>
        <w:t>4</w:t>
      </w:r>
      <w:r>
        <w:rPr>
          <w:rFonts w:hint="eastAsia" w:ascii="宋体" w:hAnsi="宋体"/>
          <w:sz w:val="24"/>
        </w:rPr>
        <w:t>.如有多分标，按分标分别提供开标一览表</w:t>
      </w:r>
      <w:r>
        <w:rPr>
          <w:rFonts w:hint="eastAsia" w:ascii="宋体" w:hAnsi="宋体"/>
          <w:b/>
          <w:sz w:val="24"/>
        </w:rPr>
        <w:t>。</w:t>
      </w:r>
    </w:p>
    <w:p w14:paraId="2DE1B40C">
      <w:pPr>
        <w:pStyle w:val="18"/>
        <w:rPr>
          <w:rFonts w:hint="eastAsia"/>
          <w:lang w:eastAsia="zh-CN"/>
        </w:rPr>
      </w:pPr>
    </w:p>
    <w:p w14:paraId="6330B9B3">
      <w:pPr>
        <w:pStyle w:val="18"/>
        <w:rPr>
          <w:rFonts w:hint="eastAsia"/>
          <w:lang w:eastAsia="zh-CN"/>
        </w:rPr>
      </w:pPr>
    </w:p>
    <w:p w14:paraId="590D4CA0">
      <w:pPr>
        <w:pStyle w:val="18"/>
        <w:rPr>
          <w:rFonts w:hint="eastAsia"/>
          <w:lang w:eastAsia="zh-CN"/>
        </w:rPr>
      </w:pPr>
    </w:p>
    <w:p w14:paraId="1A0E2FA4">
      <w:pPr>
        <w:snapToGrid w:val="0"/>
        <w:spacing w:line="380" w:lineRule="exact"/>
        <w:ind w:left="-2" w:leftChars="-1" w:right="-817" w:rightChars="-389"/>
        <w:rPr>
          <w:rFonts w:hint="eastAsia" w:ascii="宋体" w:hAnsi="宋体"/>
          <w:sz w:val="24"/>
        </w:rPr>
      </w:pPr>
      <w:r>
        <w:rPr>
          <w:rFonts w:hint="eastAsia" w:ascii="宋体" w:hAnsi="宋体"/>
          <w:sz w:val="24"/>
        </w:rPr>
        <w:t xml:space="preserve">                  法定代表人或者委托代理人（签字或者电子签名）： </w:t>
      </w:r>
    </w:p>
    <w:p w14:paraId="2185A338">
      <w:pPr>
        <w:snapToGrid w:val="0"/>
        <w:spacing w:line="380" w:lineRule="exact"/>
        <w:ind w:left="-3" w:leftChars="-15" w:right="-817" w:rightChars="-389" w:hanging="28" w:hangingChars="12"/>
        <w:rPr>
          <w:rFonts w:hint="eastAsia" w:ascii="宋体" w:hAnsi="宋体"/>
          <w:sz w:val="24"/>
        </w:rPr>
      </w:pPr>
      <w:r>
        <w:rPr>
          <w:rFonts w:hint="eastAsia" w:ascii="宋体" w:hAnsi="宋体"/>
          <w:sz w:val="24"/>
        </w:rPr>
        <w:t xml:space="preserve">                                  投标人名称（电子签章）：</w:t>
      </w:r>
    </w:p>
    <w:p w14:paraId="5589CECA">
      <w:pPr>
        <w:snapToGrid w:val="0"/>
        <w:spacing w:line="380" w:lineRule="exact"/>
        <w:ind w:left="-3" w:leftChars="-15" w:right="-817" w:rightChars="-389" w:hanging="28" w:hangingChars="12"/>
        <w:rPr>
          <w:rFonts w:hint="eastAsia" w:ascii="宋体" w:hAnsi="宋体"/>
          <w:szCs w:val="21"/>
        </w:rPr>
      </w:pPr>
      <w:r>
        <w:rPr>
          <w:rFonts w:hint="eastAsia" w:ascii="宋体" w:hAnsi="宋体"/>
          <w:sz w:val="24"/>
        </w:rPr>
        <w:t xml:space="preserve">                                  日期：    年   月   日</w:t>
      </w:r>
    </w:p>
    <w:p w14:paraId="08A9F1E3">
      <w:pPr>
        <w:rPr>
          <w:rFonts w:hint="eastAsia"/>
          <w:b/>
          <w:sz w:val="28"/>
          <w:szCs w:val="28"/>
        </w:rPr>
      </w:pPr>
      <w:r>
        <w:rPr>
          <w:rFonts w:ascii="宋体" w:hAnsi="宋体"/>
          <w:b/>
          <w:bCs/>
          <w:sz w:val="24"/>
        </w:rPr>
        <w:br w:type="page"/>
      </w:r>
      <w:bookmarkStart w:id="182" w:name="_Toc19686837"/>
      <w:r>
        <w:rPr>
          <w:rFonts w:hint="eastAsia"/>
          <w:b/>
          <w:sz w:val="28"/>
          <w:szCs w:val="28"/>
        </w:rPr>
        <w:t>二、资格证明文件格式</w:t>
      </w:r>
      <w:bookmarkEnd w:id="180"/>
      <w:bookmarkEnd w:id="181"/>
      <w:bookmarkEnd w:id="182"/>
    </w:p>
    <w:p w14:paraId="7B22146C">
      <w:pPr>
        <w:numPr>
          <w:ilvl w:val="2"/>
          <w:numId w:val="13"/>
        </w:numPr>
        <w:snapToGrid w:val="0"/>
        <w:spacing w:before="120" w:beforeLines="50" w:after="50" w:line="360" w:lineRule="auto"/>
        <w:ind w:left="0" w:firstLine="0"/>
        <w:jc w:val="left"/>
        <w:rPr>
          <w:rFonts w:hint="eastAsia" w:ascii="宋体" w:hAnsi="宋体"/>
          <w:b/>
          <w:sz w:val="24"/>
        </w:rPr>
      </w:pPr>
      <w:r>
        <w:rPr>
          <w:rFonts w:hint="eastAsia" w:ascii="宋体" w:hAnsi="宋体"/>
          <w:b/>
          <w:sz w:val="24"/>
        </w:rPr>
        <w:t xml:space="preserve">资格证明文件封面格式： </w:t>
      </w:r>
    </w:p>
    <w:p w14:paraId="10B6D747">
      <w:pPr>
        <w:snapToGrid w:val="0"/>
        <w:spacing w:before="120" w:beforeLines="50" w:after="50"/>
        <w:jc w:val="center"/>
        <w:rPr>
          <w:rFonts w:hint="eastAsia" w:ascii="宋体" w:hAnsi="宋体" w:eastAsia="方正小标宋简体"/>
          <w:bCs/>
          <w:sz w:val="48"/>
          <w:szCs w:val="48"/>
        </w:rPr>
      </w:pPr>
      <w:r>
        <w:rPr>
          <w:rFonts w:hint="eastAsia" w:ascii="宋体" w:hAnsi="宋体" w:eastAsia="方正小标宋简体"/>
          <w:bCs/>
          <w:sz w:val="48"/>
          <w:szCs w:val="48"/>
        </w:rPr>
        <w:t>电子投标文件</w:t>
      </w:r>
    </w:p>
    <w:p w14:paraId="60783362">
      <w:pPr>
        <w:snapToGrid w:val="0"/>
        <w:spacing w:before="120" w:beforeLines="50" w:after="50"/>
        <w:jc w:val="center"/>
        <w:rPr>
          <w:rFonts w:hint="eastAsia" w:ascii="宋体" w:hAnsi="宋体"/>
          <w:b/>
          <w:sz w:val="24"/>
          <w:szCs w:val="20"/>
        </w:rPr>
      </w:pPr>
      <w:r>
        <w:rPr>
          <w:rFonts w:hint="eastAsia" w:ascii="宋体" w:hAnsi="宋体"/>
          <w:b/>
          <w:sz w:val="32"/>
          <w:szCs w:val="32"/>
        </w:rPr>
        <w:t>资格证明文件</w:t>
      </w:r>
    </w:p>
    <w:p w14:paraId="6F0726D4">
      <w:pPr>
        <w:snapToGrid w:val="0"/>
        <w:spacing w:before="120" w:beforeLines="50" w:after="50"/>
        <w:rPr>
          <w:rFonts w:ascii="宋体" w:hAnsi="宋体"/>
          <w:bCs/>
          <w:sz w:val="24"/>
          <w:szCs w:val="20"/>
        </w:rPr>
      </w:pPr>
    </w:p>
    <w:p w14:paraId="263547D3">
      <w:pPr>
        <w:snapToGrid w:val="0"/>
        <w:spacing w:before="120" w:beforeLines="50" w:after="50"/>
        <w:rPr>
          <w:rFonts w:ascii="宋体" w:hAnsi="宋体"/>
          <w:bCs/>
          <w:sz w:val="24"/>
          <w:szCs w:val="20"/>
        </w:rPr>
      </w:pPr>
    </w:p>
    <w:p w14:paraId="1EB3D079">
      <w:pPr>
        <w:snapToGrid w:val="0"/>
        <w:spacing w:before="120" w:beforeLines="50" w:after="50"/>
        <w:rPr>
          <w:rFonts w:ascii="宋体" w:hAnsi="宋体"/>
          <w:bCs/>
          <w:sz w:val="24"/>
          <w:szCs w:val="20"/>
        </w:rPr>
      </w:pPr>
    </w:p>
    <w:p w14:paraId="276DD8F1">
      <w:pPr>
        <w:snapToGrid w:val="0"/>
        <w:spacing w:before="120" w:beforeLines="50" w:after="50"/>
        <w:rPr>
          <w:rFonts w:ascii="宋体" w:hAnsi="宋体"/>
          <w:bCs/>
          <w:sz w:val="24"/>
          <w:szCs w:val="20"/>
        </w:rPr>
      </w:pPr>
    </w:p>
    <w:p w14:paraId="158EF875">
      <w:pPr>
        <w:snapToGrid w:val="0"/>
        <w:spacing w:before="120" w:beforeLines="50" w:after="50"/>
        <w:rPr>
          <w:rFonts w:ascii="宋体" w:hAnsi="宋体"/>
          <w:bCs/>
          <w:sz w:val="24"/>
          <w:szCs w:val="20"/>
        </w:rPr>
      </w:pPr>
    </w:p>
    <w:p w14:paraId="1D69B90D">
      <w:pPr>
        <w:snapToGrid w:val="0"/>
        <w:spacing w:before="120" w:beforeLines="50" w:after="50"/>
        <w:rPr>
          <w:rFonts w:ascii="宋体" w:hAnsi="宋体"/>
          <w:bCs/>
          <w:sz w:val="24"/>
          <w:szCs w:val="20"/>
        </w:rPr>
      </w:pPr>
    </w:p>
    <w:p w14:paraId="31DEA85D">
      <w:pPr>
        <w:snapToGrid w:val="0"/>
        <w:spacing w:before="120" w:beforeLines="50" w:after="50"/>
        <w:rPr>
          <w:rFonts w:hint="eastAsia" w:ascii="宋体" w:hAnsi="宋体"/>
          <w:bCs/>
          <w:sz w:val="24"/>
          <w:szCs w:val="20"/>
        </w:rPr>
      </w:pPr>
    </w:p>
    <w:p w14:paraId="0C5C0252">
      <w:pPr>
        <w:snapToGrid w:val="0"/>
        <w:spacing w:before="120" w:beforeLines="50" w:after="50"/>
        <w:ind w:firstLine="540" w:firstLineChars="225"/>
        <w:rPr>
          <w:rFonts w:hint="eastAsia" w:ascii="宋体" w:hAnsi="宋体"/>
          <w:bCs/>
          <w:sz w:val="24"/>
        </w:rPr>
      </w:pPr>
      <w:r>
        <w:rPr>
          <w:rFonts w:hint="eastAsia" w:ascii="宋体" w:hAnsi="宋体"/>
          <w:bCs/>
          <w:sz w:val="24"/>
        </w:rPr>
        <w:t>项目名称：</w:t>
      </w:r>
    </w:p>
    <w:p w14:paraId="46623BBC">
      <w:pPr>
        <w:snapToGrid w:val="0"/>
        <w:spacing w:before="120" w:beforeLines="50" w:after="50"/>
        <w:ind w:firstLine="540" w:firstLineChars="225"/>
        <w:rPr>
          <w:rFonts w:hint="eastAsia" w:ascii="宋体" w:hAnsi="宋体"/>
          <w:bCs/>
          <w:sz w:val="24"/>
          <w:szCs w:val="20"/>
        </w:rPr>
      </w:pPr>
    </w:p>
    <w:p w14:paraId="13BB844A">
      <w:pPr>
        <w:snapToGrid w:val="0"/>
        <w:spacing w:before="120" w:beforeLines="50" w:after="50"/>
        <w:ind w:firstLine="540" w:firstLineChars="225"/>
        <w:rPr>
          <w:rFonts w:hint="eastAsia" w:ascii="宋体" w:hAnsi="宋体"/>
          <w:bCs/>
          <w:sz w:val="24"/>
        </w:rPr>
      </w:pPr>
      <w:r>
        <w:rPr>
          <w:rFonts w:hint="eastAsia" w:ascii="宋体" w:hAnsi="宋体"/>
          <w:bCs/>
          <w:sz w:val="24"/>
        </w:rPr>
        <w:t>项目编号：</w:t>
      </w:r>
    </w:p>
    <w:p w14:paraId="5D5B5792">
      <w:pPr>
        <w:snapToGrid w:val="0"/>
        <w:spacing w:before="120" w:beforeLines="50" w:after="50"/>
        <w:ind w:firstLine="540" w:firstLineChars="225"/>
        <w:rPr>
          <w:rFonts w:hint="eastAsia" w:ascii="宋体" w:hAnsi="宋体"/>
          <w:bCs/>
          <w:sz w:val="24"/>
          <w:szCs w:val="20"/>
        </w:rPr>
      </w:pPr>
      <w:r>
        <w:rPr>
          <w:rFonts w:hint="eastAsia" w:ascii="宋体" w:hAnsi="宋体"/>
          <w:bCs/>
          <w:sz w:val="24"/>
        </w:rPr>
        <w:t xml:space="preserve"> </w:t>
      </w:r>
    </w:p>
    <w:p w14:paraId="4D0C63F0">
      <w:pPr>
        <w:snapToGrid w:val="0"/>
        <w:spacing w:before="120" w:beforeLines="50" w:after="50"/>
        <w:ind w:firstLine="540" w:firstLineChars="225"/>
        <w:rPr>
          <w:rFonts w:hint="eastAsia" w:ascii="宋体" w:hAnsi="宋体"/>
          <w:bCs/>
          <w:sz w:val="24"/>
        </w:rPr>
      </w:pPr>
      <w:r>
        <w:rPr>
          <w:rFonts w:hint="eastAsia" w:ascii="宋体" w:hAnsi="宋体"/>
          <w:bCs/>
          <w:sz w:val="24"/>
        </w:rPr>
        <w:t>所投分标：</w:t>
      </w:r>
    </w:p>
    <w:p w14:paraId="61213F4F">
      <w:pPr>
        <w:pStyle w:val="7"/>
        <w:snapToGrid w:val="0"/>
        <w:spacing w:before="50" w:after="50"/>
        <w:ind w:firstLine="540" w:firstLineChars="225"/>
        <w:rPr>
          <w:rFonts w:hint="eastAsia" w:ascii="宋体" w:hAnsi="宋体"/>
          <w:bCs/>
          <w:sz w:val="24"/>
          <w:szCs w:val="24"/>
        </w:rPr>
      </w:pPr>
    </w:p>
    <w:p w14:paraId="128197B8">
      <w:pPr>
        <w:pStyle w:val="7"/>
        <w:snapToGrid w:val="0"/>
        <w:spacing w:before="50" w:after="50"/>
        <w:ind w:firstLine="540" w:firstLineChars="225"/>
        <w:rPr>
          <w:rFonts w:hint="eastAsia" w:ascii="宋体" w:hAnsi="宋体"/>
          <w:bCs/>
          <w:sz w:val="24"/>
          <w:szCs w:val="24"/>
        </w:rPr>
      </w:pPr>
      <w:r>
        <w:rPr>
          <w:rFonts w:hint="eastAsia" w:ascii="宋体" w:hAnsi="宋体"/>
          <w:bCs/>
          <w:sz w:val="24"/>
          <w:szCs w:val="24"/>
        </w:rPr>
        <w:t>投标人名称：</w:t>
      </w:r>
    </w:p>
    <w:p w14:paraId="687BDBDA">
      <w:pPr>
        <w:pStyle w:val="7"/>
        <w:snapToGrid w:val="0"/>
        <w:spacing w:before="50" w:after="50"/>
        <w:ind w:firstLine="540" w:firstLineChars="225"/>
        <w:rPr>
          <w:rFonts w:hint="eastAsia" w:ascii="宋体" w:hAnsi="宋体"/>
          <w:bCs/>
          <w:sz w:val="24"/>
          <w:szCs w:val="24"/>
        </w:rPr>
      </w:pPr>
    </w:p>
    <w:p w14:paraId="28C6E9D1">
      <w:pPr>
        <w:pStyle w:val="7"/>
        <w:snapToGrid w:val="0"/>
        <w:spacing w:before="50" w:after="50"/>
        <w:ind w:firstLine="960" w:firstLineChars="400"/>
        <w:rPr>
          <w:rFonts w:hint="eastAsia" w:ascii="宋体" w:hAnsi="宋体"/>
          <w:bCs/>
          <w:sz w:val="24"/>
          <w:szCs w:val="24"/>
        </w:rPr>
      </w:pPr>
    </w:p>
    <w:p w14:paraId="4AEAFEF9">
      <w:pPr>
        <w:snapToGrid w:val="0"/>
        <w:spacing w:before="120" w:beforeLines="50" w:after="50"/>
        <w:ind w:firstLine="645"/>
        <w:jc w:val="center"/>
        <w:rPr>
          <w:rFonts w:ascii="宋体" w:hAnsi="宋体"/>
          <w:sz w:val="24"/>
        </w:rPr>
      </w:pPr>
      <w:r>
        <w:rPr>
          <w:rFonts w:hint="eastAsia" w:ascii="宋体" w:hAnsi="宋体"/>
          <w:sz w:val="24"/>
        </w:rPr>
        <w:t>年  月  日</w:t>
      </w:r>
    </w:p>
    <w:p w14:paraId="74A3B623">
      <w:pPr>
        <w:snapToGrid w:val="0"/>
        <w:spacing w:before="120" w:beforeLines="50" w:after="50"/>
        <w:rPr>
          <w:rFonts w:ascii="宋体" w:hAnsi="宋体"/>
          <w:sz w:val="24"/>
          <w:szCs w:val="20"/>
        </w:rPr>
      </w:pPr>
      <w:r>
        <w:rPr>
          <w:rFonts w:ascii="宋体" w:hAnsi="宋体"/>
          <w:sz w:val="24"/>
          <w:szCs w:val="20"/>
        </w:rPr>
        <w:t xml:space="preserve"> </w:t>
      </w:r>
    </w:p>
    <w:p w14:paraId="17BFC941">
      <w:pPr>
        <w:snapToGrid w:val="0"/>
        <w:spacing w:before="120" w:beforeLines="50" w:after="50"/>
        <w:rPr>
          <w:rFonts w:hint="eastAsia" w:ascii="宋体" w:hAnsi="宋体"/>
          <w:sz w:val="24"/>
          <w:szCs w:val="20"/>
        </w:rPr>
      </w:pPr>
    </w:p>
    <w:p w14:paraId="2ADBEB38">
      <w:pPr>
        <w:numPr>
          <w:ilvl w:val="2"/>
          <w:numId w:val="13"/>
        </w:numPr>
        <w:snapToGrid w:val="0"/>
        <w:spacing w:before="120" w:beforeLines="50" w:after="50" w:line="360" w:lineRule="auto"/>
        <w:ind w:left="0" w:firstLine="0"/>
        <w:jc w:val="left"/>
        <w:rPr>
          <w:rFonts w:hint="eastAsia" w:ascii="宋体" w:hAnsi="宋体"/>
          <w:sz w:val="24"/>
          <w:szCs w:val="20"/>
        </w:rPr>
      </w:pPr>
      <w:r>
        <w:rPr>
          <w:rFonts w:ascii="宋体" w:hAnsi="宋体"/>
          <w:b/>
          <w:bCs/>
          <w:sz w:val="24"/>
        </w:rPr>
        <w:br w:type="page"/>
      </w:r>
      <w:r>
        <w:rPr>
          <w:rFonts w:hint="eastAsia" w:ascii="宋体" w:hAnsi="宋体"/>
          <w:b/>
          <w:bCs/>
          <w:sz w:val="24"/>
        </w:rPr>
        <w:t>资格证明文件目录</w:t>
      </w:r>
    </w:p>
    <w:p w14:paraId="03C030E6">
      <w:pPr>
        <w:snapToGrid w:val="0"/>
        <w:spacing w:line="360" w:lineRule="auto"/>
        <w:ind w:firstLine="420" w:firstLineChars="200"/>
        <w:jc w:val="left"/>
        <w:rPr>
          <w:rFonts w:hint="eastAsia" w:ascii="宋体" w:hAnsi="宋体"/>
          <w:szCs w:val="21"/>
        </w:rPr>
      </w:pPr>
      <w:r>
        <w:rPr>
          <w:rFonts w:hint="eastAsia" w:ascii="宋体" w:hAnsi="宋体"/>
          <w:szCs w:val="21"/>
        </w:rPr>
        <w:t>根据招标文件规定及投标人提供的材料自行编写目录。</w:t>
      </w:r>
    </w:p>
    <w:p w14:paraId="6B965419">
      <w:pPr>
        <w:snapToGrid w:val="0"/>
        <w:spacing w:before="50" w:after="120" w:afterLines="50"/>
        <w:jc w:val="left"/>
        <w:rPr>
          <w:rFonts w:hint="eastAsia" w:ascii="宋体" w:hAnsi="宋体"/>
          <w:sz w:val="24"/>
        </w:rPr>
      </w:pPr>
    </w:p>
    <w:p w14:paraId="55A52F1F">
      <w:pPr>
        <w:snapToGrid w:val="0"/>
        <w:spacing w:before="50" w:after="120" w:afterLines="50"/>
        <w:jc w:val="left"/>
        <w:rPr>
          <w:rFonts w:hint="eastAsia" w:ascii="宋体" w:hAnsi="宋体"/>
          <w:sz w:val="24"/>
        </w:rPr>
      </w:pPr>
    </w:p>
    <w:p w14:paraId="46D60316">
      <w:pPr>
        <w:snapToGrid w:val="0"/>
        <w:spacing w:before="120" w:beforeLines="50" w:after="50"/>
        <w:jc w:val="left"/>
        <w:rPr>
          <w:rFonts w:hint="eastAsia" w:ascii="宋体" w:hAnsi="宋体"/>
          <w:b/>
          <w:sz w:val="24"/>
        </w:rPr>
      </w:pPr>
      <w:r>
        <w:rPr>
          <w:rFonts w:ascii="宋体" w:hAnsi="宋体"/>
          <w:b/>
          <w:sz w:val="24"/>
        </w:rPr>
        <w:br w:type="page"/>
      </w:r>
      <w:r>
        <w:rPr>
          <w:rFonts w:hint="eastAsia" w:ascii="宋体" w:hAnsi="宋体"/>
          <w:b/>
          <w:sz w:val="24"/>
        </w:rPr>
        <w:t>3.</w:t>
      </w:r>
      <w:r>
        <w:rPr>
          <w:rFonts w:hint="eastAsia" w:ascii="宋体" w:hAnsi="宋体"/>
          <w:b/>
          <w:sz w:val="28"/>
          <w:szCs w:val="28"/>
        </w:rPr>
        <w:t>投标人直接控股股东信息表</w:t>
      </w:r>
    </w:p>
    <w:p w14:paraId="79BA37A3">
      <w:pPr>
        <w:snapToGrid w:val="0"/>
        <w:spacing w:before="50" w:after="120" w:afterLines="50"/>
        <w:jc w:val="center"/>
        <w:rPr>
          <w:rFonts w:hint="eastAsia" w:ascii="宋体" w:hAnsi="宋体"/>
          <w:b/>
          <w:sz w:val="28"/>
          <w:szCs w:val="28"/>
        </w:rPr>
      </w:pPr>
    </w:p>
    <w:p w14:paraId="2A25BAF7">
      <w:pPr>
        <w:snapToGrid w:val="0"/>
        <w:spacing w:before="50" w:after="120" w:afterLines="50" w:line="360" w:lineRule="auto"/>
        <w:jc w:val="center"/>
        <w:rPr>
          <w:rFonts w:hint="eastAsia" w:ascii="宋体" w:hAnsi="宋体"/>
          <w:b/>
          <w:sz w:val="32"/>
          <w:szCs w:val="32"/>
        </w:rPr>
      </w:pPr>
      <w:r>
        <w:rPr>
          <w:rFonts w:hint="eastAsia" w:ascii="宋体" w:hAnsi="宋体"/>
          <w:b/>
          <w:sz w:val="32"/>
          <w:szCs w:val="32"/>
        </w:rPr>
        <w:t>投标人直接控股股东信息表</w:t>
      </w:r>
    </w:p>
    <w:tbl>
      <w:tblPr>
        <w:tblStyle w:val="50"/>
        <w:tblW w:w="0" w:type="auto"/>
        <w:tblInd w:w="0" w:type="dxa"/>
        <w:shd w:val="clear" w:color="auto" w:fill="FBFBFB"/>
        <w:tblLayout w:type="fixed"/>
        <w:tblCellMar>
          <w:top w:w="0" w:type="dxa"/>
          <w:left w:w="0" w:type="dxa"/>
          <w:bottom w:w="0" w:type="dxa"/>
          <w:right w:w="0" w:type="dxa"/>
        </w:tblCellMar>
      </w:tblPr>
      <w:tblGrid>
        <w:gridCol w:w="828"/>
        <w:gridCol w:w="2269"/>
        <w:gridCol w:w="1239"/>
        <w:gridCol w:w="3722"/>
        <w:gridCol w:w="1418"/>
      </w:tblGrid>
      <w:tr w14:paraId="3B6331BB">
        <w:tblPrEx>
          <w:shd w:val="clear" w:color="auto" w:fill="FBFBFB"/>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37F5530A">
            <w:pPr>
              <w:spacing w:line="360" w:lineRule="auto"/>
              <w:jc w:val="center"/>
              <w:rPr>
                <w:rFonts w:ascii="宋体" w:hAnsi="宋体" w:cs="宋体"/>
                <w:b/>
                <w:bCs/>
                <w:kern w:val="0"/>
                <w:sz w:val="24"/>
              </w:rPr>
            </w:pPr>
            <w:r>
              <w:rPr>
                <w:rFonts w:hint="eastAsia" w:ascii="宋体" w:hAnsi="宋体" w:cs="宋体"/>
                <w:b/>
                <w:bCs/>
                <w:kern w:val="0"/>
                <w:sz w:val="24"/>
              </w:rPr>
              <w:t>序号</w:t>
            </w:r>
          </w:p>
        </w:tc>
        <w:tc>
          <w:tcPr>
            <w:tcW w:w="226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28D2D7E3">
            <w:pPr>
              <w:spacing w:line="360" w:lineRule="auto"/>
              <w:jc w:val="center"/>
              <w:rPr>
                <w:rFonts w:ascii="宋体" w:hAnsi="宋体" w:cs="宋体"/>
                <w:b/>
                <w:bCs/>
                <w:kern w:val="0"/>
                <w:sz w:val="24"/>
              </w:rPr>
            </w:pPr>
            <w:r>
              <w:rPr>
                <w:rFonts w:hint="eastAsia" w:ascii="宋体" w:hAnsi="宋体" w:cs="宋体"/>
                <w:b/>
                <w:bCs/>
                <w:kern w:val="0"/>
                <w:sz w:val="24"/>
              </w:rPr>
              <w:t>直接控股股东名称</w:t>
            </w:r>
          </w:p>
        </w:tc>
        <w:tc>
          <w:tcPr>
            <w:tcW w:w="123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463418C3">
            <w:pPr>
              <w:spacing w:line="360" w:lineRule="auto"/>
              <w:jc w:val="center"/>
              <w:rPr>
                <w:rFonts w:ascii="宋体" w:hAnsi="宋体" w:cs="宋体"/>
                <w:b/>
                <w:bCs/>
                <w:kern w:val="0"/>
                <w:sz w:val="24"/>
              </w:rPr>
            </w:pPr>
            <w:r>
              <w:rPr>
                <w:rFonts w:hint="eastAsia" w:ascii="宋体" w:hAnsi="宋体" w:cs="宋体"/>
                <w:b/>
                <w:bCs/>
                <w:kern w:val="0"/>
                <w:sz w:val="24"/>
              </w:rPr>
              <w:t>出资比例（%）</w:t>
            </w:r>
          </w:p>
        </w:tc>
        <w:tc>
          <w:tcPr>
            <w:tcW w:w="3722"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233319C4">
            <w:pPr>
              <w:spacing w:line="360" w:lineRule="auto"/>
              <w:jc w:val="center"/>
              <w:rPr>
                <w:rFonts w:ascii="宋体" w:hAnsi="宋体" w:cs="宋体"/>
                <w:b/>
                <w:bCs/>
                <w:kern w:val="0"/>
                <w:sz w:val="24"/>
              </w:rPr>
            </w:pPr>
            <w:r>
              <w:rPr>
                <w:rFonts w:hint="eastAsia" w:ascii="宋体" w:hAnsi="宋体" w:cs="宋体"/>
                <w:b/>
                <w:bCs/>
                <w:kern w:val="0"/>
                <w:sz w:val="24"/>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4980432A">
            <w:pPr>
              <w:spacing w:line="360" w:lineRule="auto"/>
              <w:jc w:val="center"/>
              <w:rPr>
                <w:rFonts w:ascii="宋体" w:hAnsi="宋体" w:cs="宋体"/>
                <w:b/>
                <w:bCs/>
                <w:kern w:val="0"/>
                <w:sz w:val="24"/>
              </w:rPr>
            </w:pPr>
            <w:r>
              <w:rPr>
                <w:rFonts w:hint="eastAsia" w:ascii="宋体" w:hAnsi="宋体" w:cs="宋体"/>
                <w:b/>
                <w:bCs/>
                <w:kern w:val="0"/>
                <w:sz w:val="24"/>
              </w:rPr>
              <w:t>备注</w:t>
            </w:r>
          </w:p>
        </w:tc>
      </w:tr>
      <w:tr w14:paraId="33D3F5F1">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CE6EA62">
            <w:pPr>
              <w:spacing w:line="360" w:lineRule="auto"/>
              <w:jc w:val="center"/>
              <w:rPr>
                <w:rFonts w:ascii="宋体" w:hAnsi="宋体" w:cs="宋体"/>
                <w:kern w:val="0"/>
                <w:sz w:val="24"/>
              </w:rPr>
            </w:pPr>
            <w:r>
              <w:rPr>
                <w:rFonts w:hint="eastAsia" w:ascii="宋体" w:hAnsi="宋体" w:cs="宋体"/>
                <w:kern w:val="0"/>
                <w:sz w:val="24"/>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1A76E33">
            <w:pPr>
              <w:spacing w:line="360" w:lineRule="auto"/>
              <w:jc w:val="center"/>
              <w:rPr>
                <w:rFonts w:ascii="宋体" w:hAnsi="宋体" w:cs="宋体"/>
                <w:kern w:val="0"/>
                <w:sz w:val="24"/>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A380526">
            <w:pPr>
              <w:spacing w:line="360" w:lineRule="auto"/>
              <w:jc w:val="center"/>
              <w:rPr>
                <w:rFonts w:ascii="宋体" w:hAnsi="宋体" w:cs="宋体"/>
                <w:kern w:val="0"/>
                <w:sz w:val="24"/>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ECCC24E">
            <w:pPr>
              <w:spacing w:line="360" w:lineRule="auto"/>
              <w:jc w:val="center"/>
              <w:rPr>
                <w:rFonts w:ascii="宋体" w:hAnsi="宋体" w:cs="宋体"/>
                <w:kern w:val="0"/>
                <w:sz w:val="24"/>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406F76F">
            <w:pPr>
              <w:spacing w:line="360" w:lineRule="auto"/>
              <w:jc w:val="center"/>
              <w:rPr>
                <w:rFonts w:ascii="宋体" w:hAnsi="宋体" w:cs="宋体"/>
                <w:kern w:val="0"/>
                <w:sz w:val="24"/>
              </w:rPr>
            </w:pPr>
          </w:p>
        </w:tc>
      </w:tr>
      <w:tr w14:paraId="68C910CD">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E8BCC3A">
            <w:pPr>
              <w:spacing w:line="360" w:lineRule="auto"/>
              <w:jc w:val="center"/>
              <w:rPr>
                <w:rFonts w:ascii="宋体" w:hAnsi="宋体" w:cs="宋体"/>
                <w:kern w:val="0"/>
                <w:sz w:val="24"/>
              </w:rPr>
            </w:pPr>
            <w:r>
              <w:rPr>
                <w:rFonts w:hint="eastAsia" w:ascii="宋体" w:hAnsi="宋体" w:cs="宋体"/>
                <w:kern w:val="0"/>
                <w:sz w:val="24"/>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3AE3AB8">
            <w:pPr>
              <w:spacing w:line="360" w:lineRule="auto"/>
              <w:jc w:val="center"/>
              <w:rPr>
                <w:rFonts w:ascii="宋体" w:hAnsi="宋体" w:cs="宋体"/>
                <w:kern w:val="0"/>
                <w:sz w:val="24"/>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F1CD532">
            <w:pPr>
              <w:spacing w:line="360" w:lineRule="auto"/>
              <w:jc w:val="center"/>
              <w:rPr>
                <w:rFonts w:ascii="宋体" w:hAnsi="宋体" w:cs="宋体"/>
                <w:kern w:val="0"/>
                <w:sz w:val="24"/>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A82A108">
            <w:pPr>
              <w:spacing w:line="360" w:lineRule="auto"/>
              <w:jc w:val="center"/>
              <w:rPr>
                <w:rFonts w:ascii="宋体" w:hAnsi="宋体" w:cs="宋体"/>
                <w:kern w:val="0"/>
                <w:sz w:val="24"/>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E331A80">
            <w:pPr>
              <w:spacing w:line="360" w:lineRule="auto"/>
              <w:jc w:val="center"/>
              <w:rPr>
                <w:rFonts w:ascii="宋体" w:hAnsi="宋体" w:cs="宋体"/>
                <w:kern w:val="0"/>
                <w:sz w:val="24"/>
              </w:rPr>
            </w:pPr>
          </w:p>
        </w:tc>
      </w:tr>
      <w:tr w14:paraId="6C7CB7CA">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8DFA8FD">
            <w:pPr>
              <w:spacing w:line="360" w:lineRule="auto"/>
              <w:jc w:val="center"/>
              <w:rPr>
                <w:rFonts w:ascii="宋体" w:hAnsi="宋体" w:cs="宋体"/>
                <w:kern w:val="0"/>
                <w:sz w:val="24"/>
              </w:rPr>
            </w:pPr>
            <w:r>
              <w:rPr>
                <w:rFonts w:hint="eastAsia" w:ascii="宋体" w:hAnsi="宋体" w:cs="宋体"/>
                <w:kern w:val="0"/>
                <w:sz w:val="24"/>
              </w:rPr>
              <w:t>3</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795F7BC">
            <w:pPr>
              <w:spacing w:line="360" w:lineRule="auto"/>
              <w:jc w:val="center"/>
              <w:rPr>
                <w:rFonts w:ascii="宋体" w:hAnsi="宋体" w:cs="宋体"/>
                <w:kern w:val="0"/>
                <w:sz w:val="24"/>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EECE000">
            <w:pPr>
              <w:spacing w:line="360" w:lineRule="auto"/>
              <w:jc w:val="center"/>
              <w:rPr>
                <w:rFonts w:ascii="宋体" w:hAnsi="宋体" w:cs="宋体"/>
                <w:kern w:val="0"/>
                <w:sz w:val="24"/>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43FDF1B">
            <w:pPr>
              <w:spacing w:line="360" w:lineRule="auto"/>
              <w:jc w:val="center"/>
              <w:rPr>
                <w:rFonts w:ascii="宋体" w:hAnsi="宋体" w:cs="宋体"/>
                <w:kern w:val="0"/>
                <w:sz w:val="24"/>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2152941">
            <w:pPr>
              <w:spacing w:line="360" w:lineRule="auto"/>
              <w:jc w:val="center"/>
              <w:rPr>
                <w:rFonts w:ascii="宋体" w:hAnsi="宋体" w:cs="宋体"/>
                <w:kern w:val="0"/>
                <w:sz w:val="24"/>
              </w:rPr>
            </w:pPr>
          </w:p>
        </w:tc>
      </w:tr>
      <w:tr w14:paraId="0A768BC2">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81EF3E4">
            <w:pPr>
              <w:spacing w:line="360" w:lineRule="auto"/>
              <w:jc w:val="center"/>
              <w:rPr>
                <w:rFonts w:ascii="宋体" w:hAnsi="宋体" w:cs="宋体"/>
                <w:kern w:val="0"/>
                <w:sz w:val="24"/>
              </w:rPr>
            </w:pPr>
            <w:r>
              <w:rPr>
                <w:rFonts w:hint="eastAsia" w:ascii="宋体" w:hAnsi="宋体" w:cs="宋体"/>
                <w:kern w:val="0"/>
                <w:sz w:val="24"/>
              </w:rPr>
              <w:t>……</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3CF9559">
            <w:pPr>
              <w:spacing w:line="360" w:lineRule="auto"/>
              <w:jc w:val="center"/>
              <w:rPr>
                <w:rFonts w:ascii="宋体" w:hAnsi="宋体" w:cs="宋体"/>
                <w:kern w:val="0"/>
                <w:sz w:val="24"/>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581520A">
            <w:pPr>
              <w:spacing w:line="360" w:lineRule="auto"/>
              <w:jc w:val="center"/>
              <w:rPr>
                <w:rFonts w:ascii="宋体" w:hAnsi="宋体" w:cs="宋体"/>
                <w:kern w:val="0"/>
                <w:sz w:val="24"/>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88BE3EC">
            <w:pPr>
              <w:spacing w:line="360" w:lineRule="auto"/>
              <w:jc w:val="center"/>
              <w:rPr>
                <w:rFonts w:ascii="宋体" w:hAnsi="宋体" w:cs="宋体"/>
                <w:kern w:val="0"/>
                <w:sz w:val="24"/>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C8B3FDB">
            <w:pPr>
              <w:spacing w:line="360" w:lineRule="auto"/>
              <w:jc w:val="center"/>
              <w:rPr>
                <w:rFonts w:ascii="宋体" w:hAnsi="宋体" w:cs="宋体"/>
                <w:kern w:val="0"/>
                <w:sz w:val="24"/>
              </w:rPr>
            </w:pPr>
          </w:p>
        </w:tc>
      </w:tr>
    </w:tbl>
    <w:p w14:paraId="0D169B8A">
      <w:pPr>
        <w:snapToGrid w:val="0"/>
        <w:spacing w:line="360" w:lineRule="auto"/>
        <w:jc w:val="left"/>
        <w:rPr>
          <w:rFonts w:hint="eastAsia" w:ascii="宋体" w:hAnsi="宋体"/>
          <w:sz w:val="24"/>
        </w:rPr>
      </w:pPr>
      <w:r>
        <w:rPr>
          <w:rFonts w:hint="eastAsia" w:ascii="宋体" w:hAnsi="宋体"/>
          <w:sz w:val="24"/>
        </w:rPr>
        <w:t>注：</w:t>
      </w:r>
    </w:p>
    <w:p w14:paraId="6C3182D3">
      <w:pPr>
        <w:snapToGrid w:val="0"/>
        <w:spacing w:line="360" w:lineRule="auto"/>
        <w:jc w:val="left"/>
        <w:rPr>
          <w:rFonts w:hint="eastAsia" w:ascii="宋体" w:hAnsi="宋体"/>
          <w:sz w:val="24"/>
        </w:rPr>
      </w:pPr>
      <w:r>
        <w:rPr>
          <w:rFonts w:hint="eastAsia" w:ascii="宋体" w:hAnsi="宋体"/>
          <w:sz w:val="24"/>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的决议产生重大影响的股东。</w:t>
      </w:r>
    </w:p>
    <w:p w14:paraId="7658E50F">
      <w:pPr>
        <w:snapToGrid w:val="0"/>
        <w:spacing w:line="360" w:lineRule="auto"/>
        <w:jc w:val="left"/>
        <w:rPr>
          <w:rFonts w:hint="eastAsia" w:ascii="宋体" w:hAnsi="宋体"/>
          <w:sz w:val="24"/>
        </w:rPr>
      </w:pPr>
      <w:r>
        <w:rPr>
          <w:rFonts w:hint="eastAsia" w:ascii="宋体" w:hAnsi="宋体"/>
          <w:sz w:val="24"/>
        </w:rPr>
        <w:t>2.本表所指的控股关系仅限于直接控股关系，不包括间接的控股关系。公司实际控制人与公司之间的关系不属于本表所指的直接控股关系。</w:t>
      </w:r>
    </w:p>
    <w:p w14:paraId="1BB64306">
      <w:pPr>
        <w:snapToGrid w:val="0"/>
        <w:spacing w:line="360" w:lineRule="auto"/>
        <w:jc w:val="left"/>
        <w:rPr>
          <w:rFonts w:hint="eastAsia" w:ascii="宋体" w:hAnsi="宋体"/>
          <w:sz w:val="24"/>
        </w:rPr>
      </w:pPr>
      <w:r>
        <w:rPr>
          <w:rFonts w:hint="eastAsia" w:ascii="宋体" w:hAnsi="宋体"/>
          <w:sz w:val="24"/>
        </w:rPr>
        <w:t>3.供应商不存在直接控股股东的，则在“</w:t>
      </w:r>
      <w:r>
        <w:rPr>
          <w:rFonts w:hint="eastAsia" w:ascii="宋体" w:hAnsi="宋体" w:cs="宋体"/>
          <w:b/>
          <w:bCs/>
          <w:kern w:val="0"/>
          <w:sz w:val="24"/>
        </w:rPr>
        <w:t>直接控股股东名称</w:t>
      </w:r>
      <w:r>
        <w:rPr>
          <w:rFonts w:hint="eastAsia" w:ascii="宋体" w:hAnsi="宋体"/>
          <w:sz w:val="24"/>
        </w:rPr>
        <w:t>”中填“无”。</w:t>
      </w:r>
    </w:p>
    <w:p w14:paraId="4BBF9D9E">
      <w:pPr>
        <w:snapToGrid w:val="0"/>
        <w:spacing w:line="360" w:lineRule="auto"/>
        <w:jc w:val="left"/>
        <w:rPr>
          <w:rFonts w:hint="eastAsia" w:ascii="宋体" w:hAnsi="宋体"/>
          <w:sz w:val="24"/>
        </w:rPr>
      </w:pPr>
    </w:p>
    <w:p w14:paraId="4DB00F18">
      <w:pPr>
        <w:snapToGrid w:val="0"/>
        <w:spacing w:line="360" w:lineRule="auto"/>
        <w:jc w:val="left"/>
        <w:rPr>
          <w:rFonts w:hint="eastAsia" w:ascii="宋体" w:hAnsi="宋体"/>
          <w:sz w:val="24"/>
        </w:rPr>
      </w:pPr>
    </w:p>
    <w:p w14:paraId="4B2F42C1">
      <w:pPr>
        <w:snapToGrid w:val="0"/>
        <w:spacing w:line="360" w:lineRule="auto"/>
        <w:jc w:val="left"/>
        <w:rPr>
          <w:rFonts w:hint="eastAsia" w:ascii="宋体" w:hAnsi="宋体"/>
          <w:sz w:val="24"/>
        </w:rPr>
      </w:pPr>
    </w:p>
    <w:p w14:paraId="4CCFB529">
      <w:pPr>
        <w:snapToGrid w:val="0"/>
        <w:spacing w:line="360" w:lineRule="auto"/>
        <w:ind w:left="-2" w:leftChars="-1" w:right="-817" w:rightChars="-389"/>
        <w:rPr>
          <w:rFonts w:hint="eastAsia" w:ascii="宋体" w:hAnsi="宋体"/>
          <w:sz w:val="24"/>
        </w:rPr>
      </w:pPr>
      <w:r>
        <w:rPr>
          <w:rFonts w:hint="eastAsia" w:ascii="宋体" w:hAnsi="宋体"/>
          <w:sz w:val="24"/>
        </w:rPr>
        <w:t xml:space="preserve">             法定代表人或者委托代理人（签字或者电子签名）：</w:t>
      </w:r>
    </w:p>
    <w:p w14:paraId="0A775A3C">
      <w:pPr>
        <w:snapToGrid w:val="0"/>
        <w:spacing w:line="360" w:lineRule="auto"/>
        <w:ind w:left="-3" w:leftChars="-15" w:right="-817" w:rightChars="-389" w:hanging="28" w:hangingChars="12"/>
        <w:rPr>
          <w:rFonts w:hint="eastAsia" w:ascii="宋体" w:hAnsi="宋体"/>
          <w:sz w:val="24"/>
        </w:rPr>
      </w:pPr>
      <w:r>
        <w:rPr>
          <w:rFonts w:hint="eastAsia" w:ascii="宋体" w:hAnsi="宋体"/>
          <w:sz w:val="24"/>
        </w:rPr>
        <w:t xml:space="preserve">                                    投标人名称（电子签章）：</w:t>
      </w:r>
    </w:p>
    <w:p w14:paraId="43CB1621">
      <w:pPr>
        <w:snapToGrid w:val="0"/>
        <w:spacing w:line="360" w:lineRule="auto"/>
        <w:jc w:val="left"/>
        <w:rPr>
          <w:rFonts w:hint="eastAsia" w:ascii="宋体" w:hAnsi="宋体"/>
          <w:szCs w:val="21"/>
        </w:rPr>
      </w:pPr>
      <w:r>
        <w:rPr>
          <w:rFonts w:hint="eastAsia" w:ascii="宋体" w:hAnsi="宋体"/>
          <w:sz w:val="24"/>
        </w:rPr>
        <w:t xml:space="preserve">                                    日期：    年   月   日</w:t>
      </w:r>
    </w:p>
    <w:p w14:paraId="78F8E8EB">
      <w:pPr>
        <w:snapToGrid w:val="0"/>
        <w:jc w:val="center"/>
        <w:rPr>
          <w:rFonts w:hint="eastAsia" w:ascii="宋体" w:hAnsi="宋体"/>
          <w:b/>
          <w:sz w:val="28"/>
          <w:szCs w:val="28"/>
        </w:rPr>
      </w:pPr>
    </w:p>
    <w:p w14:paraId="496827B0">
      <w:pPr>
        <w:snapToGrid w:val="0"/>
        <w:spacing w:line="360" w:lineRule="auto"/>
        <w:jc w:val="left"/>
        <w:rPr>
          <w:rFonts w:hint="eastAsia" w:ascii="宋体" w:hAnsi="宋体"/>
          <w:b/>
          <w:sz w:val="32"/>
          <w:szCs w:val="32"/>
        </w:rPr>
      </w:pPr>
      <w:r>
        <w:rPr>
          <w:rFonts w:ascii="宋体" w:hAnsi="宋体"/>
          <w:b/>
          <w:sz w:val="32"/>
          <w:szCs w:val="32"/>
        </w:rPr>
        <w:br w:type="page"/>
      </w:r>
      <w:r>
        <w:rPr>
          <w:rFonts w:hint="eastAsia" w:ascii="宋体" w:hAnsi="宋体"/>
          <w:b/>
          <w:sz w:val="24"/>
        </w:rPr>
        <w:t>4.</w:t>
      </w:r>
      <w:r>
        <w:rPr>
          <w:rFonts w:hint="eastAsia"/>
        </w:rPr>
        <w:t xml:space="preserve"> </w:t>
      </w:r>
      <w:r>
        <w:rPr>
          <w:rFonts w:hint="eastAsia" w:ascii="宋体" w:hAnsi="宋体"/>
          <w:b/>
          <w:sz w:val="28"/>
          <w:szCs w:val="28"/>
        </w:rPr>
        <w:t>投标人直接管理关系信息表</w:t>
      </w:r>
    </w:p>
    <w:p w14:paraId="628292F1">
      <w:pPr>
        <w:snapToGrid w:val="0"/>
        <w:spacing w:line="360" w:lineRule="auto"/>
        <w:jc w:val="center"/>
        <w:rPr>
          <w:rFonts w:hint="eastAsia" w:ascii="宋体" w:hAnsi="宋体"/>
          <w:sz w:val="32"/>
          <w:szCs w:val="32"/>
        </w:rPr>
      </w:pPr>
      <w:r>
        <w:rPr>
          <w:rFonts w:hint="eastAsia" w:ascii="宋体" w:hAnsi="宋体"/>
          <w:b/>
          <w:sz w:val="32"/>
          <w:szCs w:val="32"/>
        </w:rPr>
        <w:t>投标人直接管理关系信息表</w:t>
      </w:r>
    </w:p>
    <w:tbl>
      <w:tblPr>
        <w:tblStyle w:val="50"/>
        <w:tblW w:w="0" w:type="auto"/>
        <w:tblInd w:w="0" w:type="dxa"/>
        <w:shd w:val="clear" w:color="auto" w:fill="FBFBFB"/>
        <w:tblLayout w:type="fixed"/>
        <w:tblCellMar>
          <w:top w:w="0" w:type="dxa"/>
          <w:left w:w="0" w:type="dxa"/>
          <w:bottom w:w="0" w:type="dxa"/>
          <w:right w:w="0" w:type="dxa"/>
        </w:tblCellMar>
      </w:tblPr>
      <w:tblGrid>
        <w:gridCol w:w="1005"/>
        <w:gridCol w:w="2659"/>
        <w:gridCol w:w="3924"/>
        <w:gridCol w:w="2064"/>
      </w:tblGrid>
      <w:tr w14:paraId="6E022A8D">
        <w:tblPrEx>
          <w:shd w:val="clear" w:color="auto" w:fill="FBFBFB"/>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1739B1BF">
            <w:pPr>
              <w:spacing w:line="360" w:lineRule="auto"/>
              <w:jc w:val="center"/>
              <w:rPr>
                <w:rFonts w:ascii="宋体" w:hAnsi="宋体" w:cs="宋体"/>
                <w:b/>
                <w:bCs/>
                <w:kern w:val="0"/>
                <w:sz w:val="24"/>
              </w:rPr>
            </w:pPr>
            <w:r>
              <w:rPr>
                <w:rFonts w:hint="eastAsia" w:ascii="宋体" w:hAnsi="宋体" w:cs="宋体"/>
                <w:b/>
                <w:bCs/>
                <w:kern w:val="0"/>
                <w:sz w:val="24"/>
              </w:rPr>
              <w:t>序号</w:t>
            </w:r>
          </w:p>
        </w:tc>
        <w:tc>
          <w:tcPr>
            <w:tcW w:w="265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57DC5F10">
            <w:pPr>
              <w:spacing w:line="360" w:lineRule="auto"/>
              <w:jc w:val="center"/>
              <w:rPr>
                <w:rFonts w:ascii="宋体" w:hAnsi="宋体" w:cs="宋体"/>
                <w:b/>
                <w:bCs/>
                <w:kern w:val="0"/>
                <w:sz w:val="24"/>
              </w:rPr>
            </w:pPr>
            <w:r>
              <w:rPr>
                <w:rFonts w:hint="eastAsia" w:ascii="宋体" w:hAnsi="宋体" w:cs="宋体"/>
                <w:b/>
                <w:bCs/>
                <w:kern w:val="0"/>
                <w:sz w:val="24"/>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0C4B3B6C">
            <w:pPr>
              <w:spacing w:line="360" w:lineRule="auto"/>
              <w:jc w:val="center"/>
              <w:rPr>
                <w:rFonts w:ascii="宋体" w:hAnsi="宋体" w:cs="宋体"/>
                <w:b/>
                <w:bCs/>
                <w:kern w:val="0"/>
                <w:sz w:val="24"/>
              </w:rPr>
            </w:pPr>
            <w:r>
              <w:rPr>
                <w:rFonts w:hint="eastAsia" w:ascii="宋体" w:hAnsi="宋体" w:cs="宋体"/>
                <w:b/>
                <w:bCs/>
                <w:kern w:val="0"/>
                <w:sz w:val="24"/>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4FFFF956">
            <w:pPr>
              <w:spacing w:line="360" w:lineRule="auto"/>
              <w:jc w:val="center"/>
              <w:rPr>
                <w:rFonts w:ascii="宋体" w:hAnsi="宋体" w:cs="宋体"/>
                <w:b/>
                <w:bCs/>
                <w:kern w:val="0"/>
                <w:sz w:val="24"/>
              </w:rPr>
            </w:pPr>
            <w:r>
              <w:rPr>
                <w:rFonts w:hint="eastAsia" w:ascii="宋体" w:hAnsi="宋体" w:cs="宋体"/>
                <w:b/>
                <w:bCs/>
                <w:kern w:val="0"/>
                <w:sz w:val="24"/>
              </w:rPr>
              <w:t>备注</w:t>
            </w:r>
          </w:p>
        </w:tc>
      </w:tr>
      <w:tr w14:paraId="01E136E1">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4D69453">
            <w:pPr>
              <w:spacing w:line="360" w:lineRule="auto"/>
              <w:jc w:val="center"/>
              <w:rPr>
                <w:rFonts w:ascii="宋体" w:hAnsi="宋体" w:cs="宋体"/>
                <w:kern w:val="0"/>
                <w:sz w:val="24"/>
              </w:rPr>
            </w:pPr>
            <w:r>
              <w:rPr>
                <w:rFonts w:hint="eastAsia" w:ascii="宋体" w:hAnsi="宋体" w:cs="宋体"/>
                <w:kern w:val="0"/>
                <w:sz w:val="24"/>
              </w:rPr>
              <w:t>1</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2ED18BB">
            <w:pPr>
              <w:spacing w:line="360" w:lineRule="auto"/>
              <w:jc w:val="center"/>
              <w:rPr>
                <w:rFonts w:ascii="宋体" w:hAnsi="宋体" w:cs="宋体"/>
                <w:kern w:val="0"/>
                <w:sz w:val="24"/>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7BC9FEA">
            <w:pPr>
              <w:spacing w:line="360" w:lineRule="auto"/>
              <w:jc w:val="center"/>
              <w:rPr>
                <w:rFonts w:ascii="宋体" w:hAnsi="宋体" w:cs="宋体"/>
                <w:kern w:val="0"/>
                <w:sz w:val="24"/>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00C1E7F">
            <w:pPr>
              <w:spacing w:line="360" w:lineRule="auto"/>
              <w:jc w:val="center"/>
              <w:rPr>
                <w:rFonts w:ascii="宋体" w:hAnsi="宋体" w:cs="宋体"/>
                <w:kern w:val="0"/>
                <w:sz w:val="24"/>
              </w:rPr>
            </w:pPr>
          </w:p>
        </w:tc>
      </w:tr>
      <w:tr w14:paraId="39465B6F">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878C314">
            <w:pPr>
              <w:spacing w:line="360" w:lineRule="auto"/>
              <w:jc w:val="center"/>
              <w:rPr>
                <w:rFonts w:ascii="宋体" w:hAnsi="宋体" w:cs="宋体"/>
                <w:kern w:val="0"/>
                <w:sz w:val="24"/>
              </w:rPr>
            </w:pPr>
            <w:r>
              <w:rPr>
                <w:rFonts w:hint="eastAsia" w:ascii="宋体" w:hAnsi="宋体" w:cs="宋体"/>
                <w:kern w:val="0"/>
                <w:sz w:val="24"/>
              </w:rPr>
              <w:t>2</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2AC632C">
            <w:pPr>
              <w:spacing w:line="360" w:lineRule="auto"/>
              <w:jc w:val="center"/>
              <w:rPr>
                <w:rFonts w:ascii="宋体" w:hAnsi="宋体" w:cs="宋体"/>
                <w:kern w:val="0"/>
                <w:sz w:val="24"/>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0CB3074">
            <w:pPr>
              <w:spacing w:line="360" w:lineRule="auto"/>
              <w:jc w:val="center"/>
              <w:rPr>
                <w:rFonts w:ascii="宋体" w:hAnsi="宋体" w:cs="宋体"/>
                <w:kern w:val="0"/>
                <w:sz w:val="24"/>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EDBB1E2">
            <w:pPr>
              <w:spacing w:line="360" w:lineRule="auto"/>
              <w:jc w:val="center"/>
              <w:rPr>
                <w:rFonts w:ascii="宋体" w:hAnsi="宋体" w:cs="宋体"/>
                <w:kern w:val="0"/>
                <w:sz w:val="24"/>
              </w:rPr>
            </w:pPr>
          </w:p>
        </w:tc>
      </w:tr>
      <w:tr w14:paraId="48213BA9">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486A6F9">
            <w:pPr>
              <w:spacing w:line="360" w:lineRule="auto"/>
              <w:jc w:val="center"/>
              <w:rPr>
                <w:rFonts w:ascii="宋体" w:hAnsi="宋体" w:cs="宋体"/>
                <w:kern w:val="0"/>
                <w:sz w:val="24"/>
              </w:rPr>
            </w:pPr>
            <w:r>
              <w:rPr>
                <w:rFonts w:hint="eastAsia" w:ascii="宋体" w:hAnsi="宋体" w:cs="宋体"/>
                <w:kern w:val="0"/>
                <w:sz w:val="24"/>
              </w:rPr>
              <w:t>3</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38FA3D1">
            <w:pPr>
              <w:spacing w:line="360" w:lineRule="auto"/>
              <w:jc w:val="center"/>
              <w:rPr>
                <w:rFonts w:ascii="宋体" w:hAnsi="宋体" w:cs="宋体"/>
                <w:kern w:val="0"/>
                <w:sz w:val="24"/>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BE81C5B">
            <w:pPr>
              <w:spacing w:line="360" w:lineRule="auto"/>
              <w:jc w:val="center"/>
              <w:rPr>
                <w:rFonts w:ascii="宋体" w:hAnsi="宋体" w:cs="宋体"/>
                <w:kern w:val="0"/>
                <w:sz w:val="24"/>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79B1DD3">
            <w:pPr>
              <w:spacing w:line="360" w:lineRule="auto"/>
              <w:jc w:val="center"/>
              <w:rPr>
                <w:rFonts w:ascii="宋体" w:hAnsi="宋体" w:cs="宋体"/>
                <w:kern w:val="0"/>
                <w:sz w:val="24"/>
              </w:rPr>
            </w:pPr>
          </w:p>
        </w:tc>
      </w:tr>
      <w:tr w14:paraId="23BC3BD3">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E73948D">
            <w:pPr>
              <w:spacing w:line="360" w:lineRule="auto"/>
              <w:jc w:val="center"/>
              <w:rPr>
                <w:rFonts w:ascii="宋体" w:hAnsi="宋体" w:cs="宋体"/>
                <w:kern w:val="0"/>
                <w:sz w:val="24"/>
              </w:rPr>
            </w:pPr>
            <w:r>
              <w:rPr>
                <w:rFonts w:hint="eastAsia" w:ascii="宋体" w:hAnsi="宋体" w:cs="宋体"/>
                <w:kern w:val="0"/>
                <w:sz w:val="24"/>
              </w:rPr>
              <w:t>……</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E2C4873">
            <w:pPr>
              <w:spacing w:line="360" w:lineRule="auto"/>
              <w:jc w:val="center"/>
              <w:rPr>
                <w:rFonts w:ascii="宋体" w:hAnsi="宋体" w:cs="宋体"/>
                <w:kern w:val="0"/>
                <w:sz w:val="24"/>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7965450">
            <w:pPr>
              <w:spacing w:line="360" w:lineRule="auto"/>
              <w:jc w:val="center"/>
              <w:rPr>
                <w:rFonts w:ascii="宋体" w:hAnsi="宋体" w:cs="宋体"/>
                <w:kern w:val="0"/>
                <w:sz w:val="24"/>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E67F6B8">
            <w:pPr>
              <w:spacing w:line="360" w:lineRule="auto"/>
              <w:jc w:val="center"/>
              <w:rPr>
                <w:rFonts w:ascii="宋体" w:hAnsi="宋体" w:cs="宋体"/>
                <w:kern w:val="0"/>
                <w:sz w:val="24"/>
              </w:rPr>
            </w:pPr>
          </w:p>
        </w:tc>
      </w:tr>
    </w:tbl>
    <w:p w14:paraId="457ECF63">
      <w:pPr>
        <w:snapToGrid w:val="0"/>
        <w:spacing w:line="360" w:lineRule="auto"/>
        <w:jc w:val="left"/>
        <w:rPr>
          <w:rFonts w:hint="eastAsia" w:ascii="宋体" w:hAnsi="宋体"/>
          <w:sz w:val="24"/>
        </w:rPr>
      </w:pPr>
      <w:r>
        <w:rPr>
          <w:rFonts w:hint="eastAsia" w:ascii="宋体" w:hAnsi="宋体"/>
          <w:sz w:val="24"/>
        </w:rPr>
        <w:t>注：</w:t>
      </w:r>
    </w:p>
    <w:p w14:paraId="16200576">
      <w:pPr>
        <w:snapToGrid w:val="0"/>
        <w:spacing w:line="360" w:lineRule="auto"/>
        <w:ind w:firstLine="480" w:firstLineChars="200"/>
        <w:jc w:val="left"/>
        <w:rPr>
          <w:rFonts w:hint="eastAsia" w:ascii="宋体" w:hAnsi="宋体"/>
          <w:sz w:val="24"/>
        </w:rPr>
      </w:pPr>
      <w:r>
        <w:rPr>
          <w:rFonts w:hint="eastAsia" w:ascii="宋体" w:hAnsi="宋体"/>
          <w:sz w:val="24"/>
        </w:rPr>
        <w:t>1.管理关系：是指不具有出资持股关系的其他单位之间存在的管理与被管理关系，如一些上下级关系的事业单位和团体组织。</w:t>
      </w:r>
    </w:p>
    <w:p w14:paraId="016AD6C2">
      <w:pPr>
        <w:snapToGrid w:val="0"/>
        <w:spacing w:line="360" w:lineRule="auto"/>
        <w:ind w:firstLine="480" w:firstLineChars="200"/>
        <w:jc w:val="left"/>
        <w:rPr>
          <w:rFonts w:hint="eastAsia" w:ascii="宋体" w:hAnsi="宋体"/>
          <w:sz w:val="24"/>
        </w:rPr>
      </w:pPr>
      <w:r>
        <w:rPr>
          <w:rFonts w:hint="eastAsia" w:ascii="宋体" w:hAnsi="宋体"/>
          <w:sz w:val="24"/>
        </w:rPr>
        <w:t>2.</w:t>
      </w:r>
      <w:r>
        <w:rPr>
          <w:rFonts w:hint="eastAsia" w:ascii="宋体" w:hAnsi="宋体"/>
          <w:spacing w:val="-6"/>
          <w:sz w:val="24"/>
        </w:rPr>
        <w:t>本表所指的管理关系仅限于直接管理关系，不包括间接的管理关系。</w:t>
      </w:r>
    </w:p>
    <w:p w14:paraId="62E5C1D1">
      <w:pPr>
        <w:snapToGrid w:val="0"/>
        <w:spacing w:line="360" w:lineRule="auto"/>
        <w:ind w:firstLine="480" w:firstLineChars="200"/>
        <w:jc w:val="left"/>
        <w:rPr>
          <w:rFonts w:hint="eastAsia" w:ascii="宋体" w:hAnsi="宋体"/>
          <w:sz w:val="24"/>
        </w:rPr>
      </w:pPr>
      <w:r>
        <w:rPr>
          <w:rFonts w:hint="eastAsia" w:ascii="宋体" w:hAnsi="宋体"/>
          <w:sz w:val="24"/>
        </w:rPr>
        <w:t>3.供应商不存在直接管理关系的，则在“</w:t>
      </w:r>
      <w:r>
        <w:rPr>
          <w:rFonts w:hint="eastAsia" w:ascii="宋体" w:hAnsi="宋体" w:cs="宋体"/>
          <w:b/>
          <w:bCs/>
          <w:kern w:val="0"/>
          <w:sz w:val="24"/>
        </w:rPr>
        <w:t>直接管理关系单位名称</w:t>
      </w:r>
      <w:r>
        <w:rPr>
          <w:rFonts w:hint="eastAsia" w:ascii="宋体" w:hAnsi="宋体"/>
          <w:sz w:val="24"/>
        </w:rPr>
        <w:t>”中填“无”。</w:t>
      </w:r>
    </w:p>
    <w:p w14:paraId="67C03454">
      <w:pPr>
        <w:snapToGrid w:val="0"/>
        <w:spacing w:line="360" w:lineRule="auto"/>
        <w:jc w:val="left"/>
        <w:rPr>
          <w:rFonts w:hint="eastAsia" w:ascii="宋体" w:hAnsi="宋体"/>
          <w:sz w:val="24"/>
        </w:rPr>
      </w:pPr>
    </w:p>
    <w:p w14:paraId="62187643">
      <w:pPr>
        <w:snapToGrid w:val="0"/>
        <w:spacing w:line="360" w:lineRule="auto"/>
        <w:jc w:val="left"/>
        <w:rPr>
          <w:rFonts w:hint="eastAsia" w:ascii="宋体" w:hAnsi="宋体"/>
          <w:sz w:val="24"/>
        </w:rPr>
      </w:pPr>
    </w:p>
    <w:p w14:paraId="3D770B9A">
      <w:pPr>
        <w:snapToGrid w:val="0"/>
        <w:spacing w:line="360" w:lineRule="auto"/>
        <w:jc w:val="left"/>
        <w:rPr>
          <w:rFonts w:hint="eastAsia" w:ascii="宋体" w:hAnsi="宋体"/>
          <w:sz w:val="24"/>
        </w:rPr>
      </w:pPr>
    </w:p>
    <w:p w14:paraId="7240F1D7">
      <w:pPr>
        <w:snapToGrid w:val="0"/>
        <w:spacing w:line="360" w:lineRule="auto"/>
        <w:jc w:val="left"/>
        <w:rPr>
          <w:rFonts w:hint="eastAsia"/>
          <w:sz w:val="24"/>
        </w:rPr>
      </w:pPr>
    </w:p>
    <w:p w14:paraId="169C6BF7">
      <w:pPr>
        <w:snapToGrid w:val="0"/>
        <w:spacing w:line="360" w:lineRule="auto"/>
        <w:ind w:left="-2" w:leftChars="-1" w:right="-817" w:rightChars="-389"/>
        <w:rPr>
          <w:rFonts w:hint="eastAsia" w:ascii="宋体" w:hAnsi="宋体"/>
          <w:sz w:val="24"/>
        </w:rPr>
      </w:pPr>
      <w:r>
        <w:rPr>
          <w:rFonts w:hint="eastAsia" w:ascii="宋体" w:hAnsi="宋体"/>
          <w:sz w:val="24"/>
        </w:rPr>
        <w:t xml:space="preserve">            法定代表人或者委托代理人（签字或者电子签名）：</w:t>
      </w:r>
    </w:p>
    <w:p w14:paraId="1992E443">
      <w:pPr>
        <w:snapToGrid w:val="0"/>
        <w:spacing w:line="360" w:lineRule="auto"/>
        <w:ind w:left="-3" w:leftChars="-15" w:right="-817" w:rightChars="-389" w:hanging="28" w:hangingChars="12"/>
        <w:rPr>
          <w:rFonts w:hint="eastAsia" w:ascii="宋体" w:hAnsi="宋体"/>
          <w:sz w:val="24"/>
        </w:rPr>
      </w:pPr>
      <w:r>
        <w:rPr>
          <w:rFonts w:hint="eastAsia" w:ascii="宋体" w:hAnsi="宋体"/>
          <w:sz w:val="24"/>
        </w:rPr>
        <w:t xml:space="preserve">                                  投标人名称（电子签章）：</w:t>
      </w:r>
    </w:p>
    <w:p w14:paraId="5D50E30D">
      <w:pPr>
        <w:snapToGrid w:val="0"/>
        <w:spacing w:line="360" w:lineRule="auto"/>
        <w:ind w:right="480" w:firstLine="240" w:firstLineChars="100"/>
        <w:jc w:val="left"/>
        <w:rPr>
          <w:rFonts w:hint="eastAsia" w:ascii="宋体" w:hAnsi="宋体"/>
          <w:szCs w:val="21"/>
        </w:rPr>
      </w:pPr>
      <w:r>
        <w:rPr>
          <w:rFonts w:hint="eastAsia" w:ascii="宋体" w:hAnsi="宋体"/>
          <w:sz w:val="24"/>
        </w:rPr>
        <w:t xml:space="preserve">                                日期：    年   月   日</w:t>
      </w:r>
    </w:p>
    <w:p w14:paraId="27F13135">
      <w:pPr>
        <w:snapToGrid w:val="0"/>
        <w:spacing w:before="120" w:beforeLines="50" w:after="50"/>
        <w:jc w:val="left"/>
        <w:rPr>
          <w:rFonts w:hint="eastAsia" w:ascii="宋体" w:hAnsi="宋体"/>
          <w:b/>
          <w:sz w:val="24"/>
          <w:szCs w:val="20"/>
        </w:rPr>
      </w:pPr>
      <w:r>
        <w:rPr>
          <w:rFonts w:ascii="宋体" w:hAnsi="宋体"/>
          <w:b/>
          <w:sz w:val="24"/>
        </w:rPr>
        <w:br w:type="page"/>
      </w:r>
      <w:r>
        <w:rPr>
          <w:rFonts w:ascii="宋体" w:hAnsi="宋体"/>
          <w:b/>
          <w:sz w:val="24"/>
        </w:rPr>
        <w:t>5.</w:t>
      </w:r>
      <w:r>
        <w:rPr>
          <w:rFonts w:hint="eastAsia" w:ascii="宋体" w:hAnsi="宋体"/>
          <w:b/>
          <w:sz w:val="24"/>
        </w:rPr>
        <w:t>投标声明</w:t>
      </w:r>
    </w:p>
    <w:p w14:paraId="4AD4916B">
      <w:pPr>
        <w:snapToGrid w:val="0"/>
        <w:spacing w:before="50" w:after="120" w:afterLines="50"/>
        <w:jc w:val="left"/>
        <w:rPr>
          <w:rFonts w:hint="eastAsia" w:ascii="宋体" w:hAnsi="宋体"/>
        </w:rPr>
      </w:pPr>
    </w:p>
    <w:p w14:paraId="0DB0E26E">
      <w:pPr>
        <w:snapToGrid w:val="0"/>
        <w:spacing w:before="50" w:after="120" w:afterLines="50"/>
        <w:jc w:val="center"/>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投标声明</w:t>
      </w:r>
    </w:p>
    <w:p w14:paraId="3FDD9E75">
      <w:pPr>
        <w:spacing w:line="400" w:lineRule="exact"/>
        <w:contextualSpacing/>
        <w:jc w:val="left"/>
        <w:rPr>
          <w:rFonts w:hint="eastAsia"/>
          <w:sz w:val="24"/>
        </w:rPr>
      </w:pPr>
      <w:r>
        <w:rPr>
          <w:rFonts w:hint="eastAsia"/>
          <w:sz w:val="24"/>
        </w:rPr>
        <w:t>（采购人名称）：</w:t>
      </w:r>
    </w:p>
    <w:p w14:paraId="2AB1333D">
      <w:pPr>
        <w:spacing w:line="400" w:lineRule="exact"/>
        <w:ind w:firstLine="523" w:firstLineChars="218"/>
        <w:contextualSpacing/>
        <w:jc w:val="left"/>
        <w:rPr>
          <w:rFonts w:hint="eastAsia" w:ascii="宋体" w:hAnsi="宋体"/>
          <w:sz w:val="24"/>
        </w:rPr>
      </w:pPr>
      <w:r>
        <w:rPr>
          <w:rFonts w:hint="eastAsia" w:ascii="宋体" w:hAnsi="宋体"/>
          <w:sz w:val="24"/>
        </w:rPr>
        <w:t>我方参加贵单位组织</w:t>
      </w:r>
      <w:r>
        <w:rPr>
          <w:rFonts w:hint="eastAsia" w:ascii="宋体" w:hAnsi="宋体"/>
          <w:sz w:val="24"/>
          <w:u w:val="single"/>
        </w:rPr>
        <w:t xml:space="preserve">             </w:t>
      </w:r>
      <w:r>
        <w:rPr>
          <w:rFonts w:hint="eastAsia" w:ascii="宋体" w:hAnsi="宋体"/>
          <w:sz w:val="24"/>
        </w:rPr>
        <w:t>项目（项目编号：</w:t>
      </w:r>
      <w:r>
        <w:rPr>
          <w:rFonts w:hint="eastAsia" w:ascii="宋体" w:hAnsi="宋体"/>
          <w:sz w:val="24"/>
          <w:u w:val="single"/>
        </w:rPr>
        <w:t xml:space="preserve">       </w:t>
      </w:r>
      <w:r>
        <w:rPr>
          <w:rFonts w:hint="eastAsia" w:ascii="宋体" w:hAnsi="宋体"/>
          <w:sz w:val="24"/>
        </w:rPr>
        <w:t>）的政府采购活动。我方在此郑重声明：</w:t>
      </w:r>
    </w:p>
    <w:p w14:paraId="4BF141D7">
      <w:pPr>
        <w:spacing w:line="400" w:lineRule="exact"/>
        <w:ind w:firstLine="480" w:firstLineChars="200"/>
        <w:contextualSpacing/>
        <w:jc w:val="left"/>
        <w:rPr>
          <w:rFonts w:hint="eastAsia" w:ascii="宋体" w:hAnsi="宋体"/>
          <w:sz w:val="24"/>
        </w:rPr>
      </w:pPr>
      <w:r>
        <w:rPr>
          <w:rFonts w:hint="eastAsia" w:ascii="宋体" w:hAnsi="宋体"/>
          <w:sz w:val="24"/>
        </w:rPr>
        <w:t>1.我方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27FDC457">
      <w:pPr>
        <w:spacing w:line="400" w:lineRule="exact"/>
        <w:ind w:firstLine="480" w:firstLineChars="200"/>
        <w:contextualSpacing/>
        <w:jc w:val="left"/>
        <w:rPr>
          <w:rFonts w:hint="eastAsia" w:ascii="宋体" w:hAnsi="宋体"/>
          <w:sz w:val="24"/>
        </w:rPr>
      </w:pPr>
      <w:r>
        <w:rPr>
          <w:rFonts w:hint="eastAsia" w:ascii="宋体" w:hAnsi="宋体"/>
          <w:sz w:val="24"/>
        </w:rPr>
        <w:t>2.我方不是为本次采购项目提供整体设计、规范编制或者项目管理、监理、检测等服务的供应商。</w:t>
      </w:r>
    </w:p>
    <w:p w14:paraId="11A2D25C">
      <w:pPr>
        <w:spacing w:line="400" w:lineRule="exact"/>
        <w:ind w:firstLine="480" w:firstLineChars="200"/>
        <w:contextualSpacing/>
        <w:jc w:val="left"/>
        <w:rPr>
          <w:rFonts w:hint="eastAsia" w:ascii="宋体" w:hAnsi="宋体"/>
          <w:sz w:val="24"/>
        </w:rPr>
      </w:pPr>
      <w:r>
        <w:rPr>
          <w:rFonts w:hint="eastAsia" w:ascii="宋体" w:hAnsi="宋体"/>
          <w:sz w:val="24"/>
        </w:rPr>
        <w:t>3. 我方承诺符合《中华人民共和国政府采购法》第二十二条规定：</w:t>
      </w:r>
    </w:p>
    <w:p w14:paraId="0C6EC7D0">
      <w:pPr>
        <w:spacing w:line="400" w:lineRule="exact"/>
        <w:ind w:firstLine="480" w:firstLineChars="200"/>
        <w:contextualSpacing/>
        <w:jc w:val="left"/>
        <w:rPr>
          <w:rFonts w:ascii="宋体" w:hAnsi="宋体"/>
          <w:sz w:val="24"/>
        </w:rPr>
      </w:pPr>
      <w:r>
        <w:rPr>
          <w:rFonts w:hint="eastAsia" w:ascii="宋体" w:hAnsi="宋体"/>
          <w:sz w:val="24"/>
        </w:rPr>
        <w:t>（一）具有独立承担民事责任的能力；</w:t>
      </w:r>
    </w:p>
    <w:p w14:paraId="24D6AC94">
      <w:pPr>
        <w:spacing w:line="400" w:lineRule="exact"/>
        <w:ind w:firstLine="480" w:firstLineChars="200"/>
        <w:contextualSpacing/>
        <w:jc w:val="left"/>
        <w:rPr>
          <w:rFonts w:ascii="宋体" w:hAnsi="宋体"/>
          <w:sz w:val="24"/>
        </w:rPr>
      </w:pPr>
      <w:r>
        <w:rPr>
          <w:rFonts w:hint="eastAsia" w:ascii="宋体" w:hAnsi="宋体"/>
          <w:sz w:val="24"/>
        </w:rPr>
        <w:t>（二）具有良好的商业信誉和健全的财务会计制度；</w:t>
      </w:r>
    </w:p>
    <w:p w14:paraId="257E1342">
      <w:pPr>
        <w:spacing w:line="400" w:lineRule="exact"/>
        <w:ind w:firstLine="480" w:firstLineChars="200"/>
        <w:contextualSpacing/>
        <w:jc w:val="left"/>
        <w:rPr>
          <w:rFonts w:ascii="宋体" w:hAnsi="宋体"/>
          <w:sz w:val="24"/>
        </w:rPr>
      </w:pPr>
      <w:r>
        <w:rPr>
          <w:rFonts w:hint="eastAsia" w:ascii="宋体" w:hAnsi="宋体"/>
          <w:sz w:val="24"/>
        </w:rPr>
        <w:t>（三）具有履行合同所必需的设备和专业技术能力；</w:t>
      </w:r>
    </w:p>
    <w:p w14:paraId="46C69B2B">
      <w:pPr>
        <w:spacing w:line="400" w:lineRule="exact"/>
        <w:ind w:firstLine="480" w:firstLineChars="200"/>
        <w:contextualSpacing/>
        <w:jc w:val="left"/>
        <w:rPr>
          <w:rFonts w:ascii="宋体" w:hAnsi="宋体"/>
          <w:sz w:val="24"/>
        </w:rPr>
      </w:pPr>
      <w:r>
        <w:rPr>
          <w:rFonts w:hint="eastAsia" w:ascii="宋体" w:hAnsi="宋体"/>
          <w:sz w:val="24"/>
        </w:rPr>
        <w:t>（四）有依法缴纳税收和社会保障资金的良好记录；</w:t>
      </w:r>
    </w:p>
    <w:p w14:paraId="377CF728">
      <w:pPr>
        <w:spacing w:line="400" w:lineRule="exact"/>
        <w:ind w:firstLine="480" w:firstLineChars="200"/>
        <w:contextualSpacing/>
        <w:jc w:val="left"/>
        <w:rPr>
          <w:rFonts w:ascii="宋体" w:hAnsi="宋体"/>
          <w:sz w:val="24"/>
        </w:rPr>
      </w:pPr>
      <w:r>
        <w:rPr>
          <w:rFonts w:hint="eastAsia" w:ascii="宋体" w:hAnsi="宋体"/>
          <w:sz w:val="24"/>
        </w:rPr>
        <w:t>（五）参加政府采购活动前三年内，在经营活动中没有重大违法记录；</w:t>
      </w:r>
    </w:p>
    <w:p w14:paraId="23097BDA">
      <w:pPr>
        <w:spacing w:line="400" w:lineRule="exact"/>
        <w:ind w:firstLine="480" w:firstLineChars="200"/>
        <w:contextualSpacing/>
        <w:jc w:val="left"/>
        <w:rPr>
          <w:rFonts w:hint="eastAsia" w:ascii="宋体" w:hAnsi="宋体"/>
          <w:sz w:val="24"/>
        </w:rPr>
      </w:pPr>
      <w:r>
        <w:rPr>
          <w:rFonts w:hint="eastAsia" w:ascii="宋体" w:hAnsi="宋体"/>
          <w:sz w:val="24"/>
        </w:rPr>
        <w:t>（六）法律、行政法规规定的其他条件。</w:t>
      </w:r>
    </w:p>
    <w:p w14:paraId="3B0908FF">
      <w:pPr>
        <w:spacing w:line="400" w:lineRule="exact"/>
        <w:ind w:firstLine="480" w:firstLineChars="200"/>
        <w:contextualSpacing/>
        <w:jc w:val="left"/>
        <w:rPr>
          <w:rFonts w:hint="eastAsia" w:ascii="宋体" w:hAnsi="宋体"/>
          <w:sz w:val="24"/>
        </w:rPr>
      </w:pPr>
      <w:r>
        <w:rPr>
          <w:rFonts w:hint="eastAsia" w:ascii="宋体" w:hAnsi="宋体"/>
          <w:sz w:val="24"/>
        </w:rPr>
        <w:t>4.以上事项如有虚假或者隐瞒，我方愿意承担一切后果，并不再寻求任何旨在减轻或者免除法律责任的辩解。</w:t>
      </w:r>
    </w:p>
    <w:p w14:paraId="5E783FAF">
      <w:pPr>
        <w:spacing w:line="400" w:lineRule="exact"/>
        <w:contextualSpacing/>
        <w:jc w:val="left"/>
        <w:rPr>
          <w:rFonts w:ascii="宋体" w:hAnsi="宋体"/>
          <w:sz w:val="24"/>
        </w:rPr>
      </w:pPr>
      <w:r>
        <w:rPr>
          <w:rFonts w:hint="eastAsia" w:ascii="宋体" w:hAnsi="宋体"/>
          <w:sz w:val="24"/>
        </w:rPr>
        <w:t xml:space="preserve">    特此承诺。</w:t>
      </w:r>
    </w:p>
    <w:p w14:paraId="2212A2D5">
      <w:pPr>
        <w:snapToGrid w:val="0"/>
        <w:spacing w:before="50" w:after="50"/>
        <w:rPr>
          <w:rFonts w:ascii="宋体" w:hAnsi="宋体"/>
          <w:sz w:val="24"/>
        </w:rPr>
      </w:pPr>
      <w:r>
        <w:rPr>
          <w:rFonts w:hint="eastAsia" w:ascii="宋体" w:hAnsi="宋体"/>
          <w:b/>
          <w:sz w:val="24"/>
        </w:rPr>
        <w:t xml:space="preserve">    </w:t>
      </w:r>
      <w:r>
        <w:rPr>
          <w:rFonts w:hint="eastAsia" w:ascii="宋体" w:hAnsi="宋体"/>
          <w:sz w:val="24"/>
        </w:rPr>
        <w:t xml:space="preserve">            </w:t>
      </w:r>
    </w:p>
    <w:p w14:paraId="7D9BF2A2">
      <w:pPr>
        <w:snapToGrid w:val="0"/>
        <w:spacing w:before="50" w:after="50"/>
        <w:ind w:firstLine="840" w:firstLineChars="350"/>
        <w:rPr>
          <w:rFonts w:hint="eastAsia" w:ascii="宋体" w:hAnsi="宋体"/>
          <w:spacing w:val="20"/>
          <w:sz w:val="24"/>
          <w:u w:val="single"/>
        </w:rPr>
      </w:pPr>
      <w:r>
        <w:rPr>
          <w:rFonts w:hint="eastAsia" w:ascii="宋体" w:hAnsi="宋体"/>
          <w:sz w:val="24"/>
        </w:rPr>
        <w:t>法定代表人或者委托代理人</w:t>
      </w:r>
      <w:r>
        <w:rPr>
          <w:rFonts w:hint="eastAsia" w:ascii="宋体" w:hAnsi="宋体"/>
          <w:spacing w:val="20"/>
          <w:sz w:val="24"/>
        </w:rPr>
        <w:t>（签字或者电子签名）：</w:t>
      </w:r>
      <w:r>
        <w:rPr>
          <w:rFonts w:hint="eastAsia" w:ascii="宋体" w:hAnsi="宋体"/>
          <w:spacing w:val="20"/>
          <w:sz w:val="24"/>
          <w:u w:val="single"/>
        </w:rPr>
        <w:t xml:space="preserve">        </w:t>
      </w:r>
    </w:p>
    <w:p w14:paraId="5484EAEC">
      <w:pPr>
        <w:spacing w:line="400" w:lineRule="exact"/>
        <w:contextualSpacing/>
        <w:jc w:val="left"/>
        <w:rPr>
          <w:rFonts w:hint="eastAsia" w:ascii="宋体" w:hAnsi="宋体"/>
          <w:sz w:val="24"/>
        </w:rPr>
      </w:pPr>
    </w:p>
    <w:p w14:paraId="06C9A09B">
      <w:pPr>
        <w:spacing w:line="400" w:lineRule="exact"/>
        <w:contextualSpacing/>
        <w:jc w:val="left"/>
        <w:rPr>
          <w:rFonts w:hint="eastAsia" w:ascii="宋体" w:hAnsi="宋体"/>
          <w:sz w:val="24"/>
        </w:rPr>
      </w:pPr>
      <w:r>
        <w:rPr>
          <w:rFonts w:hint="eastAsia" w:ascii="宋体" w:hAnsi="宋体"/>
          <w:sz w:val="24"/>
        </w:rPr>
        <w:t xml:space="preserve">                           投标人名称（电子签章）：</w:t>
      </w:r>
      <w:r>
        <w:rPr>
          <w:rFonts w:hint="eastAsia" w:ascii="宋体" w:hAnsi="宋体"/>
          <w:sz w:val="24"/>
          <w:u w:val="single"/>
        </w:rPr>
        <w:t xml:space="preserve">                 </w:t>
      </w:r>
    </w:p>
    <w:p w14:paraId="3876E0D2">
      <w:pPr>
        <w:spacing w:line="400" w:lineRule="exact"/>
        <w:contextualSpacing/>
        <w:jc w:val="left"/>
        <w:rPr>
          <w:rFonts w:hint="eastAsia" w:ascii="宋体" w:hAnsi="宋体"/>
        </w:rPr>
      </w:pPr>
      <w:r>
        <w:rPr>
          <w:rFonts w:hint="eastAsia" w:ascii="宋体" w:hAnsi="宋体"/>
          <w:sz w:val="24"/>
        </w:rPr>
        <w:t xml:space="preserve">                                                  年    月    日</w:t>
      </w:r>
    </w:p>
    <w:p w14:paraId="1751DDF4">
      <w:pPr>
        <w:spacing w:line="440" w:lineRule="exact"/>
        <w:contextualSpacing/>
        <w:rPr>
          <w:rFonts w:hint="eastAsia" w:ascii="宋体" w:hAnsi="宋体"/>
          <w:b/>
          <w:sz w:val="24"/>
        </w:rPr>
      </w:pPr>
      <w:r>
        <w:rPr>
          <w:rFonts w:hint="eastAsia" w:ascii="宋体" w:hAnsi="宋体"/>
          <w:b/>
          <w:sz w:val="24"/>
        </w:rPr>
        <w:t>注：如为联合体投标，盖章处须加盖联合体牵头人电子签章并由联合体牵头人法定代表人签字或者盖章或者电子签名，否则投标无效。</w:t>
      </w:r>
    </w:p>
    <w:p w14:paraId="7D34D885">
      <w:pPr>
        <w:spacing w:line="400" w:lineRule="exact"/>
        <w:contextualSpacing/>
        <w:jc w:val="left"/>
        <w:rPr>
          <w:rFonts w:hint="eastAsia" w:ascii="宋体" w:hAnsi="宋体"/>
        </w:rPr>
      </w:pPr>
    </w:p>
    <w:p w14:paraId="79ED4B3F">
      <w:pPr>
        <w:spacing w:line="440" w:lineRule="exact"/>
        <w:contextualSpacing/>
        <w:rPr>
          <w:rFonts w:hint="eastAsia" w:ascii="宋体" w:hAnsi="宋体"/>
          <w:b/>
          <w:sz w:val="24"/>
        </w:rPr>
      </w:pPr>
      <w:bookmarkStart w:id="183" w:name="_Toc19686838"/>
    </w:p>
    <w:p w14:paraId="39CFFEDD">
      <w:pPr>
        <w:rPr>
          <w:rFonts w:hint="eastAsia"/>
          <w:b/>
          <w:sz w:val="28"/>
          <w:szCs w:val="28"/>
        </w:rPr>
      </w:pPr>
      <w:r>
        <w:rPr>
          <w:b/>
          <w:sz w:val="28"/>
          <w:szCs w:val="28"/>
        </w:rPr>
        <w:br w:type="page"/>
      </w:r>
      <w:r>
        <w:rPr>
          <w:rFonts w:hint="eastAsia"/>
          <w:b/>
          <w:sz w:val="28"/>
          <w:szCs w:val="28"/>
        </w:rPr>
        <w:t>三、商务及技术文件格式</w:t>
      </w:r>
      <w:bookmarkEnd w:id="183"/>
    </w:p>
    <w:p w14:paraId="68D6DD9C">
      <w:pPr>
        <w:snapToGrid w:val="0"/>
        <w:spacing w:before="120" w:beforeLines="50" w:after="50" w:line="360" w:lineRule="auto"/>
        <w:jc w:val="left"/>
        <w:rPr>
          <w:rFonts w:hint="eastAsia" w:ascii="宋体" w:hAnsi="宋体"/>
          <w:b/>
          <w:sz w:val="24"/>
        </w:rPr>
      </w:pPr>
      <w:r>
        <w:rPr>
          <w:rFonts w:hint="eastAsia" w:ascii="宋体" w:hAnsi="宋体"/>
          <w:b/>
          <w:sz w:val="24"/>
        </w:rPr>
        <w:t xml:space="preserve">1.商务及技术文件封面格式： </w:t>
      </w:r>
    </w:p>
    <w:p w14:paraId="17A07AB1">
      <w:pPr>
        <w:snapToGrid w:val="0"/>
        <w:spacing w:before="120" w:beforeLines="50" w:after="50"/>
        <w:jc w:val="center"/>
        <w:rPr>
          <w:rFonts w:hint="eastAsia" w:ascii="宋体" w:hAnsi="宋体"/>
          <w:sz w:val="24"/>
        </w:rPr>
      </w:pPr>
      <w:r>
        <w:rPr>
          <w:rFonts w:hint="eastAsia" w:ascii="宋体" w:hAnsi="宋体" w:eastAsia="方正小标宋简体"/>
          <w:bCs/>
          <w:sz w:val="48"/>
          <w:szCs w:val="48"/>
        </w:rPr>
        <w:t>电子投标文件</w:t>
      </w:r>
    </w:p>
    <w:p w14:paraId="1B3E7C5E">
      <w:pPr>
        <w:snapToGrid w:val="0"/>
        <w:spacing w:before="120" w:beforeLines="50" w:after="50"/>
        <w:jc w:val="center"/>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商务及技术文件</w:t>
      </w:r>
    </w:p>
    <w:p w14:paraId="288ADBF1">
      <w:pPr>
        <w:snapToGrid w:val="0"/>
        <w:spacing w:before="120" w:beforeLines="50" w:after="50"/>
        <w:rPr>
          <w:rFonts w:hint="eastAsia" w:ascii="宋体" w:hAnsi="宋体"/>
          <w:bCs/>
          <w:sz w:val="24"/>
          <w:szCs w:val="20"/>
        </w:rPr>
      </w:pPr>
    </w:p>
    <w:p w14:paraId="7D8A3C98">
      <w:pPr>
        <w:snapToGrid w:val="0"/>
        <w:spacing w:before="120" w:beforeLines="50" w:after="50"/>
        <w:ind w:firstLine="540" w:firstLineChars="225"/>
        <w:rPr>
          <w:rFonts w:hint="eastAsia" w:ascii="宋体" w:hAnsi="宋体"/>
          <w:bCs/>
          <w:sz w:val="24"/>
        </w:rPr>
      </w:pPr>
      <w:r>
        <w:rPr>
          <w:rFonts w:hint="eastAsia" w:ascii="宋体" w:hAnsi="宋体"/>
          <w:bCs/>
          <w:sz w:val="24"/>
        </w:rPr>
        <w:t>项目名称：</w:t>
      </w:r>
    </w:p>
    <w:p w14:paraId="47F47805">
      <w:pPr>
        <w:snapToGrid w:val="0"/>
        <w:spacing w:before="120" w:beforeLines="50" w:after="50"/>
        <w:ind w:firstLine="540" w:firstLineChars="225"/>
        <w:rPr>
          <w:rFonts w:hint="eastAsia" w:ascii="宋体" w:hAnsi="宋体"/>
          <w:bCs/>
          <w:sz w:val="24"/>
          <w:szCs w:val="20"/>
        </w:rPr>
      </w:pPr>
    </w:p>
    <w:p w14:paraId="21385708">
      <w:pPr>
        <w:snapToGrid w:val="0"/>
        <w:spacing w:before="120" w:beforeLines="50" w:after="50"/>
        <w:ind w:firstLine="540" w:firstLineChars="225"/>
        <w:rPr>
          <w:rFonts w:hint="eastAsia" w:ascii="宋体" w:hAnsi="宋体"/>
          <w:bCs/>
          <w:sz w:val="24"/>
        </w:rPr>
      </w:pPr>
      <w:r>
        <w:rPr>
          <w:rFonts w:hint="eastAsia" w:ascii="宋体" w:hAnsi="宋体"/>
          <w:bCs/>
          <w:sz w:val="24"/>
        </w:rPr>
        <w:t>项目编号：</w:t>
      </w:r>
    </w:p>
    <w:p w14:paraId="30C3889F">
      <w:pPr>
        <w:snapToGrid w:val="0"/>
        <w:spacing w:before="120" w:beforeLines="50" w:after="50"/>
        <w:ind w:firstLine="540" w:firstLineChars="225"/>
        <w:rPr>
          <w:rFonts w:hint="eastAsia" w:ascii="宋体" w:hAnsi="宋体"/>
          <w:bCs/>
          <w:sz w:val="24"/>
          <w:szCs w:val="20"/>
        </w:rPr>
      </w:pPr>
      <w:r>
        <w:rPr>
          <w:rFonts w:hint="eastAsia" w:ascii="宋体" w:hAnsi="宋体"/>
          <w:bCs/>
          <w:sz w:val="24"/>
        </w:rPr>
        <w:t xml:space="preserve"> </w:t>
      </w:r>
    </w:p>
    <w:p w14:paraId="03271C5D">
      <w:pPr>
        <w:snapToGrid w:val="0"/>
        <w:spacing w:before="120" w:beforeLines="50" w:after="50"/>
        <w:ind w:firstLine="540" w:firstLineChars="225"/>
        <w:rPr>
          <w:rFonts w:hint="eastAsia" w:ascii="宋体" w:hAnsi="宋体"/>
          <w:bCs/>
          <w:sz w:val="24"/>
        </w:rPr>
      </w:pPr>
      <w:r>
        <w:rPr>
          <w:rFonts w:hint="eastAsia" w:ascii="宋体" w:hAnsi="宋体"/>
          <w:bCs/>
          <w:sz w:val="24"/>
        </w:rPr>
        <w:t>所投分标：</w:t>
      </w:r>
    </w:p>
    <w:p w14:paraId="7AA1149C">
      <w:pPr>
        <w:snapToGrid w:val="0"/>
        <w:spacing w:before="120" w:beforeLines="50" w:after="50"/>
        <w:ind w:firstLine="540" w:firstLineChars="225"/>
        <w:rPr>
          <w:rFonts w:hint="eastAsia" w:ascii="宋体" w:hAnsi="宋体"/>
          <w:bCs/>
          <w:sz w:val="24"/>
          <w:szCs w:val="20"/>
        </w:rPr>
      </w:pPr>
    </w:p>
    <w:p w14:paraId="6892374F">
      <w:pPr>
        <w:pStyle w:val="7"/>
        <w:snapToGrid w:val="0"/>
        <w:spacing w:before="50" w:after="50"/>
        <w:ind w:firstLine="540" w:firstLineChars="225"/>
        <w:rPr>
          <w:rFonts w:hint="eastAsia" w:ascii="宋体" w:hAnsi="宋体"/>
          <w:bCs/>
          <w:sz w:val="24"/>
          <w:szCs w:val="24"/>
        </w:rPr>
      </w:pPr>
      <w:r>
        <w:rPr>
          <w:rFonts w:hint="eastAsia" w:ascii="宋体" w:hAnsi="宋体"/>
          <w:bCs/>
          <w:sz w:val="24"/>
          <w:szCs w:val="24"/>
        </w:rPr>
        <w:t>投标人名称：</w:t>
      </w:r>
    </w:p>
    <w:p w14:paraId="7E34178C">
      <w:pPr>
        <w:pStyle w:val="7"/>
        <w:snapToGrid w:val="0"/>
        <w:spacing w:before="50" w:after="50"/>
        <w:ind w:firstLine="540" w:firstLineChars="225"/>
        <w:rPr>
          <w:rFonts w:hint="eastAsia" w:ascii="宋体" w:hAnsi="宋体"/>
          <w:bCs/>
          <w:sz w:val="24"/>
          <w:szCs w:val="24"/>
        </w:rPr>
      </w:pPr>
    </w:p>
    <w:p w14:paraId="11BD5BC1">
      <w:pPr>
        <w:pStyle w:val="7"/>
        <w:snapToGrid w:val="0"/>
        <w:spacing w:before="50" w:after="50"/>
        <w:ind w:firstLine="540" w:firstLineChars="225"/>
        <w:rPr>
          <w:rFonts w:hint="eastAsia" w:ascii="宋体" w:hAnsi="宋体"/>
          <w:bCs/>
          <w:sz w:val="24"/>
          <w:szCs w:val="24"/>
        </w:rPr>
      </w:pPr>
      <w:r>
        <w:rPr>
          <w:rFonts w:hint="eastAsia" w:ascii="宋体" w:hAnsi="宋体"/>
          <w:bCs/>
          <w:sz w:val="24"/>
          <w:szCs w:val="24"/>
        </w:rPr>
        <w:t>投标人地址：</w:t>
      </w:r>
    </w:p>
    <w:p w14:paraId="08113531">
      <w:pPr>
        <w:pStyle w:val="7"/>
        <w:snapToGrid w:val="0"/>
        <w:spacing w:before="50" w:after="50"/>
        <w:ind w:firstLine="960" w:firstLineChars="400"/>
        <w:rPr>
          <w:rFonts w:hint="eastAsia" w:ascii="宋体" w:hAnsi="宋体"/>
          <w:bCs/>
          <w:sz w:val="24"/>
          <w:szCs w:val="24"/>
        </w:rPr>
      </w:pPr>
    </w:p>
    <w:p w14:paraId="1830665D">
      <w:pPr>
        <w:snapToGrid w:val="0"/>
        <w:spacing w:before="120" w:beforeLines="50" w:after="50"/>
        <w:ind w:firstLine="645"/>
        <w:rPr>
          <w:rFonts w:ascii="宋体" w:hAnsi="宋体"/>
          <w:sz w:val="24"/>
        </w:rPr>
      </w:pPr>
      <w:r>
        <w:rPr>
          <w:rFonts w:hint="eastAsia" w:ascii="宋体" w:hAnsi="宋体"/>
          <w:sz w:val="24"/>
        </w:rPr>
        <w:t xml:space="preserve">                        年  月  日</w:t>
      </w:r>
    </w:p>
    <w:p w14:paraId="4BA55D3A">
      <w:pPr>
        <w:snapToGrid w:val="0"/>
        <w:spacing w:before="120" w:beforeLines="50" w:after="50"/>
        <w:rPr>
          <w:rFonts w:ascii="宋体" w:hAnsi="宋体"/>
          <w:sz w:val="24"/>
          <w:szCs w:val="20"/>
        </w:rPr>
      </w:pPr>
      <w:r>
        <w:rPr>
          <w:rFonts w:ascii="宋体" w:hAnsi="宋体"/>
          <w:sz w:val="24"/>
          <w:szCs w:val="20"/>
        </w:rPr>
        <w:t xml:space="preserve"> </w:t>
      </w:r>
    </w:p>
    <w:p w14:paraId="4A777C16">
      <w:pPr>
        <w:snapToGrid w:val="0"/>
        <w:spacing w:line="360" w:lineRule="auto"/>
        <w:jc w:val="left"/>
        <w:rPr>
          <w:rFonts w:hint="eastAsia" w:ascii="宋体" w:hAnsi="宋体"/>
          <w:b/>
          <w:sz w:val="24"/>
        </w:rPr>
      </w:pPr>
      <w:r>
        <w:rPr>
          <w:rFonts w:ascii="宋体" w:hAnsi="宋体"/>
          <w:sz w:val="24"/>
          <w:szCs w:val="20"/>
        </w:rPr>
        <w:br w:type="page"/>
      </w:r>
      <w:r>
        <w:rPr>
          <w:rFonts w:hint="eastAsia" w:ascii="宋体" w:hAnsi="宋体"/>
          <w:b/>
          <w:sz w:val="24"/>
        </w:rPr>
        <w:t>2.商务及技术文件目录</w:t>
      </w:r>
    </w:p>
    <w:p w14:paraId="67761DA4">
      <w:pPr>
        <w:snapToGrid w:val="0"/>
        <w:spacing w:before="50" w:after="120" w:afterLines="50" w:line="360" w:lineRule="auto"/>
        <w:ind w:firstLine="560" w:firstLineChars="200"/>
        <w:jc w:val="left"/>
        <w:rPr>
          <w:rFonts w:ascii="微软雅黑" w:hAnsi="微软雅黑" w:eastAsia="微软雅黑"/>
          <w:b/>
          <w:bCs/>
          <w:sz w:val="32"/>
          <w:szCs w:val="32"/>
        </w:rPr>
      </w:pPr>
      <w:r>
        <w:rPr>
          <w:rFonts w:hint="eastAsia" w:ascii="宋体" w:hAnsi="宋体"/>
          <w:sz w:val="28"/>
          <w:szCs w:val="28"/>
        </w:rPr>
        <w:t>根据招标文件规定及投标人提供的材料自行编写目录。</w:t>
      </w:r>
    </w:p>
    <w:p w14:paraId="08CF2DF0">
      <w:pPr>
        <w:snapToGrid w:val="0"/>
        <w:spacing w:before="50" w:after="120" w:afterLines="50"/>
        <w:jc w:val="left"/>
        <w:rPr>
          <w:rFonts w:hint="eastAsia" w:ascii="宋体" w:hAnsi="宋体"/>
        </w:rPr>
      </w:pPr>
    </w:p>
    <w:p w14:paraId="253100A3">
      <w:pPr>
        <w:snapToGrid w:val="0"/>
        <w:spacing w:before="120" w:beforeLines="50" w:after="50"/>
        <w:jc w:val="left"/>
        <w:rPr>
          <w:rFonts w:hint="eastAsia" w:ascii="宋体" w:hAnsi="宋体"/>
          <w:b/>
          <w:sz w:val="24"/>
        </w:rPr>
      </w:pPr>
      <w:r>
        <w:rPr>
          <w:rFonts w:ascii="宋体" w:hAnsi="宋体"/>
          <w:b/>
          <w:sz w:val="24"/>
        </w:rPr>
        <w:br w:type="page"/>
      </w:r>
      <w:r>
        <w:rPr>
          <w:rFonts w:hint="eastAsia" w:ascii="宋体" w:hAnsi="宋体"/>
          <w:b/>
          <w:sz w:val="24"/>
        </w:rPr>
        <w:t>3.投标人参加本项目无围标串标行为的承诺</w:t>
      </w:r>
    </w:p>
    <w:p w14:paraId="73605582">
      <w:pPr>
        <w:snapToGrid w:val="0"/>
        <w:spacing w:before="120" w:beforeLines="50" w:after="50"/>
        <w:jc w:val="left"/>
        <w:rPr>
          <w:rFonts w:hint="eastAsia" w:ascii="宋体" w:hAnsi="宋体"/>
          <w:b/>
          <w:sz w:val="24"/>
        </w:rPr>
      </w:pPr>
    </w:p>
    <w:p w14:paraId="65894B19">
      <w:pPr>
        <w:spacing w:line="360" w:lineRule="auto"/>
        <w:contextualSpacing/>
        <w:jc w:val="center"/>
        <w:rPr>
          <w:rFonts w:ascii="宋体" w:hAnsi="宋体"/>
          <w:b/>
          <w:sz w:val="24"/>
        </w:rPr>
      </w:pPr>
      <w:r>
        <w:rPr>
          <w:rFonts w:hint="eastAsia" w:ascii="方正小标宋简体" w:hAnsi="方正小标宋简体" w:eastAsia="方正小标宋简体" w:cs="方正小标宋简体"/>
          <w:bCs/>
          <w:spacing w:val="-11"/>
          <w:sz w:val="44"/>
          <w:szCs w:val="44"/>
        </w:rPr>
        <w:t>投标人参加本项目无围标串标行为的承诺函</w:t>
      </w:r>
    </w:p>
    <w:p w14:paraId="7E292527">
      <w:pPr>
        <w:spacing w:line="440" w:lineRule="exact"/>
        <w:contextualSpacing/>
        <w:jc w:val="left"/>
        <w:rPr>
          <w:rFonts w:hint="eastAsia" w:ascii="宋体" w:hAnsi="宋体"/>
          <w:b/>
          <w:sz w:val="24"/>
        </w:rPr>
      </w:pPr>
      <w:r>
        <w:rPr>
          <w:rFonts w:hint="eastAsia" w:ascii="宋体" w:hAnsi="宋体"/>
          <w:b/>
          <w:sz w:val="24"/>
        </w:rPr>
        <w:t>一、我方承诺无下列相互串通投标的情形：</w:t>
      </w:r>
    </w:p>
    <w:p w14:paraId="463E0AEB">
      <w:pPr>
        <w:spacing w:line="440" w:lineRule="exact"/>
        <w:ind w:firstLine="470" w:firstLineChars="196"/>
        <w:contextualSpacing/>
        <w:jc w:val="left"/>
        <w:rPr>
          <w:rFonts w:hint="eastAsia" w:ascii="宋体" w:hAnsi="宋体"/>
          <w:sz w:val="24"/>
        </w:rPr>
      </w:pPr>
      <w:r>
        <w:rPr>
          <w:rFonts w:hint="eastAsia" w:ascii="宋体" w:hAnsi="宋体"/>
          <w:sz w:val="24"/>
        </w:rPr>
        <w:t>1.不同投标人的投标文件由同一单位或者个人编制；或不同投标人报名的IP地址一致的；</w:t>
      </w:r>
    </w:p>
    <w:p w14:paraId="3A8682DF">
      <w:pPr>
        <w:spacing w:line="440" w:lineRule="exact"/>
        <w:ind w:firstLine="470" w:firstLineChars="196"/>
        <w:contextualSpacing/>
        <w:jc w:val="left"/>
        <w:rPr>
          <w:rFonts w:hint="eastAsia" w:ascii="宋体" w:hAnsi="宋体"/>
          <w:sz w:val="24"/>
        </w:rPr>
      </w:pPr>
      <w:r>
        <w:rPr>
          <w:rFonts w:hint="eastAsia" w:ascii="宋体" w:hAnsi="宋体"/>
          <w:sz w:val="24"/>
        </w:rPr>
        <w:t>2.不同投标人委托同一单位或者个人办理投标事宜；</w:t>
      </w:r>
    </w:p>
    <w:p w14:paraId="0FB949D0">
      <w:pPr>
        <w:spacing w:line="440" w:lineRule="exact"/>
        <w:ind w:firstLine="470" w:firstLineChars="196"/>
        <w:contextualSpacing/>
        <w:jc w:val="left"/>
        <w:rPr>
          <w:rFonts w:hint="eastAsia" w:ascii="宋体" w:hAnsi="宋体"/>
          <w:sz w:val="24"/>
        </w:rPr>
      </w:pPr>
      <w:r>
        <w:rPr>
          <w:rFonts w:hint="eastAsia" w:ascii="宋体" w:hAnsi="宋体"/>
          <w:sz w:val="24"/>
        </w:rPr>
        <w:t>3.不同的投标人的投标文件载明的项目管理员为同一个人；</w:t>
      </w:r>
    </w:p>
    <w:p w14:paraId="678FAD99">
      <w:pPr>
        <w:spacing w:line="440" w:lineRule="exact"/>
        <w:ind w:firstLine="470" w:firstLineChars="196"/>
        <w:contextualSpacing/>
        <w:jc w:val="left"/>
        <w:rPr>
          <w:rFonts w:hint="eastAsia" w:ascii="宋体" w:hAnsi="宋体"/>
          <w:sz w:val="24"/>
        </w:rPr>
      </w:pPr>
      <w:r>
        <w:rPr>
          <w:rFonts w:hint="eastAsia" w:ascii="宋体" w:hAnsi="宋体"/>
          <w:sz w:val="24"/>
        </w:rPr>
        <w:t>4.不同投标人的投标文件异常一致或者投标报价呈规律性差异；</w:t>
      </w:r>
    </w:p>
    <w:p w14:paraId="0AB99BCF">
      <w:pPr>
        <w:spacing w:line="440" w:lineRule="exact"/>
        <w:ind w:firstLine="470" w:firstLineChars="196"/>
        <w:contextualSpacing/>
        <w:jc w:val="left"/>
        <w:rPr>
          <w:rFonts w:hint="eastAsia" w:ascii="宋体" w:hAnsi="宋体"/>
          <w:sz w:val="24"/>
        </w:rPr>
      </w:pPr>
      <w:r>
        <w:rPr>
          <w:rFonts w:hint="eastAsia" w:ascii="宋体" w:hAnsi="宋体"/>
          <w:sz w:val="24"/>
        </w:rPr>
        <w:t>5.不同投标人的投标文件相互混装；</w:t>
      </w:r>
    </w:p>
    <w:p w14:paraId="3FAA9E8C">
      <w:pPr>
        <w:spacing w:line="440" w:lineRule="exact"/>
        <w:ind w:firstLine="470" w:firstLineChars="196"/>
        <w:contextualSpacing/>
        <w:jc w:val="left"/>
        <w:rPr>
          <w:rFonts w:hint="eastAsia" w:ascii="宋体" w:hAnsi="宋体"/>
          <w:sz w:val="24"/>
        </w:rPr>
      </w:pPr>
      <w:r>
        <w:rPr>
          <w:rFonts w:hint="eastAsia" w:ascii="宋体" w:hAnsi="宋体"/>
          <w:sz w:val="24"/>
        </w:rPr>
        <w:t>6.不同投标人的投标保证金从同一单位或者个人账户转出。</w:t>
      </w:r>
    </w:p>
    <w:p w14:paraId="122D4048">
      <w:pPr>
        <w:spacing w:line="440" w:lineRule="exact"/>
        <w:contextualSpacing/>
        <w:jc w:val="left"/>
        <w:rPr>
          <w:rFonts w:hint="eastAsia" w:ascii="宋体" w:hAnsi="宋体"/>
          <w:sz w:val="24"/>
        </w:rPr>
      </w:pPr>
      <w:r>
        <w:rPr>
          <w:rFonts w:hint="eastAsia" w:ascii="宋体" w:hAnsi="宋体"/>
          <w:b/>
          <w:sz w:val="24"/>
        </w:rPr>
        <w:t>二、我方承诺无下列恶意串通的情形：</w:t>
      </w:r>
    </w:p>
    <w:p w14:paraId="2610F11F">
      <w:pPr>
        <w:spacing w:line="440" w:lineRule="exact"/>
        <w:ind w:firstLine="470" w:firstLineChars="196"/>
        <w:contextualSpacing/>
        <w:jc w:val="left"/>
        <w:rPr>
          <w:rFonts w:hint="eastAsia" w:ascii="宋体" w:hAnsi="宋体"/>
          <w:sz w:val="24"/>
        </w:rPr>
      </w:pPr>
      <w:r>
        <w:rPr>
          <w:rFonts w:hint="eastAsia" w:ascii="宋体" w:hAnsi="宋体"/>
          <w:sz w:val="24"/>
        </w:rPr>
        <w:t>1.投标人直接或者间接从采购人或者采购代理机构处获得其他投标人的相关信息并修改其投标文件或者响应文件；</w:t>
      </w:r>
    </w:p>
    <w:p w14:paraId="79467557">
      <w:pPr>
        <w:spacing w:line="440" w:lineRule="exact"/>
        <w:ind w:firstLine="470" w:firstLineChars="196"/>
        <w:contextualSpacing/>
        <w:jc w:val="left"/>
        <w:rPr>
          <w:rFonts w:hint="eastAsia" w:ascii="宋体" w:hAnsi="宋体"/>
          <w:sz w:val="24"/>
        </w:rPr>
      </w:pPr>
      <w:r>
        <w:rPr>
          <w:rFonts w:hint="eastAsia" w:ascii="宋体" w:hAnsi="宋体"/>
          <w:sz w:val="24"/>
        </w:rPr>
        <w:t>2.投标人按照采购人或者采购代理机构的授意撤换、修改投标文件或者响应文件；</w:t>
      </w:r>
    </w:p>
    <w:p w14:paraId="3116F367">
      <w:pPr>
        <w:spacing w:line="440" w:lineRule="exact"/>
        <w:ind w:firstLine="470" w:firstLineChars="196"/>
        <w:contextualSpacing/>
        <w:jc w:val="left"/>
        <w:rPr>
          <w:rFonts w:hint="eastAsia" w:ascii="宋体" w:hAnsi="宋体"/>
          <w:sz w:val="24"/>
        </w:rPr>
      </w:pPr>
      <w:r>
        <w:rPr>
          <w:rFonts w:hint="eastAsia" w:ascii="宋体" w:hAnsi="宋体"/>
          <w:sz w:val="24"/>
        </w:rPr>
        <w:t>3.投标人之间协商报价、技术方案等投标文件或者响应文件的实质性内容；</w:t>
      </w:r>
    </w:p>
    <w:p w14:paraId="6F9ECC49">
      <w:pPr>
        <w:spacing w:line="440" w:lineRule="exact"/>
        <w:ind w:firstLine="470" w:firstLineChars="196"/>
        <w:contextualSpacing/>
        <w:jc w:val="left"/>
        <w:rPr>
          <w:rFonts w:hint="eastAsia" w:ascii="宋体" w:hAnsi="宋体"/>
          <w:sz w:val="24"/>
        </w:rPr>
      </w:pPr>
      <w:r>
        <w:rPr>
          <w:rFonts w:hint="eastAsia" w:ascii="宋体" w:hAnsi="宋体"/>
          <w:sz w:val="24"/>
        </w:rPr>
        <w:t>4.属于同一集团、协会、商会等组织成员的投标人按照该组织要求协同参加政府采购活动；</w:t>
      </w:r>
    </w:p>
    <w:p w14:paraId="34C24C9A">
      <w:pPr>
        <w:spacing w:line="440" w:lineRule="exact"/>
        <w:ind w:firstLine="470" w:firstLineChars="196"/>
        <w:contextualSpacing/>
        <w:jc w:val="left"/>
        <w:rPr>
          <w:rFonts w:hint="eastAsia" w:ascii="宋体" w:hAnsi="宋体"/>
          <w:sz w:val="24"/>
        </w:rPr>
      </w:pPr>
      <w:r>
        <w:rPr>
          <w:rFonts w:hint="eastAsia" w:ascii="宋体" w:hAnsi="宋体"/>
          <w:sz w:val="24"/>
        </w:rPr>
        <w:t>5.投标人之间事先约定一致抬高或者压低投标报价，或者在招标项目中事先约定轮流以高价位或者低价位中标，或者事先约定由某一特定投标人中标，然后再参加投标；</w:t>
      </w:r>
    </w:p>
    <w:p w14:paraId="17118BA1">
      <w:pPr>
        <w:spacing w:line="440" w:lineRule="exact"/>
        <w:ind w:firstLine="470" w:firstLineChars="196"/>
        <w:contextualSpacing/>
        <w:jc w:val="left"/>
        <w:rPr>
          <w:rFonts w:hint="eastAsia" w:ascii="宋体" w:hAnsi="宋体"/>
          <w:sz w:val="24"/>
        </w:rPr>
      </w:pPr>
      <w:r>
        <w:rPr>
          <w:rFonts w:hint="eastAsia" w:ascii="宋体" w:hAnsi="宋体"/>
          <w:sz w:val="24"/>
        </w:rPr>
        <w:t>6.投标人之间商定部分投标人放弃参加政府采购活动或者放弃中标；</w:t>
      </w:r>
    </w:p>
    <w:p w14:paraId="72CDFF85">
      <w:pPr>
        <w:spacing w:line="440" w:lineRule="exact"/>
        <w:ind w:firstLine="470" w:firstLineChars="196"/>
        <w:contextualSpacing/>
        <w:jc w:val="left"/>
        <w:rPr>
          <w:rFonts w:hint="eastAsia" w:ascii="宋体" w:hAnsi="宋体"/>
          <w:sz w:val="24"/>
        </w:rPr>
      </w:pPr>
      <w:r>
        <w:rPr>
          <w:rFonts w:hint="eastAsia" w:ascii="宋体" w:hAnsi="宋体"/>
          <w:sz w:val="24"/>
        </w:rPr>
        <w:t>7.投标人与采购人或者采购代理机构之间、投标人相互之间，为谋求特定投标人中标或者排斥其他投标人的其他串通行为。</w:t>
      </w:r>
    </w:p>
    <w:p w14:paraId="11B6A628">
      <w:pPr>
        <w:spacing w:line="440" w:lineRule="exact"/>
        <w:ind w:firstLine="472" w:firstLineChars="196"/>
        <w:contextualSpacing/>
        <w:jc w:val="left"/>
        <w:rPr>
          <w:rFonts w:hint="eastAsia" w:ascii="宋体" w:hAnsi="宋体"/>
          <w:b/>
          <w:sz w:val="24"/>
        </w:rPr>
      </w:pPr>
      <w:r>
        <w:rPr>
          <w:rFonts w:hint="eastAsia" w:ascii="宋体" w:hAnsi="宋体"/>
          <w:b/>
          <w:sz w:val="24"/>
        </w:rPr>
        <w:t>以上情形一经核查属实，我方愿意承担一切后果，并不再寻求任何旨在减轻或者免除法律责任的辩解。</w:t>
      </w:r>
    </w:p>
    <w:p w14:paraId="4CF08999">
      <w:pPr>
        <w:pStyle w:val="25"/>
        <w:spacing w:line="440" w:lineRule="exact"/>
        <w:ind w:firstLine="960" w:firstLineChars="400"/>
        <w:contextualSpacing/>
        <w:rPr>
          <w:rFonts w:hint="eastAsia" w:hAnsi="宋体"/>
          <w:sz w:val="24"/>
          <w:szCs w:val="24"/>
        </w:rPr>
      </w:pPr>
      <w:r>
        <w:rPr>
          <w:rFonts w:hAnsi="宋体"/>
          <w:sz w:val="24"/>
          <w:szCs w:val="24"/>
        </w:rPr>
        <w:t xml:space="preserve"> </w:t>
      </w:r>
      <w:r>
        <w:rPr>
          <w:rFonts w:hint="eastAsia" w:hAnsi="宋体"/>
          <w:sz w:val="24"/>
        </w:rPr>
        <w:t>法定代表人或者委托代理人</w:t>
      </w:r>
      <w:r>
        <w:rPr>
          <w:rFonts w:hint="eastAsia" w:hAnsi="宋体"/>
          <w:spacing w:val="20"/>
          <w:sz w:val="24"/>
        </w:rPr>
        <w:t>（签字或者电子签名）：</w:t>
      </w:r>
      <w:r>
        <w:rPr>
          <w:rFonts w:hint="eastAsia" w:hAnsi="宋体"/>
          <w:spacing w:val="20"/>
          <w:sz w:val="24"/>
          <w:u w:val="single"/>
        </w:rPr>
        <w:t xml:space="preserve">        </w:t>
      </w:r>
    </w:p>
    <w:p w14:paraId="5EF47649">
      <w:pPr>
        <w:pStyle w:val="25"/>
        <w:spacing w:line="440" w:lineRule="exact"/>
        <w:contextualSpacing/>
        <w:jc w:val="center"/>
        <w:rPr>
          <w:rFonts w:hint="eastAsia" w:hAnsi="宋体"/>
          <w:sz w:val="24"/>
          <w:szCs w:val="24"/>
        </w:rPr>
      </w:pPr>
      <w:r>
        <w:rPr>
          <w:rFonts w:hint="eastAsia" w:hAnsi="宋体"/>
          <w:sz w:val="24"/>
          <w:szCs w:val="24"/>
        </w:rPr>
        <w:t xml:space="preserve"> </w:t>
      </w:r>
      <w:r>
        <w:rPr>
          <w:rFonts w:hAnsi="宋体"/>
          <w:sz w:val="24"/>
          <w:szCs w:val="24"/>
        </w:rPr>
        <w:t xml:space="preserve">                                   </w:t>
      </w:r>
      <w:r>
        <w:rPr>
          <w:rFonts w:hint="eastAsia" w:hAnsi="宋体"/>
          <w:sz w:val="24"/>
          <w:szCs w:val="24"/>
        </w:rPr>
        <w:t>投标人名称（电子签章）</w:t>
      </w:r>
    </w:p>
    <w:p w14:paraId="1AEC8FFC">
      <w:pPr>
        <w:pStyle w:val="25"/>
        <w:spacing w:line="440" w:lineRule="exact"/>
        <w:contextualSpacing/>
        <w:jc w:val="center"/>
        <w:rPr>
          <w:rFonts w:hint="eastAsia" w:hAnsi="宋体"/>
          <w:sz w:val="24"/>
        </w:rPr>
      </w:pPr>
      <w:r>
        <w:rPr>
          <w:rFonts w:hint="eastAsia" w:hAnsi="宋体"/>
          <w:sz w:val="24"/>
        </w:rPr>
        <w:t xml:space="preserve">                                                </w:t>
      </w:r>
      <w:r>
        <w:rPr>
          <w:rFonts w:hint="eastAsia" w:hAnsi="宋体"/>
          <w:sz w:val="24"/>
          <w:u w:val="single"/>
        </w:rPr>
        <w:t xml:space="preserve">      </w:t>
      </w:r>
      <w:r>
        <w:rPr>
          <w:rFonts w:hint="eastAsia" w:hAnsi="宋体"/>
          <w:sz w:val="24"/>
        </w:rPr>
        <w:t>年</w:t>
      </w:r>
      <w:r>
        <w:rPr>
          <w:rFonts w:hint="eastAsia" w:hAnsi="宋体"/>
          <w:sz w:val="24"/>
          <w:u w:val="single"/>
        </w:rPr>
        <w:t xml:space="preserve">    </w:t>
      </w:r>
      <w:r>
        <w:rPr>
          <w:rFonts w:hint="eastAsia" w:hAnsi="宋体"/>
          <w:sz w:val="24"/>
        </w:rPr>
        <w:t>月</w:t>
      </w:r>
      <w:r>
        <w:rPr>
          <w:rFonts w:hint="eastAsia" w:hAnsi="宋体"/>
          <w:sz w:val="24"/>
          <w:u w:val="single"/>
        </w:rPr>
        <w:t xml:space="preserve">     </w:t>
      </w:r>
      <w:r>
        <w:rPr>
          <w:rFonts w:hint="eastAsia" w:hAnsi="宋体"/>
          <w:sz w:val="24"/>
        </w:rPr>
        <w:t>日</w:t>
      </w:r>
    </w:p>
    <w:p w14:paraId="56527AC0">
      <w:pPr>
        <w:snapToGrid w:val="0"/>
        <w:spacing w:before="120" w:beforeLines="50" w:after="50"/>
        <w:jc w:val="left"/>
        <w:rPr>
          <w:rFonts w:ascii="宋体" w:hAnsi="宋体"/>
          <w:b/>
          <w:sz w:val="24"/>
        </w:rPr>
      </w:pPr>
    </w:p>
    <w:p w14:paraId="0DEAEBAE">
      <w:pPr>
        <w:snapToGrid w:val="0"/>
        <w:spacing w:before="120" w:beforeLines="50" w:after="50"/>
        <w:jc w:val="left"/>
        <w:rPr>
          <w:rFonts w:hint="eastAsia" w:ascii="宋体" w:hAnsi="宋体"/>
          <w:b/>
          <w:sz w:val="24"/>
          <w:szCs w:val="20"/>
        </w:rPr>
      </w:pPr>
      <w:r>
        <w:rPr>
          <w:rFonts w:hint="eastAsia" w:ascii="宋体" w:hAnsi="宋体"/>
          <w:b/>
          <w:sz w:val="24"/>
        </w:rPr>
        <w:t>4.法定代表人身份证明</w:t>
      </w:r>
    </w:p>
    <w:p w14:paraId="72B24049">
      <w:pPr>
        <w:spacing w:before="240" w:beforeLines="100" w:after="120" w:afterLines="50"/>
        <w:ind w:left="540"/>
        <w:jc w:val="center"/>
        <w:rPr>
          <w:rFonts w:hint="eastAsia" w:ascii="宋体" w:hAnsi="Courier New"/>
          <w:b/>
          <w:sz w:val="32"/>
          <w:szCs w:val="32"/>
        </w:rPr>
      </w:pPr>
    </w:p>
    <w:p w14:paraId="17233D4D">
      <w:pPr>
        <w:spacing w:before="240" w:beforeLines="100" w:after="120" w:afterLines="50"/>
        <w:ind w:left="540"/>
        <w:jc w:val="center"/>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法定代表人身份证明</w:t>
      </w:r>
    </w:p>
    <w:p w14:paraId="62D4E14A">
      <w:pPr>
        <w:spacing w:line="500" w:lineRule="exact"/>
        <w:ind w:left="540"/>
        <w:rPr>
          <w:rFonts w:hint="eastAsia" w:ascii="宋体" w:hAnsi="宋体"/>
          <w:sz w:val="24"/>
        </w:rPr>
      </w:pPr>
      <w:r>
        <w:rPr>
          <w:rFonts w:hint="eastAsia" w:ascii="宋体" w:hAnsi="宋体"/>
          <w:sz w:val="24"/>
        </w:rPr>
        <w:t>投 标 人：</w:t>
      </w:r>
      <w:r>
        <w:rPr>
          <w:rFonts w:hint="eastAsia" w:ascii="宋体" w:hAnsi="宋体"/>
          <w:sz w:val="24"/>
          <w:u w:val="single"/>
        </w:rPr>
        <w:t xml:space="preserve">                                                        </w:t>
      </w:r>
    </w:p>
    <w:p w14:paraId="5ACD46DC">
      <w:pPr>
        <w:spacing w:line="500" w:lineRule="exact"/>
        <w:ind w:left="540"/>
        <w:rPr>
          <w:rFonts w:hint="eastAsia" w:ascii="宋体" w:hAnsi="宋体"/>
          <w:sz w:val="24"/>
        </w:rPr>
      </w:pPr>
      <w:r>
        <w:rPr>
          <w:rFonts w:hint="eastAsia" w:ascii="宋体" w:hAnsi="宋体"/>
          <w:sz w:val="24"/>
        </w:rPr>
        <w:t>地    址：</w:t>
      </w:r>
      <w:r>
        <w:rPr>
          <w:rFonts w:hint="eastAsia" w:ascii="宋体" w:hAnsi="宋体"/>
          <w:sz w:val="24"/>
          <w:u w:val="single"/>
        </w:rPr>
        <w:t xml:space="preserve">                                                        </w:t>
      </w:r>
    </w:p>
    <w:p w14:paraId="082F4590">
      <w:pPr>
        <w:spacing w:line="500" w:lineRule="exact"/>
        <w:ind w:left="540"/>
        <w:rPr>
          <w:rFonts w:hint="eastAsia" w:ascii="宋体" w:hAnsi="宋体"/>
          <w:sz w:val="24"/>
        </w:rPr>
      </w:pPr>
      <w:r>
        <w:rPr>
          <w:rFonts w:hint="eastAsia" w:ascii="宋体" w:hAnsi="宋体"/>
          <w:sz w:val="24"/>
        </w:rPr>
        <w:t>姓    名：</w:t>
      </w:r>
      <w:r>
        <w:rPr>
          <w:rFonts w:hint="eastAsia" w:ascii="宋体" w:hAnsi="宋体"/>
          <w:sz w:val="24"/>
          <w:u w:val="single"/>
        </w:rPr>
        <w:t xml:space="preserve">                          </w:t>
      </w:r>
      <w:r>
        <w:rPr>
          <w:rFonts w:hint="eastAsia" w:ascii="宋体" w:hAnsi="宋体"/>
          <w:sz w:val="24"/>
        </w:rPr>
        <w:t>性      别：</w:t>
      </w:r>
      <w:r>
        <w:rPr>
          <w:rFonts w:hint="eastAsia" w:ascii="宋体" w:hAnsi="宋体"/>
          <w:sz w:val="24"/>
          <w:u w:val="single"/>
        </w:rPr>
        <w:t xml:space="preserve">                </w:t>
      </w:r>
    </w:p>
    <w:p w14:paraId="4C08260B">
      <w:pPr>
        <w:spacing w:line="500" w:lineRule="exact"/>
        <w:ind w:left="540"/>
        <w:rPr>
          <w:rFonts w:hint="eastAsia" w:ascii="宋体" w:hAnsi="宋体"/>
          <w:sz w:val="24"/>
          <w:u w:val="single"/>
        </w:rPr>
      </w:pPr>
      <w:r>
        <w:rPr>
          <w:rFonts w:hint="eastAsia" w:ascii="宋体" w:hAnsi="宋体"/>
          <w:sz w:val="24"/>
        </w:rPr>
        <w:t>年    龄：</w:t>
      </w:r>
      <w:r>
        <w:rPr>
          <w:rFonts w:hint="eastAsia" w:ascii="宋体" w:hAnsi="宋体"/>
          <w:sz w:val="24"/>
          <w:u w:val="single"/>
        </w:rPr>
        <w:t xml:space="preserve">                          </w:t>
      </w:r>
      <w:r>
        <w:rPr>
          <w:rFonts w:hint="eastAsia" w:ascii="宋体" w:hAnsi="宋体"/>
          <w:sz w:val="24"/>
        </w:rPr>
        <w:t>职      务：</w:t>
      </w:r>
      <w:r>
        <w:rPr>
          <w:rFonts w:hint="eastAsia" w:ascii="宋体" w:hAnsi="宋体"/>
          <w:sz w:val="24"/>
          <w:u w:val="single"/>
        </w:rPr>
        <w:t xml:space="preserve">                </w:t>
      </w:r>
    </w:p>
    <w:p w14:paraId="4F8D80E4">
      <w:pPr>
        <w:spacing w:line="500" w:lineRule="exact"/>
        <w:ind w:left="540"/>
        <w:rPr>
          <w:rFonts w:hint="eastAsia" w:ascii="宋体" w:hAnsi="宋体"/>
          <w:sz w:val="24"/>
        </w:rPr>
      </w:pPr>
      <w:r>
        <w:rPr>
          <w:rFonts w:hint="eastAsia" w:ascii="宋体" w:hAnsi="宋体"/>
          <w:sz w:val="24"/>
        </w:rPr>
        <w:t>身份证</w:t>
      </w:r>
      <w:r>
        <w:rPr>
          <w:rFonts w:hint="eastAsia"/>
          <w:sz w:val="24"/>
        </w:rPr>
        <w:t>号码：</w:t>
      </w:r>
      <w:r>
        <w:rPr>
          <w:rFonts w:hint="eastAsia"/>
          <w:sz w:val="24"/>
          <w:u w:val="single"/>
        </w:rPr>
        <w:t xml:space="preserve">                                 </w:t>
      </w:r>
    </w:p>
    <w:p w14:paraId="601521E7">
      <w:pPr>
        <w:spacing w:line="500" w:lineRule="exact"/>
        <w:ind w:left="540"/>
        <w:rPr>
          <w:rFonts w:hint="eastAsia" w:ascii="宋体" w:hAnsi="宋体"/>
          <w:sz w:val="24"/>
        </w:rPr>
      </w:pPr>
      <w:r>
        <w:rPr>
          <w:rFonts w:hint="eastAsia" w:ascii="宋体" w:hAnsi="宋体"/>
          <w:sz w:val="24"/>
        </w:rPr>
        <w:t>系</w:t>
      </w:r>
      <w:r>
        <w:rPr>
          <w:rFonts w:hint="eastAsia" w:ascii="宋体" w:hAnsi="宋体"/>
          <w:sz w:val="24"/>
          <w:u w:val="single"/>
        </w:rPr>
        <w:t xml:space="preserve">            （投标人名称）              </w:t>
      </w:r>
      <w:r>
        <w:rPr>
          <w:rFonts w:hint="eastAsia" w:ascii="宋体" w:hAnsi="宋体"/>
          <w:sz w:val="24"/>
        </w:rPr>
        <w:t>的法定代表人。</w:t>
      </w:r>
    </w:p>
    <w:p w14:paraId="0C5D3E96">
      <w:pPr>
        <w:spacing w:line="500" w:lineRule="exact"/>
        <w:ind w:left="540"/>
        <w:rPr>
          <w:rFonts w:hint="eastAsia" w:ascii="宋体" w:hAnsi="宋体"/>
          <w:sz w:val="24"/>
        </w:rPr>
      </w:pPr>
      <w:r>
        <w:rPr>
          <w:rFonts w:hint="eastAsia" w:ascii="宋体" w:hAnsi="宋体"/>
          <w:sz w:val="24"/>
        </w:rPr>
        <w:t>特此证明。</w:t>
      </w:r>
    </w:p>
    <w:p w14:paraId="789BDD0A">
      <w:pPr>
        <w:spacing w:line="500" w:lineRule="exact"/>
        <w:ind w:left="540"/>
        <w:rPr>
          <w:rFonts w:hint="eastAsia" w:ascii="宋体" w:hAnsi="宋体"/>
          <w:sz w:val="24"/>
        </w:rPr>
      </w:pPr>
    </w:p>
    <w:p w14:paraId="4776B7B0">
      <w:pPr>
        <w:spacing w:line="500" w:lineRule="exact"/>
        <w:ind w:left="540"/>
        <w:rPr>
          <w:rFonts w:hint="eastAsia" w:ascii="宋体" w:hAnsi="宋体"/>
          <w:sz w:val="24"/>
        </w:rPr>
      </w:pPr>
    </w:p>
    <w:p w14:paraId="2CE53A3C">
      <w:pPr>
        <w:spacing w:line="500" w:lineRule="exact"/>
        <w:ind w:left="540"/>
        <w:rPr>
          <w:rFonts w:hint="eastAsia" w:ascii="宋体" w:hAnsi="宋体"/>
          <w:sz w:val="24"/>
        </w:rPr>
      </w:pPr>
      <w:r>
        <w:rPr>
          <w:rFonts w:hint="eastAsia" w:ascii="宋体" w:hAnsi="宋体"/>
          <w:sz w:val="24"/>
        </w:rPr>
        <w:t>附件：法定代表人有效身份证正反面复印件</w:t>
      </w:r>
    </w:p>
    <w:p w14:paraId="45883396">
      <w:pPr>
        <w:spacing w:line="500" w:lineRule="exact"/>
        <w:ind w:left="540"/>
        <w:rPr>
          <w:rFonts w:hint="eastAsia" w:ascii="宋体" w:hAnsi="宋体"/>
          <w:sz w:val="24"/>
        </w:rPr>
      </w:pPr>
    </w:p>
    <w:p w14:paraId="77E205F1">
      <w:pPr>
        <w:spacing w:line="500" w:lineRule="exact"/>
        <w:ind w:left="540"/>
        <w:jc w:val="right"/>
        <w:rPr>
          <w:rFonts w:hint="eastAsia" w:ascii="宋体" w:hAnsi="宋体"/>
          <w:sz w:val="24"/>
        </w:rPr>
      </w:pPr>
      <w:r>
        <w:rPr>
          <w:rFonts w:hint="eastAsia" w:ascii="宋体" w:hAnsi="宋体"/>
          <w:sz w:val="24"/>
        </w:rPr>
        <w:t>投标人名称（电子签章）</w:t>
      </w:r>
    </w:p>
    <w:p w14:paraId="7EDD2A16">
      <w:pPr>
        <w:spacing w:line="500" w:lineRule="exact"/>
        <w:ind w:left="540"/>
        <w:jc w:val="right"/>
        <w:rPr>
          <w:rFonts w:hint="eastAsia" w:ascii="宋体" w:hAnsi="宋体"/>
          <w:sz w:val="24"/>
        </w:rPr>
      </w:pPr>
    </w:p>
    <w:p w14:paraId="1CFE0C6E">
      <w:pPr>
        <w:snapToGrid w:val="0"/>
        <w:spacing w:before="120" w:beforeLines="50" w:after="50"/>
        <w:ind w:left="540"/>
        <w:jc w:val="right"/>
        <w:rPr>
          <w:rFonts w:hint="eastAsia" w:ascii="宋体" w:hAnsi="宋体"/>
          <w:sz w:val="24"/>
        </w:rPr>
      </w:pP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5AE407C1">
      <w:pPr>
        <w:snapToGrid w:val="0"/>
        <w:spacing w:before="120" w:beforeLines="50" w:after="50"/>
        <w:jc w:val="center"/>
        <w:rPr>
          <w:rFonts w:hint="eastAsia" w:ascii="宋体" w:hAnsi="宋体"/>
          <w:b/>
          <w:sz w:val="24"/>
        </w:rPr>
      </w:pPr>
    </w:p>
    <w:p w14:paraId="13210FB2">
      <w:pPr>
        <w:snapToGrid w:val="0"/>
        <w:spacing w:before="120" w:beforeLines="50" w:after="50"/>
        <w:jc w:val="left"/>
        <w:rPr>
          <w:rFonts w:hint="eastAsia" w:ascii="宋体" w:hAnsi="宋体"/>
          <w:b/>
          <w:sz w:val="24"/>
          <w:szCs w:val="20"/>
        </w:rPr>
      </w:pPr>
      <w:r>
        <w:rPr>
          <w:rFonts w:hint="eastAsia" w:ascii="宋体" w:hAnsi="宋体"/>
          <w:sz w:val="24"/>
        </w:rPr>
        <w:t>注：自然人投标的无需提供</w:t>
      </w:r>
    </w:p>
    <w:p w14:paraId="276B2994">
      <w:pPr>
        <w:snapToGrid w:val="0"/>
        <w:spacing w:before="120" w:beforeLines="50" w:after="50"/>
        <w:jc w:val="left"/>
        <w:rPr>
          <w:rFonts w:hint="eastAsia" w:ascii="宋体" w:hAnsi="宋体"/>
          <w:b/>
          <w:sz w:val="24"/>
          <w:szCs w:val="20"/>
        </w:rPr>
      </w:pPr>
      <w:r>
        <w:rPr>
          <w:rFonts w:ascii="宋体" w:hAnsi="宋体"/>
          <w:b/>
          <w:sz w:val="24"/>
        </w:rPr>
        <w:br w:type="page"/>
      </w:r>
      <w:r>
        <w:rPr>
          <w:rFonts w:hint="eastAsia" w:ascii="宋体" w:hAnsi="宋体"/>
          <w:b/>
          <w:sz w:val="24"/>
        </w:rPr>
        <w:t>5.授权委托书格式</w:t>
      </w:r>
    </w:p>
    <w:p w14:paraId="7CC7A9E9">
      <w:pPr>
        <w:spacing w:line="360" w:lineRule="auto"/>
        <w:contextualSpacing/>
        <w:jc w:val="center"/>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授权委托书</w:t>
      </w:r>
    </w:p>
    <w:p w14:paraId="5D718A38">
      <w:pPr>
        <w:spacing w:line="360" w:lineRule="auto"/>
        <w:contextualSpacing/>
        <w:jc w:val="center"/>
        <w:rPr>
          <w:rFonts w:hint="eastAsia" w:ascii="方正小标宋简体" w:hAnsi="方正小标宋简体" w:eastAsia="方正小标宋简体" w:cs="方正小标宋简体"/>
          <w:bCs/>
          <w:sz w:val="32"/>
          <w:szCs w:val="32"/>
        </w:rPr>
      </w:pPr>
      <w:r>
        <w:rPr>
          <w:rFonts w:hint="eastAsia" w:ascii="方正小标宋简体" w:hAnsi="方正小标宋简体" w:eastAsia="方正小标宋简体" w:cs="方正小标宋简体"/>
          <w:bCs/>
          <w:sz w:val="32"/>
          <w:szCs w:val="32"/>
        </w:rPr>
        <w:t>（非联合体投标格式）</w:t>
      </w:r>
    </w:p>
    <w:p w14:paraId="2BC85804">
      <w:pPr>
        <w:spacing w:line="360" w:lineRule="auto"/>
        <w:contextualSpacing/>
        <w:jc w:val="center"/>
        <w:rPr>
          <w:rFonts w:hint="eastAsia" w:ascii="方正小标宋简体" w:hAnsi="方正小标宋简体" w:eastAsia="方正小标宋简体" w:cs="方正小标宋简体"/>
          <w:bCs/>
          <w:sz w:val="24"/>
        </w:rPr>
      </w:pPr>
      <w:r>
        <w:rPr>
          <w:rFonts w:hint="eastAsia" w:ascii="方正小标宋简体" w:hAnsi="方正小标宋简体" w:eastAsia="方正小标宋简体" w:cs="方正小标宋简体"/>
          <w:bCs/>
          <w:sz w:val="32"/>
          <w:szCs w:val="32"/>
        </w:rPr>
        <w:t>（如有委托时）</w:t>
      </w:r>
    </w:p>
    <w:p w14:paraId="7FE1671A">
      <w:pPr>
        <w:spacing w:line="440" w:lineRule="exact"/>
        <w:contextualSpacing/>
        <w:jc w:val="center"/>
        <w:rPr>
          <w:rFonts w:hint="eastAsia" w:ascii="宋体" w:hAnsi="宋体"/>
          <w:b/>
          <w:sz w:val="24"/>
        </w:rPr>
      </w:pPr>
    </w:p>
    <w:p w14:paraId="7EDFC54D">
      <w:pPr>
        <w:spacing w:line="440" w:lineRule="exact"/>
        <w:contextualSpacing/>
        <w:rPr>
          <w:rFonts w:hint="eastAsia" w:ascii="宋体" w:hAnsi="宋体"/>
          <w:b/>
          <w:bCs/>
          <w:sz w:val="24"/>
        </w:rPr>
      </w:pPr>
      <w:r>
        <w:rPr>
          <w:rFonts w:hint="eastAsia" w:ascii="宋体" w:hAnsi="宋体"/>
          <w:bCs/>
          <w:sz w:val="24"/>
        </w:rPr>
        <w:t>致：</w:t>
      </w:r>
      <w:r>
        <w:rPr>
          <w:rFonts w:hint="eastAsia" w:ascii="宋体" w:hAnsi="宋体"/>
          <w:sz w:val="24"/>
          <w:u w:val="single"/>
        </w:rPr>
        <w:t>采购人名称</w:t>
      </w:r>
      <w:r>
        <w:rPr>
          <w:rFonts w:hint="eastAsia" w:ascii="宋体" w:hAnsi="宋体"/>
          <w:sz w:val="24"/>
        </w:rPr>
        <w:t>：</w:t>
      </w:r>
    </w:p>
    <w:p w14:paraId="45470839">
      <w:pPr>
        <w:spacing w:line="440" w:lineRule="exact"/>
        <w:ind w:firstLine="566" w:firstLineChars="236"/>
        <w:contextualSpacing/>
        <w:rPr>
          <w:rFonts w:hint="eastAsia" w:ascii="宋体" w:hAnsi="宋体"/>
          <w:sz w:val="24"/>
        </w:rPr>
      </w:pPr>
      <w:r>
        <w:rPr>
          <w:rFonts w:hint="eastAsia" w:ascii="宋体" w:hAnsi="宋体"/>
          <w:sz w:val="24"/>
        </w:rPr>
        <w:t>我</w:t>
      </w:r>
      <w:r>
        <w:rPr>
          <w:rFonts w:hint="eastAsia" w:ascii="宋体" w:hAnsi="宋体"/>
          <w:sz w:val="24"/>
          <w:u w:val="single"/>
        </w:rPr>
        <w:t xml:space="preserve">       </w:t>
      </w:r>
      <w:r>
        <w:rPr>
          <w:rFonts w:hint="eastAsia" w:ascii="宋体" w:hAnsi="宋体"/>
          <w:sz w:val="24"/>
        </w:rPr>
        <w:t>（姓名）系</w:t>
      </w:r>
      <w:r>
        <w:rPr>
          <w:rFonts w:hint="eastAsia" w:ascii="宋体" w:hAnsi="宋体"/>
          <w:sz w:val="24"/>
          <w:u w:val="single"/>
        </w:rPr>
        <w:t xml:space="preserve">      </w:t>
      </w:r>
      <w:r>
        <w:rPr>
          <w:rFonts w:hint="eastAsia" w:ascii="宋体" w:hAnsi="宋体"/>
          <w:sz w:val="24"/>
        </w:rPr>
        <w:t>（投标人名称）的法定代表人，现授权委托</w:t>
      </w:r>
      <w:r>
        <w:rPr>
          <w:rFonts w:hint="eastAsia" w:ascii="宋体" w:hAnsi="宋体"/>
          <w:sz w:val="24"/>
          <w:u w:val="single"/>
        </w:rPr>
        <w:t xml:space="preserve">              （姓名）</w:t>
      </w:r>
      <w:r>
        <w:rPr>
          <w:rFonts w:hint="eastAsia" w:ascii="宋体" w:hAnsi="宋体"/>
          <w:sz w:val="24"/>
        </w:rPr>
        <w:t>以我方的名义参加</w:t>
      </w:r>
      <w:r>
        <w:rPr>
          <w:rFonts w:hint="eastAsia" w:ascii="宋体" w:hAnsi="宋体"/>
          <w:sz w:val="24"/>
          <w:u w:val="single"/>
        </w:rPr>
        <w:t xml:space="preserve">              </w:t>
      </w:r>
      <w:r>
        <w:rPr>
          <w:rFonts w:hint="eastAsia" w:ascii="宋体" w:hAnsi="宋体"/>
          <w:sz w:val="24"/>
        </w:rPr>
        <w:t>项目的投标活动，并代表我方全权办理针对上述项目的所有采购程序和环节的具体事务和签署相关文件。</w:t>
      </w:r>
    </w:p>
    <w:p w14:paraId="08FD53C8">
      <w:pPr>
        <w:spacing w:line="440" w:lineRule="exact"/>
        <w:contextualSpacing/>
        <w:rPr>
          <w:rFonts w:hint="eastAsia" w:ascii="宋体" w:hAnsi="宋体"/>
          <w:sz w:val="24"/>
        </w:rPr>
      </w:pPr>
      <w:r>
        <w:rPr>
          <w:rFonts w:hint="eastAsia" w:ascii="宋体" w:hAnsi="宋体"/>
          <w:sz w:val="24"/>
        </w:rPr>
        <w:t xml:space="preserve">    我方对委托代理人的签字或者电子签名事项负全部责任。</w:t>
      </w:r>
    </w:p>
    <w:p w14:paraId="74F8C623">
      <w:pPr>
        <w:spacing w:line="440" w:lineRule="exact"/>
        <w:ind w:firstLine="480"/>
        <w:contextualSpacing/>
        <w:rPr>
          <w:rFonts w:hint="eastAsia" w:ascii="宋体" w:hAnsi="宋体"/>
          <w:sz w:val="24"/>
        </w:rPr>
      </w:pPr>
      <w:r>
        <w:rPr>
          <w:rFonts w:hint="eastAsia" w:ascii="宋体" w:hAnsi="宋体"/>
          <w:sz w:val="24"/>
          <w:u w:val="single"/>
        </w:rPr>
        <w:t>本授权书自签署之日起生效，在撤销授权的书面通知以前，本授权书一直有效。委托代理人在授权书有效期内签署的所有文件不因授权的撤销而失效。</w:t>
      </w:r>
    </w:p>
    <w:p w14:paraId="23D3B080">
      <w:pPr>
        <w:spacing w:line="440" w:lineRule="exact"/>
        <w:ind w:firstLine="480"/>
        <w:contextualSpacing/>
        <w:rPr>
          <w:rFonts w:hint="eastAsia" w:ascii="宋体" w:hAnsi="宋体"/>
          <w:sz w:val="24"/>
        </w:rPr>
      </w:pPr>
      <w:r>
        <w:rPr>
          <w:rFonts w:hint="eastAsia" w:ascii="宋体" w:hAnsi="宋体"/>
          <w:sz w:val="24"/>
        </w:rPr>
        <w:t>委托代理人无转委托权，特此委托。</w:t>
      </w:r>
    </w:p>
    <w:p w14:paraId="53BEF119">
      <w:pPr>
        <w:spacing w:line="440" w:lineRule="exact"/>
        <w:ind w:firstLine="480"/>
        <w:contextualSpacing/>
        <w:rPr>
          <w:rFonts w:hint="eastAsia" w:ascii="宋体" w:hAnsi="宋体"/>
          <w:sz w:val="24"/>
        </w:rPr>
      </w:pPr>
      <w:r>
        <w:rPr>
          <w:rFonts w:hint="eastAsia" w:ascii="宋体" w:hAnsi="宋体"/>
          <w:sz w:val="24"/>
        </w:rPr>
        <w:t>附：法定代表人身份证明及委托代理人有效身份证正反面复印件</w:t>
      </w:r>
    </w:p>
    <w:p w14:paraId="706F5EEB">
      <w:pPr>
        <w:spacing w:line="440" w:lineRule="exact"/>
        <w:contextualSpacing/>
        <w:rPr>
          <w:rFonts w:hint="eastAsia" w:ascii="宋体" w:hAnsi="宋体"/>
          <w:sz w:val="24"/>
        </w:rPr>
      </w:pPr>
    </w:p>
    <w:p w14:paraId="40FF14F3">
      <w:pPr>
        <w:spacing w:line="440" w:lineRule="exact"/>
        <w:contextualSpacing/>
        <w:rPr>
          <w:rFonts w:hint="eastAsia" w:ascii="宋体" w:hAnsi="宋体"/>
          <w:sz w:val="24"/>
        </w:rPr>
      </w:pPr>
      <w:r>
        <w:rPr>
          <w:rFonts w:hint="eastAsia" w:ascii="宋体" w:hAnsi="宋体"/>
          <w:sz w:val="24"/>
        </w:rPr>
        <w:t>委托代理人（签字或者电子签名）：</w:t>
      </w:r>
      <w:r>
        <w:rPr>
          <w:rFonts w:hint="eastAsia" w:ascii="宋体" w:hAnsi="宋体"/>
          <w:sz w:val="24"/>
          <w:u w:val="single"/>
        </w:rPr>
        <w:t xml:space="preserve">               </w:t>
      </w:r>
      <w:r>
        <w:rPr>
          <w:rFonts w:hint="eastAsia" w:ascii="宋体" w:hAnsi="宋体"/>
          <w:sz w:val="24"/>
        </w:rPr>
        <w:t xml:space="preserve">            </w:t>
      </w:r>
    </w:p>
    <w:p w14:paraId="7DA4D0FA">
      <w:pPr>
        <w:spacing w:line="440" w:lineRule="exact"/>
        <w:contextualSpacing/>
        <w:rPr>
          <w:rFonts w:hint="eastAsia" w:ascii="宋体" w:hAnsi="宋体"/>
          <w:sz w:val="24"/>
          <w:u w:val="single"/>
        </w:rPr>
      </w:pPr>
      <w:r>
        <w:rPr>
          <w:rFonts w:hint="eastAsia" w:ascii="宋体" w:hAnsi="宋体"/>
          <w:sz w:val="24"/>
        </w:rPr>
        <w:t>委托代理人身份证号码：</w:t>
      </w:r>
      <w:r>
        <w:rPr>
          <w:rFonts w:hint="eastAsia" w:ascii="宋体" w:hAnsi="宋体"/>
          <w:sz w:val="24"/>
          <w:u w:val="single"/>
        </w:rPr>
        <w:t xml:space="preserve">                             </w:t>
      </w:r>
    </w:p>
    <w:p w14:paraId="1E3E9E26">
      <w:pPr>
        <w:spacing w:line="440" w:lineRule="exact"/>
        <w:contextualSpacing/>
        <w:rPr>
          <w:rFonts w:hint="eastAsia" w:ascii="宋体" w:hAnsi="宋体"/>
          <w:sz w:val="24"/>
          <w:u w:val="single"/>
        </w:rPr>
      </w:pPr>
      <w:r>
        <w:rPr>
          <w:rFonts w:hint="eastAsia" w:ascii="宋体" w:hAnsi="宋体"/>
          <w:sz w:val="24"/>
        </w:rPr>
        <w:t>法定代表人（签字或者盖章或者电子签名）：</w:t>
      </w:r>
      <w:r>
        <w:rPr>
          <w:rFonts w:hint="eastAsia" w:ascii="宋体" w:hAnsi="宋体"/>
          <w:sz w:val="24"/>
          <w:u w:val="single"/>
        </w:rPr>
        <w:t xml:space="preserve">              </w:t>
      </w:r>
    </w:p>
    <w:p w14:paraId="2F6AEC6D">
      <w:pPr>
        <w:spacing w:line="440" w:lineRule="exact"/>
        <w:contextualSpacing/>
        <w:rPr>
          <w:rFonts w:hint="eastAsia" w:ascii="宋体" w:hAnsi="宋体"/>
          <w:sz w:val="24"/>
        </w:rPr>
      </w:pPr>
      <w:r>
        <w:rPr>
          <w:rFonts w:hint="eastAsia" w:ascii="宋体" w:hAnsi="宋体"/>
          <w:sz w:val="24"/>
        </w:rPr>
        <w:t xml:space="preserve"> </w:t>
      </w:r>
    </w:p>
    <w:p w14:paraId="11A9410A">
      <w:pPr>
        <w:spacing w:line="440" w:lineRule="exact"/>
        <w:contextualSpacing/>
        <w:jc w:val="center"/>
        <w:rPr>
          <w:rFonts w:hint="eastAsia" w:ascii="宋体" w:hAnsi="宋体"/>
          <w:sz w:val="24"/>
        </w:rPr>
      </w:pPr>
      <w:r>
        <w:rPr>
          <w:rFonts w:hint="eastAsia" w:ascii="宋体" w:hAnsi="宋体"/>
          <w:sz w:val="24"/>
        </w:rPr>
        <w:t xml:space="preserve">                                                投标人名称（电子签章）：</w:t>
      </w:r>
    </w:p>
    <w:p w14:paraId="014C1118">
      <w:pPr>
        <w:spacing w:line="440" w:lineRule="exact"/>
        <w:contextualSpacing/>
        <w:jc w:val="center"/>
        <w:rPr>
          <w:rFonts w:hint="eastAsia" w:ascii="宋体" w:hAnsi="宋体"/>
          <w:sz w:val="24"/>
        </w:rPr>
      </w:pPr>
      <w:r>
        <w:rPr>
          <w:rFonts w:hint="eastAsia" w:ascii="宋体" w:hAnsi="宋体"/>
          <w:sz w:val="24"/>
        </w:rPr>
        <w:t xml:space="preserve">                                              年    月    日</w:t>
      </w:r>
    </w:p>
    <w:p w14:paraId="3CE4C4A1">
      <w:pPr>
        <w:spacing w:line="440" w:lineRule="exact"/>
        <w:contextualSpacing/>
        <w:rPr>
          <w:rFonts w:hint="eastAsia" w:ascii="宋体" w:hAnsi="宋体" w:cs="仿宋_GB2312"/>
          <w:sz w:val="24"/>
        </w:rPr>
      </w:pPr>
      <w:r>
        <w:rPr>
          <w:rFonts w:hint="eastAsia" w:ascii="宋体" w:hAnsi="宋体" w:cs="仿宋_GB2312"/>
          <w:sz w:val="24"/>
        </w:rPr>
        <w:t>注：1.</w:t>
      </w:r>
      <w:bookmarkStart w:id="184" w:name="_Hlk65851555"/>
      <w:bookmarkStart w:id="185" w:name="_Hlk65851620"/>
      <w:r>
        <w:rPr>
          <w:rFonts w:hint="eastAsia" w:ascii="宋体" w:hAnsi="宋体" w:cs="仿宋_GB2312"/>
          <w:sz w:val="24"/>
        </w:rPr>
        <w:t>法定代表人必须在授权委托书上签字或者盖章</w:t>
      </w:r>
      <w:r>
        <w:rPr>
          <w:rFonts w:hint="eastAsia" w:ascii="宋体" w:hAnsi="宋体"/>
          <w:sz w:val="24"/>
        </w:rPr>
        <w:t>或者电子签名</w:t>
      </w:r>
      <w:r>
        <w:rPr>
          <w:rFonts w:hint="eastAsia" w:ascii="宋体" w:hAnsi="宋体" w:cs="仿宋_GB2312"/>
          <w:sz w:val="24"/>
        </w:rPr>
        <w:t>，</w:t>
      </w:r>
      <w:bookmarkEnd w:id="184"/>
      <w:r>
        <w:rPr>
          <w:rFonts w:hint="eastAsia" w:ascii="宋体" w:hAnsi="宋体" w:cs="仿宋_GB2312"/>
          <w:sz w:val="24"/>
        </w:rPr>
        <w:t>委托代理人必须在授权委托书上签字</w:t>
      </w:r>
      <w:r>
        <w:rPr>
          <w:rFonts w:hint="eastAsia" w:ascii="宋体" w:hAnsi="宋体"/>
          <w:sz w:val="24"/>
        </w:rPr>
        <w:t>或者电子签名</w:t>
      </w:r>
      <w:r>
        <w:rPr>
          <w:rFonts w:hint="eastAsia" w:ascii="宋体" w:hAnsi="宋体" w:cs="仿宋_GB2312"/>
          <w:sz w:val="24"/>
        </w:rPr>
        <w:t>，</w:t>
      </w:r>
      <w:r>
        <w:rPr>
          <w:rFonts w:hint="eastAsia" w:ascii="宋体" w:hAnsi="宋体" w:cs="仿宋_GB2312"/>
          <w:b/>
          <w:bCs/>
          <w:sz w:val="24"/>
        </w:rPr>
        <w:t>否则按无效投标处理</w:t>
      </w:r>
      <w:r>
        <w:rPr>
          <w:rFonts w:hint="eastAsia" w:ascii="宋体" w:hAnsi="宋体" w:cs="仿宋_GB2312"/>
          <w:sz w:val="24"/>
        </w:rPr>
        <w:t>；</w:t>
      </w:r>
      <w:bookmarkEnd w:id="185"/>
    </w:p>
    <w:p w14:paraId="76C507A5">
      <w:pPr>
        <w:spacing w:line="440" w:lineRule="exact"/>
        <w:ind w:firstLine="480" w:firstLineChars="200"/>
        <w:contextualSpacing/>
        <w:jc w:val="left"/>
        <w:rPr>
          <w:rFonts w:hint="eastAsia" w:ascii="宋体" w:hAnsi="宋体"/>
          <w:sz w:val="24"/>
        </w:rPr>
      </w:pPr>
      <w:r>
        <w:rPr>
          <w:rFonts w:hint="eastAsia" w:ascii="宋体" w:hAnsi="宋体" w:cs="仿宋_GB2312"/>
          <w:sz w:val="24"/>
        </w:rPr>
        <w:t>2.法人、其他组织投标时“我方”是指“我单位”，自然人投标时“我方”是指“本人”。</w:t>
      </w:r>
    </w:p>
    <w:p w14:paraId="4F6691C7">
      <w:pPr>
        <w:snapToGrid w:val="0"/>
        <w:spacing w:before="120" w:beforeLines="50" w:after="50"/>
        <w:ind w:firstLine="566" w:firstLineChars="236"/>
        <w:jc w:val="center"/>
        <w:rPr>
          <w:rFonts w:hint="eastAsia" w:ascii="方正小标宋简体" w:hAnsi="方正小标宋简体" w:eastAsia="方正小标宋简体" w:cs="方正小标宋简体"/>
          <w:sz w:val="44"/>
          <w:szCs w:val="44"/>
        </w:rPr>
      </w:pPr>
      <w:r>
        <w:rPr>
          <w:rFonts w:ascii="宋体" w:hAnsi="宋体"/>
          <w:sz w:val="24"/>
        </w:rPr>
        <w:br w:type="page"/>
      </w:r>
      <w:r>
        <w:rPr>
          <w:rFonts w:hint="eastAsia" w:ascii="方正小标宋简体" w:hAnsi="方正小标宋简体" w:eastAsia="方正小标宋简体" w:cs="方正小标宋简体"/>
          <w:sz w:val="44"/>
          <w:szCs w:val="44"/>
        </w:rPr>
        <w:t>授权委托书</w:t>
      </w:r>
    </w:p>
    <w:p w14:paraId="69838870">
      <w:pPr>
        <w:snapToGrid w:val="0"/>
        <w:spacing w:before="120" w:beforeLines="50" w:after="50"/>
        <w:ind w:firstLine="755" w:firstLineChars="236"/>
        <w:jc w:val="center"/>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（联合体投标格式）</w:t>
      </w:r>
    </w:p>
    <w:p w14:paraId="4978F3A9">
      <w:pPr>
        <w:snapToGrid w:val="0"/>
        <w:spacing w:before="120" w:beforeLines="50" w:after="50"/>
        <w:ind w:firstLine="755" w:firstLineChars="236"/>
        <w:jc w:val="center"/>
        <w:rPr>
          <w:rFonts w:hint="eastAsia" w:ascii="方正小标宋简体" w:hAnsi="方正小标宋简体" w:eastAsia="方正小标宋简体" w:cs="方正小标宋简体"/>
          <w:sz w:val="24"/>
        </w:rPr>
      </w:pPr>
      <w:r>
        <w:rPr>
          <w:rFonts w:hint="eastAsia" w:ascii="方正小标宋简体" w:hAnsi="方正小标宋简体" w:eastAsia="方正小标宋简体" w:cs="方正小标宋简体"/>
          <w:sz w:val="32"/>
          <w:szCs w:val="32"/>
        </w:rPr>
        <w:t>（如有委托时）</w:t>
      </w:r>
    </w:p>
    <w:p w14:paraId="46A8AD1D">
      <w:pPr>
        <w:spacing w:line="440" w:lineRule="exact"/>
        <w:contextualSpacing/>
        <w:jc w:val="left"/>
        <w:rPr>
          <w:rFonts w:hint="eastAsia" w:ascii="宋体" w:hAnsi="宋体"/>
          <w:sz w:val="24"/>
        </w:rPr>
      </w:pPr>
      <w:r>
        <w:rPr>
          <w:rFonts w:hint="eastAsia" w:ascii="宋体" w:hAnsi="宋体"/>
          <w:bCs/>
          <w:sz w:val="24"/>
        </w:rPr>
        <w:t>致：</w:t>
      </w:r>
      <w:r>
        <w:rPr>
          <w:rFonts w:hint="eastAsia" w:ascii="宋体" w:hAnsi="宋体"/>
          <w:sz w:val="24"/>
          <w:u w:val="single"/>
        </w:rPr>
        <w:t>采购人名称</w:t>
      </w:r>
      <w:r>
        <w:rPr>
          <w:rFonts w:hint="eastAsia" w:ascii="宋体" w:hAnsi="宋体"/>
          <w:sz w:val="24"/>
        </w:rPr>
        <w:t>：</w:t>
      </w:r>
    </w:p>
    <w:p w14:paraId="779922E5">
      <w:pPr>
        <w:spacing w:line="440" w:lineRule="exact"/>
        <w:ind w:firstLine="566" w:firstLineChars="236"/>
        <w:contextualSpacing/>
        <w:rPr>
          <w:rFonts w:hint="eastAsia" w:ascii="宋体" w:hAnsi="宋体"/>
          <w:sz w:val="24"/>
        </w:rPr>
      </w:pPr>
      <w:r>
        <w:rPr>
          <w:rFonts w:hint="eastAsia" w:ascii="宋体" w:hAnsi="宋体"/>
          <w:sz w:val="24"/>
        </w:rPr>
        <w:t xml:space="preserve">根据 </w:t>
      </w:r>
      <w:r>
        <w:rPr>
          <w:rFonts w:hint="eastAsia" w:ascii="宋体" w:hAnsi="宋体"/>
          <w:sz w:val="24"/>
          <w:u w:val="single"/>
        </w:rPr>
        <w:t xml:space="preserve"> （牵头人名称）</w:t>
      </w:r>
      <w:r>
        <w:rPr>
          <w:rFonts w:hint="eastAsia" w:ascii="宋体" w:hAnsi="宋体"/>
          <w:sz w:val="24"/>
        </w:rPr>
        <w:t>与</w:t>
      </w:r>
      <w:r>
        <w:rPr>
          <w:rFonts w:hint="eastAsia" w:ascii="宋体" w:hAnsi="宋体"/>
          <w:sz w:val="24"/>
          <w:u w:val="single"/>
        </w:rPr>
        <w:t>（联合体其他成员名称）</w:t>
      </w:r>
      <w:r>
        <w:rPr>
          <w:rFonts w:hint="eastAsia" w:ascii="宋体" w:hAnsi="宋体"/>
          <w:sz w:val="24"/>
        </w:rPr>
        <w:t>签订的《联合体投标协议书》的内容，</w:t>
      </w:r>
      <w:r>
        <w:rPr>
          <w:rFonts w:hint="eastAsia" w:ascii="宋体" w:hAnsi="宋体"/>
          <w:sz w:val="24"/>
          <w:u w:val="single"/>
        </w:rPr>
        <w:t>（牵头人名称）</w:t>
      </w:r>
      <w:r>
        <w:rPr>
          <w:rFonts w:hint="eastAsia" w:ascii="宋体" w:hAnsi="宋体"/>
          <w:sz w:val="24"/>
        </w:rPr>
        <w:t>的法定代表人</w:t>
      </w:r>
      <w:r>
        <w:rPr>
          <w:rFonts w:hint="eastAsia" w:ascii="宋体" w:hAnsi="宋体"/>
          <w:sz w:val="24"/>
          <w:u w:val="single"/>
        </w:rPr>
        <w:t>（姓名）</w:t>
      </w:r>
      <w:r>
        <w:rPr>
          <w:rFonts w:hint="eastAsia" w:ascii="宋体" w:hAnsi="宋体"/>
          <w:sz w:val="24"/>
        </w:rPr>
        <w:t>现授权委托</w:t>
      </w:r>
      <w:r>
        <w:rPr>
          <w:rFonts w:hint="eastAsia" w:ascii="宋体" w:hAnsi="宋体"/>
          <w:sz w:val="24"/>
          <w:u w:val="single"/>
        </w:rPr>
        <w:t xml:space="preserve">              （姓名）</w:t>
      </w:r>
      <w:r>
        <w:rPr>
          <w:rFonts w:hint="eastAsia" w:ascii="宋体" w:hAnsi="宋体"/>
          <w:sz w:val="24"/>
        </w:rPr>
        <w:t>以我方的名义参加</w:t>
      </w:r>
      <w:r>
        <w:rPr>
          <w:rFonts w:hint="eastAsia" w:ascii="宋体" w:hAnsi="宋体"/>
          <w:sz w:val="24"/>
          <w:u w:val="single"/>
        </w:rPr>
        <w:t xml:space="preserve">              </w:t>
      </w:r>
      <w:r>
        <w:rPr>
          <w:rFonts w:hint="eastAsia" w:ascii="宋体" w:hAnsi="宋体"/>
          <w:sz w:val="24"/>
        </w:rPr>
        <w:t>项目的投标活动，并代表我方全权办理针对上述项目的所有采购程序和环节的具体事务和签署相关文件。</w:t>
      </w:r>
    </w:p>
    <w:p w14:paraId="3D4D4BB0">
      <w:pPr>
        <w:spacing w:line="440" w:lineRule="exact"/>
        <w:ind w:firstLine="566" w:firstLineChars="236"/>
        <w:contextualSpacing/>
        <w:rPr>
          <w:rFonts w:hint="eastAsia" w:ascii="宋体" w:hAnsi="宋体"/>
          <w:sz w:val="24"/>
        </w:rPr>
      </w:pPr>
      <w:r>
        <w:rPr>
          <w:rFonts w:hint="eastAsia" w:ascii="宋体" w:hAnsi="宋体"/>
          <w:sz w:val="24"/>
        </w:rPr>
        <w:t>我方对委托代理人的签字或者电子签名事项负全部责任。</w:t>
      </w:r>
    </w:p>
    <w:p w14:paraId="58CA237E">
      <w:pPr>
        <w:spacing w:line="440" w:lineRule="exact"/>
        <w:ind w:firstLine="566" w:firstLineChars="236"/>
        <w:contextualSpacing/>
        <w:rPr>
          <w:rFonts w:hint="eastAsia" w:ascii="宋体" w:hAnsi="宋体"/>
          <w:sz w:val="24"/>
        </w:rPr>
      </w:pPr>
      <w:r>
        <w:rPr>
          <w:rFonts w:hint="eastAsia" w:ascii="宋体" w:hAnsi="宋体"/>
          <w:sz w:val="24"/>
        </w:rPr>
        <w:t>本授权书自签署之日起生效，在撤销授权的书面通知以前，本授权书一直有效。委托代理人在授权书有效期内签署的所有文件不因授权的撤销而失效。</w:t>
      </w:r>
    </w:p>
    <w:p w14:paraId="2DB7A21E">
      <w:pPr>
        <w:spacing w:line="440" w:lineRule="exact"/>
        <w:ind w:firstLine="566" w:firstLineChars="236"/>
        <w:contextualSpacing/>
        <w:rPr>
          <w:rFonts w:hint="eastAsia" w:ascii="宋体" w:hAnsi="宋体"/>
          <w:sz w:val="24"/>
        </w:rPr>
      </w:pPr>
      <w:r>
        <w:rPr>
          <w:rFonts w:hint="eastAsia" w:ascii="宋体" w:hAnsi="宋体"/>
          <w:sz w:val="24"/>
        </w:rPr>
        <w:t>委托代理人无转委托权，特此委托。</w:t>
      </w:r>
    </w:p>
    <w:p w14:paraId="05F073C1">
      <w:pPr>
        <w:spacing w:line="440" w:lineRule="exact"/>
        <w:ind w:firstLine="566" w:firstLineChars="236"/>
        <w:contextualSpacing/>
        <w:rPr>
          <w:rFonts w:ascii="宋体" w:hAnsi="宋体"/>
          <w:sz w:val="24"/>
        </w:rPr>
      </w:pPr>
      <w:r>
        <w:rPr>
          <w:rFonts w:hint="eastAsia" w:ascii="宋体" w:hAnsi="宋体"/>
          <w:sz w:val="24"/>
        </w:rPr>
        <w:t>附：牵头人法定代表人身份证明及委托代理人有效身份证正反面复印件</w:t>
      </w:r>
    </w:p>
    <w:p w14:paraId="7F1DE7BB">
      <w:pPr>
        <w:spacing w:line="440" w:lineRule="exact"/>
        <w:ind w:firstLine="566" w:firstLineChars="236"/>
        <w:contextualSpacing/>
        <w:rPr>
          <w:rFonts w:hint="eastAsia" w:ascii="宋体" w:hAnsi="宋体"/>
          <w:sz w:val="24"/>
        </w:rPr>
      </w:pPr>
    </w:p>
    <w:p w14:paraId="0DDCEB02">
      <w:pPr>
        <w:spacing w:line="440" w:lineRule="exact"/>
        <w:ind w:firstLine="566" w:firstLineChars="236"/>
        <w:contextualSpacing/>
        <w:rPr>
          <w:rFonts w:hint="eastAsia" w:ascii="宋体" w:hAnsi="宋体"/>
          <w:sz w:val="24"/>
        </w:rPr>
      </w:pPr>
      <w:r>
        <w:rPr>
          <w:rFonts w:hint="eastAsia" w:ascii="宋体" w:hAnsi="宋体"/>
          <w:sz w:val="24"/>
        </w:rPr>
        <w:t>牵头人法定代表人（签字或者盖章或者电子签名）：</w:t>
      </w:r>
    </w:p>
    <w:p w14:paraId="36973A58">
      <w:pPr>
        <w:spacing w:line="440" w:lineRule="exact"/>
        <w:ind w:firstLine="566" w:firstLineChars="236"/>
        <w:contextualSpacing/>
        <w:rPr>
          <w:rFonts w:hint="eastAsia" w:ascii="宋体" w:hAnsi="宋体"/>
          <w:sz w:val="24"/>
        </w:rPr>
      </w:pPr>
      <w:r>
        <w:rPr>
          <w:rFonts w:hint="eastAsia" w:ascii="宋体" w:hAnsi="宋体"/>
          <w:sz w:val="24"/>
        </w:rPr>
        <w:t>牵头人（电子签章）：</w:t>
      </w:r>
    </w:p>
    <w:p w14:paraId="6CF9CD7E">
      <w:pPr>
        <w:spacing w:line="440" w:lineRule="exact"/>
        <w:ind w:firstLine="566" w:firstLineChars="236"/>
        <w:contextualSpacing/>
        <w:rPr>
          <w:rFonts w:hint="eastAsia" w:ascii="宋体" w:hAnsi="宋体"/>
          <w:sz w:val="24"/>
        </w:rPr>
      </w:pPr>
      <w:r>
        <w:rPr>
          <w:rFonts w:hint="eastAsia" w:ascii="宋体" w:hAnsi="宋体"/>
          <w:sz w:val="24"/>
        </w:rPr>
        <w:t>日期：    年   月   日</w:t>
      </w:r>
    </w:p>
    <w:p w14:paraId="669DC55D">
      <w:pPr>
        <w:spacing w:line="440" w:lineRule="exact"/>
        <w:ind w:firstLine="566" w:firstLineChars="236"/>
        <w:contextualSpacing/>
        <w:rPr>
          <w:rFonts w:hint="eastAsia" w:ascii="宋体" w:hAnsi="宋体"/>
          <w:sz w:val="24"/>
        </w:rPr>
      </w:pPr>
    </w:p>
    <w:p w14:paraId="1664E8A0">
      <w:pPr>
        <w:spacing w:line="440" w:lineRule="exact"/>
        <w:ind w:firstLine="566" w:firstLineChars="236"/>
        <w:contextualSpacing/>
        <w:rPr>
          <w:rFonts w:hint="eastAsia" w:ascii="宋体" w:hAnsi="宋体"/>
          <w:sz w:val="24"/>
        </w:rPr>
      </w:pPr>
      <w:r>
        <w:rPr>
          <w:rFonts w:hint="eastAsia" w:ascii="宋体" w:hAnsi="宋体"/>
          <w:sz w:val="24"/>
        </w:rPr>
        <w:t>被授权人（签字或者电子签名）：</w:t>
      </w:r>
    </w:p>
    <w:p w14:paraId="6BCBE742">
      <w:pPr>
        <w:spacing w:line="440" w:lineRule="exact"/>
        <w:ind w:firstLine="566" w:firstLineChars="236"/>
        <w:contextualSpacing/>
        <w:rPr>
          <w:rFonts w:hint="eastAsia" w:ascii="宋体" w:hAnsi="宋体" w:cs="仿宋_GB2312"/>
          <w:sz w:val="32"/>
          <w:szCs w:val="32"/>
        </w:rPr>
      </w:pPr>
      <w:r>
        <w:rPr>
          <w:rFonts w:hint="eastAsia" w:ascii="宋体" w:hAnsi="宋体"/>
          <w:sz w:val="24"/>
        </w:rPr>
        <w:t>日期：    年   月   日</w:t>
      </w:r>
    </w:p>
    <w:p w14:paraId="068DBC37">
      <w:pPr>
        <w:spacing w:line="440" w:lineRule="exact"/>
        <w:contextualSpacing/>
        <w:rPr>
          <w:rFonts w:hint="eastAsia" w:ascii="宋体" w:hAnsi="宋体" w:cs="仿宋_GB2312"/>
          <w:sz w:val="24"/>
        </w:rPr>
      </w:pPr>
      <w:r>
        <w:rPr>
          <w:rFonts w:hint="eastAsia" w:ascii="宋体" w:hAnsi="宋体" w:cs="仿宋_GB2312"/>
          <w:sz w:val="24"/>
        </w:rPr>
        <w:t>注：1.法定代表人必须在授权委托书上签字或者盖章</w:t>
      </w:r>
      <w:r>
        <w:rPr>
          <w:rFonts w:hint="eastAsia" w:ascii="宋体" w:hAnsi="宋体"/>
          <w:sz w:val="24"/>
        </w:rPr>
        <w:t>或者电子签名</w:t>
      </w:r>
      <w:r>
        <w:rPr>
          <w:rFonts w:hint="eastAsia" w:ascii="宋体" w:hAnsi="宋体" w:cs="仿宋_GB2312"/>
          <w:sz w:val="24"/>
        </w:rPr>
        <w:t>，委托代理人必须在授权委托书上签字</w:t>
      </w:r>
      <w:r>
        <w:rPr>
          <w:rFonts w:hint="eastAsia" w:ascii="宋体" w:hAnsi="宋体"/>
          <w:sz w:val="24"/>
        </w:rPr>
        <w:t>或者电子签名</w:t>
      </w:r>
      <w:r>
        <w:rPr>
          <w:rFonts w:hint="eastAsia" w:ascii="宋体" w:hAnsi="宋体" w:cs="仿宋_GB2312"/>
          <w:sz w:val="24"/>
        </w:rPr>
        <w:t>，</w:t>
      </w:r>
      <w:r>
        <w:rPr>
          <w:rFonts w:hint="eastAsia" w:ascii="宋体" w:hAnsi="宋体" w:cs="仿宋_GB2312"/>
          <w:b/>
          <w:bCs/>
          <w:sz w:val="24"/>
        </w:rPr>
        <w:t>否则按无效投标处理</w:t>
      </w:r>
      <w:r>
        <w:rPr>
          <w:rFonts w:hint="eastAsia" w:ascii="宋体" w:hAnsi="宋体" w:cs="仿宋_GB2312"/>
          <w:sz w:val="24"/>
        </w:rPr>
        <w:t>；</w:t>
      </w:r>
    </w:p>
    <w:p w14:paraId="6459DF99">
      <w:pPr>
        <w:spacing w:line="440" w:lineRule="exact"/>
        <w:ind w:firstLine="480" w:firstLineChars="200"/>
        <w:contextualSpacing/>
        <w:jc w:val="left"/>
        <w:rPr>
          <w:rFonts w:hint="eastAsia" w:ascii="宋体" w:hAnsi="宋体"/>
          <w:sz w:val="24"/>
        </w:rPr>
      </w:pPr>
      <w:r>
        <w:rPr>
          <w:rFonts w:hint="eastAsia" w:ascii="宋体" w:hAnsi="宋体" w:cs="仿宋_GB2312"/>
          <w:sz w:val="24"/>
        </w:rPr>
        <w:t>2.法人、其他组织投标时“我方”是指“我单位”，自然人投标时“我方”是指“本人”。</w:t>
      </w:r>
    </w:p>
    <w:p w14:paraId="2FE54F4B">
      <w:pPr>
        <w:spacing w:line="440" w:lineRule="exact"/>
        <w:ind w:firstLine="480" w:firstLineChars="200"/>
        <w:contextualSpacing/>
        <w:jc w:val="left"/>
        <w:rPr>
          <w:rFonts w:hint="eastAsia" w:ascii="宋体" w:hAnsi="宋体"/>
          <w:sz w:val="24"/>
        </w:rPr>
      </w:pPr>
    </w:p>
    <w:p w14:paraId="5F78219B">
      <w:pPr>
        <w:snapToGrid w:val="0"/>
        <w:spacing w:before="120" w:beforeLines="50" w:after="50"/>
        <w:ind w:firstLine="566" w:firstLineChars="236"/>
        <w:jc w:val="center"/>
        <w:rPr>
          <w:rFonts w:hint="eastAsia" w:ascii="宋体" w:hAnsi="宋体"/>
          <w:sz w:val="24"/>
        </w:rPr>
      </w:pPr>
      <w:r>
        <w:rPr>
          <w:rFonts w:ascii="宋体" w:hAnsi="宋体"/>
          <w:sz w:val="24"/>
        </w:rPr>
        <w:br w:type="page"/>
      </w:r>
    </w:p>
    <w:p w14:paraId="1E653C36">
      <w:pPr>
        <w:rPr>
          <w:rFonts w:hint="eastAsia" w:ascii="宋体" w:hAnsi="宋体"/>
          <w:b/>
          <w:sz w:val="24"/>
          <w:szCs w:val="20"/>
        </w:rPr>
      </w:pPr>
      <w:r>
        <w:rPr>
          <w:rFonts w:hint="eastAsia" w:ascii="宋体" w:hAnsi="宋体"/>
          <w:b/>
          <w:sz w:val="24"/>
        </w:rPr>
        <w:t>6.商务要求偏离表格式</w:t>
      </w:r>
    </w:p>
    <w:p w14:paraId="1B5BE2EE">
      <w:pPr>
        <w:snapToGrid w:val="0"/>
        <w:spacing w:before="50"/>
        <w:jc w:val="left"/>
        <w:rPr>
          <w:rFonts w:hint="eastAsia" w:ascii="宋体" w:hAnsi="宋体"/>
          <w:sz w:val="24"/>
        </w:rPr>
      </w:pPr>
    </w:p>
    <w:p w14:paraId="1DB0AF6B">
      <w:pPr>
        <w:pStyle w:val="25"/>
        <w:rPr>
          <w:rFonts w:hint="eastAsia" w:hAnsi="宋体"/>
          <w:sz w:val="24"/>
          <w:szCs w:val="24"/>
        </w:rPr>
      </w:pPr>
      <w:r>
        <w:rPr>
          <w:rFonts w:hint="eastAsia" w:hAnsi="宋体"/>
          <w:sz w:val="24"/>
          <w:szCs w:val="24"/>
        </w:rPr>
        <w:t>所投分标：</w:t>
      </w:r>
      <w:r>
        <w:rPr>
          <w:rFonts w:hint="eastAsia" w:hAnsi="宋体"/>
          <w:sz w:val="24"/>
          <w:szCs w:val="24"/>
          <w:u w:val="single"/>
        </w:rPr>
        <w:t xml:space="preserve">     </w:t>
      </w:r>
      <w:r>
        <w:rPr>
          <w:rFonts w:hint="eastAsia" w:hAnsi="宋体"/>
          <w:sz w:val="24"/>
          <w:szCs w:val="24"/>
        </w:rPr>
        <w:t>分标</w:t>
      </w:r>
    </w:p>
    <w:p w14:paraId="5488AFD6">
      <w:pPr>
        <w:snapToGrid w:val="0"/>
        <w:spacing w:before="50"/>
        <w:jc w:val="left"/>
        <w:rPr>
          <w:rFonts w:hint="eastAsia" w:ascii="宋体" w:hAnsi="宋体"/>
          <w:sz w:val="24"/>
          <w:u w:val="single"/>
        </w:rPr>
      </w:pPr>
    </w:p>
    <w:tbl>
      <w:tblPr>
        <w:tblStyle w:val="50"/>
        <w:tblW w:w="0" w:type="auto"/>
        <w:tblInd w:w="-119"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10"/>
        <w:gridCol w:w="2686"/>
        <w:gridCol w:w="2410"/>
        <w:gridCol w:w="2035"/>
      </w:tblGrid>
      <w:tr w14:paraId="69A65F1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51" w:hRule="atLeast"/>
        </w:trPr>
        <w:tc>
          <w:tcPr>
            <w:tcW w:w="1510" w:type="dxa"/>
            <w:tcBorders>
              <w:top w:val="single" w:color="auto" w:sz="4" w:space="0"/>
              <w:left w:val="single" w:color="auto" w:sz="4" w:space="0"/>
              <w:bottom w:val="single" w:color="auto" w:sz="4" w:space="0"/>
              <w:right w:val="single" w:color="auto" w:sz="4" w:space="0"/>
            </w:tcBorders>
            <w:noWrap w:val="0"/>
            <w:vAlign w:val="center"/>
          </w:tcPr>
          <w:p w14:paraId="24FFF600">
            <w:pPr>
              <w:snapToGrid w:val="0"/>
              <w:spacing w:before="120" w:beforeLines="50"/>
              <w:jc w:val="center"/>
              <w:rPr>
                <w:rFonts w:hint="eastAsia" w:ascii="宋体" w:hAnsi="宋体"/>
                <w:sz w:val="24"/>
              </w:rPr>
            </w:pPr>
            <w:r>
              <w:rPr>
                <w:rFonts w:hint="eastAsia" w:ascii="宋体" w:hAnsi="宋体"/>
                <w:sz w:val="24"/>
              </w:rPr>
              <w:t>商务要求</w:t>
            </w:r>
          </w:p>
        </w:tc>
        <w:tc>
          <w:tcPr>
            <w:tcW w:w="2686" w:type="dxa"/>
            <w:tcBorders>
              <w:top w:val="single" w:color="auto" w:sz="4" w:space="0"/>
              <w:left w:val="single" w:color="auto" w:sz="4" w:space="0"/>
              <w:bottom w:val="single" w:color="auto" w:sz="4" w:space="0"/>
              <w:right w:val="single" w:color="auto" w:sz="4" w:space="0"/>
            </w:tcBorders>
            <w:noWrap w:val="0"/>
            <w:vAlign w:val="center"/>
          </w:tcPr>
          <w:p w14:paraId="70319CCB">
            <w:pPr>
              <w:snapToGrid w:val="0"/>
              <w:spacing w:before="120" w:beforeLines="50"/>
              <w:jc w:val="center"/>
              <w:rPr>
                <w:rFonts w:hint="eastAsia" w:ascii="宋体" w:hAnsi="宋体"/>
                <w:sz w:val="24"/>
              </w:rPr>
            </w:pPr>
            <w:r>
              <w:rPr>
                <w:rFonts w:hint="eastAsia" w:ascii="宋体" w:hAnsi="宋体"/>
                <w:sz w:val="24"/>
              </w:rPr>
              <w:t>招标文件具体要求</w:t>
            </w:r>
          </w:p>
        </w:tc>
        <w:tc>
          <w:tcPr>
            <w:tcW w:w="2410" w:type="dxa"/>
            <w:tcBorders>
              <w:top w:val="single" w:color="auto" w:sz="4" w:space="0"/>
              <w:left w:val="single" w:color="auto" w:sz="4" w:space="0"/>
              <w:bottom w:val="single" w:color="auto" w:sz="4" w:space="0"/>
              <w:right w:val="single" w:color="auto" w:sz="4" w:space="0"/>
            </w:tcBorders>
            <w:noWrap w:val="0"/>
            <w:vAlign w:val="center"/>
          </w:tcPr>
          <w:p w14:paraId="4F300908">
            <w:pPr>
              <w:snapToGrid w:val="0"/>
              <w:spacing w:before="120" w:beforeLines="50"/>
              <w:jc w:val="center"/>
              <w:rPr>
                <w:rFonts w:hint="eastAsia" w:ascii="宋体" w:hAnsi="宋体"/>
                <w:sz w:val="24"/>
              </w:rPr>
            </w:pPr>
            <w:r>
              <w:rPr>
                <w:rFonts w:hint="eastAsia" w:ascii="宋体" w:hAnsi="宋体"/>
                <w:sz w:val="24"/>
              </w:rPr>
              <w:t>投标人的承诺</w:t>
            </w:r>
          </w:p>
        </w:tc>
        <w:tc>
          <w:tcPr>
            <w:tcW w:w="2035" w:type="dxa"/>
            <w:tcBorders>
              <w:top w:val="single" w:color="auto" w:sz="4" w:space="0"/>
              <w:left w:val="single" w:color="auto" w:sz="4" w:space="0"/>
              <w:bottom w:val="single" w:color="auto" w:sz="4" w:space="0"/>
              <w:right w:val="single" w:color="auto" w:sz="4" w:space="0"/>
            </w:tcBorders>
            <w:noWrap w:val="0"/>
            <w:vAlign w:val="center"/>
          </w:tcPr>
          <w:p w14:paraId="05E4EA0A">
            <w:pPr>
              <w:snapToGrid w:val="0"/>
              <w:spacing w:before="120" w:beforeLines="50"/>
              <w:jc w:val="center"/>
              <w:rPr>
                <w:rFonts w:hint="eastAsia" w:ascii="宋体" w:hAnsi="宋体"/>
                <w:sz w:val="24"/>
              </w:rPr>
            </w:pPr>
            <w:r>
              <w:rPr>
                <w:rFonts w:hint="eastAsia" w:ascii="宋体" w:hAnsi="宋体"/>
                <w:sz w:val="24"/>
              </w:rPr>
              <w:t>偏离说明</w:t>
            </w:r>
          </w:p>
        </w:tc>
      </w:tr>
      <w:tr w14:paraId="7C2EB0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51" w:hRule="atLeast"/>
        </w:trPr>
        <w:tc>
          <w:tcPr>
            <w:tcW w:w="1510" w:type="dxa"/>
            <w:tcBorders>
              <w:top w:val="single" w:color="auto" w:sz="4" w:space="0"/>
              <w:left w:val="single" w:color="auto" w:sz="4" w:space="0"/>
              <w:bottom w:val="single" w:color="auto" w:sz="4" w:space="0"/>
              <w:right w:val="single" w:color="auto" w:sz="4" w:space="0"/>
            </w:tcBorders>
            <w:noWrap w:val="0"/>
            <w:vAlign w:val="center"/>
          </w:tcPr>
          <w:p w14:paraId="6428D77C">
            <w:pPr>
              <w:jc w:val="center"/>
              <w:rPr>
                <w:rFonts w:ascii="宋体" w:hAnsi="宋体"/>
                <w:i/>
                <w:sz w:val="24"/>
              </w:rPr>
            </w:pPr>
          </w:p>
        </w:tc>
        <w:tc>
          <w:tcPr>
            <w:tcW w:w="2686" w:type="dxa"/>
            <w:tcBorders>
              <w:top w:val="single" w:color="auto" w:sz="4" w:space="0"/>
              <w:left w:val="single" w:color="auto" w:sz="4" w:space="0"/>
              <w:bottom w:val="single" w:color="auto" w:sz="4" w:space="0"/>
              <w:right w:val="single" w:color="auto" w:sz="4" w:space="0"/>
            </w:tcBorders>
            <w:noWrap w:val="0"/>
            <w:vAlign w:val="center"/>
          </w:tcPr>
          <w:p w14:paraId="637352F5">
            <w:pPr>
              <w:snapToGrid w:val="0"/>
              <w:spacing w:before="120" w:beforeLines="50" w:line="300" w:lineRule="atLeast"/>
              <w:rPr>
                <w:rFonts w:ascii="宋体" w:hAnsi="宋体"/>
                <w:szCs w:val="21"/>
              </w:rPr>
            </w:pPr>
            <w:r>
              <w:rPr>
                <w:rFonts w:ascii="宋体" w:hAnsi="宋体"/>
                <w:szCs w:val="21"/>
              </w:rPr>
              <w:t>1.……</w:t>
            </w:r>
          </w:p>
          <w:p w14:paraId="2A64D5FB">
            <w:pPr>
              <w:snapToGrid w:val="0"/>
              <w:spacing w:before="120" w:beforeLines="50" w:line="300" w:lineRule="atLeast"/>
              <w:rPr>
                <w:rFonts w:ascii="宋体" w:hAnsi="宋体"/>
                <w:szCs w:val="21"/>
              </w:rPr>
            </w:pPr>
            <w:r>
              <w:rPr>
                <w:rFonts w:ascii="宋体" w:hAnsi="宋体"/>
                <w:szCs w:val="21"/>
              </w:rPr>
              <w:t>2.……</w:t>
            </w:r>
          </w:p>
          <w:p w14:paraId="1AE248F6">
            <w:pPr>
              <w:rPr>
                <w:rFonts w:hint="eastAsia" w:ascii="宋体" w:hAnsi="宋体"/>
                <w:sz w:val="24"/>
              </w:rPr>
            </w:pPr>
            <w:r>
              <w:rPr>
                <w:rFonts w:hint="eastAsia" w:ascii="宋体" w:hAnsi="宋体"/>
                <w:szCs w:val="21"/>
              </w:rPr>
              <w:t>……</w:t>
            </w:r>
          </w:p>
        </w:tc>
        <w:tc>
          <w:tcPr>
            <w:tcW w:w="2410" w:type="dxa"/>
            <w:tcBorders>
              <w:top w:val="single" w:color="auto" w:sz="4" w:space="0"/>
              <w:left w:val="single" w:color="auto" w:sz="4" w:space="0"/>
              <w:bottom w:val="single" w:color="auto" w:sz="4" w:space="0"/>
              <w:right w:val="single" w:color="auto" w:sz="4" w:space="0"/>
            </w:tcBorders>
            <w:noWrap w:val="0"/>
            <w:vAlign w:val="center"/>
          </w:tcPr>
          <w:p w14:paraId="0A2B774C">
            <w:pPr>
              <w:snapToGrid w:val="0"/>
              <w:spacing w:before="120" w:beforeLines="50" w:line="300" w:lineRule="atLeast"/>
              <w:rPr>
                <w:rFonts w:ascii="宋体" w:hAnsi="宋体"/>
                <w:szCs w:val="21"/>
              </w:rPr>
            </w:pPr>
            <w:r>
              <w:rPr>
                <w:rFonts w:ascii="宋体" w:hAnsi="宋体"/>
                <w:szCs w:val="21"/>
              </w:rPr>
              <w:t>1.……</w:t>
            </w:r>
          </w:p>
          <w:p w14:paraId="2D4E00B5">
            <w:pPr>
              <w:snapToGrid w:val="0"/>
              <w:spacing w:before="120" w:beforeLines="50" w:line="300" w:lineRule="atLeast"/>
              <w:rPr>
                <w:rFonts w:ascii="宋体" w:hAnsi="宋体"/>
                <w:szCs w:val="21"/>
              </w:rPr>
            </w:pPr>
            <w:r>
              <w:rPr>
                <w:rFonts w:ascii="宋体" w:hAnsi="宋体"/>
                <w:szCs w:val="21"/>
              </w:rPr>
              <w:t>2.……</w:t>
            </w:r>
          </w:p>
          <w:p w14:paraId="743434DC">
            <w:pPr>
              <w:snapToGrid w:val="0"/>
              <w:spacing w:before="120" w:beforeLines="50"/>
              <w:rPr>
                <w:rFonts w:hint="eastAsia" w:ascii="宋体" w:hAnsi="宋体"/>
                <w:sz w:val="24"/>
              </w:rPr>
            </w:pPr>
            <w:r>
              <w:rPr>
                <w:rFonts w:hint="eastAsia" w:ascii="宋体" w:hAnsi="宋体"/>
                <w:szCs w:val="21"/>
              </w:rPr>
              <w:t>……</w:t>
            </w:r>
          </w:p>
        </w:tc>
        <w:tc>
          <w:tcPr>
            <w:tcW w:w="2035" w:type="dxa"/>
            <w:tcBorders>
              <w:top w:val="single" w:color="auto" w:sz="4" w:space="0"/>
              <w:left w:val="single" w:color="auto" w:sz="4" w:space="0"/>
              <w:bottom w:val="single" w:color="auto" w:sz="4" w:space="0"/>
              <w:right w:val="single" w:color="auto" w:sz="4" w:space="0"/>
            </w:tcBorders>
            <w:noWrap w:val="0"/>
            <w:vAlign w:val="center"/>
          </w:tcPr>
          <w:p w14:paraId="6D1E2236">
            <w:pPr>
              <w:snapToGrid w:val="0"/>
              <w:spacing w:before="120" w:beforeLines="50"/>
              <w:jc w:val="center"/>
              <w:rPr>
                <w:rFonts w:hint="eastAsia" w:ascii="宋体" w:hAnsi="宋体"/>
                <w:sz w:val="24"/>
              </w:rPr>
            </w:pPr>
          </w:p>
        </w:tc>
      </w:tr>
      <w:tr w14:paraId="45D7AEF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51" w:hRule="atLeast"/>
        </w:trPr>
        <w:tc>
          <w:tcPr>
            <w:tcW w:w="1510" w:type="dxa"/>
            <w:tcBorders>
              <w:top w:val="single" w:color="auto" w:sz="4" w:space="0"/>
              <w:left w:val="single" w:color="auto" w:sz="4" w:space="0"/>
              <w:bottom w:val="single" w:color="auto" w:sz="4" w:space="0"/>
              <w:right w:val="single" w:color="auto" w:sz="4" w:space="0"/>
            </w:tcBorders>
            <w:noWrap w:val="0"/>
            <w:vAlign w:val="center"/>
          </w:tcPr>
          <w:p w14:paraId="184200BE">
            <w:pPr>
              <w:jc w:val="center"/>
              <w:rPr>
                <w:rFonts w:ascii="宋体" w:hAnsi="宋体"/>
                <w:i/>
                <w:sz w:val="24"/>
              </w:rPr>
            </w:pPr>
          </w:p>
        </w:tc>
        <w:tc>
          <w:tcPr>
            <w:tcW w:w="2686" w:type="dxa"/>
            <w:tcBorders>
              <w:top w:val="single" w:color="auto" w:sz="4" w:space="0"/>
              <w:left w:val="single" w:color="auto" w:sz="4" w:space="0"/>
              <w:bottom w:val="single" w:color="auto" w:sz="4" w:space="0"/>
              <w:right w:val="single" w:color="auto" w:sz="4" w:space="0"/>
            </w:tcBorders>
            <w:noWrap w:val="0"/>
            <w:vAlign w:val="center"/>
          </w:tcPr>
          <w:p w14:paraId="59964878">
            <w:pPr>
              <w:snapToGrid w:val="0"/>
              <w:spacing w:before="120" w:beforeLines="50" w:line="300" w:lineRule="atLeast"/>
              <w:rPr>
                <w:rFonts w:ascii="宋体" w:hAnsi="宋体"/>
                <w:szCs w:val="21"/>
              </w:rPr>
            </w:pPr>
            <w:r>
              <w:rPr>
                <w:rFonts w:ascii="宋体" w:hAnsi="宋体"/>
                <w:szCs w:val="21"/>
              </w:rPr>
              <w:t>1.……</w:t>
            </w:r>
          </w:p>
          <w:p w14:paraId="120924D3">
            <w:pPr>
              <w:snapToGrid w:val="0"/>
              <w:spacing w:before="120" w:beforeLines="50" w:line="300" w:lineRule="atLeast"/>
              <w:rPr>
                <w:rFonts w:ascii="宋体" w:hAnsi="宋体"/>
                <w:szCs w:val="21"/>
              </w:rPr>
            </w:pPr>
            <w:r>
              <w:rPr>
                <w:rFonts w:ascii="宋体" w:hAnsi="宋体"/>
                <w:szCs w:val="21"/>
              </w:rPr>
              <w:t>2.……</w:t>
            </w:r>
          </w:p>
          <w:p w14:paraId="7F8446D2">
            <w:pPr>
              <w:rPr>
                <w:rFonts w:hint="eastAsia" w:ascii="宋体" w:hAnsi="宋体"/>
                <w:sz w:val="24"/>
              </w:rPr>
            </w:pPr>
            <w:r>
              <w:rPr>
                <w:rFonts w:hint="eastAsia" w:ascii="宋体" w:hAnsi="宋体"/>
                <w:szCs w:val="21"/>
              </w:rPr>
              <w:t>……</w:t>
            </w:r>
          </w:p>
        </w:tc>
        <w:tc>
          <w:tcPr>
            <w:tcW w:w="2410" w:type="dxa"/>
            <w:tcBorders>
              <w:top w:val="single" w:color="auto" w:sz="4" w:space="0"/>
              <w:left w:val="single" w:color="auto" w:sz="4" w:space="0"/>
              <w:bottom w:val="single" w:color="auto" w:sz="4" w:space="0"/>
              <w:right w:val="single" w:color="auto" w:sz="4" w:space="0"/>
            </w:tcBorders>
            <w:noWrap w:val="0"/>
            <w:vAlign w:val="center"/>
          </w:tcPr>
          <w:p w14:paraId="0AE1A644">
            <w:pPr>
              <w:snapToGrid w:val="0"/>
              <w:spacing w:before="120" w:beforeLines="50" w:line="300" w:lineRule="atLeast"/>
              <w:rPr>
                <w:rFonts w:ascii="宋体" w:hAnsi="宋体"/>
                <w:szCs w:val="21"/>
              </w:rPr>
            </w:pPr>
            <w:r>
              <w:rPr>
                <w:rFonts w:ascii="宋体" w:hAnsi="宋体"/>
                <w:szCs w:val="21"/>
              </w:rPr>
              <w:t>1.……</w:t>
            </w:r>
          </w:p>
          <w:p w14:paraId="67F58E4D">
            <w:pPr>
              <w:snapToGrid w:val="0"/>
              <w:spacing w:before="120" w:beforeLines="50" w:line="300" w:lineRule="atLeast"/>
              <w:rPr>
                <w:rFonts w:ascii="宋体" w:hAnsi="宋体"/>
                <w:szCs w:val="21"/>
              </w:rPr>
            </w:pPr>
            <w:r>
              <w:rPr>
                <w:rFonts w:ascii="宋体" w:hAnsi="宋体"/>
                <w:szCs w:val="21"/>
              </w:rPr>
              <w:t>2.……</w:t>
            </w:r>
          </w:p>
          <w:p w14:paraId="36709675">
            <w:pPr>
              <w:snapToGrid w:val="0"/>
              <w:spacing w:before="120" w:beforeLines="50"/>
              <w:ind w:left="43"/>
              <w:rPr>
                <w:rFonts w:hint="eastAsia" w:ascii="宋体" w:hAnsi="宋体"/>
                <w:sz w:val="24"/>
              </w:rPr>
            </w:pPr>
            <w:r>
              <w:rPr>
                <w:rFonts w:hint="eastAsia" w:ascii="宋体" w:hAnsi="宋体"/>
                <w:szCs w:val="21"/>
              </w:rPr>
              <w:t>……</w:t>
            </w:r>
          </w:p>
        </w:tc>
        <w:tc>
          <w:tcPr>
            <w:tcW w:w="2035" w:type="dxa"/>
            <w:tcBorders>
              <w:top w:val="single" w:color="auto" w:sz="4" w:space="0"/>
              <w:left w:val="single" w:color="auto" w:sz="4" w:space="0"/>
              <w:bottom w:val="single" w:color="auto" w:sz="4" w:space="0"/>
              <w:right w:val="single" w:color="auto" w:sz="4" w:space="0"/>
            </w:tcBorders>
            <w:noWrap w:val="0"/>
            <w:vAlign w:val="center"/>
          </w:tcPr>
          <w:p w14:paraId="0F9967CD">
            <w:pPr>
              <w:snapToGrid w:val="0"/>
              <w:spacing w:before="120" w:beforeLines="50"/>
              <w:ind w:left="43"/>
              <w:jc w:val="center"/>
              <w:rPr>
                <w:rFonts w:hint="eastAsia" w:ascii="宋体" w:hAnsi="宋体"/>
                <w:sz w:val="24"/>
              </w:rPr>
            </w:pPr>
          </w:p>
        </w:tc>
      </w:tr>
      <w:tr w14:paraId="74B005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51" w:hRule="atLeast"/>
        </w:trPr>
        <w:tc>
          <w:tcPr>
            <w:tcW w:w="1510" w:type="dxa"/>
            <w:tcBorders>
              <w:top w:val="single" w:color="auto" w:sz="4" w:space="0"/>
              <w:left w:val="single" w:color="auto" w:sz="4" w:space="0"/>
              <w:bottom w:val="single" w:color="auto" w:sz="4" w:space="0"/>
              <w:right w:val="single" w:color="auto" w:sz="4" w:space="0"/>
            </w:tcBorders>
            <w:noWrap w:val="0"/>
            <w:vAlign w:val="center"/>
          </w:tcPr>
          <w:p w14:paraId="6AA5B1E5">
            <w:pPr>
              <w:snapToGrid w:val="0"/>
              <w:spacing w:before="120" w:beforeLines="50"/>
              <w:jc w:val="center"/>
              <w:rPr>
                <w:rFonts w:hint="eastAsia" w:ascii="宋体" w:hAnsi="宋体"/>
                <w:sz w:val="24"/>
              </w:rPr>
            </w:pPr>
            <w:r>
              <w:rPr>
                <w:rFonts w:hint="eastAsia" w:ascii="宋体" w:hAnsi="宋体"/>
                <w:sz w:val="24"/>
              </w:rPr>
              <w:t>…</w:t>
            </w:r>
          </w:p>
        </w:tc>
        <w:tc>
          <w:tcPr>
            <w:tcW w:w="2686" w:type="dxa"/>
            <w:tcBorders>
              <w:top w:val="single" w:color="auto" w:sz="4" w:space="0"/>
              <w:left w:val="single" w:color="auto" w:sz="4" w:space="0"/>
              <w:bottom w:val="single" w:color="auto" w:sz="4" w:space="0"/>
              <w:right w:val="single" w:color="auto" w:sz="4" w:space="0"/>
            </w:tcBorders>
            <w:noWrap w:val="0"/>
            <w:vAlign w:val="center"/>
          </w:tcPr>
          <w:p w14:paraId="408D2FF7">
            <w:pPr>
              <w:snapToGrid w:val="0"/>
              <w:spacing w:before="120" w:beforeLines="50"/>
              <w:rPr>
                <w:rFonts w:hint="eastAsia" w:ascii="宋体" w:hAnsi="宋体"/>
                <w:sz w:val="24"/>
              </w:rPr>
            </w:pPr>
          </w:p>
        </w:tc>
        <w:tc>
          <w:tcPr>
            <w:tcW w:w="2410" w:type="dxa"/>
            <w:tcBorders>
              <w:top w:val="single" w:color="auto" w:sz="4" w:space="0"/>
              <w:left w:val="single" w:color="auto" w:sz="4" w:space="0"/>
              <w:bottom w:val="single" w:color="auto" w:sz="4" w:space="0"/>
              <w:right w:val="single" w:color="auto" w:sz="4" w:space="0"/>
            </w:tcBorders>
            <w:noWrap w:val="0"/>
            <w:vAlign w:val="center"/>
          </w:tcPr>
          <w:p w14:paraId="04697E8B">
            <w:pPr>
              <w:snapToGrid w:val="0"/>
              <w:spacing w:before="120" w:beforeLines="50"/>
              <w:rPr>
                <w:rFonts w:hint="eastAsia" w:ascii="宋体" w:hAnsi="宋体"/>
                <w:sz w:val="24"/>
              </w:rPr>
            </w:pPr>
          </w:p>
        </w:tc>
        <w:tc>
          <w:tcPr>
            <w:tcW w:w="2035" w:type="dxa"/>
            <w:tcBorders>
              <w:top w:val="single" w:color="auto" w:sz="4" w:space="0"/>
              <w:left w:val="single" w:color="auto" w:sz="4" w:space="0"/>
              <w:bottom w:val="single" w:color="auto" w:sz="4" w:space="0"/>
              <w:right w:val="single" w:color="auto" w:sz="4" w:space="0"/>
            </w:tcBorders>
            <w:noWrap w:val="0"/>
            <w:vAlign w:val="center"/>
          </w:tcPr>
          <w:p w14:paraId="62F340CB">
            <w:pPr>
              <w:snapToGrid w:val="0"/>
              <w:spacing w:before="120" w:beforeLines="50"/>
              <w:jc w:val="center"/>
              <w:rPr>
                <w:rFonts w:hint="eastAsia" w:ascii="宋体" w:hAnsi="宋体"/>
                <w:sz w:val="24"/>
              </w:rPr>
            </w:pPr>
          </w:p>
        </w:tc>
      </w:tr>
    </w:tbl>
    <w:p w14:paraId="282DB398">
      <w:pPr>
        <w:pStyle w:val="17"/>
        <w:rPr>
          <w:rFonts w:hint="eastAsia" w:ascii="宋体" w:hAnsi="宋体"/>
        </w:rPr>
      </w:pPr>
      <w:r>
        <w:rPr>
          <w:rFonts w:hint="eastAsia" w:ascii="宋体" w:hAnsi="宋体"/>
        </w:rPr>
        <w:t>注：</w:t>
      </w:r>
    </w:p>
    <w:p w14:paraId="1CB1B96A">
      <w:pPr>
        <w:pStyle w:val="19"/>
        <w:spacing w:line="520" w:lineRule="exact"/>
        <w:ind w:firstLine="0" w:firstLineChars="0"/>
        <w:rPr>
          <w:rFonts w:hint="eastAsia" w:hAnsi="仿宋_GB2312" w:cs="仿宋_GB2312"/>
          <w:szCs w:val="32"/>
        </w:rPr>
      </w:pPr>
      <w:r>
        <w:rPr>
          <w:rFonts w:hint="eastAsia" w:ascii="宋体" w:hAnsi="宋体" w:eastAsia="宋体"/>
          <w:sz w:val="24"/>
          <w:szCs w:val="24"/>
        </w:rPr>
        <w:t>1.</w:t>
      </w:r>
      <w:r>
        <w:rPr>
          <w:rFonts w:hint="eastAsia"/>
        </w:rPr>
        <w:t xml:space="preserve"> </w:t>
      </w:r>
      <w:r>
        <w:rPr>
          <w:rFonts w:hint="eastAsia" w:ascii="宋体" w:hAnsi="宋体" w:eastAsia="宋体"/>
          <w:sz w:val="24"/>
          <w:szCs w:val="24"/>
        </w:rPr>
        <w:t>说明：应对照招标文件“第二章 采购需求”中的商务要求逐条作明确的投标响应，并作出偏离说明。</w:t>
      </w:r>
    </w:p>
    <w:p w14:paraId="79479A98">
      <w:pPr>
        <w:pStyle w:val="17"/>
        <w:rPr>
          <w:rFonts w:ascii="宋体" w:hAnsi="宋体"/>
          <w:b w:val="0"/>
          <w:bCs w:val="0"/>
        </w:rPr>
      </w:pPr>
      <w:r>
        <w:rPr>
          <w:rFonts w:ascii="宋体" w:hAnsi="宋体"/>
          <w:b w:val="0"/>
          <w:bCs w:val="0"/>
        </w:rPr>
        <w:t>2.</w:t>
      </w:r>
      <w:r>
        <w:rPr>
          <w:rFonts w:hint="eastAsia" w:ascii="宋体" w:hAnsi="宋体"/>
          <w:b w:val="0"/>
          <w:bCs w:val="0"/>
        </w:rPr>
        <w:t>投标人应根据自身的承诺，对照招标文件要求在“偏离说明”中注明“</w:t>
      </w:r>
      <w:r>
        <w:rPr>
          <w:rFonts w:hint="eastAsia" w:ascii="宋体" w:hAnsi="宋体"/>
        </w:rPr>
        <w:t>正偏离</w:t>
      </w:r>
      <w:r>
        <w:rPr>
          <w:rFonts w:hint="eastAsia" w:ascii="宋体" w:hAnsi="宋体"/>
          <w:b w:val="0"/>
          <w:bCs w:val="0"/>
        </w:rPr>
        <w:t>”、“</w:t>
      </w:r>
      <w:r>
        <w:rPr>
          <w:rFonts w:hint="eastAsia" w:ascii="宋体" w:hAnsi="宋体"/>
        </w:rPr>
        <w:t>负偏离</w:t>
      </w:r>
      <w:r>
        <w:rPr>
          <w:rFonts w:hint="eastAsia" w:ascii="宋体" w:hAnsi="宋体"/>
          <w:b w:val="0"/>
          <w:bCs w:val="0"/>
        </w:rPr>
        <w:t>”或者“</w:t>
      </w:r>
      <w:r>
        <w:rPr>
          <w:rFonts w:hint="eastAsia" w:ascii="宋体" w:hAnsi="宋体"/>
        </w:rPr>
        <w:t>无偏离</w:t>
      </w:r>
      <w:r>
        <w:rPr>
          <w:rFonts w:hint="eastAsia" w:ascii="宋体" w:hAnsi="宋体"/>
          <w:b w:val="0"/>
          <w:bCs w:val="0"/>
        </w:rPr>
        <w:t>”。既不属于“</w:t>
      </w:r>
      <w:r>
        <w:rPr>
          <w:rFonts w:hint="eastAsia" w:ascii="宋体" w:hAnsi="宋体"/>
        </w:rPr>
        <w:t>正偏离</w:t>
      </w:r>
      <w:r>
        <w:rPr>
          <w:rFonts w:hint="eastAsia" w:ascii="宋体" w:hAnsi="宋体"/>
          <w:b w:val="0"/>
          <w:bCs w:val="0"/>
        </w:rPr>
        <w:t>”也不属于“</w:t>
      </w:r>
      <w:r>
        <w:rPr>
          <w:rFonts w:hint="eastAsia" w:ascii="宋体" w:hAnsi="宋体"/>
        </w:rPr>
        <w:t>负偏离</w:t>
      </w:r>
      <w:r>
        <w:rPr>
          <w:rFonts w:hint="eastAsia" w:ascii="宋体" w:hAnsi="宋体"/>
          <w:b w:val="0"/>
          <w:bCs w:val="0"/>
        </w:rPr>
        <w:t>”即为“</w:t>
      </w:r>
      <w:r>
        <w:rPr>
          <w:rFonts w:hint="eastAsia" w:ascii="宋体" w:hAnsi="宋体"/>
        </w:rPr>
        <w:t>无偏离</w:t>
      </w:r>
      <w:r>
        <w:rPr>
          <w:rFonts w:hint="eastAsia" w:ascii="宋体" w:hAnsi="宋体"/>
          <w:b w:val="0"/>
          <w:bCs w:val="0"/>
        </w:rPr>
        <w:t>”。</w:t>
      </w:r>
    </w:p>
    <w:p w14:paraId="3B7BC95B">
      <w:pPr>
        <w:snapToGrid w:val="0"/>
        <w:spacing w:before="50" w:after="50"/>
        <w:rPr>
          <w:rFonts w:ascii="宋体" w:hAnsi="宋体"/>
          <w:sz w:val="24"/>
        </w:rPr>
      </w:pPr>
    </w:p>
    <w:p w14:paraId="27261A0D">
      <w:pPr>
        <w:snapToGrid w:val="0"/>
        <w:spacing w:before="50" w:after="50"/>
        <w:rPr>
          <w:rFonts w:hint="eastAsia" w:ascii="宋体" w:hAnsi="宋体"/>
          <w:spacing w:val="20"/>
          <w:sz w:val="24"/>
          <w:u w:val="single"/>
        </w:rPr>
      </w:pPr>
      <w:r>
        <w:rPr>
          <w:rFonts w:hint="eastAsia" w:ascii="宋体" w:hAnsi="宋体"/>
          <w:sz w:val="24"/>
        </w:rPr>
        <w:t>法定代表人或者委托代理人</w:t>
      </w:r>
      <w:r>
        <w:rPr>
          <w:rFonts w:hint="eastAsia" w:ascii="宋体" w:hAnsi="宋体"/>
          <w:spacing w:val="20"/>
          <w:sz w:val="24"/>
        </w:rPr>
        <w:t>（签字或者电子签名）：</w:t>
      </w:r>
      <w:r>
        <w:rPr>
          <w:rFonts w:hint="eastAsia" w:ascii="宋体" w:hAnsi="宋体"/>
          <w:spacing w:val="20"/>
          <w:sz w:val="24"/>
          <w:u w:val="single"/>
        </w:rPr>
        <w:t xml:space="preserve">        </w:t>
      </w:r>
    </w:p>
    <w:p w14:paraId="42FADD28">
      <w:pPr>
        <w:snapToGrid w:val="0"/>
        <w:spacing w:before="120" w:beforeLines="50"/>
        <w:rPr>
          <w:rFonts w:hint="eastAsia" w:ascii="宋体" w:hAnsi="宋体"/>
          <w:spacing w:val="20"/>
          <w:sz w:val="24"/>
        </w:rPr>
      </w:pPr>
      <w:r>
        <w:rPr>
          <w:rFonts w:hint="eastAsia" w:ascii="宋体" w:hAnsi="宋体"/>
          <w:spacing w:val="20"/>
          <w:sz w:val="24"/>
        </w:rPr>
        <w:t>投标人名称（电子签章）：</w:t>
      </w:r>
      <w:r>
        <w:rPr>
          <w:rFonts w:hint="eastAsia" w:ascii="宋体" w:hAnsi="宋体"/>
          <w:spacing w:val="20"/>
          <w:sz w:val="24"/>
          <w:u w:val="single"/>
        </w:rPr>
        <w:t xml:space="preserve">            </w:t>
      </w:r>
      <w:r>
        <w:rPr>
          <w:rFonts w:hint="eastAsia" w:ascii="宋体" w:hAnsi="宋体"/>
          <w:spacing w:val="20"/>
          <w:sz w:val="24"/>
        </w:rPr>
        <w:t xml:space="preserve">   </w:t>
      </w:r>
    </w:p>
    <w:p w14:paraId="0627E4E9">
      <w:pPr>
        <w:snapToGrid w:val="0"/>
        <w:spacing w:before="120" w:beforeLines="50"/>
        <w:rPr>
          <w:rFonts w:hint="eastAsia" w:ascii="宋体" w:hAnsi="宋体"/>
          <w:sz w:val="24"/>
          <w:szCs w:val="20"/>
        </w:rPr>
      </w:pPr>
      <w:r>
        <w:rPr>
          <w:rFonts w:hint="eastAsia" w:ascii="宋体" w:hAnsi="宋体"/>
          <w:spacing w:val="20"/>
          <w:sz w:val="24"/>
        </w:rPr>
        <w:t>日  期：</w:t>
      </w:r>
      <w:r>
        <w:rPr>
          <w:rFonts w:hint="eastAsia" w:ascii="宋体" w:hAnsi="宋体"/>
          <w:spacing w:val="20"/>
          <w:sz w:val="24"/>
          <w:u w:val="single"/>
        </w:rPr>
        <w:t xml:space="preserve">         </w:t>
      </w:r>
    </w:p>
    <w:p w14:paraId="2EB29CA9">
      <w:pPr>
        <w:snapToGrid w:val="0"/>
        <w:spacing w:before="120" w:beforeLines="50" w:after="50"/>
        <w:rPr>
          <w:rFonts w:hint="eastAsia" w:ascii="宋体" w:hAnsi="宋体"/>
          <w:b/>
          <w:sz w:val="24"/>
        </w:rPr>
      </w:pPr>
      <w:r>
        <w:rPr>
          <w:rFonts w:ascii="宋体" w:hAnsi="宋体"/>
          <w:sz w:val="24"/>
          <w:szCs w:val="20"/>
        </w:rPr>
        <w:br w:type="page"/>
      </w:r>
      <w:r>
        <w:rPr>
          <w:rFonts w:ascii="宋体" w:hAnsi="宋体"/>
          <w:sz w:val="24"/>
          <w:szCs w:val="20"/>
        </w:rPr>
        <w:t>7</w:t>
      </w:r>
      <w:r>
        <w:rPr>
          <w:rFonts w:hint="eastAsia" w:ascii="宋体" w:hAnsi="宋体"/>
          <w:b/>
          <w:sz w:val="24"/>
        </w:rPr>
        <w:t>.投标人业绩证明材料</w:t>
      </w:r>
    </w:p>
    <w:p w14:paraId="7EA5EFED">
      <w:pPr>
        <w:pStyle w:val="36"/>
        <w:snapToGrid w:val="0"/>
        <w:ind w:left="480" w:hanging="480"/>
        <w:rPr>
          <w:rFonts w:hint="eastAsia" w:ascii="宋体" w:hAnsi="宋体"/>
          <w:sz w:val="24"/>
        </w:rPr>
      </w:pPr>
    </w:p>
    <w:p w14:paraId="0D5586B6">
      <w:pPr>
        <w:pStyle w:val="36"/>
        <w:snapToGrid w:val="0"/>
        <w:ind w:left="480" w:hanging="480"/>
        <w:rPr>
          <w:rFonts w:hint="eastAsia" w:ascii="宋体" w:hAnsi="宋体"/>
          <w:sz w:val="24"/>
        </w:rPr>
      </w:pPr>
      <w:r>
        <w:rPr>
          <w:rFonts w:hint="eastAsia" w:ascii="宋体" w:hAnsi="宋体"/>
          <w:sz w:val="24"/>
        </w:rPr>
        <w:t xml:space="preserve">投标人业绩情况一览表格式： </w:t>
      </w:r>
    </w:p>
    <w:tbl>
      <w:tblPr>
        <w:tblStyle w:val="50"/>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2132"/>
        <w:gridCol w:w="1770"/>
        <w:gridCol w:w="1770"/>
        <w:gridCol w:w="2856"/>
      </w:tblGrid>
      <w:tr w14:paraId="7B696A0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7" w:hRule="atLeast"/>
        </w:trPr>
        <w:tc>
          <w:tcPr>
            <w:tcW w:w="1250" w:type="pct"/>
            <w:vMerge w:val="restart"/>
            <w:tcBorders>
              <w:top w:val="single" w:color="auto" w:sz="4" w:space="0"/>
              <w:left w:val="single" w:color="auto" w:sz="4" w:space="0"/>
              <w:bottom w:val="single" w:color="auto" w:sz="4" w:space="0"/>
              <w:right w:val="single" w:color="auto" w:sz="4" w:space="0"/>
            </w:tcBorders>
            <w:noWrap w:val="0"/>
            <w:vAlign w:val="center"/>
          </w:tcPr>
          <w:p w14:paraId="0C4D2757">
            <w:pPr>
              <w:snapToGrid w:val="0"/>
              <w:spacing w:line="240" w:lineRule="exact"/>
              <w:jc w:val="center"/>
              <w:rPr>
                <w:rFonts w:hint="eastAsia" w:ascii="宋体" w:hAnsi="宋体"/>
                <w:sz w:val="24"/>
              </w:rPr>
            </w:pPr>
            <w:r>
              <w:rPr>
                <w:rFonts w:hint="eastAsia" w:ascii="宋体" w:hAnsi="宋体"/>
                <w:sz w:val="24"/>
              </w:rPr>
              <w:t>采购人名称</w:t>
            </w:r>
          </w:p>
        </w:tc>
        <w:tc>
          <w:tcPr>
            <w:tcW w:w="1038" w:type="pct"/>
            <w:vMerge w:val="restart"/>
            <w:tcBorders>
              <w:top w:val="single" w:color="auto" w:sz="4" w:space="0"/>
              <w:left w:val="single" w:color="auto" w:sz="4" w:space="0"/>
              <w:bottom w:val="single" w:color="auto" w:sz="4" w:space="0"/>
              <w:right w:val="single" w:color="auto" w:sz="4" w:space="0"/>
            </w:tcBorders>
            <w:noWrap w:val="0"/>
            <w:vAlign w:val="center"/>
          </w:tcPr>
          <w:p w14:paraId="05DA6576">
            <w:pPr>
              <w:snapToGrid w:val="0"/>
              <w:spacing w:line="240" w:lineRule="exact"/>
              <w:jc w:val="center"/>
              <w:rPr>
                <w:rFonts w:hint="eastAsia" w:ascii="宋体" w:hAnsi="宋体"/>
                <w:sz w:val="24"/>
              </w:rPr>
            </w:pPr>
            <w:r>
              <w:rPr>
                <w:rFonts w:hint="eastAsia" w:ascii="宋体" w:hAnsi="宋体"/>
                <w:sz w:val="24"/>
              </w:rPr>
              <w:t>项目名称</w:t>
            </w:r>
          </w:p>
        </w:tc>
        <w:tc>
          <w:tcPr>
            <w:tcW w:w="1038" w:type="pct"/>
            <w:vMerge w:val="restart"/>
            <w:tcBorders>
              <w:top w:val="single" w:color="auto" w:sz="4" w:space="0"/>
              <w:left w:val="single" w:color="auto" w:sz="4" w:space="0"/>
              <w:bottom w:val="single" w:color="auto" w:sz="4" w:space="0"/>
              <w:right w:val="single" w:color="auto" w:sz="4" w:space="0"/>
            </w:tcBorders>
            <w:noWrap w:val="0"/>
            <w:vAlign w:val="center"/>
          </w:tcPr>
          <w:p w14:paraId="0FE84EFF">
            <w:pPr>
              <w:snapToGrid w:val="0"/>
              <w:spacing w:line="240" w:lineRule="exact"/>
              <w:jc w:val="center"/>
              <w:rPr>
                <w:rFonts w:hint="eastAsia" w:ascii="宋体" w:hAnsi="宋体"/>
                <w:sz w:val="24"/>
              </w:rPr>
            </w:pPr>
            <w:r>
              <w:rPr>
                <w:rFonts w:hint="eastAsia" w:ascii="宋体" w:hAnsi="宋体"/>
                <w:sz w:val="24"/>
              </w:rPr>
              <w:t>合同金额</w:t>
            </w:r>
          </w:p>
          <w:p w14:paraId="206CFE0C">
            <w:pPr>
              <w:snapToGrid w:val="0"/>
              <w:spacing w:line="240" w:lineRule="exact"/>
              <w:jc w:val="center"/>
              <w:rPr>
                <w:rFonts w:hint="eastAsia" w:ascii="宋体" w:hAnsi="宋体"/>
                <w:sz w:val="24"/>
              </w:rPr>
            </w:pPr>
            <w:r>
              <w:rPr>
                <w:rFonts w:hint="eastAsia" w:ascii="宋体" w:hAnsi="宋体"/>
                <w:sz w:val="24"/>
              </w:rPr>
              <w:t>（万元）</w:t>
            </w:r>
          </w:p>
        </w:tc>
        <w:tc>
          <w:tcPr>
            <w:tcW w:w="1674" w:type="pct"/>
            <w:vMerge w:val="restart"/>
            <w:tcBorders>
              <w:top w:val="single" w:color="auto" w:sz="4" w:space="0"/>
              <w:left w:val="single" w:color="auto" w:sz="4" w:space="0"/>
              <w:bottom w:val="single" w:color="auto" w:sz="4" w:space="0"/>
              <w:right w:val="single" w:color="auto" w:sz="4" w:space="0"/>
            </w:tcBorders>
            <w:noWrap w:val="0"/>
            <w:vAlign w:val="center"/>
          </w:tcPr>
          <w:p w14:paraId="1DA0A385">
            <w:pPr>
              <w:snapToGrid w:val="0"/>
              <w:spacing w:line="240" w:lineRule="exact"/>
              <w:jc w:val="center"/>
              <w:rPr>
                <w:rFonts w:hint="eastAsia" w:ascii="宋体" w:hAnsi="宋体"/>
                <w:sz w:val="24"/>
              </w:rPr>
            </w:pPr>
            <w:r>
              <w:rPr>
                <w:rFonts w:hint="eastAsia" w:ascii="宋体" w:hAnsi="宋体"/>
                <w:sz w:val="24"/>
              </w:rPr>
              <w:t>采购人联系人及</w:t>
            </w:r>
          </w:p>
          <w:p w14:paraId="1EC476F5">
            <w:pPr>
              <w:snapToGrid w:val="0"/>
              <w:spacing w:line="240" w:lineRule="exact"/>
              <w:jc w:val="center"/>
              <w:rPr>
                <w:rFonts w:hint="eastAsia" w:ascii="宋体" w:hAnsi="宋体"/>
                <w:sz w:val="24"/>
              </w:rPr>
            </w:pPr>
            <w:r>
              <w:rPr>
                <w:rFonts w:hint="eastAsia" w:ascii="宋体" w:hAnsi="宋体"/>
                <w:sz w:val="24"/>
              </w:rPr>
              <w:t>联系电话</w:t>
            </w:r>
          </w:p>
        </w:tc>
      </w:tr>
      <w:tr w14:paraId="555B32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trPr>
        <w:tc>
          <w:tcPr>
            <w:tcW w:w="1250" w:type="pct"/>
            <w:vMerge w:val="continue"/>
            <w:tcBorders>
              <w:top w:val="single" w:color="auto" w:sz="4" w:space="0"/>
              <w:left w:val="single" w:color="auto" w:sz="4" w:space="0"/>
              <w:bottom w:val="single" w:color="auto" w:sz="4" w:space="0"/>
              <w:right w:val="single" w:color="auto" w:sz="4" w:space="0"/>
            </w:tcBorders>
            <w:noWrap w:val="0"/>
            <w:vAlign w:val="center"/>
          </w:tcPr>
          <w:p w14:paraId="73621D40">
            <w:pPr>
              <w:jc w:val="left"/>
              <w:rPr>
                <w:rFonts w:hint="eastAsia" w:ascii="宋体" w:hAnsi="宋体"/>
                <w:sz w:val="24"/>
              </w:rPr>
            </w:pPr>
          </w:p>
        </w:tc>
        <w:tc>
          <w:tcPr>
            <w:tcW w:w="1038" w:type="pct"/>
            <w:vMerge w:val="continue"/>
            <w:tcBorders>
              <w:top w:val="single" w:color="auto" w:sz="4" w:space="0"/>
              <w:left w:val="single" w:color="auto" w:sz="4" w:space="0"/>
              <w:bottom w:val="single" w:color="auto" w:sz="4" w:space="0"/>
              <w:right w:val="single" w:color="auto" w:sz="4" w:space="0"/>
            </w:tcBorders>
            <w:noWrap w:val="0"/>
            <w:vAlign w:val="center"/>
          </w:tcPr>
          <w:p w14:paraId="0BCA29E1">
            <w:pPr>
              <w:jc w:val="left"/>
              <w:rPr>
                <w:rFonts w:hint="eastAsia" w:ascii="宋体" w:hAnsi="宋体"/>
                <w:sz w:val="24"/>
              </w:rPr>
            </w:pPr>
          </w:p>
        </w:tc>
        <w:tc>
          <w:tcPr>
            <w:tcW w:w="1038" w:type="pct"/>
            <w:vMerge w:val="continue"/>
            <w:tcBorders>
              <w:top w:val="single" w:color="auto" w:sz="4" w:space="0"/>
              <w:left w:val="single" w:color="auto" w:sz="4" w:space="0"/>
              <w:bottom w:val="single" w:color="auto" w:sz="4" w:space="0"/>
              <w:right w:val="single" w:color="auto" w:sz="4" w:space="0"/>
            </w:tcBorders>
            <w:noWrap w:val="0"/>
            <w:vAlign w:val="center"/>
          </w:tcPr>
          <w:p w14:paraId="7DD9DE8B">
            <w:pPr>
              <w:jc w:val="left"/>
              <w:rPr>
                <w:rFonts w:hint="eastAsia" w:ascii="宋体" w:hAnsi="宋体"/>
                <w:sz w:val="24"/>
              </w:rPr>
            </w:pPr>
          </w:p>
        </w:tc>
        <w:tc>
          <w:tcPr>
            <w:tcW w:w="1674" w:type="pct"/>
            <w:vMerge w:val="continue"/>
            <w:tcBorders>
              <w:top w:val="single" w:color="auto" w:sz="4" w:space="0"/>
              <w:left w:val="single" w:color="auto" w:sz="4" w:space="0"/>
              <w:bottom w:val="single" w:color="auto" w:sz="4" w:space="0"/>
              <w:right w:val="single" w:color="auto" w:sz="4" w:space="0"/>
            </w:tcBorders>
            <w:noWrap w:val="0"/>
            <w:vAlign w:val="center"/>
          </w:tcPr>
          <w:p w14:paraId="36606583">
            <w:pPr>
              <w:jc w:val="left"/>
              <w:rPr>
                <w:rFonts w:hint="eastAsia" w:ascii="宋体" w:hAnsi="宋体"/>
                <w:sz w:val="24"/>
              </w:rPr>
            </w:pPr>
          </w:p>
        </w:tc>
      </w:tr>
      <w:tr w14:paraId="7ACD90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trPr>
        <w:tc>
          <w:tcPr>
            <w:tcW w:w="1250" w:type="pct"/>
            <w:tcBorders>
              <w:top w:val="single" w:color="auto" w:sz="4" w:space="0"/>
              <w:left w:val="single" w:color="auto" w:sz="4" w:space="0"/>
              <w:bottom w:val="single" w:color="auto" w:sz="4" w:space="0"/>
              <w:right w:val="single" w:color="auto" w:sz="4" w:space="0"/>
            </w:tcBorders>
            <w:noWrap w:val="0"/>
            <w:vAlign w:val="top"/>
          </w:tcPr>
          <w:p w14:paraId="7F49EE68">
            <w:pPr>
              <w:snapToGrid w:val="0"/>
              <w:spacing w:line="240" w:lineRule="exact"/>
              <w:jc w:val="left"/>
              <w:rPr>
                <w:rFonts w:hint="eastAsia" w:ascii="宋体" w:hAnsi="宋体"/>
                <w:sz w:val="24"/>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2FF2F769">
            <w:pPr>
              <w:snapToGrid w:val="0"/>
              <w:spacing w:line="240" w:lineRule="exact"/>
              <w:jc w:val="left"/>
              <w:rPr>
                <w:rFonts w:hint="eastAsia" w:ascii="宋体" w:hAnsi="宋体"/>
                <w:sz w:val="24"/>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1B4DE1D4">
            <w:pPr>
              <w:snapToGrid w:val="0"/>
              <w:spacing w:line="240" w:lineRule="exact"/>
              <w:jc w:val="left"/>
              <w:rPr>
                <w:rFonts w:hint="eastAsia" w:ascii="宋体" w:hAnsi="宋体"/>
                <w:sz w:val="24"/>
              </w:rPr>
            </w:pPr>
          </w:p>
        </w:tc>
        <w:tc>
          <w:tcPr>
            <w:tcW w:w="1674" w:type="pct"/>
            <w:tcBorders>
              <w:top w:val="single" w:color="auto" w:sz="4" w:space="0"/>
              <w:left w:val="single" w:color="auto" w:sz="4" w:space="0"/>
              <w:bottom w:val="single" w:color="auto" w:sz="4" w:space="0"/>
              <w:right w:val="single" w:color="auto" w:sz="4" w:space="0"/>
            </w:tcBorders>
            <w:noWrap w:val="0"/>
            <w:vAlign w:val="top"/>
          </w:tcPr>
          <w:p w14:paraId="2028DE07">
            <w:pPr>
              <w:snapToGrid w:val="0"/>
              <w:spacing w:line="240" w:lineRule="exact"/>
              <w:jc w:val="left"/>
              <w:rPr>
                <w:rFonts w:hint="eastAsia" w:ascii="宋体" w:hAnsi="宋体"/>
                <w:sz w:val="24"/>
              </w:rPr>
            </w:pPr>
          </w:p>
        </w:tc>
      </w:tr>
      <w:tr w14:paraId="545E06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250" w:type="pct"/>
            <w:tcBorders>
              <w:top w:val="single" w:color="auto" w:sz="4" w:space="0"/>
              <w:left w:val="single" w:color="auto" w:sz="4" w:space="0"/>
              <w:bottom w:val="single" w:color="auto" w:sz="4" w:space="0"/>
              <w:right w:val="single" w:color="auto" w:sz="4" w:space="0"/>
            </w:tcBorders>
            <w:noWrap w:val="0"/>
            <w:vAlign w:val="top"/>
          </w:tcPr>
          <w:p w14:paraId="0CB65B0B">
            <w:pPr>
              <w:snapToGrid w:val="0"/>
              <w:spacing w:before="50" w:after="120" w:afterLines="50" w:line="400" w:lineRule="exact"/>
              <w:jc w:val="left"/>
              <w:rPr>
                <w:rFonts w:hint="eastAsia" w:ascii="宋体" w:hAnsi="宋体"/>
                <w:sz w:val="24"/>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7DF697FF">
            <w:pPr>
              <w:snapToGrid w:val="0"/>
              <w:spacing w:before="50" w:after="120" w:afterLines="50" w:line="400" w:lineRule="exact"/>
              <w:jc w:val="left"/>
              <w:rPr>
                <w:rFonts w:hint="eastAsia" w:ascii="宋体" w:hAnsi="宋体"/>
                <w:sz w:val="24"/>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5A7ED97D">
            <w:pPr>
              <w:snapToGrid w:val="0"/>
              <w:spacing w:before="50" w:after="120" w:afterLines="50" w:line="400" w:lineRule="exact"/>
              <w:jc w:val="left"/>
              <w:rPr>
                <w:rFonts w:hint="eastAsia" w:ascii="宋体" w:hAnsi="宋体"/>
                <w:sz w:val="24"/>
              </w:rPr>
            </w:pPr>
          </w:p>
        </w:tc>
        <w:tc>
          <w:tcPr>
            <w:tcW w:w="1674" w:type="pct"/>
            <w:tcBorders>
              <w:top w:val="single" w:color="auto" w:sz="4" w:space="0"/>
              <w:left w:val="single" w:color="auto" w:sz="4" w:space="0"/>
              <w:bottom w:val="single" w:color="auto" w:sz="4" w:space="0"/>
              <w:right w:val="single" w:color="auto" w:sz="4" w:space="0"/>
            </w:tcBorders>
            <w:noWrap w:val="0"/>
            <w:vAlign w:val="top"/>
          </w:tcPr>
          <w:p w14:paraId="29ADC916">
            <w:pPr>
              <w:snapToGrid w:val="0"/>
              <w:spacing w:before="50" w:after="120" w:afterLines="50" w:line="400" w:lineRule="exact"/>
              <w:jc w:val="left"/>
              <w:rPr>
                <w:rFonts w:hint="eastAsia" w:ascii="宋体" w:hAnsi="宋体"/>
                <w:sz w:val="24"/>
              </w:rPr>
            </w:pPr>
          </w:p>
        </w:tc>
      </w:tr>
      <w:tr w14:paraId="5B8E2D7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trPr>
        <w:tc>
          <w:tcPr>
            <w:tcW w:w="1250" w:type="pct"/>
            <w:tcBorders>
              <w:top w:val="single" w:color="auto" w:sz="4" w:space="0"/>
              <w:left w:val="single" w:color="auto" w:sz="4" w:space="0"/>
              <w:bottom w:val="single" w:color="auto" w:sz="4" w:space="0"/>
              <w:right w:val="single" w:color="auto" w:sz="4" w:space="0"/>
            </w:tcBorders>
            <w:noWrap w:val="0"/>
            <w:vAlign w:val="top"/>
          </w:tcPr>
          <w:p w14:paraId="1E1D909E">
            <w:pPr>
              <w:snapToGrid w:val="0"/>
              <w:spacing w:before="50" w:after="120" w:afterLines="50" w:line="400" w:lineRule="exact"/>
              <w:jc w:val="left"/>
              <w:rPr>
                <w:rFonts w:hint="eastAsia" w:ascii="宋体" w:hAnsi="宋体"/>
                <w:sz w:val="24"/>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1E7110FF">
            <w:pPr>
              <w:snapToGrid w:val="0"/>
              <w:spacing w:before="50" w:after="120" w:afterLines="50" w:line="400" w:lineRule="exact"/>
              <w:jc w:val="left"/>
              <w:rPr>
                <w:rFonts w:hint="eastAsia" w:ascii="宋体" w:hAnsi="宋体"/>
                <w:sz w:val="24"/>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1FE2E454">
            <w:pPr>
              <w:snapToGrid w:val="0"/>
              <w:spacing w:before="50" w:after="120" w:afterLines="50" w:line="400" w:lineRule="exact"/>
              <w:jc w:val="left"/>
              <w:rPr>
                <w:rFonts w:hint="eastAsia" w:ascii="宋体" w:hAnsi="宋体"/>
                <w:sz w:val="24"/>
              </w:rPr>
            </w:pPr>
          </w:p>
        </w:tc>
        <w:tc>
          <w:tcPr>
            <w:tcW w:w="1674" w:type="pct"/>
            <w:tcBorders>
              <w:top w:val="single" w:color="auto" w:sz="4" w:space="0"/>
              <w:left w:val="single" w:color="auto" w:sz="4" w:space="0"/>
              <w:bottom w:val="single" w:color="auto" w:sz="4" w:space="0"/>
              <w:right w:val="single" w:color="auto" w:sz="4" w:space="0"/>
            </w:tcBorders>
            <w:noWrap w:val="0"/>
            <w:vAlign w:val="top"/>
          </w:tcPr>
          <w:p w14:paraId="40C3171E">
            <w:pPr>
              <w:snapToGrid w:val="0"/>
              <w:spacing w:before="50" w:after="120" w:afterLines="50" w:line="400" w:lineRule="exact"/>
              <w:jc w:val="left"/>
              <w:rPr>
                <w:rFonts w:hint="eastAsia" w:ascii="宋体" w:hAnsi="宋体"/>
                <w:sz w:val="24"/>
              </w:rPr>
            </w:pPr>
          </w:p>
        </w:tc>
      </w:tr>
      <w:tr w14:paraId="093AB0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250" w:type="pct"/>
            <w:tcBorders>
              <w:top w:val="single" w:color="auto" w:sz="4" w:space="0"/>
              <w:left w:val="single" w:color="auto" w:sz="4" w:space="0"/>
              <w:bottom w:val="single" w:color="auto" w:sz="4" w:space="0"/>
              <w:right w:val="single" w:color="auto" w:sz="4" w:space="0"/>
            </w:tcBorders>
            <w:noWrap w:val="0"/>
            <w:vAlign w:val="top"/>
          </w:tcPr>
          <w:p w14:paraId="789F6101">
            <w:pPr>
              <w:snapToGrid w:val="0"/>
              <w:spacing w:before="50" w:after="120" w:afterLines="50" w:line="400" w:lineRule="exact"/>
              <w:jc w:val="left"/>
              <w:rPr>
                <w:rFonts w:hint="eastAsia" w:ascii="宋体" w:hAnsi="宋体"/>
                <w:sz w:val="24"/>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0631CFAC">
            <w:pPr>
              <w:snapToGrid w:val="0"/>
              <w:spacing w:before="50" w:after="120" w:afterLines="50" w:line="400" w:lineRule="exact"/>
              <w:jc w:val="left"/>
              <w:rPr>
                <w:rFonts w:hint="eastAsia" w:ascii="宋体" w:hAnsi="宋体"/>
                <w:sz w:val="24"/>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11A712A9">
            <w:pPr>
              <w:snapToGrid w:val="0"/>
              <w:spacing w:before="50" w:after="120" w:afterLines="50" w:line="400" w:lineRule="exact"/>
              <w:jc w:val="left"/>
              <w:rPr>
                <w:rFonts w:hint="eastAsia" w:ascii="宋体" w:hAnsi="宋体"/>
                <w:sz w:val="24"/>
              </w:rPr>
            </w:pPr>
          </w:p>
        </w:tc>
        <w:tc>
          <w:tcPr>
            <w:tcW w:w="1674" w:type="pct"/>
            <w:tcBorders>
              <w:top w:val="single" w:color="auto" w:sz="4" w:space="0"/>
              <w:left w:val="single" w:color="auto" w:sz="4" w:space="0"/>
              <w:bottom w:val="single" w:color="auto" w:sz="4" w:space="0"/>
              <w:right w:val="single" w:color="auto" w:sz="4" w:space="0"/>
            </w:tcBorders>
            <w:noWrap w:val="0"/>
            <w:vAlign w:val="top"/>
          </w:tcPr>
          <w:p w14:paraId="38122DC2">
            <w:pPr>
              <w:snapToGrid w:val="0"/>
              <w:spacing w:before="50" w:after="120" w:afterLines="50" w:line="400" w:lineRule="exact"/>
              <w:jc w:val="left"/>
              <w:rPr>
                <w:rFonts w:hint="eastAsia" w:ascii="宋体" w:hAnsi="宋体"/>
                <w:sz w:val="24"/>
              </w:rPr>
            </w:pPr>
          </w:p>
        </w:tc>
      </w:tr>
      <w:tr w14:paraId="559C9B8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250" w:type="pct"/>
            <w:tcBorders>
              <w:top w:val="single" w:color="auto" w:sz="4" w:space="0"/>
              <w:left w:val="single" w:color="auto" w:sz="4" w:space="0"/>
              <w:bottom w:val="single" w:color="auto" w:sz="4" w:space="0"/>
              <w:right w:val="single" w:color="auto" w:sz="4" w:space="0"/>
            </w:tcBorders>
            <w:noWrap w:val="0"/>
            <w:vAlign w:val="top"/>
          </w:tcPr>
          <w:p w14:paraId="1BE1FC1A">
            <w:pPr>
              <w:snapToGrid w:val="0"/>
              <w:spacing w:before="50" w:after="120" w:afterLines="50" w:line="400" w:lineRule="exact"/>
              <w:jc w:val="left"/>
              <w:rPr>
                <w:rFonts w:hint="eastAsia" w:ascii="宋体" w:hAnsi="宋体"/>
                <w:sz w:val="24"/>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417BFF5C">
            <w:pPr>
              <w:snapToGrid w:val="0"/>
              <w:spacing w:before="50" w:after="120" w:afterLines="50" w:line="400" w:lineRule="exact"/>
              <w:jc w:val="left"/>
              <w:rPr>
                <w:rFonts w:hint="eastAsia" w:ascii="宋体" w:hAnsi="宋体"/>
                <w:sz w:val="24"/>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61B544FC">
            <w:pPr>
              <w:snapToGrid w:val="0"/>
              <w:spacing w:before="50" w:after="120" w:afterLines="50" w:line="400" w:lineRule="exact"/>
              <w:jc w:val="left"/>
              <w:rPr>
                <w:rFonts w:hint="eastAsia" w:ascii="宋体" w:hAnsi="宋体"/>
                <w:sz w:val="24"/>
              </w:rPr>
            </w:pPr>
          </w:p>
        </w:tc>
        <w:tc>
          <w:tcPr>
            <w:tcW w:w="1674" w:type="pct"/>
            <w:tcBorders>
              <w:top w:val="single" w:color="auto" w:sz="4" w:space="0"/>
              <w:left w:val="single" w:color="auto" w:sz="4" w:space="0"/>
              <w:bottom w:val="single" w:color="auto" w:sz="4" w:space="0"/>
              <w:right w:val="single" w:color="auto" w:sz="4" w:space="0"/>
            </w:tcBorders>
            <w:noWrap w:val="0"/>
            <w:vAlign w:val="top"/>
          </w:tcPr>
          <w:p w14:paraId="73DC9C1F">
            <w:pPr>
              <w:snapToGrid w:val="0"/>
              <w:spacing w:before="50" w:after="120" w:afterLines="50" w:line="400" w:lineRule="exact"/>
              <w:jc w:val="left"/>
              <w:rPr>
                <w:rFonts w:hint="eastAsia" w:ascii="宋体" w:hAnsi="宋体"/>
                <w:sz w:val="24"/>
              </w:rPr>
            </w:pPr>
          </w:p>
        </w:tc>
      </w:tr>
    </w:tbl>
    <w:p w14:paraId="712F9FF9">
      <w:pPr>
        <w:pStyle w:val="14"/>
        <w:spacing w:before="0" w:after="0" w:line="360" w:lineRule="auto"/>
        <w:contextualSpacing/>
        <w:rPr>
          <w:rFonts w:hint="eastAsia" w:ascii="宋体" w:hAnsi="宋体" w:eastAsia="宋体"/>
          <w:sz w:val="24"/>
          <w:szCs w:val="24"/>
        </w:rPr>
      </w:pPr>
    </w:p>
    <w:p w14:paraId="4E84A015">
      <w:pPr>
        <w:pStyle w:val="14"/>
        <w:spacing w:before="0" w:after="0" w:line="360" w:lineRule="auto"/>
        <w:contextualSpacing/>
        <w:rPr>
          <w:rFonts w:hint="eastAsia" w:ascii="宋体" w:hAnsi="宋体" w:eastAsia="宋体"/>
          <w:sz w:val="24"/>
          <w:szCs w:val="24"/>
        </w:rPr>
      </w:pPr>
      <w:r>
        <w:rPr>
          <w:rFonts w:hint="eastAsia" w:ascii="宋体" w:hAnsi="宋体" w:eastAsia="宋体"/>
          <w:sz w:val="24"/>
          <w:szCs w:val="24"/>
        </w:rPr>
        <w:t>注：</w:t>
      </w:r>
      <w:r>
        <w:rPr>
          <w:rFonts w:hint="eastAsia" w:ascii="宋体" w:hAnsi="宋体"/>
          <w:sz w:val="24"/>
        </w:rPr>
        <w:t>投标人根据评标标准具体要求附业绩证明材料。</w:t>
      </w:r>
    </w:p>
    <w:p w14:paraId="63F1E186">
      <w:pPr>
        <w:pStyle w:val="14"/>
        <w:spacing w:before="0" w:after="0" w:line="360" w:lineRule="auto"/>
        <w:contextualSpacing/>
        <w:jc w:val="left"/>
        <w:rPr>
          <w:rFonts w:hint="eastAsia" w:ascii="宋体" w:hAnsi="宋体" w:eastAsia="宋体"/>
          <w:sz w:val="24"/>
          <w:szCs w:val="24"/>
          <w:u w:val="single"/>
        </w:rPr>
      </w:pPr>
      <w:r>
        <w:rPr>
          <w:rFonts w:hint="eastAsia" w:ascii="宋体" w:hAnsi="宋体" w:eastAsia="宋体"/>
          <w:sz w:val="24"/>
          <w:szCs w:val="24"/>
        </w:rPr>
        <w:t>法定代表人或者委托代理人（签字或者电子签名）：</w:t>
      </w:r>
      <w:r>
        <w:rPr>
          <w:rFonts w:hint="eastAsia" w:ascii="宋体" w:hAnsi="宋体" w:eastAsia="宋体"/>
          <w:sz w:val="24"/>
          <w:szCs w:val="24"/>
          <w:u w:val="single"/>
        </w:rPr>
        <w:t>　　　　　</w:t>
      </w:r>
    </w:p>
    <w:p w14:paraId="729C1406">
      <w:pPr>
        <w:spacing w:line="360" w:lineRule="auto"/>
        <w:ind w:right="480"/>
        <w:contextualSpacing/>
        <w:jc w:val="left"/>
        <w:rPr>
          <w:rFonts w:hint="eastAsia" w:ascii="宋体" w:hAnsi="宋体"/>
          <w:sz w:val="24"/>
          <w:szCs w:val="20"/>
        </w:rPr>
      </w:pPr>
      <w:r>
        <w:rPr>
          <w:rFonts w:hint="eastAsia" w:ascii="宋体" w:hAnsi="宋体" w:cs="Arial"/>
          <w:sz w:val="24"/>
        </w:rPr>
        <w:t xml:space="preserve">投标人名称（电子签章）： </w:t>
      </w:r>
      <w:r>
        <w:rPr>
          <w:rFonts w:hint="eastAsia" w:ascii="宋体" w:hAnsi="宋体"/>
          <w:sz w:val="24"/>
          <w:u w:val="single"/>
        </w:rPr>
        <w:t xml:space="preserve">                </w:t>
      </w:r>
      <w:r>
        <w:rPr>
          <w:rFonts w:hint="eastAsia" w:ascii="宋体" w:hAnsi="宋体"/>
          <w:sz w:val="24"/>
        </w:rPr>
        <w:t xml:space="preserve">                                                              年    月    日</w:t>
      </w:r>
    </w:p>
    <w:p w14:paraId="559008C0">
      <w:pPr>
        <w:snapToGrid w:val="0"/>
        <w:spacing w:before="50"/>
        <w:ind w:firstLine="480" w:firstLineChars="200"/>
        <w:jc w:val="left"/>
        <w:rPr>
          <w:rFonts w:hint="eastAsia" w:ascii="宋体" w:hAnsi="宋体"/>
          <w:sz w:val="24"/>
          <w:szCs w:val="20"/>
        </w:rPr>
      </w:pPr>
    </w:p>
    <w:p w14:paraId="419E3993">
      <w:pPr>
        <w:snapToGrid w:val="0"/>
        <w:spacing w:before="50"/>
        <w:jc w:val="left"/>
        <w:rPr>
          <w:rFonts w:hint="eastAsia" w:ascii="宋体" w:hAnsi="宋体"/>
          <w:sz w:val="24"/>
        </w:rPr>
      </w:pPr>
    </w:p>
    <w:p w14:paraId="4B3A6929">
      <w:pPr>
        <w:snapToGrid w:val="0"/>
        <w:spacing w:before="120" w:beforeLines="50"/>
        <w:rPr>
          <w:rFonts w:ascii="宋体" w:hAnsi="宋体"/>
          <w:sz w:val="24"/>
          <w:szCs w:val="20"/>
        </w:rPr>
        <w:sectPr>
          <w:footerReference r:id="rId15" w:type="first"/>
          <w:headerReference r:id="rId12" w:type="default"/>
          <w:footerReference r:id="rId13" w:type="default"/>
          <w:footerReference r:id="rId14" w:type="even"/>
          <w:pgSz w:w="11906" w:h="16838"/>
          <w:pgMar w:top="1440" w:right="1797" w:bottom="1440" w:left="1797" w:header="851" w:footer="992" w:gutter="0"/>
          <w:cols w:space="720" w:num="1"/>
          <w:docGrid w:linePitch="312" w:charSpace="0"/>
        </w:sectPr>
      </w:pPr>
    </w:p>
    <w:p w14:paraId="0C7DCE99">
      <w:pPr>
        <w:snapToGrid w:val="0"/>
        <w:spacing w:before="120" w:beforeLines="50" w:after="50"/>
        <w:ind w:left="142"/>
        <w:jc w:val="left"/>
        <w:rPr>
          <w:rFonts w:ascii="宋体" w:hAnsi="宋体"/>
          <w:b/>
          <w:sz w:val="24"/>
        </w:rPr>
      </w:pPr>
      <w:r>
        <w:rPr>
          <w:rFonts w:hint="eastAsia" w:ascii="宋体" w:hAnsi="宋体"/>
          <w:b/>
          <w:sz w:val="24"/>
        </w:rPr>
        <w:t>8. 代理服务费承诺书</w:t>
      </w:r>
    </w:p>
    <w:p w14:paraId="1C7A6E26">
      <w:pPr>
        <w:snapToGrid w:val="0"/>
        <w:spacing w:before="120" w:beforeLines="50" w:after="50"/>
        <w:jc w:val="left"/>
        <w:rPr>
          <w:rFonts w:hint="eastAsia" w:ascii="方正小标宋简体" w:hAnsi="方正小标宋简体" w:eastAsia="方正小标宋简体" w:cs="方正小标宋简体"/>
          <w:bCs/>
          <w:szCs w:val="21"/>
        </w:rPr>
      </w:pPr>
    </w:p>
    <w:p w14:paraId="76E1C04E">
      <w:pPr>
        <w:snapToGrid w:val="0"/>
        <w:spacing w:before="120" w:beforeLines="50" w:after="50"/>
        <w:jc w:val="center"/>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代理服务费承诺书</w:t>
      </w:r>
    </w:p>
    <w:p w14:paraId="3C5B726C">
      <w:pPr>
        <w:snapToGrid w:val="0"/>
        <w:spacing w:before="120" w:beforeLines="50" w:after="50"/>
        <w:jc w:val="center"/>
        <w:rPr>
          <w:rFonts w:hint="eastAsia" w:ascii="宋体" w:hAnsi="宋体"/>
          <w:b/>
          <w:sz w:val="24"/>
        </w:rPr>
      </w:pPr>
    </w:p>
    <w:p w14:paraId="592B0C04">
      <w:pPr>
        <w:spacing w:line="360" w:lineRule="auto"/>
        <w:rPr>
          <w:rFonts w:hint="eastAsia" w:ascii="宋体" w:hAnsi="宋体"/>
          <w:b/>
          <w:bCs/>
          <w:sz w:val="24"/>
        </w:rPr>
      </w:pPr>
      <w:r>
        <w:rPr>
          <w:rFonts w:hint="eastAsia" w:ascii="宋体" w:hAnsi="宋体"/>
          <w:bCs/>
          <w:sz w:val="24"/>
        </w:rPr>
        <w:t>致：</w:t>
      </w:r>
      <w:r>
        <w:rPr>
          <w:rFonts w:hint="eastAsia" w:ascii="宋体" w:hAnsi="宋体"/>
          <w:sz w:val="24"/>
          <w:u w:val="single"/>
        </w:rPr>
        <w:t>代理机构名称</w:t>
      </w:r>
      <w:r>
        <w:rPr>
          <w:rFonts w:hint="eastAsia" w:ascii="宋体" w:hAnsi="宋体"/>
          <w:sz w:val="24"/>
        </w:rPr>
        <w:t>：</w:t>
      </w:r>
    </w:p>
    <w:p w14:paraId="691AC546">
      <w:pPr>
        <w:spacing w:line="360" w:lineRule="auto"/>
        <w:ind w:firstLine="480" w:firstLineChars="200"/>
        <w:rPr>
          <w:rFonts w:hint="eastAsia" w:ascii="宋体" w:hAnsi="宋体"/>
          <w:sz w:val="24"/>
        </w:rPr>
      </w:pPr>
      <w:r>
        <w:rPr>
          <w:rFonts w:hint="eastAsia" w:ascii="宋体" w:hAnsi="宋体"/>
          <w:sz w:val="24"/>
        </w:rPr>
        <w:t>本单位参加了贵方组织的</w:t>
      </w:r>
      <w:r>
        <w:rPr>
          <w:rFonts w:hint="eastAsia" w:ascii="宋体" w:hAnsi="宋体"/>
          <w:sz w:val="24"/>
          <w:u w:val="single"/>
        </w:rPr>
        <w:t xml:space="preserve">  项目名称（项目编号）  </w:t>
      </w:r>
      <w:r>
        <w:rPr>
          <w:rFonts w:hint="eastAsia" w:ascii="宋体" w:hAnsi="宋体"/>
          <w:sz w:val="24"/>
        </w:rPr>
        <w:t>项目， 在此说明如下：</w:t>
      </w:r>
    </w:p>
    <w:p w14:paraId="1B98CE6E">
      <w:pPr>
        <w:spacing w:line="440" w:lineRule="exact"/>
        <w:ind w:firstLine="360" w:firstLineChars="150"/>
        <w:rPr>
          <w:rFonts w:hint="eastAsia" w:ascii="宋体" w:hAnsi="宋体"/>
          <w:sz w:val="24"/>
        </w:rPr>
      </w:pPr>
      <w:r>
        <w:rPr>
          <w:rFonts w:hint="eastAsia" w:ascii="宋体" w:hAnsi="宋体"/>
          <w:sz w:val="24"/>
        </w:rPr>
        <w:t>1.我方承诺，若本单位中标，保证在发出中标通知书之后，按本项目招标文件的规定标准向贵单位一次性足额支付代理服务费， 在领取中标通知书后，由于被质疑、投诉或者其他原因而导致中标结果改变，我方将放弃对已缴纳的中标服务费追还的一切权利。</w:t>
      </w:r>
    </w:p>
    <w:p w14:paraId="1FF150F9">
      <w:pPr>
        <w:spacing w:line="440" w:lineRule="exact"/>
        <w:ind w:firstLine="360" w:firstLineChars="150"/>
        <w:rPr>
          <w:rFonts w:hint="eastAsia" w:ascii="宋体" w:hAnsi="宋体"/>
          <w:sz w:val="24"/>
        </w:rPr>
      </w:pPr>
      <w:r>
        <w:rPr>
          <w:rFonts w:hint="eastAsia" w:ascii="宋体" w:hAnsi="宋体"/>
          <w:sz w:val="24"/>
        </w:rPr>
        <w:t>2.本单位选择第</w:t>
      </w:r>
      <w:r>
        <w:rPr>
          <w:rFonts w:hint="eastAsia" w:ascii="宋体" w:hAnsi="宋体"/>
          <w:sz w:val="24"/>
          <w:u w:val="single"/>
        </w:rPr>
        <w:t xml:space="preserve">     </w:t>
      </w:r>
      <w:r>
        <w:rPr>
          <w:rFonts w:hint="eastAsia" w:ascii="宋体" w:hAnsi="宋体"/>
          <w:sz w:val="24"/>
        </w:rPr>
        <w:t>种方式作为代理服务费开票类型：</w:t>
      </w:r>
    </w:p>
    <w:p w14:paraId="0946BA13">
      <w:pPr>
        <w:spacing w:line="440" w:lineRule="exact"/>
        <w:ind w:firstLine="360" w:firstLineChars="150"/>
        <w:rPr>
          <w:rFonts w:hint="eastAsia" w:ascii="宋体" w:hAnsi="宋体"/>
          <w:sz w:val="24"/>
        </w:rPr>
      </w:pPr>
      <w:r>
        <w:rPr>
          <w:rFonts w:hint="eastAsia" w:ascii="宋体" w:hAnsi="宋体"/>
          <w:sz w:val="24"/>
        </w:rPr>
        <w:t>第一种方式：开具增值税普通发票。开票信息如下：</w:t>
      </w:r>
    </w:p>
    <w:p w14:paraId="290E3397">
      <w:pPr>
        <w:spacing w:line="440" w:lineRule="exact"/>
        <w:ind w:firstLine="360" w:firstLineChars="150"/>
        <w:rPr>
          <w:rFonts w:hint="eastAsia" w:ascii="宋体" w:hAnsi="宋体"/>
          <w:sz w:val="24"/>
        </w:rPr>
      </w:pPr>
      <w:r>
        <w:rPr>
          <w:rFonts w:hint="eastAsia" w:ascii="宋体" w:hAnsi="宋体"/>
          <w:sz w:val="24"/>
        </w:rPr>
        <w:t>（1）公司名称</w:t>
      </w:r>
      <w:r>
        <w:rPr>
          <w:rFonts w:hint="eastAsia" w:ascii="宋体" w:hAnsi="宋体"/>
          <w:sz w:val="24"/>
          <w:u w:val="single"/>
        </w:rPr>
        <w:t xml:space="preserve">_                       </w:t>
      </w:r>
      <w:r>
        <w:rPr>
          <w:rFonts w:hint="eastAsia" w:ascii="宋体" w:hAnsi="宋体"/>
          <w:sz w:val="24"/>
        </w:rPr>
        <w:t>；</w:t>
      </w:r>
    </w:p>
    <w:p w14:paraId="02D9B521">
      <w:pPr>
        <w:spacing w:line="440" w:lineRule="exact"/>
        <w:ind w:firstLine="360" w:firstLineChars="150"/>
        <w:rPr>
          <w:rFonts w:hint="eastAsia" w:ascii="宋体" w:hAnsi="宋体"/>
          <w:sz w:val="24"/>
        </w:rPr>
      </w:pPr>
      <w:r>
        <w:rPr>
          <w:rFonts w:hint="eastAsia" w:ascii="宋体" w:hAnsi="宋体"/>
          <w:sz w:val="24"/>
        </w:rPr>
        <w:t>（2）纳税人识别号</w:t>
      </w:r>
      <w:r>
        <w:rPr>
          <w:rFonts w:hint="eastAsia" w:ascii="宋体" w:hAnsi="宋体"/>
          <w:sz w:val="24"/>
          <w:u w:val="single"/>
        </w:rPr>
        <w:t xml:space="preserve">_                   </w:t>
      </w:r>
      <w:r>
        <w:rPr>
          <w:rFonts w:hint="eastAsia" w:ascii="宋体" w:hAnsi="宋体"/>
          <w:sz w:val="24"/>
        </w:rPr>
        <w:t>。</w:t>
      </w:r>
    </w:p>
    <w:p w14:paraId="471E1192">
      <w:pPr>
        <w:spacing w:line="440" w:lineRule="exact"/>
        <w:ind w:firstLine="360" w:firstLineChars="150"/>
        <w:rPr>
          <w:rFonts w:hint="eastAsia" w:ascii="宋体" w:hAnsi="宋体"/>
          <w:sz w:val="24"/>
        </w:rPr>
      </w:pPr>
      <w:r>
        <w:rPr>
          <w:rFonts w:hint="eastAsia" w:ascii="宋体" w:hAnsi="宋体"/>
          <w:sz w:val="24"/>
        </w:rPr>
        <w:t>第二种方式：开具增值税专用发票，开票信息如下：</w:t>
      </w:r>
    </w:p>
    <w:p w14:paraId="3CEBB006">
      <w:pPr>
        <w:spacing w:line="440" w:lineRule="exact"/>
        <w:ind w:firstLine="360" w:firstLineChars="150"/>
        <w:rPr>
          <w:rFonts w:hint="eastAsia" w:ascii="宋体" w:hAnsi="宋体"/>
          <w:sz w:val="24"/>
        </w:rPr>
      </w:pPr>
      <w:r>
        <w:rPr>
          <w:rFonts w:hint="eastAsia" w:ascii="宋体" w:hAnsi="宋体"/>
          <w:sz w:val="24"/>
        </w:rPr>
        <w:t>（1）公司名称</w:t>
      </w:r>
      <w:r>
        <w:rPr>
          <w:rFonts w:hint="eastAsia" w:ascii="宋体" w:hAnsi="宋体"/>
          <w:sz w:val="24"/>
          <w:u w:val="single"/>
        </w:rPr>
        <w:t xml:space="preserve">_                           </w:t>
      </w:r>
      <w:r>
        <w:rPr>
          <w:rFonts w:hint="eastAsia" w:ascii="宋体" w:hAnsi="宋体"/>
          <w:sz w:val="24"/>
        </w:rPr>
        <w:t>；</w:t>
      </w:r>
    </w:p>
    <w:p w14:paraId="40051626">
      <w:pPr>
        <w:spacing w:line="440" w:lineRule="exact"/>
        <w:ind w:firstLine="360" w:firstLineChars="150"/>
        <w:rPr>
          <w:rFonts w:hint="eastAsia" w:ascii="宋体" w:hAnsi="宋体"/>
          <w:sz w:val="24"/>
        </w:rPr>
      </w:pPr>
      <w:r>
        <w:rPr>
          <w:rFonts w:hint="eastAsia" w:ascii="宋体" w:hAnsi="宋体"/>
          <w:sz w:val="24"/>
        </w:rPr>
        <w:t>（2）纳税人识别号</w:t>
      </w:r>
      <w:r>
        <w:rPr>
          <w:rFonts w:hint="eastAsia" w:ascii="宋体" w:hAnsi="宋体"/>
          <w:sz w:val="24"/>
          <w:u w:val="single"/>
        </w:rPr>
        <w:t xml:space="preserve">_                       </w:t>
      </w:r>
      <w:r>
        <w:rPr>
          <w:rFonts w:hint="eastAsia" w:ascii="宋体" w:hAnsi="宋体"/>
          <w:sz w:val="24"/>
        </w:rPr>
        <w:t>；</w:t>
      </w:r>
    </w:p>
    <w:p w14:paraId="485B9D40">
      <w:pPr>
        <w:spacing w:line="440" w:lineRule="exact"/>
        <w:ind w:firstLine="360" w:firstLineChars="150"/>
        <w:rPr>
          <w:rFonts w:hint="eastAsia" w:ascii="宋体" w:hAnsi="宋体"/>
          <w:sz w:val="24"/>
        </w:rPr>
      </w:pPr>
      <w:r>
        <w:rPr>
          <w:rFonts w:hint="eastAsia" w:ascii="宋体" w:hAnsi="宋体"/>
          <w:sz w:val="24"/>
        </w:rPr>
        <w:t>（3）在税务局登记的地址</w:t>
      </w:r>
      <w:r>
        <w:rPr>
          <w:rFonts w:hint="eastAsia" w:ascii="宋体" w:hAnsi="宋体"/>
          <w:sz w:val="24"/>
          <w:u w:val="single"/>
        </w:rPr>
        <w:t xml:space="preserve">_                   </w:t>
      </w:r>
      <w:r>
        <w:rPr>
          <w:rFonts w:hint="eastAsia" w:ascii="宋体" w:hAnsi="宋体"/>
          <w:sz w:val="24"/>
        </w:rPr>
        <w:t>；</w:t>
      </w:r>
    </w:p>
    <w:p w14:paraId="046DF36E">
      <w:pPr>
        <w:spacing w:line="440" w:lineRule="exact"/>
        <w:ind w:firstLine="360" w:firstLineChars="150"/>
        <w:rPr>
          <w:rFonts w:hint="eastAsia" w:ascii="宋体" w:hAnsi="宋体"/>
          <w:sz w:val="24"/>
        </w:rPr>
      </w:pPr>
      <w:r>
        <w:rPr>
          <w:rFonts w:hint="eastAsia" w:ascii="宋体" w:hAnsi="宋体"/>
          <w:sz w:val="24"/>
        </w:rPr>
        <w:t>（4）在税务局登记的电话</w:t>
      </w:r>
      <w:r>
        <w:rPr>
          <w:rFonts w:hint="eastAsia" w:ascii="宋体" w:hAnsi="宋体"/>
          <w:sz w:val="24"/>
          <w:u w:val="single"/>
        </w:rPr>
        <w:t xml:space="preserve">_                   </w:t>
      </w:r>
      <w:r>
        <w:rPr>
          <w:rFonts w:hint="eastAsia" w:ascii="宋体" w:hAnsi="宋体"/>
          <w:sz w:val="24"/>
        </w:rPr>
        <w:t>；</w:t>
      </w:r>
    </w:p>
    <w:p w14:paraId="5C59E8FD">
      <w:pPr>
        <w:spacing w:line="440" w:lineRule="exact"/>
        <w:ind w:firstLine="360" w:firstLineChars="150"/>
        <w:rPr>
          <w:rFonts w:hint="eastAsia" w:ascii="宋体" w:hAnsi="宋体"/>
          <w:sz w:val="24"/>
        </w:rPr>
      </w:pPr>
      <w:r>
        <w:rPr>
          <w:rFonts w:hint="eastAsia" w:ascii="宋体" w:hAnsi="宋体"/>
          <w:sz w:val="24"/>
        </w:rPr>
        <w:t>（5）开户银行</w:t>
      </w:r>
      <w:r>
        <w:rPr>
          <w:rFonts w:hint="eastAsia" w:ascii="宋体" w:hAnsi="宋体"/>
          <w:sz w:val="24"/>
          <w:u w:val="single"/>
        </w:rPr>
        <w:t xml:space="preserve">_                           </w:t>
      </w:r>
      <w:r>
        <w:rPr>
          <w:rFonts w:hint="eastAsia" w:ascii="宋体" w:hAnsi="宋体"/>
          <w:sz w:val="24"/>
        </w:rPr>
        <w:t>；</w:t>
      </w:r>
    </w:p>
    <w:p w14:paraId="0E963000">
      <w:pPr>
        <w:spacing w:line="440" w:lineRule="exact"/>
        <w:ind w:firstLine="360" w:firstLineChars="150"/>
        <w:rPr>
          <w:rFonts w:hint="eastAsia" w:ascii="宋体" w:hAnsi="宋体"/>
          <w:sz w:val="24"/>
        </w:rPr>
      </w:pPr>
      <w:r>
        <w:rPr>
          <w:rFonts w:hint="eastAsia" w:ascii="宋体" w:hAnsi="宋体"/>
          <w:sz w:val="24"/>
        </w:rPr>
        <w:t>（6）银行账户</w:t>
      </w:r>
      <w:r>
        <w:rPr>
          <w:rFonts w:hint="eastAsia" w:ascii="宋体" w:hAnsi="宋体"/>
          <w:sz w:val="24"/>
          <w:u w:val="single"/>
        </w:rPr>
        <w:t xml:space="preserve">_                           </w:t>
      </w:r>
      <w:r>
        <w:rPr>
          <w:rFonts w:hint="eastAsia" w:ascii="宋体" w:hAnsi="宋体"/>
          <w:sz w:val="24"/>
        </w:rPr>
        <w:t>。</w:t>
      </w:r>
    </w:p>
    <w:p w14:paraId="23E8342B">
      <w:pPr>
        <w:spacing w:line="440" w:lineRule="exact"/>
        <w:rPr>
          <w:rFonts w:hint="eastAsia" w:ascii="宋体" w:hAnsi="宋体"/>
          <w:sz w:val="24"/>
        </w:rPr>
      </w:pPr>
    </w:p>
    <w:p w14:paraId="3F2B82DD">
      <w:pPr>
        <w:spacing w:line="440" w:lineRule="exact"/>
        <w:rPr>
          <w:rFonts w:hint="eastAsia" w:ascii="宋体" w:hAnsi="宋体"/>
          <w:sz w:val="24"/>
        </w:rPr>
      </w:pPr>
    </w:p>
    <w:p w14:paraId="5EAC9F90">
      <w:pPr>
        <w:spacing w:line="440" w:lineRule="exact"/>
        <w:rPr>
          <w:rFonts w:hint="eastAsia" w:ascii="宋体" w:hAnsi="宋体"/>
          <w:sz w:val="24"/>
        </w:rPr>
      </w:pPr>
    </w:p>
    <w:p w14:paraId="445F2F82">
      <w:pPr>
        <w:snapToGrid w:val="0"/>
        <w:spacing w:line="360" w:lineRule="auto"/>
        <w:ind w:left="-2" w:leftChars="-1" w:right="-817" w:rightChars="-389" w:firstLine="1920" w:firstLineChars="800"/>
        <w:rPr>
          <w:rFonts w:hint="eastAsia" w:ascii="宋体" w:hAnsi="宋体"/>
          <w:sz w:val="24"/>
        </w:rPr>
      </w:pPr>
      <w:r>
        <w:rPr>
          <w:rFonts w:hint="eastAsia" w:ascii="宋体" w:hAnsi="宋体"/>
          <w:sz w:val="24"/>
        </w:rPr>
        <w:t xml:space="preserve">法定代表人或者委托代理人（签字或者电子签名）： </w:t>
      </w:r>
    </w:p>
    <w:p w14:paraId="616F0BF1">
      <w:pPr>
        <w:snapToGrid w:val="0"/>
        <w:spacing w:line="360" w:lineRule="auto"/>
        <w:ind w:left="-3" w:leftChars="-15" w:right="-817" w:rightChars="-389" w:hanging="28" w:hangingChars="12"/>
        <w:rPr>
          <w:rFonts w:hint="eastAsia" w:ascii="宋体" w:hAnsi="宋体"/>
          <w:sz w:val="24"/>
        </w:rPr>
      </w:pPr>
      <w:r>
        <w:rPr>
          <w:rFonts w:hint="eastAsia" w:ascii="宋体" w:hAnsi="宋体"/>
          <w:sz w:val="24"/>
        </w:rPr>
        <w:t xml:space="preserve">                                      供应商公章（电子签章）：</w:t>
      </w:r>
    </w:p>
    <w:p w14:paraId="2B27841B">
      <w:pPr>
        <w:snapToGrid w:val="0"/>
        <w:spacing w:line="360" w:lineRule="auto"/>
        <w:ind w:right="480" w:firstLine="240" w:firstLineChars="100"/>
        <w:jc w:val="left"/>
        <w:rPr>
          <w:rFonts w:hint="eastAsia" w:ascii="宋体" w:hAnsi="宋体"/>
          <w:szCs w:val="21"/>
        </w:rPr>
      </w:pPr>
      <w:r>
        <w:rPr>
          <w:rFonts w:hint="eastAsia" w:ascii="宋体" w:hAnsi="宋体"/>
          <w:sz w:val="24"/>
        </w:rPr>
        <w:t xml:space="preserve">                                    日期：    年   月   日</w:t>
      </w:r>
    </w:p>
    <w:p w14:paraId="0E3C4E14">
      <w:pPr>
        <w:snapToGrid w:val="0"/>
        <w:spacing w:before="120" w:beforeLines="50" w:after="50"/>
        <w:ind w:firstLine="645"/>
        <w:jc w:val="center"/>
        <w:rPr>
          <w:rFonts w:hint="eastAsia" w:ascii="宋体" w:hAnsi="宋体"/>
          <w:sz w:val="24"/>
          <w:szCs w:val="20"/>
        </w:rPr>
      </w:pPr>
    </w:p>
    <w:p w14:paraId="77B66B61">
      <w:pPr>
        <w:snapToGrid w:val="0"/>
        <w:spacing w:before="120" w:beforeLines="50" w:after="50"/>
        <w:ind w:left="142"/>
        <w:jc w:val="left"/>
        <w:rPr>
          <w:rFonts w:hint="eastAsia" w:ascii="宋体" w:hAnsi="宋体"/>
          <w:b/>
          <w:sz w:val="24"/>
        </w:rPr>
      </w:pPr>
      <w:r>
        <w:rPr>
          <w:rFonts w:ascii="宋体" w:hAnsi="宋体"/>
          <w:b/>
          <w:bCs/>
          <w:sz w:val="24"/>
        </w:rPr>
        <w:br w:type="page"/>
      </w:r>
      <w:r>
        <w:rPr>
          <w:rFonts w:ascii="宋体" w:hAnsi="宋体"/>
          <w:b/>
          <w:bCs/>
          <w:sz w:val="24"/>
        </w:rPr>
        <w:t>9</w:t>
      </w:r>
      <w:r>
        <w:rPr>
          <w:rFonts w:hint="eastAsia" w:ascii="宋体" w:hAnsi="宋体"/>
          <w:b/>
          <w:sz w:val="24"/>
        </w:rPr>
        <w:t>. 设备性能配置清单格式</w:t>
      </w:r>
    </w:p>
    <w:p w14:paraId="1F79B918">
      <w:pPr>
        <w:snapToGrid w:val="0"/>
        <w:spacing w:before="120" w:beforeLines="50" w:after="50"/>
        <w:ind w:left="142"/>
        <w:jc w:val="left"/>
        <w:rPr>
          <w:rFonts w:hint="eastAsia" w:ascii="宋体" w:hAnsi="宋体"/>
          <w:b/>
          <w:sz w:val="24"/>
        </w:rPr>
      </w:pPr>
    </w:p>
    <w:p w14:paraId="3E2488EE">
      <w:pPr>
        <w:snapToGrid w:val="0"/>
        <w:spacing w:before="120" w:beforeLines="50" w:after="50"/>
        <w:ind w:left="142"/>
        <w:jc w:val="center"/>
        <w:rPr>
          <w:rFonts w:hint="eastAsia" w:ascii="宋体" w:hAnsi="宋体"/>
          <w:b/>
          <w:sz w:val="32"/>
          <w:szCs w:val="32"/>
        </w:rPr>
      </w:pPr>
      <w:r>
        <w:rPr>
          <w:rFonts w:hint="eastAsia" w:ascii="宋体" w:hAnsi="宋体"/>
          <w:b/>
          <w:sz w:val="32"/>
          <w:szCs w:val="32"/>
        </w:rPr>
        <w:t>设备性能配置清单</w:t>
      </w:r>
    </w:p>
    <w:p w14:paraId="64EA855C">
      <w:pPr>
        <w:pStyle w:val="25"/>
        <w:rPr>
          <w:sz w:val="24"/>
          <w:szCs w:val="24"/>
        </w:rPr>
      </w:pPr>
    </w:p>
    <w:p w14:paraId="264919FC">
      <w:pPr>
        <w:pStyle w:val="25"/>
        <w:rPr>
          <w:rFonts w:hint="eastAsia"/>
          <w:sz w:val="24"/>
          <w:szCs w:val="24"/>
        </w:rPr>
      </w:pPr>
      <w:r>
        <w:rPr>
          <w:rFonts w:hint="eastAsia"/>
          <w:sz w:val="24"/>
          <w:szCs w:val="24"/>
        </w:rPr>
        <w:t>所投分标：</w:t>
      </w:r>
      <w:r>
        <w:rPr>
          <w:rFonts w:hint="eastAsia"/>
          <w:sz w:val="24"/>
          <w:szCs w:val="24"/>
          <w:u w:val="single"/>
        </w:rPr>
        <w:t xml:space="preserve">     </w:t>
      </w:r>
      <w:r>
        <w:rPr>
          <w:rFonts w:hint="eastAsia"/>
          <w:sz w:val="24"/>
          <w:szCs w:val="24"/>
        </w:rPr>
        <w:t>分标</w:t>
      </w:r>
    </w:p>
    <w:tbl>
      <w:tblPr>
        <w:tblStyle w:val="50"/>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534"/>
        <w:gridCol w:w="1559"/>
        <w:gridCol w:w="851"/>
        <w:gridCol w:w="992"/>
        <w:gridCol w:w="1393"/>
        <w:gridCol w:w="1214"/>
        <w:gridCol w:w="719"/>
        <w:gridCol w:w="1458"/>
      </w:tblGrid>
      <w:tr w14:paraId="010CB0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0" w:hRule="atLeast"/>
          <w:jc w:val="center"/>
        </w:trPr>
        <w:tc>
          <w:tcPr>
            <w:tcW w:w="306" w:type="pct"/>
            <w:tcBorders>
              <w:top w:val="single" w:color="auto" w:sz="4" w:space="0"/>
              <w:left w:val="single" w:color="auto" w:sz="4" w:space="0"/>
              <w:bottom w:val="single" w:color="auto" w:sz="4" w:space="0"/>
              <w:right w:val="single" w:color="auto" w:sz="4" w:space="0"/>
            </w:tcBorders>
            <w:noWrap w:val="0"/>
            <w:vAlign w:val="center"/>
          </w:tcPr>
          <w:p w14:paraId="270D0750">
            <w:pPr>
              <w:snapToGrid w:val="0"/>
              <w:spacing w:before="50" w:after="50"/>
              <w:jc w:val="center"/>
              <w:rPr>
                <w:rFonts w:hint="eastAsia" w:ascii="宋体" w:hAnsi="宋体"/>
                <w:sz w:val="24"/>
              </w:rPr>
            </w:pPr>
            <w:r>
              <w:rPr>
                <w:rFonts w:hint="eastAsia" w:ascii="宋体" w:hAnsi="宋体"/>
                <w:sz w:val="24"/>
              </w:rPr>
              <w:t>序号</w:t>
            </w:r>
          </w:p>
        </w:tc>
        <w:tc>
          <w:tcPr>
            <w:tcW w:w="894" w:type="pct"/>
            <w:tcBorders>
              <w:top w:val="single" w:color="auto" w:sz="4" w:space="0"/>
              <w:left w:val="single" w:color="auto" w:sz="4" w:space="0"/>
              <w:bottom w:val="single" w:color="auto" w:sz="4" w:space="0"/>
              <w:right w:val="single" w:color="auto" w:sz="4" w:space="0"/>
            </w:tcBorders>
            <w:noWrap w:val="0"/>
            <w:vAlign w:val="center"/>
          </w:tcPr>
          <w:p w14:paraId="25B159BB">
            <w:pPr>
              <w:snapToGrid w:val="0"/>
              <w:spacing w:before="50" w:after="50"/>
              <w:jc w:val="center"/>
              <w:rPr>
                <w:rFonts w:hint="eastAsia" w:ascii="宋体" w:hAnsi="宋体"/>
                <w:sz w:val="24"/>
              </w:rPr>
            </w:pPr>
            <w:r>
              <w:rPr>
                <w:rFonts w:hint="eastAsia" w:ascii="宋体" w:hAnsi="宋体"/>
                <w:sz w:val="24"/>
              </w:rPr>
              <w:t>标的名称</w:t>
            </w:r>
          </w:p>
        </w:tc>
        <w:tc>
          <w:tcPr>
            <w:tcW w:w="488" w:type="pct"/>
            <w:tcBorders>
              <w:top w:val="single" w:color="auto" w:sz="4" w:space="0"/>
              <w:left w:val="single" w:color="auto" w:sz="4" w:space="0"/>
              <w:bottom w:val="single" w:color="auto" w:sz="4" w:space="0"/>
              <w:right w:val="single" w:color="auto" w:sz="4" w:space="0"/>
            </w:tcBorders>
            <w:noWrap w:val="0"/>
            <w:vAlign w:val="center"/>
          </w:tcPr>
          <w:p w14:paraId="0CA5C5DF">
            <w:pPr>
              <w:snapToGrid w:val="0"/>
              <w:spacing w:before="50" w:after="50"/>
              <w:jc w:val="center"/>
              <w:rPr>
                <w:rFonts w:hint="eastAsia" w:ascii="宋体" w:hAnsi="宋体"/>
                <w:sz w:val="24"/>
              </w:rPr>
            </w:pPr>
            <w:r>
              <w:rPr>
                <w:rFonts w:hint="eastAsia" w:ascii="宋体" w:hAnsi="宋体"/>
                <w:sz w:val="24"/>
              </w:rPr>
              <w:t>数量及单位</w:t>
            </w:r>
          </w:p>
        </w:tc>
        <w:tc>
          <w:tcPr>
            <w:tcW w:w="569" w:type="pct"/>
            <w:tcBorders>
              <w:top w:val="single" w:color="auto" w:sz="4" w:space="0"/>
              <w:left w:val="single" w:color="auto" w:sz="4" w:space="0"/>
              <w:bottom w:val="single" w:color="auto" w:sz="4" w:space="0"/>
              <w:right w:val="single" w:color="auto" w:sz="4" w:space="0"/>
            </w:tcBorders>
            <w:noWrap w:val="0"/>
            <w:vAlign w:val="center"/>
          </w:tcPr>
          <w:p w14:paraId="28881F96">
            <w:pPr>
              <w:snapToGrid w:val="0"/>
              <w:spacing w:before="50" w:after="50"/>
              <w:jc w:val="center"/>
              <w:rPr>
                <w:rFonts w:hint="eastAsia" w:ascii="宋体" w:hAnsi="宋体"/>
                <w:sz w:val="24"/>
              </w:rPr>
            </w:pPr>
            <w:r>
              <w:rPr>
                <w:rFonts w:hint="eastAsia" w:ascii="宋体" w:hAnsi="宋体"/>
                <w:sz w:val="24"/>
              </w:rPr>
              <w:t>品牌</w:t>
            </w:r>
          </w:p>
        </w:tc>
        <w:tc>
          <w:tcPr>
            <w:tcW w:w="799" w:type="pct"/>
            <w:tcBorders>
              <w:top w:val="single" w:color="auto" w:sz="4" w:space="0"/>
              <w:left w:val="single" w:color="auto" w:sz="4" w:space="0"/>
              <w:bottom w:val="single" w:color="auto" w:sz="4" w:space="0"/>
              <w:right w:val="single" w:color="auto" w:sz="4" w:space="0"/>
            </w:tcBorders>
            <w:noWrap w:val="0"/>
            <w:vAlign w:val="top"/>
          </w:tcPr>
          <w:p w14:paraId="0215B409">
            <w:pPr>
              <w:snapToGrid w:val="0"/>
              <w:spacing w:before="50" w:after="50"/>
              <w:jc w:val="center"/>
              <w:rPr>
                <w:rFonts w:ascii="宋体" w:hAnsi="宋体"/>
                <w:sz w:val="24"/>
              </w:rPr>
            </w:pPr>
          </w:p>
          <w:p w14:paraId="5EAF81E2">
            <w:pPr>
              <w:snapToGrid w:val="0"/>
              <w:spacing w:before="50" w:after="50"/>
              <w:jc w:val="center"/>
              <w:rPr>
                <w:rFonts w:hint="eastAsia" w:ascii="宋体" w:hAnsi="宋体"/>
                <w:sz w:val="24"/>
              </w:rPr>
            </w:pPr>
            <w:r>
              <w:rPr>
                <w:rFonts w:hint="eastAsia" w:ascii="宋体" w:hAnsi="宋体"/>
                <w:sz w:val="24"/>
              </w:rPr>
              <w:t>规格型号</w:t>
            </w:r>
          </w:p>
        </w:tc>
        <w:tc>
          <w:tcPr>
            <w:tcW w:w="696" w:type="pct"/>
            <w:tcBorders>
              <w:top w:val="single" w:color="auto" w:sz="4" w:space="0"/>
              <w:left w:val="single" w:color="auto" w:sz="4" w:space="0"/>
              <w:bottom w:val="single" w:color="auto" w:sz="4" w:space="0"/>
              <w:right w:val="single" w:color="auto" w:sz="4" w:space="0"/>
            </w:tcBorders>
            <w:noWrap w:val="0"/>
            <w:vAlign w:val="center"/>
          </w:tcPr>
          <w:p w14:paraId="7E6A3FE8">
            <w:pPr>
              <w:snapToGrid w:val="0"/>
              <w:spacing w:before="50" w:after="50"/>
              <w:jc w:val="center"/>
              <w:rPr>
                <w:rFonts w:hint="eastAsia" w:ascii="宋体" w:hAnsi="宋体"/>
                <w:sz w:val="24"/>
              </w:rPr>
            </w:pPr>
            <w:r>
              <w:rPr>
                <w:rFonts w:hint="eastAsia" w:ascii="宋体" w:hAnsi="宋体"/>
                <w:sz w:val="24"/>
              </w:rPr>
              <w:t>制造商</w:t>
            </w:r>
          </w:p>
        </w:tc>
        <w:tc>
          <w:tcPr>
            <w:tcW w:w="412" w:type="pct"/>
            <w:tcBorders>
              <w:top w:val="single" w:color="auto" w:sz="4" w:space="0"/>
              <w:left w:val="single" w:color="auto" w:sz="4" w:space="0"/>
              <w:bottom w:val="single" w:color="auto" w:sz="4" w:space="0"/>
              <w:right w:val="single" w:color="auto" w:sz="4" w:space="0"/>
            </w:tcBorders>
            <w:noWrap w:val="0"/>
            <w:vAlign w:val="center"/>
          </w:tcPr>
          <w:p w14:paraId="0F9BCCAD">
            <w:pPr>
              <w:snapToGrid w:val="0"/>
              <w:spacing w:before="50" w:after="50"/>
              <w:jc w:val="center"/>
              <w:rPr>
                <w:rFonts w:hint="eastAsia" w:ascii="宋体" w:hAnsi="宋体"/>
                <w:sz w:val="24"/>
              </w:rPr>
            </w:pPr>
            <w:r>
              <w:rPr>
                <w:rFonts w:hint="eastAsia" w:ascii="宋体" w:hAnsi="宋体"/>
                <w:sz w:val="24"/>
              </w:rPr>
              <w:t>原产地</w:t>
            </w:r>
          </w:p>
        </w:tc>
        <w:tc>
          <w:tcPr>
            <w:tcW w:w="836" w:type="pct"/>
            <w:tcBorders>
              <w:top w:val="single" w:color="auto" w:sz="4" w:space="0"/>
              <w:left w:val="single" w:color="auto" w:sz="4" w:space="0"/>
              <w:bottom w:val="single" w:color="auto" w:sz="4" w:space="0"/>
              <w:right w:val="single" w:color="auto" w:sz="4" w:space="0"/>
            </w:tcBorders>
            <w:noWrap w:val="0"/>
            <w:vAlign w:val="center"/>
          </w:tcPr>
          <w:p w14:paraId="186060A6">
            <w:pPr>
              <w:snapToGrid w:val="0"/>
              <w:spacing w:before="50" w:after="50"/>
              <w:jc w:val="center"/>
              <w:rPr>
                <w:rFonts w:hint="eastAsia" w:ascii="宋体" w:hAnsi="宋体"/>
                <w:sz w:val="24"/>
              </w:rPr>
            </w:pPr>
            <w:r>
              <w:rPr>
                <w:rFonts w:hint="eastAsia" w:ascii="宋体" w:hAnsi="宋体"/>
                <w:sz w:val="24"/>
              </w:rPr>
              <w:t>参数性能、指标及配置</w:t>
            </w:r>
          </w:p>
        </w:tc>
      </w:tr>
      <w:tr w14:paraId="50C0337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9" w:hRule="atLeast"/>
          <w:jc w:val="center"/>
        </w:trPr>
        <w:tc>
          <w:tcPr>
            <w:tcW w:w="306" w:type="pct"/>
            <w:tcBorders>
              <w:top w:val="single" w:color="auto" w:sz="4" w:space="0"/>
              <w:left w:val="single" w:color="auto" w:sz="4" w:space="0"/>
              <w:bottom w:val="single" w:color="auto" w:sz="4" w:space="0"/>
              <w:right w:val="single" w:color="auto" w:sz="4" w:space="0"/>
            </w:tcBorders>
            <w:noWrap w:val="0"/>
            <w:vAlign w:val="center"/>
          </w:tcPr>
          <w:p w14:paraId="7AF8B180">
            <w:pPr>
              <w:snapToGrid w:val="0"/>
              <w:spacing w:before="50" w:after="50"/>
              <w:jc w:val="center"/>
              <w:rPr>
                <w:rFonts w:hint="eastAsia" w:ascii="宋体" w:hAnsi="宋体"/>
                <w:sz w:val="24"/>
              </w:rPr>
            </w:pPr>
          </w:p>
        </w:tc>
        <w:tc>
          <w:tcPr>
            <w:tcW w:w="894" w:type="pct"/>
            <w:tcBorders>
              <w:top w:val="single" w:color="auto" w:sz="4" w:space="0"/>
              <w:left w:val="single" w:color="auto" w:sz="4" w:space="0"/>
              <w:bottom w:val="single" w:color="auto" w:sz="4" w:space="0"/>
              <w:right w:val="single" w:color="auto" w:sz="4" w:space="0"/>
            </w:tcBorders>
            <w:noWrap w:val="0"/>
            <w:vAlign w:val="center"/>
          </w:tcPr>
          <w:p w14:paraId="7737A2D9">
            <w:pPr>
              <w:snapToGrid w:val="0"/>
              <w:spacing w:before="50" w:after="50"/>
              <w:jc w:val="center"/>
              <w:rPr>
                <w:rFonts w:hint="eastAsia" w:ascii="宋体" w:hAnsi="宋体"/>
                <w:sz w:val="24"/>
              </w:rPr>
            </w:pPr>
          </w:p>
        </w:tc>
        <w:tc>
          <w:tcPr>
            <w:tcW w:w="488" w:type="pct"/>
            <w:tcBorders>
              <w:top w:val="single" w:color="auto" w:sz="4" w:space="0"/>
              <w:left w:val="single" w:color="auto" w:sz="4" w:space="0"/>
              <w:bottom w:val="single" w:color="auto" w:sz="4" w:space="0"/>
              <w:right w:val="single" w:color="auto" w:sz="4" w:space="0"/>
            </w:tcBorders>
            <w:noWrap w:val="0"/>
            <w:vAlign w:val="center"/>
          </w:tcPr>
          <w:p w14:paraId="0B093F62">
            <w:pPr>
              <w:snapToGrid w:val="0"/>
              <w:spacing w:before="50" w:after="50"/>
              <w:jc w:val="center"/>
              <w:rPr>
                <w:rFonts w:hint="eastAsia" w:ascii="宋体" w:hAnsi="宋体"/>
                <w:sz w:val="24"/>
              </w:rPr>
            </w:pPr>
          </w:p>
        </w:tc>
        <w:tc>
          <w:tcPr>
            <w:tcW w:w="569" w:type="pct"/>
            <w:tcBorders>
              <w:top w:val="single" w:color="auto" w:sz="4" w:space="0"/>
              <w:left w:val="single" w:color="auto" w:sz="4" w:space="0"/>
              <w:bottom w:val="single" w:color="auto" w:sz="4" w:space="0"/>
              <w:right w:val="single" w:color="auto" w:sz="4" w:space="0"/>
            </w:tcBorders>
            <w:noWrap w:val="0"/>
            <w:vAlign w:val="center"/>
          </w:tcPr>
          <w:p w14:paraId="690AB6ED">
            <w:pPr>
              <w:snapToGrid w:val="0"/>
              <w:spacing w:before="50" w:after="50"/>
              <w:jc w:val="center"/>
              <w:rPr>
                <w:rFonts w:hint="eastAsia" w:ascii="宋体" w:hAnsi="宋体"/>
                <w:sz w:val="24"/>
              </w:rPr>
            </w:pPr>
          </w:p>
        </w:tc>
        <w:tc>
          <w:tcPr>
            <w:tcW w:w="799" w:type="pct"/>
            <w:tcBorders>
              <w:top w:val="single" w:color="auto" w:sz="4" w:space="0"/>
              <w:left w:val="single" w:color="auto" w:sz="4" w:space="0"/>
              <w:bottom w:val="single" w:color="auto" w:sz="4" w:space="0"/>
              <w:right w:val="single" w:color="auto" w:sz="4" w:space="0"/>
            </w:tcBorders>
            <w:noWrap w:val="0"/>
            <w:vAlign w:val="top"/>
          </w:tcPr>
          <w:p w14:paraId="7C10C735">
            <w:pPr>
              <w:snapToGrid w:val="0"/>
              <w:spacing w:before="50" w:after="50"/>
              <w:jc w:val="center"/>
              <w:rPr>
                <w:rFonts w:hint="eastAsia" w:ascii="宋体" w:hAnsi="宋体"/>
                <w:sz w:val="24"/>
              </w:rPr>
            </w:pPr>
          </w:p>
        </w:tc>
        <w:tc>
          <w:tcPr>
            <w:tcW w:w="696" w:type="pct"/>
            <w:tcBorders>
              <w:top w:val="single" w:color="auto" w:sz="4" w:space="0"/>
              <w:left w:val="single" w:color="auto" w:sz="4" w:space="0"/>
              <w:bottom w:val="single" w:color="auto" w:sz="4" w:space="0"/>
              <w:right w:val="single" w:color="auto" w:sz="4" w:space="0"/>
            </w:tcBorders>
            <w:noWrap w:val="0"/>
            <w:vAlign w:val="center"/>
          </w:tcPr>
          <w:p w14:paraId="5F92028A">
            <w:pPr>
              <w:snapToGrid w:val="0"/>
              <w:spacing w:before="50" w:after="50"/>
              <w:jc w:val="center"/>
              <w:rPr>
                <w:rFonts w:hint="eastAsia" w:ascii="宋体" w:hAnsi="宋体"/>
                <w:sz w:val="24"/>
              </w:rPr>
            </w:pPr>
          </w:p>
        </w:tc>
        <w:tc>
          <w:tcPr>
            <w:tcW w:w="412" w:type="pct"/>
            <w:tcBorders>
              <w:top w:val="single" w:color="auto" w:sz="4" w:space="0"/>
              <w:left w:val="single" w:color="auto" w:sz="4" w:space="0"/>
              <w:bottom w:val="single" w:color="auto" w:sz="4" w:space="0"/>
              <w:right w:val="single" w:color="auto" w:sz="4" w:space="0"/>
            </w:tcBorders>
            <w:noWrap w:val="0"/>
            <w:vAlign w:val="center"/>
          </w:tcPr>
          <w:p w14:paraId="3D866183">
            <w:pPr>
              <w:snapToGrid w:val="0"/>
              <w:spacing w:before="50" w:after="50"/>
              <w:jc w:val="center"/>
              <w:rPr>
                <w:rFonts w:hint="eastAsia" w:ascii="宋体" w:hAnsi="宋体"/>
                <w:sz w:val="24"/>
              </w:rPr>
            </w:pPr>
          </w:p>
        </w:tc>
        <w:tc>
          <w:tcPr>
            <w:tcW w:w="836" w:type="pct"/>
            <w:tcBorders>
              <w:top w:val="single" w:color="auto" w:sz="4" w:space="0"/>
              <w:left w:val="single" w:color="auto" w:sz="4" w:space="0"/>
              <w:bottom w:val="single" w:color="auto" w:sz="4" w:space="0"/>
              <w:right w:val="single" w:color="auto" w:sz="4" w:space="0"/>
            </w:tcBorders>
            <w:noWrap w:val="0"/>
            <w:vAlign w:val="center"/>
          </w:tcPr>
          <w:p w14:paraId="57E3C791">
            <w:pPr>
              <w:snapToGrid w:val="0"/>
              <w:spacing w:before="50" w:after="50"/>
              <w:jc w:val="center"/>
              <w:rPr>
                <w:rFonts w:hint="eastAsia" w:ascii="宋体" w:hAnsi="宋体"/>
                <w:sz w:val="24"/>
              </w:rPr>
            </w:pPr>
          </w:p>
        </w:tc>
      </w:tr>
      <w:tr w14:paraId="2A44EF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2" w:hRule="atLeast"/>
          <w:jc w:val="center"/>
        </w:trPr>
        <w:tc>
          <w:tcPr>
            <w:tcW w:w="306" w:type="pct"/>
            <w:tcBorders>
              <w:top w:val="single" w:color="auto" w:sz="4" w:space="0"/>
              <w:left w:val="single" w:color="auto" w:sz="4" w:space="0"/>
              <w:bottom w:val="single" w:color="auto" w:sz="4" w:space="0"/>
              <w:right w:val="single" w:color="auto" w:sz="4" w:space="0"/>
            </w:tcBorders>
            <w:noWrap w:val="0"/>
            <w:vAlign w:val="center"/>
          </w:tcPr>
          <w:p w14:paraId="7C09800F">
            <w:pPr>
              <w:snapToGrid w:val="0"/>
              <w:spacing w:before="50" w:after="50"/>
              <w:jc w:val="center"/>
              <w:rPr>
                <w:rFonts w:hint="eastAsia" w:ascii="宋体" w:hAnsi="宋体"/>
                <w:sz w:val="24"/>
              </w:rPr>
            </w:pPr>
          </w:p>
        </w:tc>
        <w:tc>
          <w:tcPr>
            <w:tcW w:w="894" w:type="pct"/>
            <w:tcBorders>
              <w:top w:val="single" w:color="auto" w:sz="4" w:space="0"/>
              <w:left w:val="single" w:color="auto" w:sz="4" w:space="0"/>
              <w:bottom w:val="single" w:color="auto" w:sz="4" w:space="0"/>
              <w:right w:val="single" w:color="auto" w:sz="4" w:space="0"/>
            </w:tcBorders>
            <w:noWrap w:val="0"/>
            <w:vAlign w:val="center"/>
          </w:tcPr>
          <w:p w14:paraId="358814F0">
            <w:pPr>
              <w:snapToGrid w:val="0"/>
              <w:spacing w:before="50" w:after="50"/>
              <w:jc w:val="center"/>
              <w:rPr>
                <w:rFonts w:hint="eastAsia" w:ascii="宋体" w:hAnsi="宋体"/>
                <w:sz w:val="24"/>
              </w:rPr>
            </w:pPr>
          </w:p>
        </w:tc>
        <w:tc>
          <w:tcPr>
            <w:tcW w:w="488" w:type="pct"/>
            <w:tcBorders>
              <w:top w:val="single" w:color="auto" w:sz="4" w:space="0"/>
              <w:left w:val="single" w:color="auto" w:sz="4" w:space="0"/>
              <w:bottom w:val="single" w:color="auto" w:sz="4" w:space="0"/>
              <w:right w:val="single" w:color="auto" w:sz="4" w:space="0"/>
            </w:tcBorders>
            <w:noWrap w:val="0"/>
            <w:vAlign w:val="center"/>
          </w:tcPr>
          <w:p w14:paraId="444A0531">
            <w:pPr>
              <w:snapToGrid w:val="0"/>
              <w:spacing w:before="50" w:after="50"/>
              <w:jc w:val="center"/>
              <w:rPr>
                <w:rFonts w:hint="eastAsia" w:ascii="宋体" w:hAnsi="宋体"/>
                <w:sz w:val="24"/>
              </w:rPr>
            </w:pPr>
          </w:p>
        </w:tc>
        <w:tc>
          <w:tcPr>
            <w:tcW w:w="569" w:type="pct"/>
            <w:tcBorders>
              <w:top w:val="single" w:color="auto" w:sz="4" w:space="0"/>
              <w:left w:val="single" w:color="auto" w:sz="4" w:space="0"/>
              <w:bottom w:val="single" w:color="auto" w:sz="4" w:space="0"/>
              <w:right w:val="single" w:color="auto" w:sz="4" w:space="0"/>
            </w:tcBorders>
            <w:noWrap w:val="0"/>
            <w:vAlign w:val="center"/>
          </w:tcPr>
          <w:p w14:paraId="57E0FBB0">
            <w:pPr>
              <w:snapToGrid w:val="0"/>
              <w:spacing w:before="50" w:after="50"/>
              <w:jc w:val="center"/>
              <w:rPr>
                <w:rFonts w:hint="eastAsia" w:ascii="宋体" w:hAnsi="宋体"/>
                <w:sz w:val="24"/>
              </w:rPr>
            </w:pPr>
          </w:p>
        </w:tc>
        <w:tc>
          <w:tcPr>
            <w:tcW w:w="799" w:type="pct"/>
            <w:tcBorders>
              <w:top w:val="single" w:color="auto" w:sz="4" w:space="0"/>
              <w:left w:val="single" w:color="auto" w:sz="4" w:space="0"/>
              <w:bottom w:val="single" w:color="auto" w:sz="4" w:space="0"/>
              <w:right w:val="single" w:color="auto" w:sz="4" w:space="0"/>
            </w:tcBorders>
            <w:noWrap w:val="0"/>
            <w:vAlign w:val="top"/>
          </w:tcPr>
          <w:p w14:paraId="73D9AB14">
            <w:pPr>
              <w:snapToGrid w:val="0"/>
              <w:spacing w:before="50" w:after="50"/>
              <w:jc w:val="center"/>
              <w:rPr>
                <w:rFonts w:hint="eastAsia" w:ascii="宋体" w:hAnsi="宋体"/>
                <w:sz w:val="24"/>
              </w:rPr>
            </w:pPr>
          </w:p>
        </w:tc>
        <w:tc>
          <w:tcPr>
            <w:tcW w:w="696" w:type="pct"/>
            <w:tcBorders>
              <w:top w:val="single" w:color="auto" w:sz="4" w:space="0"/>
              <w:left w:val="single" w:color="auto" w:sz="4" w:space="0"/>
              <w:bottom w:val="single" w:color="auto" w:sz="4" w:space="0"/>
              <w:right w:val="single" w:color="auto" w:sz="4" w:space="0"/>
            </w:tcBorders>
            <w:noWrap w:val="0"/>
            <w:vAlign w:val="center"/>
          </w:tcPr>
          <w:p w14:paraId="0D1E58C9">
            <w:pPr>
              <w:snapToGrid w:val="0"/>
              <w:spacing w:before="50" w:after="50"/>
              <w:jc w:val="center"/>
              <w:rPr>
                <w:rFonts w:hint="eastAsia" w:ascii="宋体" w:hAnsi="宋体"/>
                <w:sz w:val="24"/>
              </w:rPr>
            </w:pPr>
          </w:p>
        </w:tc>
        <w:tc>
          <w:tcPr>
            <w:tcW w:w="412" w:type="pct"/>
            <w:tcBorders>
              <w:top w:val="single" w:color="auto" w:sz="4" w:space="0"/>
              <w:left w:val="single" w:color="auto" w:sz="4" w:space="0"/>
              <w:bottom w:val="single" w:color="auto" w:sz="4" w:space="0"/>
              <w:right w:val="single" w:color="auto" w:sz="4" w:space="0"/>
            </w:tcBorders>
            <w:noWrap w:val="0"/>
            <w:vAlign w:val="center"/>
          </w:tcPr>
          <w:p w14:paraId="6651B7C2">
            <w:pPr>
              <w:snapToGrid w:val="0"/>
              <w:spacing w:before="50" w:after="50"/>
              <w:jc w:val="center"/>
              <w:rPr>
                <w:rFonts w:hint="eastAsia" w:ascii="宋体" w:hAnsi="宋体"/>
                <w:sz w:val="24"/>
              </w:rPr>
            </w:pPr>
          </w:p>
        </w:tc>
        <w:tc>
          <w:tcPr>
            <w:tcW w:w="836" w:type="pct"/>
            <w:tcBorders>
              <w:top w:val="single" w:color="auto" w:sz="4" w:space="0"/>
              <w:left w:val="single" w:color="auto" w:sz="4" w:space="0"/>
              <w:bottom w:val="single" w:color="auto" w:sz="4" w:space="0"/>
              <w:right w:val="single" w:color="auto" w:sz="4" w:space="0"/>
            </w:tcBorders>
            <w:noWrap w:val="0"/>
            <w:vAlign w:val="center"/>
          </w:tcPr>
          <w:p w14:paraId="64540C0D">
            <w:pPr>
              <w:snapToGrid w:val="0"/>
              <w:spacing w:before="50" w:after="50"/>
              <w:jc w:val="center"/>
              <w:rPr>
                <w:rFonts w:hint="eastAsia" w:ascii="宋体" w:hAnsi="宋体"/>
                <w:sz w:val="24"/>
              </w:rPr>
            </w:pPr>
          </w:p>
        </w:tc>
      </w:tr>
      <w:tr w14:paraId="5CC5D22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5" w:hRule="atLeast"/>
          <w:jc w:val="center"/>
        </w:trPr>
        <w:tc>
          <w:tcPr>
            <w:tcW w:w="306" w:type="pct"/>
            <w:tcBorders>
              <w:top w:val="single" w:color="auto" w:sz="4" w:space="0"/>
              <w:left w:val="single" w:color="auto" w:sz="4" w:space="0"/>
              <w:bottom w:val="single" w:color="auto" w:sz="4" w:space="0"/>
              <w:right w:val="single" w:color="auto" w:sz="4" w:space="0"/>
            </w:tcBorders>
            <w:noWrap w:val="0"/>
            <w:vAlign w:val="center"/>
          </w:tcPr>
          <w:p w14:paraId="6614BB4C">
            <w:pPr>
              <w:snapToGrid w:val="0"/>
              <w:spacing w:before="50" w:after="50"/>
              <w:jc w:val="center"/>
              <w:rPr>
                <w:rFonts w:hint="eastAsia" w:ascii="宋体" w:hAnsi="宋体"/>
                <w:sz w:val="24"/>
              </w:rPr>
            </w:pPr>
          </w:p>
        </w:tc>
        <w:tc>
          <w:tcPr>
            <w:tcW w:w="894" w:type="pct"/>
            <w:tcBorders>
              <w:top w:val="single" w:color="auto" w:sz="4" w:space="0"/>
              <w:left w:val="single" w:color="auto" w:sz="4" w:space="0"/>
              <w:bottom w:val="single" w:color="auto" w:sz="4" w:space="0"/>
              <w:right w:val="single" w:color="auto" w:sz="4" w:space="0"/>
            </w:tcBorders>
            <w:noWrap w:val="0"/>
            <w:vAlign w:val="center"/>
          </w:tcPr>
          <w:p w14:paraId="14D28B50">
            <w:pPr>
              <w:snapToGrid w:val="0"/>
              <w:spacing w:before="50" w:after="50"/>
              <w:jc w:val="center"/>
              <w:rPr>
                <w:rFonts w:hint="eastAsia" w:ascii="宋体" w:hAnsi="宋体"/>
                <w:sz w:val="24"/>
              </w:rPr>
            </w:pPr>
          </w:p>
        </w:tc>
        <w:tc>
          <w:tcPr>
            <w:tcW w:w="488" w:type="pct"/>
            <w:tcBorders>
              <w:top w:val="single" w:color="auto" w:sz="4" w:space="0"/>
              <w:left w:val="single" w:color="auto" w:sz="4" w:space="0"/>
              <w:bottom w:val="single" w:color="auto" w:sz="4" w:space="0"/>
              <w:right w:val="single" w:color="auto" w:sz="4" w:space="0"/>
            </w:tcBorders>
            <w:noWrap w:val="0"/>
            <w:vAlign w:val="center"/>
          </w:tcPr>
          <w:p w14:paraId="3AF38244">
            <w:pPr>
              <w:snapToGrid w:val="0"/>
              <w:spacing w:before="50" w:after="50"/>
              <w:jc w:val="center"/>
              <w:rPr>
                <w:rFonts w:hint="eastAsia" w:ascii="宋体" w:hAnsi="宋体"/>
                <w:sz w:val="24"/>
              </w:rPr>
            </w:pPr>
          </w:p>
        </w:tc>
        <w:tc>
          <w:tcPr>
            <w:tcW w:w="569" w:type="pct"/>
            <w:tcBorders>
              <w:top w:val="single" w:color="auto" w:sz="4" w:space="0"/>
              <w:left w:val="single" w:color="auto" w:sz="4" w:space="0"/>
              <w:bottom w:val="single" w:color="auto" w:sz="4" w:space="0"/>
              <w:right w:val="single" w:color="auto" w:sz="4" w:space="0"/>
            </w:tcBorders>
            <w:noWrap w:val="0"/>
            <w:vAlign w:val="center"/>
          </w:tcPr>
          <w:p w14:paraId="7F7A979E">
            <w:pPr>
              <w:snapToGrid w:val="0"/>
              <w:spacing w:before="50" w:after="50"/>
              <w:jc w:val="center"/>
              <w:rPr>
                <w:rFonts w:hint="eastAsia" w:ascii="宋体" w:hAnsi="宋体"/>
                <w:sz w:val="24"/>
              </w:rPr>
            </w:pPr>
          </w:p>
        </w:tc>
        <w:tc>
          <w:tcPr>
            <w:tcW w:w="799" w:type="pct"/>
            <w:tcBorders>
              <w:top w:val="single" w:color="auto" w:sz="4" w:space="0"/>
              <w:left w:val="single" w:color="auto" w:sz="4" w:space="0"/>
              <w:bottom w:val="single" w:color="auto" w:sz="4" w:space="0"/>
              <w:right w:val="single" w:color="auto" w:sz="4" w:space="0"/>
            </w:tcBorders>
            <w:noWrap w:val="0"/>
            <w:vAlign w:val="top"/>
          </w:tcPr>
          <w:p w14:paraId="70C4B52C">
            <w:pPr>
              <w:snapToGrid w:val="0"/>
              <w:spacing w:before="50" w:after="50"/>
              <w:jc w:val="center"/>
              <w:rPr>
                <w:rFonts w:hint="eastAsia" w:ascii="宋体" w:hAnsi="宋体"/>
                <w:sz w:val="24"/>
              </w:rPr>
            </w:pPr>
          </w:p>
        </w:tc>
        <w:tc>
          <w:tcPr>
            <w:tcW w:w="696" w:type="pct"/>
            <w:tcBorders>
              <w:top w:val="single" w:color="auto" w:sz="4" w:space="0"/>
              <w:left w:val="single" w:color="auto" w:sz="4" w:space="0"/>
              <w:bottom w:val="single" w:color="auto" w:sz="4" w:space="0"/>
              <w:right w:val="single" w:color="auto" w:sz="4" w:space="0"/>
            </w:tcBorders>
            <w:noWrap w:val="0"/>
            <w:vAlign w:val="center"/>
          </w:tcPr>
          <w:p w14:paraId="443A9293">
            <w:pPr>
              <w:snapToGrid w:val="0"/>
              <w:spacing w:before="50" w:after="50"/>
              <w:jc w:val="center"/>
              <w:rPr>
                <w:rFonts w:hint="eastAsia" w:ascii="宋体" w:hAnsi="宋体"/>
                <w:sz w:val="24"/>
              </w:rPr>
            </w:pPr>
          </w:p>
        </w:tc>
        <w:tc>
          <w:tcPr>
            <w:tcW w:w="412" w:type="pct"/>
            <w:tcBorders>
              <w:top w:val="single" w:color="auto" w:sz="4" w:space="0"/>
              <w:left w:val="single" w:color="auto" w:sz="4" w:space="0"/>
              <w:bottom w:val="single" w:color="auto" w:sz="4" w:space="0"/>
              <w:right w:val="single" w:color="auto" w:sz="4" w:space="0"/>
            </w:tcBorders>
            <w:noWrap w:val="0"/>
            <w:vAlign w:val="center"/>
          </w:tcPr>
          <w:p w14:paraId="08957CE8">
            <w:pPr>
              <w:snapToGrid w:val="0"/>
              <w:spacing w:before="50" w:after="50"/>
              <w:jc w:val="center"/>
              <w:rPr>
                <w:rFonts w:hint="eastAsia" w:ascii="宋体" w:hAnsi="宋体"/>
                <w:sz w:val="24"/>
              </w:rPr>
            </w:pPr>
          </w:p>
        </w:tc>
        <w:tc>
          <w:tcPr>
            <w:tcW w:w="836" w:type="pct"/>
            <w:tcBorders>
              <w:top w:val="single" w:color="auto" w:sz="4" w:space="0"/>
              <w:left w:val="single" w:color="auto" w:sz="4" w:space="0"/>
              <w:bottom w:val="single" w:color="auto" w:sz="4" w:space="0"/>
              <w:right w:val="single" w:color="auto" w:sz="4" w:space="0"/>
            </w:tcBorders>
            <w:noWrap w:val="0"/>
            <w:vAlign w:val="center"/>
          </w:tcPr>
          <w:p w14:paraId="4AE48B06">
            <w:pPr>
              <w:snapToGrid w:val="0"/>
              <w:spacing w:before="50" w:after="50"/>
              <w:jc w:val="center"/>
              <w:rPr>
                <w:rFonts w:hint="eastAsia" w:ascii="宋体" w:hAnsi="宋体"/>
                <w:sz w:val="24"/>
              </w:rPr>
            </w:pPr>
          </w:p>
        </w:tc>
      </w:tr>
    </w:tbl>
    <w:p w14:paraId="60D45243">
      <w:pPr>
        <w:spacing w:line="360" w:lineRule="auto"/>
        <w:contextualSpacing/>
        <w:rPr>
          <w:rFonts w:hint="eastAsia" w:ascii="宋体" w:hAnsi="宋体"/>
          <w:sz w:val="24"/>
        </w:rPr>
      </w:pPr>
      <w:r>
        <w:rPr>
          <w:rFonts w:hint="eastAsia" w:ascii="宋体" w:hAnsi="宋体"/>
          <w:sz w:val="24"/>
        </w:rPr>
        <w:t>备注：</w:t>
      </w:r>
    </w:p>
    <w:p w14:paraId="2897FCBF">
      <w:pPr>
        <w:spacing w:line="360" w:lineRule="auto"/>
        <w:ind w:firstLine="480" w:firstLineChars="200"/>
        <w:contextualSpacing/>
        <w:rPr>
          <w:rFonts w:hint="eastAsia" w:ascii="宋体" w:hAnsi="宋体"/>
          <w:b/>
          <w:sz w:val="24"/>
        </w:rPr>
      </w:pPr>
      <w:r>
        <w:rPr>
          <w:rFonts w:hint="eastAsia" w:ascii="宋体" w:hAnsi="宋体"/>
          <w:sz w:val="24"/>
        </w:rPr>
        <w:t>以上货物性能配置清单中“货物名称、数量及单位、品牌、规格型号、制造商、原产地、参数性能、指标及配置”必须如实填写完整，品牌、规格型号没有则填无，填写有缺漏</w:t>
      </w:r>
      <w:r>
        <w:rPr>
          <w:rFonts w:hint="eastAsia" w:ascii="宋体" w:hAnsi="宋体"/>
          <w:bCs/>
          <w:sz w:val="24"/>
        </w:rPr>
        <w:t>的，</w:t>
      </w:r>
      <w:r>
        <w:rPr>
          <w:rFonts w:hint="eastAsia" w:ascii="宋体" w:hAnsi="宋体"/>
          <w:b/>
          <w:sz w:val="24"/>
        </w:rPr>
        <w:t>作无效投标处理。</w:t>
      </w:r>
      <w:r>
        <w:rPr>
          <w:rFonts w:hint="eastAsia" w:ascii="宋体" w:hAnsi="宋体"/>
          <w:sz w:val="24"/>
        </w:rPr>
        <w:t>标的名称、数量及单位、品牌必须与“开标一览表”一致，</w:t>
      </w:r>
      <w:r>
        <w:rPr>
          <w:rFonts w:hint="eastAsia" w:ascii="宋体" w:hAnsi="宋体"/>
          <w:b/>
          <w:sz w:val="24"/>
        </w:rPr>
        <w:t>否则按无效投标处理。</w:t>
      </w:r>
    </w:p>
    <w:p w14:paraId="6AFFCE10">
      <w:pPr>
        <w:spacing w:line="360" w:lineRule="auto"/>
        <w:ind w:firstLine="480" w:firstLineChars="200"/>
        <w:contextualSpacing/>
        <w:rPr>
          <w:rFonts w:hint="eastAsia" w:ascii="宋体" w:hAnsi="宋体"/>
          <w:sz w:val="24"/>
        </w:rPr>
      </w:pPr>
    </w:p>
    <w:p w14:paraId="7F58E614">
      <w:pPr>
        <w:spacing w:line="360" w:lineRule="auto"/>
        <w:contextualSpacing/>
        <w:rPr>
          <w:rFonts w:hint="eastAsia" w:ascii="宋体" w:hAnsi="宋体"/>
          <w:spacing w:val="20"/>
          <w:sz w:val="24"/>
          <w:u w:val="single"/>
        </w:rPr>
      </w:pPr>
      <w:r>
        <w:rPr>
          <w:rFonts w:hint="eastAsia" w:ascii="宋体" w:hAnsi="宋体"/>
          <w:sz w:val="24"/>
        </w:rPr>
        <w:t>法定代表人或者委托代理人</w:t>
      </w:r>
      <w:r>
        <w:rPr>
          <w:rFonts w:hint="eastAsia" w:ascii="宋体" w:hAnsi="宋体"/>
          <w:spacing w:val="20"/>
          <w:sz w:val="24"/>
        </w:rPr>
        <w:t>（签字或者电子签名）：</w:t>
      </w:r>
      <w:r>
        <w:rPr>
          <w:rFonts w:hint="eastAsia" w:ascii="宋体" w:hAnsi="宋体"/>
          <w:spacing w:val="20"/>
          <w:sz w:val="24"/>
          <w:u w:val="single"/>
        </w:rPr>
        <w:t xml:space="preserve">        </w:t>
      </w:r>
    </w:p>
    <w:p w14:paraId="66D8E70A">
      <w:pPr>
        <w:spacing w:line="360" w:lineRule="auto"/>
        <w:contextualSpacing/>
        <w:rPr>
          <w:rFonts w:hint="eastAsia" w:ascii="宋体" w:hAnsi="宋体"/>
          <w:spacing w:val="20"/>
          <w:sz w:val="24"/>
        </w:rPr>
      </w:pPr>
      <w:r>
        <w:rPr>
          <w:rFonts w:hint="eastAsia" w:ascii="宋体" w:hAnsi="宋体"/>
          <w:spacing w:val="20"/>
          <w:sz w:val="24"/>
        </w:rPr>
        <w:t>投标人名称（电子签章）：</w:t>
      </w:r>
      <w:r>
        <w:rPr>
          <w:rFonts w:hint="eastAsia" w:ascii="宋体" w:hAnsi="宋体"/>
          <w:spacing w:val="20"/>
          <w:sz w:val="24"/>
          <w:u w:val="single"/>
        </w:rPr>
        <w:t xml:space="preserve">            </w:t>
      </w:r>
      <w:r>
        <w:rPr>
          <w:rFonts w:hint="eastAsia" w:ascii="宋体" w:hAnsi="宋体"/>
          <w:spacing w:val="20"/>
          <w:sz w:val="24"/>
        </w:rPr>
        <w:t xml:space="preserve">              </w:t>
      </w:r>
    </w:p>
    <w:p w14:paraId="05BB0AB4">
      <w:pPr>
        <w:spacing w:line="360" w:lineRule="auto"/>
        <w:contextualSpacing/>
        <w:rPr>
          <w:rFonts w:hint="eastAsia" w:ascii="宋体" w:hAnsi="宋体"/>
          <w:sz w:val="24"/>
          <w:szCs w:val="20"/>
        </w:rPr>
      </w:pPr>
      <w:r>
        <w:rPr>
          <w:rFonts w:hint="eastAsia" w:ascii="宋体" w:hAnsi="宋体"/>
          <w:spacing w:val="20"/>
          <w:sz w:val="24"/>
        </w:rPr>
        <w:t>日  期：</w:t>
      </w:r>
      <w:r>
        <w:rPr>
          <w:rFonts w:hint="eastAsia" w:ascii="宋体" w:hAnsi="宋体"/>
          <w:spacing w:val="20"/>
          <w:sz w:val="24"/>
          <w:u w:val="single"/>
        </w:rPr>
        <w:t xml:space="preserve">          </w:t>
      </w:r>
    </w:p>
    <w:p w14:paraId="301D8292">
      <w:pPr>
        <w:snapToGrid w:val="0"/>
        <w:spacing w:before="50" w:after="120" w:afterLines="50"/>
        <w:jc w:val="left"/>
        <w:rPr>
          <w:rFonts w:hint="eastAsia" w:ascii="宋体" w:hAnsi="宋体"/>
          <w:sz w:val="24"/>
          <w:szCs w:val="20"/>
        </w:rPr>
      </w:pPr>
    </w:p>
    <w:p w14:paraId="7451CD52">
      <w:pPr>
        <w:snapToGrid w:val="0"/>
        <w:spacing w:before="50" w:after="120" w:afterLines="50"/>
        <w:jc w:val="left"/>
        <w:rPr>
          <w:rFonts w:hint="eastAsia" w:ascii="宋体" w:hAnsi="宋体"/>
          <w:sz w:val="24"/>
          <w:szCs w:val="20"/>
        </w:rPr>
      </w:pPr>
    </w:p>
    <w:p w14:paraId="24AF6AB4">
      <w:pPr>
        <w:snapToGrid w:val="0"/>
        <w:spacing w:before="120" w:beforeLines="50" w:after="50"/>
        <w:ind w:left="142"/>
        <w:jc w:val="left"/>
        <w:rPr>
          <w:rFonts w:hint="eastAsia" w:ascii="宋体" w:hAnsi="宋体"/>
          <w:b/>
          <w:sz w:val="24"/>
        </w:rPr>
      </w:pPr>
      <w:r>
        <w:rPr>
          <w:rFonts w:ascii="宋体" w:hAnsi="宋体"/>
          <w:b/>
          <w:sz w:val="24"/>
        </w:rPr>
        <w:br w:type="page"/>
      </w:r>
      <w:r>
        <w:rPr>
          <w:rFonts w:ascii="宋体" w:hAnsi="宋体"/>
          <w:b/>
          <w:sz w:val="24"/>
        </w:rPr>
        <w:t>10</w:t>
      </w:r>
      <w:r>
        <w:rPr>
          <w:rFonts w:hint="eastAsia" w:ascii="宋体" w:hAnsi="宋体"/>
          <w:b/>
          <w:sz w:val="24"/>
        </w:rPr>
        <w:t>. 技术要求偏离表格式</w:t>
      </w:r>
    </w:p>
    <w:p w14:paraId="4B084D2B">
      <w:pPr>
        <w:snapToGrid w:val="0"/>
        <w:spacing w:before="120" w:beforeLines="50" w:after="50"/>
        <w:ind w:left="142"/>
        <w:jc w:val="left"/>
        <w:rPr>
          <w:rFonts w:hint="eastAsia" w:ascii="宋体" w:hAnsi="宋体"/>
          <w:b/>
          <w:sz w:val="24"/>
        </w:rPr>
      </w:pPr>
    </w:p>
    <w:p w14:paraId="450A467B">
      <w:pPr>
        <w:snapToGrid w:val="0"/>
        <w:spacing w:before="120" w:beforeLines="50" w:after="50"/>
        <w:ind w:left="142"/>
        <w:jc w:val="center"/>
        <w:rPr>
          <w:rFonts w:hint="eastAsia" w:ascii="宋体" w:hAnsi="宋体"/>
          <w:b/>
          <w:sz w:val="32"/>
          <w:szCs w:val="32"/>
        </w:rPr>
      </w:pPr>
      <w:r>
        <w:rPr>
          <w:rFonts w:hint="eastAsia" w:ascii="宋体" w:hAnsi="宋体"/>
          <w:b/>
          <w:sz w:val="32"/>
          <w:szCs w:val="32"/>
        </w:rPr>
        <w:t>技术要求偏离表</w:t>
      </w:r>
    </w:p>
    <w:p w14:paraId="0735FB91">
      <w:pPr>
        <w:pStyle w:val="25"/>
        <w:rPr>
          <w:rFonts w:hAnsi="宋体"/>
          <w:sz w:val="24"/>
          <w:szCs w:val="24"/>
        </w:rPr>
      </w:pPr>
    </w:p>
    <w:p w14:paraId="530A2C82">
      <w:pPr>
        <w:pStyle w:val="25"/>
        <w:rPr>
          <w:rFonts w:hint="eastAsia" w:hAnsi="宋体"/>
          <w:sz w:val="24"/>
          <w:szCs w:val="24"/>
        </w:rPr>
      </w:pPr>
      <w:r>
        <w:rPr>
          <w:rFonts w:hint="eastAsia" w:hAnsi="宋体"/>
          <w:sz w:val="24"/>
          <w:szCs w:val="24"/>
        </w:rPr>
        <w:t>所投分标：</w:t>
      </w:r>
      <w:r>
        <w:rPr>
          <w:rFonts w:hint="eastAsia" w:hAnsi="宋体"/>
          <w:sz w:val="24"/>
          <w:szCs w:val="24"/>
          <w:u w:val="single"/>
        </w:rPr>
        <w:t xml:space="preserve">     </w:t>
      </w:r>
      <w:r>
        <w:rPr>
          <w:rFonts w:hint="eastAsia" w:hAnsi="宋体"/>
          <w:sz w:val="24"/>
          <w:szCs w:val="24"/>
        </w:rPr>
        <w:t>分标</w:t>
      </w:r>
    </w:p>
    <w:tbl>
      <w:tblPr>
        <w:tblStyle w:val="50"/>
        <w:tblW w:w="89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
        <w:gridCol w:w="2143"/>
        <w:gridCol w:w="1834"/>
        <w:gridCol w:w="2181"/>
        <w:gridCol w:w="1934"/>
      </w:tblGrid>
      <w:tr w14:paraId="08BF8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852" w:type="dxa"/>
            <w:noWrap w:val="0"/>
            <w:vAlign w:val="center"/>
          </w:tcPr>
          <w:p w14:paraId="6069D263">
            <w:pPr>
              <w:pStyle w:val="25"/>
              <w:spacing w:line="400" w:lineRule="exact"/>
              <w:jc w:val="center"/>
              <w:rPr>
                <w:rFonts w:hint="eastAsia" w:hAnsi="宋体" w:cs="Courier New"/>
                <w:kern w:val="2"/>
                <w:sz w:val="24"/>
                <w:szCs w:val="24"/>
                <w:lang w:val="en-US" w:eastAsia="zh-CN"/>
              </w:rPr>
            </w:pPr>
            <w:r>
              <w:rPr>
                <w:rFonts w:hint="eastAsia" w:hAnsi="宋体" w:cs="Courier New"/>
                <w:kern w:val="2"/>
                <w:sz w:val="24"/>
                <w:szCs w:val="24"/>
                <w:lang w:val="en-US" w:eastAsia="zh-CN"/>
              </w:rPr>
              <w:t>项号</w:t>
            </w:r>
          </w:p>
        </w:tc>
        <w:tc>
          <w:tcPr>
            <w:tcW w:w="2143" w:type="dxa"/>
            <w:noWrap w:val="0"/>
            <w:vAlign w:val="center"/>
          </w:tcPr>
          <w:p w14:paraId="322B7B47">
            <w:pPr>
              <w:pStyle w:val="25"/>
              <w:spacing w:line="400" w:lineRule="exact"/>
              <w:jc w:val="center"/>
              <w:rPr>
                <w:rFonts w:hint="eastAsia" w:hAnsi="宋体" w:cs="Courier New"/>
                <w:kern w:val="2"/>
                <w:sz w:val="24"/>
                <w:szCs w:val="24"/>
                <w:lang w:val="en-US" w:eastAsia="zh-CN"/>
              </w:rPr>
            </w:pPr>
            <w:r>
              <w:rPr>
                <w:rFonts w:hint="eastAsia" w:hAnsi="宋体" w:cs="Courier New"/>
                <w:kern w:val="2"/>
                <w:sz w:val="24"/>
                <w:szCs w:val="24"/>
                <w:lang w:val="en-US" w:eastAsia="zh-CN"/>
              </w:rPr>
              <w:t>标的名称</w:t>
            </w:r>
          </w:p>
        </w:tc>
        <w:tc>
          <w:tcPr>
            <w:tcW w:w="1834" w:type="dxa"/>
            <w:noWrap w:val="0"/>
            <w:vAlign w:val="center"/>
          </w:tcPr>
          <w:p w14:paraId="747F3BEA">
            <w:pPr>
              <w:pStyle w:val="25"/>
              <w:spacing w:line="400" w:lineRule="exact"/>
              <w:jc w:val="center"/>
              <w:rPr>
                <w:rFonts w:hAnsi="宋体" w:cs="Courier New"/>
                <w:kern w:val="2"/>
                <w:sz w:val="24"/>
                <w:szCs w:val="24"/>
                <w:lang w:val="en-US" w:eastAsia="zh-CN"/>
              </w:rPr>
            </w:pPr>
            <w:r>
              <w:rPr>
                <w:rFonts w:hint="eastAsia" w:hAnsi="宋体" w:cs="Courier New"/>
                <w:kern w:val="2"/>
                <w:sz w:val="24"/>
                <w:szCs w:val="24"/>
                <w:lang w:val="en-US" w:eastAsia="zh-CN"/>
              </w:rPr>
              <w:t>招标文件技术需求及要求</w:t>
            </w:r>
          </w:p>
        </w:tc>
        <w:tc>
          <w:tcPr>
            <w:tcW w:w="2181" w:type="dxa"/>
            <w:noWrap w:val="0"/>
            <w:vAlign w:val="center"/>
          </w:tcPr>
          <w:p w14:paraId="05A4318A">
            <w:pPr>
              <w:pStyle w:val="25"/>
              <w:spacing w:line="400" w:lineRule="exact"/>
              <w:jc w:val="center"/>
              <w:rPr>
                <w:rFonts w:hint="eastAsia" w:hAnsi="宋体" w:cs="Courier New"/>
                <w:kern w:val="2"/>
                <w:sz w:val="24"/>
                <w:szCs w:val="24"/>
                <w:lang w:val="en-US" w:eastAsia="zh-CN"/>
              </w:rPr>
            </w:pPr>
            <w:r>
              <w:rPr>
                <w:rFonts w:hint="eastAsia" w:hAnsi="宋体" w:cs="Courier New"/>
                <w:kern w:val="2"/>
                <w:sz w:val="24"/>
                <w:szCs w:val="24"/>
                <w:lang w:val="en-US" w:eastAsia="zh-CN"/>
              </w:rPr>
              <w:t>投标响应</w:t>
            </w:r>
          </w:p>
        </w:tc>
        <w:tc>
          <w:tcPr>
            <w:tcW w:w="1934" w:type="dxa"/>
            <w:noWrap w:val="0"/>
            <w:vAlign w:val="center"/>
          </w:tcPr>
          <w:p w14:paraId="7D23C2BE">
            <w:pPr>
              <w:pStyle w:val="25"/>
              <w:spacing w:line="400" w:lineRule="exact"/>
              <w:jc w:val="center"/>
              <w:rPr>
                <w:rFonts w:hint="eastAsia" w:hAnsi="宋体" w:cs="Courier New"/>
                <w:kern w:val="2"/>
                <w:sz w:val="24"/>
                <w:szCs w:val="24"/>
                <w:lang w:val="en-US" w:eastAsia="zh-CN"/>
              </w:rPr>
            </w:pPr>
            <w:r>
              <w:rPr>
                <w:rFonts w:hint="eastAsia" w:hAnsi="宋体" w:cs="Courier New"/>
                <w:kern w:val="2"/>
                <w:sz w:val="24"/>
                <w:szCs w:val="24"/>
                <w:lang w:val="en-US" w:eastAsia="zh-CN"/>
              </w:rPr>
              <w:t>偏离说明</w:t>
            </w:r>
          </w:p>
        </w:tc>
      </w:tr>
      <w:tr w14:paraId="2752A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noWrap w:val="0"/>
            <w:vAlign w:val="top"/>
          </w:tcPr>
          <w:p w14:paraId="78A379A2">
            <w:pPr>
              <w:pStyle w:val="25"/>
              <w:spacing w:line="600" w:lineRule="exact"/>
              <w:jc w:val="center"/>
              <w:rPr>
                <w:rFonts w:hint="eastAsia" w:hAnsi="宋体" w:cs="Courier New"/>
                <w:kern w:val="2"/>
                <w:sz w:val="24"/>
                <w:szCs w:val="24"/>
                <w:lang w:val="en-US" w:eastAsia="zh-CN"/>
              </w:rPr>
            </w:pPr>
          </w:p>
        </w:tc>
        <w:tc>
          <w:tcPr>
            <w:tcW w:w="2143" w:type="dxa"/>
            <w:noWrap w:val="0"/>
            <w:vAlign w:val="center"/>
          </w:tcPr>
          <w:p w14:paraId="0E915212">
            <w:pPr>
              <w:pStyle w:val="25"/>
              <w:spacing w:line="600" w:lineRule="exact"/>
              <w:jc w:val="center"/>
              <w:rPr>
                <w:rFonts w:hint="eastAsia" w:hAnsi="宋体" w:cs="Courier New"/>
                <w:kern w:val="2"/>
                <w:sz w:val="24"/>
                <w:szCs w:val="24"/>
                <w:lang w:val="en-US" w:eastAsia="zh-CN"/>
              </w:rPr>
            </w:pPr>
          </w:p>
        </w:tc>
        <w:tc>
          <w:tcPr>
            <w:tcW w:w="1834" w:type="dxa"/>
            <w:noWrap w:val="0"/>
            <w:vAlign w:val="center"/>
          </w:tcPr>
          <w:p w14:paraId="08C28C49">
            <w:pPr>
              <w:pStyle w:val="25"/>
              <w:spacing w:line="600" w:lineRule="exact"/>
              <w:jc w:val="center"/>
              <w:rPr>
                <w:rFonts w:hint="eastAsia" w:hAnsi="宋体" w:cs="Courier New"/>
                <w:kern w:val="2"/>
                <w:sz w:val="24"/>
                <w:szCs w:val="24"/>
                <w:lang w:val="en-US" w:eastAsia="zh-CN"/>
              </w:rPr>
            </w:pPr>
          </w:p>
        </w:tc>
        <w:tc>
          <w:tcPr>
            <w:tcW w:w="2181" w:type="dxa"/>
            <w:noWrap w:val="0"/>
            <w:vAlign w:val="center"/>
          </w:tcPr>
          <w:p w14:paraId="126AD293">
            <w:pPr>
              <w:pStyle w:val="25"/>
              <w:spacing w:line="600" w:lineRule="exact"/>
              <w:jc w:val="center"/>
              <w:rPr>
                <w:rFonts w:hint="eastAsia" w:hAnsi="宋体" w:cs="Courier New"/>
                <w:kern w:val="2"/>
                <w:sz w:val="24"/>
                <w:szCs w:val="24"/>
                <w:lang w:val="en-US" w:eastAsia="zh-CN"/>
              </w:rPr>
            </w:pPr>
          </w:p>
        </w:tc>
        <w:tc>
          <w:tcPr>
            <w:tcW w:w="1934" w:type="dxa"/>
            <w:noWrap w:val="0"/>
            <w:vAlign w:val="center"/>
          </w:tcPr>
          <w:p w14:paraId="7F9EF7A0">
            <w:pPr>
              <w:pStyle w:val="25"/>
              <w:spacing w:line="600" w:lineRule="exact"/>
              <w:jc w:val="center"/>
              <w:rPr>
                <w:rFonts w:hint="eastAsia" w:hAnsi="宋体" w:cs="Courier New"/>
                <w:kern w:val="2"/>
                <w:sz w:val="24"/>
                <w:szCs w:val="24"/>
                <w:lang w:val="en-US" w:eastAsia="zh-CN"/>
              </w:rPr>
            </w:pPr>
          </w:p>
        </w:tc>
      </w:tr>
      <w:tr w14:paraId="67C52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noWrap w:val="0"/>
            <w:vAlign w:val="top"/>
          </w:tcPr>
          <w:p w14:paraId="7343A8BD">
            <w:pPr>
              <w:pStyle w:val="25"/>
              <w:spacing w:line="600" w:lineRule="exact"/>
              <w:rPr>
                <w:rFonts w:hint="eastAsia" w:hAnsi="宋体" w:cs="Courier New"/>
                <w:kern w:val="2"/>
                <w:sz w:val="24"/>
                <w:szCs w:val="24"/>
                <w:lang w:val="en-US" w:eastAsia="zh-CN"/>
              </w:rPr>
            </w:pPr>
          </w:p>
        </w:tc>
        <w:tc>
          <w:tcPr>
            <w:tcW w:w="2143" w:type="dxa"/>
            <w:noWrap w:val="0"/>
            <w:vAlign w:val="top"/>
          </w:tcPr>
          <w:p w14:paraId="3B3FCF78">
            <w:pPr>
              <w:pStyle w:val="25"/>
              <w:spacing w:line="600" w:lineRule="exact"/>
              <w:rPr>
                <w:rFonts w:hint="eastAsia" w:hAnsi="宋体" w:cs="Courier New"/>
                <w:kern w:val="2"/>
                <w:sz w:val="24"/>
                <w:szCs w:val="24"/>
                <w:lang w:val="en-US" w:eastAsia="zh-CN"/>
              </w:rPr>
            </w:pPr>
          </w:p>
        </w:tc>
        <w:tc>
          <w:tcPr>
            <w:tcW w:w="1834" w:type="dxa"/>
            <w:noWrap w:val="0"/>
            <w:vAlign w:val="top"/>
          </w:tcPr>
          <w:p w14:paraId="45037E64">
            <w:pPr>
              <w:pStyle w:val="25"/>
              <w:spacing w:line="600" w:lineRule="exact"/>
              <w:rPr>
                <w:rFonts w:hint="eastAsia" w:hAnsi="宋体" w:cs="Courier New"/>
                <w:kern w:val="2"/>
                <w:sz w:val="24"/>
                <w:szCs w:val="24"/>
                <w:lang w:val="en-US" w:eastAsia="zh-CN"/>
              </w:rPr>
            </w:pPr>
          </w:p>
        </w:tc>
        <w:tc>
          <w:tcPr>
            <w:tcW w:w="2181" w:type="dxa"/>
            <w:noWrap w:val="0"/>
            <w:vAlign w:val="top"/>
          </w:tcPr>
          <w:p w14:paraId="4AD78821">
            <w:pPr>
              <w:pStyle w:val="25"/>
              <w:spacing w:line="600" w:lineRule="exact"/>
              <w:rPr>
                <w:rFonts w:hint="eastAsia" w:hAnsi="宋体" w:cs="Courier New"/>
                <w:kern w:val="2"/>
                <w:sz w:val="24"/>
                <w:szCs w:val="24"/>
                <w:lang w:val="en-US" w:eastAsia="zh-CN"/>
              </w:rPr>
            </w:pPr>
          </w:p>
        </w:tc>
        <w:tc>
          <w:tcPr>
            <w:tcW w:w="1934" w:type="dxa"/>
            <w:noWrap w:val="0"/>
            <w:vAlign w:val="top"/>
          </w:tcPr>
          <w:p w14:paraId="29F5A29A">
            <w:pPr>
              <w:pStyle w:val="25"/>
              <w:spacing w:line="600" w:lineRule="exact"/>
              <w:rPr>
                <w:rFonts w:hint="eastAsia" w:hAnsi="宋体" w:cs="Courier New"/>
                <w:kern w:val="2"/>
                <w:sz w:val="24"/>
                <w:szCs w:val="24"/>
                <w:lang w:val="en-US" w:eastAsia="zh-CN"/>
              </w:rPr>
            </w:pPr>
          </w:p>
        </w:tc>
      </w:tr>
      <w:tr w14:paraId="27635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noWrap w:val="0"/>
            <w:vAlign w:val="top"/>
          </w:tcPr>
          <w:p w14:paraId="6923AE4B">
            <w:pPr>
              <w:pStyle w:val="25"/>
              <w:spacing w:line="600" w:lineRule="exact"/>
              <w:rPr>
                <w:rFonts w:hint="eastAsia" w:hAnsi="宋体" w:cs="Courier New"/>
                <w:kern w:val="2"/>
                <w:sz w:val="24"/>
                <w:szCs w:val="24"/>
                <w:lang w:val="en-US" w:eastAsia="zh-CN"/>
              </w:rPr>
            </w:pPr>
          </w:p>
        </w:tc>
        <w:tc>
          <w:tcPr>
            <w:tcW w:w="2143" w:type="dxa"/>
            <w:noWrap w:val="0"/>
            <w:vAlign w:val="top"/>
          </w:tcPr>
          <w:p w14:paraId="5FBF7908">
            <w:pPr>
              <w:pStyle w:val="25"/>
              <w:spacing w:line="600" w:lineRule="exact"/>
              <w:rPr>
                <w:rFonts w:hint="eastAsia" w:hAnsi="宋体" w:cs="Courier New"/>
                <w:kern w:val="2"/>
                <w:sz w:val="24"/>
                <w:szCs w:val="24"/>
                <w:lang w:val="en-US" w:eastAsia="zh-CN"/>
              </w:rPr>
            </w:pPr>
          </w:p>
        </w:tc>
        <w:tc>
          <w:tcPr>
            <w:tcW w:w="1834" w:type="dxa"/>
            <w:noWrap w:val="0"/>
            <w:vAlign w:val="top"/>
          </w:tcPr>
          <w:p w14:paraId="5833612E">
            <w:pPr>
              <w:pStyle w:val="25"/>
              <w:spacing w:line="600" w:lineRule="exact"/>
              <w:rPr>
                <w:rFonts w:hint="eastAsia" w:hAnsi="宋体" w:cs="Courier New"/>
                <w:kern w:val="2"/>
                <w:sz w:val="24"/>
                <w:szCs w:val="24"/>
                <w:lang w:val="en-US" w:eastAsia="zh-CN"/>
              </w:rPr>
            </w:pPr>
          </w:p>
        </w:tc>
        <w:tc>
          <w:tcPr>
            <w:tcW w:w="2181" w:type="dxa"/>
            <w:noWrap w:val="0"/>
            <w:vAlign w:val="top"/>
          </w:tcPr>
          <w:p w14:paraId="16E7B923">
            <w:pPr>
              <w:pStyle w:val="25"/>
              <w:spacing w:line="600" w:lineRule="exact"/>
              <w:rPr>
                <w:rFonts w:hint="eastAsia" w:hAnsi="宋体" w:cs="Courier New"/>
                <w:kern w:val="2"/>
                <w:sz w:val="24"/>
                <w:szCs w:val="24"/>
                <w:lang w:val="en-US" w:eastAsia="zh-CN"/>
              </w:rPr>
            </w:pPr>
          </w:p>
        </w:tc>
        <w:tc>
          <w:tcPr>
            <w:tcW w:w="1934" w:type="dxa"/>
            <w:noWrap w:val="0"/>
            <w:vAlign w:val="top"/>
          </w:tcPr>
          <w:p w14:paraId="42B3F4BB">
            <w:pPr>
              <w:pStyle w:val="25"/>
              <w:spacing w:line="600" w:lineRule="exact"/>
              <w:rPr>
                <w:rFonts w:hint="eastAsia" w:hAnsi="宋体" w:cs="Courier New"/>
                <w:kern w:val="2"/>
                <w:sz w:val="24"/>
                <w:szCs w:val="24"/>
                <w:lang w:val="en-US" w:eastAsia="zh-CN"/>
              </w:rPr>
            </w:pPr>
          </w:p>
        </w:tc>
      </w:tr>
      <w:tr w14:paraId="7CC48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noWrap w:val="0"/>
            <w:vAlign w:val="top"/>
          </w:tcPr>
          <w:p w14:paraId="690A7123">
            <w:pPr>
              <w:pStyle w:val="25"/>
              <w:spacing w:line="600" w:lineRule="exact"/>
              <w:rPr>
                <w:rFonts w:hint="eastAsia" w:hAnsi="宋体" w:cs="Courier New"/>
                <w:kern w:val="2"/>
                <w:sz w:val="24"/>
                <w:szCs w:val="24"/>
                <w:lang w:val="en-US" w:eastAsia="zh-CN"/>
              </w:rPr>
            </w:pPr>
          </w:p>
        </w:tc>
        <w:tc>
          <w:tcPr>
            <w:tcW w:w="2143" w:type="dxa"/>
            <w:noWrap w:val="0"/>
            <w:vAlign w:val="top"/>
          </w:tcPr>
          <w:p w14:paraId="72B7100A">
            <w:pPr>
              <w:pStyle w:val="25"/>
              <w:spacing w:line="600" w:lineRule="exact"/>
              <w:rPr>
                <w:rFonts w:hint="eastAsia" w:hAnsi="宋体" w:cs="Courier New"/>
                <w:kern w:val="2"/>
                <w:sz w:val="24"/>
                <w:szCs w:val="24"/>
                <w:lang w:val="en-US" w:eastAsia="zh-CN"/>
              </w:rPr>
            </w:pPr>
          </w:p>
        </w:tc>
        <w:tc>
          <w:tcPr>
            <w:tcW w:w="1834" w:type="dxa"/>
            <w:noWrap w:val="0"/>
            <w:vAlign w:val="top"/>
          </w:tcPr>
          <w:p w14:paraId="2424B2A0">
            <w:pPr>
              <w:pStyle w:val="25"/>
              <w:spacing w:line="600" w:lineRule="exact"/>
              <w:rPr>
                <w:rFonts w:hint="eastAsia" w:hAnsi="宋体" w:cs="Courier New"/>
                <w:kern w:val="2"/>
                <w:sz w:val="24"/>
                <w:szCs w:val="24"/>
                <w:lang w:val="en-US" w:eastAsia="zh-CN"/>
              </w:rPr>
            </w:pPr>
          </w:p>
        </w:tc>
        <w:tc>
          <w:tcPr>
            <w:tcW w:w="2181" w:type="dxa"/>
            <w:noWrap w:val="0"/>
            <w:vAlign w:val="top"/>
          </w:tcPr>
          <w:p w14:paraId="3C48D004">
            <w:pPr>
              <w:pStyle w:val="25"/>
              <w:spacing w:line="600" w:lineRule="exact"/>
              <w:rPr>
                <w:rFonts w:hint="eastAsia" w:hAnsi="宋体" w:cs="Courier New"/>
                <w:kern w:val="2"/>
                <w:sz w:val="24"/>
                <w:szCs w:val="24"/>
                <w:lang w:val="en-US" w:eastAsia="zh-CN"/>
              </w:rPr>
            </w:pPr>
          </w:p>
        </w:tc>
        <w:tc>
          <w:tcPr>
            <w:tcW w:w="1934" w:type="dxa"/>
            <w:noWrap w:val="0"/>
            <w:vAlign w:val="top"/>
          </w:tcPr>
          <w:p w14:paraId="057E9650">
            <w:pPr>
              <w:pStyle w:val="25"/>
              <w:spacing w:line="600" w:lineRule="exact"/>
              <w:rPr>
                <w:rFonts w:hint="eastAsia" w:hAnsi="宋体" w:cs="Courier New"/>
                <w:kern w:val="2"/>
                <w:sz w:val="24"/>
                <w:szCs w:val="24"/>
                <w:lang w:val="en-US" w:eastAsia="zh-CN"/>
              </w:rPr>
            </w:pPr>
          </w:p>
        </w:tc>
      </w:tr>
      <w:tr w14:paraId="33242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noWrap w:val="0"/>
            <w:vAlign w:val="top"/>
          </w:tcPr>
          <w:p w14:paraId="786417D8">
            <w:pPr>
              <w:pStyle w:val="25"/>
              <w:spacing w:line="600" w:lineRule="exact"/>
              <w:rPr>
                <w:rFonts w:hint="eastAsia" w:hAnsi="宋体" w:cs="Courier New"/>
                <w:kern w:val="2"/>
                <w:sz w:val="24"/>
                <w:szCs w:val="24"/>
                <w:lang w:val="en-US" w:eastAsia="zh-CN"/>
              </w:rPr>
            </w:pPr>
          </w:p>
        </w:tc>
        <w:tc>
          <w:tcPr>
            <w:tcW w:w="2143" w:type="dxa"/>
            <w:noWrap w:val="0"/>
            <w:vAlign w:val="top"/>
          </w:tcPr>
          <w:p w14:paraId="69F079C1">
            <w:pPr>
              <w:pStyle w:val="25"/>
              <w:spacing w:line="600" w:lineRule="exact"/>
              <w:rPr>
                <w:rFonts w:hint="eastAsia" w:hAnsi="宋体" w:cs="Courier New"/>
                <w:kern w:val="2"/>
                <w:sz w:val="24"/>
                <w:szCs w:val="24"/>
                <w:lang w:val="en-US" w:eastAsia="zh-CN"/>
              </w:rPr>
            </w:pPr>
          </w:p>
        </w:tc>
        <w:tc>
          <w:tcPr>
            <w:tcW w:w="1834" w:type="dxa"/>
            <w:noWrap w:val="0"/>
            <w:vAlign w:val="top"/>
          </w:tcPr>
          <w:p w14:paraId="5CA50C3E">
            <w:pPr>
              <w:pStyle w:val="25"/>
              <w:spacing w:line="600" w:lineRule="exact"/>
              <w:rPr>
                <w:rFonts w:hint="eastAsia" w:hAnsi="宋体" w:cs="Courier New"/>
                <w:kern w:val="2"/>
                <w:sz w:val="24"/>
                <w:szCs w:val="24"/>
                <w:lang w:val="en-US" w:eastAsia="zh-CN"/>
              </w:rPr>
            </w:pPr>
          </w:p>
        </w:tc>
        <w:tc>
          <w:tcPr>
            <w:tcW w:w="2181" w:type="dxa"/>
            <w:noWrap w:val="0"/>
            <w:vAlign w:val="top"/>
          </w:tcPr>
          <w:p w14:paraId="746CA71F">
            <w:pPr>
              <w:pStyle w:val="25"/>
              <w:spacing w:line="600" w:lineRule="exact"/>
              <w:rPr>
                <w:rFonts w:hint="eastAsia" w:hAnsi="宋体" w:cs="Courier New"/>
                <w:kern w:val="2"/>
                <w:sz w:val="24"/>
                <w:szCs w:val="24"/>
                <w:lang w:val="en-US" w:eastAsia="zh-CN"/>
              </w:rPr>
            </w:pPr>
          </w:p>
        </w:tc>
        <w:tc>
          <w:tcPr>
            <w:tcW w:w="1934" w:type="dxa"/>
            <w:noWrap w:val="0"/>
            <w:vAlign w:val="top"/>
          </w:tcPr>
          <w:p w14:paraId="79492A88">
            <w:pPr>
              <w:pStyle w:val="25"/>
              <w:spacing w:line="600" w:lineRule="exact"/>
              <w:rPr>
                <w:rFonts w:hint="eastAsia" w:hAnsi="宋体" w:cs="Courier New"/>
                <w:kern w:val="2"/>
                <w:sz w:val="24"/>
                <w:szCs w:val="24"/>
                <w:lang w:val="en-US" w:eastAsia="zh-CN"/>
              </w:rPr>
            </w:pPr>
          </w:p>
        </w:tc>
      </w:tr>
      <w:tr w14:paraId="3DA9B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noWrap w:val="0"/>
            <w:vAlign w:val="top"/>
          </w:tcPr>
          <w:p w14:paraId="38883917">
            <w:pPr>
              <w:pStyle w:val="25"/>
              <w:spacing w:line="600" w:lineRule="exact"/>
              <w:rPr>
                <w:rFonts w:hint="eastAsia" w:hAnsi="宋体" w:cs="Courier New"/>
                <w:kern w:val="2"/>
                <w:sz w:val="24"/>
                <w:szCs w:val="24"/>
                <w:lang w:val="en-US" w:eastAsia="zh-CN"/>
              </w:rPr>
            </w:pPr>
          </w:p>
        </w:tc>
        <w:tc>
          <w:tcPr>
            <w:tcW w:w="2143" w:type="dxa"/>
            <w:noWrap w:val="0"/>
            <w:vAlign w:val="top"/>
          </w:tcPr>
          <w:p w14:paraId="700879EF">
            <w:pPr>
              <w:pStyle w:val="25"/>
              <w:spacing w:line="600" w:lineRule="exact"/>
              <w:rPr>
                <w:rFonts w:hint="eastAsia" w:hAnsi="宋体" w:cs="Courier New"/>
                <w:kern w:val="2"/>
                <w:sz w:val="24"/>
                <w:szCs w:val="24"/>
                <w:lang w:val="en-US" w:eastAsia="zh-CN"/>
              </w:rPr>
            </w:pPr>
          </w:p>
        </w:tc>
        <w:tc>
          <w:tcPr>
            <w:tcW w:w="1834" w:type="dxa"/>
            <w:noWrap w:val="0"/>
            <w:vAlign w:val="top"/>
          </w:tcPr>
          <w:p w14:paraId="074B8482">
            <w:pPr>
              <w:pStyle w:val="25"/>
              <w:spacing w:line="600" w:lineRule="exact"/>
              <w:rPr>
                <w:rFonts w:hint="eastAsia" w:hAnsi="宋体" w:cs="Courier New"/>
                <w:kern w:val="2"/>
                <w:sz w:val="24"/>
                <w:szCs w:val="24"/>
                <w:lang w:val="en-US" w:eastAsia="zh-CN"/>
              </w:rPr>
            </w:pPr>
          </w:p>
        </w:tc>
        <w:tc>
          <w:tcPr>
            <w:tcW w:w="2181" w:type="dxa"/>
            <w:noWrap w:val="0"/>
            <w:vAlign w:val="top"/>
          </w:tcPr>
          <w:p w14:paraId="4FD660C8">
            <w:pPr>
              <w:pStyle w:val="25"/>
              <w:spacing w:line="600" w:lineRule="exact"/>
              <w:rPr>
                <w:rFonts w:hint="eastAsia" w:hAnsi="宋体" w:cs="Courier New"/>
                <w:kern w:val="2"/>
                <w:sz w:val="24"/>
                <w:szCs w:val="24"/>
                <w:lang w:val="en-US" w:eastAsia="zh-CN"/>
              </w:rPr>
            </w:pPr>
          </w:p>
        </w:tc>
        <w:tc>
          <w:tcPr>
            <w:tcW w:w="1934" w:type="dxa"/>
            <w:noWrap w:val="0"/>
            <w:vAlign w:val="top"/>
          </w:tcPr>
          <w:p w14:paraId="1675636C">
            <w:pPr>
              <w:pStyle w:val="25"/>
              <w:spacing w:line="600" w:lineRule="exact"/>
              <w:rPr>
                <w:rFonts w:hint="eastAsia" w:hAnsi="宋体" w:cs="Courier New"/>
                <w:kern w:val="2"/>
                <w:sz w:val="24"/>
                <w:szCs w:val="24"/>
                <w:lang w:val="en-US" w:eastAsia="zh-CN"/>
              </w:rPr>
            </w:pPr>
          </w:p>
        </w:tc>
      </w:tr>
    </w:tbl>
    <w:p w14:paraId="73F356D6">
      <w:pPr>
        <w:pStyle w:val="17"/>
        <w:rPr>
          <w:rFonts w:hint="eastAsia" w:ascii="宋体" w:hAnsi="宋体"/>
        </w:rPr>
      </w:pPr>
      <w:r>
        <w:rPr>
          <w:rFonts w:hint="eastAsia" w:ascii="宋体" w:hAnsi="宋体"/>
        </w:rPr>
        <w:t>注：</w:t>
      </w:r>
    </w:p>
    <w:p w14:paraId="3DF0F4E7">
      <w:pPr>
        <w:pStyle w:val="19"/>
        <w:spacing w:line="360" w:lineRule="auto"/>
        <w:ind w:firstLine="0" w:firstLineChars="0"/>
        <w:rPr>
          <w:rFonts w:hint="eastAsia" w:hAnsi="仿宋_GB2312" w:cs="仿宋_GB2312"/>
          <w:szCs w:val="32"/>
        </w:rPr>
      </w:pPr>
      <w:r>
        <w:rPr>
          <w:rFonts w:hint="eastAsia" w:ascii="宋体" w:hAnsi="宋体" w:eastAsia="宋体"/>
          <w:sz w:val="24"/>
          <w:szCs w:val="24"/>
        </w:rPr>
        <w:t>1.说明：应对照招标文件“第二章 采购需求”中的“技术需求及要求”逐条做出明确的投标响应，并作出偏离说明。</w:t>
      </w:r>
    </w:p>
    <w:p w14:paraId="08AE2A5B">
      <w:pPr>
        <w:pStyle w:val="17"/>
        <w:spacing w:line="360" w:lineRule="auto"/>
        <w:rPr>
          <w:rFonts w:hint="eastAsia" w:ascii="宋体" w:hAnsi="宋体"/>
          <w:b w:val="0"/>
          <w:bCs w:val="0"/>
        </w:rPr>
      </w:pPr>
      <w:r>
        <w:rPr>
          <w:rFonts w:ascii="宋体" w:hAnsi="宋体"/>
          <w:b w:val="0"/>
          <w:bCs w:val="0"/>
        </w:rPr>
        <w:t>2.</w:t>
      </w:r>
      <w:r>
        <w:rPr>
          <w:rFonts w:hint="eastAsia" w:ascii="宋体" w:hAnsi="宋体"/>
          <w:b w:val="0"/>
          <w:bCs w:val="0"/>
        </w:rPr>
        <w:t>投标人根据投标货物的性能指标，对照招标文件技术需求及要求，在“偏离说明”中注明“</w:t>
      </w:r>
      <w:r>
        <w:rPr>
          <w:rFonts w:hint="eastAsia" w:ascii="宋体" w:hAnsi="宋体"/>
        </w:rPr>
        <w:t>正偏离</w:t>
      </w:r>
      <w:r>
        <w:rPr>
          <w:rFonts w:hint="eastAsia" w:ascii="宋体" w:hAnsi="宋体"/>
          <w:b w:val="0"/>
          <w:bCs w:val="0"/>
        </w:rPr>
        <w:t>”、“</w:t>
      </w:r>
      <w:r>
        <w:rPr>
          <w:rFonts w:hint="eastAsia" w:ascii="宋体" w:hAnsi="宋体"/>
        </w:rPr>
        <w:t>负偏离</w:t>
      </w:r>
      <w:r>
        <w:rPr>
          <w:rFonts w:hint="eastAsia" w:ascii="宋体" w:hAnsi="宋体"/>
          <w:b w:val="0"/>
          <w:bCs w:val="0"/>
        </w:rPr>
        <w:t>”或者“</w:t>
      </w:r>
      <w:r>
        <w:rPr>
          <w:rFonts w:hint="eastAsia" w:ascii="宋体" w:hAnsi="宋体"/>
        </w:rPr>
        <w:t>无偏离</w:t>
      </w:r>
      <w:r>
        <w:rPr>
          <w:rFonts w:hint="eastAsia" w:ascii="宋体" w:hAnsi="宋体"/>
          <w:b w:val="0"/>
          <w:bCs w:val="0"/>
        </w:rPr>
        <w:t>”。既不属于“</w:t>
      </w:r>
      <w:r>
        <w:rPr>
          <w:rFonts w:hint="eastAsia" w:ascii="宋体" w:hAnsi="宋体"/>
        </w:rPr>
        <w:t>正偏离</w:t>
      </w:r>
      <w:r>
        <w:rPr>
          <w:rFonts w:hint="eastAsia" w:ascii="宋体" w:hAnsi="宋体"/>
          <w:b w:val="0"/>
          <w:bCs w:val="0"/>
        </w:rPr>
        <w:t>”也不属于“</w:t>
      </w:r>
      <w:r>
        <w:rPr>
          <w:rFonts w:hint="eastAsia" w:ascii="宋体" w:hAnsi="宋体"/>
        </w:rPr>
        <w:t>负偏离</w:t>
      </w:r>
      <w:r>
        <w:rPr>
          <w:rFonts w:hint="eastAsia" w:ascii="宋体" w:hAnsi="宋体"/>
          <w:b w:val="0"/>
          <w:bCs w:val="0"/>
        </w:rPr>
        <w:t>”即为“</w:t>
      </w:r>
      <w:r>
        <w:rPr>
          <w:rFonts w:hint="eastAsia" w:ascii="宋体" w:hAnsi="宋体"/>
        </w:rPr>
        <w:t>无偏离</w:t>
      </w:r>
      <w:r>
        <w:rPr>
          <w:rFonts w:hint="eastAsia" w:ascii="宋体" w:hAnsi="宋体"/>
          <w:b w:val="0"/>
          <w:bCs w:val="0"/>
        </w:rPr>
        <w:t>”。</w:t>
      </w:r>
    </w:p>
    <w:p w14:paraId="6087E156">
      <w:pPr>
        <w:pStyle w:val="19"/>
        <w:spacing w:line="360" w:lineRule="auto"/>
        <w:ind w:firstLine="0" w:firstLineChars="0"/>
        <w:rPr>
          <w:rFonts w:hint="eastAsia" w:ascii="宋体" w:hAnsi="宋体" w:eastAsia="宋体"/>
          <w:sz w:val="24"/>
          <w:szCs w:val="24"/>
        </w:rPr>
      </w:pPr>
      <w:r>
        <w:rPr>
          <w:rFonts w:hint="eastAsia" w:ascii="宋体" w:hAnsi="宋体" w:eastAsia="宋体"/>
          <w:sz w:val="24"/>
          <w:szCs w:val="24"/>
        </w:rPr>
        <w:t>3.如技术要求偏离表中的投标响应与佐证材料不一致的，以佐证材料为准。</w:t>
      </w:r>
    </w:p>
    <w:p w14:paraId="46611F38">
      <w:pPr>
        <w:snapToGrid w:val="0"/>
        <w:spacing w:before="50" w:after="50" w:line="360" w:lineRule="auto"/>
        <w:rPr>
          <w:rFonts w:hint="eastAsia" w:ascii="宋体" w:hAnsi="宋体"/>
          <w:sz w:val="24"/>
        </w:rPr>
      </w:pPr>
    </w:p>
    <w:p w14:paraId="0D168164">
      <w:pPr>
        <w:snapToGrid w:val="0"/>
        <w:spacing w:before="50" w:after="50" w:line="360" w:lineRule="auto"/>
        <w:rPr>
          <w:rFonts w:hint="eastAsia" w:ascii="宋体" w:hAnsi="宋体"/>
          <w:spacing w:val="20"/>
          <w:sz w:val="24"/>
          <w:u w:val="single"/>
        </w:rPr>
      </w:pPr>
      <w:r>
        <w:rPr>
          <w:rFonts w:hint="eastAsia" w:ascii="宋体" w:hAnsi="宋体"/>
          <w:sz w:val="24"/>
        </w:rPr>
        <w:t>法定代表人或者委托代理人</w:t>
      </w:r>
      <w:r>
        <w:rPr>
          <w:rFonts w:hint="eastAsia" w:ascii="宋体" w:hAnsi="宋体"/>
          <w:spacing w:val="20"/>
          <w:sz w:val="24"/>
        </w:rPr>
        <w:t>（签字或者电子签名）：</w:t>
      </w:r>
      <w:r>
        <w:rPr>
          <w:rFonts w:hint="eastAsia" w:ascii="宋体" w:hAnsi="宋体"/>
          <w:spacing w:val="20"/>
          <w:sz w:val="24"/>
          <w:u w:val="single"/>
        </w:rPr>
        <w:t xml:space="preserve">        </w:t>
      </w:r>
    </w:p>
    <w:p w14:paraId="670F5898">
      <w:pPr>
        <w:snapToGrid w:val="0"/>
        <w:spacing w:before="50" w:after="50" w:line="360" w:lineRule="auto"/>
        <w:rPr>
          <w:rFonts w:hint="eastAsia" w:ascii="宋体" w:hAnsi="宋体"/>
          <w:spacing w:val="20"/>
          <w:sz w:val="24"/>
        </w:rPr>
      </w:pPr>
      <w:r>
        <w:rPr>
          <w:rFonts w:hint="eastAsia" w:ascii="宋体" w:hAnsi="宋体"/>
          <w:spacing w:val="20"/>
          <w:sz w:val="24"/>
        </w:rPr>
        <w:t>投标人名称（电子签章）：</w:t>
      </w:r>
      <w:r>
        <w:rPr>
          <w:rFonts w:hint="eastAsia" w:ascii="宋体" w:hAnsi="宋体"/>
          <w:spacing w:val="20"/>
          <w:sz w:val="24"/>
          <w:u w:val="single"/>
        </w:rPr>
        <w:t xml:space="preserve">            </w:t>
      </w:r>
      <w:r>
        <w:rPr>
          <w:rFonts w:hint="eastAsia" w:ascii="宋体" w:hAnsi="宋体"/>
          <w:spacing w:val="20"/>
          <w:sz w:val="24"/>
        </w:rPr>
        <w:t xml:space="preserve">              </w:t>
      </w:r>
    </w:p>
    <w:p w14:paraId="5E081FB0">
      <w:pPr>
        <w:snapToGrid w:val="0"/>
        <w:spacing w:before="50" w:after="50" w:line="360" w:lineRule="auto"/>
        <w:rPr>
          <w:rFonts w:hint="eastAsia" w:ascii="宋体" w:hAnsi="宋体"/>
          <w:sz w:val="24"/>
          <w:szCs w:val="20"/>
        </w:rPr>
      </w:pPr>
      <w:r>
        <w:rPr>
          <w:rFonts w:hint="eastAsia" w:ascii="宋体" w:hAnsi="宋体"/>
          <w:spacing w:val="20"/>
          <w:sz w:val="24"/>
        </w:rPr>
        <w:t>日 期：</w:t>
      </w:r>
      <w:r>
        <w:rPr>
          <w:rFonts w:hint="eastAsia" w:ascii="宋体" w:hAnsi="宋体"/>
          <w:spacing w:val="20"/>
          <w:sz w:val="24"/>
          <w:u w:val="single"/>
        </w:rPr>
        <w:t xml:space="preserve">        </w:t>
      </w:r>
      <w:r>
        <w:rPr>
          <w:rFonts w:ascii="宋体" w:hAnsi="宋体"/>
          <w:sz w:val="24"/>
          <w:szCs w:val="20"/>
        </w:rPr>
        <w:br w:type="page"/>
      </w:r>
    </w:p>
    <w:p w14:paraId="29DA1815">
      <w:pPr>
        <w:snapToGrid w:val="0"/>
        <w:spacing w:before="120" w:beforeLines="50" w:after="50"/>
        <w:ind w:left="142"/>
        <w:jc w:val="left"/>
        <w:rPr>
          <w:rFonts w:hint="eastAsia" w:ascii="宋体" w:hAnsi="宋体"/>
          <w:b/>
          <w:sz w:val="24"/>
        </w:rPr>
      </w:pPr>
      <w:r>
        <w:rPr>
          <w:rFonts w:ascii="宋体" w:hAnsi="宋体"/>
          <w:b/>
          <w:sz w:val="24"/>
        </w:rPr>
        <w:t>11</w:t>
      </w:r>
      <w:r>
        <w:rPr>
          <w:rFonts w:hint="eastAsia" w:ascii="宋体" w:hAnsi="宋体"/>
          <w:b/>
          <w:sz w:val="24"/>
        </w:rPr>
        <w:t>. 项目实施人员一览表格式</w:t>
      </w:r>
    </w:p>
    <w:p w14:paraId="3A74B95F">
      <w:pPr>
        <w:snapToGrid w:val="0"/>
        <w:spacing w:before="120" w:beforeLines="50" w:after="50"/>
        <w:ind w:left="142"/>
        <w:jc w:val="left"/>
        <w:rPr>
          <w:rFonts w:hint="eastAsia" w:ascii="宋体" w:hAnsi="宋体"/>
          <w:b/>
          <w:sz w:val="24"/>
        </w:rPr>
      </w:pPr>
    </w:p>
    <w:p w14:paraId="486A3A96">
      <w:pPr>
        <w:snapToGrid w:val="0"/>
        <w:spacing w:before="120" w:beforeLines="50" w:after="50"/>
        <w:ind w:left="142"/>
        <w:jc w:val="center"/>
        <w:rPr>
          <w:rFonts w:hint="eastAsia" w:ascii="宋体" w:hAnsi="宋体"/>
          <w:b/>
          <w:sz w:val="32"/>
          <w:szCs w:val="32"/>
        </w:rPr>
      </w:pPr>
      <w:r>
        <w:rPr>
          <w:rFonts w:hint="eastAsia" w:ascii="宋体" w:hAnsi="宋体"/>
          <w:b/>
          <w:sz w:val="32"/>
          <w:szCs w:val="32"/>
        </w:rPr>
        <w:t>项目实施人员一览表</w:t>
      </w:r>
    </w:p>
    <w:p w14:paraId="0293BB69">
      <w:pPr>
        <w:pStyle w:val="25"/>
        <w:rPr>
          <w:sz w:val="24"/>
          <w:szCs w:val="24"/>
        </w:rPr>
      </w:pPr>
    </w:p>
    <w:p w14:paraId="47458D75">
      <w:pPr>
        <w:pStyle w:val="25"/>
        <w:rPr>
          <w:rFonts w:hint="eastAsia"/>
          <w:sz w:val="24"/>
          <w:szCs w:val="24"/>
        </w:rPr>
      </w:pPr>
      <w:r>
        <w:rPr>
          <w:rFonts w:hint="eastAsia"/>
          <w:sz w:val="24"/>
          <w:szCs w:val="24"/>
        </w:rPr>
        <w:t>所投分标：</w:t>
      </w:r>
      <w:r>
        <w:rPr>
          <w:rFonts w:hint="eastAsia"/>
          <w:sz w:val="24"/>
          <w:szCs w:val="24"/>
          <w:u w:val="single"/>
        </w:rPr>
        <w:t xml:space="preserve">     </w:t>
      </w:r>
      <w:r>
        <w:rPr>
          <w:rFonts w:hint="eastAsia"/>
          <w:sz w:val="24"/>
          <w:szCs w:val="24"/>
        </w:rPr>
        <w:t>分标</w:t>
      </w:r>
    </w:p>
    <w:tbl>
      <w:tblPr>
        <w:tblStyle w:val="5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5"/>
        <w:gridCol w:w="696"/>
        <w:gridCol w:w="696"/>
        <w:gridCol w:w="696"/>
        <w:gridCol w:w="785"/>
        <w:gridCol w:w="1122"/>
        <w:gridCol w:w="1575"/>
        <w:gridCol w:w="1162"/>
        <w:gridCol w:w="1203"/>
      </w:tblGrid>
      <w:tr w14:paraId="666AD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8" w:type="pct"/>
            <w:noWrap w:val="0"/>
            <w:vAlign w:val="center"/>
          </w:tcPr>
          <w:p w14:paraId="22FBAA13">
            <w:pPr>
              <w:snapToGrid w:val="0"/>
              <w:spacing w:before="50" w:after="120" w:afterLines="50"/>
              <w:jc w:val="center"/>
              <w:rPr>
                <w:rFonts w:hint="eastAsia" w:ascii="宋体" w:hAnsi="宋体"/>
                <w:sz w:val="24"/>
                <w:szCs w:val="20"/>
              </w:rPr>
            </w:pPr>
            <w:r>
              <w:rPr>
                <w:rFonts w:hint="eastAsia" w:ascii="宋体" w:hAnsi="宋体"/>
                <w:sz w:val="24"/>
                <w:szCs w:val="20"/>
              </w:rPr>
              <w:t>姓名</w:t>
            </w:r>
          </w:p>
        </w:tc>
        <w:tc>
          <w:tcPr>
            <w:tcW w:w="281" w:type="pct"/>
            <w:noWrap w:val="0"/>
            <w:vAlign w:val="center"/>
          </w:tcPr>
          <w:p w14:paraId="67FDA029">
            <w:pPr>
              <w:snapToGrid w:val="0"/>
              <w:spacing w:before="50" w:after="120" w:afterLines="50"/>
              <w:jc w:val="center"/>
              <w:rPr>
                <w:rFonts w:hint="eastAsia" w:ascii="宋体" w:hAnsi="宋体"/>
                <w:sz w:val="24"/>
                <w:szCs w:val="20"/>
              </w:rPr>
            </w:pPr>
            <w:r>
              <w:rPr>
                <w:rFonts w:hint="eastAsia" w:ascii="宋体" w:hAnsi="宋体"/>
                <w:sz w:val="24"/>
                <w:szCs w:val="20"/>
              </w:rPr>
              <w:t>性别</w:t>
            </w:r>
          </w:p>
        </w:tc>
        <w:tc>
          <w:tcPr>
            <w:tcW w:w="311" w:type="pct"/>
            <w:noWrap w:val="0"/>
            <w:vAlign w:val="center"/>
          </w:tcPr>
          <w:p w14:paraId="314C2887">
            <w:pPr>
              <w:snapToGrid w:val="0"/>
              <w:spacing w:before="50" w:after="120" w:afterLines="50"/>
              <w:jc w:val="center"/>
              <w:rPr>
                <w:rFonts w:hint="eastAsia" w:ascii="宋体" w:hAnsi="宋体"/>
                <w:sz w:val="24"/>
                <w:szCs w:val="20"/>
              </w:rPr>
            </w:pPr>
            <w:r>
              <w:rPr>
                <w:rFonts w:hint="eastAsia" w:ascii="宋体" w:hAnsi="宋体"/>
                <w:sz w:val="24"/>
                <w:szCs w:val="20"/>
              </w:rPr>
              <w:t>职务</w:t>
            </w:r>
          </w:p>
        </w:tc>
        <w:tc>
          <w:tcPr>
            <w:tcW w:w="317" w:type="pct"/>
            <w:noWrap w:val="0"/>
            <w:vAlign w:val="center"/>
          </w:tcPr>
          <w:p w14:paraId="09E43FA7">
            <w:pPr>
              <w:snapToGrid w:val="0"/>
              <w:spacing w:before="50" w:after="120" w:afterLines="50"/>
              <w:jc w:val="center"/>
              <w:rPr>
                <w:rFonts w:hint="eastAsia" w:ascii="宋体" w:hAnsi="宋体"/>
                <w:sz w:val="24"/>
                <w:szCs w:val="20"/>
              </w:rPr>
            </w:pPr>
            <w:r>
              <w:rPr>
                <w:rFonts w:hint="eastAsia" w:ascii="宋体" w:hAnsi="宋体"/>
                <w:sz w:val="24"/>
                <w:szCs w:val="20"/>
              </w:rPr>
              <w:t>学历</w:t>
            </w:r>
          </w:p>
        </w:tc>
        <w:tc>
          <w:tcPr>
            <w:tcW w:w="498" w:type="pct"/>
            <w:noWrap w:val="0"/>
            <w:vAlign w:val="center"/>
          </w:tcPr>
          <w:p w14:paraId="7F62F24D">
            <w:pPr>
              <w:snapToGrid w:val="0"/>
              <w:spacing w:before="50" w:after="120" w:afterLines="50"/>
              <w:jc w:val="center"/>
              <w:rPr>
                <w:rFonts w:ascii="宋体" w:hAnsi="宋体"/>
                <w:sz w:val="24"/>
                <w:szCs w:val="20"/>
              </w:rPr>
            </w:pPr>
            <w:r>
              <w:rPr>
                <w:rFonts w:hint="eastAsia" w:ascii="宋体" w:hAnsi="宋体"/>
                <w:sz w:val="24"/>
                <w:szCs w:val="20"/>
              </w:rPr>
              <w:t>工作年限</w:t>
            </w:r>
          </w:p>
        </w:tc>
        <w:tc>
          <w:tcPr>
            <w:tcW w:w="691" w:type="pct"/>
            <w:noWrap w:val="0"/>
            <w:vAlign w:val="center"/>
          </w:tcPr>
          <w:p w14:paraId="0636B0AF">
            <w:pPr>
              <w:snapToGrid w:val="0"/>
              <w:spacing w:before="50" w:after="120" w:afterLines="50"/>
              <w:jc w:val="center"/>
              <w:rPr>
                <w:rFonts w:ascii="宋体" w:hAnsi="宋体"/>
                <w:sz w:val="24"/>
                <w:szCs w:val="20"/>
              </w:rPr>
            </w:pPr>
            <w:r>
              <w:rPr>
                <w:rFonts w:hint="eastAsia" w:ascii="宋体" w:hAnsi="宋体"/>
                <w:sz w:val="24"/>
                <w:szCs w:val="20"/>
              </w:rPr>
              <w:t>联系电话</w:t>
            </w:r>
          </w:p>
        </w:tc>
        <w:tc>
          <w:tcPr>
            <w:tcW w:w="951" w:type="pct"/>
            <w:noWrap w:val="0"/>
            <w:vAlign w:val="center"/>
          </w:tcPr>
          <w:p w14:paraId="5EC2DD92">
            <w:pPr>
              <w:snapToGrid w:val="0"/>
              <w:spacing w:before="50" w:after="120" w:afterLines="50"/>
              <w:jc w:val="center"/>
              <w:rPr>
                <w:rFonts w:ascii="宋体" w:hAnsi="宋体"/>
                <w:sz w:val="24"/>
                <w:szCs w:val="20"/>
              </w:rPr>
            </w:pPr>
            <w:r>
              <w:rPr>
                <w:rFonts w:hint="eastAsia" w:ascii="宋体" w:hAnsi="宋体"/>
                <w:sz w:val="24"/>
                <w:szCs w:val="20"/>
              </w:rPr>
              <w:t>专业技术资格（职称）或者职业资格或者执业资格证或者其他证书</w:t>
            </w:r>
          </w:p>
        </w:tc>
        <w:tc>
          <w:tcPr>
            <w:tcW w:w="714" w:type="pct"/>
            <w:noWrap w:val="0"/>
            <w:vAlign w:val="center"/>
          </w:tcPr>
          <w:p w14:paraId="0DFD6FFE">
            <w:pPr>
              <w:snapToGrid w:val="0"/>
              <w:spacing w:before="50" w:after="120" w:afterLines="50"/>
              <w:jc w:val="center"/>
              <w:rPr>
                <w:rFonts w:ascii="宋体" w:hAnsi="宋体"/>
                <w:sz w:val="24"/>
                <w:szCs w:val="20"/>
              </w:rPr>
            </w:pPr>
            <w:r>
              <w:rPr>
                <w:rFonts w:hint="eastAsia" w:ascii="宋体" w:hAnsi="宋体"/>
                <w:sz w:val="24"/>
                <w:szCs w:val="20"/>
              </w:rPr>
              <w:t>在本项目中的职责分工</w:t>
            </w:r>
          </w:p>
        </w:tc>
        <w:tc>
          <w:tcPr>
            <w:tcW w:w="737" w:type="pct"/>
            <w:noWrap w:val="0"/>
            <w:vAlign w:val="center"/>
          </w:tcPr>
          <w:p w14:paraId="72049B99">
            <w:pPr>
              <w:snapToGrid w:val="0"/>
              <w:spacing w:before="50" w:after="120" w:afterLines="50"/>
              <w:jc w:val="center"/>
              <w:rPr>
                <w:rFonts w:ascii="宋体" w:hAnsi="宋体"/>
                <w:sz w:val="24"/>
                <w:szCs w:val="20"/>
              </w:rPr>
            </w:pPr>
            <w:r>
              <w:rPr>
                <w:rFonts w:hint="eastAsia" w:ascii="宋体" w:hAnsi="宋体"/>
                <w:sz w:val="24"/>
                <w:szCs w:val="20"/>
              </w:rPr>
              <w:t>项目经历</w:t>
            </w:r>
          </w:p>
        </w:tc>
      </w:tr>
      <w:tr w14:paraId="2BE8F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8" w:type="pct"/>
            <w:noWrap w:val="0"/>
            <w:vAlign w:val="center"/>
          </w:tcPr>
          <w:p w14:paraId="4D92CFB5">
            <w:pPr>
              <w:snapToGrid w:val="0"/>
              <w:spacing w:before="50" w:after="120" w:afterLines="50"/>
              <w:jc w:val="center"/>
              <w:rPr>
                <w:rFonts w:hint="eastAsia" w:ascii="宋体" w:hAnsi="宋体"/>
                <w:sz w:val="24"/>
                <w:szCs w:val="20"/>
              </w:rPr>
            </w:pPr>
          </w:p>
        </w:tc>
        <w:tc>
          <w:tcPr>
            <w:tcW w:w="281" w:type="pct"/>
            <w:noWrap w:val="0"/>
            <w:vAlign w:val="center"/>
          </w:tcPr>
          <w:p w14:paraId="4931001F">
            <w:pPr>
              <w:snapToGrid w:val="0"/>
              <w:spacing w:before="50" w:after="120" w:afterLines="50"/>
              <w:jc w:val="center"/>
              <w:rPr>
                <w:rFonts w:hint="eastAsia" w:ascii="宋体" w:hAnsi="宋体"/>
                <w:sz w:val="24"/>
                <w:szCs w:val="20"/>
              </w:rPr>
            </w:pPr>
          </w:p>
        </w:tc>
        <w:tc>
          <w:tcPr>
            <w:tcW w:w="311" w:type="pct"/>
            <w:noWrap w:val="0"/>
            <w:vAlign w:val="center"/>
          </w:tcPr>
          <w:p w14:paraId="0CD9F92C">
            <w:pPr>
              <w:snapToGrid w:val="0"/>
              <w:spacing w:before="50" w:after="120" w:afterLines="50"/>
              <w:jc w:val="center"/>
              <w:rPr>
                <w:rFonts w:hint="eastAsia" w:ascii="宋体" w:hAnsi="宋体"/>
                <w:sz w:val="24"/>
                <w:szCs w:val="20"/>
              </w:rPr>
            </w:pPr>
          </w:p>
        </w:tc>
        <w:tc>
          <w:tcPr>
            <w:tcW w:w="317" w:type="pct"/>
            <w:noWrap w:val="0"/>
            <w:vAlign w:val="center"/>
          </w:tcPr>
          <w:p w14:paraId="55C1A0CF">
            <w:pPr>
              <w:snapToGrid w:val="0"/>
              <w:spacing w:before="50" w:after="120" w:afterLines="50"/>
              <w:jc w:val="center"/>
              <w:rPr>
                <w:rFonts w:hint="eastAsia" w:ascii="宋体" w:hAnsi="宋体"/>
                <w:sz w:val="24"/>
                <w:szCs w:val="20"/>
              </w:rPr>
            </w:pPr>
          </w:p>
        </w:tc>
        <w:tc>
          <w:tcPr>
            <w:tcW w:w="498" w:type="pct"/>
            <w:noWrap w:val="0"/>
            <w:vAlign w:val="center"/>
          </w:tcPr>
          <w:p w14:paraId="072B5FCF">
            <w:pPr>
              <w:snapToGrid w:val="0"/>
              <w:spacing w:before="50" w:after="120" w:afterLines="50"/>
              <w:jc w:val="center"/>
              <w:rPr>
                <w:rFonts w:hint="eastAsia" w:ascii="宋体" w:hAnsi="宋体"/>
                <w:sz w:val="24"/>
                <w:szCs w:val="20"/>
              </w:rPr>
            </w:pPr>
          </w:p>
        </w:tc>
        <w:tc>
          <w:tcPr>
            <w:tcW w:w="691" w:type="pct"/>
            <w:noWrap w:val="0"/>
            <w:vAlign w:val="center"/>
          </w:tcPr>
          <w:p w14:paraId="55CDB6D7">
            <w:pPr>
              <w:snapToGrid w:val="0"/>
              <w:spacing w:before="50" w:after="120" w:afterLines="50"/>
              <w:jc w:val="center"/>
              <w:rPr>
                <w:rFonts w:hint="eastAsia" w:ascii="宋体" w:hAnsi="宋体"/>
                <w:sz w:val="24"/>
                <w:szCs w:val="20"/>
              </w:rPr>
            </w:pPr>
          </w:p>
        </w:tc>
        <w:tc>
          <w:tcPr>
            <w:tcW w:w="951" w:type="pct"/>
            <w:noWrap w:val="0"/>
            <w:vAlign w:val="center"/>
          </w:tcPr>
          <w:p w14:paraId="4E15CD9C">
            <w:pPr>
              <w:snapToGrid w:val="0"/>
              <w:spacing w:before="50" w:after="120" w:afterLines="50"/>
              <w:jc w:val="center"/>
              <w:rPr>
                <w:rFonts w:hint="eastAsia" w:ascii="宋体" w:hAnsi="宋体"/>
                <w:sz w:val="24"/>
                <w:szCs w:val="20"/>
              </w:rPr>
            </w:pPr>
          </w:p>
        </w:tc>
        <w:tc>
          <w:tcPr>
            <w:tcW w:w="714" w:type="pct"/>
            <w:noWrap w:val="0"/>
            <w:vAlign w:val="center"/>
          </w:tcPr>
          <w:p w14:paraId="4C6DE1D0">
            <w:pPr>
              <w:snapToGrid w:val="0"/>
              <w:spacing w:before="50" w:after="120" w:afterLines="50"/>
              <w:jc w:val="center"/>
              <w:rPr>
                <w:rFonts w:hint="eastAsia" w:ascii="宋体" w:hAnsi="宋体"/>
                <w:sz w:val="24"/>
                <w:szCs w:val="20"/>
              </w:rPr>
            </w:pPr>
          </w:p>
        </w:tc>
        <w:tc>
          <w:tcPr>
            <w:tcW w:w="737" w:type="pct"/>
            <w:noWrap w:val="0"/>
            <w:vAlign w:val="center"/>
          </w:tcPr>
          <w:p w14:paraId="214B0091">
            <w:pPr>
              <w:snapToGrid w:val="0"/>
              <w:spacing w:before="50" w:after="120" w:afterLines="50"/>
              <w:jc w:val="center"/>
              <w:rPr>
                <w:rFonts w:hint="eastAsia" w:ascii="宋体" w:hAnsi="宋体"/>
                <w:sz w:val="24"/>
                <w:szCs w:val="20"/>
              </w:rPr>
            </w:pPr>
          </w:p>
        </w:tc>
      </w:tr>
      <w:tr w14:paraId="3FF4F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8" w:type="pct"/>
            <w:noWrap w:val="0"/>
            <w:vAlign w:val="center"/>
          </w:tcPr>
          <w:p w14:paraId="0448A2D0">
            <w:pPr>
              <w:snapToGrid w:val="0"/>
              <w:spacing w:before="50" w:after="120" w:afterLines="50"/>
              <w:jc w:val="center"/>
              <w:rPr>
                <w:rFonts w:hint="eastAsia" w:ascii="宋体" w:hAnsi="宋体"/>
                <w:sz w:val="24"/>
                <w:szCs w:val="20"/>
              </w:rPr>
            </w:pPr>
          </w:p>
        </w:tc>
        <w:tc>
          <w:tcPr>
            <w:tcW w:w="281" w:type="pct"/>
            <w:noWrap w:val="0"/>
            <w:vAlign w:val="center"/>
          </w:tcPr>
          <w:p w14:paraId="412D17B9">
            <w:pPr>
              <w:snapToGrid w:val="0"/>
              <w:spacing w:before="50" w:after="120" w:afterLines="50"/>
              <w:jc w:val="center"/>
              <w:rPr>
                <w:rFonts w:hint="eastAsia" w:ascii="宋体" w:hAnsi="宋体"/>
                <w:sz w:val="24"/>
                <w:szCs w:val="20"/>
              </w:rPr>
            </w:pPr>
          </w:p>
        </w:tc>
        <w:tc>
          <w:tcPr>
            <w:tcW w:w="311" w:type="pct"/>
            <w:noWrap w:val="0"/>
            <w:vAlign w:val="center"/>
          </w:tcPr>
          <w:p w14:paraId="10378C7A">
            <w:pPr>
              <w:snapToGrid w:val="0"/>
              <w:spacing w:before="50" w:after="120" w:afterLines="50"/>
              <w:jc w:val="center"/>
              <w:rPr>
                <w:rFonts w:hint="eastAsia" w:ascii="宋体" w:hAnsi="宋体"/>
                <w:sz w:val="24"/>
                <w:szCs w:val="20"/>
              </w:rPr>
            </w:pPr>
          </w:p>
        </w:tc>
        <w:tc>
          <w:tcPr>
            <w:tcW w:w="317" w:type="pct"/>
            <w:noWrap w:val="0"/>
            <w:vAlign w:val="center"/>
          </w:tcPr>
          <w:p w14:paraId="7541E7E8">
            <w:pPr>
              <w:snapToGrid w:val="0"/>
              <w:spacing w:before="50" w:after="120" w:afterLines="50"/>
              <w:jc w:val="center"/>
              <w:rPr>
                <w:rFonts w:hint="eastAsia" w:ascii="宋体" w:hAnsi="宋体"/>
                <w:sz w:val="24"/>
                <w:szCs w:val="20"/>
              </w:rPr>
            </w:pPr>
          </w:p>
        </w:tc>
        <w:tc>
          <w:tcPr>
            <w:tcW w:w="498" w:type="pct"/>
            <w:noWrap w:val="0"/>
            <w:vAlign w:val="center"/>
          </w:tcPr>
          <w:p w14:paraId="40276D11">
            <w:pPr>
              <w:snapToGrid w:val="0"/>
              <w:spacing w:before="50" w:after="120" w:afterLines="50"/>
              <w:jc w:val="center"/>
              <w:rPr>
                <w:rFonts w:hint="eastAsia" w:ascii="宋体" w:hAnsi="宋体"/>
                <w:sz w:val="24"/>
                <w:szCs w:val="20"/>
              </w:rPr>
            </w:pPr>
          </w:p>
        </w:tc>
        <w:tc>
          <w:tcPr>
            <w:tcW w:w="691" w:type="pct"/>
            <w:noWrap w:val="0"/>
            <w:vAlign w:val="center"/>
          </w:tcPr>
          <w:p w14:paraId="2148F0B8">
            <w:pPr>
              <w:snapToGrid w:val="0"/>
              <w:spacing w:before="50" w:after="120" w:afterLines="50"/>
              <w:jc w:val="center"/>
              <w:rPr>
                <w:rFonts w:hint="eastAsia" w:ascii="宋体" w:hAnsi="宋体"/>
                <w:sz w:val="24"/>
                <w:szCs w:val="20"/>
              </w:rPr>
            </w:pPr>
          </w:p>
        </w:tc>
        <w:tc>
          <w:tcPr>
            <w:tcW w:w="951" w:type="pct"/>
            <w:noWrap w:val="0"/>
            <w:vAlign w:val="center"/>
          </w:tcPr>
          <w:p w14:paraId="2B1F6894">
            <w:pPr>
              <w:snapToGrid w:val="0"/>
              <w:spacing w:before="50" w:after="120" w:afterLines="50"/>
              <w:jc w:val="center"/>
              <w:rPr>
                <w:rFonts w:hint="eastAsia" w:ascii="宋体" w:hAnsi="宋体"/>
                <w:sz w:val="24"/>
                <w:szCs w:val="20"/>
              </w:rPr>
            </w:pPr>
          </w:p>
        </w:tc>
        <w:tc>
          <w:tcPr>
            <w:tcW w:w="714" w:type="pct"/>
            <w:noWrap w:val="0"/>
            <w:vAlign w:val="center"/>
          </w:tcPr>
          <w:p w14:paraId="6981F211">
            <w:pPr>
              <w:snapToGrid w:val="0"/>
              <w:spacing w:before="50" w:after="120" w:afterLines="50"/>
              <w:jc w:val="center"/>
              <w:rPr>
                <w:rFonts w:hint="eastAsia" w:ascii="宋体" w:hAnsi="宋体"/>
                <w:sz w:val="24"/>
                <w:szCs w:val="20"/>
              </w:rPr>
            </w:pPr>
          </w:p>
        </w:tc>
        <w:tc>
          <w:tcPr>
            <w:tcW w:w="737" w:type="pct"/>
            <w:noWrap w:val="0"/>
            <w:vAlign w:val="center"/>
          </w:tcPr>
          <w:p w14:paraId="49AA6FCD">
            <w:pPr>
              <w:snapToGrid w:val="0"/>
              <w:spacing w:before="50" w:after="120" w:afterLines="50"/>
              <w:jc w:val="center"/>
              <w:rPr>
                <w:rFonts w:hint="eastAsia" w:ascii="宋体" w:hAnsi="宋体"/>
                <w:sz w:val="24"/>
                <w:szCs w:val="20"/>
              </w:rPr>
            </w:pPr>
          </w:p>
        </w:tc>
      </w:tr>
      <w:tr w14:paraId="62800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8" w:type="pct"/>
            <w:noWrap w:val="0"/>
            <w:vAlign w:val="center"/>
          </w:tcPr>
          <w:p w14:paraId="61BFC3EC">
            <w:pPr>
              <w:snapToGrid w:val="0"/>
              <w:spacing w:before="50" w:after="120" w:afterLines="50"/>
              <w:jc w:val="center"/>
              <w:rPr>
                <w:rFonts w:hint="eastAsia" w:ascii="宋体" w:hAnsi="宋体"/>
                <w:sz w:val="24"/>
                <w:szCs w:val="20"/>
              </w:rPr>
            </w:pPr>
          </w:p>
        </w:tc>
        <w:tc>
          <w:tcPr>
            <w:tcW w:w="281" w:type="pct"/>
            <w:noWrap w:val="0"/>
            <w:vAlign w:val="center"/>
          </w:tcPr>
          <w:p w14:paraId="757D2417">
            <w:pPr>
              <w:snapToGrid w:val="0"/>
              <w:spacing w:before="50" w:after="120" w:afterLines="50"/>
              <w:jc w:val="center"/>
              <w:rPr>
                <w:rFonts w:hint="eastAsia" w:ascii="宋体" w:hAnsi="宋体"/>
                <w:sz w:val="24"/>
                <w:szCs w:val="20"/>
              </w:rPr>
            </w:pPr>
          </w:p>
        </w:tc>
        <w:tc>
          <w:tcPr>
            <w:tcW w:w="311" w:type="pct"/>
            <w:noWrap w:val="0"/>
            <w:vAlign w:val="center"/>
          </w:tcPr>
          <w:p w14:paraId="067809EB">
            <w:pPr>
              <w:snapToGrid w:val="0"/>
              <w:spacing w:before="50" w:after="120" w:afterLines="50"/>
              <w:jc w:val="center"/>
              <w:rPr>
                <w:rFonts w:hint="eastAsia" w:ascii="宋体" w:hAnsi="宋体"/>
                <w:sz w:val="24"/>
                <w:szCs w:val="20"/>
              </w:rPr>
            </w:pPr>
          </w:p>
        </w:tc>
        <w:tc>
          <w:tcPr>
            <w:tcW w:w="317" w:type="pct"/>
            <w:noWrap w:val="0"/>
            <w:vAlign w:val="center"/>
          </w:tcPr>
          <w:p w14:paraId="2B4AA855">
            <w:pPr>
              <w:snapToGrid w:val="0"/>
              <w:spacing w:before="50" w:after="120" w:afterLines="50"/>
              <w:jc w:val="center"/>
              <w:rPr>
                <w:rFonts w:hint="eastAsia" w:ascii="宋体" w:hAnsi="宋体"/>
                <w:sz w:val="24"/>
                <w:szCs w:val="20"/>
              </w:rPr>
            </w:pPr>
          </w:p>
        </w:tc>
        <w:tc>
          <w:tcPr>
            <w:tcW w:w="498" w:type="pct"/>
            <w:noWrap w:val="0"/>
            <w:vAlign w:val="center"/>
          </w:tcPr>
          <w:p w14:paraId="6E043329">
            <w:pPr>
              <w:snapToGrid w:val="0"/>
              <w:spacing w:before="50" w:after="120" w:afterLines="50"/>
              <w:jc w:val="center"/>
              <w:rPr>
                <w:rFonts w:hint="eastAsia" w:ascii="宋体" w:hAnsi="宋体"/>
                <w:sz w:val="24"/>
                <w:szCs w:val="20"/>
              </w:rPr>
            </w:pPr>
          </w:p>
        </w:tc>
        <w:tc>
          <w:tcPr>
            <w:tcW w:w="691" w:type="pct"/>
            <w:noWrap w:val="0"/>
            <w:vAlign w:val="center"/>
          </w:tcPr>
          <w:p w14:paraId="063E7CF6">
            <w:pPr>
              <w:snapToGrid w:val="0"/>
              <w:spacing w:before="50" w:after="120" w:afterLines="50"/>
              <w:jc w:val="center"/>
              <w:rPr>
                <w:rFonts w:hint="eastAsia" w:ascii="宋体" w:hAnsi="宋体"/>
                <w:sz w:val="24"/>
                <w:szCs w:val="20"/>
              </w:rPr>
            </w:pPr>
          </w:p>
        </w:tc>
        <w:tc>
          <w:tcPr>
            <w:tcW w:w="951" w:type="pct"/>
            <w:noWrap w:val="0"/>
            <w:vAlign w:val="center"/>
          </w:tcPr>
          <w:p w14:paraId="12A3749E">
            <w:pPr>
              <w:snapToGrid w:val="0"/>
              <w:spacing w:before="50" w:after="120" w:afterLines="50"/>
              <w:jc w:val="center"/>
              <w:rPr>
                <w:rFonts w:hint="eastAsia" w:ascii="宋体" w:hAnsi="宋体"/>
                <w:sz w:val="24"/>
                <w:szCs w:val="20"/>
              </w:rPr>
            </w:pPr>
          </w:p>
        </w:tc>
        <w:tc>
          <w:tcPr>
            <w:tcW w:w="714" w:type="pct"/>
            <w:noWrap w:val="0"/>
            <w:vAlign w:val="center"/>
          </w:tcPr>
          <w:p w14:paraId="40E09AAB">
            <w:pPr>
              <w:snapToGrid w:val="0"/>
              <w:spacing w:before="50" w:after="120" w:afterLines="50"/>
              <w:jc w:val="center"/>
              <w:rPr>
                <w:rFonts w:hint="eastAsia" w:ascii="宋体" w:hAnsi="宋体"/>
                <w:sz w:val="24"/>
                <w:szCs w:val="20"/>
              </w:rPr>
            </w:pPr>
          </w:p>
        </w:tc>
        <w:tc>
          <w:tcPr>
            <w:tcW w:w="737" w:type="pct"/>
            <w:noWrap w:val="0"/>
            <w:vAlign w:val="center"/>
          </w:tcPr>
          <w:p w14:paraId="642A02CC">
            <w:pPr>
              <w:snapToGrid w:val="0"/>
              <w:spacing w:before="50" w:after="120" w:afterLines="50"/>
              <w:jc w:val="center"/>
              <w:rPr>
                <w:rFonts w:hint="eastAsia" w:ascii="宋体" w:hAnsi="宋体"/>
                <w:sz w:val="24"/>
                <w:szCs w:val="20"/>
              </w:rPr>
            </w:pPr>
          </w:p>
        </w:tc>
      </w:tr>
      <w:tr w14:paraId="5A1F4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8" w:type="pct"/>
            <w:noWrap w:val="0"/>
            <w:vAlign w:val="center"/>
          </w:tcPr>
          <w:p w14:paraId="475CF79E">
            <w:pPr>
              <w:snapToGrid w:val="0"/>
              <w:spacing w:before="50" w:after="120" w:afterLines="50"/>
              <w:jc w:val="center"/>
              <w:rPr>
                <w:rFonts w:hint="eastAsia" w:ascii="宋体" w:hAnsi="宋体"/>
                <w:sz w:val="24"/>
                <w:szCs w:val="20"/>
              </w:rPr>
            </w:pPr>
            <w:r>
              <w:rPr>
                <w:rFonts w:ascii="宋体" w:hAnsi="宋体"/>
                <w:sz w:val="24"/>
                <w:szCs w:val="20"/>
              </w:rPr>
              <w:t>……</w:t>
            </w:r>
          </w:p>
        </w:tc>
        <w:tc>
          <w:tcPr>
            <w:tcW w:w="281" w:type="pct"/>
            <w:noWrap w:val="0"/>
            <w:vAlign w:val="center"/>
          </w:tcPr>
          <w:p w14:paraId="457E5805">
            <w:pPr>
              <w:snapToGrid w:val="0"/>
              <w:spacing w:before="50" w:after="120" w:afterLines="50"/>
              <w:jc w:val="center"/>
              <w:rPr>
                <w:rFonts w:hint="eastAsia" w:ascii="宋体" w:hAnsi="宋体"/>
                <w:sz w:val="24"/>
                <w:szCs w:val="20"/>
              </w:rPr>
            </w:pPr>
            <w:r>
              <w:rPr>
                <w:rFonts w:ascii="宋体" w:hAnsi="宋体"/>
                <w:sz w:val="24"/>
                <w:szCs w:val="20"/>
              </w:rPr>
              <w:t>……</w:t>
            </w:r>
          </w:p>
        </w:tc>
        <w:tc>
          <w:tcPr>
            <w:tcW w:w="311" w:type="pct"/>
            <w:noWrap w:val="0"/>
            <w:vAlign w:val="center"/>
          </w:tcPr>
          <w:p w14:paraId="320C5ED2">
            <w:pPr>
              <w:snapToGrid w:val="0"/>
              <w:spacing w:before="50" w:after="120" w:afterLines="50"/>
              <w:jc w:val="center"/>
              <w:rPr>
                <w:rFonts w:hint="eastAsia" w:ascii="宋体" w:hAnsi="宋体"/>
                <w:sz w:val="24"/>
                <w:szCs w:val="20"/>
              </w:rPr>
            </w:pPr>
            <w:r>
              <w:rPr>
                <w:rFonts w:ascii="宋体" w:hAnsi="宋体"/>
                <w:sz w:val="24"/>
                <w:szCs w:val="20"/>
              </w:rPr>
              <w:t>……</w:t>
            </w:r>
          </w:p>
        </w:tc>
        <w:tc>
          <w:tcPr>
            <w:tcW w:w="317" w:type="pct"/>
            <w:noWrap w:val="0"/>
            <w:vAlign w:val="center"/>
          </w:tcPr>
          <w:p w14:paraId="471AAF6D">
            <w:pPr>
              <w:snapToGrid w:val="0"/>
              <w:spacing w:before="50" w:after="120" w:afterLines="50"/>
              <w:jc w:val="center"/>
              <w:rPr>
                <w:rFonts w:hint="eastAsia" w:ascii="宋体" w:hAnsi="宋体"/>
                <w:sz w:val="24"/>
                <w:szCs w:val="20"/>
              </w:rPr>
            </w:pPr>
            <w:r>
              <w:rPr>
                <w:rFonts w:ascii="宋体" w:hAnsi="宋体"/>
                <w:sz w:val="24"/>
                <w:szCs w:val="20"/>
              </w:rPr>
              <w:t>……</w:t>
            </w:r>
          </w:p>
        </w:tc>
        <w:tc>
          <w:tcPr>
            <w:tcW w:w="498" w:type="pct"/>
            <w:noWrap w:val="0"/>
            <w:vAlign w:val="center"/>
          </w:tcPr>
          <w:p w14:paraId="42776026">
            <w:pPr>
              <w:snapToGrid w:val="0"/>
              <w:spacing w:before="50" w:after="120" w:afterLines="50"/>
              <w:jc w:val="center"/>
              <w:rPr>
                <w:rFonts w:hint="eastAsia" w:ascii="宋体" w:hAnsi="宋体"/>
                <w:sz w:val="24"/>
                <w:szCs w:val="20"/>
              </w:rPr>
            </w:pPr>
            <w:r>
              <w:rPr>
                <w:rFonts w:ascii="宋体" w:hAnsi="宋体"/>
                <w:sz w:val="24"/>
                <w:szCs w:val="20"/>
              </w:rPr>
              <w:t>……</w:t>
            </w:r>
          </w:p>
        </w:tc>
        <w:tc>
          <w:tcPr>
            <w:tcW w:w="691" w:type="pct"/>
            <w:noWrap w:val="0"/>
            <w:vAlign w:val="center"/>
          </w:tcPr>
          <w:p w14:paraId="50D08F2A">
            <w:pPr>
              <w:snapToGrid w:val="0"/>
              <w:spacing w:before="50" w:after="120" w:afterLines="50"/>
              <w:jc w:val="center"/>
              <w:rPr>
                <w:rFonts w:hint="eastAsia" w:ascii="宋体" w:hAnsi="宋体"/>
                <w:sz w:val="24"/>
                <w:szCs w:val="20"/>
              </w:rPr>
            </w:pPr>
            <w:r>
              <w:rPr>
                <w:rFonts w:ascii="宋体" w:hAnsi="宋体"/>
                <w:sz w:val="24"/>
                <w:szCs w:val="20"/>
              </w:rPr>
              <w:t>……</w:t>
            </w:r>
          </w:p>
        </w:tc>
        <w:tc>
          <w:tcPr>
            <w:tcW w:w="951" w:type="pct"/>
            <w:noWrap w:val="0"/>
            <w:vAlign w:val="center"/>
          </w:tcPr>
          <w:p w14:paraId="58010381">
            <w:pPr>
              <w:snapToGrid w:val="0"/>
              <w:spacing w:before="50" w:after="120" w:afterLines="50"/>
              <w:jc w:val="center"/>
              <w:rPr>
                <w:rFonts w:hint="eastAsia" w:ascii="宋体" w:hAnsi="宋体"/>
                <w:sz w:val="24"/>
                <w:szCs w:val="20"/>
              </w:rPr>
            </w:pPr>
            <w:r>
              <w:rPr>
                <w:rFonts w:ascii="宋体" w:hAnsi="宋体"/>
                <w:sz w:val="24"/>
                <w:szCs w:val="20"/>
              </w:rPr>
              <w:t>……</w:t>
            </w:r>
          </w:p>
        </w:tc>
        <w:tc>
          <w:tcPr>
            <w:tcW w:w="714" w:type="pct"/>
            <w:noWrap w:val="0"/>
            <w:vAlign w:val="center"/>
          </w:tcPr>
          <w:p w14:paraId="211C6113">
            <w:pPr>
              <w:snapToGrid w:val="0"/>
              <w:spacing w:before="50" w:after="120" w:afterLines="50"/>
              <w:jc w:val="center"/>
              <w:rPr>
                <w:rFonts w:hint="eastAsia" w:ascii="宋体" w:hAnsi="宋体"/>
                <w:sz w:val="24"/>
                <w:szCs w:val="20"/>
              </w:rPr>
            </w:pPr>
            <w:r>
              <w:rPr>
                <w:rFonts w:ascii="宋体" w:hAnsi="宋体"/>
                <w:sz w:val="24"/>
                <w:szCs w:val="20"/>
              </w:rPr>
              <w:t>……</w:t>
            </w:r>
          </w:p>
        </w:tc>
        <w:tc>
          <w:tcPr>
            <w:tcW w:w="737" w:type="pct"/>
            <w:noWrap w:val="0"/>
            <w:vAlign w:val="center"/>
          </w:tcPr>
          <w:p w14:paraId="6115518E">
            <w:pPr>
              <w:snapToGrid w:val="0"/>
              <w:spacing w:before="50" w:after="120" w:afterLines="50"/>
              <w:jc w:val="center"/>
              <w:rPr>
                <w:rFonts w:hint="eastAsia" w:ascii="宋体" w:hAnsi="宋体"/>
                <w:sz w:val="24"/>
                <w:szCs w:val="20"/>
              </w:rPr>
            </w:pPr>
            <w:r>
              <w:rPr>
                <w:rFonts w:ascii="宋体" w:hAnsi="宋体"/>
                <w:sz w:val="24"/>
                <w:szCs w:val="20"/>
              </w:rPr>
              <w:t>……</w:t>
            </w:r>
          </w:p>
        </w:tc>
      </w:tr>
    </w:tbl>
    <w:p w14:paraId="7DEC7200">
      <w:pPr>
        <w:spacing w:line="360" w:lineRule="auto"/>
        <w:contextualSpacing/>
        <w:jc w:val="left"/>
        <w:rPr>
          <w:rFonts w:ascii="宋体" w:hAnsi="宋体"/>
          <w:sz w:val="24"/>
          <w:szCs w:val="20"/>
        </w:rPr>
      </w:pPr>
      <w:r>
        <w:rPr>
          <w:rFonts w:hint="eastAsia" w:ascii="宋体" w:hAnsi="宋体"/>
          <w:sz w:val="24"/>
          <w:szCs w:val="20"/>
        </w:rPr>
        <w:t>注：</w:t>
      </w:r>
    </w:p>
    <w:p w14:paraId="1411D00E">
      <w:pPr>
        <w:spacing w:line="360" w:lineRule="auto"/>
        <w:contextualSpacing/>
        <w:jc w:val="left"/>
        <w:rPr>
          <w:rFonts w:ascii="宋体" w:hAnsi="宋体"/>
          <w:sz w:val="24"/>
          <w:szCs w:val="20"/>
        </w:rPr>
      </w:pPr>
      <w:r>
        <w:rPr>
          <w:rFonts w:hint="eastAsia" w:ascii="宋体" w:hAnsi="宋体"/>
          <w:sz w:val="24"/>
          <w:szCs w:val="20"/>
        </w:rPr>
        <w:t>1</w:t>
      </w:r>
      <w:r>
        <w:rPr>
          <w:rFonts w:ascii="宋体" w:hAnsi="宋体"/>
          <w:sz w:val="24"/>
          <w:szCs w:val="20"/>
        </w:rPr>
        <w:t>.</w:t>
      </w:r>
      <w:r>
        <w:rPr>
          <w:rFonts w:hint="eastAsia" w:ascii="宋体" w:hAnsi="宋体"/>
          <w:sz w:val="24"/>
          <w:szCs w:val="20"/>
        </w:rPr>
        <w:t>在填写时，如本表格不适合投标单位的实际情况，可自行制表填写。</w:t>
      </w:r>
    </w:p>
    <w:p w14:paraId="08D20524">
      <w:pPr>
        <w:spacing w:line="360" w:lineRule="auto"/>
        <w:contextualSpacing/>
        <w:jc w:val="left"/>
        <w:rPr>
          <w:rFonts w:hint="eastAsia" w:ascii="宋体" w:hAnsi="宋体"/>
          <w:sz w:val="24"/>
          <w:szCs w:val="20"/>
        </w:rPr>
      </w:pPr>
      <w:r>
        <w:rPr>
          <w:rFonts w:ascii="宋体" w:hAnsi="宋体"/>
          <w:sz w:val="24"/>
          <w:szCs w:val="20"/>
        </w:rPr>
        <w:t>2.</w:t>
      </w:r>
      <w:r>
        <w:rPr>
          <w:rFonts w:hint="eastAsia" w:ascii="宋体" w:hAnsi="宋体"/>
          <w:sz w:val="24"/>
          <w:szCs w:val="20"/>
        </w:rPr>
        <w:t>采购需求或评标办法如有要求，投标人根据要求提供人员证明材料。</w:t>
      </w:r>
    </w:p>
    <w:p w14:paraId="348967C7">
      <w:pPr>
        <w:spacing w:line="360" w:lineRule="auto"/>
        <w:contextualSpacing/>
        <w:jc w:val="left"/>
        <w:rPr>
          <w:rFonts w:hint="eastAsia" w:ascii="宋体" w:hAnsi="宋体"/>
          <w:sz w:val="24"/>
          <w:szCs w:val="20"/>
        </w:rPr>
      </w:pPr>
    </w:p>
    <w:p w14:paraId="4A905313">
      <w:pPr>
        <w:spacing w:line="360" w:lineRule="auto"/>
        <w:contextualSpacing/>
        <w:jc w:val="left"/>
        <w:rPr>
          <w:rFonts w:hint="eastAsia" w:ascii="宋体" w:hAnsi="宋体"/>
          <w:sz w:val="24"/>
          <w:szCs w:val="20"/>
        </w:rPr>
      </w:pPr>
    </w:p>
    <w:p w14:paraId="09AA9283">
      <w:pPr>
        <w:spacing w:line="360" w:lineRule="auto"/>
        <w:contextualSpacing/>
        <w:rPr>
          <w:rFonts w:hint="eastAsia" w:ascii="宋体" w:hAnsi="宋体"/>
          <w:spacing w:val="20"/>
          <w:sz w:val="24"/>
          <w:szCs w:val="20"/>
          <w:u w:val="single"/>
        </w:rPr>
      </w:pPr>
      <w:r>
        <w:rPr>
          <w:rFonts w:hint="eastAsia" w:ascii="宋体" w:hAnsi="宋体"/>
          <w:sz w:val="24"/>
        </w:rPr>
        <w:t>法定代表人或者委托代理人</w:t>
      </w:r>
      <w:r>
        <w:rPr>
          <w:rFonts w:hint="eastAsia" w:ascii="宋体" w:hAnsi="宋体"/>
          <w:spacing w:val="20"/>
          <w:sz w:val="24"/>
        </w:rPr>
        <w:t>（签字或者电子签名）：</w:t>
      </w:r>
      <w:r>
        <w:rPr>
          <w:rFonts w:hint="eastAsia" w:ascii="宋体" w:hAnsi="宋体"/>
          <w:spacing w:val="20"/>
          <w:sz w:val="24"/>
          <w:u w:val="single"/>
        </w:rPr>
        <w:t xml:space="preserve">        </w:t>
      </w:r>
    </w:p>
    <w:p w14:paraId="3689FD96">
      <w:pPr>
        <w:spacing w:line="360" w:lineRule="auto"/>
        <w:contextualSpacing/>
        <w:jc w:val="left"/>
        <w:rPr>
          <w:rFonts w:hint="eastAsia" w:ascii="宋体" w:hAnsi="宋体"/>
          <w:spacing w:val="20"/>
          <w:sz w:val="24"/>
        </w:rPr>
      </w:pPr>
      <w:r>
        <w:rPr>
          <w:rFonts w:hint="eastAsia" w:ascii="宋体" w:hAnsi="宋体"/>
          <w:spacing w:val="20"/>
          <w:sz w:val="24"/>
        </w:rPr>
        <w:t>投标人名称（电子签章）：</w:t>
      </w:r>
      <w:r>
        <w:rPr>
          <w:rFonts w:hint="eastAsia" w:ascii="宋体" w:hAnsi="宋体"/>
          <w:spacing w:val="20"/>
          <w:sz w:val="24"/>
          <w:u w:val="single"/>
        </w:rPr>
        <w:t xml:space="preserve">            </w:t>
      </w:r>
      <w:r>
        <w:rPr>
          <w:rFonts w:hint="eastAsia" w:ascii="宋体" w:hAnsi="宋体"/>
          <w:spacing w:val="20"/>
          <w:sz w:val="24"/>
        </w:rPr>
        <w:t xml:space="preserve">              </w:t>
      </w:r>
    </w:p>
    <w:p w14:paraId="67A3A7E4">
      <w:pPr>
        <w:spacing w:line="360" w:lineRule="auto"/>
        <w:contextualSpacing/>
        <w:jc w:val="left"/>
        <w:rPr>
          <w:rFonts w:hint="eastAsia" w:ascii="宋体" w:hAnsi="宋体"/>
          <w:sz w:val="24"/>
          <w:szCs w:val="20"/>
        </w:rPr>
      </w:pPr>
      <w:r>
        <w:rPr>
          <w:rFonts w:hint="eastAsia" w:ascii="宋体" w:hAnsi="宋体"/>
          <w:spacing w:val="20"/>
          <w:sz w:val="24"/>
        </w:rPr>
        <w:t>日 期：</w:t>
      </w:r>
      <w:r>
        <w:rPr>
          <w:rFonts w:hint="eastAsia" w:ascii="宋体" w:hAnsi="宋体"/>
          <w:spacing w:val="20"/>
          <w:sz w:val="24"/>
          <w:u w:val="single"/>
        </w:rPr>
        <w:t xml:space="preserve">         </w:t>
      </w:r>
    </w:p>
    <w:p w14:paraId="2EAF6989">
      <w:pPr>
        <w:snapToGrid w:val="0"/>
        <w:spacing w:before="50" w:after="120" w:afterLines="50"/>
        <w:jc w:val="left"/>
        <w:rPr>
          <w:rFonts w:hint="eastAsia" w:ascii="宋体" w:hAnsi="宋体"/>
          <w:sz w:val="24"/>
          <w:szCs w:val="20"/>
        </w:rPr>
      </w:pPr>
    </w:p>
    <w:p w14:paraId="2987F370">
      <w:pPr>
        <w:snapToGrid w:val="0"/>
        <w:spacing w:before="120" w:beforeLines="50" w:after="50"/>
        <w:ind w:left="142"/>
        <w:jc w:val="left"/>
        <w:rPr>
          <w:rFonts w:hint="eastAsia" w:ascii="宋体" w:hAnsi="宋体"/>
          <w:b/>
          <w:sz w:val="24"/>
        </w:rPr>
      </w:pPr>
      <w:r>
        <w:rPr>
          <w:rFonts w:ascii="宋体" w:hAnsi="宋体"/>
          <w:b/>
          <w:sz w:val="24"/>
        </w:rPr>
        <w:br w:type="page"/>
      </w:r>
      <w:r>
        <w:rPr>
          <w:rFonts w:ascii="宋体" w:hAnsi="宋体"/>
          <w:b/>
          <w:sz w:val="24"/>
        </w:rPr>
        <w:t>12</w:t>
      </w:r>
      <w:r>
        <w:rPr>
          <w:rFonts w:hint="eastAsia" w:ascii="宋体" w:hAnsi="宋体"/>
          <w:b/>
          <w:sz w:val="24"/>
        </w:rPr>
        <w:t>. 选配件、专用耗材、售后服务优惠表格式</w:t>
      </w:r>
    </w:p>
    <w:p w14:paraId="0C4DF56B">
      <w:pPr>
        <w:snapToGrid w:val="0"/>
        <w:spacing w:before="120" w:beforeLines="50" w:after="50"/>
        <w:ind w:left="142"/>
        <w:jc w:val="left"/>
        <w:rPr>
          <w:rFonts w:hint="eastAsia" w:ascii="宋体" w:hAnsi="宋体"/>
          <w:b/>
          <w:sz w:val="24"/>
        </w:rPr>
      </w:pPr>
    </w:p>
    <w:p w14:paraId="18C3B6F7">
      <w:pPr>
        <w:snapToGrid w:val="0"/>
        <w:spacing w:before="120" w:beforeLines="50" w:after="50"/>
        <w:ind w:left="142"/>
        <w:jc w:val="center"/>
        <w:rPr>
          <w:rFonts w:hint="eastAsia" w:ascii="宋体" w:hAnsi="宋体"/>
          <w:b/>
          <w:sz w:val="32"/>
          <w:szCs w:val="32"/>
        </w:rPr>
      </w:pPr>
      <w:r>
        <w:rPr>
          <w:rFonts w:hint="eastAsia" w:ascii="宋体" w:hAnsi="宋体"/>
          <w:b/>
          <w:sz w:val="32"/>
          <w:szCs w:val="32"/>
        </w:rPr>
        <w:t>选配件、专用耗材、售后服务优惠表</w:t>
      </w:r>
    </w:p>
    <w:p w14:paraId="1DF46E57">
      <w:pPr>
        <w:pStyle w:val="25"/>
        <w:rPr>
          <w:sz w:val="24"/>
          <w:szCs w:val="24"/>
        </w:rPr>
      </w:pPr>
    </w:p>
    <w:p w14:paraId="5FEBE28D">
      <w:pPr>
        <w:pStyle w:val="25"/>
        <w:rPr>
          <w:rFonts w:hint="eastAsia"/>
          <w:sz w:val="24"/>
          <w:szCs w:val="24"/>
        </w:rPr>
      </w:pPr>
      <w:r>
        <w:rPr>
          <w:rFonts w:hint="eastAsia"/>
          <w:sz w:val="24"/>
          <w:szCs w:val="24"/>
        </w:rPr>
        <w:t>所投分标：</w:t>
      </w:r>
      <w:r>
        <w:rPr>
          <w:rFonts w:hint="eastAsia"/>
          <w:sz w:val="24"/>
          <w:szCs w:val="24"/>
          <w:u w:val="single"/>
        </w:rPr>
        <w:t xml:space="preserve">     </w:t>
      </w:r>
      <w:r>
        <w:rPr>
          <w:rFonts w:hint="eastAsia"/>
          <w:sz w:val="24"/>
          <w:szCs w:val="24"/>
        </w:rPr>
        <w:t>分标</w:t>
      </w:r>
    </w:p>
    <w:tbl>
      <w:tblPr>
        <w:tblStyle w:val="50"/>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735"/>
        <w:gridCol w:w="2700"/>
        <w:gridCol w:w="1440"/>
        <w:gridCol w:w="1440"/>
        <w:gridCol w:w="2340"/>
      </w:tblGrid>
      <w:tr w14:paraId="559C706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01" w:hRule="atLeast"/>
        </w:trPr>
        <w:tc>
          <w:tcPr>
            <w:tcW w:w="735"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6CA4B909">
            <w:pPr>
              <w:pStyle w:val="25"/>
              <w:snapToGrid w:val="0"/>
              <w:spacing w:before="295" w:after="295"/>
              <w:jc w:val="center"/>
              <w:rPr>
                <w:rFonts w:hint="eastAsia" w:hAnsi="宋体" w:cs="Courier New"/>
                <w:kern w:val="2"/>
                <w:sz w:val="24"/>
                <w:szCs w:val="24"/>
                <w:lang w:val="en-US" w:eastAsia="zh-CN"/>
              </w:rPr>
            </w:pPr>
            <w:r>
              <w:rPr>
                <w:rFonts w:hint="eastAsia" w:hAnsi="宋体" w:cs="Courier New"/>
                <w:kern w:val="2"/>
                <w:sz w:val="24"/>
                <w:szCs w:val="24"/>
                <w:lang w:val="en-US" w:eastAsia="zh-CN"/>
              </w:rPr>
              <w:t>序号</w:t>
            </w:r>
          </w:p>
        </w:tc>
        <w:tc>
          <w:tcPr>
            <w:tcW w:w="2700" w:type="dxa"/>
            <w:tcBorders>
              <w:top w:val="single" w:color="auto" w:sz="4" w:space="0"/>
              <w:left w:val="single" w:color="auto" w:sz="4" w:space="0"/>
              <w:bottom w:val="single" w:color="auto" w:sz="2" w:space="0"/>
              <w:right w:val="single" w:color="auto" w:sz="4" w:space="0"/>
            </w:tcBorders>
            <w:noWrap w:val="0"/>
            <w:vAlign w:val="center"/>
          </w:tcPr>
          <w:p w14:paraId="4EDBDF9D">
            <w:pPr>
              <w:pStyle w:val="25"/>
              <w:snapToGrid w:val="0"/>
              <w:spacing w:before="295" w:after="295"/>
              <w:jc w:val="center"/>
              <w:rPr>
                <w:rFonts w:hint="eastAsia" w:hAnsi="宋体" w:cs="Courier New"/>
                <w:kern w:val="2"/>
                <w:sz w:val="24"/>
                <w:szCs w:val="24"/>
                <w:lang w:val="en-US" w:eastAsia="zh-CN"/>
              </w:rPr>
            </w:pPr>
            <w:r>
              <w:rPr>
                <w:rFonts w:hint="eastAsia" w:hAnsi="宋体" w:cs="Courier New"/>
                <w:kern w:val="2"/>
                <w:sz w:val="24"/>
                <w:szCs w:val="24"/>
                <w:lang w:val="en-US" w:eastAsia="zh-CN"/>
              </w:rPr>
              <w:t>优惠内容</w:t>
            </w:r>
          </w:p>
        </w:tc>
        <w:tc>
          <w:tcPr>
            <w:tcW w:w="1440" w:type="dxa"/>
            <w:tcBorders>
              <w:top w:val="single" w:color="auto" w:sz="4" w:space="0"/>
              <w:left w:val="single" w:color="auto" w:sz="4" w:space="0"/>
              <w:bottom w:val="single" w:color="auto" w:sz="2" w:space="0"/>
              <w:right w:val="single" w:color="auto" w:sz="4" w:space="0"/>
            </w:tcBorders>
            <w:noWrap w:val="0"/>
            <w:vAlign w:val="center"/>
          </w:tcPr>
          <w:p w14:paraId="08FB1798">
            <w:pPr>
              <w:pStyle w:val="25"/>
              <w:snapToGrid w:val="0"/>
              <w:spacing w:before="295" w:after="295"/>
              <w:jc w:val="center"/>
              <w:rPr>
                <w:rFonts w:hint="eastAsia" w:hAnsi="宋体" w:cs="Courier New"/>
                <w:kern w:val="2"/>
                <w:sz w:val="24"/>
                <w:szCs w:val="24"/>
                <w:lang w:val="en-US" w:eastAsia="zh-CN"/>
              </w:rPr>
            </w:pPr>
            <w:r>
              <w:rPr>
                <w:rFonts w:hint="eastAsia" w:hAnsi="宋体" w:cs="Courier New"/>
                <w:kern w:val="2"/>
                <w:sz w:val="24"/>
                <w:szCs w:val="24"/>
                <w:lang w:val="en-US" w:eastAsia="zh-CN"/>
              </w:rPr>
              <w:t>适用机型</w:t>
            </w:r>
          </w:p>
        </w:tc>
        <w:tc>
          <w:tcPr>
            <w:tcW w:w="1440" w:type="dxa"/>
            <w:tcBorders>
              <w:top w:val="single" w:color="auto" w:sz="4" w:space="0"/>
              <w:left w:val="single" w:color="auto" w:sz="4" w:space="0"/>
              <w:bottom w:val="single" w:color="auto" w:sz="2" w:space="0"/>
              <w:right w:val="single" w:color="auto" w:sz="4" w:space="0"/>
            </w:tcBorders>
            <w:noWrap w:val="0"/>
            <w:tcMar>
              <w:top w:w="15" w:type="dxa"/>
              <w:left w:w="15" w:type="dxa"/>
              <w:bottom w:w="0" w:type="dxa"/>
              <w:right w:w="15" w:type="dxa"/>
            </w:tcMar>
            <w:vAlign w:val="center"/>
          </w:tcPr>
          <w:p w14:paraId="4386A642">
            <w:pPr>
              <w:pStyle w:val="25"/>
              <w:snapToGrid w:val="0"/>
              <w:spacing w:before="295" w:after="295"/>
              <w:jc w:val="center"/>
              <w:rPr>
                <w:rFonts w:hint="eastAsia" w:hAnsi="宋体" w:cs="Courier New"/>
                <w:kern w:val="2"/>
                <w:sz w:val="24"/>
                <w:szCs w:val="24"/>
                <w:lang w:val="en-US" w:eastAsia="zh-CN"/>
              </w:rPr>
            </w:pPr>
            <w:r>
              <w:rPr>
                <w:rFonts w:hint="eastAsia" w:hAnsi="宋体" w:cs="Courier New"/>
                <w:kern w:val="2"/>
                <w:sz w:val="24"/>
                <w:szCs w:val="24"/>
                <w:lang w:val="en-US" w:eastAsia="zh-CN"/>
              </w:rPr>
              <w:t>单价</w:t>
            </w:r>
          </w:p>
        </w:tc>
        <w:tc>
          <w:tcPr>
            <w:tcW w:w="2340" w:type="dxa"/>
            <w:tcBorders>
              <w:top w:val="single" w:color="auto" w:sz="4" w:space="0"/>
              <w:left w:val="single" w:color="auto" w:sz="4" w:space="0"/>
              <w:bottom w:val="single" w:color="auto" w:sz="2" w:space="0"/>
              <w:right w:val="single" w:color="auto" w:sz="4" w:space="0"/>
            </w:tcBorders>
            <w:noWrap w:val="0"/>
            <w:vAlign w:val="center"/>
          </w:tcPr>
          <w:p w14:paraId="35462DA6">
            <w:pPr>
              <w:pStyle w:val="25"/>
              <w:snapToGrid w:val="0"/>
              <w:spacing w:before="295" w:after="295"/>
              <w:jc w:val="center"/>
              <w:rPr>
                <w:rFonts w:hint="eastAsia" w:hAnsi="宋体" w:cs="Courier New"/>
                <w:kern w:val="2"/>
                <w:sz w:val="24"/>
                <w:szCs w:val="24"/>
                <w:lang w:val="en-US" w:eastAsia="zh-CN"/>
              </w:rPr>
            </w:pPr>
            <w:r>
              <w:rPr>
                <w:rFonts w:hint="eastAsia" w:hAnsi="宋体" w:cs="Courier New"/>
                <w:kern w:val="2"/>
                <w:sz w:val="24"/>
                <w:szCs w:val="24"/>
                <w:lang w:val="en-US" w:eastAsia="zh-CN"/>
              </w:rPr>
              <w:t>比市场价优惠率</w:t>
            </w:r>
          </w:p>
        </w:tc>
      </w:tr>
      <w:tr w14:paraId="04DEAF9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84" w:hRule="atLeast"/>
        </w:trPr>
        <w:tc>
          <w:tcPr>
            <w:tcW w:w="735" w:type="dxa"/>
            <w:tcBorders>
              <w:top w:val="single" w:color="auto" w:sz="4" w:space="0"/>
              <w:left w:val="single" w:color="auto" w:sz="4" w:space="0"/>
              <w:bottom w:val="single" w:color="auto" w:sz="4" w:space="0"/>
              <w:right w:val="single" w:color="auto" w:sz="2" w:space="0"/>
            </w:tcBorders>
            <w:noWrap w:val="0"/>
            <w:tcMar>
              <w:top w:w="15" w:type="dxa"/>
              <w:left w:w="15" w:type="dxa"/>
              <w:bottom w:w="0" w:type="dxa"/>
              <w:right w:w="15" w:type="dxa"/>
            </w:tcMar>
            <w:vAlign w:val="center"/>
          </w:tcPr>
          <w:p w14:paraId="2632830E">
            <w:pPr>
              <w:pStyle w:val="25"/>
              <w:snapToGrid w:val="0"/>
              <w:spacing w:before="295" w:after="295"/>
              <w:jc w:val="center"/>
              <w:rPr>
                <w:rFonts w:hint="eastAsia" w:hAnsi="宋体"/>
                <w:kern w:val="2"/>
                <w:sz w:val="24"/>
                <w:szCs w:val="24"/>
                <w:lang w:val="en-US" w:eastAsia="zh-CN"/>
              </w:rPr>
            </w:pPr>
            <w:r>
              <w:rPr>
                <w:rFonts w:hint="eastAsia" w:hAnsi="宋体"/>
                <w:kern w:val="2"/>
                <w:sz w:val="24"/>
                <w:szCs w:val="24"/>
                <w:lang w:val="en-US" w:eastAsia="zh-CN"/>
              </w:rPr>
              <w:t>1</w:t>
            </w:r>
          </w:p>
        </w:tc>
        <w:tc>
          <w:tcPr>
            <w:tcW w:w="2700" w:type="dxa"/>
            <w:tcBorders>
              <w:top w:val="single" w:color="auto" w:sz="2" w:space="0"/>
              <w:left w:val="single" w:color="auto" w:sz="2" w:space="0"/>
              <w:bottom w:val="single" w:color="auto" w:sz="6" w:space="0"/>
              <w:right w:val="single" w:color="auto" w:sz="4" w:space="0"/>
            </w:tcBorders>
            <w:noWrap w:val="0"/>
            <w:vAlign w:val="center"/>
          </w:tcPr>
          <w:p w14:paraId="50B66FA8">
            <w:pPr>
              <w:pStyle w:val="25"/>
              <w:snapToGrid w:val="0"/>
              <w:spacing w:before="295" w:after="295"/>
              <w:jc w:val="center"/>
              <w:rPr>
                <w:rFonts w:hint="eastAsia" w:hAnsi="宋体"/>
                <w:kern w:val="2"/>
                <w:sz w:val="24"/>
                <w:szCs w:val="24"/>
                <w:lang w:val="en-US" w:eastAsia="zh-CN"/>
              </w:rPr>
            </w:pPr>
          </w:p>
        </w:tc>
        <w:tc>
          <w:tcPr>
            <w:tcW w:w="1440" w:type="dxa"/>
            <w:tcBorders>
              <w:top w:val="single" w:color="auto" w:sz="2" w:space="0"/>
              <w:left w:val="single" w:color="auto" w:sz="4" w:space="0"/>
              <w:bottom w:val="single" w:color="auto" w:sz="6" w:space="0"/>
              <w:right w:val="single" w:color="auto" w:sz="6" w:space="0"/>
            </w:tcBorders>
            <w:noWrap w:val="0"/>
            <w:vAlign w:val="center"/>
          </w:tcPr>
          <w:p w14:paraId="4DE27F52">
            <w:pPr>
              <w:pStyle w:val="25"/>
              <w:snapToGrid w:val="0"/>
              <w:spacing w:before="295" w:after="295"/>
              <w:jc w:val="center"/>
              <w:rPr>
                <w:rFonts w:hint="eastAsia" w:hAnsi="宋体"/>
                <w:kern w:val="2"/>
                <w:sz w:val="24"/>
                <w:szCs w:val="24"/>
                <w:lang w:val="en-US" w:eastAsia="zh-CN"/>
              </w:rPr>
            </w:pPr>
          </w:p>
        </w:tc>
        <w:tc>
          <w:tcPr>
            <w:tcW w:w="1440" w:type="dxa"/>
            <w:tcBorders>
              <w:top w:val="single" w:color="auto" w:sz="2" w:space="0"/>
              <w:left w:val="single" w:color="auto" w:sz="6" w:space="0"/>
              <w:bottom w:val="single" w:color="auto" w:sz="6" w:space="0"/>
              <w:right w:val="single" w:color="auto" w:sz="6" w:space="0"/>
            </w:tcBorders>
            <w:noWrap w:val="0"/>
            <w:tcMar>
              <w:top w:w="15" w:type="dxa"/>
              <w:left w:w="15" w:type="dxa"/>
              <w:bottom w:w="0" w:type="dxa"/>
              <w:right w:w="15" w:type="dxa"/>
            </w:tcMar>
            <w:vAlign w:val="center"/>
          </w:tcPr>
          <w:p w14:paraId="68028352">
            <w:pPr>
              <w:pStyle w:val="25"/>
              <w:snapToGrid w:val="0"/>
              <w:spacing w:before="295" w:after="295"/>
              <w:jc w:val="center"/>
              <w:rPr>
                <w:rFonts w:hint="eastAsia" w:hAnsi="宋体"/>
                <w:kern w:val="2"/>
                <w:sz w:val="24"/>
                <w:szCs w:val="24"/>
                <w:lang w:val="en-US" w:eastAsia="zh-CN"/>
              </w:rPr>
            </w:pPr>
          </w:p>
        </w:tc>
        <w:tc>
          <w:tcPr>
            <w:tcW w:w="2340" w:type="dxa"/>
            <w:tcBorders>
              <w:top w:val="single" w:color="auto" w:sz="2" w:space="0"/>
              <w:left w:val="single" w:color="auto" w:sz="6" w:space="0"/>
              <w:bottom w:val="single" w:color="auto" w:sz="6" w:space="0"/>
              <w:right w:val="single" w:color="auto" w:sz="2" w:space="0"/>
            </w:tcBorders>
            <w:noWrap w:val="0"/>
            <w:vAlign w:val="center"/>
          </w:tcPr>
          <w:p w14:paraId="69D90C26">
            <w:pPr>
              <w:pStyle w:val="25"/>
              <w:snapToGrid w:val="0"/>
              <w:spacing w:before="295" w:after="295"/>
              <w:jc w:val="center"/>
              <w:rPr>
                <w:rFonts w:hint="eastAsia" w:hAnsi="宋体"/>
                <w:kern w:val="2"/>
                <w:sz w:val="24"/>
                <w:szCs w:val="24"/>
                <w:lang w:val="en-US" w:eastAsia="zh-CN"/>
              </w:rPr>
            </w:pPr>
            <w:r>
              <w:rPr>
                <w:rFonts w:hint="eastAsia" w:hAnsi="宋体"/>
                <w:kern w:val="2"/>
                <w:sz w:val="24"/>
                <w:szCs w:val="24"/>
                <w:lang w:val="en-US" w:eastAsia="zh-CN"/>
              </w:rPr>
              <w:t xml:space="preserve"> </w:t>
            </w:r>
            <w:r>
              <w:rPr>
                <w:rFonts w:hint="eastAsia" w:hAnsi="宋体"/>
                <w:kern w:val="2"/>
                <w:sz w:val="24"/>
                <w:szCs w:val="24"/>
                <w:u w:val="single"/>
                <w:lang w:val="en-US" w:eastAsia="zh-CN"/>
              </w:rPr>
              <w:t xml:space="preserve">           </w:t>
            </w:r>
            <w:r>
              <w:rPr>
                <w:rFonts w:hint="eastAsia" w:hAnsi="宋体"/>
                <w:kern w:val="2"/>
                <w:sz w:val="24"/>
                <w:szCs w:val="24"/>
                <w:lang w:val="en-US" w:eastAsia="zh-CN"/>
              </w:rPr>
              <w:t>%</w:t>
            </w:r>
          </w:p>
        </w:tc>
      </w:tr>
      <w:tr w14:paraId="715DF7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84" w:hRule="atLeast"/>
        </w:trPr>
        <w:tc>
          <w:tcPr>
            <w:tcW w:w="735" w:type="dxa"/>
            <w:tcBorders>
              <w:top w:val="single" w:color="auto" w:sz="4" w:space="0"/>
              <w:left w:val="single" w:color="auto" w:sz="4" w:space="0"/>
              <w:bottom w:val="single" w:color="auto" w:sz="4" w:space="0"/>
              <w:right w:val="single" w:color="auto" w:sz="2" w:space="0"/>
            </w:tcBorders>
            <w:noWrap w:val="0"/>
            <w:tcMar>
              <w:top w:w="15" w:type="dxa"/>
              <w:left w:w="15" w:type="dxa"/>
              <w:bottom w:w="0" w:type="dxa"/>
              <w:right w:w="15" w:type="dxa"/>
            </w:tcMar>
            <w:vAlign w:val="center"/>
          </w:tcPr>
          <w:p w14:paraId="6A49FB75">
            <w:pPr>
              <w:pStyle w:val="25"/>
              <w:snapToGrid w:val="0"/>
              <w:spacing w:before="295" w:after="295"/>
              <w:jc w:val="center"/>
              <w:rPr>
                <w:rFonts w:hint="eastAsia" w:hAnsi="宋体"/>
                <w:kern w:val="2"/>
                <w:sz w:val="24"/>
                <w:szCs w:val="24"/>
                <w:lang w:val="en-US" w:eastAsia="zh-CN"/>
              </w:rPr>
            </w:pPr>
            <w:r>
              <w:rPr>
                <w:rFonts w:hint="eastAsia" w:hAnsi="宋体"/>
                <w:kern w:val="2"/>
                <w:sz w:val="24"/>
                <w:szCs w:val="24"/>
                <w:lang w:val="en-US" w:eastAsia="zh-CN"/>
              </w:rPr>
              <w:t>2</w:t>
            </w:r>
          </w:p>
        </w:tc>
        <w:tc>
          <w:tcPr>
            <w:tcW w:w="2700" w:type="dxa"/>
            <w:tcBorders>
              <w:top w:val="single" w:color="auto" w:sz="6" w:space="0"/>
              <w:left w:val="single" w:color="auto" w:sz="2" w:space="0"/>
              <w:bottom w:val="single" w:color="auto" w:sz="6" w:space="0"/>
              <w:right w:val="single" w:color="auto" w:sz="4" w:space="0"/>
            </w:tcBorders>
            <w:noWrap w:val="0"/>
            <w:vAlign w:val="center"/>
          </w:tcPr>
          <w:p w14:paraId="6129D1DF">
            <w:pPr>
              <w:pStyle w:val="25"/>
              <w:snapToGrid w:val="0"/>
              <w:spacing w:before="295" w:after="295"/>
              <w:jc w:val="center"/>
              <w:rPr>
                <w:rFonts w:hint="eastAsia" w:hAnsi="宋体"/>
                <w:kern w:val="2"/>
                <w:sz w:val="24"/>
                <w:szCs w:val="24"/>
                <w:lang w:val="en-US" w:eastAsia="zh-CN"/>
              </w:rPr>
            </w:pPr>
          </w:p>
        </w:tc>
        <w:tc>
          <w:tcPr>
            <w:tcW w:w="1440" w:type="dxa"/>
            <w:tcBorders>
              <w:top w:val="single" w:color="auto" w:sz="6" w:space="0"/>
              <w:left w:val="single" w:color="auto" w:sz="4" w:space="0"/>
              <w:bottom w:val="single" w:color="auto" w:sz="6" w:space="0"/>
              <w:right w:val="single" w:color="auto" w:sz="6" w:space="0"/>
            </w:tcBorders>
            <w:noWrap w:val="0"/>
            <w:vAlign w:val="center"/>
          </w:tcPr>
          <w:p w14:paraId="3D435FED">
            <w:pPr>
              <w:pStyle w:val="25"/>
              <w:snapToGrid w:val="0"/>
              <w:spacing w:before="295" w:after="295"/>
              <w:jc w:val="center"/>
              <w:rPr>
                <w:rFonts w:hint="eastAsia" w:hAnsi="宋体"/>
                <w:kern w:val="2"/>
                <w:sz w:val="24"/>
                <w:szCs w:val="24"/>
                <w:lang w:val="en-US" w:eastAsia="zh-CN"/>
              </w:rPr>
            </w:pPr>
          </w:p>
        </w:tc>
        <w:tc>
          <w:tcPr>
            <w:tcW w:w="1440" w:type="dxa"/>
            <w:tcBorders>
              <w:top w:val="single" w:color="auto" w:sz="6" w:space="0"/>
              <w:left w:val="single" w:color="auto" w:sz="6" w:space="0"/>
              <w:bottom w:val="single" w:color="auto" w:sz="6" w:space="0"/>
              <w:right w:val="single" w:color="auto" w:sz="6" w:space="0"/>
            </w:tcBorders>
            <w:noWrap w:val="0"/>
            <w:tcMar>
              <w:top w:w="15" w:type="dxa"/>
              <w:left w:w="15" w:type="dxa"/>
              <w:bottom w:w="0" w:type="dxa"/>
              <w:right w:w="15" w:type="dxa"/>
            </w:tcMar>
            <w:vAlign w:val="center"/>
          </w:tcPr>
          <w:p w14:paraId="685516E0">
            <w:pPr>
              <w:pStyle w:val="25"/>
              <w:snapToGrid w:val="0"/>
              <w:spacing w:before="295" w:after="295"/>
              <w:jc w:val="center"/>
              <w:rPr>
                <w:rFonts w:hint="eastAsia" w:hAnsi="宋体"/>
                <w:kern w:val="2"/>
                <w:sz w:val="24"/>
                <w:szCs w:val="24"/>
                <w:lang w:val="en-US" w:eastAsia="zh-CN"/>
              </w:rPr>
            </w:pPr>
          </w:p>
        </w:tc>
        <w:tc>
          <w:tcPr>
            <w:tcW w:w="2340" w:type="dxa"/>
            <w:tcBorders>
              <w:top w:val="single" w:color="auto" w:sz="6" w:space="0"/>
              <w:left w:val="single" w:color="auto" w:sz="6" w:space="0"/>
              <w:bottom w:val="single" w:color="auto" w:sz="6" w:space="0"/>
              <w:right w:val="single" w:color="auto" w:sz="2" w:space="0"/>
            </w:tcBorders>
            <w:noWrap w:val="0"/>
            <w:vAlign w:val="center"/>
          </w:tcPr>
          <w:p w14:paraId="09A790F9">
            <w:pPr>
              <w:pStyle w:val="25"/>
              <w:snapToGrid w:val="0"/>
              <w:spacing w:before="295" w:after="295"/>
              <w:jc w:val="center"/>
              <w:rPr>
                <w:rFonts w:hint="eastAsia" w:hAnsi="宋体"/>
                <w:kern w:val="2"/>
                <w:sz w:val="24"/>
                <w:szCs w:val="24"/>
                <w:lang w:val="en-US" w:eastAsia="zh-CN"/>
              </w:rPr>
            </w:pPr>
            <w:r>
              <w:rPr>
                <w:rFonts w:hint="eastAsia" w:hAnsi="宋体"/>
                <w:kern w:val="2"/>
                <w:sz w:val="24"/>
                <w:szCs w:val="24"/>
                <w:lang w:val="en-US" w:eastAsia="zh-CN"/>
              </w:rPr>
              <w:t xml:space="preserve"> </w:t>
            </w:r>
            <w:r>
              <w:rPr>
                <w:rFonts w:hint="eastAsia" w:hAnsi="宋体"/>
                <w:kern w:val="2"/>
                <w:sz w:val="24"/>
                <w:szCs w:val="24"/>
                <w:u w:val="single"/>
                <w:lang w:val="en-US" w:eastAsia="zh-CN"/>
              </w:rPr>
              <w:t xml:space="preserve">           </w:t>
            </w:r>
            <w:r>
              <w:rPr>
                <w:rFonts w:hint="eastAsia" w:hAnsi="宋体"/>
                <w:kern w:val="2"/>
                <w:sz w:val="24"/>
                <w:szCs w:val="24"/>
                <w:lang w:val="en-US" w:eastAsia="zh-CN"/>
              </w:rPr>
              <w:t>%</w:t>
            </w:r>
          </w:p>
        </w:tc>
      </w:tr>
      <w:tr w14:paraId="3DED7D1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84" w:hRule="atLeast"/>
        </w:trPr>
        <w:tc>
          <w:tcPr>
            <w:tcW w:w="735" w:type="dxa"/>
            <w:tcBorders>
              <w:top w:val="single" w:color="auto" w:sz="4" w:space="0"/>
              <w:left w:val="single" w:color="auto" w:sz="4" w:space="0"/>
              <w:bottom w:val="single" w:color="auto" w:sz="4" w:space="0"/>
              <w:right w:val="single" w:color="auto" w:sz="2" w:space="0"/>
            </w:tcBorders>
            <w:noWrap w:val="0"/>
            <w:tcMar>
              <w:top w:w="15" w:type="dxa"/>
              <w:left w:w="15" w:type="dxa"/>
              <w:bottom w:w="0" w:type="dxa"/>
              <w:right w:w="15" w:type="dxa"/>
            </w:tcMar>
            <w:vAlign w:val="center"/>
          </w:tcPr>
          <w:p w14:paraId="07A97864">
            <w:pPr>
              <w:pStyle w:val="25"/>
              <w:snapToGrid w:val="0"/>
              <w:spacing w:before="295" w:after="295"/>
              <w:jc w:val="center"/>
              <w:rPr>
                <w:rFonts w:hint="eastAsia" w:hAnsi="宋体"/>
                <w:kern w:val="2"/>
                <w:sz w:val="24"/>
                <w:szCs w:val="24"/>
                <w:lang w:val="en-US" w:eastAsia="zh-CN"/>
              </w:rPr>
            </w:pPr>
            <w:r>
              <w:rPr>
                <w:rFonts w:hint="eastAsia" w:hAnsi="宋体"/>
                <w:kern w:val="2"/>
                <w:sz w:val="24"/>
                <w:szCs w:val="24"/>
                <w:lang w:val="en-US" w:eastAsia="zh-CN"/>
              </w:rPr>
              <w:t>3</w:t>
            </w:r>
          </w:p>
        </w:tc>
        <w:tc>
          <w:tcPr>
            <w:tcW w:w="2700" w:type="dxa"/>
            <w:tcBorders>
              <w:top w:val="single" w:color="auto" w:sz="6" w:space="0"/>
              <w:left w:val="single" w:color="auto" w:sz="2" w:space="0"/>
              <w:bottom w:val="single" w:color="auto" w:sz="6" w:space="0"/>
              <w:right w:val="single" w:color="auto" w:sz="4" w:space="0"/>
            </w:tcBorders>
            <w:noWrap w:val="0"/>
            <w:vAlign w:val="center"/>
          </w:tcPr>
          <w:p w14:paraId="551EEBD0">
            <w:pPr>
              <w:pStyle w:val="25"/>
              <w:snapToGrid w:val="0"/>
              <w:spacing w:before="295" w:after="295"/>
              <w:jc w:val="center"/>
              <w:rPr>
                <w:rFonts w:hint="eastAsia" w:hAnsi="宋体"/>
                <w:kern w:val="2"/>
                <w:sz w:val="24"/>
                <w:szCs w:val="24"/>
                <w:lang w:val="en-US" w:eastAsia="zh-CN"/>
              </w:rPr>
            </w:pPr>
          </w:p>
        </w:tc>
        <w:tc>
          <w:tcPr>
            <w:tcW w:w="1440" w:type="dxa"/>
            <w:tcBorders>
              <w:top w:val="single" w:color="auto" w:sz="6" w:space="0"/>
              <w:left w:val="single" w:color="auto" w:sz="4" w:space="0"/>
              <w:bottom w:val="single" w:color="auto" w:sz="6" w:space="0"/>
              <w:right w:val="single" w:color="auto" w:sz="6" w:space="0"/>
            </w:tcBorders>
            <w:noWrap w:val="0"/>
            <w:vAlign w:val="center"/>
          </w:tcPr>
          <w:p w14:paraId="41703E16">
            <w:pPr>
              <w:pStyle w:val="25"/>
              <w:snapToGrid w:val="0"/>
              <w:spacing w:before="295" w:after="295"/>
              <w:jc w:val="center"/>
              <w:rPr>
                <w:rFonts w:hint="eastAsia" w:hAnsi="宋体"/>
                <w:kern w:val="2"/>
                <w:sz w:val="24"/>
                <w:szCs w:val="24"/>
                <w:lang w:val="en-US" w:eastAsia="zh-CN"/>
              </w:rPr>
            </w:pPr>
          </w:p>
        </w:tc>
        <w:tc>
          <w:tcPr>
            <w:tcW w:w="1440" w:type="dxa"/>
            <w:tcBorders>
              <w:top w:val="single" w:color="auto" w:sz="6" w:space="0"/>
              <w:left w:val="single" w:color="auto" w:sz="6" w:space="0"/>
              <w:bottom w:val="single" w:color="auto" w:sz="6" w:space="0"/>
              <w:right w:val="single" w:color="auto" w:sz="6" w:space="0"/>
            </w:tcBorders>
            <w:noWrap w:val="0"/>
            <w:tcMar>
              <w:top w:w="15" w:type="dxa"/>
              <w:left w:w="15" w:type="dxa"/>
              <w:bottom w:w="0" w:type="dxa"/>
              <w:right w:w="15" w:type="dxa"/>
            </w:tcMar>
            <w:vAlign w:val="center"/>
          </w:tcPr>
          <w:p w14:paraId="5986ED14">
            <w:pPr>
              <w:pStyle w:val="25"/>
              <w:snapToGrid w:val="0"/>
              <w:spacing w:before="295" w:after="295"/>
              <w:jc w:val="center"/>
              <w:rPr>
                <w:rFonts w:hint="eastAsia" w:hAnsi="宋体"/>
                <w:kern w:val="2"/>
                <w:sz w:val="24"/>
                <w:szCs w:val="24"/>
                <w:lang w:val="en-US" w:eastAsia="zh-CN"/>
              </w:rPr>
            </w:pPr>
          </w:p>
        </w:tc>
        <w:tc>
          <w:tcPr>
            <w:tcW w:w="2340" w:type="dxa"/>
            <w:tcBorders>
              <w:top w:val="single" w:color="auto" w:sz="6" w:space="0"/>
              <w:left w:val="single" w:color="auto" w:sz="6" w:space="0"/>
              <w:bottom w:val="single" w:color="auto" w:sz="6" w:space="0"/>
              <w:right w:val="single" w:color="auto" w:sz="2" w:space="0"/>
            </w:tcBorders>
            <w:noWrap w:val="0"/>
            <w:vAlign w:val="center"/>
          </w:tcPr>
          <w:p w14:paraId="78429DE0">
            <w:pPr>
              <w:pStyle w:val="25"/>
              <w:snapToGrid w:val="0"/>
              <w:spacing w:before="295" w:after="295"/>
              <w:jc w:val="center"/>
              <w:rPr>
                <w:rFonts w:hint="eastAsia" w:hAnsi="宋体"/>
                <w:kern w:val="2"/>
                <w:sz w:val="24"/>
                <w:szCs w:val="24"/>
                <w:lang w:val="en-US" w:eastAsia="zh-CN"/>
              </w:rPr>
            </w:pPr>
            <w:r>
              <w:rPr>
                <w:rFonts w:hint="eastAsia" w:hAnsi="宋体"/>
                <w:kern w:val="2"/>
                <w:sz w:val="24"/>
                <w:szCs w:val="24"/>
                <w:lang w:val="en-US" w:eastAsia="zh-CN"/>
              </w:rPr>
              <w:t xml:space="preserve"> </w:t>
            </w:r>
            <w:r>
              <w:rPr>
                <w:rFonts w:hint="eastAsia" w:hAnsi="宋体"/>
                <w:kern w:val="2"/>
                <w:sz w:val="24"/>
                <w:szCs w:val="24"/>
                <w:u w:val="single"/>
                <w:lang w:val="en-US" w:eastAsia="zh-CN"/>
              </w:rPr>
              <w:t xml:space="preserve">           </w:t>
            </w:r>
            <w:r>
              <w:rPr>
                <w:rFonts w:hint="eastAsia" w:hAnsi="宋体"/>
                <w:kern w:val="2"/>
                <w:sz w:val="24"/>
                <w:szCs w:val="24"/>
                <w:lang w:val="en-US" w:eastAsia="zh-CN"/>
              </w:rPr>
              <w:t>%</w:t>
            </w:r>
          </w:p>
        </w:tc>
      </w:tr>
    </w:tbl>
    <w:p w14:paraId="4D805991">
      <w:pPr>
        <w:spacing w:line="360" w:lineRule="auto"/>
        <w:contextualSpacing/>
        <w:rPr>
          <w:rFonts w:hint="eastAsia" w:ascii="宋体" w:hAnsi="宋体"/>
          <w:sz w:val="24"/>
        </w:rPr>
      </w:pPr>
    </w:p>
    <w:p w14:paraId="3175ECC6">
      <w:pPr>
        <w:spacing w:line="360" w:lineRule="auto"/>
        <w:contextualSpacing/>
        <w:rPr>
          <w:rFonts w:hint="eastAsia" w:ascii="宋体" w:hAnsi="宋体"/>
          <w:spacing w:val="20"/>
          <w:sz w:val="24"/>
          <w:u w:val="single"/>
        </w:rPr>
      </w:pPr>
      <w:r>
        <w:rPr>
          <w:rFonts w:hint="eastAsia" w:ascii="宋体" w:hAnsi="宋体"/>
          <w:sz w:val="24"/>
        </w:rPr>
        <w:t>法定代表人或者委托代理人</w:t>
      </w:r>
      <w:r>
        <w:rPr>
          <w:rFonts w:hint="eastAsia" w:ascii="宋体" w:hAnsi="宋体"/>
          <w:spacing w:val="20"/>
          <w:sz w:val="24"/>
        </w:rPr>
        <w:t>（签字或者电子签名）：</w:t>
      </w:r>
      <w:r>
        <w:rPr>
          <w:rFonts w:hint="eastAsia" w:ascii="宋体" w:hAnsi="宋体"/>
          <w:spacing w:val="20"/>
          <w:sz w:val="24"/>
          <w:u w:val="single"/>
        </w:rPr>
        <w:t xml:space="preserve">        </w:t>
      </w:r>
    </w:p>
    <w:p w14:paraId="0524C7FA">
      <w:pPr>
        <w:spacing w:line="360" w:lineRule="auto"/>
        <w:contextualSpacing/>
        <w:jc w:val="left"/>
        <w:rPr>
          <w:rFonts w:hint="eastAsia" w:ascii="宋体" w:hAnsi="宋体"/>
          <w:spacing w:val="20"/>
          <w:sz w:val="24"/>
        </w:rPr>
      </w:pPr>
      <w:r>
        <w:rPr>
          <w:rFonts w:hint="eastAsia" w:ascii="宋体" w:hAnsi="宋体"/>
          <w:spacing w:val="20"/>
          <w:sz w:val="24"/>
        </w:rPr>
        <w:t>投标人名称（电子签章）：</w:t>
      </w:r>
      <w:r>
        <w:rPr>
          <w:rFonts w:hint="eastAsia" w:ascii="宋体" w:hAnsi="宋体"/>
          <w:spacing w:val="20"/>
          <w:sz w:val="24"/>
          <w:u w:val="single"/>
        </w:rPr>
        <w:t xml:space="preserve">            </w:t>
      </w:r>
      <w:r>
        <w:rPr>
          <w:rFonts w:hint="eastAsia" w:ascii="宋体" w:hAnsi="宋体"/>
          <w:spacing w:val="20"/>
          <w:sz w:val="24"/>
        </w:rPr>
        <w:t xml:space="preserve">              </w:t>
      </w:r>
    </w:p>
    <w:p w14:paraId="68DDC414">
      <w:pPr>
        <w:spacing w:line="360" w:lineRule="auto"/>
        <w:contextualSpacing/>
        <w:jc w:val="left"/>
        <w:rPr>
          <w:rFonts w:hint="eastAsia" w:ascii="宋体" w:hAnsi="宋体"/>
          <w:sz w:val="24"/>
          <w:szCs w:val="20"/>
        </w:rPr>
      </w:pPr>
      <w:r>
        <w:rPr>
          <w:rFonts w:hint="eastAsia" w:ascii="宋体" w:hAnsi="宋体"/>
          <w:spacing w:val="20"/>
          <w:sz w:val="24"/>
        </w:rPr>
        <w:t>日 期：</w:t>
      </w:r>
      <w:r>
        <w:rPr>
          <w:rFonts w:hint="eastAsia" w:ascii="宋体" w:hAnsi="宋体"/>
          <w:spacing w:val="20"/>
          <w:sz w:val="24"/>
          <w:u w:val="single"/>
        </w:rPr>
        <w:t xml:space="preserve">            </w:t>
      </w:r>
    </w:p>
    <w:p w14:paraId="6C03C9D4">
      <w:pPr>
        <w:snapToGrid w:val="0"/>
        <w:spacing w:before="50" w:after="120" w:afterLines="50"/>
        <w:jc w:val="left"/>
        <w:rPr>
          <w:rFonts w:hint="eastAsia" w:ascii="宋体" w:hAnsi="宋体"/>
          <w:sz w:val="24"/>
          <w:szCs w:val="20"/>
        </w:rPr>
      </w:pPr>
    </w:p>
    <w:p w14:paraId="306F1FF6">
      <w:pPr>
        <w:rPr>
          <w:rFonts w:hint="eastAsia"/>
          <w:b/>
          <w:sz w:val="28"/>
          <w:szCs w:val="28"/>
        </w:rPr>
      </w:pPr>
      <w:r>
        <w:rPr>
          <w:rFonts w:ascii="宋体" w:hAnsi="宋体"/>
          <w:b/>
          <w:bCs/>
          <w:sz w:val="24"/>
        </w:rPr>
        <w:br w:type="page"/>
      </w:r>
      <w:r>
        <w:rPr>
          <w:rFonts w:hint="eastAsia"/>
          <w:b/>
          <w:sz w:val="28"/>
          <w:szCs w:val="28"/>
        </w:rPr>
        <w:t>四、其他文书、文件格式</w:t>
      </w:r>
    </w:p>
    <w:p w14:paraId="3B9D3B5C">
      <w:pPr>
        <w:snapToGrid w:val="0"/>
        <w:spacing w:before="120" w:beforeLines="50" w:after="50"/>
        <w:ind w:left="142"/>
        <w:jc w:val="left"/>
        <w:rPr>
          <w:rFonts w:hint="eastAsia" w:ascii="宋体" w:hAnsi="宋体"/>
          <w:b/>
          <w:spacing w:val="20"/>
          <w:sz w:val="24"/>
        </w:rPr>
      </w:pPr>
      <w:r>
        <w:rPr>
          <w:rFonts w:hint="eastAsia" w:ascii="宋体" w:hAnsi="宋体"/>
          <w:b/>
          <w:spacing w:val="20"/>
          <w:sz w:val="24"/>
        </w:rPr>
        <w:t>1.联合投标协议书格式</w:t>
      </w:r>
    </w:p>
    <w:p w14:paraId="6134AE7E">
      <w:pPr>
        <w:pStyle w:val="7"/>
        <w:overflowPunct w:val="0"/>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联合体协议书</w:t>
      </w:r>
    </w:p>
    <w:p w14:paraId="0C7C9D21">
      <w:pPr>
        <w:pStyle w:val="7"/>
        <w:overflowPunct w:val="0"/>
        <w:rPr>
          <w:rFonts w:ascii="宋体" w:hAnsi="宋体"/>
          <w:sz w:val="24"/>
        </w:rPr>
      </w:pPr>
    </w:p>
    <w:p w14:paraId="6BD21E39">
      <w:pPr>
        <w:pStyle w:val="7"/>
        <w:overflowPunct w:val="0"/>
        <w:spacing w:line="360" w:lineRule="auto"/>
        <w:contextualSpacing/>
        <w:rPr>
          <w:rFonts w:ascii="宋体" w:hAnsi="宋体"/>
          <w:sz w:val="24"/>
        </w:rPr>
      </w:pPr>
      <w:r>
        <w:rPr>
          <w:rFonts w:ascii="宋体" w:hAnsi="宋体"/>
          <w:sz w:val="24"/>
          <w:u w:val="single"/>
        </w:rPr>
        <w:t xml:space="preserve"> </w:t>
      </w:r>
      <w:r>
        <w:rPr>
          <w:rFonts w:ascii="宋体" w:hAnsi="宋体"/>
          <w:sz w:val="24"/>
          <w:u w:val="single"/>
        </w:rPr>
        <w:tab/>
      </w:r>
      <w:r>
        <w:rPr>
          <w:rFonts w:hint="eastAsia" w:ascii="宋体" w:hAnsi="宋体"/>
          <w:sz w:val="24"/>
        </w:rPr>
        <w:t>（所有成员单位名称）自愿组成</w:t>
      </w:r>
      <w:r>
        <w:rPr>
          <w:rFonts w:ascii="宋体" w:hAnsi="宋体"/>
          <w:sz w:val="24"/>
          <w:u w:val="single"/>
        </w:rPr>
        <w:t xml:space="preserve"> </w:t>
      </w:r>
      <w:r>
        <w:rPr>
          <w:rFonts w:ascii="宋体" w:hAnsi="宋体"/>
          <w:sz w:val="24"/>
          <w:u w:val="single"/>
        </w:rPr>
        <w:tab/>
      </w:r>
      <w:r>
        <w:rPr>
          <w:rFonts w:hint="eastAsia" w:ascii="宋体" w:hAnsi="宋体"/>
          <w:sz w:val="24"/>
        </w:rPr>
        <w:t>（联合体名称）联合体，共同参加</w:t>
      </w:r>
      <w:r>
        <w:rPr>
          <w:rFonts w:ascii="宋体" w:hAnsi="宋体"/>
          <w:sz w:val="24"/>
          <w:u w:val="single"/>
        </w:rPr>
        <w:t xml:space="preserve"> </w:t>
      </w:r>
      <w:r>
        <w:rPr>
          <w:rFonts w:ascii="宋体" w:hAnsi="宋体"/>
          <w:sz w:val="24"/>
          <w:u w:val="single"/>
        </w:rPr>
        <w:tab/>
      </w:r>
      <w:r>
        <w:rPr>
          <w:rFonts w:hint="eastAsia" w:ascii="宋体" w:hAnsi="宋体"/>
          <w:sz w:val="24"/>
          <w:u w:val="single"/>
        </w:rPr>
        <w:t>（项目名称）</w:t>
      </w:r>
      <w:r>
        <w:rPr>
          <w:rFonts w:hint="eastAsia" w:ascii="宋体" w:hAnsi="宋体"/>
          <w:sz w:val="24"/>
        </w:rPr>
        <w:t>采购招标项目投标。现就联合体投标事宜订立如下协议。</w:t>
      </w:r>
    </w:p>
    <w:p w14:paraId="6C89E92B">
      <w:pPr>
        <w:pStyle w:val="7"/>
        <w:overflowPunct w:val="0"/>
        <w:spacing w:line="360" w:lineRule="auto"/>
        <w:ind w:firstLineChars="175"/>
        <w:contextualSpacing/>
        <w:rPr>
          <w:rFonts w:ascii="宋体" w:hAnsi="宋体"/>
          <w:sz w:val="24"/>
        </w:rPr>
      </w:pPr>
      <w:r>
        <w:rPr>
          <w:rFonts w:ascii="宋体" w:hAnsi="宋体"/>
          <w:sz w:val="24"/>
        </w:rPr>
        <w:t xml:space="preserve">1.  </w:t>
      </w:r>
      <w:r>
        <w:rPr>
          <w:rFonts w:ascii="宋体" w:hAnsi="宋体"/>
          <w:sz w:val="24"/>
          <w:u w:val="single"/>
        </w:rPr>
        <w:t xml:space="preserve"> </w:t>
      </w:r>
      <w:r>
        <w:rPr>
          <w:rFonts w:ascii="宋体" w:hAnsi="宋体"/>
          <w:sz w:val="24"/>
          <w:u w:val="single"/>
        </w:rPr>
        <w:tab/>
      </w:r>
      <w:r>
        <w:rPr>
          <w:rFonts w:hint="eastAsia" w:ascii="宋体" w:hAnsi="宋体"/>
          <w:sz w:val="24"/>
        </w:rPr>
        <w:t>（某成员单位名称）为</w:t>
      </w:r>
      <w:r>
        <w:rPr>
          <w:rFonts w:ascii="宋体" w:hAnsi="宋体"/>
          <w:sz w:val="24"/>
          <w:u w:val="single"/>
        </w:rPr>
        <w:t xml:space="preserve"> </w:t>
      </w:r>
      <w:r>
        <w:rPr>
          <w:rFonts w:ascii="宋体" w:hAnsi="宋体"/>
          <w:sz w:val="24"/>
          <w:u w:val="single"/>
        </w:rPr>
        <w:tab/>
      </w:r>
      <w:r>
        <w:rPr>
          <w:rFonts w:hint="eastAsia" w:ascii="宋体" w:hAnsi="宋体"/>
          <w:sz w:val="24"/>
        </w:rPr>
        <w:t>（联合体名称）牵头人。</w:t>
      </w:r>
    </w:p>
    <w:p w14:paraId="3FBF6E52">
      <w:pPr>
        <w:pStyle w:val="7"/>
        <w:overflowPunct w:val="0"/>
        <w:spacing w:line="360" w:lineRule="auto"/>
        <w:ind w:firstLineChars="175"/>
        <w:contextualSpacing/>
        <w:rPr>
          <w:rFonts w:ascii="宋体" w:hAnsi="宋体"/>
          <w:sz w:val="24"/>
        </w:rPr>
      </w:pPr>
      <w:r>
        <w:rPr>
          <w:rFonts w:ascii="宋体" w:hAnsi="宋体"/>
          <w:sz w:val="24"/>
        </w:rPr>
        <w:t>2.</w:t>
      </w:r>
      <w:r>
        <w:rPr>
          <w:rFonts w:hint="eastAsia" w:ascii="宋体" w:hAnsi="宋体"/>
          <w:sz w:val="24"/>
        </w:rPr>
        <w:t>联合体各成员授权牵头人代表联合体参加投标活动，签署文件及对文件的盖章，提交和接收相关的资料、信息及指示，进行合同签订活动，负责合同实施阶段的组织和协调工作，以及处理与本招标项目有关的一切事宜。</w:t>
      </w:r>
    </w:p>
    <w:p w14:paraId="598B7FBC">
      <w:pPr>
        <w:pStyle w:val="7"/>
        <w:overflowPunct w:val="0"/>
        <w:spacing w:line="360" w:lineRule="auto"/>
        <w:ind w:firstLineChars="175"/>
        <w:contextualSpacing/>
        <w:rPr>
          <w:rFonts w:ascii="宋体" w:hAnsi="宋体"/>
          <w:sz w:val="24"/>
        </w:rPr>
      </w:pPr>
      <w:r>
        <w:rPr>
          <w:rFonts w:ascii="宋体" w:hAnsi="宋体"/>
          <w:sz w:val="24"/>
        </w:rPr>
        <w:t>3.</w:t>
      </w:r>
      <w:r>
        <w:rPr>
          <w:rFonts w:hint="eastAsia" w:ascii="宋体" w:hAnsi="宋体"/>
          <w:sz w:val="24"/>
        </w:rPr>
        <w:t>联合体牵头人在本项目中签署和盖章的一切文件和处理的一切事宜，联合体各成员均予以承认。联合体各成员将严格按照招标文件、投标文件和合同的要求全面履行义务，并向招标人承担连带责任。</w:t>
      </w:r>
    </w:p>
    <w:p w14:paraId="2313EB70">
      <w:pPr>
        <w:pStyle w:val="7"/>
        <w:overflowPunct w:val="0"/>
        <w:spacing w:line="380" w:lineRule="exact"/>
        <w:ind w:firstLineChars="175"/>
        <w:contextualSpacing/>
        <w:rPr>
          <w:rFonts w:ascii="宋体" w:hAnsi="宋体"/>
          <w:sz w:val="24"/>
        </w:rPr>
      </w:pPr>
      <w:r>
        <w:rPr>
          <w:rFonts w:ascii="宋体" w:hAnsi="宋体"/>
          <w:sz w:val="24"/>
        </w:rPr>
        <w:t>4.</w:t>
      </w:r>
      <w:r>
        <w:rPr>
          <w:rFonts w:hint="eastAsia" w:ascii="宋体" w:hAnsi="宋体"/>
          <w:sz w:val="24"/>
        </w:rPr>
        <w:t>联合体各成员单位内部的职责分工如下：</w:t>
      </w:r>
    </w:p>
    <w:p w14:paraId="5512A40B">
      <w:pPr>
        <w:pStyle w:val="7"/>
        <w:overflowPunct w:val="0"/>
        <w:spacing w:line="380" w:lineRule="exact"/>
        <w:ind w:firstLine="480" w:firstLineChars="200"/>
        <w:contextualSpacing/>
        <w:rPr>
          <w:rFonts w:hint="eastAsia" w:ascii="宋体" w:hAnsi="宋体" w:cs="仿宋_GB2312"/>
          <w:sz w:val="24"/>
          <w:szCs w:val="24"/>
        </w:rPr>
      </w:pPr>
      <w:r>
        <w:rPr>
          <w:rFonts w:hint="eastAsia" w:ascii="宋体" w:hAnsi="宋体" w:cs="仿宋_GB2312"/>
          <w:sz w:val="24"/>
          <w:szCs w:val="24"/>
          <w:u w:val="single"/>
        </w:rPr>
        <w:t xml:space="preserve">                               </w:t>
      </w:r>
      <w:r>
        <w:rPr>
          <w:rFonts w:hint="eastAsia" w:ascii="宋体" w:hAnsi="宋体" w:cs="仿宋_GB2312"/>
          <w:sz w:val="24"/>
          <w:szCs w:val="24"/>
        </w:rPr>
        <w:t>。</w:t>
      </w:r>
    </w:p>
    <w:p w14:paraId="44CDE361">
      <w:pPr>
        <w:pStyle w:val="7"/>
        <w:overflowPunct w:val="0"/>
        <w:spacing w:line="380" w:lineRule="exact"/>
        <w:ind w:firstLine="480" w:firstLineChars="200"/>
        <w:contextualSpacing/>
        <w:rPr>
          <w:rFonts w:hint="eastAsia" w:ascii="宋体" w:hAnsi="宋体" w:cs="仿宋_GB2312"/>
          <w:sz w:val="24"/>
          <w:szCs w:val="24"/>
        </w:rPr>
      </w:pPr>
      <w:r>
        <w:rPr>
          <w:rFonts w:hint="eastAsia" w:ascii="宋体" w:hAnsi="宋体" w:cs="仿宋_GB2312"/>
          <w:sz w:val="24"/>
          <w:szCs w:val="24"/>
        </w:rPr>
        <w:t>联合体各成员单位合同金额比例分配如下：</w:t>
      </w:r>
    </w:p>
    <w:p w14:paraId="0962835A">
      <w:pPr>
        <w:pStyle w:val="7"/>
        <w:overflowPunct w:val="0"/>
        <w:spacing w:line="360" w:lineRule="auto"/>
        <w:ind w:firstLineChars="175"/>
        <w:contextualSpacing/>
        <w:rPr>
          <w:rFonts w:ascii="宋体" w:hAnsi="宋体"/>
          <w:sz w:val="24"/>
        </w:rPr>
      </w:pPr>
      <w:r>
        <w:rPr>
          <w:rFonts w:hint="eastAsia" w:ascii="宋体" w:hAnsi="宋体" w:cs="仿宋_GB2312"/>
          <w:sz w:val="24"/>
          <w:szCs w:val="24"/>
          <w:u w:val="single"/>
        </w:rPr>
        <w:t xml:space="preserve">                               </w:t>
      </w:r>
      <w:r>
        <w:rPr>
          <w:rFonts w:hint="eastAsia" w:ascii="宋体" w:hAnsi="宋体" w:cs="仿宋_GB2312"/>
          <w:sz w:val="24"/>
          <w:szCs w:val="24"/>
        </w:rPr>
        <w:t>。</w:t>
      </w:r>
    </w:p>
    <w:p w14:paraId="0FAE6580">
      <w:pPr>
        <w:pStyle w:val="7"/>
        <w:overflowPunct w:val="0"/>
        <w:spacing w:line="360" w:lineRule="auto"/>
        <w:ind w:firstLineChars="175"/>
        <w:contextualSpacing/>
        <w:rPr>
          <w:rFonts w:ascii="宋体" w:hAnsi="宋体"/>
          <w:sz w:val="24"/>
        </w:rPr>
      </w:pPr>
      <w:r>
        <w:rPr>
          <w:rFonts w:ascii="宋体" w:hAnsi="宋体"/>
          <w:sz w:val="24"/>
        </w:rPr>
        <w:t>5.</w:t>
      </w:r>
      <w:r>
        <w:rPr>
          <w:rFonts w:hint="eastAsia" w:ascii="宋体" w:hAnsi="宋体"/>
          <w:sz w:val="24"/>
        </w:rPr>
        <w:t>本协议书自所有成员单位法定代表人或者其委托代理人签字（或者电子签名）或者盖公章之日起生效，合同履行完毕后自动失效。</w:t>
      </w:r>
    </w:p>
    <w:p w14:paraId="102F4F8B">
      <w:pPr>
        <w:pStyle w:val="7"/>
        <w:overflowPunct w:val="0"/>
        <w:spacing w:line="360" w:lineRule="auto"/>
        <w:ind w:firstLineChars="175"/>
        <w:contextualSpacing/>
        <w:rPr>
          <w:rFonts w:ascii="宋体" w:hAnsi="宋体"/>
          <w:sz w:val="24"/>
        </w:rPr>
      </w:pPr>
      <w:r>
        <w:rPr>
          <w:rFonts w:ascii="宋体" w:hAnsi="宋体"/>
          <w:sz w:val="24"/>
        </w:rPr>
        <w:t>6.</w:t>
      </w:r>
      <w:r>
        <w:rPr>
          <w:rFonts w:hint="eastAsia" w:ascii="宋体" w:hAnsi="宋体"/>
          <w:sz w:val="24"/>
        </w:rPr>
        <w:t>本协议书一式</w:t>
      </w:r>
      <w:r>
        <w:rPr>
          <w:rFonts w:ascii="宋体" w:hAnsi="宋体"/>
          <w:sz w:val="24"/>
          <w:u w:val="single"/>
        </w:rPr>
        <w:t xml:space="preserve"> </w:t>
      </w:r>
      <w:r>
        <w:rPr>
          <w:rFonts w:ascii="宋体" w:hAnsi="宋体"/>
          <w:sz w:val="24"/>
          <w:u w:val="single"/>
        </w:rPr>
        <w:tab/>
      </w:r>
      <w:r>
        <w:rPr>
          <w:rFonts w:hint="eastAsia" w:ascii="宋体" w:hAnsi="宋体"/>
          <w:sz w:val="24"/>
        </w:rPr>
        <w:t>份，联合体成员和招标人各执一份。</w:t>
      </w:r>
    </w:p>
    <w:p w14:paraId="3C9E33DA">
      <w:pPr>
        <w:pStyle w:val="7"/>
        <w:overflowPunct w:val="0"/>
        <w:spacing w:line="360" w:lineRule="auto"/>
        <w:ind w:firstLineChars="175"/>
        <w:contextualSpacing/>
        <w:rPr>
          <w:rFonts w:ascii="宋体" w:hAnsi="宋体"/>
          <w:sz w:val="24"/>
        </w:rPr>
      </w:pPr>
      <w:r>
        <w:rPr>
          <w:rFonts w:hint="eastAsia" w:ascii="宋体" w:hAnsi="宋体"/>
          <w:sz w:val="24"/>
        </w:rPr>
        <w:t>注：本协议书应附法定代表人身份证明；有委托代理的，应附授权委托书</w:t>
      </w:r>
      <w:r>
        <w:rPr>
          <w:rFonts w:hint="eastAsia" w:ascii="宋体" w:hAnsi="宋体" w:cs="仿宋_GB2312"/>
          <w:sz w:val="24"/>
        </w:rPr>
        <w:t>（格式自拟）</w:t>
      </w:r>
      <w:r>
        <w:rPr>
          <w:rFonts w:hint="eastAsia" w:ascii="宋体" w:hAnsi="宋体"/>
          <w:sz w:val="24"/>
        </w:rPr>
        <w:t>。</w:t>
      </w:r>
    </w:p>
    <w:p w14:paraId="6DD8EEFB">
      <w:pPr>
        <w:pStyle w:val="7"/>
        <w:overflowPunct w:val="0"/>
        <w:spacing w:line="360" w:lineRule="auto"/>
        <w:ind w:firstLineChars="175"/>
        <w:contextualSpacing/>
        <w:rPr>
          <w:rFonts w:ascii="宋体" w:hAnsi="宋体"/>
          <w:sz w:val="24"/>
        </w:rPr>
      </w:pPr>
      <w:r>
        <w:rPr>
          <w:rFonts w:hint="eastAsia" w:ascii="宋体" w:hAnsi="宋体"/>
          <w:sz w:val="24"/>
        </w:rPr>
        <w:t>联合体牵头人名称（电子签章）：</w:t>
      </w:r>
    </w:p>
    <w:p w14:paraId="3AB9929E">
      <w:pPr>
        <w:pStyle w:val="7"/>
        <w:overflowPunct w:val="0"/>
        <w:spacing w:line="360" w:lineRule="auto"/>
        <w:ind w:firstLineChars="175"/>
        <w:contextualSpacing/>
        <w:rPr>
          <w:rFonts w:ascii="宋体" w:hAnsi="宋体"/>
          <w:sz w:val="24"/>
        </w:rPr>
      </w:pPr>
      <w:r>
        <w:rPr>
          <w:rFonts w:hint="eastAsia" w:ascii="宋体" w:hAnsi="宋体"/>
          <w:sz w:val="24"/>
        </w:rPr>
        <w:t>法定代表人或者其委托代理人：</w:t>
      </w:r>
      <w:r>
        <w:rPr>
          <w:rFonts w:ascii="宋体" w:hAnsi="宋体"/>
          <w:sz w:val="24"/>
        </w:rPr>
        <w:t xml:space="preserve"> </w:t>
      </w:r>
      <w:r>
        <w:rPr>
          <w:rFonts w:ascii="宋体" w:hAnsi="宋体"/>
          <w:sz w:val="24"/>
        </w:rPr>
        <w:tab/>
      </w:r>
      <w:r>
        <w:rPr>
          <w:rFonts w:hint="eastAsia" w:ascii="宋体" w:hAnsi="宋体"/>
          <w:sz w:val="24"/>
        </w:rPr>
        <w:t>（签字或者电子签名）</w:t>
      </w:r>
    </w:p>
    <w:p w14:paraId="69E81D2D">
      <w:pPr>
        <w:pStyle w:val="7"/>
        <w:overflowPunct w:val="0"/>
        <w:spacing w:line="360" w:lineRule="auto"/>
        <w:ind w:firstLineChars="175"/>
        <w:contextualSpacing/>
        <w:rPr>
          <w:rFonts w:ascii="宋体" w:hAnsi="宋体"/>
          <w:sz w:val="24"/>
        </w:rPr>
      </w:pPr>
    </w:p>
    <w:p w14:paraId="155AA564">
      <w:pPr>
        <w:pStyle w:val="7"/>
        <w:overflowPunct w:val="0"/>
        <w:spacing w:line="360" w:lineRule="auto"/>
        <w:ind w:firstLineChars="175"/>
        <w:contextualSpacing/>
        <w:rPr>
          <w:rFonts w:ascii="宋体" w:hAnsi="宋体"/>
          <w:sz w:val="24"/>
        </w:rPr>
      </w:pPr>
      <w:r>
        <w:rPr>
          <w:rFonts w:hint="eastAsia" w:ascii="宋体" w:hAnsi="宋体"/>
          <w:sz w:val="24"/>
        </w:rPr>
        <w:t>联合体成员名称（</w:t>
      </w:r>
      <w:r>
        <w:rPr>
          <w:rFonts w:hint="eastAsia" w:ascii="宋体" w:hAnsi="宋体" w:cs="仿宋_GB2312"/>
          <w:sz w:val="24"/>
        </w:rPr>
        <w:t>盖公章或者电子签章</w:t>
      </w:r>
      <w:r>
        <w:rPr>
          <w:rFonts w:hint="eastAsia" w:ascii="宋体" w:hAnsi="宋体"/>
          <w:sz w:val="24"/>
        </w:rPr>
        <w:t>）：</w:t>
      </w:r>
    </w:p>
    <w:p w14:paraId="74F48F15">
      <w:pPr>
        <w:pStyle w:val="7"/>
        <w:overflowPunct w:val="0"/>
        <w:spacing w:line="360" w:lineRule="auto"/>
        <w:ind w:firstLineChars="175"/>
        <w:contextualSpacing/>
        <w:rPr>
          <w:rFonts w:ascii="宋体" w:hAnsi="宋体"/>
          <w:sz w:val="24"/>
        </w:rPr>
      </w:pPr>
      <w:r>
        <w:rPr>
          <w:rFonts w:hint="eastAsia" w:ascii="宋体" w:hAnsi="宋体"/>
          <w:sz w:val="24"/>
        </w:rPr>
        <w:t>法定代表人或者其委托代理人：</w:t>
      </w:r>
      <w:r>
        <w:rPr>
          <w:rFonts w:ascii="宋体" w:hAnsi="宋体"/>
          <w:sz w:val="24"/>
        </w:rPr>
        <w:t xml:space="preserve"> </w:t>
      </w:r>
      <w:r>
        <w:rPr>
          <w:rFonts w:ascii="宋体" w:hAnsi="宋体"/>
          <w:sz w:val="24"/>
        </w:rPr>
        <w:tab/>
      </w:r>
      <w:r>
        <w:rPr>
          <w:rFonts w:hint="eastAsia" w:ascii="宋体" w:hAnsi="宋体"/>
          <w:sz w:val="24"/>
        </w:rPr>
        <w:t>（签字或者电子签名）</w:t>
      </w:r>
    </w:p>
    <w:p w14:paraId="35E52E1F">
      <w:pPr>
        <w:pStyle w:val="7"/>
        <w:overflowPunct w:val="0"/>
        <w:spacing w:line="360" w:lineRule="auto"/>
        <w:ind w:firstLineChars="175"/>
        <w:contextualSpacing/>
        <w:rPr>
          <w:rFonts w:ascii="宋体" w:hAnsi="宋体"/>
          <w:sz w:val="24"/>
        </w:rPr>
      </w:pPr>
      <w:r>
        <w:rPr>
          <w:rFonts w:ascii="宋体" w:hAnsi="宋体"/>
          <w:sz w:val="24"/>
        </w:rPr>
        <w:t>……</w:t>
      </w:r>
    </w:p>
    <w:p w14:paraId="2AE6ACF2">
      <w:pPr>
        <w:pStyle w:val="7"/>
        <w:overflowPunct w:val="0"/>
        <w:spacing w:line="360" w:lineRule="auto"/>
        <w:ind w:firstLineChars="175"/>
        <w:contextualSpacing/>
        <w:jc w:val="right"/>
        <w:rPr>
          <w:rFonts w:ascii="宋体" w:hAnsi="宋体"/>
          <w:b/>
          <w:sz w:val="24"/>
        </w:rPr>
      </w:pPr>
      <w:r>
        <w:rPr>
          <w:rFonts w:ascii="宋体" w:hAnsi="宋体"/>
          <w:sz w:val="24"/>
        </w:rPr>
        <w:t xml:space="preserve"> </w:t>
      </w:r>
      <w:r>
        <w:rPr>
          <w:rFonts w:ascii="宋体" w:hAnsi="宋体"/>
          <w:sz w:val="24"/>
        </w:rPr>
        <w:tab/>
      </w:r>
      <w:r>
        <w:rPr>
          <w:rFonts w:hint="eastAsia" w:ascii="宋体" w:hAnsi="宋体"/>
          <w:sz w:val="24"/>
        </w:rPr>
        <w:t>年</w:t>
      </w:r>
      <w:r>
        <w:rPr>
          <w:rFonts w:ascii="宋体" w:hAnsi="宋体"/>
          <w:sz w:val="24"/>
        </w:rPr>
        <w:t xml:space="preserve"> </w:t>
      </w:r>
      <w:r>
        <w:rPr>
          <w:rFonts w:ascii="宋体" w:hAnsi="宋体"/>
          <w:sz w:val="24"/>
        </w:rPr>
        <w:tab/>
      </w:r>
      <w:r>
        <w:rPr>
          <w:rFonts w:hint="eastAsia" w:ascii="宋体" w:hAnsi="宋体"/>
          <w:sz w:val="24"/>
        </w:rPr>
        <w:t>月</w:t>
      </w:r>
      <w:r>
        <w:rPr>
          <w:rFonts w:ascii="宋体" w:hAnsi="宋体"/>
          <w:sz w:val="24"/>
        </w:rPr>
        <w:t xml:space="preserve"> </w:t>
      </w:r>
      <w:r>
        <w:rPr>
          <w:rFonts w:ascii="宋体" w:hAnsi="宋体"/>
          <w:sz w:val="24"/>
        </w:rPr>
        <w:tab/>
      </w:r>
      <w:r>
        <w:rPr>
          <w:rFonts w:hint="eastAsia" w:ascii="宋体" w:hAnsi="宋体"/>
          <w:sz w:val="24"/>
        </w:rPr>
        <w:t>日</w:t>
      </w:r>
    </w:p>
    <w:p w14:paraId="4805A23A">
      <w:pPr>
        <w:snapToGrid w:val="0"/>
        <w:spacing w:before="120" w:beforeLines="50" w:after="50"/>
        <w:jc w:val="left"/>
        <w:rPr>
          <w:rFonts w:hint="eastAsia" w:ascii="宋体" w:hAnsi="宋体"/>
          <w:b/>
          <w:sz w:val="24"/>
        </w:rPr>
      </w:pPr>
    </w:p>
    <w:p w14:paraId="21D72334">
      <w:pPr>
        <w:snapToGrid w:val="0"/>
        <w:spacing w:before="120" w:beforeLines="50" w:after="50"/>
        <w:jc w:val="left"/>
        <w:rPr>
          <w:rFonts w:ascii="宋体" w:hAnsi="宋体"/>
          <w:b/>
          <w:sz w:val="24"/>
        </w:rPr>
      </w:pPr>
      <w:r>
        <w:rPr>
          <w:rFonts w:ascii="宋体" w:hAnsi="宋体"/>
          <w:b/>
          <w:sz w:val="24"/>
        </w:rPr>
        <w:t>2</w:t>
      </w:r>
      <w:r>
        <w:rPr>
          <w:rFonts w:hint="eastAsia" w:ascii="宋体" w:hAnsi="宋体"/>
          <w:b/>
          <w:sz w:val="24"/>
        </w:rPr>
        <w:t>.中小企业声明函格式</w:t>
      </w:r>
    </w:p>
    <w:p w14:paraId="753A7353">
      <w:pPr>
        <w:snapToGrid w:val="0"/>
        <w:spacing w:before="120" w:beforeLines="50" w:after="50"/>
        <w:jc w:val="left"/>
        <w:rPr>
          <w:rFonts w:ascii="宋体" w:hAnsi="宋体"/>
          <w:b/>
          <w:sz w:val="24"/>
        </w:rPr>
      </w:pPr>
    </w:p>
    <w:p w14:paraId="260D23B5">
      <w:pPr>
        <w:rPr>
          <w:rFonts w:hint="eastAsia"/>
        </w:rPr>
      </w:pPr>
    </w:p>
    <w:p w14:paraId="42222226">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中小企业声明函（货物）</w:t>
      </w:r>
    </w:p>
    <w:p w14:paraId="1D8EEC79">
      <w:pPr>
        <w:spacing w:before="2" w:line="500" w:lineRule="exact"/>
        <w:rPr>
          <w:rFonts w:ascii="宋体" w:hAnsi="宋体" w:cs="宋体"/>
          <w:b/>
          <w:bCs/>
          <w:sz w:val="27"/>
          <w:szCs w:val="27"/>
        </w:rPr>
      </w:pPr>
    </w:p>
    <w:p w14:paraId="3DFBEBC2">
      <w:pPr>
        <w:pStyle w:val="18"/>
        <w:spacing w:line="360" w:lineRule="auto"/>
        <w:ind w:left="-426" w:leftChars="-203" w:right="142" w:firstLine="480" w:firstLineChars="200"/>
        <w:contextualSpacing/>
        <w:rPr>
          <w:rFonts w:ascii="宋体" w:hAnsi="宋体"/>
          <w:kern w:val="24"/>
        </w:rPr>
      </w:pPr>
      <w:r>
        <w:rPr>
          <w:rFonts w:ascii="宋体" w:hAnsi="宋体"/>
          <w:kern w:val="24"/>
        </w:rPr>
        <w:t>本公司郑重声明，根据《政府采购促进中小企业发展管理办法》（财库﹝2020﹞46号）的规定，本公司参加</w:t>
      </w:r>
      <w:r>
        <w:rPr>
          <w:rFonts w:ascii="宋体" w:hAnsi="宋体"/>
          <w:kern w:val="24"/>
          <w:u w:val="single"/>
        </w:rPr>
        <w:t>（单位名称）</w:t>
      </w:r>
      <w:r>
        <w:rPr>
          <w:rFonts w:ascii="宋体" w:hAnsi="宋体"/>
          <w:kern w:val="24"/>
        </w:rPr>
        <w:t>的</w:t>
      </w:r>
      <w:r>
        <w:rPr>
          <w:rFonts w:ascii="宋体" w:hAnsi="宋体"/>
          <w:kern w:val="24"/>
          <w:u w:val="single"/>
        </w:rPr>
        <w:t>（项目名称）</w:t>
      </w:r>
      <w:r>
        <w:rPr>
          <w:rFonts w:ascii="宋体" w:hAnsi="宋体"/>
          <w:kern w:val="24"/>
        </w:rPr>
        <w:t>采购活动，提供的货物全部由符合政策要求的中小企业制造。相关企业的具体情况如下：</w:t>
      </w:r>
    </w:p>
    <w:p w14:paraId="0D1E8424">
      <w:pPr>
        <w:tabs>
          <w:tab w:val="left" w:pos="1384"/>
          <w:tab w:val="left" w:pos="4562"/>
          <w:tab w:val="left" w:pos="6803"/>
        </w:tabs>
        <w:spacing w:line="360" w:lineRule="auto"/>
        <w:ind w:left="-426" w:right="-58" w:firstLine="655"/>
        <w:contextualSpacing/>
        <w:rPr>
          <w:rFonts w:ascii="宋体" w:hAnsi="宋体"/>
          <w:kern w:val="24"/>
          <w:sz w:val="24"/>
        </w:rPr>
      </w:pPr>
      <w:r>
        <w:rPr>
          <w:rFonts w:ascii="宋体" w:hAnsi="宋体"/>
          <w:kern w:val="24"/>
          <w:sz w:val="24"/>
        </w:rPr>
        <w:t>1.</w:t>
      </w:r>
      <w:r>
        <w:rPr>
          <w:rFonts w:ascii="宋体" w:hAnsi="宋体"/>
          <w:kern w:val="24"/>
          <w:sz w:val="24"/>
          <w:u w:val="single"/>
        </w:rPr>
        <w:t>（标的名称）</w:t>
      </w:r>
      <w:r>
        <w:rPr>
          <w:rFonts w:ascii="宋体" w:hAnsi="宋体"/>
          <w:kern w:val="24"/>
          <w:sz w:val="24"/>
        </w:rPr>
        <w:t>，属于</w:t>
      </w:r>
      <w:r>
        <w:rPr>
          <w:rFonts w:ascii="宋体" w:hAnsi="宋体"/>
          <w:kern w:val="24"/>
          <w:sz w:val="24"/>
          <w:u w:val="single"/>
        </w:rPr>
        <w:t>（采购文件中明确的所属行业）</w:t>
      </w:r>
      <w:r>
        <w:rPr>
          <w:rFonts w:ascii="宋体" w:hAnsi="宋体"/>
          <w:kern w:val="24"/>
          <w:sz w:val="24"/>
        </w:rPr>
        <w:t>行业；制造商为</w:t>
      </w:r>
      <w:r>
        <w:rPr>
          <w:rFonts w:ascii="宋体" w:hAnsi="宋体"/>
          <w:kern w:val="24"/>
          <w:sz w:val="24"/>
          <w:u w:val="single"/>
        </w:rPr>
        <w:t>（企业名称）</w:t>
      </w:r>
      <w:r>
        <w:rPr>
          <w:rFonts w:ascii="宋体" w:hAnsi="宋体"/>
          <w:kern w:val="24"/>
          <w:sz w:val="24"/>
        </w:rPr>
        <w:t>，从业人员</w:t>
      </w:r>
      <w:r>
        <w:rPr>
          <w:rFonts w:hint="eastAsia" w:ascii="宋体" w:hAnsi="宋体"/>
          <w:kern w:val="24"/>
          <w:sz w:val="24"/>
          <w:u w:val="single"/>
        </w:rPr>
        <w:t xml:space="preserve"> </w:t>
      </w:r>
      <w:r>
        <w:rPr>
          <w:rFonts w:ascii="宋体" w:hAnsi="宋体"/>
          <w:kern w:val="24"/>
          <w:sz w:val="24"/>
          <w:u w:val="single"/>
        </w:rPr>
        <w:t xml:space="preserve">     </w:t>
      </w:r>
      <w:r>
        <w:rPr>
          <w:rFonts w:ascii="宋体" w:hAnsi="宋体"/>
          <w:kern w:val="24"/>
          <w:sz w:val="24"/>
        </w:rPr>
        <w:t>人，营业收入为</w:t>
      </w:r>
      <w:r>
        <w:rPr>
          <w:rFonts w:hint="eastAsia" w:ascii="宋体" w:hAnsi="宋体"/>
          <w:kern w:val="24"/>
          <w:sz w:val="24"/>
          <w:u w:val="single"/>
        </w:rPr>
        <w:t xml:space="preserve"> </w:t>
      </w:r>
      <w:r>
        <w:rPr>
          <w:rFonts w:ascii="宋体" w:hAnsi="宋体"/>
          <w:kern w:val="24"/>
          <w:sz w:val="24"/>
          <w:u w:val="single"/>
        </w:rPr>
        <w:t xml:space="preserve">     </w:t>
      </w:r>
      <w:r>
        <w:rPr>
          <w:rFonts w:ascii="宋体" w:hAnsi="宋体"/>
          <w:kern w:val="24"/>
          <w:sz w:val="24"/>
        </w:rPr>
        <w:t>万元，资产总额为</w:t>
      </w:r>
      <w:r>
        <w:rPr>
          <w:rFonts w:hint="eastAsia" w:ascii="宋体" w:hAnsi="宋体"/>
          <w:kern w:val="24"/>
          <w:sz w:val="24"/>
          <w:u w:val="single"/>
        </w:rPr>
        <w:t xml:space="preserve"> </w:t>
      </w:r>
      <w:r>
        <w:rPr>
          <w:rFonts w:ascii="宋体" w:hAnsi="宋体"/>
          <w:kern w:val="24"/>
          <w:sz w:val="24"/>
          <w:u w:val="single"/>
        </w:rPr>
        <w:t xml:space="preserve">     </w:t>
      </w:r>
      <w:r>
        <w:rPr>
          <w:rFonts w:ascii="宋体" w:hAnsi="宋体"/>
          <w:kern w:val="24"/>
          <w:sz w:val="24"/>
        </w:rPr>
        <w:t>万元，属于</w:t>
      </w:r>
      <w:r>
        <w:rPr>
          <w:rFonts w:ascii="宋体" w:hAnsi="宋体"/>
          <w:kern w:val="24"/>
          <w:sz w:val="24"/>
          <w:u w:val="single"/>
        </w:rPr>
        <w:t>（中型企业、小型企业、微型企业）</w:t>
      </w:r>
      <w:r>
        <w:rPr>
          <w:rFonts w:ascii="宋体" w:hAnsi="宋体"/>
          <w:kern w:val="24"/>
          <w:sz w:val="24"/>
        </w:rPr>
        <w:t>；</w:t>
      </w:r>
    </w:p>
    <w:p w14:paraId="27E86740">
      <w:pPr>
        <w:tabs>
          <w:tab w:val="left" w:pos="1065"/>
          <w:tab w:val="left" w:pos="6477"/>
        </w:tabs>
        <w:spacing w:line="360" w:lineRule="auto"/>
        <w:ind w:left="-426" w:right="-58" w:firstLine="655"/>
        <w:contextualSpacing/>
        <w:rPr>
          <w:rFonts w:ascii="宋体" w:hAnsi="宋体"/>
          <w:kern w:val="24"/>
          <w:sz w:val="24"/>
        </w:rPr>
      </w:pPr>
      <w:r>
        <w:rPr>
          <w:rFonts w:ascii="宋体" w:hAnsi="宋体"/>
          <w:kern w:val="24"/>
          <w:sz w:val="24"/>
        </w:rPr>
        <w:t>2.</w:t>
      </w:r>
      <w:r>
        <w:rPr>
          <w:rFonts w:ascii="宋体" w:hAnsi="宋体"/>
          <w:kern w:val="24"/>
          <w:sz w:val="24"/>
          <w:u w:val="single"/>
        </w:rPr>
        <w:t>（标的名称）</w:t>
      </w:r>
      <w:r>
        <w:rPr>
          <w:rFonts w:ascii="宋体" w:hAnsi="宋体"/>
          <w:kern w:val="24"/>
          <w:sz w:val="24"/>
        </w:rPr>
        <w:t>，属于</w:t>
      </w:r>
      <w:r>
        <w:rPr>
          <w:rFonts w:ascii="宋体" w:hAnsi="宋体"/>
          <w:kern w:val="24"/>
          <w:sz w:val="24"/>
          <w:u w:val="single"/>
        </w:rPr>
        <w:t>（采购文件中明确的所属行业）</w:t>
      </w:r>
      <w:r>
        <w:rPr>
          <w:rFonts w:ascii="宋体" w:hAnsi="宋体"/>
          <w:kern w:val="24"/>
          <w:sz w:val="24"/>
        </w:rPr>
        <w:t>行业；制造商为</w:t>
      </w:r>
      <w:r>
        <w:rPr>
          <w:rFonts w:ascii="宋体" w:hAnsi="宋体"/>
          <w:kern w:val="24"/>
          <w:sz w:val="24"/>
          <w:u w:val="single"/>
        </w:rPr>
        <w:t>（企业名称）</w:t>
      </w:r>
      <w:r>
        <w:rPr>
          <w:rFonts w:ascii="宋体" w:hAnsi="宋体"/>
          <w:kern w:val="24"/>
          <w:sz w:val="24"/>
        </w:rPr>
        <w:t>，从业人员</w:t>
      </w:r>
      <w:r>
        <w:rPr>
          <w:rFonts w:hint="eastAsia" w:ascii="宋体" w:hAnsi="宋体"/>
          <w:kern w:val="24"/>
          <w:sz w:val="24"/>
          <w:u w:val="single"/>
        </w:rPr>
        <w:t xml:space="preserve"> </w:t>
      </w:r>
      <w:r>
        <w:rPr>
          <w:rFonts w:ascii="宋体" w:hAnsi="宋体"/>
          <w:kern w:val="24"/>
          <w:sz w:val="24"/>
          <w:u w:val="single"/>
        </w:rPr>
        <w:t xml:space="preserve">     </w:t>
      </w:r>
      <w:r>
        <w:rPr>
          <w:rFonts w:ascii="宋体" w:hAnsi="宋体"/>
          <w:kern w:val="24"/>
          <w:sz w:val="24"/>
        </w:rPr>
        <w:t>人，营业收入为</w:t>
      </w:r>
      <w:r>
        <w:rPr>
          <w:rFonts w:hint="eastAsia" w:ascii="宋体" w:hAnsi="宋体"/>
          <w:kern w:val="24"/>
          <w:sz w:val="24"/>
          <w:u w:val="single"/>
        </w:rPr>
        <w:t xml:space="preserve"> </w:t>
      </w:r>
      <w:r>
        <w:rPr>
          <w:rFonts w:ascii="宋体" w:hAnsi="宋体"/>
          <w:kern w:val="24"/>
          <w:sz w:val="24"/>
          <w:u w:val="single"/>
        </w:rPr>
        <w:t xml:space="preserve">     </w:t>
      </w:r>
      <w:r>
        <w:rPr>
          <w:rFonts w:ascii="宋体" w:hAnsi="宋体"/>
          <w:kern w:val="24"/>
          <w:sz w:val="24"/>
        </w:rPr>
        <w:t>万元，资产总额为</w:t>
      </w:r>
      <w:r>
        <w:rPr>
          <w:rFonts w:hint="eastAsia" w:ascii="宋体" w:hAnsi="宋体"/>
          <w:kern w:val="24"/>
          <w:sz w:val="24"/>
          <w:u w:val="single"/>
        </w:rPr>
        <w:t xml:space="preserve"> </w:t>
      </w:r>
      <w:r>
        <w:rPr>
          <w:rFonts w:ascii="宋体" w:hAnsi="宋体"/>
          <w:kern w:val="24"/>
          <w:sz w:val="24"/>
          <w:u w:val="single"/>
        </w:rPr>
        <w:t xml:space="preserve">     </w:t>
      </w:r>
      <w:r>
        <w:rPr>
          <w:rFonts w:ascii="宋体" w:hAnsi="宋体"/>
          <w:kern w:val="24"/>
          <w:sz w:val="24"/>
        </w:rPr>
        <w:t>万元，属于</w:t>
      </w:r>
      <w:r>
        <w:rPr>
          <w:rFonts w:ascii="宋体" w:hAnsi="宋体"/>
          <w:kern w:val="24"/>
          <w:sz w:val="24"/>
          <w:u w:val="single"/>
        </w:rPr>
        <w:t>（中型企业、小型企业、微型企业）</w:t>
      </w:r>
      <w:r>
        <w:rPr>
          <w:rFonts w:ascii="宋体" w:hAnsi="宋体"/>
          <w:kern w:val="24"/>
          <w:sz w:val="24"/>
        </w:rPr>
        <w:t>；</w:t>
      </w:r>
    </w:p>
    <w:p w14:paraId="2B70EBC9">
      <w:pPr>
        <w:pStyle w:val="18"/>
        <w:spacing w:line="360" w:lineRule="auto"/>
        <w:ind w:left="142" w:right="142"/>
        <w:contextualSpacing/>
        <w:rPr>
          <w:rFonts w:ascii="宋体" w:hAnsi="宋体"/>
          <w:kern w:val="24"/>
        </w:rPr>
      </w:pPr>
      <w:r>
        <w:rPr>
          <w:rFonts w:ascii="宋体" w:hAnsi="宋体"/>
          <w:kern w:val="24"/>
        </w:rPr>
        <w:t xml:space="preserve">…… </w:t>
      </w:r>
    </w:p>
    <w:p w14:paraId="3EE78ABC">
      <w:pPr>
        <w:pStyle w:val="18"/>
        <w:spacing w:line="360" w:lineRule="auto"/>
        <w:ind w:left="-405" w:leftChars="-193" w:right="142" w:firstLine="453" w:firstLineChars="189"/>
        <w:contextualSpacing/>
        <w:rPr>
          <w:rFonts w:ascii="宋体" w:hAnsi="宋体"/>
          <w:kern w:val="24"/>
        </w:rPr>
      </w:pPr>
      <w:r>
        <w:rPr>
          <w:rFonts w:ascii="宋体" w:hAnsi="宋体"/>
          <w:kern w:val="24"/>
        </w:rPr>
        <w:t>以上企业，不属于大企业的分支机构，不存在控股股东为大企业的情形，也不存在与大企业的负责人为同一人的情形。</w:t>
      </w:r>
    </w:p>
    <w:p w14:paraId="716F3EE2">
      <w:pPr>
        <w:pStyle w:val="18"/>
        <w:spacing w:line="360" w:lineRule="auto"/>
        <w:ind w:left="-426" w:right="142" w:firstLine="567"/>
        <w:contextualSpacing/>
        <w:rPr>
          <w:rFonts w:ascii="宋体" w:hAnsi="宋体"/>
          <w:kern w:val="24"/>
        </w:rPr>
      </w:pPr>
      <w:r>
        <w:rPr>
          <w:rFonts w:ascii="宋体" w:hAnsi="宋体"/>
          <w:kern w:val="24"/>
        </w:rPr>
        <w:t>本企业对上述声明内容的真实性负责。如有虚假，将依法承担相应责任。</w:t>
      </w:r>
    </w:p>
    <w:p w14:paraId="7C3D9FDE">
      <w:pPr>
        <w:pStyle w:val="18"/>
        <w:spacing w:line="360" w:lineRule="auto"/>
        <w:ind w:left="3960" w:right="1808"/>
        <w:contextualSpacing/>
        <w:rPr>
          <w:rFonts w:hint="eastAsia" w:ascii="宋体" w:hAnsi="宋体"/>
          <w:kern w:val="24"/>
        </w:rPr>
      </w:pPr>
    </w:p>
    <w:p w14:paraId="71895AC2">
      <w:pPr>
        <w:pStyle w:val="18"/>
        <w:spacing w:line="360" w:lineRule="auto"/>
        <w:ind w:left="3960" w:right="1808"/>
        <w:contextualSpacing/>
        <w:rPr>
          <w:rFonts w:ascii="宋体" w:hAnsi="宋体"/>
          <w:kern w:val="24"/>
        </w:rPr>
      </w:pPr>
      <w:r>
        <w:rPr>
          <w:rFonts w:ascii="宋体" w:hAnsi="宋体"/>
          <w:kern w:val="24"/>
        </w:rPr>
        <w:t>企业名称（</w:t>
      </w:r>
      <w:r>
        <w:rPr>
          <w:rFonts w:hint="eastAsia" w:ascii="宋体" w:hAnsi="宋体"/>
          <w:kern w:val="24"/>
        </w:rPr>
        <w:t>电子签章</w:t>
      </w:r>
      <w:r>
        <w:rPr>
          <w:rFonts w:ascii="宋体" w:hAnsi="宋体"/>
          <w:kern w:val="24"/>
        </w:rPr>
        <w:t xml:space="preserve">）： </w:t>
      </w:r>
    </w:p>
    <w:p w14:paraId="201F6F56">
      <w:pPr>
        <w:pStyle w:val="18"/>
        <w:spacing w:line="360" w:lineRule="auto"/>
        <w:ind w:left="3960" w:right="1808"/>
        <w:contextualSpacing/>
        <w:rPr>
          <w:rFonts w:ascii="宋体" w:hAnsi="宋体"/>
          <w:kern w:val="24"/>
        </w:rPr>
      </w:pPr>
      <w:r>
        <w:rPr>
          <w:rFonts w:ascii="宋体" w:hAnsi="宋体"/>
          <w:kern w:val="24"/>
        </w:rPr>
        <w:t>日</w:t>
      </w:r>
      <w:r>
        <w:rPr>
          <w:rFonts w:hint="eastAsia" w:ascii="宋体" w:hAnsi="宋体"/>
          <w:kern w:val="24"/>
        </w:rPr>
        <w:t xml:space="preserve"> </w:t>
      </w:r>
      <w:r>
        <w:rPr>
          <w:rFonts w:ascii="宋体" w:hAnsi="宋体"/>
          <w:kern w:val="24"/>
        </w:rPr>
        <w:t>期：</w:t>
      </w:r>
    </w:p>
    <w:p w14:paraId="0E2DF58A">
      <w:pPr>
        <w:pStyle w:val="18"/>
        <w:spacing w:line="360" w:lineRule="auto"/>
        <w:ind w:left="3960" w:right="1808"/>
        <w:contextualSpacing/>
        <w:rPr>
          <w:rFonts w:ascii="宋体" w:hAnsi="宋体"/>
          <w:kern w:val="24"/>
        </w:rPr>
      </w:pPr>
    </w:p>
    <w:p w14:paraId="24BA7E0D">
      <w:pPr>
        <w:pStyle w:val="18"/>
        <w:spacing w:line="360" w:lineRule="auto"/>
        <w:ind w:left="-426" w:right="142" w:firstLine="567"/>
        <w:contextualSpacing/>
        <w:rPr>
          <w:rFonts w:ascii="宋体" w:hAnsi="宋体"/>
          <w:kern w:val="24"/>
        </w:rPr>
      </w:pPr>
      <w:r>
        <w:rPr>
          <w:rFonts w:hint="eastAsia" w:ascii="宋体" w:hAnsi="宋体"/>
          <w:kern w:val="24"/>
        </w:rPr>
        <w:t>注：享受《政府采购促进中小企业发展管理办法》（财库〔2020〕46号）规定的中小企业扶持政策的，采购人、采购代理机构应当随中标结果公开中标供应商的《中小企业声明函》。从业人员、营业收入、资产总额填报上一年度数据，无上一年度数据的新成立企业可不填报。</w:t>
      </w:r>
    </w:p>
    <w:p w14:paraId="2AEB5782">
      <w:pPr>
        <w:rPr>
          <w:rFonts w:ascii="宋体" w:hAnsi="宋体"/>
          <w:b/>
          <w:sz w:val="24"/>
        </w:rPr>
      </w:pPr>
      <w:r>
        <w:rPr>
          <w:rFonts w:ascii="宋体" w:hAnsi="宋体"/>
          <w:kern w:val="24"/>
        </w:rPr>
        <w:br w:type="page"/>
      </w:r>
    </w:p>
    <w:p w14:paraId="716069BA">
      <w:pPr>
        <w:snapToGrid w:val="0"/>
        <w:spacing w:before="120" w:beforeLines="50" w:after="50"/>
        <w:ind w:left="142"/>
        <w:jc w:val="left"/>
        <w:rPr>
          <w:rFonts w:hint="eastAsia" w:ascii="宋体" w:hAnsi="宋体"/>
          <w:b/>
          <w:sz w:val="24"/>
        </w:rPr>
      </w:pPr>
      <w:r>
        <w:rPr>
          <w:rFonts w:ascii="宋体" w:hAnsi="宋体"/>
          <w:b/>
          <w:sz w:val="24"/>
        </w:rPr>
        <w:t>3</w:t>
      </w:r>
      <w:r>
        <w:rPr>
          <w:rFonts w:hint="eastAsia" w:ascii="宋体" w:hAnsi="宋体"/>
          <w:b/>
          <w:sz w:val="24"/>
        </w:rPr>
        <w:t>.残疾人福利性单位声明函格式</w:t>
      </w:r>
    </w:p>
    <w:p w14:paraId="1E54A99B">
      <w:pPr>
        <w:spacing w:line="588" w:lineRule="exact"/>
        <w:jc w:val="center"/>
        <w:rPr>
          <w:rFonts w:hint="eastAsia" w:ascii="仿宋_GB2312" w:eastAsia="仿宋_GB2312"/>
          <w:b/>
          <w:spacing w:val="6"/>
          <w:sz w:val="32"/>
          <w:szCs w:val="32"/>
        </w:rPr>
      </w:pPr>
    </w:p>
    <w:p w14:paraId="4E50E519">
      <w:pPr>
        <w:spacing w:line="588" w:lineRule="exact"/>
        <w:jc w:val="center"/>
        <w:rPr>
          <w:rFonts w:hint="eastAsia" w:ascii="方正小标宋简体" w:hAnsi="方正小标宋简体" w:eastAsia="方正小标宋简体" w:cs="方正小标宋简体"/>
          <w:bCs/>
          <w:spacing w:val="6"/>
          <w:sz w:val="44"/>
          <w:szCs w:val="44"/>
        </w:rPr>
      </w:pPr>
      <w:r>
        <w:rPr>
          <w:rFonts w:hint="eastAsia" w:ascii="方正小标宋简体" w:hAnsi="方正小标宋简体" w:eastAsia="方正小标宋简体" w:cs="方正小标宋简体"/>
          <w:bCs/>
          <w:spacing w:val="6"/>
          <w:sz w:val="44"/>
          <w:szCs w:val="44"/>
        </w:rPr>
        <w:t>残疾人福利性单位声明函</w:t>
      </w:r>
    </w:p>
    <w:p w14:paraId="46AA7C06">
      <w:pPr>
        <w:spacing w:line="360" w:lineRule="auto"/>
        <w:contextualSpacing/>
        <w:rPr>
          <w:rFonts w:ascii="仿宋_GB2312" w:eastAsia="仿宋_GB2312"/>
          <w:bCs/>
          <w:spacing w:val="6"/>
          <w:sz w:val="30"/>
          <w:szCs w:val="30"/>
        </w:rPr>
      </w:pPr>
    </w:p>
    <w:p w14:paraId="061D348F">
      <w:pPr>
        <w:spacing w:line="360" w:lineRule="auto"/>
        <w:ind w:firstLine="504" w:firstLineChars="200"/>
        <w:contextualSpacing/>
        <w:rPr>
          <w:rFonts w:ascii="宋体" w:hAnsi="宋体"/>
          <w:spacing w:val="6"/>
          <w:sz w:val="24"/>
        </w:rPr>
      </w:pPr>
      <w:r>
        <w:rPr>
          <w:rFonts w:hint="eastAsia" w:ascii="宋体" w:hAnsi="宋体"/>
          <w:spacing w:val="6"/>
          <w:sz w:val="24"/>
        </w:rPr>
        <w:t>本单位郑重声明，根据《财政部 民政部 中国残疾人联合会关于促进残疾人就业政府采购政策的通知》（财库</w:t>
      </w:r>
      <w:r>
        <w:rPr>
          <w:rFonts w:hint="eastAsia" w:ascii="宋体" w:hAnsi="宋体"/>
          <w:sz w:val="24"/>
        </w:rPr>
        <w:t>〔2017〕 141</w:t>
      </w:r>
      <w:r>
        <w:rPr>
          <w:rFonts w:hint="eastAsia" w:ascii="宋体" w:hAnsi="宋体"/>
          <w:spacing w:val="6"/>
          <w:sz w:val="24"/>
        </w:rPr>
        <w:t>号）的规定，本单位为符合条件的残疾人福利性单位，且本单位参加______单位的______项目采购活动提供本单位制造的货物（由本单位承担工程/提供服务），或者提供其他残</w:t>
      </w:r>
      <w:r>
        <w:rPr>
          <w:rFonts w:hint="eastAsia" w:ascii="宋体" w:hAnsi="宋体"/>
          <w:spacing w:val="-6"/>
          <w:sz w:val="24"/>
        </w:rPr>
        <w:t>疾人福利性单位制造的货物（不包括使用非残疾人福利性单位注册商标的货物）。</w:t>
      </w:r>
    </w:p>
    <w:p w14:paraId="0C32EAA0">
      <w:pPr>
        <w:spacing w:line="360" w:lineRule="auto"/>
        <w:ind w:firstLine="504" w:firstLineChars="200"/>
        <w:contextualSpacing/>
        <w:rPr>
          <w:rFonts w:ascii="宋体" w:hAnsi="宋体"/>
          <w:spacing w:val="6"/>
          <w:sz w:val="24"/>
        </w:rPr>
      </w:pPr>
      <w:r>
        <w:rPr>
          <w:rFonts w:hint="eastAsia" w:ascii="宋体" w:hAnsi="宋体"/>
          <w:spacing w:val="6"/>
          <w:sz w:val="24"/>
        </w:rPr>
        <w:t>本单位对上述声明的真实性负责。如有虚假，将依法承担相应责任。</w:t>
      </w:r>
    </w:p>
    <w:p w14:paraId="1C28B8E7">
      <w:pPr>
        <w:spacing w:line="360" w:lineRule="auto"/>
        <w:ind w:firstLine="504" w:firstLineChars="200"/>
        <w:contextualSpacing/>
        <w:rPr>
          <w:rFonts w:ascii="宋体" w:hAnsi="宋体"/>
          <w:spacing w:val="6"/>
          <w:sz w:val="24"/>
        </w:rPr>
      </w:pPr>
    </w:p>
    <w:p w14:paraId="425FDA55">
      <w:pPr>
        <w:spacing w:line="360" w:lineRule="auto"/>
        <w:ind w:firstLine="504" w:firstLineChars="200"/>
        <w:contextualSpacing/>
        <w:rPr>
          <w:rFonts w:ascii="宋体" w:hAnsi="宋体"/>
          <w:spacing w:val="6"/>
          <w:sz w:val="24"/>
        </w:rPr>
      </w:pPr>
    </w:p>
    <w:p w14:paraId="318026F0">
      <w:pPr>
        <w:tabs>
          <w:tab w:val="left" w:pos="4860"/>
        </w:tabs>
        <w:spacing w:line="360" w:lineRule="auto"/>
        <w:ind w:right="1560" w:firstLine="504" w:firstLineChars="200"/>
        <w:contextualSpacing/>
        <w:jc w:val="center"/>
        <w:rPr>
          <w:rFonts w:ascii="宋体" w:hAnsi="宋体"/>
          <w:spacing w:val="6"/>
          <w:sz w:val="24"/>
        </w:rPr>
      </w:pPr>
      <w:r>
        <w:rPr>
          <w:rFonts w:hint="eastAsia" w:ascii="宋体" w:hAnsi="宋体"/>
          <w:spacing w:val="6"/>
          <w:sz w:val="24"/>
        </w:rPr>
        <w:t>单位名称（电子签章）：</w:t>
      </w:r>
    </w:p>
    <w:p w14:paraId="77D409E3">
      <w:pPr>
        <w:tabs>
          <w:tab w:val="left" w:pos="4860"/>
        </w:tabs>
        <w:spacing w:line="360" w:lineRule="auto"/>
        <w:ind w:right="1560" w:firstLine="504" w:firstLineChars="200"/>
        <w:contextualSpacing/>
        <w:jc w:val="center"/>
        <w:rPr>
          <w:rFonts w:ascii="宋体" w:hAnsi="宋体"/>
          <w:spacing w:val="6"/>
          <w:sz w:val="24"/>
        </w:rPr>
      </w:pPr>
      <w:r>
        <w:rPr>
          <w:rFonts w:hint="eastAsia" w:ascii="宋体" w:hAnsi="宋体"/>
          <w:spacing w:val="6"/>
          <w:sz w:val="24"/>
        </w:rPr>
        <w:t>日  期：</w:t>
      </w:r>
    </w:p>
    <w:p w14:paraId="42841CBE">
      <w:pPr>
        <w:spacing w:line="360" w:lineRule="auto"/>
        <w:contextualSpacing/>
        <w:rPr>
          <w:rFonts w:ascii="宋体" w:hAnsi="宋体"/>
          <w:sz w:val="24"/>
        </w:rPr>
      </w:pPr>
    </w:p>
    <w:p w14:paraId="3153F49D">
      <w:pPr>
        <w:spacing w:line="360" w:lineRule="auto"/>
        <w:contextualSpacing/>
        <w:rPr>
          <w:rFonts w:hint="eastAsia" w:ascii="宋体" w:hAnsi="宋体"/>
          <w:sz w:val="24"/>
        </w:rPr>
      </w:pPr>
    </w:p>
    <w:p w14:paraId="22CB3355">
      <w:pPr>
        <w:spacing w:line="360" w:lineRule="auto"/>
        <w:contextualSpacing/>
        <w:rPr>
          <w:rFonts w:ascii="宋体" w:hAnsi="宋体"/>
          <w:sz w:val="24"/>
        </w:rPr>
      </w:pPr>
    </w:p>
    <w:p w14:paraId="42D6789C">
      <w:pPr>
        <w:spacing w:line="360" w:lineRule="auto"/>
        <w:contextualSpacing/>
        <w:rPr>
          <w:rFonts w:hint="eastAsia" w:ascii="宋体" w:hAnsi="宋体"/>
          <w:sz w:val="24"/>
        </w:rPr>
      </w:pPr>
      <w:r>
        <w:rPr>
          <w:rFonts w:hint="eastAsia" w:ascii="宋体" w:hAnsi="宋体"/>
          <w:sz w:val="24"/>
        </w:rPr>
        <w:t>注：请根据自己的真实情况出具《残疾人福利性单位声明函》。依法享受中小企业优惠政策的，采购人或者采购代理机构在公告中标结果时，同时公告其《残疾人福利性单位声明函》，接受社会监督。</w:t>
      </w:r>
    </w:p>
    <w:p w14:paraId="119F527C">
      <w:pPr>
        <w:pStyle w:val="18"/>
        <w:rPr>
          <w:rFonts w:ascii="宋体" w:hAnsi="宋体"/>
          <w:b/>
        </w:rPr>
      </w:pPr>
      <w:r>
        <w:rPr>
          <w:rFonts w:hint="eastAsia" w:ascii="宋体" w:hAnsi="宋体"/>
        </w:rPr>
        <w:br w:type="page"/>
      </w:r>
      <w:r>
        <w:rPr>
          <w:rFonts w:ascii="宋体" w:hAnsi="宋体"/>
          <w:b/>
        </w:rPr>
        <w:t>4</w:t>
      </w:r>
      <w:r>
        <w:rPr>
          <w:rFonts w:hint="eastAsia" w:ascii="宋体" w:hAnsi="宋体"/>
          <w:b/>
        </w:rPr>
        <w:t>.关于符合本国产品标准的声明函格式</w:t>
      </w:r>
    </w:p>
    <w:p w14:paraId="7FC26A08">
      <w:pPr>
        <w:pStyle w:val="18"/>
      </w:pPr>
    </w:p>
    <w:p w14:paraId="1B214781">
      <w:pPr>
        <w:widowControl/>
        <w:shd w:val="clear" w:color="auto" w:fill="FFFFFF"/>
        <w:jc w:val="center"/>
        <w:rPr>
          <w:rFonts w:ascii="宋体" w:hAnsi="宋体" w:cs="宋体"/>
          <w:kern w:val="0"/>
          <w:sz w:val="36"/>
          <w:szCs w:val="36"/>
        </w:rPr>
      </w:pPr>
      <w:r>
        <w:rPr>
          <w:rFonts w:hint="eastAsia" w:ascii="宋体" w:hAnsi="宋体" w:cs="宋体"/>
          <w:b/>
          <w:bCs/>
          <w:kern w:val="0"/>
          <w:sz w:val="36"/>
          <w:szCs w:val="36"/>
        </w:rPr>
        <w:t>关于符合本国产品标准的声明函</w:t>
      </w:r>
    </w:p>
    <w:p w14:paraId="32F4C9D1">
      <w:pPr>
        <w:widowControl/>
        <w:shd w:val="clear" w:color="auto" w:fill="FFFFFF"/>
        <w:spacing w:before="30" w:after="30"/>
        <w:ind w:firstLine="480"/>
        <w:jc w:val="left"/>
        <w:rPr>
          <w:rFonts w:hint="eastAsia" w:ascii="宋体" w:hAnsi="宋体" w:cs="宋体"/>
          <w:kern w:val="0"/>
          <w:sz w:val="24"/>
        </w:rPr>
      </w:pPr>
      <w:r>
        <w:rPr>
          <w:rFonts w:hint="eastAsia" w:ascii="宋体" w:hAnsi="宋体" w:cs="宋体"/>
          <w:kern w:val="0"/>
          <w:sz w:val="24"/>
        </w:rPr>
        <w:t> </w:t>
      </w:r>
    </w:p>
    <w:p w14:paraId="5E3F9F15">
      <w:pPr>
        <w:widowControl/>
        <w:shd w:val="clear" w:color="auto" w:fill="FFFFFF"/>
        <w:spacing w:before="30" w:after="30"/>
        <w:ind w:firstLine="480"/>
        <w:jc w:val="left"/>
        <w:rPr>
          <w:rFonts w:hint="eastAsia" w:ascii="宋体" w:hAnsi="宋体" w:cs="宋体"/>
          <w:kern w:val="0"/>
          <w:sz w:val="24"/>
        </w:rPr>
      </w:pPr>
      <w:r>
        <w:rPr>
          <w:rFonts w:hint="eastAsia" w:ascii="宋体" w:hAnsi="宋体" w:cs="宋体"/>
          <w:kern w:val="0"/>
          <w:sz w:val="24"/>
        </w:rPr>
        <w:t>本公司（单位）郑重声明，根据《国务院办公厅关于在政府采购中实施本国产品标准及相关政策的通知》（国办发〔2025〕34号）的规定，本公司（单位）提供的以下产品属于本国产品。具体情况如下：</w:t>
      </w:r>
    </w:p>
    <w:p w14:paraId="7DFE9F19">
      <w:pPr>
        <w:widowControl/>
        <w:shd w:val="clear" w:color="auto" w:fill="FFFFFF"/>
        <w:ind w:firstLine="480"/>
        <w:jc w:val="left"/>
        <w:rPr>
          <w:rFonts w:hint="eastAsia" w:ascii="宋体" w:hAnsi="宋体" w:cs="宋体"/>
          <w:kern w:val="0"/>
          <w:sz w:val="24"/>
        </w:rPr>
      </w:pPr>
      <w:r>
        <w:rPr>
          <w:rFonts w:hint="eastAsia" w:ascii="宋体" w:hAnsi="宋体" w:cs="宋体"/>
          <w:kern w:val="0"/>
          <w:sz w:val="24"/>
        </w:rPr>
        <w:t>1.</w:t>
      </w:r>
      <w:r>
        <w:rPr>
          <w:rFonts w:hint="eastAsia" w:ascii="宋体" w:hAnsi="宋体" w:cs="宋体"/>
          <w:iCs/>
          <w:kern w:val="0"/>
          <w:sz w:val="24"/>
        </w:rPr>
        <w:t>（产品名称1）</w:t>
      </w:r>
      <w:r>
        <w:rPr>
          <w:rFonts w:hint="eastAsia" w:ascii="宋体" w:hAnsi="宋体" w:cs="宋体"/>
          <w:iCs/>
          <w:kern w:val="0"/>
          <w:sz w:val="18"/>
          <w:szCs w:val="18"/>
          <w:vertAlign w:val="superscript"/>
        </w:rPr>
        <w:t>1</w:t>
      </w:r>
      <w:r>
        <w:rPr>
          <w:rFonts w:hint="eastAsia" w:ascii="宋体" w:hAnsi="宋体" w:cs="宋体"/>
          <w:kern w:val="0"/>
          <w:sz w:val="24"/>
        </w:rPr>
        <w:t>，生产厂为</w:t>
      </w:r>
      <w:r>
        <w:rPr>
          <w:rFonts w:hint="eastAsia" w:ascii="宋体" w:hAnsi="宋体" w:cs="宋体"/>
          <w:iCs/>
          <w:kern w:val="0"/>
          <w:sz w:val="24"/>
        </w:rPr>
        <w:t>（厂名）</w:t>
      </w:r>
      <w:r>
        <w:rPr>
          <w:rFonts w:hint="eastAsia" w:ascii="宋体" w:hAnsi="宋体" w:cs="宋体"/>
          <w:iCs/>
          <w:kern w:val="0"/>
          <w:sz w:val="18"/>
          <w:szCs w:val="18"/>
          <w:vertAlign w:val="superscript"/>
        </w:rPr>
        <w:t>2</w:t>
      </w:r>
      <w:r>
        <w:rPr>
          <w:rFonts w:hint="eastAsia" w:ascii="宋体" w:hAnsi="宋体" w:cs="宋体"/>
          <w:kern w:val="0"/>
          <w:sz w:val="24"/>
        </w:rPr>
        <w:t>，厂址为</w:t>
      </w:r>
      <w:r>
        <w:rPr>
          <w:rFonts w:hint="eastAsia" w:ascii="宋体" w:hAnsi="宋体" w:cs="宋体"/>
          <w:iCs/>
          <w:kern w:val="0"/>
          <w:sz w:val="24"/>
        </w:rPr>
        <w:t>（生产厂址）</w:t>
      </w:r>
      <w:r>
        <w:rPr>
          <w:rFonts w:hint="eastAsia" w:ascii="宋体" w:hAnsi="宋体" w:cs="宋体"/>
          <w:kern w:val="0"/>
          <w:sz w:val="24"/>
        </w:rPr>
        <w:t>。</w:t>
      </w:r>
      <w:r>
        <w:rPr>
          <w:rFonts w:hint="eastAsia" w:ascii="宋体" w:hAnsi="宋体" w:cs="宋体"/>
          <w:iCs/>
          <w:kern w:val="0"/>
          <w:sz w:val="24"/>
        </w:rPr>
        <w:t>（产品名称1）</w:t>
      </w:r>
      <w:r>
        <w:rPr>
          <w:rFonts w:hint="eastAsia" w:ascii="宋体" w:hAnsi="宋体" w:cs="宋体"/>
          <w:kern w:val="0"/>
          <w:sz w:val="24"/>
        </w:rPr>
        <w:t>的中国境内生产的组件成本占比≥</w:t>
      </w:r>
      <w:r>
        <w:rPr>
          <w:rFonts w:hint="eastAsia" w:ascii="宋体" w:hAnsi="宋体" w:cs="宋体"/>
          <w:iCs/>
          <w:kern w:val="0"/>
          <w:sz w:val="24"/>
        </w:rPr>
        <w:t>（规定比例）</w:t>
      </w:r>
      <w:r>
        <w:rPr>
          <w:rFonts w:hint="eastAsia" w:ascii="宋体" w:hAnsi="宋体" w:cs="宋体"/>
          <w:iCs/>
          <w:kern w:val="0"/>
          <w:sz w:val="18"/>
          <w:szCs w:val="18"/>
          <w:vertAlign w:val="superscript"/>
        </w:rPr>
        <w:t>3</w:t>
      </w:r>
      <w:r>
        <w:rPr>
          <w:rFonts w:hint="eastAsia" w:ascii="宋体" w:hAnsi="宋体" w:cs="宋体"/>
          <w:kern w:val="0"/>
          <w:sz w:val="24"/>
        </w:rPr>
        <w:t>。</w:t>
      </w:r>
      <w:r>
        <w:rPr>
          <w:rFonts w:hint="eastAsia" w:ascii="宋体" w:hAnsi="宋体" w:cs="宋体"/>
          <w:iCs/>
          <w:kern w:val="0"/>
          <w:sz w:val="24"/>
        </w:rPr>
        <w:t>（产品名称1）</w:t>
      </w:r>
      <w:r>
        <w:rPr>
          <w:rFonts w:hint="eastAsia" w:ascii="宋体" w:hAnsi="宋体" w:cs="宋体"/>
          <w:kern w:val="0"/>
          <w:sz w:val="24"/>
        </w:rPr>
        <w:t>的</w:t>
      </w:r>
      <w:r>
        <w:rPr>
          <w:rFonts w:hint="eastAsia" w:ascii="宋体" w:hAnsi="宋体" w:cs="宋体"/>
          <w:iCs/>
          <w:kern w:val="0"/>
          <w:sz w:val="24"/>
        </w:rPr>
        <w:t>（关键组件）</w:t>
      </w:r>
      <w:r>
        <w:rPr>
          <w:rFonts w:hint="eastAsia" w:ascii="宋体" w:hAnsi="宋体" w:cs="宋体"/>
          <w:iCs/>
          <w:kern w:val="0"/>
          <w:sz w:val="18"/>
          <w:szCs w:val="18"/>
          <w:vertAlign w:val="superscript"/>
        </w:rPr>
        <w:t>4</w:t>
      </w:r>
      <w:r>
        <w:rPr>
          <w:rFonts w:hint="eastAsia" w:ascii="宋体" w:hAnsi="宋体" w:cs="宋体"/>
          <w:kern w:val="0"/>
          <w:sz w:val="24"/>
        </w:rPr>
        <w:t>在中国境内生产。</w:t>
      </w:r>
      <w:r>
        <w:rPr>
          <w:rFonts w:hint="eastAsia" w:ascii="宋体" w:hAnsi="宋体" w:cs="宋体"/>
          <w:iCs/>
          <w:kern w:val="0"/>
          <w:sz w:val="24"/>
        </w:rPr>
        <w:t>（产品名称1）</w:t>
      </w:r>
      <w:r>
        <w:rPr>
          <w:rFonts w:hint="eastAsia" w:ascii="宋体" w:hAnsi="宋体" w:cs="宋体"/>
          <w:kern w:val="0"/>
          <w:sz w:val="24"/>
        </w:rPr>
        <w:t>的</w:t>
      </w:r>
      <w:r>
        <w:rPr>
          <w:rFonts w:hint="eastAsia" w:ascii="宋体" w:hAnsi="宋体" w:cs="宋体"/>
          <w:iCs/>
          <w:kern w:val="0"/>
          <w:sz w:val="24"/>
        </w:rPr>
        <w:t>（关键工序）</w:t>
      </w:r>
      <w:r>
        <w:rPr>
          <w:rFonts w:hint="eastAsia" w:ascii="宋体" w:hAnsi="宋体" w:cs="宋体"/>
          <w:iCs/>
          <w:kern w:val="0"/>
          <w:sz w:val="18"/>
          <w:szCs w:val="18"/>
          <w:vertAlign w:val="superscript"/>
        </w:rPr>
        <w:t>5</w:t>
      </w:r>
      <w:r>
        <w:rPr>
          <w:rFonts w:hint="eastAsia" w:ascii="宋体" w:hAnsi="宋体" w:cs="宋体"/>
          <w:kern w:val="0"/>
          <w:sz w:val="24"/>
        </w:rPr>
        <w:t>在中国境内完成。</w:t>
      </w:r>
    </w:p>
    <w:p w14:paraId="52110508">
      <w:pPr>
        <w:widowControl/>
        <w:shd w:val="clear" w:color="auto" w:fill="FFFFFF"/>
        <w:ind w:firstLine="480"/>
        <w:jc w:val="left"/>
        <w:rPr>
          <w:rFonts w:hint="eastAsia" w:ascii="宋体" w:hAnsi="宋体" w:cs="宋体"/>
          <w:kern w:val="0"/>
          <w:sz w:val="24"/>
        </w:rPr>
      </w:pPr>
      <w:r>
        <w:rPr>
          <w:rFonts w:hint="eastAsia" w:ascii="宋体" w:hAnsi="宋体" w:cs="宋体"/>
          <w:kern w:val="0"/>
          <w:sz w:val="24"/>
        </w:rPr>
        <w:t>2.</w:t>
      </w:r>
      <w:r>
        <w:rPr>
          <w:rFonts w:hint="eastAsia" w:ascii="宋体" w:hAnsi="宋体" w:cs="宋体"/>
          <w:iCs/>
          <w:kern w:val="0"/>
          <w:sz w:val="24"/>
        </w:rPr>
        <w:t>（产品名称2）</w:t>
      </w:r>
      <w:r>
        <w:rPr>
          <w:rFonts w:hint="eastAsia" w:ascii="宋体" w:hAnsi="宋体" w:cs="宋体"/>
          <w:kern w:val="0"/>
          <w:sz w:val="24"/>
        </w:rPr>
        <w:t>，生产厂为</w:t>
      </w:r>
      <w:r>
        <w:rPr>
          <w:rFonts w:hint="eastAsia" w:ascii="宋体" w:hAnsi="宋体" w:cs="宋体"/>
          <w:iCs/>
          <w:kern w:val="0"/>
          <w:sz w:val="24"/>
        </w:rPr>
        <w:t>（厂名）</w:t>
      </w:r>
      <w:r>
        <w:rPr>
          <w:rFonts w:hint="eastAsia" w:ascii="宋体" w:hAnsi="宋体" w:cs="宋体"/>
          <w:kern w:val="0"/>
          <w:sz w:val="24"/>
        </w:rPr>
        <w:t>，厂址为</w:t>
      </w:r>
      <w:r>
        <w:rPr>
          <w:rFonts w:hint="eastAsia" w:ascii="宋体" w:hAnsi="宋体" w:cs="宋体"/>
          <w:iCs/>
          <w:kern w:val="0"/>
          <w:sz w:val="24"/>
        </w:rPr>
        <w:t>（生产厂址）</w:t>
      </w:r>
      <w:r>
        <w:rPr>
          <w:rFonts w:hint="eastAsia" w:ascii="宋体" w:hAnsi="宋体" w:cs="宋体"/>
          <w:kern w:val="0"/>
          <w:sz w:val="24"/>
        </w:rPr>
        <w:t>。</w:t>
      </w:r>
      <w:r>
        <w:rPr>
          <w:rFonts w:hint="eastAsia" w:ascii="宋体" w:hAnsi="宋体" w:cs="宋体"/>
          <w:iCs/>
          <w:kern w:val="0"/>
          <w:sz w:val="24"/>
        </w:rPr>
        <w:t>（产品名称2）</w:t>
      </w:r>
      <w:r>
        <w:rPr>
          <w:rFonts w:hint="eastAsia" w:ascii="宋体" w:hAnsi="宋体" w:cs="宋体"/>
          <w:kern w:val="0"/>
          <w:sz w:val="24"/>
        </w:rPr>
        <w:t>的中国境内生产的组件成本占比≥</w:t>
      </w:r>
      <w:r>
        <w:rPr>
          <w:rFonts w:hint="eastAsia" w:ascii="宋体" w:hAnsi="宋体" w:cs="宋体"/>
          <w:iCs/>
          <w:kern w:val="0"/>
          <w:sz w:val="24"/>
        </w:rPr>
        <w:t>（规定比例）</w:t>
      </w:r>
      <w:r>
        <w:rPr>
          <w:rFonts w:hint="eastAsia" w:ascii="宋体" w:hAnsi="宋体" w:cs="宋体"/>
          <w:kern w:val="0"/>
          <w:sz w:val="24"/>
        </w:rPr>
        <w:t>。</w:t>
      </w:r>
      <w:r>
        <w:rPr>
          <w:rFonts w:hint="eastAsia" w:ascii="宋体" w:hAnsi="宋体" w:cs="宋体"/>
          <w:iCs/>
          <w:kern w:val="0"/>
          <w:sz w:val="24"/>
        </w:rPr>
        <w:t>（产品名称2）</w:t>
      </w:r>
      <w:r>
        <w:rPr>
          <w:rFonts w:hint="eastAsia" w:ascii="宋体" w:hAnsi="宋体" w:cs="宋体"/>
          <w:kern w:val="0"/>
          <w:sz w:val="24"/>
        </w:rPr>
        <w:t>的</w:t>
      </w:r>
      <w:r>
        <w:rPr>
          <w:rFonts w:hint="eastAsia" w:ascii="宋体" w:hAnsi="宋体" w:cs="宋体"/>
          <w:iCs/>
          <w:kern w:val="0"/>
          <w:sz w:val="24"/>
        </w:rPr>
        <w:t>（关键组件）</w:t>
      </w:r>
      <w:r>
        <w:rPr>
          <w:rFonts w:hint="eastAsia" w:ascii="宋体" w:hAnsi="宋体" w:cs="宋体"/>
          <w:kern w:val="0"/>
          <w:sz w:val="24"/>
        </w:rPr>
        <w:t>在中国境内生产。</w:t>
      </w:r>
      <w:r>
        <w:rPr>
          <w:rFonts w:hint="eastAsia" w:ascii="宋体" w:hAnsi="宋体" w:cs="宋体"/>
          <w:iCs/>
          <w:kern w:val="0"/>
          <w:sz w:val="24"/>
        </w:rPr>
        <w:t>（产品名称2）</w:t>
      </w:r>
      <w:r>
        <w:rPr>
          <w:rFonts w:hint="eastAsia" w:ascii="宋体" w:hAnsi="宋体" w:cs="宋体"/>
          <w:kern w:val="0"/>
          <w:sz w:val="24"/>
        </w:rPr>
        <w:t>的</w:t>
      </w:r>
      <w:r>
        <w:rPr>
          <w:rFonts w:hint="eastAsia" w:ascii="宋体" w:hAnsi="宋体" w:cs="宋体"/>
          <w:iCs/>
          <w:kern w:val="0"/>
          <w:sz w:val="24"/>
        </w:rPr>
        <w:t>（关键工序）</w:t>
      </w:r>
      <w:r>
        <w:rPr>
          <w:rFonts w:hint="eastAsia" w:ascii="宋体" w:hAnsi="宋体" w:cs="宋体"/>
          <w:kern w:val="0"/>
          <w:sz w:val="24"/>
        </w:rPr>
        <w:t>在中国境内完成。</w:t>
      </w:r>
    </w:p>
    <w:p w14:paraId="012226F5">
      <w:pPr>
        <w:widowControl/>
        <w:shd w:val="clear" w:color="auto" w:fill="FFFFFF"/>
        <w:spacing w:before="30" w:after="30"/>
        <w:ind w:firstLine="480"/>
        <w:jc w:val="left"/>
        <w:rPr>
          <w:rFonts w:hint="eastAsia" w:ascii="宋体" w:hAnsi="宋体" w:cs="宋体"/>
          <w:kern w:val="0"/>
          <w:sz w:val="24"/>
        </w:rPr>
      </w:pPr>
      <w:r>
        <w:rPr>
          <w:rFonts w:hint="eastAsia" w:ascii="宋体" w:hAnsi="宋体" w:cs="宋体"/>
          <w:kern w:val="0"/>
          <w:sz w:val="24"/>
        </w:rPr>
        <w:t>……</w:t>
      </w:r>
    </w:p>
    <w:p w14:paraId="54EC5152">
      <w:pPr>
        <w:widowControl/>
        <w:shd w:val="clear" w:color="auto" w:fill="FFFFFF"/>
        <w:spacing w:before="30" w:after="30"/>
        <w:ind w:firstLine="480"/>
        <w:jc w:val="left"/>
        <w:rPr>
          <w:rFonts w:hint="eastAsia" w:ascii="宋体" w:hAnsi="宋体" w:cs="宋体"/>
          <w:kern w:val="0"/>
          <w:sz w:val="24"/>
        </w:rPr>
      </w:pPr>
      <w:r>
        <w:rPr>
          <w:rFonts w:hint="eastAsia" w:ascii="宋体" w:hAnsi="宋体" w:cs="宋体"/>
          <w:kern w:val="0"/>
          <w:sz w:val="24"/>
        </w:rPr>
        <w:t>本公司（单位）对上述声明内容的真实性负责。如有虚假，愿承担相应法律责任。</w:t>
      </w:r>
    </w:p>
    <w:p w14:paraId="2F0C38F9">
      <w:pPr>
        <w:widowControl/>
        <w:shd w:val="clear" w:color="auto" w:fill="FFFFFF"/>
        <w:spacing w:before="30" w:after="30"/>
        <w:jc w:val="left"/>
        <w:rPr>
          <w:rFonts w:hint="eastAsia" w:ascii="宋体" w:hAnsi="宋体" w:cs="宋体"/>
          <w:kern w:val="0"/>
          <w:sz w:val="24"/>
        </w:rPr>
      </w:pPr>
      <w:r>
        <w:rPr>
          <w:rFonts w:hint="eastAsia" w:ascii="宋体" w:hAnsi="宋体" w:cs="宋体"/>
          <w:kern w:val="0"/>
          <w:sz w:val="24"/>
        </w:rPr>
        <w:t> </w:t>
      </w:r>
    </w:p>
    <w:p w14:paraId="27CBF22E">
      <w:pPr>
        <w:widowControl/>
        <w:shd w:val="clear" w:color="auto" w:fill="FFFFFF"/>
        <w:spacing w:before="30" w:after="30"/>
        <w:jc w:val="right"/>
        <w:rPr>
          <w:rFonts w:hint="eastAsia" w:ascii="宋体" w:hAnsi="宋体" w:cs="宋体"/>
          <w:kern w:val="0"/>
          <w:sz w:val="24"/>
        </w:rPr>
      </w:pPr>
      <w:r>
        <w:rPr>
          <w:rFonts w:hint="eastAsia" w:ascii="宋体" w:hAnsi="宋体" w:cs="宋体"/>
          <w:kern w:val="0"/>
          <w:sz w:val="24"/>
        </w:rPr>
        <w:t>公司（单位）名称（盖章）：　        </w:t>
      </w:r>
    </w:p>
    <w:p w14:paraId="1C7D95BD">
      <w:pPr>
        <w:widowControl/>
        <w:shd w:val="clear" w:color="auto" w:fill="FFFFFF"/>
        <w:jc w:val="right"/>
        <w:rPr>
          <w:rFonts w:hint="eastAsia" w:ascii="宋体" w:hAnsi="宋体" w:cs="宋体"/>
          <w:kern w:val="0"/>
          <w:sz w:val="24"/>
        </w:rPr>
      </w:pPr>
      <w:r>
        <w:rPr>
          <w:rFonts w:hint="eastAsia" w:ascii="宋体" w:hAnsi="宋体" w:cs="宋体"/>
          <w:kern w:val="0"/>
          <w:sz w:val="24"/>
        </w:rPr>
        <w:t>日期：　     年　  月　  日         </w:t>
      </w:r>
    </w:p>
    <w:p w14:paraId="7F99B96E">
      <w:pPr>
        <w:widowControl/>
        <w:shd w:val="clear" w:color="auto" w:fill="FFFFFF"/>
        <w:spacing w:before="30" w:after="30"/>
        <w:jc w:val="left"/>
        <w:rPr>
          <w:rFonts w:hint="eastAsia" w:ascii="宋体" w:hAnsi="宋体" w:cs="宋体"/>
          <w:kern w:val="0"/>
          <w:sz w:val="24"/>
        </w:rPr>
      </w:pPr>
      <w:r>
        <w:rPr>
          <w:rFonts w:hint="eastAsia" w:ascii="宋体" w:hAnsi="宋体" w:cs="宋体"/>
          <w:kern w:val="0"/>
          <w:sz w:val="24"/>
        </w:rPr>
        <w:t>__________________</w:t>
      </w:r>
    </w:p>
    <w:p w14:paraId="1C8996DA">
      <w:pPr>
        <w:widowControl/>
        <w:shd w:val="clear" w:color="auto" w:fill="FFFFFF"/>
        <w:ind w:firstLine="480"/>
        <w:jc w:val="left"/>
        <w:rPr>
          <w:rFonts w:hint="eastAsia" w:ascii="宋体" w:hAnsi="宋体" w:cs="宋体"/>
          <w:kern w:val="0"/>
          <w:szCs w:val="21"/>
        </w:rPr>
      </w:pPr>
      <w:r>
        <w:rPr>
          <w:rFonts w:hint="eastAsia" w:ascii="宋体" w:hAnsi="宋体" w:cs="宋体"/>
          <w:kern w:val="0"/>
          <w:szCs w:val="21"/>
        </w:rPr>
        <w:t>1.产品如有型号，请在“产品名称”栏一并填写。</w:t>
      </w:r>
    </w:p>
    <w:p w14:paraId="092E9856">
      <w:pPr>
        <w:widowControl/>
        <w:shd w:val="clear" w:color="auto" w:fill="FFFFFF"/>
        <w:ind w:firstLine="480"/>
        <w:jc w:val="left"/>
        <w:rPr>
          <w:rFonts w:hint="eastAsia" w:ascii="宋体" w:hAnsi="宋体" w:cs="宋体"/>
          <w:kern w:val="0"/>
          <w:szCs w:val="21"/>
        </w:rPr>
      </w:pPr>
      <w:r>
        <w:rPr>
          <w:rFonts w:hint="eastAsia" w:ascii="宋体" w:hAnsi="宋体" w:cs="宋体"/>
          <w:kern w:val="0"/>
          <w:szCs w:val="21"/>
        </w:rPr>
        <w:t>2.生产厂名与厂址应与生产厂营业执照载明的相关信息保持一致。</w:t>
      </w:r>
    </w:p>
    <w:p w14:paraId="1B87CAE3">
      <w:pPr>
        <w:widowControl/>
        <w:shd w:val="clear" w:color="auto" w:fill="FFFFFF"/>
        <w:ind w:firstLine="480"/>
        <w:jc w:val="left"/>
        <w:rPr>
          <w:rFonts w:hint="eastAsia" w:ascii="宋体" w:hAnsi="宋体" w:cs="宋体"/>
          <w:kern w:val="0"/>
          <w:szCs w:val="21"/>
        </w:rPr>
      </w:pPr>
      <w:r>
        <w:rPr>
          <w:rFonts w:hint="eastAsia" w:ascii="宋体" w:hAnsi="宋体" w:cs="宋体"/>
          <w:kern w:val="0"/>
          <w:szCs w:val="21"/>
        </w:rPr>
        <w:t>3.该产品的中国境内生产的组件成本占比相关要求实施前，“规定比例”栏可不填，下同。</w:t>
      </w:r>
    </w:p>
    <w:p w14:paraId="1D6C03CE">
      <w:pPr>
        <w:widowControl/>
        <w:shd w:val="clear" w:color="auto" w:fill="FFFFFF"/>
        <w:ind w:firstLine="480"/>
        <w:jc w:val="left"/>
        <w:rPr>
          <w:rFonts w:hint="eastAsia" w:ascii="宋体" w:hAnsi="宋体" w:cs="宋体"/>
          <w:kern w:val="0"/>
          <w:szCs w:val="21"/>
        </w:rPr>
      </w:pPr>
      <w:r>
        <w:rPr>
          <w:rFonts w:hint="eastAsia" w:ascii="宋体" w:hAnsi="宋体" w:cs="宋体"/>
          <w:kern w:val="0"/>
          <w:szCs w:val="21"/>
        </w:rPr>
        <w:t>4.该产品的关键组件要求实施前，“关键组件”栏可不填，下同。</w:t>
      </w:r>
    </w:p>
    <w:p w14:paraId="1E77EA4A">
      <w:pPr>
        <w:widowControl/>
        <w:shd w:val="clear" w:color="auto" w:fill="FFFFFF"/>
        <w:ind w:firstLine="480"/>
        <w:jc w:val="left"/>
        <w:rPr>
          <w:rFonts w:hint="eastAsia" w:ascii="宋体" w:hAnsi="宋体" w:cs="宋体"/>
          <w:kern w:val="0"/>
          <w:szCs w:val="21"/>
        </w:rPr>
      </w:pPr>
      <w:r>
        <w:rPr>
          <w:rFonts w:hint="eastAsia" w:ascii="宋体" w:hAnsi="宋体" w:cs="宋体"/>
          <w:kern w:val="0"/>
          <w:szCs w:val="21"/>
        </w:rPr>
        <w:t>5.该产品的关键工序要求实施前，“关键工序”栏可不填，下同。</w:t>
      </w:r>
    </w:p>
    <w:p w14:paraId="4394EFA4">
      <w:pPr>
        <w:pStyle w:val="18"/>
      </w:pPr>
    </w:p>
    <w:p w14:paraId="424202C5">
      <w:pPr>
        <w:spacing w:line="360" w:lineRule="auto"/>
        <w:contextualSpacing/>
        <w:rPr>
          <w:rFonts w:ascii="宋体" w:hAnsi="宋体"/>
          <w:sz w:val="24"/>
        </w:rPr>
      </w:pPr>
    </w:p>
    <w:p w14:paraId="363BF09B">
      <w:pPr>
        <w:spacing w:line="360" w:lineRule="auto"/>
        <w:jc w:val="left"/>
        <w:rPr>
          <w:rFonts w:ascii="宋体" w:hAnsi="宋体"/>
          <w:sz w:val="24"/>
        </w:rPr>
      </w:pPr>
      <w:r>
        <w:rPr>
          <w:rFonts w:ascii="宋体" w:hAnsi="宋体"/>
          <w:sz w:val="24"/>
        </w:rPr>
        <w:br w:type="page"/>
      </w:r>
      <w:r>
        <w:rPr>
          <w:rFonts w:hint="eastAsia" w:ascii="宋体" w:hAnsi="宋体"/>
          <w:sz w:val="24"/>
        </w:rPr>
        <w:t>5</w:t>
      </w:r>
      <w:r>
        <w:rPr>
          <w:rFonts w:hint="eastAsia" w:ascii="宋体" w:hAnsi="宋体"/>
          <w:b/>
          <w:sz w:val="24"/>
        </w:rPr>
        <w:t>.质疑函（格式）</w:t>
      </w:r>
    </w:p>
    <w:p w14:paraId="1A63A3C0">
      <w:pPr>
        <w:spacing w:line="360" w:lineRule="auto"/>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质疑函（格式）</w:t>
      </w:r>
    </w:p>
    <w:p w14:paraId="510CDBE7">
      <w:pPr>
        <w:pStyle w:val="25"/>
        <w:snapToGrid w:val="0"/>
        <w:spacing w:line="360" w:lineRule="auto"/>
        <w:ind w:firstLine="482" w:firstLineChars="200"/>
        <w:rPr>
          <w:rFonts w:hAnsi="宋体"/>
          <w:b/>
          <w:bCs/>
          <w:sz w:val="24"/>
          <w:szCs w:val="24"/>
        </w:rPr>
      </w:pPr>
      <w:r>
        <w:rPr>
          <w:rFonts w:hint="eastAsia" w:hAnsi="宋体"/>
          <w:b/>
          <w:bCs/>
          <w:sz w:val="24"/>
          <w:szCs w:val="24"/>
        </w:rPr>
        <w:t>一、质疑供应商基本信息：</w:t>
      </w:r>
    </w:p>
    <w:p w14:paraId="64E14370">
      <w:pPr>
        <w:pStyle w:val="25"/>
        <w:snapToGrid w:val="0"/>
        <w:spacing w:line="360" w:lineRule="auto"/>
        <w:ind w:firstLine="480" w:firstLineChars="200"/>
        <w:rPr>
          <w:rFonts w:hint="eastAsia" w:hAnsi="宋体"/>
          <w:bCs/>
          <w:sz w:val="24"/>
          <w:szCs w:val="24"/>
          <w:u w:val="single"/>
        </w:rPr>
      </w:pPr>
      <w:r>
        <w:rPr>
          <w:rFonts w:hint="eastAsia" w:hAnsi="宋体"/>
          <w:bCs/>
          <w:sz w:val="24"/>
          <w:szCs w:val="24"/>
        </w:rPr>
        <w:t>质疑供应商：</w:t>
      </w:r>
      <w:r>
        <w:rPr>
          <w:rFonts w:hint="eastAsia" w:hAnsi="宋体"/>
          <w:bCs/>
          <w:sz w:val="24"/>
          <w:szCs w:val="24"/>
          <w:u w:val="single"/>
        </w:rPr>
        <w:t xml:space="preserve">                                       </w:t>
      </w:r>
      <w:r>
        <w:rPr>
          <w:rFonts w:hint="eastAsia" w:hAnsi="宋体"/>
          <w:bCs/>
          <w:sz w:val="24"/>
          <w:szCs w:val="24"/>
        </w:rPr>
        <w:t xml:space="preserve">                 </w:t>
      </w:r>
    </w:p>
    <w:p w14:paraId="3BB901DC">
      <w:pPr>
        <w:pStyle w:val="25"/>
        <w:snapToGrid w:val="0"/>
        <w:spacing w:line="360" w:lineRule="auto"/>
        <w:ind w:firstLine="480" w:firstLineChars="200"/>
        <w:rPr>
          <w:rFonts w:hint="eastAsia" w:hAnsi="宋体"/>
          <w:bCs/>
          <w:sz w:val="24"/>
          <w:szCs w:val="24"/>
        </w:rPr>
      </w:pPr>
      <w:r>
        <w:rPr>
          <w:rFonts w:hAnsi="宋体"/>
          <w:bCs/>
          <w:sz w:val="24"/>
          <w:szCs w:val="24"/>
        </w:rPr>
        <w:t>地址</w:t>
      </w:r>
      <w:r>
        <w:rPr>
          <w:rFonts w:hint="eastAsia" w:hAnsi="宋体"/>
          <w:bCs/>
          <w:sz w:val="24"/>
          <w:szCs w:val="24"/>
        </w:rPr>
        <w:t>：</w:t>
      </w:r>
      <w:r>
        <w:rPr>
          <w:rFonts w:hint="eastAsia" w:hAnsi="宋体"/>
          <w:bCs/>
          <w:sz w:val="24"/>
          <w:szCs w:val="24"/>
          <w:u w:val="single"/>
        </w:rPr>
        <w:t xml:space="preserve">                                          </w:t>
      </w:r>
      <w:r>
        <w:rPr>
          <w:rFonts w:hAnsi="宋体"/>
          <w:bCs/>
          <w:sz w:val="24"/>
          <w:szCs w:val="24"/>
        </w:rPr>
        <w:t>邮编</w:t>
      </w:r>
      <w:r>
        <w:rPr>
          <w:rFonts w:hint="eastAsia" w:hAnsi="宋体"/>
          <w:bCs/>
          <w:sz w:val="24"/>
          <w:szCs w:val="24"/>
        </w:rPr>
        <w:t>：</w:t>
      </w:r>
      <w:r>
        <w:rPr>
          <w:rFonts w:hint="eastAsia" w:hAnsi="宋体"/>
          <w:bCs/>
          <w:sz w:val="24"/>
          <w:szCs w:val="24"/>
          <w:u w:val="single"/>
        </w:rPr>
        <w:t xml:space="preserve">                  </w:t>
      </w:r>
      <w:r>
        <w:rPr>
          <w:rFonts w:hint="eastAsia" w:hAnsi="宋体"/>
          <w:bCs/>
          <w:sz w:val="24"/>
          <w:szCs w:val="24"/>
        </w:rPr>
        <w:t xml:space="preserve">                 </w:t>
      </w:r>
    </w:p>
    <w:p w14:paraId="4EACFC19">
      <w:pPr>
        <w:pStyle w:val="25"/>
        <w:snapToGrid w:val="0"/>
        <w:spacing w:line="360" w:lineRule="auto"/>
        <w:ind w:firstLine="480" w:firstLineChars="200"/>
        <w:rPr>
          <w:rFonts w:hint="eastAsia" w:hAnsi="宋体"/>
          <w:bCs/>
          <w:sz w:val="24"/>
          <w:szCs w:val="24"/>
        </w:rPr>
      </w:pPr>
      <w:r>
        <w:rPr>
          <w:rFonts w:hAnsi="宋体"/>
          <w:bCs/>
          <w:sz w:val="24"/>
          <w:szCs w:val="24"/>
        </w:rPr>
        <w:t>联系人</w:t>
      </w:r>
      <w:r>
        <w:rPr>
          <w:rFonts w:hint="eastAsia" w:hAnsi="宋体"/>
          <w:bCs/>
          <w:sz w:val="24"/>
          <w:szCs w:val="24"/>
        </w:rPr>
        <w:t>：</w:t>
      </w:r>
      <w:r>
        <w:rPr>
          <w:rFonts w:hint="eastAsia" w:hAnsi="宋体"/>
          <w:bCs/>
          <w:sz w:val="24"/>
          <w:szCs w:val="24"/>
          <w:u w:val="single"/>
        </w:rPr>
        <w:t xml:space="preserve">                     </w:t>
      </w:r>
      <w:r>
        <w:rPr>
          <w:rFonts w:hAnsi="宋体"/>
          <w:bCs/>
          <w:sz w:val="24"/>
          <w:szCs w:val="24"/>
        </w:rPr>
        <w:t>联系电话</w:t>
      </w:r>
      <w:r>
        <w:rPr>
          <w:rFonts w:hint="eastAsia" w:hAnsi="宋体"/>
          <w:bCs/>
          <w:sz w:val="24"/>
          <w:szCs w:val="24"/>
        </w:rPr>
        <w:t>：</w:t>
      </w:r>
      <w:r>
        <w:rPr>
          <w:rFonts w:hint="eastAsia" w:hAnsi="宋体"/>
          <w:bCs/>
          <w:sz w:val="24"/>
          <w:szCs w:val="24"/>
          <w:u w:val="single"/>
        </w:rPr>
        <w:t xml:space="preserve">                 </w:t>
      </w:r>
    </w:p>
    <w:p w14:paraId="592538A6">
      <w:pPr>
        <w:pStyle w:val="25"/>
        <w:snapToGrid w:val="0"/>
        <w:spacing w:line="360" w:lineRule="auto"/>
        <w:ind w:firstLine="480" w:firstLineChars="200"/>
        <w:rPr>
          <w:rFonts w:hint="eastAsia" w:hAnsi="宋体"/>
          <w:bCs/>
          <w:sz w:val="24"/>
          <w:szCs w:val="24"/>
        </w:rPr>
      </w:pPr>
      <w:r>
        <w:rPr>
          <w:rFonts w:hint="eastAsia" w:hAnsi="宋体"/>
          <w:bCs/>
          <w:sz w:val="24"/>
          <w:szCs w:val="24"/>
        </w:rPr>
        <w:t>授权代表：</w:t>
      </w:r>
      <w:r>
        <w:rPr>
          <w:rFonts w:hint="eastAsia" w:hAnsi="宋体"/>
          <w:bCs/>
          <w:sz w:val="24"/>
          <w:szCs w:val="24"/>
          <w:u w:val="single"/>
        </w:rPr>
        <w:t xml:space="preserve">                      </w:t>
      </w:r>
    </w:p>
    <w:p w14:paraId="78B3D19F">
      <w:pPr>
        <w:pStyle w:val="25"/>
        <w:snapToGrid w:val="0"/>
        <w:spacing w:line="360" w:lineRule="auto"/>
        <w:ind w:firstLine="480" w:firstLineChars="200"/>
        <w:rPr>
          <w:rFonts w:hint="eastAsia" w:hAnsi="宋体"/>
          <w:bCs/>
          <w:sz w:val="24"/>
          <w:szCs w:val="24"/>
          <w:u w:val="single"/>
        </w:rPr>
      </w:pPr>
      <w:r>
        <w:rPr>
          <w:rFonts w:hAnsi="宋体"/>
          <w:bCs/>
          <w:sz w:val="24"/>
          <w:szCs w:val="24"/>
        </w:rPr>
        <w:t>联系</w:t>
      </w:r>
      <w:r>
        <w:rPr>
          <w:rFonts w:hint="eastAsia" w:hAnsi="宋体"/>
          <w:bCs/>
          <w:sz w:val="24"/>
          <w:szCs w:val="24"/>
        </w:rPr>
        <w:t>电话：</w:t>
      </w:r>
      <w:r>
        <w:rPr>
          <w:rFonts w:hint="eastAsia" w:hAnsi="宋体"/>
          <w:bCs/>
          <w:sz w:val="24"/>
          <w:szCs w:val="24"/>
          <w:u w:val="single"/>
        </w:rPr>
        <w:t xml:space="preserve">                      </w:t>
      </w:r>
    </w:p>
    <w:p w14:paraId="53576ADA">
      <w:pPr>
        <w:pStyle w:val="25"/>
        <w:snapToGrid w:val="0"/>
        <w:spacing w:line="360" w:lineRule="auto"/>
        <w:ind w:firstLine="480" w:firstLineChars="200"/>
        <w:rPr>
          <w:rFonts w:hint="eastAsia" w:hAnsi="宋体"/>
          <w:bCs/>
          <w:sz w:val="24"/>
          <w:szCs w:val="24"/>
        </w:rPr>
      </w:pPr>
      <w:r>
        <w:rPr>
          <w:rFonts w:hAnsi="宋体"/>
          <w:bCs/>
          <w:sz w:val="24"/>
          <w:szCs w:val="24"/>
        </w:rPr>
        <w:t>地址</w:t>
      </w:r>
      <w:r>
        <w:rPr>
          <w:rFonts w:hint="eastAsia" w:hAnsi="宋体"/>
          <w:bCs/>
          <w:sz w:val="24"/>
          <w:szCs w:val="24"/>
        </w:rPr>
        <w:t>：</w:t>
      </w:r>
      <w:r>
        <w:rPr>
          <w:rFonts w:hint="eastAsia" w:hAnsi="宋体"/>
          <w:bCs/>
          <w:sz w:val="24"/>
          <w:szCs w:val="24"/>
          <w:u w:val="single"/>
        </w:rPr>
        <w:t xml:space="preserve">                 </w:t>
      </w:r>
      <w:r>
        <w:rPr>
          <w:rFonts w:hAnsi="宋体"/>
          <w:bCs/>
          <w:sz w:val="24"/>
          <w:szCs w:val="24"/>
        </w:rPr>
        <w:t>邮编</w:t>
      </w:r>
      <w:r>
        <w:rPr>
          <w:rFonts w:hint="eastAsia" w:hAnsi="宋体"/>
          <w:bCs/>
          <w:sz w:val="24"/>
          <w:szCs w:val="24"/>
        </w:rPr>
        <w:t>：</w:t>
      </w:r>
      <w:r>
        <w:rPr>
          <w:rFonts w:hint="eastAsia" w:hAnsi="宋体"/>
          <w:bCs/>
          <w:sz w:val="24"/>
          <w:szCs w:val="24"/>
          <w:u w:val="single"/>
        </w:rPr>
        <w:t xml:space="preserve">                  </w:t>
      </w:r>
      <w:r>
        <w:rPr>
          <w:rFonts w:hint="eastAsia" w:hAnsi="宋体"/>
          <w:bCs/>
          <w:sz w:val="24"/>
          <w:szCs w:val="24"/>
        </w:rPr>
        <w:t xml:space="preserve">     </w:t>
      </w:r>
    </w:p>
    <w:p w14:paraId="0A5B7060">
      <w:pPr>
        <w:pStyle w:val="25"/>
        <w:snapToGrid w:val="0"/>
        <w:spacing w:line="360" w:lineRule="auto"/>
        <w:ind w:firstLine="482" w:firstLineChars="200"/>
        <w:rPr>
          <w:rFonts w:hint="eastAsia" w:hAnsi="宋体"/>
          <w:b/>
          <w:bCs/>
          <w:sz w:val="24"/>
          <w:szCs w:val="24"/>
        </w:rPr>
      </w:pPr>
      <w:r>
        <w:rPr>
          <w:rFonts w:hint="eastAsia" w:hAnsi="宋体"/>
          <w:b/>
          <w:bCs/>
          <w:sz w:val="24"/>
          <w:szCs w:val="24"/>
        </w:rPr>
        <w:t>二、质疑项目基本情况：</w:t>
      </w:r>
    </w:p>
    <w:p w14:paraId="46CFB08C">
      <w:pPr>
        <w:pStyle w:val="25"/>
        <w:spacing w:line="360" w:lineRule="auto"/>
        <w:ind w:left="25" w:leftChars="12" w:firstLine="472" w:firstLineChars="197"/>
        <w:rPr>
          <w:rFonts w:hint="eastAsia" w:hAnsi="宋体"/>
          <w:sz w:val="24"/>
          <w:szCs w:val="24"/>
        </w:rPr>
      </w:pPr>
      <w:r>
        <w:rPr>
          <w:rFonts w:hint="eastAsia" w:hAnsi="宋体"/>
          <w:bCs/>
          <w:sz w:val="24"/>
          <w:szCs w:val="24"/>
        </w:rPr>
        <w:t>质疑</w:t>
      </w:r>
      <w:r>
        <w:rPr>
          <w:rFonts w:hint="eastAsia" w:hAnsi="宋体"/>
          <w:sz w:val="24"/>
          <w:szCs w:val="24"/>
        </w:rPr>
        <w:t>项目的名称：</w:t>
      </w:r>
      <w:r>
        <w:rPr>
          <w:rFonts w:hint="eastAsia" w:hAnsi="宋体"/>
          <w:bCs/>
          <w:sz w:val="24"/>
          <w:szCs w:val="24"/>
          <w:u w:val="single"/>
        </w:rPr>
        <w:t xml:space="preserve">                                     </w:t>
      </w:r>
    </w:p>
    <w:p w14:paraId="7B8BCF3A">
      <w:pPr>
        <w:pStyle w:val="25"/>
        <w:spacing w:line="360" w:lineRule="auto"/>
        <w:ind w:left="25" w:leftChars="12" w:firstLine="472" w:firstLineChars="197"/>
        <w:rPr>
          <w:rFonts w:hint="eastAsia" w:hAnsi="宋体"/>
          <w:sz w:val="24"/>
          <w:szCs w:val="24"/>
        </w:rPr>
      </w:pPr>
      <w:r>
        <w:rPr>
          <w:rFonts w:hint="eastAsia" w:hAnsi="宋体"/>
          <w:bCs/>
          <w:sz w:val="24"/>
          <w:szCs w:val="24"/>
        </w:rPr>
        <w:t>质疑</w:t>
      </w:r>
      <w:r>
        <w:rPr>
          <w:rFonts w:hint="eastAsia" w:hAnsi="宋体"/>
          <w:sz w:val="24"/>
          <w:szCs w:val="24"/>
        </w:rPr>
        <w:t>项目的编号：</w:t>
      </w:r>
      <w:r>
        <w:rPr>
          <w:rFonts w:hint="eastAsia" w:hAnsi="宋体"/>
          <w:bCs/>
          <w:sz w:val="24"/>
          <w:szCs w:val="24"/>
          <w:u w:val="single"/>
        </w:rPr>
        <w:t xml:space="preserve">                                     </w:t>
      </w:r>
    </w:p>
    <w:p w14:paraId="7367F256">
      <w:pPr>
        <w:pStyle w:val="25"/>
        <w:spacing w:line="360" w:lineRule="auto"/>
        <w:ind w:left="25" w:leftChars="12" w:firstLine="472" w:firstLineChars="197"/>
        <w:rPr>
          <w:rFonts w:hint="eastAsia" w:hAnsi="宋体"/>
          <w:sz w:val="24"/>
          <w:szCs w:val="24"/>
        </w:rPr>
      </w:pPr>
      <w:r>
        <w:rPr>
          <w:rFonts w:hint="eastAsia" w:hAnsi="宋体"/>
          <w:sz w:val="24"/>
          <w:szCs w:val="24"/>
        </w:rPr>
        <w:t>采购人名称：</w:t>
      </w:r>
      <w:r>
        <w:rPr>
          <w:rFonts w:hint="eastAsia" w:hAnsi="宋体"/>
          <w:bCs/>
          <w:sz w:val="24"/>
          <w:szCs w:val="24"/>
          <w:u w:val="single"/>
        </w:rPr>
        <w:t xml:space="preserve">                                         </w:t>
      </w:r>
    </w:p>
    <w:p w14:paraId="7483466C">
      <w:pPr>
        <w:pStyle w:val="25"/>
        <w:spacing w:line="360" w:lineRule="auto"/>
        <w:ind w:left="25" w:leftChars="12" w:firstLine="472" w:firstLineChars="197"/>
        <w:rPr>
          <w:rFonts w:hint="eastAsia" w:hAnsi="宋体"/>
          <w:sz w:val="24"/>
          <w:szCs w:val="24"/>
        </w:rPr>
      </w:pPr>
      <w:r>
        <w:rPr>
          <w:rFonts w:hint="eastAsia" w:hAnsi="宋体"/>
          <w:sz w:val="24"/>
          <w:szCs w:val="24"/>
        </w:rPr>
        <w:t>质疑事项：</w:t>
      </w:r>
    </w:p>
    <w:p w14:paraId="3FAC58E3">
      <w:pPr>
        <w:pStyle w:val="25"/>
        <w:spacing w:line="360" w:lineRule="auto"/>
        <w:ind w:left="25" w:leftChars="12" w:firstLine="352" w:firstLineChars="147"/>
        <w:rPr>
          <w:rFonts w:hint="eastAsia" w:hAnsi="宋体"/>
          <w:sz w:val="24"/>
          <w:szCs w:val="24"/>
        </w:rPr>
      </w:pPr>
      <w:r>
        <w:rPr>
          <w:rFonts w:hint="eastAsia" w:hAnsi="宋体"/>
          <w:sz w:val="24"/>
          <w:szCs w:val="24"/>
        </w:rPr>
        <w:t>□招标文件   招标文件获取日期：</w:t>
      </w:r>
      <w:r>
        <w:rPr>
          <w:rFonts w:hint="eastAsia" w:hAnsi="宋体"/>
          <w:bCs/>
          <w:sz w:val="24"/>
          <w:szCs w:val="24"/>
          <w:u w:val="single"/>
        </w:rPr>
        <w:t xml:space="preserve">                                   </w:t>
      </w:r>
    </w:p>
    <w:p w14:paraId="3D26A059">
      <w:pPr>
        <w:pStyle w:val="25"/>
        <w:spacing w:line="360" w:lineRule="auto"/>
        <w:ind w:left="25" w:leftChars="12" w:firstLine="352" w:firstLineChars="147"/>
        <w:rPr>
          <w:rFonts w:hint="eastAsia" w:hAnsi="宋体"/>
          <w:sz w:val="24"/>
          <w:szCs w:val="24"/>
        </w:rPr>
      </w:pPr>
      <w:r>
        <w:rPr>
          <w:rFonts w:hint="eastAsia" w:hAnsi="宋体"/>
          <w:sz w:val="24"/>
          <w:szCs w:val="24"/>
        </w:rPr>
        <w:t xml:space="preserve">□招标过程   </w:t>
      </w:r>
    </w:p>
    <w:p w14:paraId="061DFA5D">
      <w:pPr>
        <w:pStyle w:val="25"/>
        <w:spacing w:line="360" w:lineRule="auto"/>
        <w:ind w:left="25" w:leftChars="12" w:firstLine="352" w:firstLineChars="147"/>
        <w:rPr>
          <w:rFonts w:hint="eastAsia" w:hAnsi="宋体"/>
          <w:bCs/>
          <w:sz w:val="24"/>
          <w:szCs w:val="24"/>
          <w:u w:val="single"/>
        </w:rPr>
      </w:pPr>
      <w:r>
        <w:rPr>
          <w:rFonts w:hint="eastAsia" w:hAnsi="宋体"/>
          <w:sz w:val="24"/>
          <w:szCs w:val="24"/>
        </w:rPr>
        <w:t xml:space="preserve">□招标结果   </w:t>
      </w:r>
    </w:p>
    <w:p w14:paraId="708C3A46">
      <w:pPr>
        <w:pStyle w:val="25"/>
        <w:spacing w:line="360" w:lineRule="auto"/>
        <w:ind w:left="25" w:leftChars="12" w:firstLine="472" w:firstLineChars="196"/>
        <w:rPr>
          <w:rFonts w:hint="eastAsia" w:hAnsi="宋体"/>
          <w:b/>
          <w:sz w:val="24"/>
          <w:szCs w:val="24"/>
        </w:rPr>
      </w:pPr>
      <w:r>
        <w:rPr>
          <w:rFonts w:hint="eastAsia" w:hAnsi="宋体"/>
          <w:b/>
          <w:sz w:val="24"/>
          <w:szCs w:val="24"/>
        </w:rPr>
        <w:t>三、质疑事项具体内容</w:t>
      </w:r>
    </w:p>
    <w:p w14:paraId="022CAC3F">
      <w:pPr>
        <w:pStyle w:val="25"/>
        <w:spacing w:line="360" w:lineRule="auto"/>
        <w:ind w:left="25" w:leftChars="12" w:firstLine="472" w:firstLineChars="197"/>
        <w:rPr>
          <w:rFonts w:hint="eastAsia" w:hAnsi="宋体"/>
          <w:sz w:val="24"/>
          <w:szCs w:val="24"/>
        </w:rPr>
      </w:pPr>
      <w:r>
        <w:rPr>
          <w:rFonts w:hint="eastAsia" w:hAnsi="宋体"/>
          <w:sz w:val="24"/>
          <w:szCs w:val="24"/>
        </w:rPr>
        <w:t>质疑事项1：</w:t>
      </w:r>
      <w:r>
        <w:rPr>
          <w:rFonts w:hint="eastAsia" w:hAnsi="宋体"/>
          <w:bCs/>
          <w:sz w:val="24"/>
          <w:szCs w:val="24"/>
          <w:u w:val="single"/>
        </w:rPr>
        <w:t xml:space="preserve">                                                                    </w:t>
      </w:r>
    </w:p>
    <w:p w14:paraId="6E6104FA">
      <w:pPr>
        <w:pStyle w:val="25"/>
        <w:spacing w:line="360" w:lineRule="auto"/>
        <w:ind w:left="25" w:leftChars="12" w:firstLine="472" w:firstLineChars="197"/>
        <w:rPr>
          <w:rFonts w:hint="eastAsia" w:hAnsi="宋体"/>
          <w:sz w:val="24"/>
          <w:szCs w:val="24"/>
        </w:rPr>
      </w:pPr>
      <w:r>
        <w:rPr>
          <w:rFonts w:hint="eastAsia" w:hAnsi="宋体"/>
          <w:sz w:val="24"/>
          <w:szCs w:val="24"/>
        </w:rPr>
        <w:t>事实依据：</w:t>
      </w:r>
      <w:r>
        <w:rPr>
          <w:rFonts w:hint="eastAsia" w:hAnsi="宋体"/>
          <w:bCs/>
          <w:sz w:val="24"/>
          <w:szCs w:val="24"/>
          <w:u w:val="single"/>
        </w:rPr>
        <w:t xml:space="preserve">                                                                      </w:t>
      </w:r>
    </w:p>
    <w:p w14:paraId="2A34AA9D">
      <w:pPr>
        <w:pStyle w:val="25"/>
        <w:spacing w:line="360" w:lineRule="auto"/>
        <w:ind w:left="25" w:leftChars="12" w:firstLine="472" w:firstLineChars="197"/>
        <w:rPr>
          <w:rFonts w:hint="eastAsia" w:hAnsi="宋体"/>
          <w:sz w:val="24"/>
          <w:szCs w:val="24"/>
        </w:rPr>
      </w:pPr>
      <w:r>
        <w:rPr>
          <w:rFonts w:hint="eastAsia" w:hAnsi="宋体"/>
          <w:sz w:val="24"/>
          <w:szCs w:val="24"/>
        </w:rPr>
        <w:t>法律依据：</w:t>
      </w:r>
      <w:r>
        <w:rPr>
          <w:rFonts w:hint="eastAsia" w:hAnsi="宋体"/>
          <w:sz w:val="24"/>
          <w:szCs w:val="24"/>
          <w:u w:val="single"/>
        </w:rPr>
        <w:t xml:space="preserve">                                                        </w:t>
      </w:r>
      <w:r>
        <w:rPr>
          <w:rFonts w:hint="eastAsia" w:hAnsi="宋体"/>
          <w:bCs/>
          <w:sz w:val="24"/>
          <w:szCs w:val="24"/>
          <w:u w:val="single"/>
        </w:rPr>
        <w:t xml:space="preserve">               </w:t>
      </w:r>
    </w:p>
    <w:p w14:paraId="44DE3208">
      <w:pPr>
        <w:pStyle w:val="25"/>
        <w:spacing w:line="360" w:lineRule="auto"/>
        <w:ind w:left="25" w:leftChars="12" w:firstLine="472" w:firstLineChars="197"/>
        <w:rPr>
          <w:rFonts w:hint="eastAsia" w:hAnsi="宋体"/>
          <w:sz w:val="24"/>
          <w:szCs w:val="24"/>
        </w:rPr>
      </w:pPr>
      <w:r>
        <w:rPr>
          <w:rFonts w:hint="eastAsia" w:hAnsi="宋体"/>
          <w:sz w:val="24"/>
          <w:szCs w:val="24"/>
        </w:rPr>
        <w:t>质疑事项2</w:t>
      </w:r>
    </w:p>
    <w:p w14:paraId="0FB6F53E">
      <w:pPr>
        <w:pStyle w:val="25"/>
        <w:spacing w:line="360" w:lineRule="auto"/>
        <w:ind w:left="25" w:leftChars="12" w:firstLine="472" w:firstLineChars="197"/>
        <w:rPr>
          <w:rFonts w:hint="eastAsia" w:hAnsi="宋体"/>
          <w:sz w:val="24"/>
          <w:szCs w:val="24"/>
        </w:rPr>
      </w:pPr>
      <w:r>
        <w:rPr>
          <w:rFonts w:hAnsi="宋体"/>
          <w:sz w:val="24"/>
          <w:szCs w:val="24"/>
        </w:rPr>
        <w:t>……</w:t>
      </w:r>
    </w:p>
    <w:p w14:paraId="4822B90B">
      <w:pPr>
        <w:pStyle w:val="25"/>
        <w:spacing w:line="360" w:lineRule="auto"/>
        <w:ind w:left="25" w:leftChars="12" w:firstLine="472" w:firstLineChars="197"/>
        <w:rPr>
          <w:rFonts w:hint="eastAsia" w:hAnsi="宋体"/>
          <w:sz w:val="24"/>
          <w:szCs w:val="24"/>
        </w:rPr>
      </w:pPr>
      <w:r>
        <w:rPr>
          <w:rFonts w:hint="eastAsia" w:hAnsi="宋体"/>
          <w:sz w:val="24"/>
          <w:szCs w:val="24"/>
        </w:rPr>
        <w:t>四、与质疑事项相关的质疑请求：</w:t>
      </w:r>
    </w:p>
    <w:p w14:paraId="27C3DE2C">
      <w:pPr>
        <w:pStyle w:val="25"/>
        <w:spacing w:line="360" w:lineRule="auto"/>
        <w:ind w:left="25" w:leftChars="12" w:firstLine="472" w:firstLineChars="197"/>
        <w:rPr>
          <w:rFonts w:hint="eastAsia" w:hAnsi="宋体"/>
          <w:sz w:val="24"/>
          <w:szCs w:val="24"/>
        </w:rPr>
      </w:pPr>
      <w:r>
        <w:rPr>
          <w:rFonts w:hint="eastAsia" w:hAnsi="宋体"/>
          <w:sz w:val="24"/>
          <w:szCs w:val="24"/>
        </w:rPr>
        <w:t>请求：</w:t>
      </w:r>
      <w:r>
        <w:rPr>
          <w:rFonts w:hint="eastAsia" w:hAnsi="宋体"/>
          <w:bCs/>
          <w:sz w:val="24"/>
          <w:szCs w:val="24"/>
          <w:u w:val="single"/>
        </w:rPr>
        <w:t xml:space="preserve">                                                                </w:t>
      </w:r>
    </w:p>
    <w:p w14:paraId="4FAF392F">
      <w:pPr>
        <w:pStyle w:val="25"/>
        <w:spacing w:line="360" w:lineRule="auto"/>
        <w:ind w:left="25" w:leftChars="12" w:firstLine="352" w:firstLineChars="147"/>
        <w:rPr>
          <w:rFonts w:hint="eastAsia" w:hAnsi="宋体"/>
          <w:sz w:val="24"/>
          <w:szCs w:val="24"/>
        </w:rPr>
      </w:pPr>
    </w:p>
    <w:p w14:paraId="0613E603">
      <w:pPr>
        <w:pStyle w:val="25"/>
        <w:spacing w:line="360" w:lineRule="auto"/>
        <w:ind w:left="25" w:leftChars="12" w:firstLine="472" w:firstLineChars="197"/>
        <w:rPr>
          <w:rFonts w:hint="eastAsia" w:hAnsi="宋体"/>
          <w:sz w:val="24"/>
          <w:szCs w:val="24"/>
        </w:rPr>
      </w:pPr>
      <w:r>
        <w:rPr>
          <w:rFonts w:hint="eastAsia" w:hAnsi="宋体"/>
          <w:sz w:val="24"/>
          <w:szCs w:val="24"/>
        </w:rPr>
        <w:t>签字（签章）：                                       公章：</w:t>
      </w:r>
    </w:p>
    <w:p w14:paraId="72DA196C">
      <w:pPr>
        <w:pStyle w:val="25"/>
        <w:spacing w:line="360" w:lineRule="auto"/>
        <w:ind w:left="25" w:leftChars="12" w:firstLine="352" w:firstLineChars="147"/>
        <w:rPr>
          <w:rFonts w:hint="eastAsia" w:hAnsi="宋体"/>
          <w:sz w:val="24"/>
          <w:szCs w:val="24"/>
        </w:rPr>
      </w:pPr>
    </w:p>
    <w:p w14:paraId="0D9F7642">
      <w:pPr>
        <w:pStyle w:val="25"/>
        <w:spacing w:line="360" w:lineRule="auto"/>
        <w:ind w:left="25" w:leftChars="12" w:firstLine="472" w:firstLineChars="197"/>
        <w:rPr>
          <w:rFonts w:hint="eastAsia" w:hAnsi="宋体"/>
          <w:sz w:val="24"/>
          <w:szCs w:val="24"/>
        </w:rPr>
      </w:pPr>
      <w:r>
        <w:rPr>
          <w:rFonts w:hint="eastAsia" w:hAnsi="宋体"/>
          <w:sz w:val="24"/>
          <w:szCs w:val="24"/>
        </w:rPr>
        <w:t>日期：</w:t>
      </w:r>
    </w:p>
    <w:p w14:paraId="0C98FE6B">
      <w:pPr>
        <w:pStyle w:val="25"/>
        <w:snapToGrid w:val="0"/>
        <w:spacing w:line="360" w:lineRule="auto"/>
        <w:rPr>
          <w:rFonts w:hint="eastAsia" w:hAnsi="宋体"/>
          <w:b/>
          <w:sz w:val="24"/>
          <w:szCs w:val="24"/>
        </w:rPr>
      </w:pPr>
    </w:p>
    <w:p w14:paraId="22A24EC3">
      <w:pPr>
        <w:pStyle w:val="25"/>
        <w:snapToGrid w:val="0"/>
        <w:spacing w:line="360" w:lineRule="auto"/>
        <w:rPr>
          <w:rFonts w:hint="eastAsia" w:hAnsi="宋体"/>
          <w:b/>
          <w:sz w:val="24"/>
          <w:szCs w:val="24"/>
        </w:rPr>
      </w:pPr>
      <w:r>
        <w:rPr>
          <w:rFonts w:hint="eastAsia" w:hAnsi="宋体"/>
          <w:b/>
          <w:sz w:val="24"/>
          <w:szCs w:val="24"/>
        </w:rPr>
        <w:t>说明：</w:t>
      </w:r>
    </w:p>
    <w:p w14:paraId="1E0E3EFF">
      <w:pPr>
        <w:pStyle w:val="25"/>
        <w:spacing w:line="360" w:lineRule="auto"/>
        <w:ind w:left="25" w:leftChars="12" w:firstLine="354" w:firstLineChars="147"/>
        <w:rPr>
          <w:rFonts w:hint="eastAsia" w:hAnsi="宋体"/>
          <w:b/>
          <w:bCs/>
          <w:sz w:val="24"/>
          <w:szCs w:val="24"/>
        </w:rPr>
      </w:pPr>
      <w:r>
        <w:rPr>
          <w:rFonts w:hint="eastAsia" w:hAnsi="宋体"/>
          <w:b/>
          <w:sz w:val="24"/>
          <w:szCs w:val="24"/>
        </w:rPr>
        <w:t>1.供应商提出质疑时，应提交质疑函和必要的证明材料</w:t>
      </w:r>
      <w:r>
        <w:rPr>
          <w:rFonts w:hint="eastAsia" w:hAnsi="宋体"/>
          <w:b/>
          <w:bCs/>
          <w:sz w:val="24"/>
          <w:szCs w:val="24"/>
        </w:rPr>
        <w:t>。</w:t>
      </w:r>
    </w:p>
    <w:p w14:paraId="3FD78E77">
      <w:pPr>
        <w:pStyle w:val="25"/>
        <w:spacing w:line="360" w:lineRule="auto"/>
        <w:ind w:left="25" w:leftChars="12" w:firstLine="354" w:firstLineChars="147"/>
        <w:rPr>
          <w:rFonts w:hint="eastAsia" w:hAnsi="宋体"/>
          <w:b/>
          <w:sz w:val="24"/>
          <w:szCs w:val="24"/>
        </w:rPr>
      </w:pPr>
      <w:r>
        <w:rPr>
          <w:rFonts w:hint="eastAsia" w:hAnsi="宋体"/>
          <w:b/>
          <w:sz w:val="24"/>
          <w:szCs w:val="24"/>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7361964E">
      <w:pPr>
        <w:pStyle w:val="25"/>
        <w:spacing w:line="360" w:lineRule="auto"/>
        <w:ind w:left="25" w:leftChars="12" w:firstLine="354" w:firstLineChars="147"/>
        <w:rPr>
          <w:rFonts w:hint="eastAsia" w:hAnsi="宋体"/>
          <w:b/>
          <w:sz w:val="24"/>
          <w:szCs w:val="24"/>
        </w:rPr>
      </w:pPr>
      <w:r>
        <w:rPr>
          <w:rFonts w:hint="eastAsia" w:hAnsi="宋体"/>
          <w:b/>
          <w:sz w:val="24"/>
          <w:szCs w:val="24"/>
        </w:rPr>
        <w:t>3.质疑函的质疑事项应具体、明确，并有必要的事实依据和法律依据。</w:t>
      </w:r>
    </w:p>
    <w:p w14:paraId="0C162D70">
      <w:pPr>
        <w:pStyle w:val="25"/>
        <w:spacing w:line="360" w:lineRule="auto"/>
        <w:ind w:left="25" w:leftChars="12" w:firstLine="354" w:firstLineChars="147"/>
        <w:rPr>
          <w:rFonts w:hint="eastAsia" w:hAnsi="宋体"/>
          <w:b/>
          <w:sz w:val="24"/>
          <w:szCs w:val="24"/>
        </w:rPr>
      </w:pPr>
      <w:r>
        <w:rPr>
          <w:rFonts w:hint="eastAsia" w:hAnsi="宋体"/>
          <w:b/>
          <w:sz w:val="24"/>
          <w:szCs w:val="24"/>
        </w:rPr>
        <w:t>4.质疑函的质疑请求应与质疑事项相关。</w:t>
      </w:r>
    </w:p>
    <w:p w14:paraId="298E4E23">
      <w:pPr>
        <w:pStyle w:val="25"/>
        <w:spacing w:line="360" w:lineRule="auto"/>
        <w:ind w:left="25" w:leftChars="12" w:firstLine="354" w:firstLineChars="147"/>
        <w:rPr>
          <w:rFonts w:hint="eastAsia" w:hAnsi="宋体"/>
          <w:b/>
        </w:rPr>
      </w:pPr>
      <w:r>
        <w:rPr>
          <w:rFonts w:hint="eastAsia" w:hAnsi="宋体"/>
          <w:b/>
          <w:sz w:val="24"/>
          <w:szCs w:val="24"/>
        </w:rPr>
        <w:t>5.质疑供应商为法人或者其他组织的，质疑函应由法定代表人、主要负责人，或者其授权代表签字或者盖章，并加盖公章。</w:t>
      </w:r>
    </w:p>
    <w:p w14:paraId="05A3A14E">
      <w:pPr>
        <w:pStyle w:val="25"/>
        <w:snapToGrid w:val="0"/>
        <w:rPr>
          <w:rFonts w:hint="eastAsia"/>
          <w:b/>
          <w:sz w:val="24"/>
          <w:szCs w:val="24"/>
        </w:rPr>
      </w:pPr>
    </w:p>
    <w:p w14:paraId="2C416A9F">
      <w:pPr>
        <w:spacing w:line="360" w:lineRule="auto"/>
        <w:jc w:val="left"/>
        <w:rPr>
          <w:rFonts w:hint="eastAsia" w:ascii="宋体" w:hAnsi="宋体"/>
          <w:b/>
          <w:bCs/>
          <w:sz w:val="32"/>
          <w:szCs w:val="32"/>
        </w:rPr>
      </w:pPr>
      <w:r>
        <w:rPr>
          <w:rFonts w:eastAsia="隶书"/>
          <w:sz w:val="44"/>
        </w:rPr>
        <w:br w:type="page"/>
      </w:r>
      <w:r>
        <w:rPr>
          <w:rFonts w:hint="eastAsia" w:ascii="宋体" w:hAnsi="宋体"/>
          <w:b/>
          <w:sz w:val="24"/>
        </w:rPr>
        <w:t>6.投诉书（格式）</w:t>
      </w:r>
    </w:p>
    <w:p w14:paraId="715FE824">
      <w:pPr>
        <w:spacing w:line="360" w:lineRule="auto"/>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投诉书（格式）</w:t>
      </w:r>
    </w:p>
    <w:p w14:paraId="2CCD9FBE">
      <w:pPr>
        <w:pStyle w:val="25"/>
        <w:snapToGrid w:val="0"/>
        <w:spacing w:line="360" w:lineRule="auto"/>
        <w:ind w:firstLine="482" w:firstLineChars="200"/>
        <w:rPr>
          <w:rFonts w:hAnsi="宋体"/>
          <w:b/>
          <w:bCs/>
          <w:sz w:val="24"/>
          <w:szCs w:val="24"/>
        </w:rPr>
      </w:pPr>
      <w:r>
        <w:rPr>
          <w:rFonts w:hint="eastAsia" w:hAnsi="宋体"/>
          <w:b/>
          <w:bCs/>
          <w:sz w:val="24"/>
          <w:szCs w:val="24"/>
        </w:rPr>
        <w:t>一、投诉相关主体基本情况：</w:t>
      </w:r>
    </w:p>
    <w:p w14:paraId="3EC18F70">
      <w:pPr>
        <w:pStyle w:val="25"/>
        <w:snapToGrid w:val="0"/>
        <w:spacing w:line="360" w:lineRule="auto"/>
        <w:ind w:firstLine="480" w:firstLineChars="200"/>
        <w:jc w:val="left"/>
        <w:rPr>
          <w:rFonts w:hint="eastAsia" w:hAnsi="宋体"/>
          <w:bCs/>
          <w:sz w:val="24"/>
          <w:szCs w:val="24"/>
          <w:u w:val="single"/>
        </w:rPr>
      </w:pPr>
      <w:r>
        <w:rPr>
          <w:rFonts w:hint="eastAsia" w:hAnsi="宋体"/>
          <w:bCs/>
          <w:sz w:val="24"/>
          <w:szCs w:val="24"/>
        </w:rPr>
        <w:t>投标人：</w:t>
      </w:r>
      <w:r>
        <w:rPr>
          <w:rFonts w:hint="eastAsia" w:hAnsi="宋体"/>
          <w:bCs/>
          <w:sz w:val="24"/>
          <w:szCs w:val="24"/>
          <w:u w:val="single"/>
        </w:rPr>
        <w:t xml:space="preserve">                                                                        </w:t>
      </w:r>
      <w:r>
        <w:rPr>
          <w:rFonts w:hint="eastAsia" w:hAnsi="宋体"/>
          <w:bCs/>
          <w:sz w:val="24"/>
          <w:szCs w:val="24"/>
        </w:rPr>
        <w:t xml:space="preserve">                 </w:t>
      </w:r>
    </w:p>
    <w:p w14:paraId="7D49C420">
      <w:pPr>
        <w:pStyle w:val="25"/>
        <w:snapToGrid w:val="0"/>
        <w:spacing w:line="360" w:lineRule="auto"/>
        <w:ind w:firstLine="480" w:firstLineChars="200"/>
        <w:jc w:val="left"/>
        <w:rPr>
          <w:rFonts w:hint="eastAsia" w:hAnsi="宋体"/>
          <w:bCs/>
          <w:sz w:val="24"/>
          <w:szCs w:val="24"/>
        </w:rPr>
      </w:pPr>
      <w:r>
        <w:rPr>
          <w:rFonts w:hAnsi="宋体"/>
          <w:bCs/>
          <w:sz w:val="24"/>
          <w:szCs w:val="24"/>
        </w:rPr>
        <w:t>地址</w:t>
      </w:r>
      <w:r>
        <w:rPr>
          <w:rFonts w:hint="eastAsia" w:hAnsi="宋体"/>
          <w:bCs/>
          <w:sz w:val="24"/>
          <w:szCs w:val="24"/>
        </w:rPr>
        <w:t>：</w:t>
      </w:r>
      <w:r>
        <w:rPr>
          <w:rFonts w:hint="eastAsia" w:hAnsi="宋体"/>
          <w:bCs/>
          <w:sz w:val="24"/>
          <w:szCs w:val="24"/>
          <w:u w:val="single"/>
        </w:rPr>
        <w:t xml:space="preserve">                                          </w:t>
      </w:r>
      <w:r>
        <w:rPr>
          <w:rFonts w:hAnsi="宋体"/>
          <w:bCs/>
          <w:sz w:val="24"/>
          <w:szCs w:val="24"/>
        </w:rPr>
        <w:t>邮编</w:t>
      </w:r>
      <w:r>
        <w:rPr>
          <w:rFonts w:hint="eastAsia" w:hAnsi="宋体"/>
          <w:bCs/>
          <w:sz w:val="24"/>
          <w:szCs w:val="24"/>
        </w:rPr>
        <w:t>：</w:t>
      </w:r>
      <w:r>
        <w:rPr>
          <w:rFonts w:hint="eastAsia" w:hAnsi="宋体"/>
          <w:bCs/>
          <w:sz w:val="24"/>
          <w:szCs w:val="24"/>
          <w:u w:val="single"/>
        </w:rPr>
        <w:t xml:space="preserve">                          </w:t>
      </w:r>
      <w:r>
        <w:rPr>
          <w:rFonts w:hint="eastAsia" w:hAnsi="宋体"/>
          <w:bCs/>
          <w:sz w:val="24"/>
          <w:szCs w:val="24"/>
        </w:rPr>
        <w:t xml:space="preserve">                 </w:t>
      </w:r>
    </w:p>
    <w:p w14:paraId="7463A1C2">
      <w:pPr>
        <w:pStyle w:val="25"/>
        <w:snapToGrid w:val="0"/>
        <w:spacing w:line="360" w:lineRule="auto"/>
        <w:ind w:firstLine="480" w:firstLineChars="200"/>
        <w:jc w:val="left"/>
        <w:rPr>
          <w:rFonts w:hint="eastAsia" w:hAnsi="宋体"/>
          <w:bCs/>
          <w:sz w:val="24"/>
          <w:szCs w:val="24"/>
          <w:u w:val="single"/>
        </w:rPr>
      </w:pPr>
      <w:r>
        <w:rPr>
          <w:rFonts w:hint="eastAsia" w:hAnsi="宋体"/>
          <w:bCs/>
          <w:sz w:val="24"/>
          <w:szCs w:val="24"/>
        </w:rPr>
        <w:t>法定代表人/主要负责人：</w:t>
      </w:r>
      <w:r>
        <w:rPr>
          <w:rFonts w:hint="eastAsia" w:hAnsi="宋体"/>
          <w:bCs/>
          <w:sz w:val="24"/>
          <w:szCs w:val="24"/>
          <w:u w:val="single"/>
        </w:rPr>
        <w:t xml:space="preserve">                                                         </w:t>
      </w:r>
    </w:p>
    <w:p w14:paraId="4EF14A5C">
      <w:pPr>
        <w:pStyle w:val="25"/>
        <w:snapToGrid w:val="0"/>
        <w:spacing w:line="360" w:lineRule="auto"/>
        <w:ind w:firstLine="480" w:firstLineChars="200"/>
        <w:jc w:val="left"/>
        <w:rPr>
          <w:rFonts w:hint="eastAsia" w:hAnsi="宋体"/>
          <w:bCs/>
          <w:sz w:val="24"/>
          <w:szCs w:val="24"/>
        </w:rPr>
      </w:pPr>
      <w:r>
        <w:rPr>
          <w:rFonts w:hAnsi="宋体"/>
          <w:bCs/>
          <w:sz w:val="24"/>
          <w:szCs w:val="24"/>
        </w:rPr>
        <w:t>联系电话</w:t>
      </w:r>
      <w:r>
        <w:rPr>
          <w:rFonts w:hint="eastAsia" w:hAnsi="宋体"/>
          <w:bCs/>
          <w:sz w:val="24"/>
          <w:szCs w:val="24"/>
        </w:rPr>
        <w:t>：</w:t>
      </w:r>
      <w:r>
        <w:rPr>
          <w:rFonts w:hint="eastAsia" w:hAnsi="宋体"/>
          <w:bCs/>
          <w:sz w:val="24"/>
          <w:szCs w:val="24"/>
          <w:u w:val="single"/>
        </w:rPr>
        <w:t xml:space="preserve">                                         </w:t>
      </w:r>
    </w:p>
    <w:p w14:paraId="5C0CDDDD">
      <w:pPr>
        <w:pStyle w:val="25"/>
        <w:snapToGrid w:val="0"/>
        <w:spacing w:line="360" w:lineRule="auto"/>
        <w:ind w:firstLine="480" w:firstLineChars="200"/>
        <w:jc w:val="left"/>
        <w:rPr>
          <w:rFonts w:hint="eastAsia" w:hAnsi="宋体"/>
          <w:bCs/>
          <w:sz w:val="24"/>
          <w:szCs w:val="24"/>
          <w:u w:val="single"/>
        </w:rPr>
      </w:pPr>
      <w:r>
        <w:rPr>
          <w:rFonts w:hint="eastAsia" w:hAnsi="宋体"/>
          <w:bCs/>
          <w:sz w:val="24"/>
          <w:szCs w:val="24"/>
        </w:rPr>
        <w:t>授权代表：</w:t>
      </w:r>
      <w:r>
        <w:rPr>
          <w:rFonts w:hint="eastAsia" w:hAnsi="宋体"/>
          <w:bCs/>
          <w:sz w:val="24"/>
          <w:szCs w:val="24"/>
          <w:u w:val="single"/>
        </w:rPr>
        <w:t xml:space="preserve">                                         </w:t>
      </w:r>
      <w:r>
        <w:rPr>
          <w:rFonts w:hAnsi="宋体"/>
          <w:bCs/>
          <w:sz w:val="24"/>
          <w:szCs w:val="24"/>
        </w:rPr>
        <w:t>联系</w:t>
      </w:r>
      <w:r>
        <w:rPr>
          <w:rFonts w:hint="eastAsia" w:hAnsi="宋体"/>
          <w:bCs/>
          <w:sz w:val="24"/>
          <w:szCs w:val="24"/>
        </w:rPr>
        <w:t>电话：</w:t>
      </w:r>
      <w:r>
        <w:rPr>
          <w:rFonts w:hint="eastAsia" w:hAnsi="宋体"/>
          <w:bCs/>
          <w:sz w:val="24"/>
          <w:szCs w:val="24"/>
          <w:u w:val="single"/>
        </w:rPr>
        <w:t xml:space="preserve">                   </w:t>
      </w:r>
    </w:p>
    <w:p w14:paraId="031DCC96">
      <w:pPr>
        <w:pStyle w:val="25"/>
        <w:snapToGrid w:val="0"/>
        <w:spacing w:line="360" w:lineRule="auto"/>
        <w:ind w:firstLine="480" w:firstLineChars="200"/>
        <w:jc w:val="left"/>
        <w:rPr>
          <w:rFonts w:hint="eastAsia" w:hAnsi="宋体"/>
          <w:bCs/>
          <w:sz w:val="24"/>
          <w:szCs w:val="24"/>
          <w:u w:val="single"/>
        </w:rPr>
      </w:pPr>
      <w:r>
        <w:rPr>
          <w:rFonts w:hAnsi="宋体"/>
          <w:bCs/>
          <w:sz w:val="24"/>
          <w:szCs w:val="24"/>
        </w:rPr>
        <w:t>地址</w:t>
      </w:r>
      <w:r>
        <w:rPr>
          <w:rFonts w:hint="eastAsia" w:hAnsi="宋体"/>
          <w:bCs/>
          <w:sz w:val="24"/>
          <w:szCs w:val="24"/>
        </w:rPr>
        <w:t>：</w:t>
      </w:r>
      <w:r>
        <w:rPr>
          <w:rFonts w:hint="eastAsia" w:hAnsi="宋体"/>
          <w:bCs/>
          <w:sz w:val="24"/>
          <w:szCs w:val="24"/>
          <w:u w:val="single"/>
        </w:rPr>
        <w:t xml:space="preserve">                                                            </w:t>
      </w:r>
    </w:p>
    <w:p w14:paraId="78AA57AC">
      <w:pPr>
        <w:pStyle w:val="25"/>
        <w:snapToGrid w:val="0"/>
        <w:spacing w:line="360" w:lineRule="auto"/>
        <w:ind w:firstLine="480" w:firstLineChars="200"/>
        <w:jc w:val="left"/>
        <w:rPr>
          <w:rFonts w:hint="eastAsia" w:hAnsi="宋体"/>
          <w:bCs/>
          <w:sz w:val="24"/>
          <w:szCs w:val="24"/>
        </w:rPr>
      </w:pPr>
      <w:r>
        <w:rPr>
          <w:rFonts w:hAnsi="宋体"/>
          <w:bCs/>
          <w:sz w:val="24"/>
          <w:szCs w:val="24"/>
        </w:rPr>
        <w:t>邮编</w:t>
      </w:r>
      <w:r>
        <w:rPr>
          <w:rFonts w:hint="eastAsia" w:hAnsi="宋体"/>
          <w:bCs/>
          <w:sz w:val="24"/>
          <w:szCs w:val="24"/>
        </w:rPr>
        <w:t>：</w:t>
      </w:r>
      <w:r>
        <w:rPr>
          <w:rFonts w:hint="eastAsia" w:hAnsi="宋体"/>
          <w:bCs/>
          <w:sz w:val="24"/>
          <w:szCs w:val="24"/>
          <w:u w:val="single"/>
        </w:rPr>
        <w:t xml:space="preserve">         </w:t>
      </w:r>
      <w:r>
        <w:rPr>
          <w:rFonts w:hint="eastAsia" w:hAnsi="宋体"/>
          <w:bCs/>
          <w:sz w:val="24"/>
          <w:szCs w:val="24"/>
        </w:rPr>
        <w:t xml:space="preserve">   </w:t>
      </w:r>
    </w:p>
    <w:p w14:paraId="2500A821">
      <w:pPr>
        <w:pStyle w:val="25"/>
        <w:snapToGrid w:val="0"/>
        <w:spacing w:line="360" w:lineRule="auto"/>
        <w:ind w:firstLine="480" w:firstLineChars="200"/>
        <w:jc w:val="left"/>
        <w:rPr>
          <w:rFonts w:hint="eastAsia" w:hAnsi="宋体"/>
          <w:bCs/>
          <w:sz w:val="24"/>
          <w:szCs w:val="24"/>
        </w:rPr>
      </w:pPr>
      <w:r>
        <w:rPr>
          <w:rFonts w:hint="eastAsia" w:hAnsi="宋体"/>
          <w:bCs/>
          <w:sz w:val="24"/>
          <w:szCs w:val="24"/>
        </w:rPr>
        <w:t>被投诉人1：</w:t>
      </w:r>
    </w:p>
    <w:p w14:paraId="1DA27694">
      <w:pPr>
        <w:pStyle w:val="25"/>
        <w:snapToGrid w:val="0"/>
        <w:spacing w:line="360" w:lineRule="auto"/>
        <w:ind w:firstLine="480" w:firstLineChars="200"/>
        <w:jc w:val="left"/>
        <w:rPr>
          <w:rFonts w:hint="eastAsia" w:hAnsi="宋体"/>
          <w:bCs/>
          <w:sz w:val="24"/>
          <w:szCs w:val="24"/>
          <w:u w:val="single"/>
        </w:rPr>
      </w:pPr>
      <w:r>
        <w:rPr>
          <w:rFonts w:hint="eastAsia" w:hAnsi="宋体"/>
          <w:bCs/>
          <w:sz w:val="24"/>
          <w:szCs w:val="24"/>
        </w:rPr>
        <w:t>地址：</w:t>
      </w:r>
      <w:r>
        <w:rPr>
          <w:rFonts w:hint="eastAsia" w:hAnsi="宋体"/>
          <w:bCs/>
          <w:sz w:val="24"/>
          <w:szCs w:val="24"/>
          <w:u w:val="single"/>
        </w:rPr>
        <w:t xml:space="preserve">                                                            </w:t>
      </w:r>
    </w:p>
    <w:p w14:paraId="2C521120">
      <w:pPr>
        <w:pStyle w:val="25"/>
        <w:snapToGrid w:val="0"/>
        <w:spacing w:line="360" w:lineRule="auto"/>
        <w:ind w:firstLine="480" w:firstLineChars="200"/>
        <w:jc w:val="left"/>
        <w:rPr>
          <w:rFonts w:hint="eastAsia" w:hAnsi="宋体"/>
          <w:bCs/>
          <w:sz w:val="24"/>
          <w:szCs w:val="24"/>
        </w:rPr>
      </w:pPr>
      <w:r>
        <w:rPr>
          <w:rFonts w:hAnsi="宋体"/>
          <w:bCs/>
          <w:sz w:val="24"/>
          <w:szCs w:val="24"/>
        </w:rPr>
        <w:t>邮编</w:t>
      </w:r>
      <w:r>
        <w:rPr>
          <w:rFonts w:hint="eastAsia" w:hAnsi="宋体"/>
          <w:bCs/>
          <w:sz w:val="24"/>
          <w:szCs w:val="24"/>
        </w:rPr>
        <w:t>：</w:t>
      </w:r>
      <w:r>
        <w:rPr>
          <w:rFonts w:hint="eastAsia" w:hAnsi="宋体"/>
          <w:bCs/>
          <w:sz w:val="24"/>
          <w:szCs w:val="24"/>
          <w:u w:val="single"/>
        </w:rPr>
        <w:t xml:space="preserve">         </w:t>
      </w:r>
      <w:r>
        <w:rPr>
          <w:rFonts w:hint="eastAsia" w:hAnsi="宋体"/>
          <w:bCs/>
          <w:sz w:val="24"/>
          <w:szCs w:val="24"/>
        </w:rPr>
        <w:t xml:space="preserve">  </w:t>
      </w:r>
    </w:p>
    <w:p w14:paraId="7669B2FB">
      <w:pPr>
        <w:pStyle w:val="25"/>
        <w:snapToGrid w:val="0"/>
        <w:spacing w:line="360" w:lineRule="auto"/>
        <w:ind w:firstLine="480" w:firstLineChars="200"/>
        <w:jc w:val="left"/>
        <w:rPr>
          <w:rFonts w:hint="eastAsia" w:hAnsi="宋体"/>
          <w:bCs/>
          <w:sz w:val="24"/>
          <w:szCs w:val="24"/>
          <w:u w:val="single"/>
        </w:rPr>
      </w:pPr>
      <w:r>
        <w:rPr>
          <w:rFonts w:hint="eastAsia" w:hAnsi="宋体"/>
          <w:bCs/>
          <w:sz w:val="24"/>
          <w:szCs w:val="24"/>
        </w:rPr>
        <w:t>联系人：</w:t>
      </w:r>
      <w:r>
        <w:rPr>
          <w:rFonts w:hint="eastAsia" w:hAnsi="宋体"/>
          <w:bCs/>
          <w:sz w:val="24"/>
          <w:szCs w:val="24"/>
          <w:u w:val="single"/>
        </w:rPr>
        <w:t xml:space="preserve">                            </w:t>
      </w:r>
      <w:r>
        <w:rPr>
          <w:rFonts w:hAnsi="宋体"/>
          <w:bCs/>
          <w:sz w:val="24"/>
          <w:szCs w:val="24"/>
        </w:rPr>
        <w:t>联系</w:t>
      </w:r>
      <w:r>
        <w:rPr>
          <w:rFonts w:hint="eastAsia" w:hAnsi="宋体"/>
          <w:bCs/>
          <w:sz w:val="24"/>
          <w:szCs w:val="24"/>
        </w:rPr>
        <w:t>电话：</w:t>
      </w:r>
      <w:r>
        <w:rPr>
          <w:rFonts w:hint="eastAsia" w:hAnsi="宋体"/>
          <w:bCs/>
          <w:sz w:val="24"/>
          <w:szCs w:val="24"/>
          <w:u w:val="single"/>
        </w:rPr>
        <w:t xml:space="preserve">                </w:t>
      </w:r>
    </w:p>
    <w:p w14:paraId="74C7015D">
      <w:pPr>
        <w:pStyle w:val="25"/>
        <w:snapToGrid w:val="0"/>
        <w:spacing w:line="360" w:lineRule="auto"/>
        <w:ind w:firstLine="480" w:firstLineChars="200"/>
        <w:jc w:val="left"/>
        <w:rPr>
          <w:rFonts w:hint="eastAsia" w:hAnsi="宋体"/>
          <w:bCs/>
          <w:sz w:val="24"/>
          <w:szCs w:val="24"/>
        </w:rPr>
      </w:pPr>
      <w:r>
        <w:rPr>
          <w:rFonts w:hint="eastAsia" w:hAnsi="宋体"/>
          <w:bCs/>
          <w:sz w:val="24"/>
          <w:szCs w:val="24"/>
        </w:rPr>
        <w:t>被投诉人2：</w:t>
      </w:r>
    </w:p>
    <w:p w14:paraId="570B7599">
      <w:pPr>
        <w:pStyle w:val="25"/>
        <w:snapToGrid w:val="0"/>
        <w:spacing w:line="360" w:lineRule="auto"/>
        <w:ind w:firstLine="480" w:firstLineChars="200"/>
        <w:jc w:val="left"/>
        <w:rPr>
          <w:rFonts w:hint="eastAsia" w:hAnsi="宋体"/>
          <w:bCs/>
          <w:sz w:val="24"/>
          <w:szCs w:val="24"/>
        </w:rPr>
      </w:pPr>
      <w:r>
        <w:rPr>
          <w:rFonts w:hAnsi="宋体"/>
          <w:bCs/>
          <w:sz w:val="24"/>
          <w:szCs w:val="24"/>
        </w:rPr>
        <w:t>……</w:t>
      </w:r>
    </w:p>
    <w:p w14:paraId="3EDEB94D">
      <w:pPr>
        <w:pStyle w:val="25"/>
        <w:snapToGrid w:val="0"/>
        <w:spacing w:line="360" w:lineRule="auto"/>
        <w:ind w:firstLine="480" w:firstLineChars="200"/>
        <w:jc w:val="left"/>
        <w:rPr>
          <w:rFonts w:hint="eastAsia" w:hAnsi="宋体"/>
          <w:bCs/>
          <w:sz w:val="24"/>
          <w:szCs w:val="24"/>
          <w:u w:val="single"/>
        </w:rPr>
      </w:pPr>
      <w:r>
        <w:rPr>
          <w:rFonts w:hint="eastAsia" w:hAnsi="宋体"/>
          <w:bCs/>
          <w:sz w:val="24"/>
          <w:szCs w:val="24"/>
        </w:rPr>
        <w:t>相关供应商：</w:t>
      </w:r>
      <w:r>
        <w:rPr>
          <w:rFonts w:hint="eastAsia" w:hAnsi="宋体"/>
          <w:bCs/>
          <w:sz w:val="24"/>
          <w:szCs w:val="24"/>
          <w:u w:val="single"/>
        </w:rPr>
        <w:t xml:space="preserve">                                                                       </w:t>
      </w:r>
    </w:p>
    <w:p w14:paraId="3EAA1A33">
      <w:pPr>
        <w:pStyle w:val="25"/>
        <w:snapToGrid w:val="0"/>
        <w:spacing w:line="360" w:lineRule="auto"/>
        <w:ind w:firstLine="480" w:firstLineChars="200"/>
        <w:jc w:val="left"/>
        <w:rPr>
          <w:rFonts w:hint="eastAsia" w:hAnsi="宋体"/>
          <w:bCs/>
          <w:sz w:val="24"/>
          <w:szCs w:val="24"/>
          <w:u w:val="single"/>
        </w:rPr>
      </w:pPr>
      <w:r>
        <w:rPr>
          <w:rFonts w:hAnsi="宋体"/>
          <w:bCs/>
          <w:sz w:val="24"/>
          <w:szCs w:val="24"/>
        </w:rPr>
        <w:t>地址</w:t>
      </w:r>
      <w:r>
        <w:rPr>
          <w:rFonts w:hint="eastAsia" w:hAnsi="宋体"/>
          <w:bCs/>
          <w:sz w:val="24"/>
          <w:szCs w:val="24"/>
        </w:rPr>
        <w:t>：</w:t>
      </w:r>
      <w:r>
        <w:rPr>
          <w:rFonts w:hint="eastAsia" w:hAnsi="宋体"/>
          <w:bCs/>
          <w:sz w:val="24"/>
          <w:szCs w:val="24"/>
          <w:u w:val="single"/>
        </w:rPr>
        <w:t xml:space="preserve">                                              </w:t>
      </w:r>
      <w:r>
        <w:rPr>
          <w:rFonts w:hAnsi="宋体"/>
          <w:bCs/>
          <w:sz w:val="24"/>
          <w:szCs w:val="24"/>
        </w:rPr>
        <w:t>邮编</w:t>
      </w:r>
      <w:r>
        <w:rPr>
          <w:rFonts w:hint="eastAsia" w:hAnsi="宋体"/>
          <w:bCs/>
          <w:sz w:val="24"/>
          <w:szCs w:val="24"/>
        </w:rPr>
        <w:t>：</w:t>
      </w:r>
      <w:r>
        <w:rPr>
          <w:rFonts w:hint="eastAsia" w:hAnsi="宋体"/>
          <w:bCs/>
          <w:sz w:val="24"/>
          <w:szCs w:val="24"/>
          <w:u w:val="single"/>
        </w:rPr>
        <w:t xml:space="preserve">                         </w:t>
      </w:r>
    </w:p>
    <w:p w14:paraId="47649E08">
      <w:pPr>
        <w:pStyle w:val="25"/>
        <w:snapToGrid w:val="0"/>
        <w:spacing w:line="360" w:lineRule="auto"/>
        <w:ind w:firstLine="480" w:firstLineChars="200"/>
        <w:jc w:val="left"/>
        <w:rPr>
          <w:rFonts w:hint="eastAsia" w:hAnsi="宋体"/>
          <w:bCs/>
          <w:sz w:val="24"/>
          <w:szCs w:val="24"/>
        </w:rPr>
      </w:pPr>
      <w:r>
        <w:rPr>
          <w:rFonts w:hint="eastAsia" w:hAnsi="宋体"/>
          <w:bCs/>
          <w:sz w:val="24"/>
          <w:szCs w:val="24"/>
        </w:rPr>
        <w:t>联系人：</w:t>
      </w:r>
      <w:r>
        <w:rPr>
          <w:rFonts w:hint="eastAsia" w:hAnsi="宋体"/>
          <w:bCs/>
          <w:sz w:val="24"/>
          <w:szCs w:val="24"/>
          <w:u w:val="single"/>
        </w:rPr>
        <w:t xml:space="preserve">                                            </w:t>
      </w:r>
      <w:r>
        <w:rPr>
          <w:rFonts w:hAnsi="宋体"/>
          <w:bCs/>
          <w:sz w:val="24"/>
          <w:szCs w:val="24"/>
        </w:rPr>
        <w:t>联系</w:t>
      </w:r>
      <w:r>
        <w:rPr>
          <w:rFonts w:hint="eastAsia" w:hAnsi="宋体"/>
          <w:bCs/>
          <w:sz w:val="24"/>
          <w:szCs w:val="24"/>
        </w:rPr>
        <w:t>电话：</w:t>
      </w:r>
      <w:r>
        <w:rPr>
          <w:rFonts w:hint="eastAsia" w:hAnsi="宋体"/>
          <w:bCs/>
          <w:sz w:val="24"/>
          <w:szCs w:val="24"/>
          <w:u w:val="single"/>
        </w:rPr>
        <w:t xml:space="preserve">                     </w:t>
      </w:r>
      <w:r>
        <w:rPr>
          <w:rFonts w:hint="eastAsia" w:hAnsi="宋体"/>
          <w:bCs/>
          <w:sz w:val="24"/>
          <w:szCs w:val="24"/>
        </w:rPr>
        <w:t xml:space="preserve">                </w:t>
      </w:r>
    </w:p>
    <w:p w14:paraId="6F3A84D6">
      <w:pPr>
        <w:pStyle w:val="25"/>
        <w:snapToGrid w:val="0"/>
        <w:spacing w:line="360" w:lineRule="auto"/>
        <w:ind w:firstLine="482" w:firstLineChars="200"/>
        <w:rPr>
          <w:rFonts w:hint="eastAsia" w:hAnsi="宋体"/>
          <w:b/>
          <w:bCs/>
          <w:sz w:val="24"/>
          <w:szCs w:val="24"/>
        </w:rPr>
      </w:pPr>
      <w:r>
        <w:rPr>
          <w:rFonts w:hint="eastAsia" w:hAnsi="宋体"/>
          <w:b/>
          <w:bCs/>
          <w:sz w:val="24"/>
          <w:szCs w:val="24"/>
        </w:rPr>
        <w:t>二、投诉项目基本情况：</w:t>
      </w:r>
    </w:p>
    <w:p w14:paraId="0E0B1C93">
      <w:pPr>
        <w:pStyle w:val="25"/>
        <w:spacing w:line="360" w:lineRule="auto"/>
        <w:ind w:left="25" w:leftChars="12" w:firstLine="472" w:firstLineChars="197"/>
        <w:rPr>
          <w:rFonts w:hint="eastAsia" w:hAnsi="宋体"/>
          <w:sz w:val="24"/>
          <w:szCs w:val="24"/>
        </w:rPr>
      </w:pPr>
      <w:r>
        <w:rPr>
          <w:rFonts w:hint="eastAsia" w:hAnsi="宋体"/>
          <w:sz w:val="24"/>
          <w:szCs w:val="24"/>
        </w:rPr>
        <w:t>招标项目的名称：</w:t>
      </w:r>
      <w:r>
        <w:rPr>
          <w:rFonts w:hint="eastAsia" w:hAnsi="宋体"/>
          <w:bCs/>
          <w:sz w:val="24"/>
          <w:szCs w:val="24"/>
          <w:u w:val="single"/>
        </w:rPr>
        <w:t xml:space="preserve">                                                                   </w:t>
      </w:r>
    </w:p>
    <w:p w14:paraId="3A3B3709">
      <w:pPr>
        <w:pStyle w:val="25"/>
        <w:spacing w:line="360" w:lineRule="auto"/>
        <w:ind w:left="25" w:leftChars="12" w:firstLine="472" w:firstLineChars="197"/>
        <w:rPr>
          <w:rFonts w:hint="eastAsia" w:hAnsi="宋体"/>
          <w:sz w:val="24"/>
          <w:szCs w:val="24"/>
        </w:rPr>
      </w:pPr>
      <w:r>
        <w:rPr>
          <w:rFonts w:hint="eastAsia" w:hAnsi="宋体"/>
          <w:sz w:val="24"/>
          <w:szCs w:val="24"/>
        </w:rPr>
        <w:t>招标项目的编号：</w:t>
      </w:r>
      <w:r>
        <w:rPr>
          <w:rFonts w:hint="eastAsia" w:hAnsi="宋体"/>
          <w:bCs/>
          <w:sz w:val="24"/>
          <w:szCs w:val="24"/>
          <w:u w:val="single"/>
        </w:rPr>
        <w:t xml:space="preserve">                                          </w:t>
      </w:r>
    </w:p>
    <w:p w14:paraId="0C0323A5">
      <w:pPr>
        <w:pStyle w:val="25"/>
        <w:spacing w:line="360" w:lineRule="auto"/>
        <w:ind w:left="25" w:leftChars="12" w:firstLine="472" w:firstLineChars="197"/>
        <w:rPr>
          <w:rFonts w:hint="eastAsia" w:hAnsi="宋体"/>
          <w:bCs/>
          <w:sz w:val="24"/>
          <w:szCs w:val="24"/>
          <w:u w:val="single"/>
        </w:rPr>
      </w:pPr>
      <w:r>
        <w:rPr>
          <w:rFonts w:hint="eastAsia" w:hAnsi="宋体"/>
          <w:sz w:val="24"/>
          <w:szCs w:val="24"/>
        </w:rPr>
        <w:t>采购人名称：</w:t>
      </w:r>
      <w:r>
        <w:rPr>
          <w:rFonts w:hint="eastAsia" w:hAnsi="宋体"/>
          <w:bCs/>
          <w:sz w:val="24"/>
          <w:szCs w:val="24"/>
          <w:u w:val="single"/>
        </w:rPr>
        <w:t xml:space="preserve">                                                                        </w:t>
      </w:r>
    </w:p>
    <w:p w14:paraId="52D0069F">
      <w:pPr>
        <w:pStyle w:val="25"/>
        <w:spacing w:line="360" w:lineRule="auto"/>
        <w:ind w:left="25" w:leftChars="12" w:firstLine="472" w:firstLineChars="197"/>
        <w:rPr>
          <w:rFonts w:hint="eastAsia" w:hAnsi="宋体"/>
          <w:bCs/>
          <w:sz w:val="24"/>
          <w:szCs w:val="24"/>
          <w:u w:val="single"/>
        </w:rPr>
      </w:pPr>
      <w:r>
        <w:rPr>
          <w:rFonts w:hint="eastAsia" w:hAnsi="宋体"/>
          <w:sz w:val="24"/>
          <w:szCs w:val="24"/>
        </w:rPr>
        <w:t>代理机构名称：</w:t>
      </w:r>
      <w:r>
        <w:rPr>
          <w:rFonts w:hint="eastAsia" w:hAnsi="宋体"/>
          <w:bCs/>
          <w:sz w:val="24"/>
          <w:szCs w:val="24"/>
          <w:u w:val="single"/>
        </w:rPr>
        <w:t xml:space="preserve">                                                                      </w:t>
      </w:r>
    </w:p>
    <w:p w14:paraId="6EC13E83">
      <w:pPr>
        <w:pStyle w:val="25"/>
        <w:spacing w:line="360" w:lineRule="auto"/>
        <w:ind w:left="25" w:leftChars="12" w:firstLine="472" w:firstLineChars="197"/>
        <w:rPr>
          <w:rFonts w:hint="eastAsia" w:hAnsi="宋体"/>
          <w:bCs/>
          <w:sz w:val="24"/>
          <w:szCs w:val="24"/>
          <w:u w:val="single"/>
        </w:rPr>
      </w:pPr>
      <w:r>
        <w:rPr>
          <w:rFonts w:hint="eastAsia" w:hAnsi="宋体"/>
          <w:sz w:val="24"/>
          <w:szCs w:val="24"/>
        </w:rPr>
        <w:t>招标</w:t>
      </w:r>
      <w:r>
        <w:rPr>
          <w:rFonts w:hint="eastAsia" w:hAnsi="宋体"/>
          <w:bCs/>
          <w:sz w:val="24"/>
          <w:szCs w:val="24"/>
        </w:rPr>
        <w:t>文件公告：</w:t>
      </w:r>
      <w:r>
        <w:rPr>
          <w:rFonts w:hint="eastAsia" w:hAnsi="宋体"/>
          <w:bCs/>
          <w:sz w:val="24"/>
          <w:szCs w:val="24"/>
          <w:u w:val="single"/>
        </w:rPr>
        <w:t>是/否</w:t>
      </w:r>
      <w:r>
        <w:rPr>
          <w:rFonts w:hint="eastAsia" w:hAnsi="宋体"/>
          <w:bCs/>
          <w:sz w:val="24"/>
          <w:szCs w:val="24"/>
        </w:rPr>
        <w:t>公告期限：</w:t>
      </w:r>
      <w:r>
        <w:rPr>
          <w:rFonts w:hint="eastAsia" w:hAnsi="宋体"/>
          <w:bCs/>
          <w:sz w:val="24"/>
          <w:szCs w:val="24"/>
          <w:u w:val="single"/>
        </w:rPr>
        <w:t xml:space="preserve">                                                       </w:t>
      </w:r>
    </w:p>
    <w:p w14:paraId="76161F89">
      <w:pPr>
        <w:pStyle w:val="25"/>
        <w:spacing w:line="360" w:lineRule="auto"/>
        <w:ind w:left="25" w:leftChars="12" w:firstLine="472" w:firstLineChars="197"/>
        <w:rPr>
          <w:rFonts w:hint="eastAsia" w:hAnsi="宋体"/>
          <w:b/>
          <w:sz w:val="24"/>
          <w:szCs w:val="24"/>
        </w:rPr>
      </w:pPr>
      <w:r>
        <w:rPr>
          <w:rFonts w:hint="eastAsia" w:hAnsi="宋体"/>
          <w:sz w:val="24"/>
          <w:szCs w:val="24"/>
        </w:rPr>
        <w:t>招标</w:t>
      </w:r>
      <w:r>
        <w:rPr>
          <w:rFonts w:hint="eastAsia" w:hAnsi="宋体"/>
          <w:bCs/>
          <w:sz w:val="24"/>
          <w:szCs w:val="24"/>
        </w:rPr>
        <w:t>结果公告：</w:t>
      </w:r>
      <w:r>
        <w:rPr>
          <w:rFonts w:hint="eastAsia" w:hAnsi="宋体"/>
          <w:bCs/>
          <w:sz w:val="24"/>
          <w:szCs w:val="24"/>
          <w:u w:val="single"/>
        </w:rPr>
        <w:t>是/否</w:t>
      </w:r>
      <w:r>
        <w:rPr>
          <w:rFonts w:hint="eastAsia" w:hAnsi="宋体"/>
          <w:bCs/>
          <w:sz w:val="24"/>
          <w:szCs w:val="24"/>
        </w:rPr>
        <w:t>公告期限：</w:t>
      </w:r>
      <w:r>
        <w:rPr>
          <w:rFonts w:hint="eastAsia" w:hAnsi="宋体"/>
          <w:bCs/>
          <w:sz w:val="24"/>
          <w:szCs w:val="24"/>
          <w:u w:val="single"/>
        </w:rPr>
        <w:t xml:space="preserve">                                                       </w:t>
      </w:r>
    </w:p>
    <w:p w14:paraId="52C14629">
      <w:pPr>
        <w:pStyle w:val="25"/>
        <w:spacing w:line="360" w:lineRule="auto"/>
        <w:ind w:left="25" w:leftChars="12" w:firstLine="472" w:firstLineChars="196"/>
        <w:rPr>
          <w:rFonts w:hint="eastAsia" w:hAnsi="宋体"/>
          <w:b/>
          <w:sz w:val="24"/>
          <w:szCs w:val="24"/>
        </w:rPr>
      </w:pPr>
      <w:r>
        <w:rPr>
          <w:rFonts w:hint="eastAsia" w:hAnsi="宋体"/>
          <w:b/>
          <w:sz w:val="24"/>
          <w:szCs w:val="24"/>
        </w:rPr>
        <w:t>三、质疑基本情况</w:t>
      </w:r>
    </w:p>
    <w:p w14:paraId="6488F5EE">
      <w:pPr>
        <w:pStyle w:val="25"/>
        <w:spacing w:line="360" w:lineRule="auto"/>
        <w:ind w:left="25" w:leftChars="12" w:firstLine="480" w:firstLineChars="200"/>
        <w:rPr>
          <w:rFonts w:hint="eastAsia" w:hAnsi="宋体"/>
          <w:sz w:val="24"/>
          <w:szCs w:val="24"/>
        </w:rPr>
      </w:pPr>
      <w:r>
        <w:rPr>
          <w:rFonts w:hint="eastAsia" w:hAnsi="宋体"/>
          <w:sz w:val="24"/>
          <w:szCs w:val="24"/>
        </w:rPr>
        <w:t>投诉人于</w:t>
      </w:r>
      <w:r>
        <w:rPr>
          <w:rFonts w:hint="eastAsia" w:hAnsi="宋体"/>
          <w:sz w:val="24"/>
          <w:szCs w:val="24"/>
          <w:u w:val="single"/>
        </w:rPr>
        <w:t xml:space="preserve">      </w:t>
      </w:r>
      <w:r>
        <w:rPr>
          <w:rFonts w:hint="eastAsia" w:hAnsi="宋体"/>
          <w:sz w:val="24"/>
          <w:szCs w:val="24"/>
        </w:rPr>
        <w:t>年</w:t>
      </w:r>
      <w:r>
        <w:rPr>
          <w:rFonts w:hint="eastAsia" w:hAnsi="宋体"/>
          <w:sz w:val="24"/>
          <w:szCs w:val="24"/>
          <w:u w:val="single"/>
        </w:rPr>
        <w:t xml:space="preserve">   </w:t>
      </w:r>
      <w:r>
        <w:rPr>
          <w:rFonts w:hint="eastAsia" w:hAnsi="宋体"/>
          <w:sz w:val="24"/>
          <w:szCs w:val="24"/>
        </w:rPr>
        <w:t>月</w:t>
      </w:r>
      <w:r>
        <w:rPr>
          <w:rFonts w:hint="eastAsia" w:hAnsi="宋体"/>
          <w:sz w:val="24"/>
          <w:szCs w:val="24"/>
          <w:u w:val="single"/>
        </w:rPr>
        <w:t xml:space="preserve">   </w:t>
      </w:r>
      <w:r>
        <w:rPr>
          <w:rFonts w:hint="eastAsia" w:hAnsi="宋体"/>
          <w:sz w:val="24"/>
          <w:szCs w:val="24"/>
        </w:rPr>
        <w:t>日，向</w:t>
      </w:r>
      <w:r>
        <w:rPr>
          <w:rFonts w:hint="eastAsia" w:hAnsi="宋体"/>
          <w:sz w:val="24"/>
          <w:szCs w:val="24"/>
          <w:u w:val="single"/>
        </w:rPr>
        <w:t xml:space="preserve">                                </w:t>
      </w:r>
      <w:r>
        <w:rPr>
          <w:rFonts w:hint="eastAsia" w:hAnsi="宋体"/>
          <w:sz w:val="24"/>
          <w:szCs w:val="24"/>
        </w:rPr>
        <w:t>提出质疑，质疑事项为：</w:t>
      </w:r>
    </w:p>
    <w:p w14:paraId="4E715577">
      <w:pPr>
        <w:pStyle w:val="25"/>
        <w:spacing w:line="360" w:lineRule="auto"/>
        <w:ind w:firstLine="241"/>
        <w:rPr>
          <w:rFonts w:hint="eastAsia" w:hAnsi="宋体"/>
          <w:bCs/>
          <w:sz w:val="24"/>
          <w:szCs w:val="24"/>
          <w:u w:val="single"/>
        </w:rPr>
      </w:pPr>
      <w:r>
        <w:rPr>
          <w:rFonts w:hint="eastAsia" w:hAnsi="宋体"/>
          <w:sz w:val="24"/>
          <w:szCs w:val="24"/>
        </w:rPr>
        <w:t xml:space="preserve">    </w:t>
      </w:r>
      <w:r>
        <w:rPr>
          <w:rFonts w:hint="eastAsia" w:hAnsi="宋体"/>
          <w:bCs/>
          <w:sz w:val="24"/>
          <w:szCs w:val="24"/>
          <w:u w:val="single"/>
        </w:rPr>
        <w:t xml:space="preserve">                                                                                      </w:t>
      </w:r>
    </w:p>
    <w:p w14:paraId="2656AF8E">
      <w:pPr>
        <w:pStyle w:val="25"/>
        <w:spacing w:line="360" w:lineRule="auto"/>
        <w:ind w:firstLine="241"/>
        <w:rPr>
          <w:rFonts w:hint="eastAsia" w:hAnsi="宋体"/>
          <w:bCs/>
          <w:sz w:val="24"/>
          <w:szCs w:val="24"/>
          <w:u w:val="single"/>
        </w:rPr>
      </w:pPr>
      <w:r>
        <w:rPr>
          <w:rFonts w:hint="eastAsia" w:hAnsi="宋体"/>
          <w:bCs/>
          <w:sz w:val="24"/>
          <w:szCs w:val="24"/>
        </w:rPr>
        <w:t xml:space="preserve">    </w:t>
      </w:r>
      <w:r>
        <w:rPr>
          <w:rFonts w:hint="eastAsia" w:hAnsi="宋体"/>
          <w:bCs/>
          <w:sz w:val="24"/>
          <w:szCs w:val="24"/>
          <w:u w:val="single"/>
        </w:rPr>
        <w:t xml:space="preserve">                                                                                      </w:t>
      </w:r>
    </w:p>
    <w:p w14:paraId="28A87C26">
      <w:pPr>
        <w:pStyle w:val="25"/>
        <w:spacing w:line="360" w:lineRule="auto"/>
        <w:ind w:firstLine="480" w:firstLineChars="200"/>
        <w:rPr>
          <w:rFonts w:hint="eastAsia" w:hAnsi="宋体"/>
          <w:sz w:val="24"/>
          <w:szCs w:val="24"/>
        </w:rPr>
      </w:pPr>
      <w:r>
        <w:rPr>
          <w:rFonts w:hint="eastAsia" w:hAnsi="宋体"/>
          <w:bCs/>
          <w:sz w:val="24"/>
          <w:szCs w:val="24"/>
          <w:u w:val="single"/>
        </w:rPr>
        <w:t>采购人/代理机构</w:t>
      </w:r>
      <w:r>
        <w:rPr>
          <w:rFonts w:hint="eastAsia" w:hAnsi="宋体"/>
          <w:bCs/>
          <w:sz w:val="24"/>
          <w:szCs w:val="24"/>
        </w:rPr>
        <w:t>于</w:t>
      </w:r>
      <w:r>
        <w:rPr>
          <w:rFonts w:hint="eastAsia" w:hAnsi="宋体"/>
          <w:sz w:val="24"/>
          <w:szCs w:val="24"/>
          <w:u w:val="single"/>
        </w:rPr>
        <w:t xml:space="preserve">      </w:t>
      </w:r>
      <w:r>
        <w:rPr>
          <w:rFonts w:hint="eastAsia" w:hAnsi="宋体"/>
          <w:sz w:val="24"/>
          <w:szCs w:val="24"/>
        </w:rPr>
        <w:t>年</w:t>
      </w:r>
      <w:r>
        <w:rPr>
          <w:rFonts w:hint="eastAsia" w:hAnsi="宋体"/>
          <w:sz w:val="24"/>
          <w:szCs w:val="24"/>
          <w:u w:val="single"/>
        </w:rPr>
        <w:t xml:space="preserve">   </w:t>
      </w:r>
      <w:r>
        <w:rPr>
          <w:rFonts w:hint="eastAsia" w:hAnsi="宋体"/>
          <w:sz w:val="24"/>
          <w:szCs w:val="24"/>
        </w:rPr>
        <w:t>月</w:t>
      </w:r>
      <w:r>
        <w:rPr>
          <w:rFonts w:hint="eastAsia" w:hAnsi="宋体"/>
          <w:sz w:val="24"/>
          <w:szCs w:val="24"/>
          <w:u w:val="single"/>
        </w:rPr>
        <w:t xml:space="preserve">   </w:t>
      </w:r>
      <w:r>
        <w:rPr>
          <w:rFonts w:hint="eastAsia" w:hAnsi="宋体"/>
          <w:sz w:val="24"/>
          <w:szCs w:val="24"/>
        </w:rPr>
        <w:t>日，</w:t>
      </w:r>
      <w:r>
        <w:rPr>
          <w:rFonts w:hint="eastAsia" w:hAnsi="宋体"/>
          <w:bCs/>
          <w:sz w:val="24"/>
          <w:szCs w:val="24"/>
        </w:rPr>
        <w:t xml:space="preserve">就质疑事项作出了答复/没有在法定期限内作出答复。                                                                                             </w:t>
      </w:r>
    </w:p>
    <w:p w14:paraId="3FF982ED">
      <w:pPr>
        <w:pStyle w:val="25"/>
        <w:spacing w:line="360" w:lineRule="auto"/>
        <w:ind w:left="25" w:leftChars="12" w:firstLine="472" w:firstLineChars="196"/>
        <w:rPr>
          <w:rFonts w:hint="eastAsia" w:hAnsi="宋体"/>
          <w:b/>
          <w:sz w:val="24"/>
          <w:szCs w:val="24"/>
        </w:rPr>
      </w:pPr>
      <w:r>
        <w:rPr>
          <w:rFonts w:hint="eastAsia" w:hAnsi="宋体"/>
          <w:b/>
          <w:sz w:val="24"/>
          <w:szCs w:val="24"/>
        </w:rPr>
        <w:t>四、投诉事项具体内容</w:t>
      </w:r>
    </w:p>
    <w:p w14:paraId="01A6A4BC">
      <w:pPr>
        <w:pStyle w:val="25"/>
        <w:spacing w:line="360" w:lineRule="auto"/>
        <w:ind w:left="25" w:leftChars="12" w:firstLine="472" w:firstLineChars="197"/>
        <w:rPr>
          <w:rFonts w:hint="eastAsia" w:hAnsi="宋体"/>
          <w:bCs/>
          <w:sz w:val="24"/>
          <w:szCs w:val="24"/>
          <w:u w:val="single"/>
        </w:rPr>
      </w:pPr>
      <w:r>
        <w:rPr>
          <w:rFonts w:hint="eastAsia" w:hAnsi="宋体"/>
          <w:sz w:val="24"/>
          <w:szCs w:val="24"/>
        </w:rPr>
        <w:t>投诉事项1：</w:t>
      </w:r>
      <w:r>
        <w:rPr>
          <w:rFonts w:hint="eastAsia" w:hAnsi="宋体"/>
          <w:bCs/>
          <w:sz w:val="24"/>
          <w:szCs w:val="24"/>
          <w:u w:val="single"/>
        </w:rPr>
        <w:t xml:space="preserve">                                                                           </w:t>
      </w:r>
    </w:p>
    <w:p w14:paraId="5B03BC92">
      <w:pPr>
        <w:pStyle w:val="25"/>
        <w:spacing w:line="360" w:lineRule="auto"/>
        <w:ind w:firstLine="480" w:firstLineChars="200"/>
        <w:rPr>
          <w:rFonts w:hint="eastAsia" w:hAnsi="宋体"/>
          <w:bCs/>
          <w:sz w:val="24"/>
          <w:szCs w:val="24"/>
          <w:u w:val="single"/>
        </w:rPr>
      </w:pPr>
      <w:r>
        <w:rPr>
          <w:rFonts w:hint="eastAsia" w:hAnsi="宋体"/>
          <w:bCs/>
          <w:sz w:val="24"/>
          <w:szCs w:val="24"/>
        </w:rPr>
        <w:t>事实依据：</w:t>
      </w:r>
      <w:r>
        <w:rPr>
          <w:rFonts w:hint="eastAsia" w:hAnsi="宋体"/>
          <w:sz w:val="24"/>
          <w:szCs w:val="24"/>
        </w:rPr>
        <w:t xml:space="preserve"> </w:t>
      </w:r>
      <w:r>
        <w:rPr>
          <w:rFonts w:hint="eastAsia" w:hAnsi="宋体"/>
          <w:bCs/>
          <w:sz w:val="24"/>
          <w:szCs w:val="24"/>
          <w:u w:val="single"/>
        </w:rPr>
        <w:t xml:space="preserve">                                                                                      </w:t>
      </w:r>
    </w:p>
    <w:p w14:paraId="706C5035">
      <w:pPr>
        <w:pStyle w:val="25"/>
        <w:spacing w:line="360" w:lineRule="auto"/>
        <w:ind w:left="25" w:leftChars="12" w:firstLine="472" w:firstLineChars="197"/>
        <w:rPr>
          <w:rFonts w:hint="eastAsia" w:hAnsi="宋体"/>
          <w:sz w:val="24"/>
          <w:szCs w:val="24"/>
        </w:rPr>
      </w:pPr>
      <w:r>
        <w:rPr>
          <w:rFonts w:hint="eastAsia" w:hAnsi="宋体"/>
          <w:bCs/>
          <w:sz w:val="24"/>
          <w:szCs w:val="24"/>
          <w:u w:val="single"/>
        </w:rPr>
        <w:t xml:space="preserve">                                                                                        </w:t>
      </w:r>
    </w:p>
    <w:p w14:paraId="4729606F">
      <w:pPr>
        <w:pStyle w:val="25"/>
        <w:spacing w:line="360" w:lineRule="auto"/>
        <w:ind w:firstLine="480" w:firstLineChars="200"/>
        <w:rPr>
          <w:rFonts w:hint="eastAsia" w:hAnsi="宋体"/>
          <w:bCs/>
          <w:sz w:val="24"/>
          <w:szCs w:val="24"/>
          <w:u w:val="single"/>
        </w:rPr>
      </w:pPr>
      <w:r>
        <w:rPr>
          <w:rFonts w:hint="eastAsia" w:hAnsi="宋体"/>
          <w:bCs/>
          <w:sz w:val="24"/>
          <w:szCs w:val="24"/>
        </w:rPr>
        <w:t>法律依据：</w:t>
      </w:r>
      <w:r>
        <w:rPr>
          <w:rFonts w:hint="eastAsia" w:hAnsi="宋体"/>
          <w:sz w:val="24"/>
          <w:szCs w:val="24"/>
        </w:rPr>
        <w:t xml:space="preserve"> </w:t>
      </w:r>
      <w:r>
        <w:rPr>
          <w:rFonts w:hint="eastAsia" w:hAnsi="宋体"/>
          <w:bCs/>
          <w:sz w:val="24"/>
          <w:szCs w:val="24"/>
          <w:u w:val="single"/>
        </w:rPr>
        <w:t xml:space="preserve">                                                                                      </w:t>
      </w:r>
    </w:p>
    <w:p w14:paraId="2B1E2556">
      <w:pPr>
        <w:pStyle w:val="25"/>
        <w:spacing w:line="360" w:lineRule="auto"/>
        <w:ind w:left="25" w:leftChars="12" w:firstLine="352" w:firstLineChars="147"/>
        <w:rPr>
          <w:rFonts w:hint="eastAsia" w:hAnsi="宋体"/>
          <w:bCs/>
          <w:sz w:val="24"/>
          <w:szCs w:val="24"/>
          <w:u w:val="single"/>
        </w:rPr>
      </w:pPr>
      <w:r>
        <w:rPr>
          <w:rFonts w:hint="eastAsia" w:hAnsi="宋体"/>
          <w:bCs/>
          <w:sz w:val="24"/>
          <w:szCs w:val="24"/>
        </w:rPr>
        <w:t xml:space="preserve"> </w:t>
      </w:r>
      <w:r>
        <w:rPr>
          <w:rFonts w:hint="eastAsia" w:hAnsi="宋体"/>
          <w:bCs/>
          <w:sz w:val="24"/>
          <w:szCs w:val="24"/>
          <w:u w:val="single"/>
        </w:rPr>
        <w:t xml:space="preserve">                                                                                        </w:t>
      </w:r>
    </w:p>
    <w:p w14:paraId="7150ECAF">
      <w:pPr>
        <w:pStyle w:val="25"/>
        <w:spacing w:line="360" w:lineRule="auto"/>
        <w:ind w:left="25" w:leftChars="12" w:firstLine="472" w:firstLineChars="197"/>
        <w:rPr>
          <w:rFonts w:hint="eastAsia" w:hAnsi="宋体"/>
          <w:bCs/>
          <w:sz w:val="24"/>
          <w:szCs w:val="24"/>
        </w:rPr>
      </w:pPr>
      <w:r>
        <w:rPr>
          <w:rFonts w:hint="eastAsia" w:hAnsi="宋体"/>
          <w:sz w:val="24"/>
          <w:szCs w:val="24"/>
        </w:rPr>
        <w:t xml:space="preserve">投诉事项2  </w:t>
      </w:r>
      <w:r>
        <w:rPr>
          <w:rFonts w:hint="eastAsia" w:hAnsi="宋体"/>
          <w:bCs/>
          <w:sz w:val="24"/>
          <w:szCs w:val="24"/>
        </w:rPr>
        <w:t xml:space="preserve">   </w:t>
      </w:r>
    </w:p>
    <w:p w14:paraId="7859364D">
      <w:pPr>
        <w:pStyle w:val="25"/>
        <w:spacing w:line="360" w:lineRule="auto"/>
        <w:ind w:left="25" w:leftChars="12" w:firstLine="472" w:firstLineChars="197"/>
        <w:rPr>
          <w:rFonts w:hint="eastAsia" w:hAnsi="宋体"/>
          <w:bCs/>
          <w:sz w:val="24"/>
          <w:szCs w:val="24"/>
        </w:rPr>
      </w:pPr>
      <w:r>
        <w:rPr>
          <w:rFonts w:hAnsi="宋体"/>
          <w:bCs/>
          <w:sz w:val="24"/>
          <w:szCs w:val="24"/>
        </w:rPr>
        <w:t>……</w:t>
      </w:r>
    </w:p>
    <w:p w14:paraId="2EA828BF">
      <w:pPr>
        <w:pStyle w:val="25"/>
        <w:spacing w:line="360" w:lineRule="auto"/>
        <w:ind w:left="25" w:leftChars="12" w:firstLine="472" w:firstLineChars="196"/>
        <w:rPr>
          <w:rFonts w:hint="eastAsia" w:hAnsi="宋体"/>
          <w:b/>
          <w:sz w:val="24"/>
          <w:szCs w:val="24"/>
        </w:rPr>
      </w:pPr>
      <w:r>
        <w:rPr>
          <w:rFonts w:hint="eastAsia" w:hAnsi="宋体"/>
          <w:b/>
          <w:sz w:val="24"/>
          <w:szCs w:val="24"/>
        </w:rPr>
        <w:t>五、与投诉事项相关的投诉请求：</w:t>
      </w:r>
    </w:p>
    <w:p w14:paraId="0481E424">
      <w:pPr>
        <w:pStyle w:val="25"/>
        <w:spacing w:line="360" w:lineRule="auto"/>
        <w:ind w:left="25" w:leftChars="12" w:firstLine="472" w:firstLineChars="197"/>
        <w:rPr>
          <w:rFonts w:hint="eastAsia" w:hAnsi="宋体"/>
          <w:sz w:val="24"/>
          <w:szCs w:val="24"/>
        </w:rPr>
      </w:pPr>
      <w:r>
        <w:rPr>
          <w:rFonts w:hint="eastAsia" w:hAnsi="宋体"/>
          <w:sz w:val="24"/>
          <w:szCs w:val="24"/>
        </w:rPr>
        <w:t>请求：</w:t>
      </w:r>
      <w:r>
        <w:rPr>
          <w:rFonts w:hint="eastAsia" w:hAnsi="宋体"/>
          <w:bCs/>
          <w:sz w:val="24"/>
          <w:szCs w:val="24"/>
          <w:u w:val="single"/>
        </w:rPr>
        <w:t xml:space="preserve">                                                                                 </w:t>
      </w:r>
    </w:p>
    <w:p w14:paraId="4B707D33">
      <w:pPr>
        <w:pStyle w:val="25"/>
        <w:spacing w:line="360" w:lineRule="auto"/>
        <w:ind w:left="25" w:leftChars="12" w:firstLine="352" w:firstLineChars="147"/>
        <w:rPr>
          <w:rFonts w:hint="eastAsia" w:hAnsi="宋体"/>
          <w:sz w:val="24"/>
          <w:szCs w:val="24"/>
        </w:rPr>
      </w:pPr>
    </w:p>
    <w:p w14:paraId="4B9D2733">
      <w:pPr>
        <w:pStyle w:val="25"/>
        <w:spacing w:line="360" w:lineRule="auto"/>
        <w:ind w:left="25" w:leftChars="12" w:firstLine="472" w:firstLineChars="197"/>
        <w:rPr>
          <w:rFonts w:hint="eastAsia" w:hAnsi="宋体"/>
          <w:sz w:val="24"/>
          <w:szCs w:val="24"/>
        </w:rPr>
      </w:pPr>
      <w:r>
        <w:rPr>
          <w:rFonts w:hint="eastAsia" w:hAnsi="宋体"/>
          <w:sz w:val="24"/>
          <w:szCs w:val="24"/>
        </w:rPr>
        <w:t>签字（签章）：                                       公章：</w:t>
      </w:r>
    </w:p>
    <w:p w14:paraId="221B07E1">
      <w:pPr>
        <w:pStyle w:val="25"/>
        <w:spacing w:line="360" w:lineRule="auto"/>
        <w:ind w:left="25" w:leftChars="12" w:firstLine="352" w:firstLineChars="147"/>
        <w:rPr>
          <w:rFonts w:hint="eastAsia" w:hAnsi="宋体"/>
          <w:sz w:val="24"/>
          <w:szCs w:val="24"/>
        </w:rPr>
      </w:pPr>
    </w:p>
    <w:p w14:paraId="535CA314">
      <w:pPr>
        <w:pStyle w:val="25"/>
        <w:spacing w:line="360" w:lineRule="auto"/>
        <w:ind w:left="25" w:leftChars="12" w:firstLine="472" w:firstLineChars="197"/>
        <w:rPr>
          <w:rFonts w:hint="eastAsia" w:hAnsi="宋体"/>
          <w:sz w:val="24"/>
          <w:szCs w:val="24"/>
        </w:rPr>
      </w:pPr>
      <w:r>
        <w:rPr>
          <w:rFonts w:hint="eastAsia" w:hAnsi="宋体"/>
          <w:sz w:val="24"/>
          <w:szCs w:val="24"/>
        </w:rPr>
        <w:t>日期：</w:t>
      </w:r>
    </w:p>
    <w:p w14:paraId="1AD498E9">
      <w:pPr>
        <w:pStyle w:val="25"/>
        <w:spacing w:line="360" w:lineRule="auto"/>
        <w:ind w:left="25" w:leftChars="12" w:firstLine="472" w:firstLineChars="197"/>
        <w:rPr>
          <w:rFonts w:hint="eastAsia" w:hAnsi="宋体"/>
          <w:sz w:val="24"/>
          <w:szCs w:val="24"/>
        </w:rPr>
      </w:pPr>
      <w:r>
        <w:rPr>
          <w:rFonts w:hint="eastAsia" w:hAnsi="宋体"/>
          <w:bCs/>
          <w:sz w:val="24"/>
          <w:szCs w:val="24"/>
        </w:rPr>
        <w:t xml:space="preserve">                                                                              </w:t>
      </w:r>
    </w:p>
    <w:p w14:paraId="4BAB2AD2">
      <w:pPr>
        <w:pStyle w:val="25"/>
        <w:snapToGrid w:val="0"/>
        <w:spacing w:line="360" w:lineRule="auto"/>
        <w:rPr>
          <w:rFonts w:hint="eastAsia" w:hAnsi="宋体"/>
          <w:b/>
          <w:sz w:val="24"/>
          <w:szCs w:val="24"/>
        </w:rPr>
      </w:pPr>
      <w:r>
        <w:rPr>
          <w:rFonts w:hint="eastAsia" w:hAnsi="宋体"/>
          <w:b/>
          <w:sz w:val="24"/>
          <w:szCs w:val="24"/>
        </w:rPr>
        <w:t>说明：</w:t>
      </w:r>
    </w:p>
    <w:p w14:paraId="5DDC0E27">
      <w:pPr>
        <w:pStyle w:val="25"/>
        <w:spacing w:line="360" w:lineRule="auto"/>
        <w:ind w:left="25" w:leftChars="12" w:firstLine="354" w:firstLineChars="147"/>
        <w:rPr>
          <w:rFonts w:hint="eastAsia" w:hAnsi="宋体"/>
          <w:b/>
          <w:bCs/>
          <w:sz w:val="24"/>
          <w:szCs w:val="24"/>
        </w:rPr>
      </w:pPr>
      <w:r>
        <w:rPr>
          <w:rFonts w:hint="eastAsia" w:hAnsi="宋体"/>
          <w:b/>
          <w:sz w:val="24"/>
          <w:szCs w:val="24"/>
        </w:rPr>
        <w:t>1.投诉人提起投诉时，应当提交投诉书和必要的证明材料，并按照被投诉人和与投诉事项有关的供应商数量提供投诉书副本</w:t>
      </w:r>
      <w:r>
        <w:rPr>
          <w:rFonts w:hint="eastAsia" w:hAnsi="宋体"/>
          <w:b/>
          <w:bCs/>
          <w:sz w:val="24"/>
          <w:szCs w:val="24"/>
        </w:rPr>
        <w:t>。</w:t>
      </w:r>
    </w:p>
    <w:p w14:paraId="7AEF5147">
      <w:pPr>
        <w:pStyle w:val="25"/>
        <w:spacing w:line="360" w:lineRule="auto"/>
        <w:ind w:left="25" w:leftChars="12" w:firstLine="354" w:firstLineChars="147"/>
        <w:rPr>
          <w:rFonts w:hint="eastAsia" w:hAnsi="宋体"/>
          <w:b/>
          <w:sz w:val="24"/>
          <w:szCs w:val="24"/>
        </w:rPr>
      </w:pPr>
      <w:r>
        <w:rPr>
          <w:rFonts w:hint="eastAsia" w:hAnsi="宋体"/>
          <w:b/>
          <w:sz w:val="24"/>
          <w:szCs w:val="24"/>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401F53FA">
      <w:pPr>
        <w:pStyle w:val="25"/>
        <w:spacing w:line="360" w:lineRule="auto"/>
        <w:ind w:left="25" w:leftChars="12" w:firstLine="354" w:firstLineChars="147"/>
        <w:rPr>
          <w:rFonts w:hint="eastAsia" w:hAnsi="宋体"/>
          <w:b/>
          <w:sz w:val="24"/>
          <w:szCs w:val="24"/>
        </w:rPr>
      </w:pPr>
      <w:r>
        <w:rPr>
          <w:rFonts w:hint="eastAsia" w:hAnsi="宋体"/>
          <w:b/>
          <w:sz w:val="24"/>
          <w:szCs w:val="24"/>
        </w:rPr>
        <w:t>3.投诉书应简要列明质疑事项，质疑函、质疑答复等作为附件材料提供。</w:t>
      </w:r>
    </w:p>
    <w:p w14:paraId="33989155">
      <w:pPr>
        <w:pStyle w:val="25"/>
        <w:spacing w:line="360" w:lineRule="auto"/>
        <w:ind w:left="25" w:leftChars="12" w:firstLine="354" w:firstLineChars="147"/>
        <w:rPr>
          <w:rFonts w:hint="eastAsia" w:hAnsi="宋体"/>
          <w:b/>
          <w:sz w:val="24"/>
          <w:szCs w:val="24"/>
        </w:rPr>
      </w:pPr>
      <w:r>
        <w:rPr>
          <w:rFonts w:hint="eastAsia" w:hAnsi="宋体"/>
          <w:b/>
          <w:sz w:val="24"/>
          <w:szCs w:val="24"/>
        </w:rPr>
        <w:t>4.投诉书的投诉事项应具体、明确，并有必要的事实依据和法律依据。</w:t>
      </w:r>
    </w:p>
    <w:p w14:paraId="5A5F3BDA">
      <w:pPr>
        <w:pStyle w:val="25"/>
        <w:spacing w:line="360" w:lineRule="auto"/>
        <w:ind w:left="25" w:leftChars="12" w:firstLine="354" w:firstLineChars="147"/>
        <w:rPr>
          <w:rFonts w:hint="eastAsia" w:hAnsi="宋体"/>
          <w:b/>
          <w:sz w:val="24"/>
          <w:szCs w:val="24"/>
        </w:rPr>
      </w:pPr>
      <w:r>
        <w:rPr>
          <w:rFonts w:hint="eastAsia" w:hAnsi="宋体"/>
          <w:b/>
          <w:sz w:val="24"/>
          <w:szCs w:val="24"/>
        </w:rPr>
        <w:t>5.投诉书的投诉请求应与投诉事项相关。</w:t>
      </w:r>
    </w:p>
    <w:p w14:paraId="2933AD59">
      <w:pPr>
        <w:pStyle w:val="25"/>
        <w:spacing w:line="360" w:lineRule="auto"/>
        <w:ind w:left="25" w:leftChars="12" w:firstLine="354" w:firstLineChars="147"/>
        <w:rPr>
          <w:rFonts w:hint="eastAsia" w:hAnsi="宋体"/>
          <w:b/>
        </w:rPr>
      </w:pPr>
      <w:r>
        <w:rPr>
          <w:rFonts w:hint="eastAsia" w:hAnsi="宋体"/>
          <w:b/>
          <w:sz w:val="24"/>
          <w:szCs w:val="24"/>
        </w:rPr>
        <w:t>6.投诉人为法人或者其他组织的，投诉书应由法定代表人、主要负责人，或者其授权代表签字或者盖章，并加盖公章。</w:t>
      </w:r>
    </w:p>
    <w:p w14:paraId="6300BF6D">
      <w:pPr>
        <w:rPr>
          <w:rFonts w:hint="eastAsia" w:hAnsi="宋体"/>
          <w:b/>
        </w:rPr>
      </w:pPr>
    </w:p>
    <w:sectPr>
      <w:footerReference r:id="rId19" w:type="first"/>
      <w:headerReference r:id="rId16" w:type="default"/>
      <w:footerReference r:id="rId17" w:type="default"/>
      <w:footerReference r:id="rId18" w:type="even"/>
      <w:pgSz w:w="11906" w:h="16838"/>
      <w:pgMar w:top="1701" w:right="1701" w:bottom="1701" w:left="1701" w:header="851" w:footer="992" w:gutter="0"/>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4E866865-68E9-4554-8901-80B373B0571E}"/>
  </w:font>
  <w:font w:name="黑体">
    <w:panose1 w:val="02010609060101010101"/>
    <w:charset w:val="86"/>
    <w:family w:val="auto"/>
    <w:pitch w:val="default"/>
    <w:sig w:usb0="800002BF" w:usb1="38CF7CFA" w:usb2="00000016" w:usb3="00000000" w:csb0="00040001" w:csb1="00000000"/>
    <w:embedRegular r:id="rId2" w:fontKey="{654ED88E-FCA2-4501-B5D2-19222AAB4F20}"/>
  </w:font>
  <w:font w:name="Courier New">
    <w:panose1 w:val="02070309020205020404"/>
    <w:charset w:val="01"/>
    <w:family w:val="modern"/>
    <w:pitch w:val="default"/>
    <w:sig w:usb0="E0002EFF" w:usb1="C0007843" w:usb2="00000009" w:usb3="00000000" w:csb0="400001FF" w:csb1="FFFF0000"/>
    <w:embedRegular r:id="rId3" w:fontKey="{F0AB57E7-68EB-4C88-AF17-79C017BAFA8C}"/>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4" w:fontKey="{111576D9-7338-4719-8B6E-50FD1386F422}"/>
  </w:font>
  <w:font w:name="Calibri Light">
    <w:panose1 w:val="020F03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5" w:fontKey="{C6DFAE7A-FAB8-44CD-8C63-F8ED2069BA37}"/>
  </w:font>
  <w:font w:name="Cambria">
    <w:panose1 w:val="02040503050406030204"/>
    <w:charset w:val="00"/>
    <w:family w:val="roman"/>
    <w:pitch w:val="default"/>
    <w:sig w:usb0="E00006FF" w:usb1="420024FF" w:usb2="02000000" w:usb3="00000000" w:csb0="2000019F" w:csb1="00000000"/>
  </w:font>
  <w:font w:name="_x000B__x000C_">
    <w:altName w:val="微软雅黑"/>
    <w:panose1 w:val="00000000000000000000"/>
    <w:charset w:val="00"/>
    <w:family w:val="roman"/>
    <w:pitch w:val="default"/>
    <w:sig w:usb0="00000000" w:usb1="00000000" w:usb2="00000000" w:usb3="00000000" w:csb0="00040001" w:csb1="00000000"/>
  </w:font>
  <w:font w:name="微软雅黑">
    <w:panose1 w:val="020B0503020204020204"/>
    <w:charset w:val="86"/>
    <w:family w:val="swiss"/>
    <w:pitch w:val="default"/>
    <w:sig w:usb0="80000287" w:usb1="2ACF3C50" w:usb2="00000016" w:usb3="00000000" w:csb0="0004001F" w:csb1="00000000"/>
    <w:embedRegular r:id="rId6" w:fontKey="{95C5A9F4-0181-4B81-BE11-1B8F6EC0C890}"/>
  </w:font>
  <w:font w:name="Tahoma">
    <w:panose1 w:val="020B0604030504040204"/>
    <w:charset w:val="00"/>
    <w:family w:val="swiss"/>
    <w:pitch w:val="default"/>
    <w:sig w:usb0="E1002EFF" w:usb1="C000605B" w:usb2="00000029" w:usb3="00000000" w:csb0="200101FF" w:csb1="20280000"/>
  </w:font>
  <w:font w:name="Arial Unicode MS">
    <w:altName w:val="Arial Unicode MS"/>
    <w:panose1 w:val="020B0604020202020204"/>
    <w:charset w:val="86"/>
    <w:family w:val="swiss"/>
    <w:pitch w:val="default"/>
    <w:sig w:usb0="FFFFFFFF" w:usb1="E9FFFFFF" w:usb2="0000003F" w:usb3="00000000" w:csb0="603F01FF" w:csb1="FFFF0000"/>
    <w:embedRegular r:id="rId7" w:fontKey="{515A74C8-7054-4864-AA3F-46EB8E7E2648}"/>
  </w:font>
  <w:font w:name="Century">
    <w:panose1 w:val="02040604050505020304"/>
    <w:charset w:val="00"/>
    <w:family w:val="roman"/>
    <w:pitch w:val="default"/>
    <w:sig w:usb0="00000287" w:usb1="00000000" w:usb2="00000000" w:usb3="00000000" w:csb0="2000009F" w:csb1="DFD70000"/>
  </w:font>
  <w:font w:name="仿宋">
    <w:panose1 w:val="02010609060101010101"/>
    <w:charset w:val="86"/>
    <w:family w:val="modern"/>
    <w:pitch w:val="default"/>
    <w:sig w:usb0="800002BF" w:usb1="38CF7CFA" w:usb2="00000016" w:usb3="00000000" w:csb0="00040001" w:csb1="00000000"/>
    <w:embedRegular r:id="rId8" w:fontKey="{30A93D34-8DC5-41AA-9BDF-2AE130B4B087}"/>
  </w:font>
  <w:font w:name="等线">
    <w:panose1 w:val="02010600030101010101"/>
    <w:charset w:val="86"/>
    <w:family w:val="auto"/>
    <w:pitch w:val="default"/>
    <w:sig w:usb0="A00002BF" w:usb1="38CF7CFA" w:usb2="00000016" w:usb3="00000000" w:csb0="0004000F" w:csb1="00000000"/>
    <w:embedRegular r:id="rId9" w:fontKey="{34ACDB15-2655-4715-80D9-D0449EE901C8}"/>
  </w:font>
  <w:font w:name="等线 Light">
    <w:panose1 w:val="02010600030101010101"/>
    <w:charset w:val="86"/>
    <w:family w:val="auto"/>
    <w:pitch w:val="default"/>
    <w:sig w:usb0="A00002BF" w:usb1="38CF7CFA" w:usb2="00000016" w:usb3="00000000" w:csb0="0004000F" w:csb1="00000000"/>
  </w:font>
  <w:font w:name="Microsoft YaHei UI">
    <w:panose1 w:val="020B0503020204020204"/>
    <w:charset w:val="86"/>
    <w:family w:val="swiss"/>
    <w:pitch w:val="default"/>
    <w:sig w:usb0="80000287" w:usb1="2ACF3C50" w:usb2="00000016" w:usb3="00000000" w:csb0="0004001F" w:csb1="00000000"/>
  </w:font>
  <w:font w:name="华文楷体">
    <w:panose1 w:val="02010600040101010101"/>
    <w:charset w:val="86"/>
    <w:family w:val="auto"/>
    <w:pitch w:val="default"/>
    <w:sig w:usb0="00000287" w:usb1="080F0000" w:usb2="00000000" w:usb3="00000000" w:csb0="0004009F" w:csb1="DFD70000"/>
  </w:font>
  <w:font w:name="方正小标宋简体">
    <w:panose1 w:val="03000509000000000000"/>
    <w:charset w:val="86"/>
    <w:family w:val="script"/>
    <w:pitch w:val="default"/>
    <w:sig w:usb0="00000001" w:usb1="080E0000" w:usb2="00000000" w:usb3="00000000" w:csb0="00040000" w:csb1="00000000"/>
    <w:embedRegular r:id="rId10" w:fontKey="{CCE1B072-CBD8-49E2-A4FD-BB2C1219F94B}"/>
  </w:font>
  <w:font w:name="华文新魏">
    <w:panose1 w:val="02010800040101010101"/>
    <w:charset w:val="86"/>
    <w:family w:val="auto"/>
    <w:pitch w:val="default"/>
    <w:sig w:usb0="00000001" w:usb1="080F0000" w:usb2="00000000" w:usb3="00000000" w:csb0="00040000" w:csb1="00000000"/>
    <w:embedRegular r:id="rId11" w:fontKey="{0AA02755-CEAF-4544-8D31-DE19064FF77C}"/>
  </w:font>
  <w:font w:name="MS Mincho">
    <w:altName w:val="ＭＳ 明朝"/>
    <w:panose1 w:val="02020609040205080304"/>
    <w:charset w:val="80"/>
    <w:family w:val="modern"/>
    <w:pitch w:val="default"/>
    <w:sig w:usb0="E00002FF" w:usb1="6AC7FDFB" w:usb2="00000012" w:usb3="00000000" w:csb0="4002009F" w:csb1="DFD70000"/>
    <w:embedRegular r:id="rId12" w:fontKey="{5CD94AFB-1326-401A-B4EF-B99B63553334}"/>
  </w:font>
  <w:font w:name="Segoe UI Emoji">
    <w:panose1 w:val="020B0502040204020203"/>
    <w:charset w:val="00"/>
    <w:family w:val="swiss"/>
    <w:pitch w:val="default"/>
    <w:sig w:usb0="00000001" w:usb1="02000000" w:usb2="00000000" w:usb3="00000000" w:csb0="00000001" w:csb1="00000000"/>
    <w:embedRegular r:id="rId13" w:fontKey="{9A04ABE5-8E80-488D-A416-B96B72ADC641}"/>
  </w:font>
  <w:font w:name="Helvetica">
    <w:altName w:val="Arial"/>
    <w:panose1 w:val="020B0504020202030204"/>
    <w:charset w:val="00"/>
    <w:family w:val="swiss"/>
    <w:pitch w:val="default"/>
    <w:sig w:usb0="00000000" w:usb1="00000000" w:usb2="00000000" w:usb3="00000000" w:csb0="00000093" w:csb1="00000000"/>
    <w:embedRegular r:id="rId14" w:fontKey="{5E2E426F-4A9F-47B5-BB10-A11A28F3E79A}"/>
  </w:font>
  <w:font w:name="金山简黑体">
    <w:altName w:val="黑体"/>
    <w:panose1 w:val="02010600030101010101"/>
    <w:charset w:val="86"/>
    <w:family w:val="auto"/>
    <w:pitch w:val="default"/>
    <w:sig w:usb0="00000000" w:usb1="00000000" w:usb2="00000006" w:usb3="00000000" w:csb0="00040001" w:csb1="00000000"/>
    <w:embedRegular r:id="rId15" w:fontKey="{0328A5E6-09F2-4185-BD72-0478D8141576}"/>
  </w:font>
  <w:font w:name="隶书">
    <w:panose1 w:val="02010509060101010101"/>
    <w:charset w:val="86"/>
    <w:family w:val="modern"/>
    <w:pitch w:val="default"/>
    <w:sig w:usb0="00000001" w:usb1="080E0000" w:usb2="00000000" w:usb3="00000000" w:csb0="00040000" w:csb1="00000000"/>
    <w:embedRegular r:id="rId16" w:fontKey="{E2233F34-C3CF-4EC2-95C3-968F66CEA80E}"/>
  </w:font>
  <w:font w:name="WPSEMBED1">
    <w:panose1 w:val="020B0604020202020204"/>
    <w:charset w:val="86"/>
    <w:family w:val="auto"/>
    <w:pitch w:val="default"/>
    <w:sig w:usb0="FFFFFFFF" w:usb1="E9FFFFFF" w:usb2="0000003F" w:usb3="00000000" w:csb0="603F01FF" w:csb1="FFFF0000"/>
  </w:font>
  <w:font w:name="WPSEMBED2">
    <w:panose1 w:val="02020609040205080304"/>
    <w:charset w:val="80"/>
    <w:family w:val="auto"/>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4F92E1">
    <w:pPr>
      <w:pStyle w:val="31"/>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7688D3">
    <w:pPr>
      <w:pStyle w:val="31"/>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0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67EECBE">
                          <w:pPr>
                            <w:pStyle w:val="31"/>
                          </w:pPr>
                          <w:r>
                            <w:fldChar w:fldCharType="begin"/>
                          </w:r>
                          <w:r>
                            <w:instrText xml:space="preserve"> PAGE  \* MERGEFORMAT </w:instrText>
                          </w:r>
                          <w:r>
                            <w:fldChar w:fldCharType="separate"/>
                          </w:r>
                          <w:r>
                            <w:t>157</w:t>
                          </w:r>
                          <w:r>
                            <w:fldChar w:fldCharType="end"/>
                          </w:r>
                        </w:p>
                      </w:txbxContent>
                    </wps:txbx>
                    <wps:bodyPr wrap="none" lIns="0" tIns="0" rIns="0" bIns="0" upright="0">
                      <a:spAutoFit/>
                    </wps:bodyPr>
                  </wps:wsp>
                </a:graphicData>
              </a:graphic>
            </wp:anchor>
          </w:drawing>
        </mc:Choice>
        <mc:Fallback>
          <w:pict>
            <v:shape id="文本框 1029"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Fp03GnLAQAAnAMAAA4AAAAAAAAAAQAgAAAAHgEAAGRycy9lMm9E&#10;b2MueG1sUEsFBgAAAAAGAAYAWQEAAFsFAAAAAA==&#10;">
              <v:fill on="f" focussize="0,0"/>
              <v:stroke on="f"/>
              <v:imagedata o:title=""/>
              <o:lock v:ext="edit" aspectratio="f"/>
              <v:textbox inset="0mm,0mm,0mm,0mm" style="mso-fit-shape-to-text:t;">
                <w:txbxContent>
                  <w:p w14:paraId="567EECBE">
                    <w:pPr>
                      <w:pStyle w:val="31"/>
                    </w:pPr>
                    <w:r>
                      <w:fldChar w:fldCharType="begin"/>
                    </w:r>
                    <w:r>
                      <w:instrText xml:space="preserve"> PAGE  \* MERGEFORMAT </w:instrText>
                    </w:r>
                    <w:r>
                      <w:fldChar w:fldCharType="separate"/>
                    </w:r>
                    <w:r>
                      <w:t>157</w:t>
                    </w:r>
                    <w:r>
                      <w:fldChar w:fldCharType="end"/>
                    </w:r>
                  </w:p>
                </w:txbxContent>
              </v:textbox>
            </v:shape>
          </w:pict>
        </mc:Fallback>
      </mc:AlternateContent>
    </w:r>
  </w:p>
  <w:p w14:paraId="6BAA90E0">
    <w:pPr>
      <w:pStyle w:val="31"/>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D14727">
    <w:pPr>
      <w:pStyle w:val="31"/>
      <w:framePr w:wrap="around" w:vAnchor="text" w:hAnchor="margin" w:xAlign="center" w:y="1"/>
      <w:rPr>
        <w:rStyle w:val="55"/>
      </w:rPr>
    </w:pPr>
    <w:r>
      <w:fldChar w:fldCharType="begin"/>
    </w:r>
    <w:r>
      <w:rPr>
        <w:rStyle w:val="55"/>
      </w:rPr>
      <w:instrText xml:space="preserve">PAGE  </w:instrText>
    </w:r>
    <w:r>
      <w:fldChar w:fldCharType="end"/>
    </w:r>
  </w:p>
  <w:p w14:paraId="0263C0FE">
    <w:pPr>
      <w:pStyle w:val="31"/>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0B43D6">
    <w:pPr>
      <w:pStyle w:val="31"/>
      <w:ind w:right="360"/>
      <w:jc w:val="both"/>
      <w:rPr>
        <w:rFonts w:hint="eastAsia"/>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0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A8FBE2B">
                          <w:pPr>
                            <w:pStyle w:val="31"/>
                          </w:pPr>
                          <w:r>
                            <w:fldChar w:fldCharType="begin"/>
                          </w:r>
                          <w:r>
                            <w:instrText xml:space="preserve"> PAGE  \* MERGEFORMAT </w:instrText>
                          </w:r>
                          <w:r>
                            <w:fldChar w:fldCharType="separate"/>
                          </w:r>
                          <w:r>
                            <w:t>144</w:t>
                          </w:r>
                          <w:r>
                            <w:fldChar w:fldCharType="end"/>
                          </w:r>
                        </w:p>
                      </w:txbxContent>
                    </wps:txbx>
                    <wps:bodyPr wrap="none" lIns="0" tIns="0" rIns="0" bIns="0" upright="0">
                      <a:spAutoFit/>
                    </wps:bodyPr>
                  </wps:wsp>
                </a:graphicData>
              </a:graphic>
            </wp:anchor>
          </w:drawing>
        </mc:Choice>
        <mc:Fallback>
          <w:pict>
            <v:shape id="文本框 1030"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SzLBcsoBAACcAwAADgAAAAAAAAABACAAAAAeAQAAZHJzL2Uyb0Rv&#10;Yy54bWxQSwUGAAAAAAYABgBZAQAAWgUAAAAA&#10;">
              <v:fill on="f" focussize="0,0"/>
              <v:stroke on="f"/>
              <v:imagedata o:title=""/>
              <o:lock v:ext="edit" aspectratio="f"/>
              <v:textbox inset="0mm,0mm,0mm,0mm" style="mso-fit-shape-to-text:t;">
                <w:txbxContent>
                  <w:p w14:paraId="7A8FBE2B">
                    <w:pPr>
                      <w:pStyle w:val="31"/>
                    </w:pPr>
                    <w:r>
                      <w:fldChar w:fldCharType="begin"/>
                    </w:r>
                    <w:r>
                      <w:instrText xml:space="preserve"> PAGE  \* MERGEFORMAT </w:instrText>
                    </w:r>
                    <w:r>
                      <w:fldChar w:fldCharType="separate"/>
                    </w:r>
                    <w:r>
                      <w:t>144</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BD5A17">
    <w:pPr>
      <w:pStyle w:val="3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D3790D">
    <w:pPr>
      <w:pStyle w:val="3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6B9B5A">
    <w:pPr>
      <w:pStyle w:val="31"/>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821889">
    <w:pPr>
      <w:pStyle w:val="31"/>
      <w:jc w:val="center"/>
    </w:pPr>
    <w:r>
      <w:fldChar w:fldCharType="begin"/>
    </w:r>
    <w:r>
      <w:instrText xml:space="preserve">PAGE   \* MERGEFORMAT</w:instrText>
    </w:r>
    <w:r>
      <w:fldChar w:fldCharType="separate"/>
    </w:r>
    <w:r>
      <w:rPr>
        <w:lang w:val="zh-CN"/>
      </w:rPr>
      <w:t>63</w:t>
    </w:r>
    <w:r>
      <w:fldChar w:fldCharType="end"/>
    </w:r>
  </w:p>
  <w:p w14:paraId="5078BB47">
    <w:pPr>
      <w:pStyle w:val="31"/>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C49352">
    <w:pPr>
      <w:pStyle w:val="31"/>
      <w:jc w:val="center"/>
    </w:pPr>
    <w:r>
      <w:fldChar w:fldCharType="begin"/>
    </w:r>
    <w:r>
      <w:instrText xml:space="preserve">PAGE   \* MERGEFORMAT</w:instrText>
    </w:r>
    <w:r>
      <w:fldChar w:fldCharType="separate"/>
    </w:r>
    <w:r>
      <w:rPr>
        <w:lang w:val="zh-CN"/>
      </w:rPr>
      <w:t>105</w:t>
    </w:r>
    <w:r>
      <w:fldChar w:fldCharType="end"/>
    </w:r>
  </w:p>
  <w:p w14:paraId="183BC0BB">
    <w:pPr>
      <w:pStyle w:val="31"/>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C0E430">
    <w:pPr>
      <w:pStyle w:val="31"/>
      <w:jc w:val="center"/>
    </w:pPr>
    <w:r>
      <w:fldChar w:fldCharType="begin"/>
    </w:r>
    <w:r>
      <w:instrText xml:space="preserve"> PAGE   \* MERGEFORMAT </w:instrText>
    </w:r>
    <w:r>
      <w:fldChar w:fldCharType="separate"/>
    </w:r>
    <w:r>
      <w:rPr>
        <w:lang w:val="zh-CN"/>
      </w:rPr>
      <w:t>143</w:t>
    </w:r>
    <w:r>
      <w:fldChar w:fldCharType="end"/>
    </w:r>
  </w:p>
  <w:p w14:paraId="0723BA37">
    <w:pPr>
      <w:pStyle w:val="31"/>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ACC64B">
    <w:pPr>
      <w:pStyle w:val="31"/>
      <w:framePr w:wrap="around" w:vAnchor="text" w:hAnchor="margin" w:xAlign="center" w:y="1"/>
      <w:rPr>
        <w:rStyle w:val="55"/>
      </w:rPr>
    </w:pPr>
    <w:r>
      <w:fldChar w:fldCharType="begin"/>
    </w:r>
    <w:r>
      <w:rPr>
        <w:rStyle w:val="55"/>
      </w:rPr>
      <w:instrText xml:space="preserve">PAGE  </w:instrText>
    </w:r>
    <w:r>
      <w:fldChar w:fldCharType="end"/>
    </w:r>
  </w:p>
  <w:p w14:paraId="75BF0924">
    <w:pPr>
      <w:pStyle w:val="31"/>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A2635B">
    <w:pPr>
      <w:pStyle w:val="31"/>
      <w:jc w:val="center"/>
    </w:pPr>
    <w:r>
      <w:fldChar w:fldCharType="begin"/>
    </w:r>
    <w:r>
      <w:instrText xml:space="preserve">PAGE   \* MERGEFORMAT</w:instrText>
    </w:r>
    <w:r>
      <w:fldChar w:fldCharType="separate"/>
    </w:r>
    <w:r>
      <w:rPr>
        <w:lang w:val="zh-CN"/>
      </w:rPr>
      <w:t>22</w:t>
    </w:r>
    <w:r>
      <w:fldChar w:fldCharType="end"/>
    </w:r>
  </w:p>
  <w:p w14:paraId="283F7C05">
    <w:pPr>
      <w:pStyle w:val="31"/>
      <w:ind w:right="360"/>
      <w:jc w:val="both"/>
      <w:rPr>
        <w:rFonts w:hint="eastAsi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FA5391">
    <w:pPr>
      <w:pStyle w:val="3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2A2BCF">
    <w:pPr>
      <w:pStyle w:val="3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9C07D0">
    <w:pPr>
      <w:pStyle w:val="32"/>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E4CD83">
    <w:pPr>
      <w:pStyle w:val="32"/>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028659">
    <w:pPr>
      <w:pStyle w:val="3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1"/>
      <w:lvlText w:val="%1."/>
      <w:lvlJc w:val="left"/>
      <w:pPr>
        <w:tabs>
          <w:tab w:val="left" w:pos="1200"/>
        </w:tabs>
        <w:ind w:left="1200" w:hanging="360"/>
      </w:pPr>
    </w:lvl>
  </w:abstractNum>
  <w:abstractNum w:abstractNumId="1">
    <w:nsid w:val="020645C8"/>
    <w:multiLevelType w:val="multilevel"/>
    <w:tmpl w:val="020645C8"/>
    <w:lvl w:ilvl="0" w:tentative="0">
      <w:start w:val="1"/>
      <w:numFmt w:val="decimal"/>
      <w:pStyle w:val="142"/>
      <w:suff w:val="nothing"/>
      <w:lvlText w:val="%1."/>
      <w:lvlJc w:val="left"/>
      <w:pPr>
        <w:ind w:left="0" w:firstLine="40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0A3842DA"/>
    <w:multiLevelType w:val="multilevel"/>
    <w:tmpl w:val="0A3842DA"/>
    <w:lvl w:ilvl="0" w:tentative="0">
      <w:start w:val="1"/>
      <w:numFmt w:val="decimal"/>
      <w:pStyle w:val="138"/>
      <w:suff w:val="nothing"/>
      <w:lvlText w:val="%1、"/>
      <w:lvlJc w:val="left"/>
      <w:pPr>
        <w:ind w:left="0" w:firstLine="400"/>
      </w:pPr>
      <w:rPr>
        <w:rFonts w:hint="eastAsia"/>
      </w:rPr>
    </w:lvl>
    <w:lvl w:ilvl="1" w:tentative="0">
      <w:start w:val="1"/>
      <w:numFmt w:val="lowerLetter"/>
      <w:lvlText w:val="%2)"/>
      <w:lvlJc w:val="left"/>
      <w:pPr>
        <w:ind w:left="1240" w:hanging="420"/>
      </w:pPr>
    </w:lvl>
    <w:lvl w:ilvl="2" w:tentative="0">
      <w:start w:val="1"/>
      <w:numFmt w:val="lowerRoman"/>
      <w:lvlText w:val="%3."/>
      <w:lvlJc w:val="right"/>
      <w:pPr>
        <w:ind w:left="1660" w:hanging="420"/>
      </w:pPr>
    </w:lvl>
    <w:lvl w:ilvl="3" w:tentative="0">
      <w:start w:val="1"/>
      <w:numFmt w:val="decimal"/>
      <w:lvlText w:val="%4."/>
      <w:lvlJc w:val="left"/>
      <w:pPr>
        <w:ind w:left="2080" w:hanging="420"/>
      </w:pPr>
    </w:lvl>
    <w:lvl w:ilvl="4" w:tentative="0">
      <w:start w:val="1"/>
      <w:numFmt w:val="lowerLetter"/>
      <w:lvlText w:val="%5)"/>
      <w:lvlJc w:val="left"/>
      <w:pPr>
        <w:ind w:left="2500" w:hanging="420"/>
      </w:pPr>
    </w:lvl>
    <w:lvl w:ilvl="5" w:tentative="0">
      <w:start w:val="1"/>
      <w:numFmt w:val="lowerRoman"/>
      <w:lvlText w:val="%6."/>
      <w:lvlJc w:val="right"/>
      <w:pPr>
        <w:ind w:left="2920" w:hanging="420"/>
      </w:pPr>
    </w:lvl>
    <w:lvl w:ilvl="6" w:tentative="0">
      <w:start w:val="1"/>
      <w:numFmt w:val="decimal"/>
      <w:lvlText w:val="%7."/>
      <w:lvlJc w:val="left"/>
      <w:pPr>
        <w:ind w:left="3340" w:hanging="420"/>
      </w:pPr>
    </w:lvl>
    <w:lvl w:ilvl="7" w:tentative="0">
      <w:start w:val="1"/>
      <w:numFmt w:val="lowerLetter"/>
      <w:lvlText w:val="%8)"/>
      <w:lvlJc w:val="left"/>
      <w:pPr>
        <w:ind w:left="3760" w:hanging="420"/>
      </w:pPr>
    </w:lvl>
    <w:lvl w:ilvl="8" w:tentative="0">
      <w:start w:val="1"/>
      <w:numFmt w:val="lowerRoman"/>
      <w:lvlText w:val="%9."/>
      <w:lvlJc w:val="right"/>
      <w:pPr>
        <w:ind w:left="4180" w:hanging="420"/>
      </w:pPr>
    </w:lvl>
  </w:abstractNum>
  <w:abstractNum w:abstractNumId="3">
    <w:nsid w:val="0A790698"/>
    <w:multiLevelType w:val="singleLevel"/>
    <w:tmpl w:val="0A790698"/>
    <w:lvl w:ilvl="0" w:tentative="0">
      <w:start w:val="1"/>
      <w:numFmt w:val="chineseCountingThousand"/>
      <w:pStyle w:val="139"/>
      <w:suff w:val="space"/>
      <w:lvlText w:val="（%1）"/>
      <w:lvlJc w:val="left"/>
      <w:pPr>
        <w:ind w:left="0" w:firstLine="400"/>
      </w:pPr>
      <w:rPr>
        <w:rFonts w:hint="eastAsia"/>
      </w:rPr>
    </w:lvl>
  </w:abstractNum>
  <w:abstractNum w:abstractNumId="4">
    <w:nsid w:val="0CF84248"/>
    <w:multiLevelType w:val="multilevel"/>
    <w:tmpl w:val="0CF84248"/>
    <w:lvl w:ilvl="0" w:tentative="0">
      <w:start w:val="1"/>
      <w:numFmt w:val="decimal"/>
      <w:pStyle w:val="140"/>
      <w:suff w:val="nothing"/>
      <w:lvlText w:val="（%1）"/>
      <w:lvlJc w:val="left"/>
      <w:pPr>
        <w:ind w:left="0" w:firstLine="400"/>
      </w:pPr>
      <w:rPr>
        <w:rFonts w:hint="eastAsia"/>
      </w:rPr>
    </w:lvl>
    <w:lvl w:ilvl="1" w:tentative="0">
      <w:start w:val="1"/>
      <w:numFmt w:val="lowerLetter"/>
      <w:lvlText w:val="%2)"/>
      <w:lvlJc w:val="left"/>
      <w:pPr>
        <w:ind w:left="1040" w:hanging="420"/>
      </w:pPr>
    </w:lvl>
    <w:lvl w:ilvl="2" w:tentative="0">
      <w:start w:val="1"/>
      <w:numFmt w:val="lowerRoman"/>
      <w:lvlText w:val="%3."/>
      <w:lvlJc w:val="right"/>
      <w:pPr>
        <w:ind w:left="1460" w:hanging="420"/>
      </w:pPr>
    </w:lvl>
    <w:lvl w:ilvl="3" w:tentative="0">
      <w:start w:val="1"/>
      <w:numFmt w:val="decimal"/>
      <w:lvlText w:val="%4."/>
      <w:lvlJc w:val="left"/>
      <w:pPr>
        <w:ind w:left="1880" w:hanging="420"/>
      </w:pPr>
    </w:lvl>
    <w:lvl w:ilvl="4" w:tentative="0">
      <w:start w:val="1"/>
      <w:numFmt w:val="lowerLetter"/>
      <w:lvlText w:val="%5)"/>
      <w:lvlJc w:val="left"/>
      <w:pPr>
        <w:ind w:left="2300" w:hanging="420"/>
      </w:pPr>
    </w:lvl>
    <w:lvl w:ilvl="5" w:tentative="0">
      <w:start w:val="1"/>
      <w:numFmt w:val="lowerRoman"/>
      <w:lvlText w:val="%6."/>
      <w:lvlJc w:val="right"/>
      <w:pPr>
        <w:ind w:left="2720" w:hanging="420"/>
      </w:pPr>
    </w:lvl>
    <w:lvl w:ilvl="6" w:tentative="0">
      <w:start w:val="1"/>
      <w:numFmt w:val="decimal"/>
      <w:lvlText w:val="%7."/>
      <w:lvlJc w:val="left"/>
      <w:pPr>
        <w:ind w:left="3140" w:hanging="420"/>
      </w:pPr>
    </w:lvl>
    <w:lvl w:ilvl="7" w:tentative="0">
      <w:start w:val="1"/>
      <w:numFmt w:val="lowerLetter"/>
      <w:lvlText w:val="%8)"/>
      <w:lvlJc w:val="left"/>
      <w:pPr>
        <w:ind w:left="3560" w:hanging="420"/>
      </w:pPr>
    </w:lvl>
    <w:lvl w:ilvl="8" w:tentative="0">
      <w:start w:val="1"/>
      <w:numFmt w:val="lowerRoman"/>
      <w:lvlText w:val="%9."/>
      <w:lvlJc w:val="right"/>
      <w:pPr>
        <w:ind w:left="3980" w:hanging="420"/>
      </w:pPr>
    </w:lvl>
  </w:abstractNum>
  <w:abstractNum w:abstractNumId="5">
    <w:nsid w:val="24737EAD"/>
    <w:multiLevelType w:val="multilevel"/>
    <w:tmpl w:val="24737EAD"/>
    <w:lvl w:ilvl="0" w:tentative="0">
      <w:start w:val="1"/>
      <w:numFmt w:val="decimal"/>
      <w:pStyle w:val="148"/>
      <w:suff w:val="space"/>
      <w:lvlText w:val="(%1)"/>
      <w:lvlJc w:val="left"/>
      <w:pPr>
        <w:ind w:left="400" w:firstLine="200"/>
      </w:pPr>
      <w:rPr>
        <w:rFonts w:hint="eastAsia"/>
        <w:b w:val="0"/>
        <w:i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309910A9"/>
    <w:multiLevelType w:val="multilevel"/>
    <w:tmpl w:val="309910A9"/>
    <w:lvl w:ilvl="0" w:tentative="0">
      <w:start w:val="1"/>
      <w:numFmt w:val="chineseCountingThousand"/>
      <w:pStyle w:val="145"/>
      <w:suff w:val="nothing"/>
      <w:lvlText w:val="%1、"/>
      <w:lvlJc w:val="left"/>
      <w:pPr>
        <w:ind w:left="0" w:firstLine="40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32714F5E"/>
    <w:multiLevelType w:val="multilevel"/>
    <w:tmpl w:val="32714F5E"/>
    <w:lvl w:ilvl="0" w:tentative="0">
      <w:start w:val="1"/>
      <w:numFmt w:val="chineseCountingThousand"/>
      <w:suff w:val="nothing"/>
      <w:lvlText w:val="第%1章"/>
      <w:lvlJc w:val="left"/>
      <w:pPr>
        <w:ind w:left="0" w:firstLine="0"/>
      </w:pPr>
      <w:rPr>
        <w:rFonts w:hint="eastAsia" w:ascii="仿宋_GB2312" w:eastAsia="仿宋_GB2312"/>
        <w:sz w:val="44"/>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pStyle w:val="6"/>
      <w:suff w:val="nothing"/>
      <w:lvlText w:val=""/>
      <w:lvlJc w:val="left"/>
      <w:pPr>
        <w:ind w:left="0" w:firstLine="0"/>
      </w:pPr>
      <w:rPr>
        <w:rFonts w:hint="eastAsia"/>
      </w:rPr>
    </w:lvl>
    <w:lvl w:ilvl="5" w:tentative="0">
      <w:start w:val="1"/>
      <w:numFmt w:val="none"/>
      <w:pStyle w:val="8"/>
      <w:suff w:val="nothing"/>
      <w:lvlText w:val=""/>
      <w:lvlJc w:val="left"/>
      <w:pPr>
        <w:ind w:left="0" w:firstLine="0"/>
      </w:pPr>
      <w:rPr>
        <w:rFonts w:hint="eastAsia"/>
      </w:rPr>
    </w:lvl>
    <w:lvl w:ilvl="6" w:tentative="0">
      <w:start w:val="1"/>
      <w:numFmt w:val="none"/>
      <w:pStyle w:val="9"/>
      <w:suff w:val="nothing"/>
      <w:lvlText w:val=""/>
      <w:lvlJc w:val="left"/>
      <w:pPr>
        <w:ind w:left="0" w:firstLine="0"/>
      </w:pPr>
      <w:rPr>
        <w:rFonts w:hint="eastAsia"/>
      </w:rPr>
    </w:lvl>
    <w:lvl w:ilvl="7" w:tentative="0">
      <w:start w:val="1"/>
      <w:numFmt w:val="none"/>
      <w:pStyle w:val="10"/>
      <w:suff w:val="nothing"/>
      <w:lvlText w:val=""/>
      <w:lvlJc w:val="left"/>
      <w:pPr>
        <w:ind w:left="0" w:firstLine="0"/>
      </w:pPr>
      <w:rPr>
        <w:rFonts w:hint="eastAsia"/>
      </w:rPr>
    </w:lvl>
    <w:lvl w:ilvl="8" w:tentative="0">
      <w:start w:val="1"/>
      <w:numFmt w:val="none"/>
      <w:pStyle w:val="11"/>
      <w:suff w:val="nothing"/>
      <w:lvlText w:val=""/>
      <w:lvlJc w:val="left"/>
      <w:pPr>
        <w:ind w:left="0" w:firstLine="0"/>
      </w:pPr>
      <w:rPr>
        <w:rFonts w:hint="eastAsia"/>
      </w:rPr>
    </w:lvl>
  </w:abstractNum>
  <w:abstractNum w:abstractNumId="8">
    <w:nsid w:val="4C601917"/>
    <w:multiLevelType w:val="singleLevel"/>
    <w:tmpl w:val="4C601917"/>
    <w:lvl w:ilvl="0" w:tentative="0">
      <w:start w:val="1"/>
      <w:numFmt w:val="decimal"/>
      <w:suff w:val="nothing"/>
      <w:lvlText w:val="（%1）"/>
      <w:lvlJc w:val="left"/>
    </w:lvl>
  </w:abstractNum>
  <w:abstractNum w:abstractNumId="9">
    <w:nsid w:val="5FABD14B"/>
    <w:multiLevelType w:val="singleLevel"/>
    <w:tmpl w:val="5FABD14B"/>
    <w:lvl w:ilvl="0" w:tentative="0">
      <w:start w:val="1"/>
      <w:numFmt w:val="decimal"/>
      <w:suff w:val="nothing"/>
      <w:lvlText w:val="（%1）"/>
      <w:lvlJc w:val="left"/>
    </w:lvl>
  </w:abstractNum>
  <w:abstractNum w:abstractNumId="10">
    <w:nsid w:val="763060DB"/>
    <w:multiLevelType w:val="multilevel"/>
    <w:tmpl w:val="763060DB"/>
    <w:lvl w:ilvl="0" w:tentative="0">
      <w:start w:val="1"/>
      <w:numFmt w:val="japaneseCounting"/>
      <w:lvlText w:val="第%1章"/>
      <w:lvlJc w:val="left"/>
      <w:pPr>
        <w:tabs>
          <w:tab w:val="left" w:pos="1815"/>
        </w:tabs>
        <w:ind w:left="1815" w:hanging="1275"/>
      </w:pPr>
      <w:rPr>
        <w:rFonts w:hint="eastAsia"/>
        <w:lang w:val="en-US"/>
      </w:rPr>
    </w:lvl>
    <w:lvl w:ilvl="1" w:tentative="0">
      <w:start w:val="1"/>
      <w:numFmt w:val="japaneseCounting"/>
      <w:lvlText w:val="%2、"/>
      <w:lvlJc w:val="left"/>
      <w:pPr>
        <w:tabs>
          <w:tab w:val="left" w:pos="1680"/>
        </w:tabs>
        <w:ind w:left="1680" w:hanging="720"/>
      </w:pPr>
      <w:rPr>
        <w:rFonts w:hint="eastAsia"/>
      </w:rPr>
    </w:lvl>
    <w:lvl w:ilvl="2" w:tentative="0">
      <w:start w:val="1"/>
      <w:numFmt w:val="decimal"/>
      <w:lvlText w:val="%3."/>
      <w:lvlJc w:val="left"/>
      <w:pPr>
        <w:ind w:left="502" w:hanging="360"/>
      </w:pPr>
      <w:rPr>
        <w:rFonts w:hint="default"/>
        <w:sz w:val="24"/>
        <w:szCs w:val="24"/>
      </w:rPr>
    </w:lvl>
    <w:lvl w:ilvl="3" w:tentative="0">
      <w:start w:val="1"/>
      <w:numFmt w:val="decimal"/>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abstractNum w:abstractNumId="11">
    <w:nsid w:val="79E0569A"/>
    <w:multiLevelType w:val="multilevel"/>
    <w:tmpl w:val="79E0569A"/>
    <w:lvl w:ilvl="0" w:tentative="0">
      <w:start w:val="1"/>
      <w:numFmt w:val="decimal"/>
      <w:pStyle w:val="141"/>
      <w:suff w:val="space"/>
      <w:lvlText w:val="%1)"/>
      <w:lvlJc w:val="left"/>
      <w:pPr>
        <w:ind w:left="0" w:firstLine="400"/>
      </w:pPr>
      <w:rPr>
        <w:rFonts w:hint="eastAsia"/>
      </w:rPr>
    </w:lvl>
    <w:lvl w:ilvl="1" w:tentative="0">
      <w:start w:val="1"/>
      <w:numFmt w:val="lowerLetter"/>
      <w:lvlText w:val="%2)"/>
      <w:lvlJc w:val="left"/>
      <w:pPr>
        <w:ind w:left="1720" w:hanging="420"/>
      </w:pPr>
    </w:lvl>
    <w:lvl w:ilvl="2" w:tentative="0">
      <w:start w:val="1"/>
      <w:numFmt w:val="lowerRoman"/>
      <w:lvlText w:val="%3."/>
      <w:lvlJc w:val="right"/>
      <w:pPr>
        <w:ind w:left="2140" w:hanging="420"/>
      </w:pPr>
    </w:lvl>
    <w:lvl w:ilvl="3" w:tentative="0">
      <w:start w:val="1"/>
      <w:numFmt w:val="decimal"/>
      <w:lvlText w:val="%4."/>
      <w:lvlJc w:val="left"/>
      <w:pPr>
        <w:ind w:left="2560" w:hanging="420"/>
      </w:pPr>
    </w:lvl>
    <w:lvl w:ilvl="4" w:tentative="0">
      <w:start w:val="1"/>
      <w:numFmt w:val="lowerLetter"/>
      <w:lvlText w:val="%5)"/>
      <w:lvlJc w:val="left"/>
      <w:pPr>
        <w:ind w:left="2980" w:hanging="420"/>
      </w:pPr>
    </w:lvl>
    <w:lvl w:ilvl="5" w:tentative="0">
      <w:start w:val="1"/>
      <w:numFmt w:val="lowerRoman"/>
      <w:lvlText w:val="%6."/>
      <w:lvlJc w:val="right"/>
      <w:pPr>
        <w:ind w:left="3400" w:hanging="420"/>
      </w:pPr>
    </w:lvl>
    <w:lvl w:ilvl="6" w:tentative="0">
      <w:start w:val="1"/>
      <w:numFmt w:val="decimal"/>
      <w:lvlText w:val="%7."/>
      <w:lvlJc w:val="left"/>
      <w:pPr>
        <w:ind w:left="3820" w:hanging="420"/>
      </w:pPr>
    </w:lvl>
    <w:lvl w:ilvl="7" w:tentative="0">
      <w:start w:val="1"/>
      <w:numFmt w:val="lowerLetter"/>
      <w:lvlText w:val="%8)"/>
      <w:lvlJc w:val="left"/>
      <w:pPr>
        <w:ind w:left="4240" w:hanging="420"/>
      </w:pPr>
    </w:lvl>
    <w:lvl w:ilvl="8" w:tentative="0">
      <w:start w:val="1"/>
      <w:numFmt w:val="lowerRoman"/>
      <w:lvlText w:val="%9."/>
      <w:lvlJc w:val="right"/>
      <w:pPr>
        <w:ind w:left="4660" w:hanging="420"/>
      </w:pPr>
    </w:lvl>
  </w:abstractNum>
  <w:abstractNum w:abstractNumId="12">
    <w:nsid w:val="7DDF28A0"/>
    <w:multiLevelType w:val="multilevel"/>
    <w:tmpl w:val="7DDF28A0"/>
    <w:lvl w:ilvl="0" w:tentative="0">
      <w:start w:val="1"/>
      <w:numFmt w:val="decimal"/>
      <w:pStyle w:val="154"/>
      <w:suff w:val="nothing"/>
      <w:lvlText w:val="%1）"/>
      <w:lvlJc w:val="left"/>
      <w:pPr>
        <w:ind w:left="400" w:firstLine="20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7"/>
  </w:num>
  <w:num w:numId="2">
    <w:abstractNumId w:val="0"/>
  </w:num>
  <w:num w:numId="3">
    <w:abstractNumId w:val="2"/>
  </w:num>
  <w:num w:numId="4">
    <w:abstractNumId w:val="3"/>
  </w:num>
  <w:num w:numId="5">
    <w:abstractNumId w:val="4"/>
  </w:num>
  <w:num w:numId="6">
    <w:abstractNumId w:val="11"/>
  </w:num>
  <w:num w:numId="7">
    <w:abstractNumId w:val="1"/>
  </w:num>
  <w:num w:numId="8">
    <w:abstractNumId w:val="6"/>
  </w:num>
  <w:num w:numId="9">
    <w:abstractNumId w:val="5"/>
  </w:num>
  <w:num w:numId="10">
    <w:abstractNumId w:val="12"/>
  </w:num>
  <w:num w:numId="11">
    <w:abstractNumId w:val="8"/>
  </w:num>
  <w:num w:numId="12">
    <w:abstractNumId w:val="9"/>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1"/>
  <w:embedTrueTypeFonts/>
  <w:saveSubsetFonts/>
  <w:bordersDoNotSurroundHeader w:val="0"/>
  <w:bordersDoNotSurroundFooter w:val="0"/>
  <w:stylePaneFormatFilter w:val="3D01" w:allStyles="1" w:customStyles="0" w:latentStyles="0" w:stylesInUse="0" w:headingStyles="0" w:numberingStyles="0" w:tableStyles="0" w:directFormattingOnRuns="1" w:directFormattingOnParagraphs="0"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1,3"/>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008B"/>
    <w:rsid w:val="0000010C"/>
    <w:rsid w:val="00000466"/>
    <w:rsid w:val="00000D21"/>
    <w:rsid w:val="00000FE0"/>
    <w:rsid w:val="00001068"/>
    <w:rsid w:val="0000108F"/>
    <w:rsid w:val="0000114A"/>
    <w:rsid w:val="000012EA"/>
    <w:rsid w:val="000014E3"/>
    <w:rsid w:val="00001731"/>
    <w:rsid w:val="00001B0B"/>
    <w:rsid w:val="00001BAF"/>
    <w:rsid w:val="00001C2D"/>
    <w:rsid w:val="00001C55"/>
    <w:rsid w:val="00001CA8"/>
    <w:rsid w:val="00001E4C"/>
    <w:rsid w:val="00001F3B"/>
    <w:rsid w:val="00001FAE"/>
    <w:rsid w:val="00002291"/>
    <w:rsid w:val="0000230A"/>
    <w:rsid w:val="0000240F"/>
    <w:rsid w:val="00002644"/>
    <w:rsid w:val="00002BC4"/>
    <w:rsid w:val="00002D74"/>
    <w:rsid w:val="00002DBF"/>
    <w:rsid w:val="00002E56"/>
    <w:rsid w:val="00002EC0"/>
    <w:rsid w:val="000030A4"/>
    <w:rsid w:val="000030DA"/>
    <w:rsid w:val="00003189"/>
    <w:rsid w:val="00003224"/>
    <w:rsid w:val="000033A9"/>
    <w:rsid w:val="000033F5"/>
    <w:rsid w:val="000034A2"/>
    <w:rsid w:val="000034EA"/>
    <w:rsid w:val="0000350E"/>
    <w:rsid w:val="0000358C"/>
    <w:rsid w:val="00003BEF"/>
    <w:rsid w:val="00003E35"/>
    <w:rsid w:val="00004130"/>
    <w:rsid w:val="0000419B"/>
    <w:rsid w:val="0000431F"/>
    <w:rsid w:val="00004634"/>
    <w:rsid w:val="0000489E"/>
    <w:rsid w:val="00004CBC"/>
    <w:rsid w:val="00004D8B"/>
    <w:rsid w:val="0000509A"/>
    <w:rsid w:val="0000510D"/>
    <w:rsid w:val="000059E2"/>
    <w:rsid w:val="00005F8A"/>
    <w:rsid w:val="00006254"/>
    <w:rsid w:val="000063F8"/>
    <w:rsid w:val="0000670A"/>
    <w:rsid w:val="00006882"/>
    <w:rsid w:val="00006A03"/>
    <w:rsid w:val="00006A56"/>
    <w:rsid w:val="00006AE7"/>
    <w:rsid w:val="00006B9B"/>
    <w:rsid w:val="00006BEA"/>
    <w:rsid w:val="00006C35"/>
    <w:rsid w:val="00006EF2"/>
    <w:rsid w:val="000072B1"/>
    <w:rsid w:val="000072F9"/>
    <w:rsid w:val="00007329"/>
    <w:rsid w:val="0000734F"/>
    <w:rsid w:val="00007922"/>
    <w:rsid w:val="00007E28"/>
    <w:rsid w:val="00007E53"/>
    <w:rsid w:val="00007E84"/>
    <w:rsid w:val="00010401"/>
    <w:rsid w:val="0001040F"/>
    <w:rsid w:val="000105A1"/>
    <w:rsid w:val="000107AD"/>
    <w:rsid w:val="00010835"/>
    <w:rsid w:val="00010844"/>
    <w:rsid w:val="000108B0"/>
    <w:rsid w:val="0001097B"/>
    <w:rsid w:val="00010A0A"/>
    <w:rsid w:val="00010B91"/>
    <w:rsid w:val="00010CE9"/>
    <w:rsid w:val="00010F4E"/>
    <w:rsid w:val="00010F7F"/>
    <w:rsid w:val="0001146F"/>
    <w:rsid w:val="00011747"/>
    <w:rsid w:val="00011842"/>
    <w:rsid w:val="00011B8D"/>
    <w:rsid w:val="00012137"/>
    <w:rsid w:val="000121EB"/>
    <w:rsid w:val="000121EE"/>
    <w:rsid w:val="000121FF"/>
    <w:rsid w:val="000125B8"/>
    <w:rsid w:val="000125EC"/>
    <w:rsid w:val="00012692"/>
    <w:rsid w:val="00012993"/>
    <w:rsid w:val="00012A8F"/>
    <w:rsid w:val="00012FA1"/>
    <w:rsid w:val="000132C1"/>
    <w:rsid w:val="00013446"/>
    <w:rsid w:val="0001349D"/>
    <w:rsid w:val="00013509"/>
    <w:rsid w:val="000135BC"/>
    <w:rsid w:val="000135DC"/>
    <w:rsid w:val="000136B2"/>
    <w:rsid w:val="000136D6"/>
    <w:rsid w:val="00013979"/>
    <w:rsid w:val="00013CBF"/>
    <w:rsid w:val="00013D34"/>
    <w:rsid w:val="00013E8C"/>
    <w:rsid w:val="00013FB2"/>
    <w:rsid w:val="00014085"/>
    <w:rsid w:val="000141DE"/>
    <w:rsid w:val="00014623"/>
    <w:rsid w:val="00014B4C"/>
    <w:rsid w:val="00014BFB"/>
    <w:rsid w:val="00014DD9"/>
    <w:rsid w:val="00014E9F"/>
    <w:rsid w:val="000151E4"/>
    <w:rsid w:val="000153D8"/>
    <w:rsid w:val="00015555"/>
    <w:rsid w:val="00015577"/>
    <w:rsid w:val="000156E4"/>
    <w:rsid w:val="00015979"/>
    <w:rsid w:val="000159A7"/>
    <w:rsid w:val="00015A66"/>
    <w:rsid w:val="00015C4C"/>
    <w:rsid w:val="00015DD6"/>
    <w:rsid w:val="00015E3A"/>
    <w:rsid w:val="00015FB8"/>
    <w:rsid w:val="00016076"/>
    <w:rsid w:val="0001609F"/>
    <w:rsid w:val="0001635B"/>
    <w:rsid w:val="00016549"/>
    <w:rsid w:val="000169C2"/>
    <w:rsid w:val="00016AB3"/>
    <w:rsid w:val="00016BF7"/>
    <w:rsid w:val="00016D20"/>
    <w:rsid w:val="00016DED"/>
    <w:rsid w:val="00016E47"/>
    <w:rsid w:val="000171D6"/>
    <w:rsid w:val="0001767E"/>
    <w:rsid w:val="0001776D"/>
    <w:rsid w:val="000178D7"/>
    <w:rsid w:val="00017C00"/>
    <w:rsid w:val="00017D58"/>
    <w:rsid w:val="00017D90"/>
    <w:rsid w:val="00017F31"/>
    <w:rsid w:val="0002004A"/>
    <w:rsid w:val="00020607"/>
    <w:rsid w:val="00020791"/>
    <w:rsid w:val="00020A15"/>
    <w:rsid w:val="00020FE2"/>
    <w:rsid w:val="0002103A"/>
    <w:rsid w:val="000217E4"/>
    <w:rsid w:val="00021852"/>
    <w:rsid w:val="00021A12"/>
    <w:rsid w:val="00021F18"/>
    <w:rsid w:val="00022308"/>
    <w:rsid w:val="00022622"/>
    <w:rsid w:val="000226C9"/>
    <w:rsid w:val="00022A44"/>
    <w:rsid w:val="00022AB9"/>
    <w:rsid w:val="00022D13"/>
    <w:rsid w:val="00022D5E"/>
    <w:rsid w:val="00022FF4"/>
    <w:rsid w:val="000230F0"/>
    <w:rsid w:val="00023363"/>
    <w:rsid w:val="000235F3"/>
    <w:rsid w:val="00023644"/>
    <w:rsid w:val="00023712"/>
    <w:rsid w:val="00023748"/>
    <w:rsid w:val="0002440A"/>
    <w:rsid w:val="0002448C"/>
    <w:rsid w:val="00024707"/>
    <w:rsid w:val="0002476C"/>
    <w:rsid w:val="00024E3C"/>
    <w:rsid w:val="00024EB0"/>
    <w:rsid w:val="00025117"/>
    <w:rsid w:val="000252FA"/>
    <w:rsid w:val="0002547A"/>
    <w:rsid w:val="000258B2"/>
    <w:rsid w:val="00025941"/>
    <w:rsid w:val="000259DF"/>
    <w:rsid w:val="00025A13"/>
    <w:rsid w:val="00025A2F"/>
    <w:rsid w:val="00025A93"/>
    <w:rsid w:val="00025C50"/>
    <w:rsid w:val="00025C92"/>
    <w:rsid w:val="00026048"/>
    <w:rsid w:val="000263D0"/>
    <w:rsid w:val="0002646A"/>
    <w:rsid w:val="0002651D"/>
    <w:rsid w:val="00026658"/>
    <w:rsid w:val="000269BE"/>
    <w:rsid w:val="000269C7"/>
    <w:rsid w:val="00026CFD"/>
    <w:rsid w:val="000272DD"/>
    <w:rsid w:val="000272EA"/>
    <w:rsid w:val="00027345"/>
    <w:rsid w:val="00027519"/>
    <w:rsid w:val="0002752D"/>
    <w:rsid w:val="00027774"/>
    <w:rsid w:val="0002796F"/>
    <w:rsid w:val="000279F9"/>
    <w:rsid w:val="00027A11"/>
    <w:rsid w:val="00027A19"/>
    <w:rsid w:val="00027B05"/>
    <w:rsid w:val="00027B0F"/>
    <w:rsid w:val="00027C8B"/>
    <w:rsid w:val="00027C8D"/>
    <w:rsid w:val="00027CD9"/>
    <w:rsid w:val="00027CE8"/>
    <w:rsid w:val="00027EC8"/>
    <w:rsid w:val="00030242"/>
    <w:rsid w:val="000304CA"/>
    <w:rsid w:val="000308A0"/>
    <w:rsid w:val="00030B06"/>
    <w:rsid w:val="000313E0"/>
    <w:rsid w:val="000314B5"/>
    <w:rsid w:val="000314DC"/>
    <w:rsid w:val="0003153A"/>
    <w:rsid w:val="0003183A"/>
    <w:rsid w:val="00031CDC"/>
    <w:rsid w:val="00031DC8"/>
    <w:rsid w:val="0003210D"/>
    <w:rsid w:val="00032331"/>
    <w:rsid w:val="0003263B"/>
    <w:rsid w:val="0003282C"/>
    <w:rsid w:val="00032D70"/>
    <w:rsid w:val="00032EEC"/>
    <w:rsid w:val="0003304A"/>
    <w:rsid w:val="0003317E"/>
    <w:rsid w:val="000331F1"/>
    <w:rsid w:val="000331F3"/>
    <w:rsid w:val="000333EF"/>
    <w:rsid w:val="000333FE"/>
    <w:rsid w:val="00033413"/>
    <w:rsid w:val="000334A6"/>
    <w:rsid w:val="000336DC"/>
    <w:rsid w:val="000336F9"/>
    <w:rsid w:val="000337F3"/>
    <w:rsid w:val="000338CB"/>
    <w:rsid w:val="0003391B"/>
    <w:rsid w:val="000339AB"/>
    <w:rsid w:val="00033B75"/>
    <w:rsid w:val="00034196"/>
    <w:rsid w:val="00034809"/>
    <w:rsid w:val="00034C27"/>
    <w:rsid w:val="00034E25"/>
    <w:rsid w:val="00034E2A"/>
    <w:rsid w:val="000351BD"/>
    <w:rsid w:val="0003577F"/>
    <w:rsid w:val="00035808"/>
    <w:rsid w:val="00035903"/>
    <w:rsid w:val="00035947"/>
    <w:rsid w:val="00035A8E"/>
    <w:rsid w:val="000361E7"/>
    <w:rsid w:val="00036466"/>
    <w:rsid w:val="000365F5"/>
    <w:rsid w:val="0003675E"/>
    <w:rsid w:val="000368F8"/>
    <w:rsid w:val="00036AD2"/>
    <w:rsid w:val="000373F9"/>
    <w:rsid w:val="00037633"/>
    <w:rsid w:val="00037AD0"/>
    <w:rsid w:val="00037DE7"/>
    <w:rsid w:val="00037E9E"/>
    <w:rsid w:val="00037F87"/>
    <w:rsid w:val="00037FA2"/>
    <w:rsid w:val="000400D0"/>
    <w:rsid w:val="00040139"/>
    <w:rsid w:val="0004044E"/>
    <w:rsid w:val="0004054E"/>
    <w:rsid w:val="00041009"/>
    <w:rsid w:val="00041065"/>
    <w:rsid w:val="00041471"/>
    <w:rsid w:val="00041730"/>
    <w:rsid w:val="0004195D"/>
    <w:rsid w:val="00041A16"/>
    <w:rsid w:val="000421C0"/>
    <w:rsid w:val="00042292"/>
    <w:rsid w:val="000425AC"/>
    <w:rsid w:val="00042655"/>
    <w:rsid w:val="00042672"/>
    <w:rsid w:val="000426DC"/>
    <w:rsid w:val="00042F4A"/>
    <w:rsid w:val="00043726"/>
    <w:rsid w:val="00043BE5"/>
    <w:rsid w:val="00043C4B"/>
    <w:rsid w:val="00043F9B"/>
    <w:rsid w:val="00044003"/>
    <w:rsid w:val="000443E8"/>
    <w:rsid w:val="00044527"/>
    <w:rsid w:val="00044662"/>
    <w:rsid w:val="0004469E"/>
    <w:rsid w:val="00044897"/>
    <w:rsid w:val="00044918"/>
    <w:rsid w:val="00044ACF"/>
    <w:rsid w:val="00044C40"/>
    <w:rsid w:val="00044D83"/>
    <w:rsid w:val="00044E06"/>
    <w:rsid w:val="000454F4"/>
    <w:rsid w:val="00045670"/>
    <w:rsid w:val="000456EB"/>
    <w:rsid w:val="0004599C"/>
    <w:rsid w:val="00045CE1"/>
    <w:rsid w:val="00045D0B"/>
    <w:rsid w:val="00045D1E"/>
    <w:rsid w:val="00045E69"/>
    <w:rsid w:val="00045EAC"/>
    <w:rsid w:val="00045EF4"/>
    <w:rsid w:val="00045F00"/>
    <w:rsid w:val="000460F2"/>
    <w:rsid w:val="00046151"/>
    <w:rsid w:val="00046200"/>
    <w:rsid w:val="00046296"/>
    <w:rsid w:val="00046415"/>
    <w:rsid w:val="00046547"/>
    <w:rsid w:val="00046656"/>
    <w:rsid w:val="000466D7"/>
    <w:rsid w:val="00046753"/>
    <w:rsid w:val="00046786"/>
    <w:rsid w:val="00046FB6"/>
    <w:rsid w:val="00047254"/>
    <w:rsid w:val="000472FD"/>
    <w:rsid w:val="00047905"/>
    <w:rsid w:val="00047A8D"/>
    <w:rsid w:val="00047D6F"/>
    <w:rsid w:val="00047E88"/>
    <w:rsid w:val="00047FCC"/>
    <w:rsid w:val="00050001"/>
    <w:rsid w:val="00050155"/>
    <w:rsid w:val="0005020F"/>
    <w:rsid w:val="0005022B"/>
    <w:rsid w:val="00050481"/>
    <w:rsid w:val="00050547"/>
    <w:rsid w:val="00050653"/>
    <w:rsid w:val="00050771"/>
    <w:rsid w:val="00050B9B"/>
    <w:rsid w:val="0005112A"/>
    <w:rsid w:val="000513F3"/>
    <w:rsid w:val="000515A1"/>
    <w:rsid w:val="000517E4"/>
    <w:rsid w:val="00051875"/>
    <w:rsid w:val="000518C6"/>
    <w:rsid w:val="00051BE5"/>
    <w:rsid w:val="00051CE2"/>
    <w:rsid w:val="000520E9"/>
    <w:rsid w:val="00052287"/>
    <w:rsid w:val="000522E0"/>
    <w:rsid w:val="00052609"/>
    <w:rsid w:val="000527E2"/>
    <w:rsid w:val="00052F55"/>
    <w:rsid w:val="000532F4"/>
    <w:rsid w:val="00053624"/>
    <w:rsid w:val="000536AE"/>
    <w:rsid w:val="00053A2B"/>
    <w:rsid w:val="00053B50"/>
    <w:rsid w:val="000542FB"/>
    <w:rsid w:val="0005481F"/>
    <w:rsid w:val="00054824"/>
    <w:rsid w:val="00054846"/>
    <w:rsid w:val="000548E0"/>
    <w:rsid w:val="00054CD5"/>
    <w:rsid w:val="00054CEC"/>
    <w:rsid w:val="00054D03"/>
    <w:rsid w:val="00054D97"/>
    <w:rsid w:val="000550AC"/>
    <w:rsid w:val="0005556C"/>
    <w:rsid w:val="0005560C"/>
    <w:rsid w:val="0005580E"/>
    <w:rsid w:val="0005584D"/>
    <w:rsid w:val="000559EC"/>
    <w:rsid w:val="00055A30"/>
    <w:rsid w:val="00055CC3"/>
    <w:rsid w:val="00055CEE"/>
    <w:rsid w:val="00055D5C"/>
    <w:rsid w:val="00056483"/>
    <w:rsid w:val="000566FA"/>
    <w:rsid w:val="00056738"/>
    <w:rsid w:val="00056A2B"/>
    <w:rsid w:val="00056E37"/>
    <w:rsid w:val="00056EE2"/>
    <w:rsid w:val="00056FE2"/>
    <w:rsid w:val="000570FB"/>
    <w:rsid w:val="00057138"/>
    <w:rsid w:val="00057248"/>
    <w:rsid w:val="00057393"/>
    <w:rsid w:val="000573DF"/>
    <w:rsid w:val="000575B8"/>
    <w:rsid w:val="000577A9"/>
    <w:rsid w:val="00057941"/>
    <w:rsid w:val="00057F4D"/>
    <w:rsid w:val="00060131"/>
    <w:rsid w:val="00060171"/>
    <w:rsid w:val="0006026B"/>
    <w:rsid w:val="00060293"/>
    <w:rsid w:val="00060423"/>
    <w:rsid w:val="0006054F"/>
    <w:rsid w:val="00060AC5"/>
    <w:rsid w:val="00060FFC"/>
    <w:rsid w:val="0006141E"/>
    <w:rsid w:val="00061459"/>
    <w:rsid w:val="000616FA"/>
    <w:rsid w:val="00061739"/>
    <w:rsid w:val="0006194F"/>
    <w:rsid w:val="00061BDA"/>
    <w:rsid w:val="00061DA3"/>
    <w:rsid w:val="00062048"/>
    <w:rsid w:val="000620C2"/>
    <w:rsid w:val="000621FE"/>
    <w:rsid w:val="00062450"/>
    <w:rsid w:val="00062AD9"/>
    <w:rsid w:val="00062B90"/>
    <w:rsid w:val="00062C70"/>
    <w:rsid w:val="00062D01"/>
    <w:rsid w:val="00062DD0"/>
    <w:rsid w:val="00062E6F"/>
    <w:rsid w:val="000630C7"/>
    <w:rsid w:val="00063559"/>
    <w:rsid w:val="0006356A"/>
    <w:rsid w:val="000635B4"/>
    <w:rsid w:val="0006393C"/>
    <w:rsid w:val="00063AC3"/>
    <w:rsid w:val="00063D37"/>
    <w:rsid w:val="00063F70"/>
    <w:rsid w:val="0006400F"/>
    <w:rsid w:val="000643DA"/>
    <w:rsid w:val="000645DD"/>
    <w:rsid w:val="0006460A"/>
    <w:rsid w:val="00064901"/>
    <w:rsid w:val="00064CF9"/>
    <w:rsid w:val="00064D7E"/>
    <w:rsid w:val="00064F65"/>
    <w:rsid w:val="00064FD0"/>
    <w:rsid w:val="00064FE8"/>
    <w:rsid w:val="0006534A"/>
    <w:rsid w:val="0006577A"/>
    <w:rsid w:val="0006578E"/>
    <w:rsid w:val="00065A5D"/>
    <w:rsid w:val="00065BA2"/>
    <w:rsid w:val="00065E0D"/>
    <w:rsid w:val="00066184"/>
    <w:rsid w:val="000661CA"/>
    <w:rsid w:val="00066629"/>
    <w:rsid w:val="0006668D"/>
    <w:rsid w:val="00066791"/>
    <w:rsid w:val="00066B6C"/>
    <w:rsid w:val="00066F2B"/>
    <w:rsid w:val="00067002"/>
    <w:rsid w:val="0006710A"/>
    <w:rsid w:val="00067993"/>
    <w:rsid w:val="00067B1C"/>
    <w:rsid w:val="00067BB7"/>
    <w:rsid w:val="00067C7A"/>
    <w:rsid w:val="00067CED"/>
    <w:rsid w:val="00067D39"/>
    <w:rsid w:val="00067E8B"/>
    <w:rsid w:val="00067F66"/>
    <w:rsid w:val="0007041A"/>
    <w:rsid w:val="00070634"/>
    <w:rsid w:val="0007071D"/>
    <w:rsid w:val="00070883"/>
    <w:rsid w:val="000708CC"/>
    <w:rsid w:val="00070930"/>
    <w:rsid w:val="00070A8C"/>
    <w:rsid w:val="00070C3F"/>
    <w:rsid w:val="00070F50"/>
    <w:rsid w:val="00070F9F"/>
    <w:rsid w:val="00070FE4"/>
    <w:rsid w:val="0007102C"/>
    <w:rsid w:val="00071048"/>
    <w:rsid w:val="000710CB"/>
    <w:rsid w:val="000711A9"/>
    <w:rsid w:val="000714D3"/>
    <w:rsid w:val="000717D0"/>
    <w:rsid w:val="0007183E"/>
    <w:rsid w:val="000719C6"/>
    <w:rsid w:val="00071A96"/>
    <w:rsid w:val="00071AAD"/>
    <w:rsid w:val="00071C5E"/>
    <w:rsid w:val="00071D5C"/>
    <w:rsid w:val="00071D68"/>
    <w:rsid w:val="00071D82"/>
    <w:rsid w:val="00071DD2"/>
    <w:rsid w:val="00071FCE"/>
    <w:rsid w:val="000721BF"/>
    <w:rsid w:val="00072661"/>
    <w:rsid w:val="00072724"/>
    <w:rsid w:val="00072812"/>
    <w:rsid w:val="00072876"/>
    <w:rsid w:val="00072B29"/>
    <w:rsid w:val="00072BA6"/>
    <w:rsid w:val="00072CCC"/>
    <w:rsid w:val="00072E02"/>
    <w:rsid w:val="0007322F"/>
    <w:rsid w:val="00073549"/>
    <w:rsid w:val="00073661"/>
    <w:rsid w:val="00073A58"/>
    <w:rsid w:val="00073B06"/>
    <w:rsid w:val="00073B62"/>
    <w:rsid w:val="00073E0F"/>
    <w:rsid w:val="000740C1"/>
    <w:rsid w:val="000745D2"/>
    <w:rsid w:val="00074769"/>
    <w:rsid w:val="000747E1"/>
    <w:rsid w:val="0007483E"/>
    <w:rsid w:val="00074E1A"/>
    <w:rsid w:val="00074F9B"/>
    <w:rsid w:val="000751DB"/>
    <w:rsid w:val="000751E9"/>
    <w:rsid w:val="000756B4"/>
    <w:rsid w:val="000756C5"/>
    <w:rsid w:val="0007578F"/>
    <w:rsid w:val="000757CA"/>
    <w:rsid w:val="000759A3"/>
    <w:rsid w:val="00075CD8"/>
    <w:rsid w:val="00075E43"/>
    <w:rsid w:val="000760E2"/>
    <w:rsid w:val="00076CFC"/>
    <w:rsid w:val="00076DEF"/>
    <w:rsid w:val="0007700F"/>
    <w:rsid w:val="0007724C"/>
    <w:rsid w:val="000772B1"/>
    <w:rsid w:val="00077706"/>
    <w:rsid w:val="00077878"/>
    <w:rsid w:val="000779B0"/>
    <w:rsid w:val="00077C9E"/>
    <w:rsid w:val="00077DD1"/>
    <w:rsid w:val="00077DE2"/>
    <w:rsid w:val="00077F02"/>
    <w:rsid w:val="000800EE"/>
    <w:rsid w:val="000804EF"/>
    <w:rsid w:val="00080558"/>
    <w:rsid w:val="00080771"/>
    <w:rsid w:val="00080807"/>
    <w:rsid w:val="00080AA7"/>
    <w:rsid w:val="00081169"/>
    <w:rsid w:val="00081230"/>
    <w:rsid w:val="00081252"/>
    <w:rsid w:val="00081384"/>
    <w:rsid w:val="000814E1"/>
    <w:rsid w:val="000814E2"/>
    <w:rsid w:val="00081532"/>
    <w:rsid w:val="000818C9"/>
    <w:rsid w:val="00081CBB"/>
    <w:rsid w:val="00081D42"/>
    <w:rsid w:val="00081E46"/>
    <w:rsid w:val="000822AC"/>
    <w:rsid w:val="000822EF"/>
    <w:rsid w:val="0008241E"/>
    <w:rsid w:val="000826F5"/>
    <w:rsid w:val="000829B1"/>
    <w:rsid w:val="00082AAB"/>
    <w:rsid w:val="0008307D"/>
    <w:rsid w:val="000831E9"/>
    <w:rsid w:val="00083288"/>
    <w:rsid w:val="000833BB"/>
    <w:rsid w:val="000836C4"/>
    <w:rsid w:val="00083A03"/>
    <w:rsid w:val="00083AE9"/>
    <w:rsid w:val="00083B21"/>
    <w:rsid w:val="00083D33"/>
    <w:rsid w:val="00083EC8"/>
    <w:rsid w:val="00083F92"/>
    <w:rsid w:val="00083FC1"/>
    <w:rsid w:val="000840A6"/>
    <w:rsid w:val="000840D9"/>
    <w:rsid w:val="00084211"/>
    <w:rsid w:val="0008452D"/>
    <w:rsid w:val="000845A5"/>
    <w:rsid w:val="0008467B"/>
    <w:rsid w:val="000846E2"/>
    <w:rsid w:val="00084B6F"/>
    <w:rsid w:val="00084F1F"/>
    <w:rsid w:val="00084F7A"/>
    <w:rsid w:val="00084FBF"/>
    <w:rsid w:val="000850FA"/>
    <w:rsid w:val="0008556B"/>
    <w:rsid w:val="0008597F"/>
    <w:rsid w:val="00085C12"/>
    <w:rsid w:val="00085DA0"/>
    <w:rsid w:val="00085E04"/>
    <w:rsid w:val="00085F82"/>
    <w:rsid w:val="00086506"/>
    <w:rsid w:val="00086897"/>
    <w:rsid w:val="00086B6E"/>
    <w:rsid w:val="00086C64"/>
    <w:rsid w:val="00086CAA"/>
    <w:rsid w:val="00086D8B"/>
    <w:rsid w:val="00087486"/>
    <w:rsid w:val="00087654"/>
    <w:rsid w:val="0008781A"/>
    <w:rsid w:val="00087A9D"/>
    <w:rsid w:val="00087AB0"/>
    <w:rsid w:val="00087DF0"/>
    <w:rsid w:val="00090951"/>
    <w:rsid w:val="00090A61"/>
    <w:rsid w:val="00090C80"/>
    <w:rsid w:val="00090C83"/>
    <w:rsid w:val="00090F08"/>
    <w:rsid w:val="000912DD"/>
    <w:rsid w:val="000917E6"/>
    <w:rsid w:val="000918F5"/>
    <w:rsid w:val="000919B5"/>
    <w:rsid w:val="00091A27"/>
    <w:rsid w:val="00091C1D"/>
    <w:rsid w:val="00091D7D"/>
    <w:rsid w:val="00091E08"/>
    <w:rsid w:val="00091E29"/>
    <w:rsid w:val="00092128"/>
    <w:rsid w:val="000922D8"/>
    <w:rsid w:val="00092D8E"/>
    <w:rsid w:val="000932E7"/>
    <w:rsid w:val="0009333A"/>
    <w:rsid w:val="00093459"/>
    <w:rsid w:val="000934B0"/>
    <w:rsid w:val="00093A2B"/>
    <w:rsid w:val="00093B8B"/>
    <w:rsid w:val="00093CBF"/>
    <w:rsid w:val="00093D39"/>
    <w:rsid w:val="00093DF0"/>
    <w:rsid w:val="00094045"/>
    <w:rsid w:val="00094218"/>
    <w:rsid w:val="000942EA"/>
    <w:rsid w:val="0009454B"/>
    <w:rsid w:val="00094EF9"/>
    <w:rsid w:val="000951E7"/>
    <w:rsid w:val="000954AE"/>
    <w:rsid w:val="00095589"/>
    <w:rsid w:val="00095702"/>
    <w:rsid w:val="00095B82"/>
    <w:rsid w:val="00095DED"/>
    <w:rsid w:val="00096098"/>
    <w:rsid w:val="000961C5"/>
    <w:rsid w:val="000964F3"/>
    <w:rsid w:val="000965DA"/>
    <w:rsid w:val="000966D9"/>
    <w:rsid w:val="000968AF"/>
    <w:rsid w:val="000968CE"/>
    <w:rsid w:val="000969D9"/>
    <w:rsid w:val="00096D43"/>
    <w:rsid w:val="00096F37"/>
    <w:rsid w:val="00097142"/>
    <w:rsid w:val="00097242"/>
    <w:rsid w:val="0009759A"/>
    <w:rsid w:val="000975A5"/>
    <w:rsid w:val="00097612"/>
    <w:rsid w:val="000977A6"/>
    <w:rsid w:val="00097BED"/>
    <w:rsid w:val="00097D13"/>
    <w:rsid w:val="00097FE5"/>
    <w:rsid w:val="000A005B"/>
    <w:rsid w:val="000A0354"/>
    <w:rsid w:val="000A0355"/>
    <w:rsid w:val="000A05D7"/>
    <w:rsid w:val="000A067D"/>
    <w:rsid w:val="000A091F"/>
    <w:rsid w:val="000A0958"/>
    <w:rsid w:val="000A0F4D"/>
    <w:rsid w:val="000A0FCC"/>
    <w:rsid w:val="000A1033"/>
    <w:rsid w:val="000A170E"/>
    <w:rsid w:val="000A197C"/>
    <w:rsid w:val="000A1A2D"/>
    <w:rsid w:val="000A1D71"/>
    <w:rsid w:val="000A2076"/>
    <w:rsid w:val="000A2712"/>
    <w:rsid w:val="000A2877"/>
    <w:rsid w:val="000A28F5"/>
    <w:rsid w:val="000A2B99"/>
    <w:rsid w:val="000A2D31"/>
    <w:rsid w:val="000A30CB"/>
    <w:rsid w:val="000A331E"/>
    <w:rsid w:val="000A34F4"/>
    <w:rsid w:val="000A34F6"/>
    <w:rsid w:val="000A355D"/>
    <w:rsid w:val="000A35DA"/>
    <w:rsid w:val="000A365C"/>
    <w:rsid w:val="000A371E"/>
    <w:rsid w:val="000A385B"/>
    <w:rsid w:val="000A3AF3"/>
    <w:rsid w:val="000A3B7D"/>
    <w:rsid w:val="000A3DE5"/>
    <w:rsid w:val="000A3FB0"/>
    <w:rsid w:val="000A4011"/>
    <w:rsid w:val="000A4385"/>
    <w:rsid w:val="000A4397"/>
    <w:rsid w:val="000A45D5"/>
    <w:rsid w:val="000A4838"/>
    <w:rsid w:val="000A490E"/>
    <w:rsid w:val="000A4BF3"/>
    <w:rsid w:val="000A5184"/>
    <w:rsid w:val="000A58E2"/>
    <w:rsid w:val="000A5B49"/>
    <w:rsid w:val="000A5C65"/>
    <w:rsid w:val="000A5F0F"/>
    <w:rsid w:val="000A5FE5"/>
    <w:rsid w:val="000A688F"/>
    <w:rsid w:val="000A6A46"/>
    <w:rsid w:val="000A6B92"/>
    <w:rsid w:val="000A7099"/>
    <w:rsid w:val="000A7218"/>
    <w:rsid w:val="000A740A"/>
    <w:rsid w:val="000A743E"/>
    <w:rsid w:val="000A7446"/>
    <w:rsid w:val="000A76C4"/>
    <w:rsid w:val="000A7A1B"/>
    <w:rsid w:val="000A7A56"/>
    <w:rsid w:val="000A7E7F"/>
    <w:rsid w:val="000A7ECD"/>
    <w:rsid w:val="000A7F3D"/>
    <w:rsid w:val="000B006C"/>
    <w:rsid w:val="000B01F2"/>
    <w:rsid w:val="000B0335"/>
    <w:rsid w:val="000B03BC"/>
    <w:rsid w:val="000B044A"/>
    <w:rsid w:val="000B04DD"/>
    <w:rsid w:val="000B0677"/>
    <w:rsid w:val="000B07E2"/>
    <w:rsid w:val="000B0BC9"/>
    <w:rsid w:val="000B0BEC"/>
    <w:rsid w:val="000B0C27"/>
    <w:rsid w:val="000B0F01"/>
    <w:rsid w:val="000B0F1E"/>
    <w:rsid w:val="000B0FC3"/>
    <w:rsid w:val="000B12F5"/>
    <w:rsid w:val="000B1346"/>
    <w:rsid w:val="000B13DF"/>
    <w:rsid w:val="000B175E"/>
    <w:rsid w:val="000B1795"/>
    <w:rsid w:val="000B180D"/>
    <w:rsid w:val="000B1914"/>
    <w:rsid w:val="000B19DC"/>
    <w:rsid w:val="000B1CA2"/>
    <w:rsid w:val="000B1E1A"/>
    <w:rsid w:val="000B202E"/>
    <w:rsid w:val="000B2293"/>
    <w:rsid w:val="000B22D7"/>
    <w:rsid w:val="000B240A"/>
    <w:rsid w:val="000B24A4"/>
    <w:rsid w:val="000B255A"/>
    <w:rsid w:val="000B255C"/>
    <w:rsid w:val="000B259D"/>
    <w:rsid w:val="000B2648"/>
    <w:rsid w:val="000B264F"/>
    <w:rsid w:val="000B275D"/>
    <w:rsid w:val="000B2808"/>
    <w:rsid w:val="000B292B"/>
    <w:rsid w:val="000B2AB0"/>
    <w:rsid w:val="000B3328"/>
    <w:rsid w:val="000B3531"/>
    <w:rsid w:val="000B361C"/>
    <w:rsid w:val="000B395E"/>
    <w:rsid w:val="000B39C3"/>
    <w:rsid w:val="000B3A00"/>
    <w:rsid w:val="000B3BFD"/>
    <w:rsid w:val="000B3F4B"/>
    <w:rsid w:val="000B40E6"/>
    <w:rsid w:val="000B4322"/>
    <w:rsid w:val="000B4840"/>
    <w:rsid w:val="000B48B7"/>
    <w:rsid w:val="000B4D79"/>
    <w:rsid w:val="000B4D92"/>
    <w:rsid w:val="000B4E9D"/>
    <w:rsid w:val="000B525F"/>
    <w:rsid w:val="000B533B"/>
    <w:rsid w:val="000B53D5"/>
    <w:rsid w:val="000B55C8"/>
    <w:rsid w:val="000B5627"/>
    <w:rsid w:val="000B5671"/>
    <w:rsid w:val="000B5BE1"/>
    <w:rsid w:val="000B5D50"/>
    <w:rsid w:val="000B5D67"/>
    <w:rsid w:val="000B616E"/>
    <w:rsid w:val="000B6557"/>
    <w:rsid w:val="000B6BF0"/>
    <w:rsid w:val="000B6CE8"/>
    <w:rsid w:val="000B7AE2"/>
    <w:rsid w:val="000B7BC3"/>
    <w:rsid w:val="000B7C16"/>
    <w:rsid w:val="000B7DAF"/>
    <w:rsid w:val="000B7EAE"/>
    <w:rsid w:val="000C01A9"/>
    <w:rsid w:val="000C044C"/>
    <w:rsid w:val="000C0520"/>
    <w:rsid w:val="000C060A"/>
    <w:rsid w:val="000C071C"/>
    <w:rsid w:val="000C093E"/>
    <w:rsid w:val="000C09B4"/>
    <w:rsid w:val="000C0BB4"/>
    <w:rsid w:val="000C0BEE"/>
    <w:rsid w:val="000C0D02"/>
    <w:rsid w:val="000C0F26"/>
    <w:rsid w:val="000C1027"/>
    <w:rsid w:val="000C1212"/>
    <w:rsid w:val="000C126A"/>
    <w:rsid w:val="000C1294"/>
    <w:rsid w:val="000C15CB"/>
    <w:rsid w:val="000C193C"/>
    <w:rsid w:val="000C19A9"/>
    <w:rsid w:val="000C1CB9"/>
    <w:rsid w:val="000C2159"/>
    <w:rsid w:val="000C21BB"/>
    <w:rsid w:val="000C289B"/>
    <w:rsid w:val="000C2DD9"/>
    <w:rsid w:val="000C2F0B"/>
    <w:rsid w:val="000C2F85"/>
    <w:rsid w:val="000C34B8"/>
    <w:rsid w:val="000C3967"/>
    <w:rsid w:val="000C3DEE"/>
    <w:rsid w:val="000C3ED8"/>
    <w:rsid w:val="000C3EFA"/>
    <w:rsid w:val="000C3F01"/>
    <w:rsid w:val="000C420D"/>
    <w:rsid w:val="000C4773"/>
    <w:rsid w:val="000C4944"/>
    <w:rsid w:val="000C4A44"/>
    <w:rsid w:val="000C4E24"/>
    <w:rsid w:val="000C5163"/>
    <w:rsid w:val="000C537D"/>
    <w:rsid w:val="000C5412"/>
    <w:rsid w:val="000C559C"/>
    <w:rsid w:val="000C574C"/>
    <w:rsid w:val="000C5A72"/>
    <w:rsid w:val="000C5C4A"/>
    <w:rsid w:val="000C5C87"/>
    <w:rsid w:val="000C5DE5"/>
    <w:rsid w:val="000C5F01"/>
    <w:rsid w:val="000C6010"/>
    <w:rsid w:val="000C63C4"/>
    <w:rsid w:val="000C66C1"/>
    <w:rsid w:val="000C674D"/>
    <w:rsid w:val="000C6F0B"/>
    <w:rsid w:val="000C6F32"/>
    <w:rsid w:val="000C708E"/>
    <w:rsid w:val="000C726D"/>
    <w:rsid w:val="000C752B"/>
    <w:rsid w:val="000C75A9"/>
    <w:rsid w:val="000C778C"/>
    <w:rsid w:val="000C7819"/>
    <w:rsid w:val="000C7833"/>
    <w:rsid w:val="000C7AB8"/>
    <w:rsid w:val="000C7DFB"/>
    <w:rsid w:val="000C7E1B"/>
    <w:rsid w:val="000C7E73"/>
    <w:rsid w:val="000C7EBC"/>
    <w:rsid w:val="000D001B"/>
    <w:rsid w:val="000D030D"/>
    <w:rsid w:val="000D044F"/>
    <w:rsid w:val="000D0560"/>
    <w:rsid w:val="000D0784"/>
    <w:rsid w:val="000D07F3"/>
    <w:rsid w:val="000D0A45"/>
    <w:rsid w:val="000D0ABC"/>
    <w:rsid w:val="000D0C7F"/>
    <w:rsid w:val="000D128C"/>
    <w:rsid w:val="000D136E"/>
    <w:rsid w:val="000D14AC"/>
    <w:rsid w:val="000D15BA"/>
    <w:rsid w:val="000D184B"/>
    <w:rsid w:val="000D1A13"/>
    <w:rsid w:val="000D1A35"/>
    <w:rsid w:val="000D1BDB"/>
    <w:rsid w:val="000D1D3E"/>
    <w:rsid w:val="000D1EE3"/>
    <w:rsid w:val="000D1F90"/>
    <w:rsid w:val="000D20B7"/>
    <w:rsid w:val="000D29F5"/>
    <w:rsid w:val="000D2C9B"/>
    <w:rsid w:val="000D2DF8"/>
    <w:rsid w:val="000D35FD"/>
    <w:rsid w:val="000D372E"/>
    <w:rsid w:val="000D3D2D"/>
    <w:rsid w:val="000D3D99"/>
    <w:rsid w:val="000D3F34"/>
    <w:rsid w:val="000D43F4"/>
    <w:rsid w:val="000D4653"/>
    <w:rsid w:val="000D4696"/>
    <w:rsid w:val="000D46BA"/>
    <w:rsid w:val="000D4817"/>
    <w:rsid w:val="000D4A5C"/>
    <w:rsid w:val="000D4FB9"/>
    <w:rsid w:val="000D5127"/>
    <w:rsid w:val="000D54B4"/>
    <w:rsid w:val="000D54F8"/>
    <w:rsid w:val="000D5630"/>
    <w:rsid w:val="000D584B"/>
    <w:rsid w:val="000D5AFF"/>
    <w:rsid w:val="000D5EB5"/>
    <w:rsid w:val="000D5F55"/>
    <w:rsid w:val="000D5F9E"/>
    <w:rsid w:val="000D6372"/>
    <w:rsid w:val="000D6801"/>
    <w:rsid w:val="000D682D"/>
    <w:rsid w:val="000D6979"/>
    <w:rsid w:val="000D6A6F"/>
    <w:rsid w:val="000D6B59"/>
    <w:rsid w:val="000D6B66"/>
    <w:rsid w:val="000D6CE7"/>
    <w:rsid w:val="000D6DC5"/>
    <w:rsid w:val="000D6E38"/>
    <w:rsid w:val="000D6E63"/>
    <w:rsid w:val="000D706E"/>
    <w:rsid w:val="000D711C"/>
    <w:rsid w:val="000D7137"/>
    <w:rsid w:val="000D737F"/>
    <w:rsid w:val="000D738B"/>
    <w:rsid w:val="000D748C"/>
    <w:rsid w:val="000D7551"/>
    <w:rsid w:val="000D7591"/>
    <w:rsid w:val="000D78BB"/>
    <w:rsid w:val="000D7B6E"/>
    <w:rsid w:val="000D7F05"/>
    <w:rsid w:val="000D7FBB"/>
    <w:rsid w:val="000E02C0"/>
    <w:rsid w:val="000E042A"/>
    <w:rsid w:val="000E057B"/>
    <w:rsid w:val="000E062F"/>
    <w:rsid w:val="000E0644"/>
    <w:rsid w:val="000E076D"/>
    <w:rsid w:val="000E0AD0"/>
    <w:rsid w:val="000E0CD2"/>
    <w:rsid w:val="000E15D2"/>
    <w:rsid w:val="000E187C"/>
    <w:rsid w:val="000E1881"/>
    <w:rsid w:val="000E1B28"/>
    <w:rsid w:val="000E1B78"/>
    <w:rsid w:val="000E1DD2"/>
    <w:rsid w:val="000E1E8D"/>
    <w:rsid w:val="000E1EBC"/>
    <w:rsid w:val="000E2173"/>
    <w:rsid w:val="000E220B"/>
    <w:rsid w:val="000E22BD"/>
    <w:rsid w:val="000E250D"/>
    <w:rsid w:val="000E2A50"/>
    <w:rsid w:val="000E2E2F"/>
    <w:rsid w:val="000E30F2"/>
    <w:rsid w:val="000E3140"/>
    <w:rsid w:val="000E316B"/>
    <w:rsid w:val="000E352C"/>
    <w:rsid w:val="000E3D08"/>
    <w:rsid w:val="000E444C"/>
    <w:rsid w:val="000E4713"/>
    <w:rsid w:val="000E4728"/>
    <w:rsid w:val="000E4762"/>
    <w:rsid w:val="000E47C6"/>
    <w:rsid w:val="000E4A79"/>
    <w:rsid w:val="000E4C21"/>
    <w:rsid w:val="000E4D1F"/>
    <w:rsid w:val="000E4D2E"/>
    <w:rsid w:val="000E4F67"/>
    <w:rsid w:val="000E517C"/>
    <w:rsid w:val="000E5658"/>
    <w:rsid w:val="000E568B"/>
    <w:rsid w:val="000E5698"/>
    <w:rsid w:val="000E5723"/>
    <w:rsid w:val="000E581B"/>
    <w:rsid w:val="000E58B4"/>
    <w:rsid w:val="000E5C83"/>
    <w:rsid w:val="000E5CD2"/>
    <w:rsid w:val="000E5F44"/>
    <w:rsid w:val="000E6010"/>
    <w:rsid w:val="000E6336"/>
    <w:rsid w:val="000E65D2"/>
    <w:rsid w:val="000E6919"/>
    <w:rsid w:val="000E6943"/>
    <w:rsid w:val="000E6B1B"/>
    <w:rsid w:val="000E6F0C"/>
    <w:rsid w:val="000E6FE3"/>
    <w:rsid w:val="000E702F"/>
    <w:rsid w:val="000E7253"/>
    <w:rsid w:val="000E732D"/>
    <w:rsid w:val="000E73F1"/>
    <w:rsid w:val="000E7405"/>
    <w:rsid w:val="000E7F32"/>
    <w:rsid w:val="000F0106"/>
    <w:rsid w:val="000F0262"/>
    <w:rsid w:val="000F07ED"/>
    <w:rsid w:val="000F0AB9"/>
    <w:rsid w:val="000F0C69"/>
    <w:rsid w:val="000F0CF2"/>
    <w:rsid w:val="000F13DF"/>
    <w:rsid w:val="000F14D9"/>
    <w:rsid w:val="000F14F6"/>
    <w:rsid w:val="000F1777"/>
    <w:rsid w:val="000F1A32"/>
    <w:rsid w:val="000F1C1E"/>
    <w:rsid w:val="000F1CC2"/>
    <w:rsid w:val="000F1D15"/>
    <w:rsid w:val="000F1E30"/>
    <w:rsid w:val="000F1E67"/>
    <w:rsid w:val="000F24E6"/>
    <w:rsid w:val="000F270A"/>
    <w:rsid w:val="000F27BF"/>
    <w:rsid w:val="000F2C4A"/>
    <w:rsid w:val="000F2EE8"/>
    <w:rsid w:val="000F34C8"/>
    <w:rsid w:val="000F36A5"/>
    <w:rsid w:val="000F38B5"/>
    <w:rsid w:val="000F38BC"/>
    <w:rsid w:val="000F3B06"/>
    <w:rsid w:val="000F3DAD"/>
    <w:rsid w:val="000F3DD1"/>
    <w:rsid w:val="000F3E2A"/>
    <w:rsid w:val="000F41E4"/>
    <w:rsid w:val="000F423E"/>
    <w:rsid w:val="000F42C5"/>
    <w:rsid w:val="000F45A5"/>
    <w:rsid w:val="000F464D"/>
    <w:rsid w:val="000F46F6"/>
    <w:rsid w:val="000F477D"/>
    <w:rsid w:val="000F4CFA"/>
    <w:rsid w:val="000F4D26"/>
    <w:rsid w:val="000F4D91"/>
    <w:rsid w:val="000F4EF5"/>
    <w:rsid w:val="000F50B7"/>
    <w:rsid w:val="000F5306"/>
    <w:rsid w:val="000F547E"/>
    <w:rsid w:val="000F5639"/>
    <w:rsid w:val="000F56AE"/>
    <w:rsid w:val="000F571E"/>
    <w:rsid w:val="000F583A"/>
    <w:rsid w:val="000F58A4"/>
    <w:rsid w:val="000F5941"/>
    <w:rsid w:val="000F5B2C"/>
    <w:rsid w:val="000F5B9F"/>
    <w:rsid w:val="000F6086"/>
    <w:rsid w:val="000F65DA"/>
    <w:rsid w:val="000F6658"/>
    <w:rsid w:val="000F6833"/>
    <w:rsid w:val="000F6A24"/>
    <w:rsid w:val="000F6AE0"/>
    <w:rsid w:val="000F6BB6"/>
    <w:rsid w:val="000F6FEC"/>
    <w:rsid w:val="000F74AF"/>
    <w:rsid w:val="000F7508"/>
    <w:rsid w:val="000F7610"/>
    <w:rsid w:val="000F7616"/>
    <w:rsid w:val="000F7DE9"/>
    <w:rsid w:val="000F7E84"/>
    <w:rsid w:val="000F7F7A"/>
    <w:rsid w:val="0010004B"/>
    <w:rsid w:val="00100168"/>
    <w:rsid w:val="0010026C"/>
    <w:rsid w:val="001002F4"/>
    <w:rsid w:val="00100409"/>
    <w:rsid w:val="001004BB"/>
    <w:rsid w:val="001005B4"/>
    <w:rsid w:val="0010065B"/>
    <w:rsid w:val="001007B5"/>
    <w:rsid w:val="001008A8"/>
    <w:rsid w:val="00101077"/>
    <w:rsid w:val="001011FC"/>
    <w:rsid w:val="0010165F"/>
    <w:rsid w:val="001018B1"/>
    <w:rsid w:val="001018C1"/>
    <w:rsid w:val="00101A33"/>
    <w:rsid w:val="00101B81"/>
    <w:rsid w:val="00101E7C"/>
    <w:rsid w:val="0010221F"/>
    <w:rsid w:val="00102260"/>
    <w:rsid w:val="001023DC"/>
    <w:rsid w:val="0010256D"/>
    <w:rsid w:val="00102572"/>
    <w:rsid w:val="00102787"/>
    <w:rsid w:val="00102946"/>
    <w:rsid w:val="00102BBE"/>
    <w:rsid w:val="00102FBF"/>
    <w:rsid w:val="001030E6"/>
    <w:rsid w:val="00103168"/>
    <w:rsid w:val="001032E3"/>
    <w:rsid w:val="001032F8"/>
    <w:rsid w:val="0010333D"/>
    <w:rsid w:val="0010372A"/>
    <w:rsid w:val="0010392E"/>
    <w:rsid w:val="00103A00"/>
    <w:rsid w:val="00103A56"/>
    <w:rsid w:val="00103A74"/>
    <w:rsid w:val="00103C98"/>
    <w:rsid w:val="00103F41"/>
    <w:rsid w:val="001044C8"/>
    <w:rsid w:val="0010467D"/>
    <w:rsid w:val="001048DB"/>
    <w:rsid w:val="001048FC"/>
    <w:rsid w:val="00104934"/>
    <w:rsid w:val="00104D42"/>
    <w:rsid w:val="00104E77"/>
    <w:rsid w:val="00104F34"/>
    <w:rsid w:val="00104F3E"/>
    <w:rsid w:val="001052F9"/>
    <w:rsid w:val="00105338"/>
    <w:rsid w:val="001053C5"/>
    <w:rsid w:val="001053CB"/>
    <w:rsid w:val="0010555A"/>
    <w:rsid w:val="001055AD"/>
    <w:rsid w:val="001056DC"/>
    <w:rsid w:val="001057CF"/>
    <w:rsid w:val="00105C14"/>
    <w:rsid w:val="00105DFB"/>
    <w:rsid w:val="001061AF"/>
    <w:rsid w:val="00106436"/>
    <w:rsid w:val="001065A3"/>
    <w:rsid w:val="00106727"/>
    <w:rsid w:val="00106730"/>
    <w:rsid w:val="0010691D"/>
    <w:rsid w:val="00106A13"/>
    <w:rsid w:val="00106B33"/>
    <w:rsid w:val="00106BC3"/>
    <w:rsid w:val="00106E69"/>
    <w:rsid w:val="0010716D"/>
    <w:rsid w:val="0010762F"/>
    <w:rsid w:val="00107E9D"/>
    <w:rsid w:val="00110067"/>
    <w:rsid w:val="00110101"/>
    <w:rsid w:val="001104A2"/>
    <w:rsid w:val="00110749"/>
    <w:rsid w:val="00110922"/>
    <w:rsid w:val="00110AC5"/>
    <w:rsid w:val="00110D16"/>
    <w:rsid w:val="00110F0B"/>
    <w:rsid w:val="0011102B"/>
    <w:rsid w:val="0011108B"/>
    <w:rsid w:val="00111136"/>
    <w:rsid w:val="00111164"/>
    <w:rsid w:val="00111648"/>
    <w:rsid w:val="00111761"/>
    <w:rsid w:val="00112164"/>
    <w:rsid w:val="0011241F"/>
    <w:rsid w:val="001128BF"/>
    <w:rsid w:val="00112B39"/>
    <w:rsid w:val="00112D09"/>
    <w:rsid w:val="00112F03"/>
    <w:rsid w:val="00112F38"/>
    <w:rsid w:val="001133B3"/>
    <w:rsid w:val="001136F0"/>
    <w:rsid w:val="00113821"/>
    <w:rsid w:val="0011386E"/>
    <w:rsid w:val="0011394B"/>
    <w:rsid w:val="0011396C"/>
    <w:rsid w:val="001139B1"/>
    <w:rsid w:val="00113CEE"/>
    <w:rsid w:val="00113F7B"/>
    <w:rsid w:val="00114058"/>
    <w:rsid w:val="00114251"/>
    <w:rsid w:val="00114330"/>
    <w:rsid w:val="00114342"/>
    <w:rsid w:val="0011449E"/>
    <w:rsid w:val="001145C0"/>
    <w:rsid w:val="001145E2"/>
    <w:rsid w:val="001149BA"/>
    <w:rsid w:val="00115023"/>
    <w:rsid w:val="001153EF"/>
    <w:rsid w:val="00115647"/>
    <w:rsid w:val="00115810"/>
    <w:rsid w:val="00115D55"/>
    <w:rsid w:val="00115E15"/>
    <w:rsid w:val="00115E45"/>
    <w:rsid w:val="00115F15"/>
    <w:rsid w:val="00115F85"/>
    <w:rsid w:val="00115FD1"/>
    <w:rsid w:val="001162DE"/>
    <w:rsid w:val="0011646A"/>
    <w:rsid w:val="001165CC"/>
    <w:rsid w:val="0011688E"/>
    <w:rsid w:val="001168D5"/>
    <w:rsid w:val="00116ACD"/>
    <w:rsid w:val="00116EBA"/>
    <w:rsid w:val="00116FD7"/>
    <w:rsid w:val="0011755A"/>
    <w:rsid w:val="00117603"/>
    <w:rsid w:val="001176E7"/>
    <w:rsid w:val="00117967"/>
    <w:rsid w:val="00117B56"/>
    <w:rsid w:val="00117B7D"/>
    <w:rsid w:val="00117EB6"/>
    <w:rsid w:val="0012027C"/>
    <w:rsid w:val="001205A8"/>
    <w:rsid w:val="00120698"/>
    <w:rsid w:val="001206C7"/>
    <w:rsid w:val="001206D6"/>
    <w:rsid w:val="00120813"/>
    <w:rsid w:val="00120948"/>
    <w:rsid w:val="00120EFC"/>
    <w:rsid w:val="0012106B"/>
    <w:rsid w:val="001211D6"/>
    <w:rsid w:val="00121231"/>
    <w:rsid w:val="0012127B"/>
    <w:rsid w:val="001212AB"/>
    <w:rsid w:val="00121329"/>
    <w:rsid w:val="001213AA"/>
    <w:rsid w:val="001213E4"/>
    <w:rsid w:val="0012158C"/>
    <w:rsid w:val="0012180B"/>
    <w:rsid w:val="00121B62"/>
    <w:rsid w:val="001220D9"/>
    <w:rsid w:val="00122621"/>
    <w:rsid w:val="00122A64"/>
    <w:rsid w:val="00123641"/>
    <w:rsid w:val="00123818"/>
    <w:rsid w:val="0012388A"/>
    <w:rsid w:val="0012388C"/>
    <w:rsid w:val="00123AFA"/>
    <w:rsid w:val="00123C8C"/>
    <w:rsid w:val="00123D68"/>
    <w:rsid w:val="00123E8B"/>
    <w:rsid w:val="00124457"/>
    <w:rsid w:val="001247B8"/>
    <w:rsid w:val="00124B43"/>
    <w:rsid w:val="00124DD2"/>
    <w:rsid w:val="00124DF8"/>
    <w:rsid w:val="00125396"/>
    <w:rsid w:val="001253EA"/>
    <w:rsid w:val="0012567E"/>
    <w:rsid w:val="0012584D"/>
    <w:rsid w:val="00125B99"/>
    <w:rsid w:val="00125C2C"/>
    <w:rsid w:val="00126160"/>
    <w:rsid w:val="0012646F"/>
    <w:rsid w:val="001266D6"/>
    <w:rsid w:val="001266ED"/>
    <w:rsid w:val="001267FD"/>
    <w:rsid w:val="00126D0C"/>
    <w:rsid w:val="00126D29"/>
    <w:rsid w:val="00126DB5"/>
    <w:rsid w:val="00126E7C"/>
    <w:rsid w:val="00127178"/>
    <w:rsid w:val="001273C9"/>
    <w:rsid w:val="00127674"/>
    <w:rsid w:val="00127D2B"/>
    <w:rsid w:val="00127DAD"/>
    <w:rsid w:val="00127F09"/>
    <w:rsid w:val="0013002A"/>
    <w:rsid w:val="00130221"/>
    <w:rsid w:val="0013037B"/>
    <w:rsid w:val="0013085D"/>
    <w:rsid w:val="0013089C"/>
    <w:rsid w:val="00130A2D"/>
    <w:rsid w:val="00130A99"/>
    <w:rsid w:val="00130D57"/>
    <w:rsid w:val="00130F0B"/>
    <w:rsid w:val="00130F54"/>
    <w:rsid w:val="00130FCB"/>
    <w:rsid w:val="001313E0"/>
    <w:rsid w:val="00131587"/>
    <w:rsid w:val="00131888"/>
    <w:rsid w:val="001319CA"/>
    <w:rsid w:val="00131B46"/>
    <w:rsid w:val="00131F17"/>
    <w:rsid w:val="00131F52"/>
    <w:rsid w:val="001323F9"/>
    <w:rsid w:val="0013251F"/>
    <w:rsid w:val="00132825"/>
    <w:rsid w:val="00132B6C"/>
    <w:rsid w:val="00132C9C"/>
    <w:rsid w:val="00132FA3"/>
    <w:rsid w:val="00133088"/>
    <w:rsid w:val="001332D2"/>
    <w:rsid w:val="00133346"/>
    <w:rsid w:val="001333ED"/>
    <w:rsid w:val="001335B1"/>
    <w:rsid w:val="0013370A"/>
    <w:rsid w:val="0013372D"/>
    <w:rsid w:val="00133733"/>
    <w:rsid w:val="0013375D"/>
    <w:rsid w:val="00133B4E"/>
    <w:rsid w:val="00133C44"/>
    <w:rsid w:val="00133D47"/>
    <w:rsid w:val="00133F01"/>
    <w:rsid w:val="00134666"/>
    <w:rsid w:val="001346AF"/>
    <w:rsid w:val="0013486A"/>
    <w:rsid w:val="00134990"/>
    <w:rsid w:val="00134AD9"/>
    <w:rsid w:val="00134D98"/>
    <w:rsid w:val="00134FD9"/>
    <w:rsid w:val="001350AC"/>
    <w:rsid w:val="001350FF"/>
    <w:rsid w:val="00135416"/>
    <w:rsid w:val="00135494"/>
    <w:rsid w:val="001354B3"/>
    <w:rsid w:val="001354D1"/>
    <w:rsid w:val="001355E7"/>
    <w:rsid w:val="00135A0A"/>
    <w:rsid w:val="00135BB9"/>
    <w:rsid w:val="00135CD6"/>
    <w:rsid w:val="0013621D"/>
    <w:rsid w:val="00136354"/>
    <w:rsid w:val="00136674"/>
    <w:rsid w:val="001369F5"/>
    <w:rsid w:val="00136B0E"/>
    <w:rsid w:val="00136C3B"/>
    <w:rsid w:val="00136CF3"/>
    <w:rsid w:val="00137103"/>
    <w:rsid w:val="001373DE"/>
    <w:rsid w:val="0013753B"/>
    <w:rsid w:val="00137543"/>
    <w:rsid w:val="001376AB"/>
    <w:rsid w:val="0013777C"/>
    <w:rsid w:val="001378E0"/>
    <w:rsid w:val="00137B7A"/>
    <w:rsid w:val="00137D5F"/>
    <w:rsid w:val="00137D93"/>
    <w:rsid w:val="00137E95"/>
    <w:rsid w:val="00140082"/>
    <w:rsid w:val="00140175"/>
    <w:rsid w:val="00140253"/>
    <w:rsid w:val="0014036B"/>
    <w:rsid w:val="0014040A"/>
    <w:rsid w:val="0014073C"/>
    <w:rsid w:val="00140757"/>
    <w:rsid w:val="0014082D"/>
    <w:rsid w:val="00140987"/>
    <w:rsid w:val="00140B62"/>
    <w:rsid w:val="00140D07"/>
    <w:rsid w:val="00140F86"/>
    <w:rsid w:val="00140F9F"/>
    <w:rsid w:val="00141398"/>
    <w:rsid w:val="001416CF"/>
    <w:rsid w:val="00141A3A"/>
    <w:rsid w:val="00141B6E"/>
    <w:rsid w:val="00142239"/>
    <w:rsid w:val="001422F4"/>
    <w:rsid w:val="001423FA"/>
    <w:rsid w:val="001427B5"/>
    <w:rsid w:val="001428CF"/>
    <w:rsid w:val="00142D0C"/>
    <w:rsid w:val="00142DB7"/>
    <w:rsid w:val="00142E3C"/>
    <w:rsid w:val="001431B2"/>
    <w:rsid w:val="001434F8"/>
    <w:rsid w:val="001436A2"/>
    <w:rsid w:val="001436B8"/>
    <w:rsid w:val="001437C8"/>
    <w:rsid w:val="00143B54"/>
    <w:rsid w:val="00144013"/>
    <w:rsid w:val="00144362"/>
    <w:rsid w:val="00144659"/>
    <w:rsid w:val="00144898"/>
    <w:rsid w:val="00144A99"/>
    <w:rsid w:val="00144E3F"/>
    <w:rsid w:val="001453AC"/>
    <w:rsid w:val="001454B8"/>
    <w:rsid w:val="00145A17"/>
    <w:rsid w:val="00145BBE"/>
    <w:rsid w:val="00145D7F"/>
    <w:rsid w:val="00145DD4"/>
    <w:rsid w:val="00145DE0"/>
    <w:rsid w:val="00145F81"/>
    <w:rsid w:val="001460B5"/>
    <w:rsid w:val="00146372"/>
    <w:rsid w:val="0014641F"/>
    <w:rsid w:val="001464A8"/>
    <w:rsid w:val="00146618"/>
    <w:rsid w:val="001467BB"/>
    <w:rsid w:val="00146917"/>
    <w:rsid w:val="001469A4"/>
    <w:rsid w:val="00146AB3"/>
    <w:rsid w:val="00146CA8"/>
    <w:rsid w:val="001472A5"/>
    <w:rsid w:val="00147884"/>
    <w:rsid w:val="00150060"/>
    <w:rsid w:val="0015018A"/>
    <w:rsid w:val="0015021A"/>
    <w:rsid w:val="00150669"/>
    <w:rsid w:val="00150827"/>
    <w:rsid w:val="00150871"/>
    <w:rsid w:val="00150B0D"/>
    <w:rsid w:val="00150C0B"/>
    <w:rsid w:val="00150FFA"/>
    <w:rsid w:val="00150FFC"/>
    <w:rsid w:val="00151591"/>
    <w:rsid w:val="0015186A"/>
    <w:rsid w:val="001518B2"/>
    <w:rsid w:val="00151E31"/>
    <w:rsid w:val="00151EDF"/>
    <w:rsid w:val="00151F9B"/>
    <w:rsid w:val="00152095"/>
    <w:rsid w:val="00152289"/>
    <w:rsid w:val="00152374"/>
    <w:rsid w:val="001523E3"/>
    <w:rsid w:val="00152425"/>
    <w:rsid w:val="00152536"/>
    <w:rsid w:val="00152648"/>
    <w:rsid w:val="001526DA"/>
    <w:rsid w:val="00152769"/>
    <w:rsid w:val="00152BAD"/>
    <w:rsid w:val="00152CE3"/>
    <w:rsid w:val="0015350E"/>
    <w:rsid w:val="00153652"/>
    <w:rsid w:val="00153697"/>
    <w:rsid w:val="0015384A"/>
    <w:rsid w:val="00153956"/>
    <w:rsid w:val="00153B95"/>
    <w:rsid w:val="00153CE6"/>
    <w:rsid w:val="00153FE0"/>
    <w:rsid w:val="001540CF"/>
    <w:rsid w:val="001540EF"/>
    <w:rsid w:val="00154146"/>
    <w:rsid w:val="00154190"/>
    <w:rsid w:val="001544BD"/>
    <w:rsid w:val="001545EA"/>
    <w:rsid w:val="001549BA"/>
    <w:rsid w:val="00154DAB"/>
    <w:rsid w:val="00154FFC"/>
    <w:rsid w:val="0015500B"/>
    <w:rsid w:val="00155099"/>
    <w:rsid w:val="001553F5"/>
    <w:rsid w:val="001555D5"/>
    <w:rsid w:val="001556EA"/>
    <w:rsid w:val="00155B43"/>
    <w:rsid w:val="00155C85"/>
    <w:rsid w:val="00155EFE"/>
    <w:rsid w:val="001561EE"/>
    <w:rsid w:val="001568B8"/>
    <w:rsid w:val="00156A6C"/>
    <w:rsid w:val="00156B10"/>
    <w:rsid w:val="00156DF0"/>
    <w:rsid w:val="00156E8F"/>
    <w:rsid w:val="001571F2"/>
    <w:rsid w:val="001577E6"/>
    <w:rsid w:val="00157823"/>
    <w:rsid w:val="0015790D"/>
    <w:rsid w:val="00157C2E"/>
    <w:rsid w:val="00157C5E"/>
    <w:rsid w:val="0016015A"/>
    <w:rsid w:val="0016020E"/>
    <w:rsid w:val="001603AE"/>
    <w:rsid w:val="001603D4"/>
    <w:rsid w:val="00160503"/>
    <w:rsid w:val="001605A1"/>
    <w:rsid w:val="00160701"/>
    <w:rsid w:val="001609CD"/>
    <w:rsid w:val="00160C44"/>
    <w:rsid w:val="00160D7C"/>
    <w:rsid w:val="00160E30"/>
    <w:rsid w:val="0016106D"/>
    <w:rsid w:val="001610F4"/>
    <w:rsid w:val="001612E1"/>
    <w:rsid w:val="0016137A"/>
    <w:rsid w:val="001614DB"/>
    <w:rsid w:val="0016194E"/>
    <w:rsid w:val="001619A6"/>
    <w:rsid w:val="00161A41"/>
    <w:rsid w:val="00161B97"/>
    <w:rsid w:val="00161D53"/>
    <w:rsid w:val="00162096"/>
    <w:rsid w:val="0016236C"/>
    <w:rsid w:val="00162392"/>
    <w:rsid w:val="001624EE"/>
    <w:rsid w:val="00162625"/>
    <w:rsid w:val="0016294C"/>
    <w:rsid w:val="001630A8"/>
    <w:rsid w:val="001634C7"/>
    <w:rsid w:val="001637F0"/>
    <w:rsid w:val="00163826"/>
    <w:rsid w:val="001638E3"/>
    <w:rsid w:val="00163943"/>
    <w:rsid w:val="00163BA1"/>
    <w:rsid w:val="00163C2D"/>
    <w:rsid w:val="00163D3C"/>
    <w:rsid w:val="00163F22"/>
    <w:rsid w:val="001640B9"/>
    <w:rsid w:val="0016417B"/>
    <w:rsid w:val="0016448A"/>
    <w:rsid w:val="001644B1"/>
    <w:rsid w:val="001645DE"/>
    <w:rsid w:val="0016470E"/>
    <w:rsid w:val="001647BD"/>
    <w:rsid w:val="001647FF"/>
    <w:rsid w:val="0016482E"/>
    <w:rsid w:val="00164CF4"/>
    <w:rsid w:val="00164E0A"/>
    <w:rsid w:val="0016520F"/>
    <w:rsid w:val="001652D7"/>
    <w:rsid w:val="00165389"/>
    <w:rsid w:val="00165479"/>
    <w:rsid w:val="0016565B"/>
    <w:rsid w:val="001658CB"/>
    <w:rsid w:val="0016596E"/>
    <w:rsid w:val="001659B0"/>
    <w:rsid w:val="00165A5F"/>
    <w:rsid w:val="00166223"/>
    <w:rsid w:val="00166354"/>
    <w:rsid w:val="00166449"/>
    <w:rsid w:val="00166462"/>
    <w:rsid w:val="00166492"/>
    <w:rsid w:val="00166566"/>
    <w:rsid w:val="001665A7"/>
    <w:rsid w:val="00166C51"/>
    <w:rsid w:val="001670D8"/>
    <w:rsid w:val="0016726B"/>
    <w:rsid w:val="0016735E"/>
    <w:rsid w:val="00167495"/>
    <w:rsid w:val="001674C0"/>
    <w:rsid w:val="0016793E"/>
    <w:rsid w:val="00167D4D"/>
    <w:rsid w:val="00167DAA"/>
    <w:rsid w:val="00167F4E"/>
    <w:rsid w:val="001700E7"/>
    <w:rsid w:val="0017021B"/>
    <w:rsid w:val="001702DC"/>
    <w:rsid w:val="0017033C"/>
    <w:rsid w:val="0017057F"/>
    <w:rsid w:val="00170635"/>
    <w:rsid w:val="0017070D"/>
    <w:rsid w:val="00170837"/>
    <w:rsid w:val="001709F5"/>
    <w:rsid w:val="00170DA3"/>
    <w:rsid w:val="00171035"/>
    <w:rsid w:val="001713B7"/>
    <w:rsid w:val="00171890"/>
    <w:rsid w:val="00171ADB"/>
    <w:rsid w:val="00171D25"/>
    <w:rsid w:val="00171D51"/>
    <w:rsid w:val="00171F58"/>
    <w:rsid w:val="00171F68"/>
    <w:rsid w:val="00171F9A"/>
    <w:rsid w:val="00172029"/>
    <w:rsid w:val="00172D5A"/>
    <w:rsid w:val="001733A4"/>
    <w:rsid w:val="001735A0"/>
    <w:rsid w:val="001736B3"/>
    <w:rsid w:val="00173AB9"/>
    <w:rsid w:val="00173E29"/>
    <w:rsid w:val="00173EED"/>
    <w:rsid w:val="00174368"/>
    <w:rsid w:val="001744EA"/>
    <w:rsid w:val="00174590"/>
    <w:rsid w:val="001746C9"/>
    <w:rsid w:val="0017479E"/>
    <w:rsid w:val="0017497D"/>
    <w:rsid w:val="00174B81"/>
    <w:rsid w:val="00174CA7"/>
    <w:rsid w:val="00174D2C"/>
    <w:rsid w:val="00174D46"/>
    <w:rsid w:val="00174D82"/>
    <w:rsid w:val="00174E44"/>
    <w:rsid w:val="00174EC5"/>
    <w:rsid w:val="00175038"/>
    <w:rsid w:val="00175053"/>
    <w:rsid w:val="001751F7"/>
    <w:rsid w:val="001753B7"/>
    <w:rsid w:val="001757E7"/>
    <w:rsid w:val="00175873"/>
    <w:rsid w:val="001758B9"/>
    <w:rsid w:val="0017592E"/>
    <w:rsid w:val="0017599C"/>
    <w:rsid w:val="00175B45"/>
    <w:rsid w:val="00175C59"/>
    <w:rsid w:val="001760BC"/>
    <w:rsid w:val="001764EE"/>
    <w:rsid w:val="00176573"/>
    <w:rsid w:val="00176674"/>
    <w:rsid w:val="00176818"/>
    <w:rsid w:val="0017686B"/>
    <w:rsid w:val="00176B82"/>
    <w:rsid w:val="00176E33"/>
    <w:rsid w:val="00176E3B"/>
    <w:rsid w:val="00176ECB"/>
    <w:rsid w:val="0017716E"/>
    <w:rsid w:val="001773FF"/>
    <w:rsid w:val="00177414"/>
    <w:rsid w:val="0017752D"/>
    <w:rsid w:val="0017753B"/>
    <w:rsid w:val="0017759F"/>
    <w:rsid w:val="001775DF"/>
    <w:rsid w:val="001775E2"/>
    <w:rsid w:val="0017773C"/>
    <w:rsid w:val="00177832"/>
    <w:rsid w:val="001778A4"/>
    <w:rsid w:val="00177D48"/>
    <w:rsid w:val="00180263"/>
    <w:rsid w:val="001805B0"/>
    <w:rsid w:val="00180A31"/>
    <w:rsid w:val="00180AF6"/>
    <w:rsid w:val="00180B81"/>
    <w:rsid w:val="00180DB4"/>
    <w:rsid w:val="00180F3C"/>
    <w:rsid w:val="00181071"/>
    <w:rsid w:val="00181178"/>
    <w:rsid w:val="0018119E"/>
    <w:rsid w:val="001818D5"/>
    <w:rsid w:val="00181C5C"/>
    <w:rsid w:val="00181EB8"/>
    <w:rsid w:val="00181EEF"/>
    <w:rsid w:val="00181F3E"/>
    <w:rsid w:val="00181F6D"/>
    <w:rsid w:val="0018211B"/>
    <w:rsid w:val="00182376"/>
    <w:rsid w:val="00182694"/>
    <w:rsid w:val="001826F8"/>
    <w:rsid w:val="001828DD"/>
    <w:rsid w:val="00182FE0"/>
    <w:rsid w:val="00183158"/>
    <w:rsid w:val="0018359A"/>
    <w:rsid w:val="0018360F"/>
    <w:rsid w:val="00183911"/>
    <w:rsid w:val="00183B32"/>
    <w:rsid w:val="00183CA9"/>
    <w:rsid w:val="0018419E"/>
    <w:rsid w:val="0018456C"/>
    <w:rsid w:val="001845FB"/>
    <w:rsid w:val="00184629"/>
    <w:rsid w:val="00184667"/>
    <w:rsid w:val="0018476C"/>
    <w:rsid w:val="0018481E"/>
    <w:rsid w:val="00184B34"/>
    <w:rsid w:val="00184C15"/>
    <w:rsid w:val="00184CDD"/>
    <w:rsid w:val="00184DAB"/>
    <w:rsid w:val="00185130"/>
    <w:rsid w:val="00185490"/>
    <w:rsid w:val="001854C1"/>
    <w:rsid w:val="00185546"/>
    <w:rsid w:val="0018584C"/>
    <w:rsid w:val="00185C22"/>
    <w:rsid w:val="00185C6A"/>
    <w:rsid w:val="00185CED"/>
    <w:rsid w:val="00185DA6"/>
    <w:rsid w:val="00185E6B"/>
    <w:rsid w:val="00185F64"/>
    <w:rsid w:val="00185FFA"/>
    <w:rsid w:val="00186096"/>
    <w:rsid w:val="001868CE"/>
    <w:rsid w:val="00186F7C"/>
    <w:rsid w:val="00186F81"/>
    <w:rsid w:val="00186F9A"/>
    <w:rsid w:val="00187384"/>
    <w:rsid w:val="0018772A"/>
    <w:rsid w:val="0018772E"/>
    <w:rsid w:val="00187A08"/>
    <w:rsid w:val="00187A94"/>
    <w:rsid w:val="00187A9C"/>
    <w:rsid w:val="00187E8D"/>
    <w:rsid w:val="00187F60"/>
    <w:rsid w:val="00190078"/>
    <w:rsid w:val="0019029E"/>
    <w:rsid w:val="00190329"/>
    <w:rsid w:val="0019037C"/>
    <w:rsid w:val="001903BA"/>
    <w:rsid w:val="00190616"/>
    <w:rsid w:val="00190804"/>
    <w:rsid w:val="0019088F"/>
    <w:rsid w:val="00190C51"/>
    <w:rsid w:val="00190DD1"/>
    <w:rsid w:val="00191105"/>
    <w:rsid w:val="0019173E"/>
    <w:rsid w:val="0019178C"/>
    <w:rsid w:val="001917B3"/>
    <w:rsid w:val="00191B5D"/>
    <w:rsid w:val="00191BA5"/>
    <w:rsid w:val="00191C45"/>
    <w:rsid w:val="0019203A"/>
    <w:rsid w:val="001921DA"/>
    <w:rsid w:val="00192A85"/>
    <w:rsid w:val="00192FA5"/>
    <w:rsid w:val="00192FD7"/>
    <w:rsid w:val="001932D1"/>
    <w:rsid w:val="0019336B"/>
    <w:rsid w:val="00193566"/>
    <w:rsid w:val="00193645"/>
    <w:rsid w:val="001939A6"/>
    <w:rsid w:val="00193ACC"/>
    <w:rsid w:val="00193BFE"/>
    <w:rsid w:val="00193D54"/>
    <w:rsid w:val="00193F29"/>
    <w:rsid w:val="0019415C"/>
    <w:rsid w:val="001942A9"/>
    <w:rsid w:val="00194440"/>
    <w:rsid w:val="0019481E"/>
    <w:rsid w:val="00194E7E"/>
    <w:rsid w:val="00194E82"/>
    <w:rsid w:val="00195322"/>
    <w:rsid w:val="0019560E"/>
    <w:rsid w:val="00195702"/>
    <w:rsid w:val="001958E3"/>
    <w:rsid w:val="0019601B"/>
    <w:rsid w:val="00196048"/>
    <w:rsid w:val="001969FB"/>
    <w:rsid w:val="00196A82"/>
    <w:rsid w:val="0019702C"/>
    <w:rsid w:val="00197295"/>
    <w:rsid w:val="0019769B"/>
    <w:rsid w:val="00197779"/>
    <w:rsid w:val="00197888"/>
    <w:rsid w:val="001978C8"/>
    <w:rsid w:val="0019791D"/>
    <w:rsid w:val="00197D8F"/>
    <w:rsid w:val="00197E8C"/>
    <w:rsid w:val="00197FFE"/>
    <w:rsid w:val="001A00C8"/>
    <w:rsid w:val="001A09C1"/>
    <w:rsid w:val="001A0B96"/>
    <w:rsid w:val="001A0D25"/>
    <w:rsid w:val="001A1215"/>
    <w:rsid w:val="001A1275"/>
    <w:rsid w:val="001A1488"/>
    <w:rsid w:val="001A1570"/>
    <w:rsid w:val="001A1846"/>
    <w:rsid w:val="001A1866"/>
    <w:rsid w:val="001A18F2"/>
    <w:rsid w:val="001A1917"/>
    <w:rsid w:val="001A19DD"/>
    <w:rsid w:val="001A1C64"/>
    <w:rsid w:val="001A1D13"/>
    <w:rsid w:val="001A1E7F"/>
    <w:rsid w:val="001A21FE"/>
    <w:rsid w:val="001A228D"/>
    <w:rsid w:val="001A23D3"/>
    <w:rsid w:val="001A2435"/>
    <w:rsid w:val="001A256F"/>
    <w:rsid w:val="001A286F"/>
    <w:rsid w:val="001A28EE"/>
    <w:rsid w:val="001A2918"/>
    <w:rsid w:val="001A2A3C"/>
    <w:rsid w:val="001A2D02"/>
    <w:rsid w:val="001A2DFE"/>
    <w:rsid w:val="001A2E79"/>
    <w:rsid w:val="001A3076"/>
    <w:rsid w:val="001A3120"/>
    <w:rsid w:val="001A3172"/>
    <w:rsid w:val="001A31A5"/>
    <w:rsid w:val="001A33EA"/>
    <w:rsid w:val="001A3825"/>
    <w:rsid w:val="001A389C"/>
    <w:rsid w:val="001A3A1B"/>
    <w:rsid w:val="001A3B71"/>
    <w:rsid w:val="001A3B75"/>
    <w:rsid w:val="001A3F6C"/>
    <w:rsid w:val="001A4101"/>
    <w:rsid w:val="001A4168"/>
    <w:rsid w:val="001A44BF"/>
    <w:rsid w:val="001A44E5"/>
    <w:rsid w:val="001A46FB"/>
    <w:rsid w:val="001A47D7"/>
    <w:rsid w:val="001A483B"/>
    <w:rsid w:val="001A5273"/>
    <w:rsid w:val="001A590C"/>
    <w:rsid w:val="001A5944"/>
    <w:rsid w:val="001A5C3F"/>
    <w:rsid w:val="001A5EA2"/>
    <w:rsid w:val="001A5F7B"/>
    <w:rsid w:val="001A5FB1"/>
    <w:rsid w:val="001A60B0"/>
    <w:rsid w:val="001A60DE"/>
    <w:rsid w:val="001A610E"/>
    <w:rsid w:val="001A61B5"/>
    <w:rsid w:val="001A665F"/>
    <w:rsid w:val="001A6849"/>
    <w:rsid w:val="001A68A0"/>
    <w:rsid w:val="001A698A"/>
    <w:rsid w:val="001A6C45"/>
    <w:rsid w:val="001A6CCC"/>
    <w:rsid w:val="001A70C8"/>
    <w:rsid w:val="001A71C9"/>
    <w:rsid w:val="001A7429"/>
    <w:rsid w:val="001A760C"/>
    <w:rsid w:val="001A76D8"/>
    <w:rsid w:val="001A799B"/>
    <w:rsid w:val="001A7AC7"/>
    <w:rsid w:val="001A7BD9"/>
    <w:rsid w:val="001A7C38"/>
    <w:rsid w:val="001B0090"/>
    <w:rsid w:val="001B02F8"/>
    <w:rsid w:val="001B044A"/>
    <w:rsid w:val="001B0456"/>
    <w:rsid w:val="001B09E3"/>
    <w:rsid w:val="001B10E4"/>
    <w:rsid w:val="001B13FB"/>
    <w:rsid w:val="001B2104"/>
    <w:rsid w:val="001B2279"/>
    <w:rsid w:val="001B240A"/>
    <w:rsid w:val="001B2672"/>
    <w:rsid w:val="001B2729"/>
    <w:rsid w:val="001B2866"/>
    <w:rsid w:val="001B2881"/>
    <w:rsid w:val="001B2A60"/>
    <w:rsid w:val="001B2B0E"/>
    <w:rsid w:val="001B34A3"/>
    <w:rsid w:val="001B35FC"/>
    <w:rsid w:val="001B3675"/>
    <w:rsid w:val="001B37C8"/>
    <w:rsid w:val="001B45C6"/>
    <w:rsid w:val="001B48BA"/>
    <w:rsid w:val="001B49C9"/>
    <w:rsid w:val="001B4A10"/>
    <w:rsid w:val="001B4B2C"/>
    <w:rsid w:val="001B4ED5"/>
    <w:rsid w:val="001B4F10"/>
    <w:rsid w:val="001B5026"/>
    <w:rsid w:val="001B50DE"/>
    <w:rsid w:val="001B5154"/>
    <w:rsid w:val="001B5AD8"/>
    <w:rsid w:val="001B5B75"/>
    <w:rsid w:val="001B5B8B"/>
    <w:rsid w:val="001B691C"/>
    <w:rsid w:val="001B69F1"/>
    <w:rsid w:val="001B6D05"/>
    <w:rsid w:val="001B6D82"/>
    <w:rsid w:val="001B6E30"/>
    <w:rsid w:val="001B6E61"/>
    <w:rsid w:val="001B7221"/>
    <w:rsid w:val="001B725A"/>
    <w:rsid w:val="001B755C"/>
    <w:rsid w:val="001B775D"/>
    <w:rsid w:val="001B77B6"/>
    <w:rsid w:val="001B784E"/>
    <w:rsid w:val="001B7C83"/>
    <w:rsid w:val="001B7EED"/>
    <w:rsid w:val="001B7F9E"/>
    <w:rsid w:val="001C0206"/>
    <w:rsid w:val="001C0246"/>
    <w:rsid w:val="001C0447"/>
    <w:rsid w:val="001C04D4"/>
    <w:rsid w:val="001C0AC6"/>
    <w:rsid w:val="001C0B34"/>
    <w:rsid w:val="001C0BE5"/>
    <w:rsid w:val="001C0CE4"/>
    <w:rsid w:val="001C0D35"/>
    <w:rsid w:val="001C1087"/>
    <w:rsid w:val="001C11C0"/>
    <w:rsid w:val="001C12A3"/>
    <w:rsid w:val="001C12CC"/>
    <w:rsid w:val="001C1366"/>
    <w:rsid w:val="001C1793"/>
    <w:rsid w:val="001C17BB"/>
    <w:rsid w:val="001C187E"/>
    <w:rsid w:val="001C1A37"/>
    <w:rsid w:val="001C1BC8"/>
    <w:rsid w:val="001C1C49"/>
    <w:rsid w:val="001C1D36"/>
    <w:rsid w:val="001C1EE1"/>
    <w:rsid w:val="001C1EFC"/>
    <w:rsid w:val="001C2154"/>
    <w:rsid w:val="001C2225"/>
    <w:rsid w:val="001C22F7"/>
    <w:rsid w:val="001C286F"/>
    <w:rsid w:val="001C2870"/>
    <w:rsid w:val="001C2AD2"/>
    <w:rsid w:val="001C2B86"/>
    <w:rsid w:val="001C2C32"/>
    <w:rsid w:val="001C2CC6"/>
    <w:rsid w:val="001C2F54"/>
    <w:rsid w:val="001C2FBE"/>
    <w:rsid w:val="001C3308"/>
    <w:rsid w:val="001C3658"/>
    <w:rsid w:val="001C3BBB"/>
    <w:rsid w:val="001C40D1"/>
    <w:rsid w:val="001C4356"/>
    <w:rsid w:val="001C4377"/>
    <w:rsid w:val="001C468A"/>
    <w:rsid w:val="001C469B"/>
    <w:rsid w:val="001C492F"/>
    <w:rsid w:val="001C4A38"/>
    <w:rsid w:val="001C4A9E"/>
    <w:rsid w:val="001C4C29"/>
    <w:rsid w:val="001C4C49"/>
    <w:rsid w:val="001C5001"/>
    <w:rsid w:val="001C5103"/>
    <w:rsid w:val="001C52A8"/>
    <w:rsid w:val="001C5ADF"/>
    <w:rsid w:val="001C5E56"/>
    <w:rsid w:val="001C5E8E"/>
    <w:rsid w:val="001C6120"/>
    <w:rsid w:val="001C622C"/>
    <w:rsid w:val="001C6310"/>
    <w:rsid w:val="001C6516"/>
    <w:rsid w:val="001C6B5C"/>
    <w:rsid w:val="001C6EB8"/>
    <w:rsid w:val="001C6F94"/>
    <w:rsid w:val="001C70AE"/>
    <w:rsid w:val="001C7155"/>
    <w:rsid w:val="001C71D9"/>
    <w:rsid w:val="001C738F"/>
    <w:rsid w:val="001C7A0B"/>
    <w:rsid w:val="001C7BC7"/>
    <w:rsid w:val="001C7C77"/>
    <w:rsid w:val="001C7DFB"/>
    <w:rsid w:val="001C7E48"/>
    <w:rsid w:val="001C7F49"/>
    <w:rsid w:val="001D004A"/>
    <w:rsid w:val="001D039B"/>
    <w:rsid w:val="001D0571"/>
    <w:rsid w:val="001D0E2E"/>
    <w:rsid w:val="001D0FDC"/>
    <w:rsid w:val="001D1258"/>
    <w:rsid w:val="001D14AB"/>
    <w:rsid w:val="001D185D"/>
    <w:rsid w:val="001D1AB8"/>
    <w:rsid w:val="001D1B77"/>
    <w:rsid w:val="001D1FB5"/>
    <w:rsid w:val="001D2100"/>
    <w:rsid w:val="001D21F7"/>
    <w:rsid w:val="001D2374"/>
    <w:rsid w:val="001D25D1"/>
    <w:rsid w:val="001D286F"/>
    <w:rsid w:val="001D2C45"/>
    <w:rsid w:val="001D2C94"/>
    <w:rsid w:val="001D2CE6"/>
    <w:rsid w:val="001D316E"/>
    <w:rsid w:val="001D32F6"/>
    <w:rsid w:val="001D33D9"/>
    <w:rsid w:val="001D340F"/>
    <w:rsid w:val="001D3567"/>
    <w:rsid w:val="001D36F6"/>
    <w:rsid w:val="001D37CB"/>
    <w:rsid w:val="001D3975"/>
    <w:rsid w:val="001D3D5F"/>
    <w:rsid w:val="001D4303"/>
    <w:rsid w:val="001D45E5"/>
    <w:rsid w:val="001D461A"/>
    <w:rsid w:val="001D4687"/>
    <w:rsid w:val="001D4A9D"/>
    <w:rsid w:val="001D4AAD"/>
    <w:rsid w:val="001D4D1C"/>
    <w:rsid w:val="001D5116"/>
    <w:rsid w:val="001D5690"/>
    <w:rsid w:val="001D5722"/>
    <w:rsid w:val="001D5769"/>
    <w:rsid w:val="001D58BE"/>
    <w:rsid w:val="001D58F9"/>
    <w:rsid w:val="001D5AFA"/>
    <w:rsid w:val="001D6103"/>
    <w:rsid w:val="001D61FB"/>
    <w:rsid w:val="001D6560"/>
    <w:rsid w:val="001D6BB5"/>
    <w:rsid w:val="001D6CFC"/>
    <w:rsid w:val="001D7018"/>
    <w:rsid w:val="001D7177"/>
    <w:rsid w:val="001D71C0"/>
    <w:rsid w:val="001D756E"/>
    <w:rsid w:val="001D75D3"/>
    <w:rsid w:val="001D784A"/>
    <w:rsid w:val="001D797B"/>
    <w:rsid w:val="001E04A4"/>
    <w:rsid w:val="001E04EE"/>
    <w:rsid w:val="001E07C5"/>
    <w:rsid w:val="001E093E"/>
    <w:rsid w:val="001E0A5B"/>
    <w:rsid w:val="001E0FC4"/>
    <w:rsid w:val="001E1106"/>
    <w:rsid w:val="001E12EA"/>
    <w:rsid w:val="001E176D"/>
    <w:rsid w:val="001E1BCE"/>
    <w:rsid w:val="001E1CB6"/>
    <w:rsid w:val="001E1E05"/>
    <w:rsid w:val="001E1E08"/>
    <w:rsid w:val="001E2086"/>
    <w:rsid w:val="001E2133"/>
    <w:rsid w:val="001E236A"/>
    <w:rsid w:val="001E2616"/>
    <w:rsid w:val="001E2898"/>
    <w:rsid w:val="001E2A72"/>
    <w:rsid w:val="001E2F7E"/>
    <w:rsid w:val="001E339F"/>
    <w:rsid w:val="001E3465"/>
    <w:rsid w:val="001E34B1"/>
    <w:rsid w:val="001E3629"/>
    <w:rsid w:val="001E36C6"/>
    <w:rsid w:val="001E3B2C"/>
    <w:rsid w:val="001E3BA3"/>
    <w:rsid w:val="001E3FCD"/>
    <w:rsid w:val="001E40F0"/>
    <w:rsid w:val="001E4172"/>
    <w:rsid w:val="001E439D"/>
    <w:rsid w:val="001E4AC7"/>
    <w:rsid w:val="001E4C86"/>
    <w:rsid w:val="001E5315"/>
    <w:rsid w:val="001E5405"/>
    <w:rsid w:val="001E5490"/>
    <w:rsid w:val="001E5513"/>
    <w:rsid w:val="001E5730"/>
    <w:rsid w:val="001E5CB7"/>
    <w:rsid w:val="001E5E2E"/>
    <w:rsid w:val="001E605C"/>
    <w:rsid w:val="001E6223"/>
    <w:rsid w:val="001E6274"/>
    <w:rsid w:val="001E6352"/>
    <w:rsid w:val="001E6554"/>
    <w:rsid w:val="001E657E"/>
    <w:rsid w:val="001E6746"/>
    <w:rsid w:val="001E6AD7"/>
    <w:rsid w:val="001E704B"/>
    <w:rsid w:val="001E70AD"/>
    <w:rsid w:val="001E7237"/>
    <w:rsid w:val="001E72A4"/>
    <w:rsid w:val="001E7AF6"/>
    <w:rsid w:val="001E7B4C"/>
    <w:rsid w:val="001E7F99"/>
    <w:rsid w:val="001E7FBF"/>
    <w:rsid w:val="001F0123"/>
    <w:rsid w:val="001F01B8"/>
    <w:rsid w:val="001F04E3"/>
    <w:rsid w:val="001F08E0"/>
    <w:rsid w:val="001F0C44"/>
    <w:rsid w:val="001F0D8E"/>
    <w:rsid w:val="001F0FC3"/>
    <w:rsid w:val="001F0FFC"/>
    <w:rsid w:val="001F1188"/>
    <w:rsid w:val="001F1499"/>
    <w:rsid w:val="001F19D4"/>
    <w:rsid w:val="001F1B8D"/>
    <w:rsid w:val="001F1C30"/>
    <w:rsid w:val="001F1C3F"/>
    <w:rsid w:val="001F1CAB"/>
    <w:rsid w:val="001F1EC5"/>
    <w:rsid w:val="001F22F0"/>
    <w:rsid w:val="001F274F"/>
    <w:rsid w:val="001F27AD"/>
    <w:rsid w:val="001F289C"/>
    <w:rsid w:val="001F28C8"/>
    <w:rsid w:val="001F2BF9"/>
    <w:rsid w:val="001F2CBA"/>
    <w:rsid w:val="001F2D31"/>
    <w:rsid w:val="001F2D32"/>
    <w:rsid w:val="001F2DDC"/>
    <w:rsid w:val="001F3621"/>
    <w:rsid w:val="001F36DD"/>
    <w:rsid w:val="001F3A30"/>
    <w:rsid w:val="001F3AF2"/>
    <w:rsid w:val="001F3B14"/>
    <w:rsid w:val="001F4D86"/>
    <w:rsid w:val="001F50F4"/>
    <w:rsid w:val="001F6008"/>
    <w:rsid w:val="001F61A9"/>
    <w:rsid w:val="001F641B"/>
    <w:rsid w:val="001F6558"/>
    <w:rsid w:val="001F6611"/>
    <w:rsid w:val="001F66F3"/>
    <w:rsid w:val="001F68B5"/>
    <w:rsid w:val="001F6999"/>
    <w:rsid w:val="001F6C19"/>
    <w:rsid w:val="001F6C5D"/>
    <w:rsid w:val="001F6D4D"/>
    <w:rsid w:val="001F7083"/>
    <w:rsid w:val="001F7C00"/>
    <w:rsid w:val="001F7D69"/>
    <w:rsid w:val="001F7E68"/>
    <w:rsid w:val="0020042C"/>
    <w:rsid w:val="002005DA"/>
    <w:rsid w:val="0020076E"/>
    <w:rsid w:val="002009A3"/>
    <w:rsid w:val="00200E16"/>
    <w:rsid w:val="00200F1A"/>
    <w:rsid w:val="0020130D"/>
    <w:rsid w:val="002014BA"/>
    <w:rsid w:val="00201538"/>
    <w:rsid w:val="0020187E"/>
    <w:rsid w:val="00201995"/>
    <w:rsid w:val="00201D06"/>
    <w:rsid w:val="00201D1A"/>
    <w:rsid w:val="00201DA6"/>
    <w:rsid w:val="00201E58"/>
    <w:rsid w:val="00201E9F"/>
    <w:rsid w:val="00201F23"/>
    <w:rsid w:val="00201F2E"/>
    <w:rsid w:val="00201F47"/>
    <w:rsid w:val="0020265D"/>
    <w:rsid w:val="00202790"/>
    <w:rsid w:val="00202D7F"/>
    <w:rsid w:val="00202F25"/>
    <w:rsid w:val="002035B3"/>
    <w:rsid w:val="00203929"/>
    <w:rsid w:val="00203A20"/>
    <w:rsid w:val="00203AF6"/>
    <w:rsid w:val="00203BFE"/>
    <w:rsid w:val="00203CD6"/>
    <w:rsid w:val="00203D8B"/>
    <w:rsid w:val="00203EBF"/>
    <w:rsid w:val="00203F0A"/>
    <w:rsid w:val="00204439"/>
    <w:rsid w:val="00204460"/>
    <w:rsid w:val="002044A6"/>
    <w:rsid w:val="002048CB"/>
    <w:rsid w:val="00204A28"/>
    <w:rsid w:val="002051EA"/>
    <w:rsid w:val="00205438"/>
    <w:rsid w:val="0020559D"/>
    <w:rsid w:val="00205674"/>
    <w:rsid w:val="002056C5"/>
    <w:rsid w:val="00205791"/>
    <w:rsid w:val="00205B0A"/>
    <w:rsid w:val="00205CBC"/>
    <w:rsid w:val="00205E9E"/>
    <w:rsid w:val="00205EDF"/>
    <w:rsid w:val="00205FD3"/>
    <w:rsid w:val="00206259"/>
    <w:rsid w:val="002064C5"/>
    <w:rsid w:val="00206794"/>
    <w:rsid w:val="00206CE5"/>
    <w:rsid w:val="00206E0F"/>
    <w:rsid w:val="00206F4E"/>
    <w:rsid w:val="002074B7"/>
    <w:rsid w:val="0020758D"/>
    <w:rsid w:val="00207668"/>
    <w:rsid w:val="002076A3"/>
    <w:rsid w:val="00207818"/>
    <w:rsid w:val="0020799E"/>
    <w:rsid w:val="00207C7B"/>
    <w:rsid w:val="00210050"/>
    <w:rsid w:val="00210B23"/>
    <w:rsid w:val="00210FAC"/>
    <w:rsid w:val="00211284"/>
    <w:rsid w:val="00211470"/>
    <w:rsid w:val="00211922"/>
    <w:rsid w:val="00211A6D"/>
    <w:rsid w:val="00211B60"/>
    <w:rsid w:val="00211DD0"/>
    <w:rsid w:val="0021203E"/>
    <w:rsid w:val="0021213A"/>
    <w:rsid w:val="00212482"/>
    <w:rsid w:val="0021265F"/>
    <w:rsid w:val="002127D4"/>
    <w:rsid w:val="00212992"/>
    <w:rsid w:val="00213582"/>
    <w:rsid w:val="002135E1"/>
    <w:rsid w:val="00213817"/>
    <w:rsid w:val="00213934"/>
    <w:rsid w:val="002139EA"/>
    <w:rsid w:val="00213C93"/>
    <w:rsid w:val="00213E00"/>
    <w:rsid w:val="0021405B"/>
    <w:rsid w:val="0021431C"/>
    <w:rsid w:val="00214428"/>
    <w:rsid w:val="002145EB"/>
    <w:rsid w:val="00214BBD"/>
    <w:rsid w:val="00214DB7"/>
    <w:rsid w:val="00214F76"/>
    <w:rsid w:val="0021531E"/>
    <w:rsid w:val="002157EC"/>
    <w:rsid w:val="00215834"/>
    <w:rsid w:val="00215A55"/>
    <w:rsid w:val="00215CC2"/>
    <w:rsid w:val="00215D39"/>
    <w:rsid w:val="00215ED8"/>
    <w:rsid w:val="00215F95"/>
    <w:rsid w:val="0021640B"/>
    <w:rsid w:val="002166DA"/>
    <w:rsid w:val="00216C35"/>
    <w:rsid w:val="00216DF7"/>
    <w:rsid w:val="00216E44"/>
    <w:rsid w:val="0021722D"/>
    <w:rsid w:val="00217245"/>
    <w:rsid w:val="0021729A"/>
    <w:rsid w:val="00217636"/>
    <w:rsid w:val="0021768E"/>
    <w:rsid w:val="00217700"/>
    <w:rsid w:val="002177E2"/>
    <w:rsid w:val="00217867"/>
    <w:rsid w:val="00217A21"/>
    <w:rsid w:val="00217EFD"/>
    <w:rsid w:val="002205F3"/>
    <w:rsid w:val="0022085B"/>
    <w:rsid w:val="00220E53"/>
    <w:rsid w:val="0022143F"/>
    <w:rsid w:val="0022175C"/>
    <w:rsid w:val="0022176C"/>
    <w:rsid w:val="0022179C"/>
    <w:rsid w:val="00221E16"/>
    <w:rsid w:val="002220F1"/>
    <w:rsid w:val="002225D1"/>
    <w:rsid w:val="00222A07"/>
    <w:rsid w:val="00222B3A"/>
    <w:rsid w:val="002230FA"/>
    <w:rsid w:val="00223146"/>
    <w:rsid w:val="002232B1"/>
    <w:rsid w:val="00223503"/>
    <w:rsid w:val="00223571"/>
    <w:rsid w:val="002235D9"/>
    <w:rsid w:val="00223749"/>
    <w:rsid w:val="00223972"/>
    <w:rsid w:val="00223AB9"/>
    <w:rsid w:val="00223DF2"/>
    <w:rsid w:val="00223F44"/>
    <w:rsid w:val="00224107"/>
    <w:rsid w:val="0022415E"/>
    <w:rsid w:val="00224737"/>
    <w:rsid w:val="00224C0C"/>
    <w:rsid w:val="00224C63"/>
    <w:rsid w:val="00224DD2"/>
    <w:rsid w:val="00225026"/>
    <w:rsid w:val="00225323"/>
    <w:rsid w:val="002256C2"/>
    <w:rsid w:val="002256D0"/>
    <w:rsid w:val="0022582E"/>
    <w:rsid w:val="0022590B"/>
    <w:rsid w:val="00225C8E"/>
    <w:rsid w:val="00225D86"/>
    <w:rsid w:val="00225F30"/>
    <w:rsid w:val="0022614E"/>
    <w:rsid w:val="00226428"/>
    <w:rsid w:val="00226538"/>
    <w:rsid w:val="002265A9"/>
    <w:rsid w:val="00226601"/>
    <w:rsid w:val="002266CB"/>
    <w:rsid w:val="00226777"/>
    <w:rsid w:val="002268AB"/>
    <w:rsid w:val="0022701E"/>
    <w:rsid w:val="00227052"/>
    <w:rsid w:val="002272D5"/>
    <w:rsid w:val="00227330"/>
    <w:rsid w:val="0022738E"/>
    <w:rsid w:val="002274C7"/>
    <w:rsid w:val="00227609"/>
    <w:rsid w:val="002278A4"/>
    <w:rsid w:val="00227906"/>
    <w:rsid w:val="00227934"/>
    <w:rsid w:val="00227D1F"/>
    <w:rsid w:val="00227E21"/>
    <w:rsid w:val="00230178"/>
    <w:rsid w:val="00230252"/>
    <w:rsid w:val="00230748"/>
    <w:rsid w:val="002307BD"/>
    <w:rsid w:val="00230B42"/>
    <w:rsid w:val="00230B63"/>
    <w:rsid w:val="00230EEB"/>
    <w:rsid w:val="00231957"/>
    <w:rsid w:val="00231A5D"/>
    <w:rsid w:val="00231D05"/>
    <w:rsid w:val="00232145"/>
    <w:rsid w:val="00232219"/>
    <w:rsid w:val="002323FF"/>
    <w:rsid w:val="00232802"/>
    <w:rsid w:val="00232865"/>
    <w:rsid w:val="00232CDD"/>
    <w:rsid w:val="00232FD7"/>
    <w:rsid w:val="002336E2"/>
    <w:rsid w:val="0023374D"/>
    <w:rsid w:val="00233AC2"/>
    <w:rsid w:val="00233B26"/>
    <w:rsid w:val="00233BAF"/>
    <w:rsid w:val="00234027"/>
    <w:rsid w:val="00234132"/>
    <w:rsid w:val="00234153"/>
    <w:rsid w:val="002342CB"/>
    <w:rsid w:val="002345A9"/>
    <w:rsid w:val="0023466D"/>
    <w:rsid w:val="0023471E"/>
    <w:rsid w:val="002348E0"/>
    <w:rsid w:val="00235388"/>
    <w:rsid w:val="0023539D"/>
    <w:rsid w:val="00235420"/>
    <w:rsid w:val="00235633"/>
    <w:rsid w:val="002356A5"/>
    <w:rsid w:val="002359A4"/>
    <w:rsid w:val="00235DAA"/>
    <w:rsid w:val="00235EC1"/>
    <w:rsid w:val="00235F98"/>
    <w:rsid w:val="00236072"/>
    <w:rsid w:val="00236271"/>
    <w:rsid w:val="00236ED1"/>
    <w:rsid w:val="00236FD1"/>
    <w:rsid w:val="002370D9"/>
    <w:rsid w:val="0023793A"/>
    <w:rsid w:val="0024019D"/>
    <w:rsid w:val="0024026C"/>
    <w:rsid w:val="0024046E"/>
    <w:rsid w:val="0024065B"/>
    <w:rsid w:val="002409A6"/>
    <w:rsid w:val="00240EA5"/>
    <w:rsid w:val="0024109C"/>
    <w:rsid w:val="00241132"/>
    <w:rsid w:val="00241205"/>
    <w:rsid w:val="0024132C"/>
    <w:rsid w:val="00241448"/>
    <w:rsid w:val="002418C5"/>
    <w:rsid w:val="002419ED"/>
    <w:rsid w:val="00241A9C"/>
    <w:rsid w:val="0024261D"/>
    <w:rsid w:val="0024292A"/>
    <w:rsid w:val="00242AF4"/>
    <w:rsid w:val="00242DFB"/>
    <w:rsid w:val="00242EC8"/>
    <w:rsid w:val="002431FE"/>
    <w:rsid w:val="002432D2"/>
    <w:rsid w:val="00243572"/>
    <w:rsid w:val="002436FC"/>
    <w:rsid w:val="00243807"/>
    <w:rsid w:val="00243F93"/>
    <w:rsid w:val="002440AC"/>
    <w:rsid w:val="002441FF"/>
    <w:rsid w:val="00244230"/>
    <w:rsid w:val="00244365"/>
    <w:rsid w:val="0024459A"/>
    <w:rsid w:val="00244771"/>
    <w:rsid w:val="00244903"/>
    <w:rsid w:val="00244AFB"/>
    <w:rsid w:val="00244B16"/>
    <w:rsid w:val="00244E08"/>
    <w:rsid w:val="0024501D"/>
    <w:rsid w:val="0024539E"/>
    <w:rsid w:val="002453D4"/>
    <w:rsid w:val="002453DF"/>
    <w:rsid w:val="0024589A"/>
    <w:rsid w:val="00245A64"/>
    <w:rsid w:val="00245A81"/>
    <w:rsid w:val="00245AA3"/>
    <w:rsid w:val="002461AA"/>
    <w:rsid w:val="00246305"/>
    <w:rsid w:val="00246508"/>
    <w:rsid w:val="00246B86"/>
    <w:rsid w:val="00246C85"/>
    <w:rsid w:val="00246CFD"/>
    <w:rsid w:val="00246E52"/>
    <w:rsid w:val="00246EA0"/>
    <w:rsid w:val="00247335"/>
    <w:rsid w:val="002473EF"/>
    <w:rsid w:val="002475D2"/>
    <w:rsid w:val="002476B6"/>
    <w:rsid w:val="002477B9"/>
    <w:rsid w:val="00247CBE"/>
    <w:rsid w:val="00247CC4"/>
    <w:rsid w:val="00247CCB"/>
    <w:rsid w:val="00250100"/>
    <w:rsid w:val="00250283"/>
    <w:rsid w:val="00250A1F"/>
    <w:rsid w:val="00250ADA"/>
    <w:rsid w:val="00250F1D"/>
    <w:rsid w:val="00250F5C"/>
    <w:rsid w:val="002511D2"/>
    <w:rsid w:val="002511E7"/>
    <w:rsid w:val="00251491"/>
    <w:rsid w:val="00251640"/>
    <w:rsid w:val="0025194E"/>
    <w:rsid w:val="00251F1A"/>
    <w:rsid w:val="00251FF1"/>
    <w:rsid w:val="0025205D"/>
    <w:rsid w:val="002520BA"/>
    <w:rsid w:val="0025212A"/>
    <w:rsid w:val="00252234"/>
    <w:rsid w:val="002522E7"/>
    <w:rsid w:val="002522E9"/>
    <w:rsid w:val="00252460"/>
    <w:rsid w:val="0025251A"/>
    <w:rsid w:val="002526F4"/>
    <w:rsid w:val="002527AF"/>
    <w:rsid w:val="002528E3"/>
    <w:rsid w:val="00252944"/>
    <w:rsid w:val="00252D55"/>
    <w:rsid w:val="00252D82"/>
    <w:rsid w:val="00252F3A"/>
    <w:rsid w:val="00253006"/>
    <w:rsid w:val="002532BA"/>
    <w:rsid w:val="002533F5"/>
    <w:rsid w:val="002538CE"/>
    <w:rsid w:val="00253C60"/>
    <w:rsid w:val="00253F21"/>
    <w:rsid w:val="00253F41"/>
    <w:rsid w:val="00253F83"/>
    <w:rsid w:val="0025429D"/>
    <w:rsid w:val="0025434E"/>
    <w:rsid w:val="002543DC"/>
    <w:rsid w:val="0025472E"/>
    <w:rsid w:val="0025475F"/>
    <w:rsid w:val="00254900"/>
    <w:rsid w:val="002549E9"/>
    <w:rsid w:val="00254DA5"/>
    <w:rsid w:val="00254E9A"/>
    <w:rsid w:val="00254F75"/>
    <w:rsid w:val="00254FAB"/>
    <w:rsid w:val="00254FF6"/>
    <w:rsid w:val="00255099"/>
    <w:rsid w:val="00255315"/>
    <w:rsid w:val="00255545"/>
    <w:rsid w:val="002555C6"/>
    <w:rsid w:val="00255697"/>
    <w:rsid w:val="0025598E"/>
    <w:rsid w:val="00255A98"/>
    <w:rsid w:val="00255B10"/>
    <w:rsid w:val="00255E14"/>
    <w:rsid w:val="0025615C"/>
    <w:rsid w:val="00256577"/>
    <w:rsid w:val="00256C2F"/>
    <w:rsid w:val="00257059"/>
    <w:rsid w:val="0025712F"/>
    <w:rsid w:val="00257395"/>
    <w:rsid w:val="002573BD"/>
    <w:rsid w:val="00257791"/>
    <w:rsid w:val="00257857"/>
    <w:rsid w:val="002578DA"/>
    <w:rsid w:val="002579F6"/>
    <w:rsid w:val="00257CBC"/>
    <w:rsid w:val="00257F5C"/>
    <w:rsid w:val="00257FB8"/>
    <w:rsid w:val="0026011F"/>
    <w:rsid w:val="002602C2"/>
    <w:rsid w:val="002602DA"/>
    <w:rsid w:val="002602FA"/>
    <w:rsid w:val="0026040B"/>
    <w:rsid w:val="002607B1"/>
    <w:rsid w:val="00260802"/>
    <w:rsid w:val="002608A4"/>
    <w:rsid w:val="0026094C"/>
    <w:rsid w:val="002609E3"/>
    <w:rsid w:val="00260D5E"/>
    <w:rsid w:val="00260D8F"/>
    <w:rsid w:val="00260F68"/>
    <w:rsid w:val="00260F8C"/>
    <w:rsid w:val="00261223"/>
    <w:rsid w:val="002613A6"/>
    <w:rsid w:val="0026172A"/>
    <w:rsid w:val="0026175A"/>
    <w:rsid w:val="002617AB"/>
    <w:rsid w:val="00261823"/>
    <w:rsid w:val="00261A18"/>
    <w:rsid w:val="00261CBB"/>
    <w:rsid w:val="00261D08"/>
    <w:rsid w:val="00261DCC"/>
    <w:rsid w:val="00261E39"/>
    <w:rsid w:val="00261EC0"/>
    <w:rsid w:val="002624D0"/>
    <w:rsid w:val="002624F6"/>
    <w:rsid w:val="002627E6"/>
    <w:rsid w:val="00262BC5"/>
    <w:rsid w:val="00262DF4"/>
    <w:rsid w:val="00262DF7"/>
    <w:rsid w:val="002632C8"/>
    <w:rsid w:val="002633B9"/>
    <w:rsid w:val="0026347D"/>
    <w:rsid w:val="002635E2"/>
    <w:rsid w:val="00263AE7"/>
    <w:rsid w:val="00263BDA"/>
    <w:rsid w:val="00263EC7"/>
    <w:rsid w:val="00263F1C"/>
    <w:rsid w:val="00263FF2"/>
    <w:rsid w:val="00264441"/>
    <w:rsid w:val="002645AB"/>
    <w:rsid w:val="0026491B"/>
    <w:rsid w:val="00264A36"/>
    <w:rsid w:val="00264AD1"/>
    <w:rsid w:val="00264B06"/>
    <w:rsid w:val="00264B57"/>
    <w:rsid w:val="00264C1B"/>
    <w:rsid w:val="00265571"/>
    <w:rsid w:val="00265BF4"/>
    <w:rsid w:val="00265E2E"/>
    <w:rsid w:val="00265EAB"/>
    <w:rsid w:val="002661AB"/>
    <w:rsid w:val="00266663"/>
    <w:rsid w:val="0026666D"/>
    <w:rsid w:val="002668DB"/>
    <w:rsid w:val="00266C02"/>
    <w:rsid w:val="00266F57"/>
    <w:rsid w:val="002670A7"/>
    <w:rsid w:val="0026742B"/>
    <w:rsid w:val="002674FE"/>
    <w:rsid w:val="00267528"/>
    <w:rsid w:val="00267646"/>
    <w:rsid w:val="002676D2"/>
    <w:rsid w:val="00267749"/>
    <w:rsid w:val="0026780D"/>
    <w:rsid w:val="00267C45"/>
    <w:rsid w:val="00267D88"/>
    <w:rsid w:val="00267DA5"/>
    <w:rsid w:val="00267DC4"/>
    <w:rsid w:val="00267F02"/>
    <w:rsid w:val="00270748"/>
    <w:rsid w:val="002708BB"/>
    <w:rsid w:val="00270A82"/>
    <w:rsid w:val="00270E88"/>
    <w:rsid w:val="0027105A"/>
    <w:rsid w:val="0027117F"/>
    <w:rsid w:val="00271283"/>
    <w:rsid w:val="002712DC"/>
    <w:rsid w:val="002712EC"/>
    <w:rsid w:val="002713F2"/>
    <w:rsid w:val="002714A8"/>
    <w:rsid w:val="00271875"/>
    <w:rsid w:val="002718FF"/>
    <w:rsid w:val="00271955"/>
    <w:rsid w:val="00271C70"/>
    <w:rsid w:val="00271D29"/>
    <w:rsid w:val="00272278"/>
    <w:rsid w:val="00272432"/>
    <w:rsid w:val="00272633"/>
    <w:rsid w:val="002728F2"/>
    <w:rsid w:val="00272C49"/>
    <w:rsid w:val="00272CAB"/>
    <w:rsid w:val="00272F97"/>
    <w:rsid w:val="00272FBF"/>
    <w:rsid w:val="0027359A"/>
    <w:rsid w:val="002737D7"/>
    <w:rsid w:val="00273A10"/>
    <w:rsid w:val="00273A58"/>
    <w:rsid w:val="00273DBC"/>
    <w:rsid w:val="00273EB8"/>
    <w:rsid w:val="00273FBB"/>
    <w:rsid w:val="0027400E"/>
    <w:rsid w:val="0027401F"/>
    <w:rsid w:val="0027402F"/>
    <w:rsid w:val="0027412A"/>
    <w:rsid w:val="00274CAB"/>
    <w:rsid w:val="00274E8A"/>
    <w:rsid w:val="0027507D"/>
    <w:rsid w:val="002755D8"/>
    <w:rsid w:val="00275FCE"/>
    <w:rsid w:val="00276044"/>
    <w:rsid w:val="00276106"/>
    <w:rsid w:val="00276122"/>
    <w:rsid w:val="002761B2"/>
    <w:rsid w:val="0027656D"/>
    <w:rsid w:val="002765E7"/>
    <w:rsid w:val="0027665A"/>
    <w:rsid w:val="002766B8"/>
    <w:rsid w:val="0027680F"/>
    <w:rsid w:val="0027696D"/>
    <w:rsid w:val="002776D0"/>
    <w:rsid w:val="00277B5D"/>
    <w:rsid w:val="00277C02"/>
    <w:rsid w:val="00277E6F"/>
    <w:rsid w:val="0028087C"/>
    <w:rsid w:val="00280ADF"/>
    <w:rsid w:val="00281006"/>
    <w:rsid w:val="002815B1"/>
    <w:rsid w:val="00281627"/>
    <w:rsid w:val="0028190B"/>
    <w:rsid w:val="00281A37"/>
    <w:rsid w:val="00281A3D"/>
    <w:rsid w:val="00281C1F"/>
    <w:rsid w:val="00281EEA"/>
    <w:rsid w:val="00281F88"/>
    <w:rsid w:val="002822B5"/>
    <w:rsid w:val="0028288D"/>
    <w:rsid w:val="0028294E"/>
    <w:rsid w:val="002829B7"/>
    <w:rsid w:val="00282B4E"/>
    <w:rsid w:val="00282B82"/>
    <w:rsid w:val="00282C74"/>
    <w:rsid w:val="00282E43"/>
    <w:rsid w:val="00282E5B"/>
    <w:rsid w:val="00282F51"/>
    <w:rsid w:val="002834C8"/>
    <w:rsid w:val="00283828"/>
    <w:rsid w:val="00283995"/>
    <w:rsid w:val="00283B11"/>
    <w:rsid w:val="00283B12"/>
    <w:rsid w:val="00283CE1"/>
    <w:rsid w:val="00284090"/>
    <w:rsid w:val="002841A9"/>
    <w:rsid w:val="00284313"/>
    <w:rsid w:val="00284389"/>
    <w:rsid w:val="002845DE"/>
    <w:rsid w:val="00284612"/>
    <w:rsid w:val="002848AD"/>
    <w:rsid w:val="00284906"/>
    <w:rsid w:val="00284A5E"/>
    <w:rsid w:val="00284B1A"/>
    <w:rsid w:val="00284C04"/>
    <w:rsid w:val="00284E46"/>
    <w:rsid w:val="00284F02"/>
    <w:rsid w:val="00285154"/>
    <w:rsid w:val="00285893"/>
    <w:rsid w:val="0028599B"/>
    <w:rsid w:val="002859BE"/>
    <w:rsid w:val="00285BF2"/>
    <w:rsid w:val="00285C78"/>
    <w:rsid w:val="0028637F"/>
    <w:rsid w:val="002863CE"/>
    <w:rsid w:val="002867F8"/>
    <w:rsid w:val="002868CF"/>
    <w:rsid w:val="00286963"/>
    <w:rsid w:val="00286B1F"/>
    <w:rsid w:val="00286D6A"/>
    <w:rsid w:val="0028702A"/>
    <w:rsid w:val="00287123"/>
    <w:rsid w:val="0028732A"/>
    <w:rsid w:val="002874C3"/>
    <w:rsid w:val="002877F4"/>
    <w:rsid w:val="00287804"/>
    <w:rsid w:val="00287B30"/>
    <w:rsid w:val="00287C7C"/>
    <w:rsid w:val="00287F35"/>
    <w:rsid w:val="00290077"/>
    <w:rsid w:val="0029075F"/>
    <w:rsid w:val="002909BB"/>
    <w:rsid w:val="00290F01"/>
    <w:rsid w:val="00291035"/>
    <w:rsid w:val="0029119A"/>
    <w:rsid w:val="00291275"/>
    <w:rsid w:val="00291492"/>
    <w:rsid w:val="00291527"/>
    <w:rsid w:val="0029199A"/>
    <w:rsid w:val="002919B8"/>
    <w:rsid w:val="00291BBE"/>
    <w:rsid w:val="00291FEB"/>
    <w:rsid w:val="002920B3"/>
    <w:rsid w:val="002930C8"/>
    <w:rsid w:val="00293146"/>
    <w:rsid w:val="0029361E"/>
    <w:rsid w:val="00293768"/>
    <w:rsid w:val="00293A72"/>
    <w:rsid w:val="00293D68"/>
    <w:rsid w:val="00293F88"/>
    <w:rsid w:val="00294117"/>
    <w:rsid w:val="00294137"/>
    <w:rsid w:val="002941CC"/>
    <w:rsid w:val="00294279"/>
    <w:rsid w:val="0029431E"/>
    <w:rsid w:val="00294352"/>
    <w:rsid w:val="0029441B"/>
    <w:rsid w:val="002944A0"/>
    <w:rsid w:val="00294533"/>
    <w:rsid w:val="002946E4"/>
    <w:rsid w:val="0029495C"/>
    <w:rsid w:val="00294AC4"/>
    <w:rsid w:val="00294B5F"/>
    <w:rsid w:val="00294CEE"/>
    <w:rsid w:val="00294E66"/>
    <w:rsid w:val="00294EBF"/>
    <w:rsid w:val="00295043"/>
    <w:rsid w:val="00295117"/>
    <w:rsid w:val="002952E6"/>
    <w:rsid w:val="00295790"/>
    <w:rsid w:val="002957D9"/>
    <w:rsid w:val="00295A48"/>
    <w:rsid w:val="00295A74"/>
    <w:rsid w:val="00295B52"/>
    <w:rsid w:val="00295B7F"/>
    <w:rsid w:val="00296024"/>
    <w:rsid w:val="0029619D"/>
    <w:rsid w:val="00296293"/>
    <w:rsid w:val="002963E1"/>
    <w:rsid w:val="0029686F"/>
    <w:rsid w:val="00296AF7"/>
    <w:rsid w:val="00296D34"/>
    <w:rsid w:val="00296E4F"/>
    <w:rsid w:val="002971BD"/>
    <w:rsid w:val="002972F9"/>
    <w:rsid w:val="002977CA"/>
    <w:rsid w:val="00297862"/>
    <w:rsid w:val="002979DE"/>
    <w:rsid w:val="00297A64"/>
    <w:rsid w:val="00297DC9"/>
    <w:rsid w:val="00297ED7"/>
    <w:rsid w:val="00297F0C"/>
    <w:rsid w:val="002A0007"/>
    <w:rsid w:val="002A003E"/>
    <w:rsid w:val="002A00A6"/>
    <w:rsid w:val="002A0216"/>
    <w:rsid w:val="002A03AA"/>
    <w:rsid w:val="002A0431"/>
    <w:rsid w:val="002A0432"/>
    <w:rsid w:val="002A056D"/>
    <w:rsid w:val="002A0649"/>
    <w:rsid w:val="002A0683"/>
    <w:rsid w:val="002A073C"/>
    <w:rsid w:val="002A07FE"/>
    <w:rsid w:val="002A0844"/>
    <w:rsid w:val="002A094D"/>
    <w:rsid w:val="002A0CAF"/>
    <w:rsid w:val="002A10D6"/>
    <w:rsid w:val="002A10F4"/>
    <w:rsid w:val="002A1565"/>
    <w:rsid w:val="002A16A9"/>
    <w:rsid w:val="002A18E6"/>
    <w:rsid w:val="002A20E6"/>
    <w:rsid w:val="002A2182"/>
    <w:rsid w:val="002A2315"/>
    <w:rsid w:val="002A243A"/>
    <w:rsid w:val="002A2489"/>
    <w:rsid w:val="002A26D9"/>
    <w:rsid w:val="002A2941"/>
    <w:rsid w:val="002A2AF3"/>
    <w:rsid w:val="002A2C1A"/>
    <w:rsid w:val="002A2DC4"/>
    <w:rsid w:val="002A33EC"/>
    <w:rsid w:val="002A34E0"/>
    <w:rsid w:val="002A3D7E"/>
    <w:rsid w:val="002A3E69"/>
    <w:rsid w:val="002A3EA8"/>
    <w:rsid w:val="002A41F7"/>
    <w:rsid w:val="002A442D"/>
    <w:rsid w:val="002A44F9"/>
    <w:rsid w:val="002A464E"/>
    <w:rsid w:val="002A46D1"/>
    <w:rsid w:val="002A49EF"/>
    <w:rsid w:val="002A4A04"/>
    <w:rsid w:val="002A4B8B"/>
    <w:rsid w:val="002A4C3D"/>
    <w:rsid w:val="002A4D7A"/>
    <w:rsid w:val="002A4DBE"/>
    <w:rsid w:val="002A4E6A"/>
    <w:rsid w:val="002A5107"/>
    <w:rsid w:val="002A535E"/>
    <w:rsid w:val="002A55E4"/>
    <w:rsid w:val="002A5915"/>
    <w:rsid w:val="002A5FE6"/>
    <w:rsid w:val="002A6406"/>
    <w:rsid w:val="002A696A"/>
    <w:rsid w:val="002A6AD0"/>
    <w:rsid w:val="002A6CF0"/>
    <w:rsid w:val="002A6EF0"/>
    <w:rsid w:val="002A6FB0"/>
    <w:rsid w:val="002A6FFC"/>
    <w:rsid w:val="002A7010"/>
    <w:rsid w:val="002A70BA"/>
    <w:rsid w:val="002A7465"/>
    <w:rsid w:val="002A7732"/>
    <w:rsid w:val="002A7736"/>
    <w:rsid w:val="002A793D"/>
    <w:rsid w:val="002A7A57"/>
    <w:rsid w:val="002A7BB2"/>
    <w:rsid w:val="002A7D80"/>
    <w:rsid w:val="002A7DCB"/>
    <w:rsid w:val="002A7DF6"/>
    <w:rsid w:val="002A7ED6"/>
    <w:rsid w:val="002B0B53"/>
    <w:rsid w:val="002B0C18"/>
    <w:rsid w:val="002B0CB5"/>
    <w:rsid w:val="002B0E92"/>
    <w:rsid w:val="002B0F1A"/>
    <w:rsid w:val="002B0F57"/>
    <w:rsid w:val="002B1617"/>
    <w:rsid w:val="002B194B"/>
    <w:rsid w:val="002B1D11"/>
    <w:rsid w:val="002B1D2E"/>
    <w:rsid w:val="002B1F3C"/>
    <w:rsid w:val="002B22EB"/>
    <w:rsid w:val="002B25E3"/>
    <w:rsid w:val="002B273B"/>
    <w:rsid w:val="002B2763"/>
    <w:rsid w:val="002B29AA"/>
    <w:rsid w:val="002B2A7E"/>
    <w:rsid w:val="002B2C1E"/>
    <w:rsid w:val="002B2F1B"/>
    <w:rsid w:val="002B2FBC"/>
    <w:rsid w:val="002B3F5D"/>
    <w:rsid w:val="002B3F6F"/>
    <w:rsid w:val="002B4131"/>
    <w:rsid w:val="002B43A0"/>
    <w:rsid w:val="002B46DA"/>
    <w:rsid w:val="002B497E"/>
    <w:rsid w:val="002B4A32"/>
    <w:rsid w:val="002B4ABD"/>
    <w:rsid w:val="002B4B58"/>
    <w:rsid w:val="002B4C6B"/>
    <w:rsid w:val="002B50CB"/>
    <w:rsid w:val="002B52DF"/>
    <w:rsid w:val="002B54ED"/>
    <w:rsid w:val="002B573A"/>
    <w:rsid w:val="002B5AFB"/>
    <w:rsid w:val="002B5B11"/>
    <w:rsid w:val="002B6182"/>
    <w:rsid w:val="002B6320"/>
    <w:rsid w:val="002B6521"/>
    <w:rsid w:val="002B65C3"/>
    <w:rsid w:val="002B66AC"/>
    <w:rsid w:val="002B6852"/>
    <w:rsid w:val="002B688C"/>
    <w:rsid w:val="002B6E81"/>
    <w:rsid w:val="002B713E"/>
    <w:rsid w:val="002B74C6"/>
    <w:rsid w:val="002B75A4"/>
    <w:rsid w:val="002B76FD"/>
    <w:rsid w:val="002B77E1"/>
    <w:rsid w:val="002B7A59"/>
    <w:rsid w:val="002B7CA4"/>
    <w:rsid w:val="002C053D"/>
    <w:rsid w:val="002C0714"/>
    <w:rsid w:val="002C084D"/>
    <w:rsid w:val="002C08A9"/>
    <w:rsid w:val="002C0A96"/>
    <w:rsid w:val="002C0C39"/>
    <w:rsid w:val="002C0E60"/>
    <w:rsid w:val="002C0EE7"/>
    <w:rsid w:val="002C0FBE"/>
    <w:rsid w:val="002C10A8"/>
    <w:rsid w:val="002C1897"/>
    <w:rsid w:val="002C18DE"/>
    <w:rsid w:val="002C1929"/>
    <w:rsid w:val="002C1944"/>
    <w:rsid w:val="002C1BF4"/>
    <w:rsid w:val="002C1CD0"/>
    <w:rsid w:val="002C1E0D"/>
    <w:rsid w:val="002C1E88"/>
    <w:rsid w:val="002C203E"/>
    <w:rsid w:val="002C2266"/>
    <w:rsid w:val="002C2309"/>
    <w:rsid w:val="002C24D1"/>
    <w:rsid w:val="002C2626"/>
    <w:rsid w:val="002C2680"/>
    <w:rsid w:val="002C28EB"/>
    <w:rsid w:val="002C296A"/>
    <w:rsid w:val="002C2AFE"/>
    <w:rsid w:val="002C2F2A"/>
    <w:rsid w:val="002C3260"/>
    <w:rsid w:val="002C3265"/>
    <w:rsid w:val="002C32EB"/>
    <w:rsid w:val="002C3666"/>
    <w:rsid w:val="002C3701"/>
    <w:rsid w:val="002C3746"/>
    <w:rsid w:val="002C38BE"/>
    <w:rsid w:val="002C3AED"/>
    <w:rsid w:val="002C3C92"/>
    <w:rsid w:val="002C3E56"/>
    <w:rsid w:val="002C414C"/>
    <w:rsid w:val="002C41B0"/>
    <w:rsid w:val="002C4309"/>
    <w:rsid w:val="002C4C2F"/>
    <w:rsid w:val="002C56A2"/>
    <w:rsid w:val="002C5776"/>
    <w:rsid w:val="002C5BF2"/>
    <w:rsid w:val="002C5CD6"/>
    <w:rsid w:val="002C5EED"/>
    <w:rsid w:val="002C60B7"/>
    <w:rsid w:val="002C621A"/>
    <w:rsid w:val="002C66DE"/>
    <w:rsid w:val="002C6F61"/>
    <w:rsid w:val="002C70C6"/>
    <w:rsid w:val="002C7193"/>
    <w:rsid w:val="002C72C4"/>
    <w:rsid w:val="002C7699"/>
    <w:rsid w:val="002C7713"/>
    <w:rsid w:val="002C7A49"/>
    <w:rsid w:val="002C7B1A"/>
    <w:rsid w:val="002D0128"/>
    <w:rsid w:val="002D0231"/>
    <w:rsid w:val="002D0603"/>
    <w:rsid w:val="002D064F"/>
    <w:rsid w:val="002D0ABE"/>
    <w:rsid w:val="002D0E85"/>
    <w:rsid w:val="002D0F9B"/>
    <w:rsid w:val="002D0FA7"/>
    <w:rsid w:val="002D125D"/>
    <w:rsid w:val="002D12FB"/>
    <w:rsid w:val="002D1306"/>
    <w:rsid w:val="002D1713"/>
    <w:rsid w:val="002D19D1"/>
    <w:rsid w:val="002D1A6A"/>
    <w:rsid w:val="002D1ABA"/>
    <w:rsid w:val="002D1E7C"/>
    <w:rsid w:val="002D1F35"/>
    <w:rsid w:val="002D1FA3"/>
    <w:rsid w:val="002D207B"/>
    <w:rsid w:val="002D20CD"/>
    <w:rsid w:val="002D23C6"/>
    <w:rsid w:val="002D24F0"/>
    <w:rsid w:val="002D25EB"/>
    <w:rsid w:val="002D2736"/>
    <w:rsid w:val="002D27DA"/>
    <w:rsid w:val="002D290D"/>
    <w:rsid w:val="002D29F3"/>
    <w:rsid w:val="002D29FE"/>
    <w:rsid w:val="002D2CAC"/>
    <w:rsid w:val="002D3126"/>
    <w:rsid w:val="002D3322"/>
    <w:rsid w:val="002D3529"/>
    <w:rsid w:val="002D3682"/>
    <w:rsid w:val="002D3994"/>
    <w:rsid w:val="002D3A44"/>
    <w:rsid w:val="002D3ACD"/>
    <w:rsid w:val="002D3D0A"/>
    <w:rsid w:val="002D3D19"/>
    <w:rsid w:val="002D42A3"/>
    <w:rsid w:val="002D43F9"/>
    <w:rsid w:val="002D4405"/>
    <w:rsid w:val="002D478E"/>
    <w:rsid w:val="002D47AE"/>
    <w:rsid w:val="002D496E"/>
    <w:rsid w:val="002D4A94"/>
    <w:rsid w:val="002D50C6"/>
    <w:rsid w:val="002D55F6"/>
    <w:rsid w:val="002D5994"/>
    <w:rsid w:val="002D5CBF"/>
    <w:rsid w:val="002D5E94"/>
    <w:rsid w:val="002D63AD"/>
    <w:rsid w:val="002D65FF"/>
    <w:rsid w:val="002D68EC"/>
    <w:rsid w:val="002D6AC6"/>
    <w:rsid w:val="002D6D10"/>
    <w:rsid w:val="002D6ED2"/>
    <w:rsid w:val="002D71E2"/>
    <w:rsid w:val="002D7367"/>
    <w:rsid w:val="002D7453"/>
    <w:rsid w:val="002D7702"/>
    <w:rsid w:val="002D7732"/>
    <w:rsid w:val="002D7961"/>
    <w:rsid w:val="002D7B6A"/>
    <w:rsid w:val="002D7E36"/>
    <w:rsid w:val="002E0026"/>
    <w:rsid w:val="002E02E0"/>
    <w:rsid w:val="002E034E"/>
    <w:rsid w:val="002E0732"/>
    <w:rsid w:val="002E08E8"/>
    <w:rsid w:val="002E0918"/>
    <w:rsid w:val="002E0B6C"/>
    <w:rsid w:val="002E0BAA"/>
    <w:rsid w:val="002E0D4E"/>
    <w:rsid w:val="002E0D96"/>
    <w:rsid w:val="002E0EA5"/>
    <w:rsid w:val="002E0F31"/>
    <w:rsid w:val="002E1515"/>
    <w:rsid w:val="002E17FE"/>
    <w:rsid w:val="002E190F"/>
    <w:rsid w:val="002E1A33"/>
    <w:rsid w:val="002E1E19"/>
    <w:rsid w:val="002E1F46"/>
    <w:rsid w:val="002E22B2"/>
    <w:rsid w:val="002E22B7"/>
    <w:rsid w:val="002E2473"/>
    <w:rsid w:val="002E24B5"/>
    <w:rsid w:val="002E26CB"/>
    <w:rsid w:val="002E283F"/>
    <w:rsid w:val="002E2854"/>
    <w:rsid w:val="002E287D"/>
    <w:rsid w:val="002E2BA1"/>
    <w:rsid w:val="002E2E74"/>
    <w:rsid w:val="002E30C5"/>
    <w:rsid w:val="002E32D2"/>
    <w:rsid w:val="002E3537"/>
    <w:rsid w:val="002E361B"/>
    <w:rsid w:val="002E363B"/>
    <w:rsid w:val="002E366D"/>
    <w:rsid w:val="002E37AB"/>
    <w:rsid w:val="002E38FE"/>
    <w:rsid w:val="002E3A80"/>
    <w:rsid w:val="002E3CD2"/>
    <w:rsid w:val="002E41C7"/>
    <w:rsid w:val="002E41DE"/>
    <w:rsid w:val="002E4485"/>
    <w:rsid w:val="002E452C"/>
    <w:rsid w:val="002E4828"/>
    <w:rsid w:val="002E4859"/>
    <w:rsid w:val="002E49B0"/>
    <w:rsid w:val="002E4AC7"/>
    <w:rsid w:val="002E4BB3"/>
    <w:rsid w:val="002E51DF"/>
    <w:rsid w:val="002E521A"/>
    <w:rsid w:val="002E5254"/>
    <w:rsid w:val="002E555B"/>
    <w:rsid w:val="002E57B9"/>
    <w:rsid w:val="002E58ED"/>
    <w:rsid w:val="002E5BB2"/>
    <w:rsid w:val="002E600C"/>
    <w:rsid w:val="002E6022"/>
    <w:rsid w:val="002E6127"/>
    <w:rsid w:val="002E652A"/>
    <w:rsid w:val="002E6885"/>
    <w:rsid w:val="002E6E2F"/>
    <w:rsid w:val="002E6E7C"/>
    <w:rsid w:val="002E6E81"/>
    <w:rsid w:val="002E72E4"/>
    <w:rsid w:val="002E739D"/>
    <w:rsid w:val="002E7674"/>
    <w:rsid w:val="002E77F3"/>
    <w:rsid w:val="002E795D"/>
    <w:rsid w:val="002E7B3C"/>
    <w:rsid w:val="002E7BF8"/>
    <w:rsid w:val="002E7CC1"/>
    <w:rsid w:val="002E7D60"/>
    <w:rsid w:val="002E7DEC"/>
    <w:rsid w:val="002E7E45"/>
    <w:rsid w:val="002F0062"/>
    <w:rsid w:val="002F01EE"/>
    <w:rsid w:val="002F023F"/>
    <w:rsid w:val="002F0242"/>
    <w:rsid w:val="002F052F"/>
    <w:rsid w:val="002F089E"/>
    <w:rsid w:val="002F0975"/>
    <w:rsid w:val="002F0E00"/>
    <w:rsid w:val="002F0E87"/>
    <w:rsid w:val="002F0F36"/>
    <w:rsid w:val="002F1276"/>
    <w:rsid w:val="002F164C"/>
    <w:rsid w:val="002F16E1"/>
    <w:rsid w:val="002F1986"/>
    <w:rsid w:val="002F1C9F"/>
    <w:rsid w:val="002F1E06"/>
    <w:rsid w:val="002F1E49"/>
    <w:rsid w:val="002F1E5F"/>
    <w:rsid w:val="002F220D"/>
    <w:rsid w:val="002F255F"/>
    <w:rsid w:val="002F2700"/>
    <w:rsid w:val="002F2A49"/>
    <w:rsid w:val="002F2AA9"/>
    <w:rsid w:val="002F301A"/>
    <w:rsid w:val="002F30F1"/>
    <w:rsid w:val="002F321C"/>
    <w:rsid w:val="002F3294"/>
    <w:rsid w:val="002F3550"/>
    <w:rsid w:val="002F3631"/>
    <w:rsid w:val="002F3766"/>
    <w:rsid w:val="002F3B63"/>
    <w:rsid w:val="002F3C56"/>
    <w:rsid w:val="002F3DA6"/>
    <w:rsid w:val="002F41E7"/>
    <w:rsid w:val="002F42B3"/>
    <w:rsid w:val="002F4661"/>
    <w:rsid w:val="002F46B0"/>
    <w:rsid w:val="002F46BC"/>
    <w:rsid w:val="002F48D3"/>
    <w:rsid w:val="002F4A17"/>
    <w:rsid w:val="002F4B17"/>
    <w:rsid w:val="002F4ECD"/>
    <w:rsid w:val="002F500A"/>
    <w:rsid w:val="002F50F3"/>
    <w:rsid w:val="002F5150"/>
    <w:rsid w:val="002F5174"/>
    <w:rsid w:val="002F525B"/>
    <w:rsid w:val="002F5463"/>
    <w:rsid w:val="002F5651"/>
    <w:rsid w:val="002F58C2"/>
    <w:rsid w:val="002F5932"/>
    <w:rsid w:val="002F5B28"/>
    <w:rsid w:val="002F5C85"/>
    <w:rsid w:val="002F603B"/>
    <w:rsid w:val="002F6201"/>
    <w:rsid w:val="002F6208"/>
    <w:rsid w:val="002F6884"/>
    <w:rsid w:val="002F68D5"/>
    <w:rsid w:val="002F6A2B"/>
    <w:rsid w:val="002F6CA0"/>
    <w:rsid w:val="002F6CB1"/>
    <w:rsid w:val="002F6E9C"/>
    <w:rsid w:val="002F6F04"/>
    <w:rsid w:val="002F70C2"/>
    <w:rsid w:val="002F724B"/>
    <w:rsid w:val="002F72BA"/>
    <w:rsid w:val="002F7B89"/>
    <w:rsid w:val="00300267"/>
    <w:rsid w:val="003004D2"/>
    <w:rsid w:val="00300674"/>
    <w:rsid w:val="0030093E"/>
    <w:rsid w:val="00300A5C"/>
    <w:rsid w:val="00300C88"/>
    <w:rsid w:val="00300D6B"/>
    <w:rsid w:val="00301380"/>
    <w:rsid w:val="00301E89"/>
    <w:rsid w:val="00301ECC"/>
    <w:rsid w:val="0030203E"/>
    <w:rsid w:val="00302052"/>
    <w:rsid w:val="00302142"/>
    <w:rsid w:val="00302169"/>
    <w:rsid w:val="00302286"/>
    <w:rsid w:val="00302612"/>
    <w:rsid w:val="00302A29"/>
    <w:rsid w:val="00302ADB"/>
    <w:rsid w:val="00302B0E"/>
    <w:rsid w:val="00302D43"/>
    <w:rsid w:val="00302DEC"/>
    <w:rsid w:val="00302E5C"/>
    <w:rsid w:val="00303254"/>
    <w:rsid w:val="003033C2"/>
    <w:rsid w:val="00303429"/>
    <w:rsid w:val="00303B08"/>
    <w:rsid w:val="00303E0B"/>
    <w:rsid w:val="0030408D"/>
    <w:rsid w:val="00304135"/>
    <w:rsid w:val="003044D9"/>
    <w:rsid w:val="003048E8"/>
    <w:rsid w:val="00304942"/>
    <w:rsid w:val="00304D8A"/>
    <w:rsid w:val="00305083"/>
    <w:rsid w:val="00305216"/>
    <w:rsid w:val="0030525A"/>
    <w:rsid w:val="0030529E"/>
    <w:rsid w:val="00305556"/>
    <w:rsid w:val="0030555B"/>
    <w:rsid w:val="00305BFD"/>
    <w:rsid w:val="00305C8F"/>
    <w:rsid w:val="00306172"/>
    <w:rsid w:val="003061F5"/>
    <w:rsid w:val="00306A60"/>
    <w:rsid w:val="00306AF6"/>
    <w:rsid w:val="00306D27"/>
    <w:rsid w:val="00306EA3"/>
    <w:rsid w:val="00306F65"/>
    <w:rsid w:val="0030739C"/>
    <w:rsid w:val="00307493"/>
    <w:rsid w:val="003075C3"/>
    <w:rsid w:val="003075DE"/>
    <w:rsid w:val="00307655"/>
    <w:rsid w:val="00307C82"/>
    <w:rsid w:val="00307F19"/>
    <w:rsid w:val="00310231"/>
    <w:rsid w:val="0031086C"/>
    <w:rsid w:val="00310D51"/>
    <w:rsid w:val="00310DD7"/>
    <w:rsid w:val="003112CE"/>
    <w:rsid w:val="0031144E"/>
    <w:rsid w:val="00311AFA"/>
    <w:rsid w:val="00311B36"/>
    <w:rsid w:val="00311C92"/>
    <w:rsid w:val="00311DF3"/>
    <w:rsid w:val="00311E36"/>
    <w:rsid w:val="00311E8B"/>
    <w:rsid w:val="00312854"/>
    <w:rsid w:val="003128D1"/>
    <w:rsid w:val="003128D5"/>
    <w:rsid w:val="00312974"/>
    <w:rsid w:val="003129AF"/>
    <w:rsid w:val="00313145"/>
    <w:rsid w:val="003131CF"/>
    <w:rsid w:val="003133AE"/>
    <w:rsid w:val="003133BF"/>
    <w:rsid w:val="00313414"/>
    <w:rsid w:val="0031371B"/>
    <w:rsid w:val="003137E6"/>
    <w:rsid w:val="00313F2D"/>
    <w:rsid w:val="00314003"/>
    <w:rsid w:val="00314156"/>
    <w:rsid w:val="00314279"/>
    <w:rsid w:val="00314320"/>
    <w:rsid w:val="0031454D"/>
    <w:rsid w:val="00314732"/>
    <w:rsid w:val="00314BD1"/>
    <w:rsid w:val="0031505E"/>
    <w:rsid w:val="00315081"/>
    <w:rsid w:val="0031535B"/>
    <w:rsid w:val="00315565"/>
    <w:rsid w:val="00315B68"/>
    <w:rsid w:val="00315E40"/>
    <w:rsid w:val="00316418"/>
    <w:rsid w:val="00316684"/>
    <w:rsid w:val="003168E5"/>
    <w:rsid w:val="00316A0E"/>
    <w:rsid w:val="00316AC7"/>
    <w:rsid w:val="003170F4"/>
    <w:rsid w:val="003172D7"/>
    <w:rsid w:val="0031750F"/>
    <w:rsid w:val="00317586"/>
    <w:rsid w:val="003179D3"/>
    <w:rsid w:val="00317A3A"/>
    <w:rsid w:val="00317AAD"/>
    <w:rsid w:val="00317E02"/>
    <w:rsid w:val="00317F1F"/>
    <w:rsid w:val="0032035D"/>
    <w:rsid w:val="003205E9"/>
    <w:rsid w:val="003208F9"/>
    <w:rsid w:val="0032097E"/>
    <w:rsid w:val="00320B28"/>
    <w:rsid w:val="00320BD6"/>
    <w:rsid w:val="00320C92"/>
    <w:rsid w:val="0032123E"/>
    <w:rsid w:val="0032141C"/>
    <w:rsid w:val="003216D5"/>
    <w:rsid w:val="003216FF"/>
    <w:rsid w:val="00321866"/>
    <w:rsid w:val="00321A83"/>
    <w:rsid w:val="00321C1A"/>
    <w:rsid w:val="00321E56"/>
    <w:rsid w:val="00321F6B"/>
    <w:rsid w:val="003220A4"/>
    <w:rsid w:val="00322389"/>
    <w:rsid w:val="00322624"/>
    <w:rsid w:val="00322669"/>
    <w:rsid w:val="00322968"/>
    <w:rsid w:val="003229FB"/>
    <w:rsid w:val="00322A11"/>
    <w:rsid w:val="00322BE5"/>
    <w:rsid w:val="00322C7D"/>
    <w:rsid w:val="00322E87"/>
    <w:rsid w:val="0032312D"/>
    <w:rsid w:val="003231D5"/>
    <w:rsid w:val="0032339E"/>
    <w:rsid w:val="0032354D"/>
    <w:rsid w:val="003237FA"/>
    <w:rsid w:val="00323A2F"/>
    <w:rsid w:val="00323AA5"/>
    <w:rsid w:val="00323E32"/>
    <w:rsid w:val="0032413F"/>
    <w:rsid w:val="003242E4"/>
    <w:rsid w:val="003244EB"/>
    <w:rsid w:val="0032468D"/>
    <w:rsid w:val="0032491F"/>
    <w:rsid w:val="00324926"/>
    <w:rsid w:val="00324B25"/>
    <w:rsid w:val="00324BC0"/>
    <w:rsid w:val="00324C87"/>
    <w:rsid w:val="00324CB0"/>
    <w:rsid w:val="00324D89"/>
    <w:rsid w:val="00325165"/>
    <w:rsid w:val="0032522F"/>
    <w:rsid w:val="003253C4"/>
    <w:rsid w:val="003253F1"/>
    <w:rsid w:val="0032550F"/>
    <w:rsid w:val="003256A8"/>
    <w:rsid w:val="003258F8"/>
    <w:rsid w:val="00325992"/>
    <w:rsid w:val="00325B74"/>
    <w:rsid w:val="00325BC6"/>
    <w:rsid w:val="00325C01"/>
    <w:rsid w:val="0032638F"/>
    <w:rsid w:val="003266A6"/>
    <w:rsid w:val="0032672F"/>
    <w:rsid w:val="00326A77"/>
    <w:rsid w:val="00326B59"/>
    <w:rsid w:val="00326D64"/>
    <w:rsid w:val="003272C6"/>
    <w:rsid w:val="0032746C"/>
    <w:rsid w:val="00327752"/>
    <w:rsid w:val="00327C40"/>
    <w:rsid w:val="00327C7C"/>
    <w:rsid w:val="00327F56"/>
    <w:rsid w:val="00330009"/>
    <w:rsid w:val="003301B0"/>
    <w:rsid w:val="003301E6"/>
    <w:rsid w:val="0033049F"/>
    <w:rsid w:val="0033064C"/>
    <w:rsid w:val="00330773"/>
    <w:rsid w:val="00330931"/>
    <w:rsid w:val="00330A8E"/>
    <w:rsid w:val="00330E68"/>
    <w:rsid w:val="003310AB"/>
    <w:rsid w:val="0033110B"/>
    <w:rsid w:val="003312BE"/>
    <w:rsid w:val="00331420"/>
    <w:rsid w:val="003314D2"/>
    <w:rsid w:val="00331712"/>
    <w:rsid w:val="003317CF"/>
    <w:rsid w:val="003318EF"/>
    <w:rsid w:val="0033194B"/>
    <w:rsid w:val="00331A3F"/>
    <w:rsid w:val="00331A5F"/>
    <w:rsid w:val="00331C43"/>
    <w:rsid w:val="00332191"/>
    <w:rsid w:val="00332344"/>
    <w:rsid w:val="00332434"/>
    <w:rsid w:val="003324AA"/>
    <w:rsid w:val="00332720"/>
    <w:rsid w:val="00332752"/>
    <w:rsid w:val="00332EED"/>
    <w:rsid w:val="00332F6C"/>
    <w:rsid w:val="00332F98"/>
    <w:rsid w:val="003334A7"/>
    <w:rsid w:val="0033368C"/>
    <w:rsid w:val="003337E8"/>
    <w:rsid w:val="00333A14"/>
    <w:rsid w:val="00333B2A"/>
    <w:rsid w:val="00333DC1"/>
    <w:rsid w:val="00333FD5"/>
    <w:rsid w:val="00334381"/>
    <w:rsid w:val="003350BB"/>
    <w:rsid w:val="003350E9"/>
    <w:rsid w:val="003350F4"/>
    <w:rsid w:val="003351BA"/>
    <w:rsid w:val="0033520F"/>
    <w:rsid w:val="0033536D"/>
    <w:rsid w:val="00335519"/>
    <w:rsid w:val="00335827"/>
    <w:rsid w:val="0033596B"/>
    <w:rsid w:val="00335A93"/>
    <w:rsid w:val="00335BFF"/>
    <w:rsid w:val="00336474"/>
    <w:rsid w:val="0033650E"/>
    <w:rsid w:val="0033653F"/>
    <w:rsid w:val="003366EF"/>
    <w:rsid w:val="00336907"/>
    <w:rsid w:val="003369DF"/>
    <w:rsid w:val="00336C71"/>
    <w:rsid w:val="00336D51"/>
    <w:rsid w:val="00336D96"/>
    <w:rsid w:val="00336DFC"/>
    <w:rsid w:val="00336ED3"/>
    <w:rsid w:val="0033701D"/>
    <w:rsid w:val="003370DF"/>
    <w:rsid w:val="00337230"/>
    <w:rsid w:val="00337470"/>
    <w:rsid w:val="00337588"/>
    <w:rsid w:val="003375E6"/>
    <w:rsid w:val="00337697"/>
    <w:rsid w:val="003377D0"/>
    <w:rsid w:val="0033794D"/>
    <w:rsid w:val="00337B7E"/>
    <w:rsid w:val="00337D5A"/>
    <w:rsid w:val="00337D75"/>
    <w:rsid w:val="00337EDC"/>
    <w:rsid w:val="00340020"/>
    <w:rsid w:val="003400B0"/>
    <w:rsid w:val="00340550"/>
    <w:rsid w:val="0034068F"/>
    <w:rsid w:val="00340754"/>
    <w:rsid w:val="0034081A"/>
    <w:rsid w:val="00340B43"/>
    <w:rsid w:val="00340D83"/>
    <w:rsid w:val="00341162"/>
    <w:rsid w:val="003412C0"/>
    <w:rsid w:val="003414C1"/>
    <w:rsid w:val="00341866"/>
    <w:rsid w:val="0034195D"/>
    <w:rsid w:val="00341B7B"/>
    <w:rsid w:val="00341DAF"/>
    <w:rsid w:val="00342181"/>
    <w:rsid w:val="00342373"/>
    <w:rsid w:val="003424FE"/>
    <w:rsid w:val="00342E6D"/>
    <w:rsid w:val="00342ED5"/>
    <w:rsid w:val="0034339B"/>
    <w:rsid w:val="00343560"/>
    <w:rsid w:val="00343646"/>
    <w:rsid w:val="003437D3"/>
    <w:rsid w:val="0034380E"/>
    <w:rsid w:val="00343A20"/>
    <w:rsid w:val="00343A86"/>
    <w:rsid w:val="00343C7F"/>
    <w:rsid w:val="00343D46"/>
    <w:rsid w:val="00343FA8"/>
    <w:rsid w:val="0034402B"/>
    <w:rsid w:val="0034449E"/>
    <w:rsid w:val="00344549"/>
    <w:rsid w:val="003445C5"/>
    <w:rsid w:val="00344664"/>
    <w:rsid w:val="003449CA"/>
    <w:rsid w:val="00344B18"/>
    <w:rsid w:val="00344BDE"/>
    <w:rsid w:val="00344D46"/>
    <w:rsid w:val="00344EAC"/>
    <w:rsid w:val="003451CE"/>
    <w:rsid w:val="00345421"/>
    <w:rsid w:val="003457C4"/>
    <w:rsid w:val="00345A03"/>
    <w:rsid w:val="00345E77"/>
    <w:rsid w:val="0034621B"/>
    <w:rsid w:val="00346344"/>
    <w:rsid w:val="003463D0"/>
    <w:rsid w:val="003465A5"/>
    <w:rsid w:val="0034661C"/>
    <w:rsid w:val="00346730"/>
    <w:rsid w:val="00346817"/>
    <w:rsid w:val="003468E8"/>
    <w:rsid w:val="003468F5"/>
    <w:rsid w:val="0034699E"/>
    <w:rsid w:val="00346A65"/>
    <w:rsid w:val="00346FBF"/>
    <w:rsid w:val="00347198"/>
    <w:rsid w:val="003473D5"/>
    <w:rsid w:val="00347440"/>
    <w:rsid w:val="003475EA"/>
    <w:rsid w:val="0034792D"/>
    <w:rsid w:val="00347A27"/>
    <w:rsid w:val="00347CD4"/>
    <w:rsid w:val="00350635"/>
    <w:rsid w:val="0035074E"/>
    <w:rsid w:val="00350A55"/>
    <w:rsid w:val="00350A59"/>
    <w:rsid w:val="00350C62"/>
    <w:rsid w:val="00350D6D"/>
    <w:rsid w:val="00350DF8"/>
    <w:rsid w:val="00350FE2"/>
    <w:rsid w:val="00351004"/>
    <w:rsid w:val="00351033"/>
    <w:rsid w:val="003510D9"/>
    <w:rsid w:val="00351393"/>
    <w:rsid w:val="0035139B"/>
    <w:rsid w:val="00351424"/>
    <w:rsid w:val="0035153A"/>
    <w:rsid w:val="00351793"/>
    <w:rsid w:val="00351A33"/>
    <w:rsid w:val="00351A8A"/>
    <w:rsid w:val="00352376"/>
    <w:rsid w:val="00352391"/>
    <w:rsid w:val="0035245D"/>
    <w:rsid w:val="00352541"/>
    <w:rsid w:val="0035266A"/>
    <w:rsid w:val="0035279C"/>
    <w:rsid w:val="00352803"/>
    <w:rsid w:val="00352B23"/>
    <w:rsid w:val="00352C49"/>
    <w:rsid w:val="00352D17"/>
    <w:rsid w:val="003534D3"/>
    <w:rsid w:val="003535D2"/>
    <w:rsid w:val="00353781"/>
    <w:rsid w:val="0035384D"/>
    <w:rsid w:val="003538CC"/>
    <w:rsid w:val="00353BF0"/>
    <w:rsid w:val="00353C0B"/>
    <w:rsid w:val="00353FBA"/>
    <w:rsid w:val="003547C0"/>
    <w:rsid w:val="00354A4A"/>
    <w:rsid w:val="00354AE4"/>
    <w:rsid w:val="00354B0A"/>
    <w:rsid w:val="00354C22"/>
    <w:rsid w:val="0035507A"/>
    <w:rsid w:val="003551F9"/>
    <w:rsid w:val="00355254"/>
    <w:rsid w:val="00355363"/>
    <w:rsid w:val="003553AB"/>
    <w:rsid w:val="0035551B"/>
    <w:rsid w:val="003555ED"/>
    <w:rsid w:val="003555FF"/>
    <w:rsid w:val="00355911"/>
    <w:rsid w:val="00355A74"/>
    <w:rsid w:val="00355DB0"/>
    <w:rsid w:val="00355DF8"/>
    <w:rsid w:val="0035636B"/>
    <w:rsid w:val="00356714"/>
    <w:rsid w:val="00356C5E"/>
    <w:rsid w:val="00356DA9"/>
    <w:rsid w:val="00357287"/>
    <w:rsid w:val="003572F9"/>
    <w:rsid w:val="00357424"/>
    <w:rsid w:val="003574FF"/>
    <w:rsid w:val="00357B89"/>
    <w:rsid w:val="00357FFC"/>
    <w:rsid w:val="0036002B"/>
    <w:rsid w:val="00360102"/>
    <w:rsid w:val="003601A9"/>
    <w:rsid w:val="0036079A"/>
    <w:rsid w:val="003608A2"/>
    <w:rsid w:val="00360B0F"/>
    <w:rsid w:val="00360D0B"/>
    <w:rsid w:val="00361140"/>
    <w:rsid w:val="00361789"/>
    <w:rsid w:val="0036196D"/>
    <w:rsid w:val="00361EEC"/>
    <w:rsid w:val="0036208F"/>
    <w:rsid w:val="0036246B"/>
    <w:rsid w:val="003627BD"/>
    <w:rsid w:val="00362876"/>
    <w:rsid w:val="00362997"/>
    <w:rsid w:val="003629B5"/>
    <w:rsid w:val="00362A40"/>
    <w:rsid w:val="00362C59"/>
    <w:rsid w:val="00362F2B"/>
    <w:rsid w:val="00363040"/>
    <w:rsid w:val="003630B7"/>
    <w:rsid w:val="00363275"/>
    <w:rsid w:val="0036336F"/>
    <w:rsid w:val="00363436"/>
    <w:rsid w:val="00363786"/>
    <w:rsid w:val="00363870"/>
    <w:rsid w:val="0036389C"/>
    <w:rsid w:val="003638A4"/>
    <w:rsid w:val="003639BF"/>
    <w:rsid w:val="00363AA8"/>
    <w:rsid w:val="00363C48"/>
    <w:rsid w:val="00363DDC"/>
    <w:rsid w:val="00363E41"/>
    <w:rsid w:val="00363E95"/>
    <w:rsid w:val="00363ED8"/>
    <w:rsid w:val="00363EDD"/>
    <w:rsid w:val="00363FD2"/>
    <w:rsid w:val="003644D0"/>
    <w:rsid w:val="00364CC5"/>
    <w:rsid w:val="00364CD8"/>
    <w:rsid w:val="003651F5"/>
    <w:rsid w:val="0036538D"/>
    <w:rsid w:val="003654E1"/>
    <w:rsid w:val="00365580"/>
    <w:rsid w:val="00365590"/>
    <w:rsid w:val="0036572E"/>
    <w:rsid w:val="00365C26"/>
    <w:rsid w:val="00365E21"/>
    <w:rsid w:val="00365ED8"/>
    <w:rsid w:val="00365F6A"/>
    <w:rsid w:val="0036601E"/>
    <w:rsid w:val="00366082"/>
    <w:rsid w:val="00366156"/>
    <w:rsid w:val="003663D9"/>
    <w:rsid w:val="003663E8"/>
    <w:rsid w:val="003666BF"/>
    <w:rsid w:val="00366707"/>
    <w:rsid w:val="00366CC9"/>
    <w:rsid w:val="00366D79"/>
    <w:rsid w:val="00366EE3"/>
    <w:rsid w:val="00366FA9"/>
    <w:rsid w:val="0036715F"/>
    <w:rsid w:val="00367388"/>
    <w:rsid w:val="00367585"/>
    <w:rsid w:val="003679BA"/>
    <w:rsid w:val="00367E49"/>
    <w:rsid w:val="00367F41"/>
    <w:rsid w:val="003700E6"/>
    <w:rsid w:val="003701F8"/>
    <w:rsid w:val="003702F6"/>
    <w:rsid w:val="0037037A"/>
    <w:rsid w:val="0037039B"/>
    <w:rsid w:val="0037094D"/>
    <w:rsid w:val="0037099C"/>
    <w:rsid w:val="00370A78"/>
    <w:rsid w:val="00370C9A"/>
    <w:rsid w:val="00370D32"/>
    <w:rsid w:val="00370E3F"/>
    <w:rsid w:val="00371365"/>
    <w:rsid w:val="003714DA"/>
    <w:rsid w:val="00371714"/>
    <w:rsid w:val="00371B6F"/>
    <w:rsid w:val="00371C86"/>
    <w:rsid w:val="00371CDC"/>
    <w:rsid w:val="0037207A"/>
    <w:rsid w:val="003721A3"/>
    <w:rsid w:val="00372211"/>
    <w:rsid w:val="0037236C"/>
    <w:rsid w:val="003725EC"/>
    <w:rsid w:val="003728AA"/>
    <w:rsid w:val="003729DE"/>
    <w:rsid w:val="00372A2B"/>
    <w:rsid w:val="00372E04"/>
    <w:rsid w:val="00372F16"/>
    <w:rsid w:val="003730EB"/>
    <w:rsid w:val="0037317D"/>
    <w:rsid w:val="00373467"/>
    <w:rsid w:val="003735D3"/>
    <w:rsid w:val="0037386D"/>
    <w:rsid w:val="00373956"/>
    <w:rsid w:val="00373E04"/>
    <w:rsid w:val="00373F10"/>
    <w:rsid w:val="00374153"/>
    <w:rsid w:val="00374A3F"/>
    <w:rsid w:val="00374ED0"/>
    <w:rsid w:val="00374EF3"/>
    <w:rsid w:val="003750E0"/>
    <w:rsid w:val="003756BE"/>
    <w:rsid w:val="00375840"/>
    <w:rsid w:val="0037598F"/>
    <w:rsid w:val="00375AF1"/>
    <w:rsid w:val="00375C2F"/>
    <w:rsid w:val="00375D37"/>
    <w:rsid w:val="00375FC5"/>
    <w:rsid w:val="003760A5"/>
    <w:rsid w:val="0037628B"/>
    <w:rsid w:val="003763F3"/>
    <w:rsid w:val="0037646E"/>
    <w:rsid w:val="0037687E"/>
    <w:rsid w:val="0037689B"/>
    <w:rsid w:val="003769BA"/>
    <w:rsid w:val="00376C10"/>
    <w:rsid w:val="00376EE8"/>
    <w:rsid w:val="00377040"/>
    <w:rsid w:val="0037741F"/>
    <w:rsid w:val="00377871"/>
    <w:rsid w:val="003778B2"/>
    <w:rsid w:val="00377E58"/>
    <w:rsid w:val="00377F13"/>
    <w:rsid w:val="00377FD1"/>
    <w:rsid w:val="003800C7"/>
    <w:rsid w:val="00380192"/>
    <w:rsid w:val="00380281"/>
    <w:rsid w:val="0038057E"/>
    <w:rsid w:val="003805E3"/>
    <w:rsid w:val="00380618"/>
    <w:rsid w:val="0038062E"/>
    <w:rsid w:val="003807F7"/>
    <w:rsid w:val="003809D5"/>
    <w:rsid w:val="00380AC6"/>
    <w:rsid w:val="00380B24"/>
    <w:rsid w:val="00381610"/>
    <w:rsid w:val="00381983"/>
    <w:rsid w:val="00381A82"/>
    <w:rsid w:val="00381C96"/>
    <w:rsid w:val="00381FD8"/>
    <w:rsid w:val="00382106"/>
    <w:rsid w:val="0038262B"/>
    <w:rsid w:val="00382657"/>
    <w:rsid w:val="00382753"/>
    <w:rsid w:val="00382AE9"/>
    <w:rsid w:val="00382B6A"/>
    <w:rsid w:val="00382B82"/>
    <w:rsid w:val="00382CA6"/>
    <w:rsid w:val="00382E93"/>
    <w:rsid w:val="00382F04"/>
    <w:rsid w:val="00382F9E"/>
    <w:rsid w:val="0038300C"/>
    <w:rsid w:val="003830FB"/>
    <w:rsid w:val="00383258"/>
    <w:rsid w:val="00383398"/>
    <w:rsid w:val="003834C9"/>
    <w:rsid w:val="00383D38"/>
    <w:rsid w:val="00383D69"/>
    <w:rsid w:val="00383E73"/>
    <w:rsid w:val="00383E98"/>
    <w:rsid w:val="00384172"/>
    <w:rsid w:val="003844BF"/>
    <w:rsid w:val="00384611"/>
    <w:rsid w:val="00384691"/>
    <w:rsid w:val="00384785"/>
    <w:rsid w:val="00384AA9"/>
    <w:rsid w:val="00384AED"/>
    <w:rsid w:val="003852BA"/>
    <w:rsid w:val="00385385"/>
    <w:rsid w:val="003854D5"/>
    <w:rsid w:val="0038552A"/>
    <w:rsid w:val="0038576D"/>
    <w:rsid w:val="00385844"/>
    <w:rsid w:val="003858BD"/>
    <w:rsid w:val="003859EA"/>
    <w:rsid w:val="00385CD2"/>
    <w:rsid w:val="00385DB1"/>
    <w:rsid w:val="00385E99"/>
    <w:rsid w:val="00386549"/>
    <w:rsid w:val="0038709E"/>
    <w:rsid w:val="003877EC"/>
    <w:rsid w:val="0038797F"/>
    <w:rsid w:val="00387BEC"/>
    <w:rsid w:val="00387D30"/>
    <w:rsid w:val="00390205"/>
    <w:rsid w:val="003907CC"/>
    <w:rsid w:val="00390A4D"/>
    <w:rsid w:val="00390A61"/>
    <w:rsid w:val="00390B7F"/>
    <w:rsid w:val="00390C95"/>
    <w:rsid w:val="00390DD5"/>
    <w:rsid w:val="0039163A"/>
    <w:rsid w:val="00391664"/>
    <w:rsid w:val="00391753"/>
    <w:rsid w:val="00391C7F"/>
    <w:rsid w:val="00391DFF"/>
    <w:rsid w:val="003921A8"/>
    <w:rsid w:val="00392454"/>
    <w:rsid w:val="00392455"/>
    <w:rsid w:val="003924B4"/>
    <w:rsid w:val="00392839"/>
    <w:rsid w:val="00392A6C"/>
    <w:rsid w:val="00392C85"/>
    <w:rsid w:val="00392D3B"/>
    <w:rsid w:val="00392FD8"/>
    <w:rsid w:val="003932BA"/>
    <w:rsid w:val="0039330A"/>
    <w:rsid w:val="00393432"/>
    <w:rsid w:val="00393441"/>
    <w:rsid w:val="003936E8"/>
    <w:rsid w:val="00393817"/>
    <w:rsid w:val="00393CAA"/>
    <w:rsid w:val="00393D9E"/>
    <w:rsid w:val="00393E11"/>
    <w:rsid w:val="00393E82"/>
    <w:rsid w:val="0039401A"/>
    <w:rsid w:val="00394475"/>
    <w:rsid w:val="00394657"/>
    <w:rsid w:val="00394A09"/>
    <w:rsid w:val="00394C0D"/>
    <w:rsid w:val="00394C48"/>
    <w:rsid w:val="00394D31"/>
    <w:rsid w:val="00394EF8"/>
    <w:rsid w:val="003950A7"/>
    <w:rsid w:val="0039517A"/>
    <w:rsid w:val="003951D0"/>
    <w:rsid w:val="00395B51"/>
    <w:rsid w:val="00395D2E"/>
    <w:rsid w:val="003962B5"/>
    <w:rsid w:val="00396474"/>
    <w:rsid w:val="00396796"/>
    <w:rsid w:val="00396EC6"/>
    <w:rsid w:val="00396F3C"/>
    <w:rsid w:val="003970BA"/>
    <w:rsid w:val="0039746C"/>
    <w:rsid w:val="003975AC"/>
    <w:rsid w:val="00397971"/>
    <w:rsid w:val="00397C36"/>
    <w:rsid w:val="00397D45"/>
    <w:rsid w:val="00397DC6"/>
    <w:rsid w:val="003A0413"/>
    <w:rsid w:val="003A04AF"/>
    <w:rsid w:val="003A0B44"/>
    <w:rsid w:val="003A0BAE"/>
    <w:rsid w:val="003A0C4F"/>
    <w:rsid w:val="003A0E82"/>
    <w:rsid w:val="003A0FAC"/>
    <w:rsid w:val="003A115C"/>
    <w:rsid w:val="003A184D"/>
    <w:rsid w:val="003A1C35"/>
    <w:rsid w:val="003A1FB7"/>
    <w:rsid w:val="003A228B"/>
    <w:rsid w:val="003A2317"/>
    <w:rsid w:val="003A275D"/>
    <w:rsid w:val="003A293B"/>
    <w:rsid w:val="003A2962"/>
    <w:rsid w:val="003A2A8C"/>
    <w:rsid w:val="003A2AFC"/>
    <w:rsid w:val="003A2D3B"/>
    <w:rsid w:val="003A2E61"/>
    <w:rsid w:val="003A30D3"/>
    <w:rsid w:val="003A31ED"/>
    <w:rsid w:val="003A371E"/>
    <w:rsid w:val="003A3BEC"/>
    <w:rsid w:val="003A3BFE"/>
    <w:rsid w:val="003A3E43"/>
    <w:rsid w:val="003A4261"/>
    <w:rsid w:val="003A462A"/>
    <w:rsid w:val="003A4726"/>
    <w:rsid w:val="003A4AB2"/>
    <w:rsid w:val="003A4B38"/>
    <w:rsid w:val="003A4C9F"/>
    <w:rsid w:val="003A4CE8"/>
    <w:rsid w:val="003A4F50"/>
    <w:rsid w:val="003A50F3"/>
    <w:rsid w:val="003A5161"/>
    <w:rsid w:val="003A52AD"/>
    <w:rsid w:val="003A55D0"/>
    <w:rsid w:val="003A586A"/>
    <w:rsid w:val="003A595F"/>
    <w:rsid w:val="003A5BFB"/>
    <w:rsid w:val="003A5EEC"/>
    <w:rsid w:val="003A5F39"/>
    <w:rsid w:val="003A5FE2"/>
    <w:rsid w:val="003A60B8"/>
    <w:rsid w:val="003A6AFC"/>
    <w:rsid w:val="003A6D7D"/>
    <w:rsid w:val="003A6E80"/>
    <w:rsid w:val="003A6F0C"/>
    <w:rsid w:val="003A6FD3"/>
    <w:rsid w:val="003A7173"/>
    <w:rsid w:val="003A73F9"/>
    <w:rsid w:val="003A79AE"/>
    <w:rsid w:val="003A7CA3"/>
    <w:rsid w:val="003B00B6"/>
    <w:rsid w:val="003B01C4"/>
    <w:rsid w:val="003B0268"/>
    <w:rsid w:val="003B07E6"/>
    <w:rsid w:val="003B0BB0"/>
    <w:rsid w:val="003B11EE"/>
    <w:rsid w:val="003B121E"/>
    <w:rsid w:val="003B1332"/>
    <w:rsid w:val="003B135E"/>
    <w:rsid w:val="003B143D"/>
    <w:rsid w:val="003B15F8"/>
    <w:rsid w:val="003B18EB"/>
    <w:rsid w:val="003B1AA7"/>
    <w:rsid w:val="003B1C1F"/>
    <w:rsid w:val="003B1C21"/>
    <w:rsid w:val="003B221F"/>
    <w:rsid w:val="003B230B"/>
    <w:rsid w:val="003B2320"/>
    <w:rsid w:val="003B23BC"/>
    <w:rsid w:val="003B28D7"/>
    <w:rsid w:val="003B2B9E"/>
    <w:rsid w:val="003B2DB5"/>
    <w:rsid w:val="003B2E0D"/>
    <w:rsid w:val="003B2F05"/>
    <w:rsid w:val="003B3072"/>
    <w:rsid w:val="003B3966"/>
    <w:rsid w:val="003B39B7"/>
    <w:rsid w:val="003B4224"/>
    <w:rsid w:val="003B4342"/>
    <w:rsid w:val="003B4745"/>
    <w:rsid w:val="003B477F"/>
    <w:rsid w:val="003B4935"/>
    <w:rsid w:val="003B4C54"/>
    <w:rsid w:val="003B4EB0"/>
    <w:rsid w:val="003B5428"/>
    <w:rsid w:val="003B5A88"/>
    <w:rsid w:val="003B5BF5"/>
    <w:rsid w:val="003B5DDB"/>
    <w:rsid w:val="003B5F6A"/>
    <w:rsid w:val="003B649C"/>
    <w:rsid w:val="003B6B7F"/>
    <w:rsid w:val="003B6D67"/>
    <w:rsid w:val="003B6F77"/>
    <w:rsid w:val="003B7033"/>
    <w:rsid w:val="003B7414"/>
    <w:rsid w:val="003B77D9"/>
    <w:rsid w:val="003B77E1"/>
    <w:rsid w:val="003B7820"/>
    <w:rsid w:val="003B7843"/>
    <w:rsid w:val="003B7877"/>
    <w:rsid w:val="003B7B1D"/>
    <w:rsid w:val="003B7C3F"/>
    <w:rsid w:val="003B7DE6"/>
    <w:rsid w:val="003B7E3C"/>
    <w:rsid w:val="003C01A4"/>
    <w:rsid w:val="003C0219"/>
    <w:rsid w:val="003C04BC"/>
    <w:rsid w:val="003C04DA"/>
    <w:rsid w:val="003C07DF"/>
    <w:rsid w:val="003C07FE"/>
    <w:rsid w:val="003C0C12"/>
    <w:rsid w:val="003C0DBE"/>
    <w:rsid w:val="003C10D0"/>
    <w:rsid w:val="003C10F1"/>
    <w:rsid w:val="003C16E5"/>
    <w:rsid w:val="003C16EE"/>
    <w:rsid w:val="003C1C87"/>
    <w:rsid w:val="003C1DDF"/>
    <w:rsid w:val="003C1E27"/>
    <w:rsid w:val="003C2310"/>
    <w:rsid w:val="003C25CE"/>
    <w:rsid w:val="003C2B4A"/>
    <w:rsid w:val="003C2BCB"/>
    <w:rsid w:val="003C2C2F"/>
    <w:rsid w:val="003C2C85"/>
    <w:rsid w:val="003C2F3D"/>
    <w:rsid w:val="003C2F61"/>
    <w:rsid w:val="003C2FA3"/>
    <w:rsid w:val="003C30AA"/>
    <w:rsid w:val="003C330A"/>
    <w:rsid w:val="003C345E"/>
    <w:rsid w:val="003C3651"/>
    <w:rsid w:val="003C3FCE"/>
    <w:rsid w:val="003C41D1"/>
    <w:rsid w:val="003C4335"/>
    <w:rsid w:val="003C4409"/>
    <w:rsid w:val="003C461D"/>
    <w:rsid w:val="003C4997"/>
    <w:rsid w:val="003C4A89"/>
    <w:rsid w:val="003C4B70"/>
    <w:rsid w:val="003C4B97"/>
    <w:rsid w:val="003C4DA5"/>
    <w:rsid w:val="003C4FD9"/>
    <w:rsid w:val="003C5085"/>
    <w:rsid w:val="003C5666"/>
    <w:rsid w:val="003C5694"/>
    <w:rsid w:val="003C5B29"/>
    <w:rsid w:val="003C5BED"/>
    <w:rsid w:val="003C5DF6"/>
    <w:rsid w:val="003C5E10"/>
    <w:rsid w:val="003C5E6A"/>
    <w:rsid w:val="003C6135"/>
    <w:rsid w:val="003C6304"/>
    <w:rsid w:val="003C64F4"/>
    <w:rsid w:val="003C65B9"/>
    <w:rsid w:val="003C6663"/>
    <w:rsid w:val="003C6DE1"/>
    <w:rsid w:val="003C6E6E"/>
    <w:rsid w:val="003C724B"/>
    <w:rsid w:val="003C73DB"/>
    <w:rsid w:val="003C74BF"/>
    <w:rsid w:val="003C76CE"/>
    <w:rsid w:val="003C7828"/>
    <w:rsid w:val="003C7855"/>
    <w:rsid w:val="003C7F05"/>
    <w:rsid w:val="003D0185"/>
    <w:rsid w:val="003D02CB"/>
    <w:rsid w:val="003D0382"/>
    <w:rsid w:val="003D0526"/>
    <w:rsid w:val="003D057A"/>
    <w:rsid w:val="003D069C"/>
    <w:rsid w:val="003D06F9"/>
    <w:rsid w:val="003D0767"/>
    <w:rsid w:val="003D0968"/>
    <w:rsid w:val="003D0BC2"/>
    <w:rsid w:val="003D0F3A"/>
    <w:rsid w:val="003D10B2"/>
    <w:rsid w:val="003D11A3"/>
    <w:rsid w:val="003D11B5"/>
    <w:rsid w:val="003D11FD"/>
    <w:rsid w:val="003D164E"/>
    <w:rsid w:val="003D1889"/>
    <w:rsid w:val="003D191E"/>
    <w:rsid w:val="003D1A43"/>
    <w:rsid w:val="003D1B9D"/>
    <w:rsid w:val="003D2004"/>
    <w:rsid w:val="003D215B"/>
    <w:rsid w:val="003D21E5"/>
    <w:rsid w:val="003D22A5"/>
    <w:rsid w:val="003D22C7"/>
    <w:rsid w:val="003D23A4"/>
    <w:rsid w:val="003D2971"/>
    <w:rsid w:val="003D2ACE"/>
    <w:rsid w:val="003D305B"/>
    <w:rsid w:val="003D31E1"/>
    <w:rsid w:val="003D3414"/>
    <w:rsid w:val="003D3426"/>
    <w:rsid w:val="003D3721"/>
    <w:rsid w:val="003D3811"/>
    <w:rsid w:val="003D3813"/>
    <w:rsid w:val="003D3941"/>
    <w:rsid w:val="003D3BAC"/>
    <w:rsid w:val="003D3E33"/>
    <w:rsid w:val="003D4662"/>
    <w:rsid w:val="003D46BA"/>
    <w:rsid w:val="003D4A58"/>
    <w:rsid w:val="003D4E5F"/>
    <w:rsid w:val="003D4E6A"/>
    <w:rsid w:val="003D5120"/>
    <w:rsid w:val="003D5562"/>
    <w:rsid w:val="003D5581"/>
    <w:rsid w:val="003D5749"/>
    <w:rsid w:val="003D590A"/>
    <w:rsid w:val="003D5AFF"/>
    <w:rsid w:val="003D5BF5"/>
    <w:rsid w:val="003D5D89"/>
    <w:rsid w:val="003D5F82"/>
    <w:rsid w:val="003D6722"/>
    <w:rsid w:val="003D68B4"/>
    <w:rsid w:val="003D68CE"/>
    <w:rsid w:val="003D6C4E"/>
    <w:rsid w:val="003D6CD9"/>
    <w:rsid w:val="003D7178"/>
    <w:rsid w:val="003D717C"/>
    <w:rsid w:val="003D7428"/>
    <w:rsid w:val="003D77F2"/>
    <w:rsid w:val="003D78CC"/>
    <w:rsid w:val="003D7901"/>
    <w:rsid w:val="003D79D9"/>
    <w:rsid w:val="003D7D01"/>
    <w:rsid w:val="003D7ED8"/>
    <w:rsid w:val="003E0003"/>
    <w:rsid w:val="003E004D"/>
    <w:rsid w:val="003E0099"/>
    <w:rsid w:val="003E00C0"/>
    <w:rsid w:val="003E0176"/>
    <w:rsid w:val="003E02BA"/>
    <w:rsid w:val="003E08C7"/>
    <w:rsid w:val="003E0992"/>
    <w:rsid w:val="003E0ABF"/>
    <w:rsid w:val="003E139C"/>
    <w:rsid w:val="003E185A"/>
    <w:rsid w:val="003E1A72"/>
    <w:rsid w:val="003E1FF0"/>
    <w:rsid w:val="003E20CE"/>
    <w:rsid w:val="003E26F5"/>
    <w:rsid w:val="003E2756"/>
    <w:rsid w:val="003E2785"/>
    <w:rsid w:val="003E27A6"/>
    <w:rsid w:val="003E282B"/>
    <w:rsid w:val="003E2880"/>
    <w:rsid w:val="003E28FB"/>
    <w:rsid w:val="003E2A00"/>
    <w:rsid w:val="003E2B3C"/>
    <w:rsid w:val="003E2CDD"/>
    <w:rsid w:val="003E2DC9"/>
    <w:rsid w:val="003E3046"/>
    <w:rsid w:val="003E319D"/>
    <w:rsid w:val="003E348F"/>
    <w:rsid w:val="003E3591"/>
    <w:rsid w:val="003E382C"/>
    <w:rsid w:val="003E3895"/>
    <w:rsid w:val="003E39AB"/>
    <w:rsid w:val="003E39F0"/>
    <w:rsid w:val="003E3BF1"/>
    <w:rsid w:val="003E3C4E"/>
    <w:rsid w:val="003E3D00"/>
    <w:rsid w:val="003E3D75"/>
    <w:rsid w:val="003E3E52"/>
    <w:rsid w:val="003E3FD6"/>
    <w:rsid w:val="003E4048"/>
    <w:rsid w:val="003E4531"/>
    <w:rsid w:val="003E4771"/>
    <w:rsid w:val="003E4CE5"/>
    <w:rsid w:val="003E54A8"/>
    <w:rsid w:val="003E57D8"/>
    <w:rsid w:val="003E5833"/>
    <w:rsid w:val="003E5A28"/>
    <w:rsid w:val="003E5DA8"/>
    <w:rsid w:val="003E6A05"/>
    <w:rsid w:val="003E7109"/>
    <w:rsid w:val="003E71B0"/>
    <w:rsid w:val="003E7700"/>
    <w:rsid w:val="003E77DC"/>
    <w:rsid w:val="003E783E"/>
    <w:rsid w:val="003E7BC1"/>
    <w:rsid w:val="003F000D"/>
    <w:rsid w:val="003F014D"/>
    <w:rsid w:val="003F038A"/>
    <w:rsid w:val="003F0453"/>
    <w:rsid w:val="003F0920"/>
    <w:rsid w:val="003F097D"/>
    <w:rsid w:val="003F0C9F"/>
    <w:rsid w:val="003F0EE1"/>
    <w:rsid w:val="003F0F55"/>
    <w:rsid w:val="003F0FCD"/>
    <w:rsid w:val="003F12F5"/>
    <w:rsid w:val="003F144A"/>
    <w:rsid w:val="003F1732"/>
    <w:rsid w:val="003F1A0F"/>
    <w:rsid w:val="003F1B02"/>
    <w:rsid w:val="003F1EFE"/>
    <w:rsid w:val="003F20DD"/>
    <w:rsid w:val="003F2212"/>
    <w:rsid w:val="003F2240"/>
    <w:rsid w:val="003F226A"/>
    <w:rsid w:val="003F2417"/>
    <w:rsid w:val="003F2460"/>
    <w:rsid w:val="003F290E"/>
    <w:rsid w:val="003F2BD1"/>
    <w:rsid w:val="003F2CB0"/>
    <w:rsid w:val="003F2DF6"/>
    <w:rsid w:val="003F2E7B"/>
    <w:rsid w:val="003F2F5E"/>
    <w:rsid w:val="003F2FDE"/>
    <w:rsid w:val="003F2FF7"/>
    <w:rsid w:val="003F300E"/>
    <w:rsid w:val="003F345C"/>
    <w:rsid w:val="003F3704"/>
    <w:rsid w:val="003F3932"/>
    <w:rsid w:val="003F39C7"/>
    <w:rsid w:val="003F3CD5"/>
    <w:rsid w:val="003F3D35"/>
    <w:rsid w:val="003F3E07"/>
    <w:rsid w:val="003F3EE6"/>
    <w:rsid w:val="003F3F9C"/>
    <w:rsid w:val="003F3FAA"/>
    <w:rsid w:val="003F4473"/>
    <w:rsid w:val="003F46AB"/>
    <w:rsid w:val="003F4C76"/>
    <w:rsid w:val="003F4CF5"/>
    <w:rsid w:val="003F4E31"/>
    <w:rsid w:val="003F4F0A"/>
    <w:rsid w:val="003F5019"/>
    <w:rsid w:val="003F5124"/>
    <w:rsid w:val="003F51A0"/>
    <w:rsid w:val="003F51EE"/>
    <w:rsid w:val="003F52E8"/>
    <w:rsid w:val="003F5694"/>
    <w:rsid w:val="003F574E"/>
    <w:rsid w:val="003F58FB"/>
    <w:rsid w:val="003F5B78"/>
    <w:rsid w:val="003F5C0D"/>
    <w:rsid w:val="003F5C10"/>
    <w:rsid w:val="003F60D6"/>
    <w:rsid w:val="003F68E9"/>
    <w:rsid w:val="003F6915"/>
    <w:rsid w:val="003F69B9"/>
    <w:rsid w:val="003F6AB3"/>
    <w:rsid w:val="003F6DAB"/>
    <w:rsid w:val="003F73EA"/>
    <w:rsid w:val="003F74A4"/>
    <w:rsid w:val="003F768F"/>
    <w:rsid w:val="003F78FF"/>
    <w:rsid w:val="003F7A59"/>
    <w:rsid w:val="003F7E15"/>
    <w:rsid w:val="003F7FDA"/>
    <w:rsid w:val="004004AB"/>
    <w:rsid w:val="00400B08"/>
    <w:rsid w:val="00400DE4"/>
    <w:rsid w:val="00401131"/>
    <w:rsid w:val="004012AB"/>
    <w:rsid w:val="00401337"/>
    <w:rsid w:val="00401397"/>
    <w:rsid w:val="004013AD"/>
    <w:rsid w:val="004016F4"/>
    <w:rsid w:val="00401EEB"/>
    <w:rsid w:val="00401EFA"/>
    <w:rsid w:val="00401F7B"/>
    <w:rsid w:val="004021C0"/>
    <w:rsid w:val="00402566"/>
    <w:rsid w:val="004027AE"/>
    <w:rsid w:val="00402865"/>
    <w:rsid w:val="004028CE"/>
    <w:rsid w:val="00402936"/>
    <w:rsid w:val="00402A1D"/>
    <w:rsid w:val="00402B34"/>
    <w:rsid w:val="00402D83"/>
    <w:rsid w:val="0040313D"/>
    <w:rsid w:val="00403588"/>
    <w:rsid w:val="004043FA"/>
    <w:rsid w:val="00404970"/>
    <w:rsid w:val="00404E63"/>
    <w:rsid w:val="00405181"/>
    <w:rsid w:val="0040567F"/>
    <w:rsid w:val="00405873"/>
    <w:rsid w:val="00405A06"/>
    <w:rsid w:val="00405D03"/>
    <w:rsid w:val="00405EC3"/>
    <w:rsid w:val="00405F09"/>
    <w:rsid w:val="004060B2"/>
    <w:rsid w:val="0040611D"/>
    <w:rsid w:val="00406500"/>
    <w:rsid w:val="004066F4"/>
    <w:rsid w:val="004067BE"/>
    <w:rsid w:val="004069FF"/>
    <w:rsid w:val="00406A32"/>
    <w:rsid w:val="00406A3E"/>
    <w:rsid w:val="00406B66"/>
    <w:rsid w:val="00406C3D"/>
    <w:rsid w:val="00406D14"/>
    <w:rsid w:val="004073F8"/>
    <w:rsid w:val="0040760B"/>
    <w:rsid w:val="00407677"/>
    <w:rsid w:val="00407A22"/>
    <w:rsid w:val="00407A80"/>
    <w:rsid w:val="00407CD1"/>
    <w:rsid w:val="00407E64"/>
    <w:rsid w:val="00407EF8"/>
    <w:rsid w:val="00407FD7"/>
    <w:rsid w:val="00407FDB"/>
    <w:rsid w:val="00410117"/>
    <w:rsid w:val="0041026C"/>
    <w:rsid w:val="00410277"/>
    <w:rsid w:val="004106B2"/>
    <w:rsid w:val="004108D1"/>
    <w:rsid w:val="00410A04"/>
    <w:rsid w:val="00410A53"/>
    <w:rsid w:val="00410B03"/>
    <w:rsid w:val="00410C32"/>
    <w:rsid w:val="00410D32"/>
    <w:rsid w:val="004111FB"/>
    <w:rsid w:val="00411215"/>
    <w:rsid w:val="00411237"/>
    <w:rsid w:val="004113AB"/>
    <w:rsid w:val="004113B0"/>
    <w:rsid w:val="0041150C"/>
    <w:rsid w:val="00411557"/>
    <w:rsid w:val="00411575"/>
    <w:rsid w:val="00411994"/>
    <w:rsid w:val="00411CE7"/>
    <w:rsid w:val="00411D74"/>
    <w:rsid w:val="00411DDE"/>
    <w:rsid w:val="00411E1A"/>
    <w:rsid w:val="00411E87"/>
    <w:rsid w:val="00411EE9"/>
    <w:rsid w:val="00411F84"/>
    <w:rsid w:val="00412069"/>
    <w:rsid w:val="004121A1"/>
    <w:rsid w:val="00412477"/>
    <w:rsid w:val="004124EB"/>
    <w:rsid w:val="00412570"/>
    <w:rsid w:val="00412795"/>
    <w:rsid w:val="004127A2"/>
    <w:rsid w:val="004127E2"/>
    <w:rsid w:val="0041280A"/>
    <w:rsid w:val="00412A4C"/>
    <w:rsid w:val="00412A9D"/>
    <w:rsid w:val="00412C39"/>
    <w:rsid w:val="00412CB1"/>
    <w:rsid w:val="00412E62"/>
    <w:rsid w:val="00412F76"/>
    <w:rsid w:val="004130D6"/>
    <w:rsid w:val="004133A5"/>
    <w:rsid w:val="0041341C"/>
    <w:rsid w:val="00413B02"/>
    <w:rsid w:val="00413D45"/>
    <w:rsid w:val="00414197"/>
    <w:rsid w:val="0041434C"/>
    <w:rsid w:val="0041498C"/>
    <w:rsid w:val="00414BDB"/>
    <w:rsid w:val="00414C42"/>
    <w:rsid w:val="00414C71"/>
    <w:rsid w:val="00414D68"/>
    <w:rsid w:val="00414FD9"/>
    <w:rsid w:val="004150D0"/>
    <w:rsid w:val="004151FD"/>
    <w:rsid w:val="00415475"/>
    <w:rsid w:val="00415490"/>
    <w:rsid w:val="004154FE"/>
    <w:rsid w:val="00415773"/>
    <w:rsid w:val="004159D1"/>
    <w:rsid w:val="00415CAE"/>
    <w:rsid w:val="00415EB7"/>
    <w:rsid w:val="00415EE7"/>
    <w:rsid w:val="00415EFF"/>
    <w:rsid w:val="004160FA"/>
    <w:rsid w:val="00416142"/>
    <w:rsid w:val="004161E8"/>
    <w:rsid w:val="004164AE"/>
    <w:rsid w:val="0041652C"/>
    <w:rsid w:val="004165A6"/>
    <w:rsid w:val="00416605"/>
    <w:rsid w:val="0041669E"/>
    <w:rsid w:val="004169C7"/>
    <w:rsid w:val="00416ACA"/>
    <w:rsid w:val="00416C56"/>
    <w:rsid w:val="00417169"/>
    <w:rsid w:val="00417294"/>
    <w:rsid w:val="004176B8"/>
    <w:rsid w:val="0041788D"/>
    <w:rsid w:val="004178EE"/>
    <w:rsid w:val="00417B99"/>
    <w:rsid w:val="00417CE0"/>
    <w:rsid w:val="00420027"/>
    <w:rsid w:val="00420080"/>
    <w:rsid w:val="004200DC"/>
    <w:rsid w:val="004201CE"/>
    <w:rsid w:val="004209D5"/>
    <w:rsid w:val="00420ABA"/>
    <w:rsid w:val="00420AC1"/>
    <w:rsid w:val="00420B1E"/>
    <w:rsid w:val="00420E2E"/>
    <w:rsid w:val="00420EE4"/>
    <w:rsid w:val="00420FAF"/>
    <w:rsid w:val="0042117A"/>
    <w:rsid w:val="00421184"/>
    <w:rsid w:val="004212C1"/>
    <w:rsid w:val="00421449"/>
    <w:rsid w:val="00421458"/>
    <w:rsid w:val="004214B7"/>
    <w:rsid w:val="00421895"/>
    <w:rsid w:val="004218CD"/>
    <w:rsid w:val="00421971"/>
    <w:rsid w:val="00421988"/>
    <w:rsid w:val="00421F3A"/>
    <w:rsid w:val="00421FB5"/>
    <w:rsid w:val="00422099"/>
    <w:rsid w:val="0042212B"/>
    <w:rsid w:val="0042219F"/>
    <w:rsid w:val="00422640"/>
    <w:rsid w:val="004226ED"/>
    <w:rsid w:val="004229AD"/>
    <w:rsid w:val="00422AF4"/>
    <w:rsid w:val="00422F5F"/>
    <w:rsid w:val="00423553"/>
    <w:rsid w:val="004235F4"/>
    <w:rsid w:val="004236AD"/>
    <w:rsid w:val="004236C9"/>
    <w:rsid w:val="004237C4"/>
    <w:rsid w:val="00423B13"/>
    <w:rsid w:val="00423B36"/>
    <w:rsid w:val="00423CF3"/>
    <w:rsid w:val="00423E18"/>
    <w:rsid w:val="00423FB2"/>
    <w:rsid w:val="00424685"/>
    <w:rsid w:val="00424936"/>
    <w:rsid w:val="00424B7C"/>
    <w:rsid w:val="0042500C"/>
    <w:rsid w:val="00425514"/>
    <w:rsid w:val="0042555D"/>
    <w:rsid w:val="004256BD"/>
    <w:rsid w:val="00425863"/>
    <w:rsid w:val="0042598E"/>
    <w:rsid w:val="00425D02"/>
    <w:rsid w:val="00425EDC"/>
    <w:rsid w:val="0042604F"/>
    <w:rsid w:val="00426B51"/>
    <w:rsid w:val="00426C3E"/>
    <w:rsid w:val="00426F85"/>
    <w:rsid w:val="00426FAA"/>
    <w:rsid w:val="00427078"/>
    <w:rsid w:val="00427091"/>
    <w:rsid w:val="004270C3"/>
    <w:rsid w:val="004275CD"/>
    <w:rsid w:val="004278FF"/>
    <w:rsid w:val="00427DA1"/>
    <w:rsid w:val="00427FEB"/>
    <w:rsid w:val="00427FF2"/>
    <w:rsid w:val="004305C0"/>
    <w:rsid w:val="004308F9"/>
    <w:rsid w:val="00430B20"/>
    <w:rsid w:val="00430B6C"/>
    <w:rsid w:val="00430CF3"/>
    <w:rsid w:val="00430E67"/>
    <w:rsid w:val="0043104C"/>
    <w:rsid w:val="00431228"/>
    <w:rsid w:val="0043135D"/>
    <w:rsid w:val="0043158C"/>
    <w:rsid w:val="00431718"/>
    <w:rsid w:val="0043174B"/>
    <w:rsid w:val="00431C28"/>
    <w:rsid w:val="00431D2B"/>
    <w:rsid w:val="0043227C"/>
    <w:rsid w:val="00432946"/>
    <w:rsid w:val="0043297F"/>
    <w:rsid w:val="00432A02"/>
    <w:rsid w:val="00432A9D"/>
    <w:rsid w:val="004331C7"/>
    <w:rsid w:val="004331E1"/>
    <w:rsid w:val="00433449"/>
    <w:rsid w:val="004335C0"/>
    <w:rsid w:val="00433791"/>
    <w:rsid w:val="00433AFC"/>
    <w:rsid w:val="00433B89"/>
    <w:rsid w:val="00434193"/>
    <w:rsid w:val="004342E3"/>
    <w:rsid w:val="004345CD"/>
    <w:rsid w:val="00434AC0"/>
    <w:rsid w:val="00435068"/>
    <w:rsid w:val="00435250"/>
    <w:rsid w:val="0043528F"/>
    <w:rsid w:val="00435430"/>
    <w:rsid w:val="00435715"/>
    <w:rsid w:val="0043571B"/>
    <w:rsid w:val="004357A3"/>
    <w:rsid w:val="00435B1C"/>
    <w:rsid w:val="00435EE0"/>
    <w:rsid w:val="00435F29"/>
    <w:rsid w:val="0043610C"/>
    <w:rsid w:val="00436573"/>
    <w:rsid w:val="004366A6"/>
    <w:rsid w:val="004366FF"/>
    <w:rsid w:val="004367C8"/>
    <w:rsid w:val="00436A9C"/>
    <w:rsid w:val="00436F56"/>
    <w:rsid w:val="004376D3"/>
    <w:rsid w:val="0043777D"/>
    <w:rsid w:val="0043790C"/>
    <w:rsid w:val="00437D83"/>
    <w:rsid w:val="00437DEF"/>
    <w:rsid w:val="00437EC9"/>
    <w:rsid w:val="004401B8"/>
    <w:rsid w:val="004401CF"/>
    <w:rsid w:val="004401DD"/>
    <w:rsid w:val="0044028A"/>
    <w:rsid w:val="00440344"/>
    <w:rsid w:val="00440415"/>
    <w:rsid w:val="004406B4"/>
    <w:rsid w:val="0044072B"/>
    <w:rsid w:val="00440A78"/>
    <w:rsid w:val="00440F79"/>
    <w:rsid w:val="00441264"/>
    <w:rsid w:val="00441607"/>
    <w:rsid w:val="004417E2"/>
    <w:rsid w:val="00441996"/>
    <w:rsid w:val="00441AAD"/>
    <w:rsid w:val="00441B0F"/>
    <w:rsid w:val="00441D29"/>
    <w:rsid w:val="00441F06"/>
    <w:rsid w:val="004425C6"/>
    <w:rsid w:val="00442BDF"/>
    <w:rsid w:val="0044320C"/>
    <w:rsid w:val="0044348B"/>
    <w:rsid w:val="00443512"/>
    <w:rsid w:val="004438C3"/>
    <w:rsid w:val="00443A55"/>
    <w:rsid w:val="00443C0B"/>
    <w:rsid w:val="00443CA6"/>
    <w:rsid w:val="00443D5D"/>
    <w:rsid w:val="00444034"/>
    <w:rsid w:val="00444099"/>
    <w:rsid w:val="00444692"/>
    <w:rsid w:val="004446A5"/>
    <w:rsid w:val="004446CD"/>
    <w:rsid w:val="00444A10"/>
    <w:rsid w:val="00444A15"/>
    <w:rsid w:val="00444B4A"/>
    <w:rsid w:val="00444EB6"/>
    <w:rsid w:val="00444EF6"/>
    <w:rsid w:val="004452ED"/>
    <w:rsid w:val="00445597"/>
    <w:rsid w:val="0044578A"/>
    <w:rsid w:val="00445CBA"/>
    <w:rsid w:val="00446047"/>
    <w:rsid w:val="00446168"/>
    <w:rsid w:val="004463CB"/>
    <w:rsid w:val="004466F7"/>
    <w:rsid w:val="00446806"/>
    <w:rsid w:val="00446858"/>
    <w:rsid w:val="004468B6"/>
    <w:rsid w:val="004468E5"/>
    <w:rsid w:val="00446991"/>
    <w:rsid w:val="00446A9D"/>
    <w:rsid w:val="00446C9A"/>
    <w:rsid w:val="00446CDA"/>
    <w:rsid w:val="00446D32"/>
    <w:rsid w:val="00447072"/>
    <w:rsid w:val="00447304"/>
    <w:rsid w:val="00447BF8"/>
    <w:rsid w:val="00447C6C"/>
    <w:rsid w:val="00447C9C"/>
    <w:rsid w:val="00447D48"/>
    <w:rsid w:val="00447E9A"/>
    <w:rsid w:val="00450127"/>
    <w:rsid w:val="00450576"/>
    <w:rsid w:val="0045075F"/>
    <w:rsid w:val="00450868"/>
    <w:rsid w:val="00450931"/>
    <w:rsid w:val="00450936"/>
    <w:rsid w:val="004509CB"/>
    <w:rsid w:val="00450CFB"/>
    <w:rsid w:val="00450DAE"/>
    <w:rsid w:val="00450FF7"/>
    <w:rsid w:val="00451150"/>
    <w:rsid w:val="004512EC"/>
    <w:rsid w:val="004516AD"/>
    <w:rsid w:val="0045198F"/>
    <w:rsid w:val="00451E84"/>
    <w:rsid w:val="00451EA3"/>
    <w:rsid w:val="00451F01"/>
    <w:rsid w:val="00452107"/>
    <w:rsid w:val="00452651"/>
    <w:rsid w:val="004529DE"/>
    <w:rsid w:val="00452A55"/>
    <w:rsid w:val="00452F55"/>
    <w:rsid w:val="00453349"/>
    <w:rsid w:val="00453644"/>
    <w:rsid w:val="0045374F"/>
    <w:rsid w:val="00453772"/>
    <w:rsid w:val="0045387C"/>
    <w:rsid w:val="00453AC3"/>
    <w:rsid w:val="00453B46"/>
    <w:rsid w:val="0045404A"/>
    <w:rsid w:val="00454661"/>
    <w:rsid w:val="004546A7"/>
    <w:rsid w:val="0045470C"/>
    <w:rsid w:val="004547B1"/>
    <w:rsid w:val="00454831"/>
    <w:rsid w:val="004548DF"/>
    <w:rsid w:val="00454A40"/>
    <w:rsid w:val="00454E6A"/>
    <w:rsid w:val="00454F01"/>
    <w:rsid w:val="00454FB9"/>
    <w:rsid w:val="004552D3"/>
    <w:rsid w:val="0045596E"/>
    <w:rsid w:val="00455B98"/>
    <w:rsid w:val="00455D7E"/>
    <w:rsid w:val="00455E25"/>
    <w:rsid w:val="00456096"/>
    <w:rsid w:val="004565A4"/>
    <w:rsid w:val="00456760"/>
    <w:rsid w:val="00456C42"/>
    <w:rsid w:val="00456CC0"/>
    <w:rsid w:val="00456D35"/>
    <w:rsid w:val="0045755C"/>
    <w:rsid w:val="00457933"/>
    <w:rsid w:val="0045794E"/>
    <w:rsid w:val="00457A48"/>
    <w:rsid w:val="00457C78"/>
    <w:rsid w:val="00457E2F"/>
    <w:rsid w:val="00460136"/>
    <w:rsid w:val="00460204"/>
    <w:rsid w:val="004602D3"/>
    <w:rsid w:val="004604D6"/>
    <w:rsid w:val="00460553"/>
    <w:rsid w:val="004605B5"/>
    <w:rsid w:val="00460735"/>
    <w:rsid w:val="00460AD5"/>
    <w:rsid w:val="00460C6F"/>
    <w:rsid w:val="00460CAA"/>
    <w:rsid w:val="00460EAE"/>
    <w:rsid w:val="00460EB8"/>
    <w:rsid w:val="00461090"/>
    <w:rsid w:val="004610C0"/>
    <w:rsid w:val="004611D5"/>
    <w:rsid w:val="004612CB"/>
    <w:rsid w:val="004614BC"/>
    <w:rsid w:val="004615C5"/>
    <w:rsid w:val="004617D8"/>
    <w:rsid w:val="00461991"/>
    <w:rsid w:val="00461A6B"/>
    <w:rsid w:val="00461C43"/>
    <w:rsid w:val="00462125"/>
    <w:rsid w:val="00462A01"/>
    <w:rsid w:val="00462DF3"/>
    <w:rsid w:val="004630AC"/>
    <w:rsid w:val="00463216"/>
    <w:rsid w:val="0046334D"/>
    <w:rsid w:val="004634FC"/>
    <w:rsid w:val="004636F7"/>
    <w:rsid w:val="00463848"/>
    <w:rsid w:val="00463974"/>
    <w:rsid w:val="004639B4"/>
    <w:rsid w:val="00463BBF"/>
    <w:rsid w:val="00463C24"/>
    <w:rsid w:val="00463C95"/>
    <w:rsid w:val="00463CE0"/>
    <w:rsid w:val="00463E1C"/>
    <w:rsid w:val="00464002"/>
    <w:rsid w:val="00464052"/>
    <w:rsid w:val="004640A0"/>
    <w:rsid w:val="00464354"/>
    <w:rsid w:val="004643CF"/>
    <w:rsid w:val="00464808"/>
    <w:rsid w:val="00464C9C"/>
    <w:rsid w:val="0046511F"/>
    <w:rsid w:val="00465153"/>
    <w:rsid w:val="004653F3"/>
    <w:rsid w:val="00465522"/>
    <w:rsid w:val="00465602"/>
    <w:rsid w:val="00465612"/>
    <w:rsid w:val="00465D4A"/>
    <w:rsid w:val="00465E2D"/>
    <w:rsid w:val="00466738"/>
    <w:rsid w:val="004669A6"/>
    <w:rsid w:val="00466AFD"/>
    <w:rsid w:val="00466E99"/>
    <w:rsid w:val="0046703D"/>
    <w:rsid w:val="004670D4"/>
    <w:rsid w:val="0046713A"/>
    <w:rsid w:val="00467524"/>
    <w:rsid w:val="0046774E"/>
    <w:rsid w:val="00467BD2"/>
    <w:rsid w:val="00470563"/>
    <w:rsid w:val="00470696"/>
    <w:rsid w:val="00470C7A"/>
    <w:rsid w:val="00470E97"/>
    <w:rsid w:val="00470F8D"/>
    <w:rsid w:val="004717F1"/>
    <w:rsid w:val="00471B74"/>
    <w:rsid w:val="00471B8E"/>
    <w:rsid w:val="004724C9"/>
    <w:rsid w:val="0047257C"/>
    <w:rsid w:val="00472585"/>
    <w:rsid w:val="0047268D"/>
    <w:rsid w:val="00472A70"/>
    <w:rsid w:val="00472B63"/>
    <w:rsid w:val="00472C9C"/>
    <w:rsid w:val="00472E32"/>
    <w:rsid w:val="00472FAC"/>
    <w:rsid w:val="00473045"/>
    <w:rsid w:val="004732D2"/>
    <w:rsid w:val="00473498"/>
    <w:rsid w:val="004736F7"/>
    <w:rsid w:val="004738C5"/>
    <w:rsid w:val="00473D72"/>
    <w:rsid w:val="00473EB4"/>
    <w:rsid w:val="00474130"/>
    <w:rsid w:val="00474336"/>
    <w:rsid w:val="004743E7"/>
    <w:rsid w:val="0047479A"/>
    <w:rsid w:val="0047479F"/>
    <w:rsid w:val="0047497C"/>
    <w:rsid w:val="00475099"/>
    <w:rsid w:val="004751C8"/>
    <w:rsid w:val="004754EE"/>
    <w:rsid w:val="004755AC"/>
    <w:rsid w:val="0047563B"/>
    <w:rsid w:val="00475A6C"/>
    <w:rsid w:val="00475F0E"/>
    <w:rsid w:val="004761AB"/>
    <w:rsid w:val="004764AF"/>
    <w:rsid w:val="00476875"/>
    <w:rsid w:val="00476CA4"/>
    <w:rsid w:val="00476D04"/>
    <w:rsid w:val="00476F03"/>
    <w:rsid w:val="004771B2"/>
    <w:rsid w:val="0047775E"/>
    <w:rsid w:val="00477AAE"/>
    <w:rsid w:val="00477AF6"/>
    <w:rsid w:val="00477B3B"/>
    <w:rsid w:val="00477BCB"/>
    <w:rsid w:val="004801A7"/>
    <w:rsid w:val="004802CE"/>
    <w:rsid w:val="00480596"/>
    <w:rsid w:val="00480747"/>
    <w:rsid w:val="00480768"/>
    <w:rsid w:val="00480838"/>
    <w:rsid w:val="00480912"/>
    <w:rsid w:val="00480A15"/>
    <w:rsid w:val="00480CC0"/>
    <w:rsid w:val="00480D91"/>
    <w:rsid w:val="00480E47"/>
    <w:rsid w:val="0048135F"/>
    <w:rsid w:val="004813A6"/>
    <w:rsid w:val="00481666"/>
    <w:rsid w:val="0048181B"/>
    <w:rsid w:val="00481DC8"/>
    <w:rsid w:val="00481F2B"/>
    <w:rsid w:val="004820C5"/>
    <w:rsid w:val="00482185"/>
    <w:rsid w:val="00482198"/>
    <w:rsid w:val="004823D8"/>
    <w:rsid w:val="004823DF"/>
    <w:rsid w:val="0048249E"/>
    <w:rsid w:val="00482619"/>
    <w:rsid w:val="0048285A"/>
    <w:rsid w:val="0048285B"/>
    <w:rsid w:val="00482921"/>
    <w:rsid w:val="00482BAC"/>
    <w:rsid w:val="00482C83"/>
    <w:rsid w:val="00482D0A"/>
    <w:rsid w:val="00482F20"/>
    <w:rsid w:val="00482FD1"/>
    <w:rsid w:val="004830DB"/>
    <w:rsid w:val="004830F6"/>
    <w:rsid w:val="00483196"/>
    <w:rsid w:val="004833D6"/>
    <w:rsid w:val="0048340F"/>
    <w:rsid w:val="004834F7"/>
    <w:rsid w:val="00483563"/>
    <w:rsid w:val="004835F9"/>
    <w:rsid w:val="004836C3"/>
    <w:rsid w:val="0048384A"/>
    <w:rsid w:val="00483872"/>
    <w:rsid w:val="0048392B"/>
    <w:rsid w:val="0048423C"/>
    <w:rsid w:val="00484381"/>
    <w:rsid w:val="00484449"/>
    <w:rsid w:val="004845A6"/>
    <w:rsid w:val="004846AE"/>
    <w:rsid w:val="00484947"/>
    <w:rsid w:val="00484972"/>
    <w:rsid w:val="00484C71"/>
    <w:rsid w:val="00484E89"/>
    <w:rsid w:val="004852CE"/>
    <w:rsid w:val="0048540C"/>
    <w:rsid w:val="00485481"/>
    <w:rsid w:val="004854F2"/>
    <w:rsid w:val="0048561D"/>
    <w:rsid w:val="00485CE7"/>
    <w:rsid w:val="00485EA8"/>
    <w:rsid w:val="00485EDD"/>
    <w:rsid w:val="00485F92"/>
    <w:rsid w:val="004860BD"/>
    <w:rsid w:val="004866E1"/>
    <w:rsid w:val="00486836"/>
    <w:rsid w:val="00486A9F"/>
    <w:rsid w:val="00486C72"/>
    <w:rsid w:val="00486CB7"/>
    <w:rsid w:val="0048706D"/>
    <w:rsid w:val="004870CD"/>
    <w:rsid w:val="004871CD"/>
    <w:rsid w:val="00487266"/>
    <w:rsid w:val="004875E1"/>
    <w:rsid w:val="004875FC"/>
    <w:rsid w:val="004876BD"/>
    <w:rsid w:val="004876E1"/>
    <w:rsid w:val="004877B5"/>
    <w:rsid w:val="004877F5"/>
    <w:rsid w:val="00487962"/>
    <w:rsid w:val="00487A46"/>
    <w:rsid w:val="00487B76"/>
    <w:rsid w:val="00487FB6"/>
    <w:rsid w:val="004901CC"/>
    <w:rsid w:val="0049030D"/>
    <w:rsid w:val="00490635"/>
    <w:rsid w:val="004906E6"/>
    <w:rsid w:val="00490954"/>
    <w:rsid w:val="00490BF5"/>
    <w:rsid w:val="00490EA3"/>
    <w:rsid w:val="00490FF8"/>
    <w:rsid w:val="0049100A"/>
    <w:rsid w:val="00491772"/>
    <w:rsid w:val="0049188F"/>
    <w:rsid w:val="00491976"/>
    <w:rsid w:val="00491E53"/>
    <w:rsid w:val="004921DC"/>
    <w:rsid w:val="0049277A"/>
    <w:rsid w:val="004927A0"/>
    <w:rsid w:val="0049292B"/>
    <w:rsid w:val="00492A98"/>
    <w:rsid w:val="00492B38"/>
    <w:rsid w:val="00492B8A"/>
    <w:rsid w:val="00492FE4"/>
    <w:rsid w:val="00493035"/>
    <w:rsid w:val="00493321"/>
    <w:rsid w:val="004933ED"/>
    <w:rsid w:val="004936CC"/>
    <w:rsid w:val="004936DE"/>
    <w:rsid w:val="00493B07"/>
    <w:rsid w:val="00493C3F"/>
    <w:rsid w:val="004942A1"/>
    <w:rsid w:val="004942ED"/>
    <w:rsid w:val="00495110"/>
    <w:rsid w:val="0049544E"/>
    <w:rsid w:val="004955DD"/>
    <w:rsid w:val="004955E9"/>
    <w:rsid w:val="00495670"/>
    <w:rsid w:val="004958F7"/>
    <w:rsid w:val="00495B8C"/>
    <w:rsid w:val="00495CAC"/>
    <w:rsid w:val="00495DE0"/>
    <w:rsid w:val="00495F8A"/>
    <w:rsid w:val="00496028"/>
    <w:rsid w:val="0049604B"/>
    <w:rsid w:val="00496212"/>
    <w:rsid w:val="004969A5"/>
    <w:rsid w:val="00496A48"/>
    <w:rsid w:val="00496AC9"/>
    <w:rsid w:val="00496CA0"/>
    <w:rsid w:val="00496CC5"/>
    <w:rsid w:val="00496E3E"/>
    <w:rsid w:val="00496E76"/>
    <w:rsid w:val="00497164"/>
    <w:rsid w:val="0049760A"/>
    <w:rsid w:val="0049783A"/>
    <w:rsid w:val="00497864"/>
    <w:rsid w:val="00497CD4"/>
    <w:rsid w:val="00497F28"/>
    <w:rsid w:val="00497F8A"/>
    <w:rsid w:val="004A040E"/>
    <w:rsid w:val="004A042D"/>
    <w:rsid w:val="004A06E6"/>
    <w:rsid w:val="004A0F32"/>
    <w:rsid w:val="004A11E0"/>
    <w:rsid w:val="004A135F"/>
    <w:rsid w:val="004A1B73"/>
    <w:rsid w:val="004A1C7F"/>
    <w:rsid w:val="004A1C89"/>
    <w:rsid w:val="004A1EA9"/>
    <w:rsid w:val="004A1F94"/>
    <w:rsid w:val="004A1FC5"/>
    <w:rsid w:val="004A2121"/>
    <w:rsid w:val="004A2158"/>
    <w:rsid w:val="004A2296"/>
    <w:rsid w:val="004A2934"/>
    <w:rsid w:val="004A2979"/>
    <w:rsid w:val="004A29A5"/>
    <w:rsid w:val="004A2F72"/>
    <w:rsid w:val="004A3225"/>
    <w:rsid w:val="004A33F4"/>
    <w:rsid w:val="004A3494"/>
    <w:rsid w:val="004A36DB"/>
    <w:rsid w:val="004A374A"/>
    <w:rsid w:val="004A376B"/>
    <w:rsid w:val="004A395B"/>
    <w:rsid w:val="004A39D9"/>
    <w:rsid w:val="004A3BA3"/>
    <w:rsid w:val="004A3C32"/>
    <w:rsid w:val="004A3C59"/>
    <w:rsid w:val="004A3C72"/>
    <w:rsid w:val="004A3FE2"/>
    <w:rsid w:val="004A480D"/>
    <w:rsid w:val="004A494D"/>
    <w:rsid w:val="004A4D76"/>
    <w:rsid w:val="004A4FE5"/>
    <w:rsid w:val="004A522F"/>
    <w:rsid w:val="004A52E5"/>
    <w:rsid w:val="004A5750"/>
    <w:rsid w:val="004A580B"/>
    <w:rsid w:val="004A5851"/>
    <w:rsid w:val="004A5A91"/>
    <w:rsid w:val="004A5AE2"/>
    <w:rsid w:val="004A5B0F"/>
    <w:rsid w:val="004A5C3C"/>
    <w:rsid w:val="004A5CF1"/>
    <w:rsid w:val="004A5DED"/>
    <w:rsid w:val="004A66E0"/>
    <w:rsid w:val="004A69BA"/>
    <w:rsid w:val="004A6AF3"/>
    <w:rsid w:val="004A6C9F"/>
    <w:rsid w:val="004A6FD2"/>
    <w:rsid w:val="004A7522"/>
    <w:rsid w:val="004A7AAE"/>
    <w:rsid w:val="004A7D49"/>
    <w:rsid w:val="004A7F21"/>
    <w:rsid w:val="004B014D"/>
    <w:rsid w:val="004B04AF"/>
    <w:rsid w:val="004B08DB"/>
    <w:rsid w:val="004B0E79"/>
    <w:rsid w:val="004B1422"/>
    <w:rsid w:val="004B1A1B"/>
    <w:rsid w:val="004B1B8C"/>
    <w:rsid w:val="004B203D"/>
    <w:rsid w:val="004B24EB"/>
    <w:rsid w:val="004B29A6"/>
    <w:rsid w:val="004B29AC"/>
    <w:rsid w:val="004B2A27"/>
    <w:rsid w:val="004B2B73"/>
    <w:rsid w:val="004B2D06"/>
    <w:rsid w:val="004B2D0F"/>
    <w:rsid w:val="004B2F64"/>
    <w:rsid w:val="004B3298"/>
    <w:rsid w:val="004B32D0"/>
    <w:rsid w:val="004B385E"/>
    <w:rsid w:val="004B3C8B"/>
    <w:rsid w:val="004B442A"/>
    <w:rsid w:val="004B44A9"/>
    <w:rsid w:val="004B4509"/>
    <w:rsid w:val="004B452A"/>
    <w:rsid w:val="004B455F"/>
    <w:rsid w:val="004B45C4"/>
    <w:rsid w:val="004B4871"/>
    <w:rsid w:val="004B4ADF"/>
    <w:rsid w:val="004B4C00"/>
    <w:rsid w:val="004B4E06"/>
    <w:rsid w:val="004B50CE"/>
    <w:rsid w:val="004B5245"/>
    <w:rsid w:val="004B5493"/>
    <w:rsid w:val="004B5914"/>
    <w:rsid w:val="004B5CA1"/>
    <w:rsid w:val="004B5ECC"/>
    <w:rsid w:val="004B66CE"/>
    <w:rsid w:val="004B676D"/>
    <w:rsid w:val="004B69FB"/>
    <w:rsid w:val="004B6B15"/>
    <w:rsid w:val="004B6B41"/>
    <w:rsid w:val="004B6C77"/>
    <w:rsid w:val="004B6D0A"/>
    <w:rsid w:val="004B6DE3"/>
    <w:rsid w:val="004B7961"/>
    <w:rsid w:val="004B7995"/>
    <w:rsid w:val="004B7DB6"/>
    <w:rsid w:val="004B7F21"/>
    <w:rsid w:val="004C01A3"/>
    <w:rsid w:val="004C02B3"/>
    <w:rsid w:val="004C03DD"/>
    <w:rsid w:val="004C03F1"/>
    <w:rsid w:val="004C0728"/>
    <w:rsid w:val="004C098E"/>
    <w:rsid w:val="004C0BBE"/>
    <w:rsid w:val="004C0E25"/>
    <w:rsid w:val="004C0E2F"/>
    <w:rsid w:val="004C1170"/>
    <w:rsid w:val="004C1194"/>
    <w:rsid w:val="004C12DA"/>
    <w:rsid w:val="004C15C8"/>
    <w:rsid w:val="004C162F"/>
    <w:rsid w:val="004C174A"/>
    <w:rsid w:val="004C183E"/>
    <w:rsid w:val="004C1B8F"/>
    <w:rsid w:val="004C1CB0"/>
    <w:rsid w:val="004C1FB9"/>
    <w:rsid w:val="004C2011"/>
    <w:rsid w:val="004C222E"/>
    <w:rsid w:val="004C22F8"/>
    <w:rsid w:val="004C2561"/>
    <w:rsid w:val="004C261B"/>
    <w:rsid w:val="004C2778"/>
    <w:rsid w:val="004C2806"/>
    <w:rsid w:val="004C2EF1"/>
    <w:rsid w:val="004C3130"/>
    <w:rsid w:val="004C371E"/>
    <w:rsid w:val="004C3893"/>
    <w:rsid w:val="004C3ADD"/>
    <w:rsid w:val="004C428E"/>
    <w:rsid w:val="004C440F"/>
    <w:rsid w:val="004C4775"/>
    <w:rsid w:val="004C483D"/>
    <w:rsid w:val="004C4890"/>
    <w:rsid w:val="004C48A9"/>
    <w:rsid w:val="004C51F3"/>
    <w:rsid w:val="004C549F"/>
    <w:rsid w:val="004C5755"/>
    <w:rsid w:val="004C590B"/>
    <w:rsid w:val="004C5A09"/>
    <w:rsid w:val="004C6326"/>
    <w:rsid w:val="004C63C7"/>
    <w:rsid w:val="004C6B9C"/>
    <w:rsid w:val="004C6D39"/>
    <w:rsid w:val="004C6D98"/>
    <w:rsid w:val="004C71CB"/>
    <w:rsid w:val="004C7217"/>
    <w:rsid w:val="004C74F5"/>
    <w:rsid w:val="004C75B5"/>
    <w:rsid w:val="004C7602"/>
    <w:rsid w:val="004C76F0"/>
    <w:rsid w:val="004C7743"/>
    <w:rsid w:val="004C778E"/>
    <w:rsid w:val="004C77A7"/>
    <w:rsid w:val="004C7DA5"/>
    <w:rsid w:val="004C7DBE"/>
    <w:rsid w:val="004C7F57"/>
    <w:rsid w:val="004D032B"/>
    <w:rsid w:val="004D039E"/>
    <w:rsid w:val="004D04A3"/>
    <w:rsid w:val="004D04BB"/>
    <w:rsid w:val="004D07B6"/>
    <w:rsid w:val="004D0C9F"/>
    <w:rsid w:val="004D0E01"/>
    <w:rsid w:val="004D0EB4"/>
    <w:rsid w:val="004D0F15"/>
    <w:rsid w:val="004D1215"/>
    <w:rsid w:val="004D1298"/>
    <w:rsid w:val="004D14A2"/>
    <w:rsid w:val="004D15FD"/>
    <w:rsid w:val="004D19AC"/>
    <w:rsid w:val="004D1A6B"/>
    <w:rsid w:val="004D2369"/>
    <w:rsid w:val="004D23D7"/>
    <w:rsid w:val="004D2453"/>
    <w:rsid w:val="004D2485"/>
    <w:rsid w:val="004D25CE"/>
    <w:rsid w:val="004D28D0"/>
    <w:rsid w:val="004D2998"/>
    <w:rsid w:val="004D2D40"/>
    <w:rsid w:val="004D3211"/>
    <w:rsid w:val="004D337B"/>
    <w:rsid w:val="004D372D"/>
    <w:rsid w:val="004D3A57"/>
    <w:rsid w:val="004D3B2A"/>
    <w:rsid w:val="004D3B50"/>
    <w:rsid w:val="004D47FF"/>
    <w:rsid w:val="004D4B7E"/>
    <w:rsid w:val="004D4C3D"/>
    <w:rsid w:val="004D4C98"/>
    <w:rsid w:val="004D4D35"/>
    <w:rsid w:val="004D4E94"/>
    <w:rsid w:val="004D4EAA"/>
    <w:rsid w:val="004D518F"/>
    <w:rsid w:val="004D54D7"/>
    <w:rsid w:val="004D566D"/>
    <w:rsid w:val="004D5AE2"/>
    <w:rsid w:val="004D5B6F"/>
    <w:rsid w:val="004D5BB7"/>
    <w:rsid w:val="004D5DEA"/>
    <w:rsid w:val="004D6053"/>
    <w:rsid w:val="004D61EF"/>
    <w:rsid w:val="004D64E9"/>
    <w:rsid w:val="004D67B0"/>
    <w:rsid w:val="004D69FD"/>
    <w:rsid w:val="004D6FA4"/>
    <w:rsid w:val="004D7442"/>
    <w:rsid w:val="004D7C23"/>
    <w:rsid w:val="004D7CE4"/>
    <w:rsid w:val="004D7D62"/>
    <w:rsid w:val="004D7EBE"/>
    <w:rsid w:val="004E01C6"/>
    <w:rsid w:val="004E0212"/>
    <w:rsid w:val="004E09BB"/>
    <w:rsid w:val="004E0ADC"/>
    <w:rsid w:val="004E0D11"/>
    <w:rsid w:val="004E0FB1"/>
    <w:rsid w:val="004E1043"/>
    <w:rsid w:val="004E1929"/>
    <w:rsid w:val="004E1981"/>
    <w:rsid w:val="004E1DCA"/>
    <w:rsid w:val="004E1F76"/>
    <w:rsid w:val="004E21B4"/>
    <w:rsid w:val="004E252B"/>
    <w:rsid w:val="004E2782"/>
    <w:rsid w:val="004E2861"/>
    <w:rsid w:val="004E2A85"/>
    <w:rsid w:val="004E2C09"/>
    <w:rsid w:val="004E2E0B"/>
    <w:rsid w:val="004E2E57"/>
    <w:rsid w:val="004E3002"/>
    <w:rsid w:val="004E30CA"/>
    <w:rsid w:val="004E31AB"/>
    <w:rsid w:val="004E3257"/>
    <w:rsid w:val="004E3895"/>
    <w:rsid w:val="004E3D1F"/>
    <w:rsid w:val="004E3DDA"/>
    <w:rsid w:val="004E3F72"/>
    <w:rsid w:val="004E4522"/>
    <w:rsid w:val="004E47FD"/>
    <w:rsid w:val="004E49DE"/>
    <w:rsid w:val="004E4A78"/>
    <w:rsid w:val="004E4B10"/>
    <w:rsid w:val="004E4EC4"/>
    <w:rsid w:val="004E551E"/>
    <w:rsid w:val="004E572E"/>
    <w:rsid w:val="004E58F6"/>
    <w:rsid w:val="004E5E37"/>
    <w:rsid w:val="004E5E4C"/>
    <w:rsid w:val="004E5EA0"/>
    <w:rsid w:val="004E623E"/>
    <w:rsid w:val="004E673A"/>
    <w:rsid w:val="004E67B7"/>
    <w:rsid w:val="004E6CE7"/>
    <w:rsid w:val="004E6CF9"/>
    <w:rsid w:val="004E6FF4"/>
    <w:rsid w:val="004E734E"/>
    <w:rsid w:val="004E75AA"/>
    <w:rsid w:val="004E7EB2"/>
    <w:rsid w:val="004E7EC0"/>
    <w:rsid w:val="004E7EF5"/>
    <w:rsid w:val="004E7F48"/>
    <w:rsid w:val="004F014E"/>
    <w:rsid w:val="004F0769"/>
    <w:rsid w:val="004F08DF"/>
    <w:rsid w:val="004F0A0E"/>
    <w:rsid w:val="004F0BB4"/>
    <w:rsid w:val="004F0BC6"/>
    <w:rsid w:val="004F1123"/>
    <w:rsid w:val="004F1423"/>
    <w:rsid w:val="004F1715"/>
    <w:rsid w:val="004F1797"/>
    <w:rsid w:val="004F17DA"/>
    <w:rsid w:val="004F184C"/>
    <w:rsid w:val="004F1963"/>
    <w:rsid w:val="004F1C5D"/>
    <w:rsid w:val="004F1C93"/>
    <w:rsid w:val="004F2927"/>
    <w:rsid w:val="004F2988"/>
    <w:rsid w:val="004F2A43"/>
    <w:rsid w:val="004F2C89"/>
    <w:rsid w:val="004F2D61"/>
    <w:rsid w:val="004F38BD"/>
    <w:rsid w:val="004F3BD2"/>
    <w:rsid w:val="004F3CBC"/>
    <w:rsid w:val="004F3D02"/>
    <w:rsid w:val="004F3DCA"/>
    <w:rsid w:val="004F40E1"/>
    <w:rsid w:val="004F4372"/>
    <w:rsid w:val="004F43E0"/>
    <w:rsid w:val="004F4434"/>
    <w:rsid w:val="004F449D"/>
    <w:rsid w:val="004F45EB"/>
    <w:rsid w:val="004F4AF6"/>
    <w:rsid w:val="004F4FD1"/>
    <w:rsid w:val="004F506F"/>
    <w:rsid w:val="004F50D0"/>
    <w:rsid w:val="004F521B"/>
    <w:rsid w:val="004F52BB"/>
    <w:rsid w:val="004F53AD"/>
    <w:rsid w:val="004F53BF"/>
    <w:rsid w:val="004F545A"/>
    <w:rsid w:val="004F5547"/>
    <w:rsid w:val="004F5582"/>
    <w:rsid w:val="004F5725"/>
    <w:rsid w:val="004F58C9"/>
    <w:rsid w:val="004F59B3"/>
    <w:rsid w:val="004F59B8"/>
    <w:rsid w:val="004F5A37"/>
    <w:rsid w:val="004F5BD9"/>
    <w:rsid w:val="004F5C70"/>
    <w:rsid w:val="004F5CEA"/>
    <w:rsid w:val="004F62A7"/>
    <w:rsid w:val="004F62F9"/>
    <w:rsid w:val="004F66B3"/>
    <w:rsid w:val="004F674C"/>
    <w:rsid w:val="004F6A99"/>
    <w:rsid w:val="004F6EB0"/>
    <w:rsid w:val="004F7352"/>
    <w:rsid w:val="004F741E"/>
    <w:rsid w:val="004F7A57"/>
    <w:rsid w:val="004F7B29"/>
    <w:rsid w:val="004F7EE2"/>
    <w:rsid w:val="005000D8"/>
    <w:rsid w:val="0050015C"/>
    <w:rsid w:val="005002F7"/>
    <w:rsid w:val="00500418"/>
    <w:rsid w:val="005007AF"/>
    <w:rsid w:val="00500A61"/>
    <w:rsid w:val="00500BF8"/>
    <w:rsid w:val="00500CCF"/>
    <w:rsid w:val="00500E62"/>
    <w:rsid w:val="00501099"/>
    <w:rsid w:val="005010DE"/>
    <w:rsid w:val="005011FD"/>
    <w:rsid w:val="00501256"/>
    <w:rsid w:val="0050146C"/>
    <w:rsid w:val="0050164B"/>
    <w:rsid w:val="00501FE1"/>
    <w:rsid w:val="00502958"/>
    <w:rsid w:val="005029E4"/>
    <w:rsid w:val="00502B52"/>
    <w:rsid w:val="00502BBF"/>
    <w:rsid w:val="00502BD2"/>
    <w:rsid w:val="00502DA4"/>
    <w:rsid w:val="00503017"/>
    <w:rsid w:val="005038A9"/>
    <w:rsid w:val="00503A9B"/>
    <w:rsid w:val="00503B68"/>
    <w:rsid w:val="00503C91"/>
    <w:rsid w:val="00503DFE"/>
    <w:rsid w:val="00503F83"/>
    <w:rsid w:val="0050421C"/>
    <w:rsid w:val="00504281"/>
    <w:rsid w:val="005044C2"/>
    <w:rsid w:val="005047A1"/>
    <w:rsid w:val="00504A9B"/>
    <w:rsid w:val="00504E9A"/>
    <w:rsid w:val="00504F01"/>
    <w:rsid w:val="00504F50"/>
    <w:rsid w:val="00504F83"/>
    <w:rsid w:val="00505057"/>
    <w:rsid w:val="00505531"/>
    <w:rsid w:val="005059B9"/>
    <w:rsid w:val="00505CE6"/>
    <w:rsid w:val="00505E43"/>
    <w:rsid w:val="00505F64"/>
    <w:rsid w:val="00506332"/>
    <w:rsid w:val="005067C9"/>
    <w:rsid w:val="00506DCD"/>
    <w:rsid w:val="00507112"/>
    <w:rsid w:val="005071D9"/>
    <w:rsid w:val="0050721B"/>
    <w:rsid w:val="00507268"/>
    <w:rsid w:val="00507325"/>
    <w:rsid w:val="0050745C"/>
    <w:rsid w:val="00507AB5"/>
    <w:rsid w:val="00507B12"/>
    <w:rsid w:val="00507B78"/>
    <w:rsid w:val="00507C56"/>
    <w:rsid w:val="00507E0F"/>
    <w:rsid w:val="00507F13"/>
    <w:rsid w:val="00510809"/>
    <w:rsid w:val="00510920"/>
    <w:rsid w:val="005109D4"/>
    <w:rsid w:val="00510CF4"/>
    <w:rsid w:val="005112D4"/>
    <w:rsid w:val="0051160A"/>
    <w:rsid w:val="005118BA"/>
    <w:rsid w:val="00511B8E"/>
    <w:rsid w:val="00511F54"/>
    <w:rsid w:val="0051245B"/>
    <w:rsid w:val="00512553"/>
    <w:rsid w:val="00512709"/>
    <w:rsid w:val="00512785"/>
    <w:rsid w:val="00512943"/>
    <w:rsid w:val="005129C6"/>
    <w:rsid w:val="00512A3C"/>
    <w:rsid w:val="00512BF0"/>
    <w:rsid w:val="00512D25"/>
    <w:rsid w:val="00512D87"/>
    <w:rsid w:val="005130DA"/>
    <w:rsid w:val="00513210"/>
    <w:rsid w:val="00513772"/>
    <w:rsid w:val="00513998"/>
    <w:rsid w:val="00513DDA"/>
    <w:rsid w:val="00513E19"/>
    <w:rsid w:val="00513E3E"/>
    <w:rsid w:val="005148B4"/>
    <w:rsid w:val="00514B29"/>
    <w:rsid w:val="00514B97"/>
    <w:rsid w:val="00514BF1"/>
    <w:rsid w:val="00514C19"/>
    <w:rsid w:val="005150E7"/>
    <w:rsid w:val="005152B1"/>
    <w:rsid w:val="005152F0"/>
    <w:rsid w:val="00515856"/>
    <w:rsid w:val="005159C2"/>
    <w:rsid w:val="00515D1C"/>
    <w:rsid w:val="00515E53"/>
    <w:rsid w:val="00515EFB"/>
    <w:rsid w:val="005161D3"/>
    <w:rsid w:val="005163E6"/>
    <w:rsid w:val="00516699"/>
    <w:rsid w:val="005167B6"/>
    <w:rsid w:val="00516AFA"/>
    <w:rsid w:val="00516D8C"/>
    <w:rsid w:val="00516DF0"/>
    <w:rsid w:val="005172EC"/>
    <w:rsid w:val="005173A7"/>
    <w:rsid w:val="0051740D"/>
    <w:rsid w:val="0051768D"/>
    <w:rsid w:val="00517888"/>
    <w:rsid w:val="005178CE"/>
    <w:rsid w:val="005179FC"/>
    <w:rsid w:val="00517BC9"/>
    <w:rsid w:val="005205D1"/>
    <w:rsid w:val="00520ACF"/>
    <w:rsid w:val="00521CAB"/>
    <w:rsid w:val="00521D58"/>
    <w:rsid w:val="00521F7D"/>
    <w:rsid w:val="00521FCC"/>
    <w:rsid w:val="005224CB"/>
    <w:rsid w:val="005224EF"/>
    <w:rsid w:val="00522654"/>
    <w:rsid w:val="00522721"/>
    <w:rsid w:val="00522729"/>
    <w:rsid w:val="00522835"/>
    <w:rsid w:val="0052293D"/>
    <w:rsid w:val="00522995"/>
    <w:rsid w:val="00522ACA"/>
    <w:rsid w:val="00522AF4"/>
    <w:rsid w:val="00522B93"/>
    <w:rsid w:val="00522C56"/>
    <w:rsid w:val="00522E04"/>
    <w:rsid w:val="00523098"/>
    <w:rsid w:val="005230EB"/>
    <w:rsid w:val="00523499"/>
    <w:rsid w:val="00523BC7"/>
    <w:rsid w:val="00523C08"/>
    <w:rsid w:val="00523C10"/>
    <w:rsid w:val="00523C16"/>
    <w:rsid w:val="005241E8"/>
    <w:rsid w:val="005245D5"/>
    <w:rsid w:val="00524889"/>
    <w:rsid w:val="00524972"/>
    <w:rsid w:val="005249EA"/>
    <w:rsid w:val="00524B29"/>
    <w:rsid w:val="00524F96"/>
    <w:rsid w:val="00525005"/>
    <w:rsid w:val="00525044"/>
    <w:rsid w:val="005254C9"/>
    <w:rsid w:val="00525749"/>
    <w:rsid w:val="0052575D"/>
    <w:rsid w:val="00525A53"/>
    <w:rsid w:val="00525AC7"/>
    <w:rsid w:val="00525C1F"/>
    <w:rsid w:val="00525CD9"/>
    <w:rsid w:val="00526418"/>
    <w:rsid w:val="005264EE"/>
    <w:rsid w:val="00526569"/>
    <w:rsid w:val="00526726"/>
    <w:rsid w:val="00526987"/>
    <w:rsid w:val="00526A20"/>
    <w:rsid w:val="00526B69"/>
    <w:rsid w:val="00526C28"/>
    <w:rsid w:val="005271D5"/>
    <w:rsid w:val="00527256"/>
    <w:rsid w:val="005273FD"/>
    <w:rsid w:val="0052797C"/>
    <w:rsid w:val="00527993"/>
    <w:rsid w:val="00527B57"/>
    <w:rsid w:val="00527B83"/>
    <w:rsid w:val="00527C51"/>
    <w:rsid w:val="00527C8D"/>
    <w:rsid w:val="00527E10"/>
    <w:rsid w:val="00530080"/>
    <w:rsid w:val="0053017E"/>
    <w:rsid w:val="005301FF"/>
    <w:rsid w:val="0053021B"/>
    <w:rsid w:val="005303A9"/>
    <w:rsid w:val="005306AC"/>
    <w:rsid w:val="00530AC4"/>
    <w:rsid w:val="00530F35"/>
    <w:rsid w:val="005310F0"/>
    <w:rsid w:val="005311DD"/>
    <w:rsid w:val="0053172D"/>
    <w:rsid w:val="00531978"/>
    <w:rsid w:val="00531FFD"/>
    <w:rsid w:val="0053209F"/>
    <w:rsid w:val="00532115"/>
    <w:rsid w:val="0053226A"/>
    <w:rsid w:val="005322A3"/>
    <w:rsid w:val="00532395"/>
    <w:rsid w:val="0053265B"/>
    <w:rsid w:val="0053266C"/>
    <w:rsid w:val="00532766"/>
    <w:rsid w:val="005328E4"/>
    <w:rsid w:val="00532948"/>
    <w:rsid w:val="00532AD9"/>
    <w:rsid w:val="00532BFA"/>
    <w:rsid w:val="00532C4D"/>
    <w:rsid w:val="00532E20"/>
    <w:rsid w:val="00532F6D"/>
    <w:rsid w:val="00533169"/>
    <w:rsid w:val="00533194"/>
    <w:rsid w:val="005332C8"/>
    <w:rsid w:val="00533396"/>
    <w:rsid w:val="00533514"/>
    <w:rsid w:val="00533BBA"/>
    <w:rsid w:val="00533C06"/>
    <w:rsid w:val="00533FB3"/>
    <w:rsid w:val="00533FD2"/>
    <w:rsid w:val="00533FF0"/>
    <w:rsid w:val="0053464E"/>
    <w:rsid w:val="005346C8"/>
    <w:rsid w:val="00534A02"/>
    <w:rsid w:val="00534CFE"/>
    <w:rsid w:val="00535073"/>
    <w:rsid w:val="005352C8"/>
    <w:rsid w:val="00535344"/>
    <w:rsid w:val="00535431"/>
    <w:rsid w:val="005354C1"/>
    <w:rsid w:val="005355BB"/>
    <w:rsid w:val="005356F9"/>
    <w:rsid w:val="005358BD"/>
    <w:rsid w:val="00535962"/>
    <w:rsid w:val="005359F0"/>
    <w:rsid w:val="00535A2D"/>
    <w:rsid w:val="00535D84"/>
    <w:rsid w:val="00535E49"/>
    <w:rsid w:val="00535E5C"/>
    <w:rsid w:val="00535F6D"/>
    <w:rsid w:val="00535F99"/>
    <w:rsid w:val="00536105"/>
    <w:rsid w:val="00536134"/>
    <w:rsid w:val="00536215"/>
    <w:rsid w:val="0053628B"/>
    <w:rsid w:val="00536356"/>
    <w:rsid w:val="0053635B"/>
    <w:rsid w:val="00536697"/>
    <w:rsid w:val="005367F9"/>
    <w:rsid w:val="00536CBB"/>
    <w:rsid w:val="00536DDD"/>
    <w:rsid w:val="00537033"/>
    <w:rsid w:val="00537085"/>
    <w:rsid w:val="00537315"/>
    <w:rsid w:val="0053737C"/>
    <w:rsid w:val="00537464"/>
    <w:rsid w:val="00537622"/>
    <w:rsid w:val="005376DA"/>
    <w:rsid w:val="005376E9"/>
    <w:rsid w:val="00537EA4"/>
    <w:rsid w:val="0054009B"/>
    <w:rsid w:val="005403B9"/>
    <w:rsid w:val="005404CA"/>
    <w:rsid w:val="0054056D"/>
    <w:rsid w:val="005408DB"/>
    <w:rsid w:val="00540A37"/>
    <w:rsid w:val="00540B49"/>
    <w:rsid w:val="0054177D"/>
    <w:rsid w:val="005418DB"/>
    <w:rsid w:val="00541F08"/>
    <w:rsid w:val="005427EB"/>
    <w:rsid w:val="00542884"/>
    <w:rsid w:val="00542892"/>
    <w:rsid w:val="00542BC2"/>
    <w:rsid w:val="00542CA1"/>
    <w:rsid w:val="00542E23"/>
    <w:rsid w:val="005430B6"/>
    <w:rsid w:val="005432FC"/>
    <w:rsid w:val="005434EA"/>
    <w:rsid w:val="00543811"/>
    <w:rsid w:val="005441C9"/>
    <w:rsid w:val="00544476"/>
    <w:rsid w:val="0054453E"/>
    <w:rsid w:val="00544857"/>
    <w:rsid w:val="00544923"/>
    <w:rsid w:val="005449FD"/>
    <w:rsid w:val="00544A32"/>
    <w:rsid w:val="00544A72"/>
    <w:rsid w:val="00544FBD"/>
    <w:rsid w:val="00545AA4"/>
    <w:rsid w:val="00545B47"/>
    <w:rsid w:val="00545D55"/>
    <w:rsid w:val="00545FE4"/>
    <w:rsid w:val="005460EA"/>
    <w:rsid w:val="005461AB"/>
    <w:rsid w:val="005466D1"/>
    <w:rsid w:val="005468BE"/>
    <w:rsid w:val="00546C6A"/>
    <w:rsid w:val="00546FBA"/>
    <w:rsid w:val="00546FD6"/>
    <w:rsid w:val="005471D0"/>
    <w:rsid w:val="00547208"/>
    <w:rsid w:val="005472A2"/>
    <w:rsid w:val="0054782D"/>
    <w:rsid w:val="00547F04"/>
    <w:rsid w:val="00547F79"/>
    <w:rsid w:val="0055055F"/>
    <w:rsid w:val="005508D4"/>
    <w:rsid w:val="0055091E"/>
    <w:rsid w:val="00550924"/>
    <w:rsid w:val="00550D63"/>
    <w:rsid w:val="00550EF1"/>
    <w:rsid w:val="00551075"/>
    <w:rsid w:val="00551310"/>
    <w:rsid w:val="005513C8"/>
    <w:rsid w:val="00551573"/>
    <w:rsid w:val="00551636"/>
    <w:rsid w:val="005519AD"/>
    <w:rsid w:val="00551B3C"/>
    <w:rsid w:val="00551CF0"/>
    <w:rsid w:val="00551F02"/>
    <w:rsid w:val="005522F1"/>
    <w:rsid w:val="0055236E"/>
    <w:rsid w:val="0055248E"/>
    <w:rsid w:val="0055250D"/>
    <w:rsid w:val="00552678"/>
    <w:rsid w:val="00552856"/>
    <w:rsid w:val="00552F9A"/>
    <w:rsid w:val="00553208"/>
    <w:rsid w:val="005532E0"/>
    <w:rsid w:val="0055352C"/>
    <w:rsid w:val="005535EA"/>
    <w:rsid w:val="00553672"/>
    <w:rsid w:val="00553710"/>
    <w:rsid w:val="005538A6"/>
    <w:rsid w:val="00553BBC"/>
    <w:rsid w:val="00553F9E"/>
    <w:rsid w:val="00554208"/>
    <w:rsid w:val="005546E7"/>
    <w:rsid w:val="00554F94"/>
    <w:rsid w:val="00555161"/>
    <w:rsid w:val="00555B4B"/>
    <w:rsid w:val="00555DE6"/>
    <w:rsid w:val="00555EB3"/>
    <w:rsid w:val="00555F50"/>
    <w:rsid w:val="00556062"/>
    <w:rsid w:val="00556241"/>
    <w:rsid w:val="005566A9"/>
    <w:rsid w:val="005567F6"/>
    <w:rsid w:val="00556E29"/>
    <w:rsid w:val="00556F42"/>
    <w:rsid w:val="00557201"/>
    <w:rsid w:val="005572F4"/>
    <w:rsid w:val="00557474"/>
    <w:rsid w:val="005574F3"/>
    <w:rsid w:val="005575C9"/>
    <w:rsid w:val="00557616"/>
    <w:rsid w:val="005577B5"/>
    <w:rsid w:val="005579CC"/>
    <w:rsid w:val="00557DAA"/>
    <w:rsid w:val="00557DAD"/>
    <w:rsid w:val="0056000E"/>
    <w:rsid w:val="005601BB"/>
    <w:rsid w:val="00560317"/>
    <w:rsid w:val="00560B72"/>
    <w:rsid w:val="00560C75"/>
    <w:rsid w:val="00560DE0"/>
    <w:rsid w:val="00560F31"/>
    <w:rsid w:val="00561138"/>
    <w:rsid w:val="00561286"/>
    <w:rsid w:val="00561438"/>
    <w:rsid w:val="00561699"/>
    <w:rsid w:val="005616F4"/>
    <w:rsid w:val="0056194F"/>
    <w:rsid w:val="005619E1"/>
    <w:rsid w:val="00561D65"/>
    <w:rsid w:val="00561E0E"/>
    <w:rsid w:val="00561E6C"/>
    <w:rsid w:val="005623EC"/>
    <w:rsid w:val="00562629"/>
    <w:rsid w:val="0056273A"/>
    <w:rsid w:val="00562850"/>
    <w:rsid w:val="005628FE"/>
    <w:rsid w:val="0056297E"/>
    <w:rsid w:val="00562BCB"/>
    <w:rsid w:val="00562DE0"/>
    <w:rsid w:val="00563060"/>
    <w:rsid w:val="0056306E"/>
    <w:rsid w:val="005630EB"/>
    <w:rsid w:val="0056330E"/>
    <w:rsid w:val="00563320"/>
    <w:rsid w:val="00563613"/>
    <w:rsid w:val="0056364B"/>
    <w:rsid w:val="005637ED"/>
    <w:rsid w:val="00563A8C"/>
    <w:rsid w:val="00563AF8"/>
    <w:rsid w:val="00563B34"/>
    <w:rsid w:val="00563D4A"/>
    <w:rsid w:val="00564191"/>
    <w:rsid w:val="00564557"/>
    <w:rsid w:val="0056458C"/>
    <w:rsid w:val="00564628"/>
    <w:rsid w:val="005648B9"/>
    <w:rsid w:val="005649E8"/>
    <w:rsid w:val="00564A3C"/>
    <w:rsid w:val="00564BC0"/>
    <w:rsid w:val="00564F82"/>
    <w:rsid w:val="005651B1"/>
    <w:rsid w:val="005653AF"/>
    <w:rsid w:val="0056540E"/>
    <w:rsid w:val="00565501"/>
    <w:rsid w:val="00565594"/>
    <w:rsid w:val="005655A4"/>
    <w:rsid w:val="00565755"/>
    <w:rsid w:val="0056598D"/>
    <w:rsid w:val="00565AE1"/>
    <w:rsid w:val="00565CA7"/>
    <w:rsid w:val="00565E87"/>
    <w:rsid w:val="0056601E"/>
    <w:rsid w:val="00566058"/>
    <w:rsid w:val="00566251"/>
    <w:rsid w:val="005662CC"/>
    <w:rsid w:val="00566406"/>
    <w:rsid w:val="00566466"/>
    <w:rsid w:val="005664D6"/>
    <w:rsid w:val="00566501"/>
    <w:rsid w:val="00566538"/>
    <w:rsid w:val="00566562"/>
    <w:rsid w:val="0056688F"/>
    <w:rsid w:val="00566A5A"/>
    <w:rsid w:val="00566CEF"/>
    <w:rsid w:val="005670EE"/>
    <w:rsid w:val="00567188"/>
    <w:rsid w:val="0056725A"/>
    <w:rsid w:val="0056741F"/>
    <w:rsid w:val="00567647"/>
    <w:rsid w:val="0056764F"/>
    <w:rsid w:val="005676C6"/>
    <w:rsid w:val="0056781B"/>
    <w:rsid w:val="00567BE2"/>
    <w:rsid w:val="00570102"/>
    <w:rsid w:val="005702A3"/>
    <w:rsid w:val="00570406"/>
    <w:rsid w:val="005704A5"/>
    <w:rsid w:val="00570505"/>
    <w:rsid w:val="005705BE"/>
    <w:rsid w:val="005706CF"/>
    <w:rsid w:val="005707C4"/>
    <w:rsid w:val="00570BA5"/>
    <w:rsid w:val="00570EBC"/>
    <w:rsid w:val="005710B8"/>
    <w:rsid w:val="005710D6"/>
    <w:rsid w:val="00571122"/>
    <w:rsid w:val="005711B4"/>
    <w:rsid w:val="005712E6"/>
    <w:rsid w:val="00571444"/>
    <w:rsid w:val="00571527"/>
    <w:rsid w:val="005715F5"/>
    <w:rsid w:val="005719B8"/>
    <w:rsid w:val="005719FC"/>
    <w:rsid w:val="00571B8C"/>
    <w:rsid w:val="005722CC"/>
    <w:rsid w:val="0057238D"/>
    <w:rsid w:val="00572757"/>
    <w:rsid w:val="00572942"/>
    <w:rsid w:val="00572979"/>
    <w:rsid w:val="00572A31"/>
    <w:rsid w:val="00572A6E"/>
    <w:rsid w:val="005730DB"/>
    <w:rsid w:val="00573251"/>
    <w:rsid w:val="005732BB"/>
    <w:rsid w:val="005733A8"/>
    <w:rsid w:val="0057348F"/>
    <w:rsid w:val="00573B5B"/>
    <w:rsid w:val="00573E27"/>
    <w:rsid w:val="00573F55"/>
    <w:rsid w:val="005746AC"/>
    <w:rsid w:val="00574ADB"/>
    <w:rsid w:val="00574AFA"/>
    <w:rsid w:val="00574CEF"/>
    <w:rsid w:val="00575063"/>
    <w:rsid w:val="0057540E"/>
    <w:rsid w:val="005754FF"/>
    <w:rsid w:val="005757B6"/>
    <w:rsid w:val="00575BBA"/>
    <w:rsid w:val="00575C5A"/>
    <w:rsid w:val="00575ED2"/>
    <w:rsid w:val="00575F01"/>
    <w:rsid w:val="0057603C"/>
    <w:rsid w:val="005761C7"/>
    <w:rsid w:val="0057698B"/>
    <w:rsid w:val="00576EB8"/>
    <w:rsid w:val="0057776E"/>
    <w:rsid w:val="00577BA8"/>
    <w:rsid w:val="00577BD0"/>
    <w:rsid w:val="00577BF5"/>
    <w:rsid w:val="0058000F"/>
    <w:rsid w:val="00580557"/>
    <w:rsid w:val="0058074F"/>
    <w:rsid w:val="005808C3"/>
    <w:rsid w:val="005808F2"/>
    <w:rsid w:val="005808F3"/>
    <w:rsid w:val="00580966"/>
    <w:rsid w:val="00580A76"/>
    <w:rsid w:val="00580E1E"/>
    <w:rsid w:val="00580E9B"/>
    <w:rsid w:val="00581042"/>
    <w:rsid w:val="00581055"/>
    <w:rsid w:val="00581558"/>
    <w:rsid w:val="00581703"/>
    <w:rsid w:val="00581A30"/>
    <w:rsid w:val="00581B15"/>
    <w:rsid w:val="00581B9C"/>
    <w:rsid w:val="00581C5E"/>
    <w:rsid w:val="00581E93"/>
    <w:rsid w:val="00581EAF"/>
    <w:rsid w:val="00581F49"/>
    <w:rsid w:val="005821DD"/>
    <w:rsid w:val="00582446"/>
    <w:rsid w:val="00582613"/>
    <w:rsid w:val="005826A2"/>
    <w:rsid w:val="0058277B"/>
    <w:rsid w:val="0058292C"/>
    <w:rsid w:val="00582953"/>
    <w:rsid w:val="00582B96"/>
    <w:rsid w:val="00582E42"/>
    <w:rsid w:val="00582E8E"/>
    <w:rsid w:val="00583908"/>
    <w:rsid w:val="00583F62"/>
    <w:rsid w:val="005842FB"/>
    <w:rsid w:val="00584523"/>
    <w:rsid w:val="0058455F"/>
    <w:rsid w:val="00584590"/>
    <w:rsid w:val="00584757"/>
    <w:rsid w:val="005847BC"/>
    <w:rsid w:val="00584E21"/>
    <w:rsid w:val="00584F38"/>
    <w:rsid w:val="00584F5E"/>
    <w:rsid w:val="005850E9"/>
    <w:rsid w:val="005852BB"/>
    <w:rsid w:val="005856D5"/>
    <w:rsid w:val="005857DC"/>
    <w:rsid w:val="0058608B"/>
    <w:rsid w:val="0058631A"/>
    <w:rsid w:val="005863C1"/>
    <w:rsid w:val="0058654D"/>
    <w:rsid w:val="00586786"/>
    <w:rsid w:val="00586953"/>
    <w:rsid w:val="00586E1E"/>
    <w:rsid w:val="00586FE7"/>
    <w:rsid w:val="00587147"/>
    <w:rsid w:val="00587279"/>
    <w:rsid w:val="0058748B"/>
    <w:rsid w:val="0058763B"/>
    <w:rsid w:val="00587648"/>
    <w:rsid w:val="00587729"/>
    <w:rsid w:val="00587886"/>
    <w:rsid w:val="00587A66"/>
    <w:rsid w:val="00590147"/>
    <w:rsid w:val="005901C5"/>
    <w:rsid w:val="00590392"/>
    <w:rsid w:val="00590525"/>
    <w:rsid w:val="0059095C"/>
    <w:rsid w:val="00590BD1"/>
    <w:rsid w:val="00590D26"/>
    <w:rsid w:val="00591276"/>
    <w:rsid w:val="00591490"/>
    <w:rsid w:val="0059151A"/>
    <w:rsid w:val="005916C9"/>
    <w:rsid w:val="00591774"/>
    <w:rsid w:val="00591C7E"/>
    <w:rsid w:val="00591DCF"/>
    <w:rsid w:val="0059292A"/>
    <w:rsid w:val="005929B4"/>
    <w:rsid w:val="00592A3C"/>
    <w:rsid w:val="00592C26"/>
    <w:rsid w:val="00592D45"/>
    <w:rsid w:val="0059320C"/>
    <w:rsid w:val="0059367F"/>
    <w:rsid w:val="00593696"/>
    <w:rsid w:val="00593720"/>
    <w:rsid w:val="005938CC"/>
    <w:rsid w:val="00593909"/>
    <w:rsid w:val="00593A71"/>
    <w:rsid w:val="00593D30"/>
    <w:rsid w:val="00593DC1"/>
    <w:rsid w:val="00593E96"/>
    <w:rsid w:val="00593F46"/>
    <w:rsid w:val="00593FA1"/>
    <w:rsid w:val="005941E1"/>
    <w:rsid w:val="00594312"/>
    <w:rsid w:val="005943E2"/>
    <w:rsid w:val="005946A0"/>
    <w:rsid w:val="00594769"/>
    <w:rsid w:val="00594AE8"/>
    <w:rsid w:val="00594B8A"/>
    <w:rsid w:val="00595009"/>
    <w:rsid w:val="005954B7"/>
    <w:rsid w:val="00595A05"/>
    <w:rsid w:val="00595A86"/>
    <w:rsid w:val="00595BA7"/>
    <w:rsid w:val="00595D5D"/>
    <w:rsid w:val="00595E3B"/>
    <w:rsid w:val="00595F17"/>
    <w:rsid w:val="00595F3D"/>
    <w:rsid w:val="00595F89"/>
    <w:rsid w:val="0059630F"/>
    <w:rsid w:val="00596310"/>
    <w:rsid w:val="00596873"/>
    <w:rsid w:val="00596999"/>
    <w:rsid w:val="00596A1C"/>
    <w:rsid w:val="00596BB3"/>
    <w:rsid w:val="00596BD4"/>
    <w:rsid w:val="00596FA8"/>
    <w:rsid w:val="0059705A"/>
    <w:rsid w:val="005971A7"/>
    <w:rsid w:val="00597310"/>
    <w:rsid w:val="005977AB"/>
    <w:rsid w:val="005A01C5"/>
    <w:rsid w:val="005A0201"/>
    <w:rsid w:val="005A0496"/>
    <w:rsid w:val="005A0532"/>
    <w:rsid w:val="005A05AA"/>
    <w:rsid w:val="005A07E7"/>
    <w:rsid w:val="005A0A57"/>
    <w:rsid w:val="005A0B9F"/>
    <w:rsid w:val="005A0DB3"/>
    <w:rsid w:val="005A0DBB"/>
    <w:rsid w:val="005A0EBD"/>
    <w:rsid w:val="005A0FB0"/>
    <w:rsid w:val="005A1270"/>
    <w:rsid w:val="005A1295"/>
    <w:rsid w:val="005A12EB"/>
    <w:rsid w:val="005A1332"/>
    <w:rsid w:val="005A13C0"/>
    <w:rsid w:val="005A1621"/>
    <w:rsid w:val="005A18FD"/>
    <w:rsid w:val="005A1A24"/>
    <w:rsid w:val="005A1B7E"/>
    <w:rsid w:val="005A1C9C"/>
    <w:rsid w:val="005A1FBF"/>
    <w:rsid w:val="005A2081"/>
    <w:rsid w:val="005A22E8"/>
    <w:rsid w:val="005A2388"/>
    <w:rsid w:val="005A25A6"/>
    <w:rsid w:val="005A280C"/>
    <w:rsid w:val="005A29B1"/>
    <w:rsid w:val="005A2EBF"/>
    <w:rsid w:val="005A3071"/>
    <w:rsid w:val="005A380B"/>
    <w:rsid w:val="005A4610"/>
    <w:rsid w:val="005A46E2"/>
    <w:rsid w:val="005A4729"/>
    <w:rsid w:val="005A4890"/>
    <w:rsid w:val="005A49D4"/>
    <w:rsid w:val="005A4D7C"/>
    <w:rsid w:val="005A51C9"/>
    <w:rsid w:val="005A5BEE"/>
    <w:rsid w:val="005A5C98"/>
    <w:rsid w:val="005A5DC0"/>
    <w:rsid w:val="005A6B1D"/>
    <w:rsid w:val="005A6B6D"/>
    <w:rsid w:val="005A6F0E"/>
    <w:rsid w:val="005A6F57"/>
    <w:rsid w:val="005A7079"/>
    <w:rsid w:val="005A7139"/>
    <w:rsid w:val="005A7235"/>
    <w:rsid w:val="005A74D6"/>
    <w:rsid w:val="005A795B"/>
    <w:rsid w:val="005A7A1A"/>
    <w:rsid w:val="005A7AEB"/>
    <w:rsid w:val="005A7B16"/>
    <w:rsid w:val="005A7BAF"/>
    <w:rsid w:val="005B0182"/>
    <w:rsid w:val="005B021E"/>
    <w:rsid w:val="005B037C"/>
    <w:rsid w:val="005B0652"/>
    <w:rsid w:val="005B09EB"/>
    <w:rsid w:val="005B0A90"/>
    <w:rsid w:val="005B0B6B"/>
    <w:rsid w:val="005B1213"/>
    <w:rsid w:val="005B1329"/>
    <w:rsid w:val="005B1396"/>
    <w:rsid w:val="005B1481"/>
    <w:rsid w:val="005B1512"/>
    <w:rsid w:val="005B16D8"/>
    <w:rsid w:val="005B19B4"/>
    <w:rsid w:val="005B1AE7"/>
    <w:rsid w:val="005B1B55"/>
    <w:rsid w:val="005B1D7C"/>
    <w:rsid w:val="005B1DBD"/>
    <w:rsid w:val="005B1F51"/>
    <w:rsid w:val="005B1FBB"/>
    <w:rsid w:val="005B21F1"/>
    <w:rsid w:val="005B2769"/>
    <w:rsid w:val="005B284A"/>
    <w:rsid w:val="005B2927"/>
    <w:rsid w:val="005B2F7B"/>
    <w:rsid w:val="005B3343"/>
    <w:rsid w:val="005B34A9"/>
    <w:rsid w:val="005B379C"/>
    <w:rsid w:val="005B37DA"/>
    <w:rsid w:val="005B39A9"/>
    <w:rsid w:val="005B3B8A"/>
    <w:rsid w:val="005B3CE5"/>
    <w:rsid w:val="005B3D39"/>
    <w:rsid w:val="005B3D8A"/>
    <w:rsid w:val="005B3EBD"/>
    <w:rsid w:val="005B4199"/>
    <w:rsid w:val="005B4356"/>
    <w:rsid w:val="005B4765"/>
    <w:rsid w:val="005B48E8"/>
    <w:rsid w:val="005B4AB3"/>
    <w:rsid w:val="005B502A"/>
    <w:rsid w:val="005B5066"/>
    <w:rsid w:val="005B56D9"/>
    <w:rsid w:val="005B5923"/>
    <w:rsid w:val="005B5A3A"/>
    <w:rsid w:val="005B5B87"/>
    <w:rsid w:val="005B5BA3"/>
    <w:rsid w:val="005B5E62"/>
    <w:rsid w:val="005B5EC1"/>
    <w:rsid w:val="005B5F01"/>
    <w:rsid w:val="005B611D"/>
    <w:rsid w:val="005B62DC"/>
    <w:rsid w:val="005B6524"/>
    <w:rsid w:val="005B6608"/>
    <w:rsid w:val="005B6B27"/>
    <w:rsid w:val="005B6FE6"/>
    <w:rsid w:val="005B7198"/>
    <w:rsid w:val="005B727B"/>
    <w:rsid w:val="005B7341"/>
    <w:rsid w:val="005B7455"/>
    <w:rsid w:val="005B74F9"/>
    <w:rsid w:val="005B7555"/>
    <w:rsid w:val="005B778C"/>
    <w:rsid w:val="005B79D4"/>
    <w:rsid w:val="005B79EB"/>
    <w:rsid w:val="005B7A17"/>
    <w:rsid w:val="005B7AAB"/>
    <w:rsid w:val="005B7BD6"/>
    <w:rsid w:val="005B7E97"/>
    <w:rsid w:val="005B7F46"/>
    <w:rsid w:val="005C0748"/>
    <w:rsid w:val="005C0993"/>
    <w:rsid w:val="005C09A7"/>
    <w:rsid w:val="005C0DEB"/>
    <w:rsid w:val="005C0EDB"/>
    <w:rsid w:val="005C102D"/>
    <w:rsid w:val="005C12E9"/>
    <w:rsid w:val="005C132C"/>
    <w:rsid w:val="005C1577"/>
    <w:rsid w:val="005C15B2"/>
    <w:rsid w:val="005C16C3"/>
    <w:rsid w:val="005C17FB"/>
    <w:rsid w:val="005C1833"/>
    <w:rsid w:val="005C1838"/>
    <w:rsid w:val="005C18C2"/>
    <w:rsid w:val="005C1A9C"/>
    <w:rsid w:val="005C1AD1"/>
    <w:rsid w:val="005C1C20"/>
    <w:rsid w:val="005C1D93"/>
    <w:rsid w:val="005C1E85"/>
    <w:rsid w:val="005C200D"/>
    <w:rsid w:val="005C2063"/>
    <w:rsid w:val="005C211E"/>
    <w:rsid w:val="005C2412"/>
    <w:rsid w:val="005C244F"/>
    <w:rsid w:val="005C2767"/>
    <w:rsid w:val="005C2922"/>
    <w:rsid w:val="005C292F"/>
    <w:rsid w:val="005C2C27"/>
    <w:rsid w:val="005C2CD8"/>
    <w:rsid w:val="005C2EDE"/>
    <w:rsid w:val="005C2F60"/>
    <w:rsid w:val="005C2F77"/>
    <w:rsid w:val="005C323D"/>
    <w:rsid w:val="005C326B"/>
    <w:rsid w:val="005C3380"/>
    <w:rsid w:val="005C356B"/>
    <w:rsid w:val="005C3589"/>
    <w:rsid w:val="005C3772"/>
    <w:rsid w:val="005C37FC"/>
    <w:rsid w:val="005C38DA"/>
    <w:rsid w:val="005C38DB"/>
    <w:rsid w:val="005C396D"/>
    <w:rsid w:val="005C39C3"/>
    <w:rsid w:val="005C3B70"/>
    <w:rsid w:val="005C3E93"/>
    <w:rsid w:val="005C40C5"/>
    <w:rsid w:val="005C4229"/>
    <w:rsid w:val="005C4550"/>
    <w:rsid w:val="005C4580"/>
    <w:rsid w:val="005C4A77"/>
    <w:rsid w:val="005C4BAC"/>
    <w:rsid w:val="005C5065"/>
    <w:rsid w:val="005C52F3"/>
    <w:rsid w:val="005C55ED"/>
    <w:rsid w:val="005C564C"/>
    <w:rsid w:val="005C5983"/>
    <w:rsid w:val="005C59FD"/>
    <w:rsid w:val="005C5E13"/>
    <w:rsid w:val="005C6234"/>
    <w:rsid w:val="005C6605"/>
    <w:rsid w:val="005C6890"/>
    <w:rsid w:val="005C6DA5"/>
    <w:rsid w:val="005C71A0"/>
    <w:rsid w:val="005C7372"/>
    <w:rsid w:val="005C751C"/>
    <w:rsid w:val="005C7802"/>
    <w:rsid w:val="005C7A06"/>
    <w:rsid w:val="005C7B50"/>
    <w:rsid w:val="005C7E73"/>
    <w:rsid w:val="005C7ECC"/>
    <w:rsid w:val="005C7F03"/>
    <w:rsid w:val="005D029E"/>
    <w:rsid w:val="005D02D8"/>
    <w:rsid w:val="005D03A5"/>
    <w:rsid w:val="005D0427"/>
    <w:rsid w:val="005D0776"/>
    <w:rsid w:val="005D07AE"/>
    <w:rsid w:val="005D0B55"/>
    <w:rsid w:val="005D0C83"/>
    <w:rsid w:val="005D100E"/>
    <w:rsid w:val="005D10AE"/>
    <w:rsid w:val="005D10C5"/>
    <w:rsid w:val="005D113B"/>
    <w:rsid w:val="005D1149"/>
    <w:rsid w:val="005D1491"/>
    <w:rsid w:val="005D154C"/>
    <w:rsid w:val="005D1732"/>
    <w:rsid w:val="005D19B3"/>
    <w:rsid w:val="005D1A7C"/>
    <w:rsid w:val="005D1B5C"/>
    <w:rsid w:val="005D1BAC"/>
    <w:rsid w:val="005D1EC3"/>
    <w:rsid w:val="005D22FF"/>
    <w:rsid w:val="005D27FD"/>
    <w:rsid w:val="005D2CAD"/>
    <w:rsid w:val="005D2D9A"/>
    <w:rsid w:val="005D2E57"/>
    <w:rsid w:val="005D34AF"/>
    <w:rsid w:val="005D3631"/>
    <w:rsid w:val="005D3827"/>
    <w:rsid w:val="005D3A6E"/>
    <w:rsid w:val="005D3AAD"/>
    <w:rsid w:val="005D3B21"/>
    <w:rsid w:val="005D3F7E"/>
    <w:rsid w:val="005D4019"/>
    <w:rsid w:val="005D41DC"/>
    <w:rsid w:val="005D422C"/>
    <w:rsid w:val="005D43C3"/>
    <w:rsid w:val="005D460F"/>
    <w:rsid w:val="005D4638"/>
    <w:rsid w:val="005D4A92"/>
    <w:rsid w:val="005D4AE7"/>
    <w:rsid w:val="005D4D7D"/>
    <w:rsid w:val="005D4DC5"/>
    <w:rsid w:val="005D4E90"/>
    <w:rsid w:val="005D586C"/>
    <w:rsid w:val="005D59BF"/>
    <w:rsid w:val="005D5BB5"/>
    <w:rsid w:val="005D5C22"/>
    <w:rsid w:val="005D5D93"/>
    <w:rsid w:val="005D5DBB"/>
    <w:rsid w:val="005D5E3A"/>
    <w:rsid w:val="005D5E6C"/>
    <w:rsid w:val="005D62B6"/>
    <w:rsid w:val="005D63A9"/>
    <w:rsid w:val="005D6487"/>
    <w:rsid w:val="005D65D5"/>
    <w:rsid w:val="005D6BAD"/>
    <w:rsid w:val="005D6C56"/>
    <w:rsid w:val="005D6D46"/>
    <w:rsid w:val="005D6F49"/>
    <w:rsid w:val="005D73D3"/>
    <w:rsid w:val="005D7788"/>
    <w:rsid w:val="005D7836"/>
    <w:rsid w:val="005D7AAE"/>
    <w:rsid w:val="005D7BE8"/>
    <w:rsid w:val="005D7E8A"/>
    <w:rsid w:val="005D7F99"/>
    <w:rsid w:val="005E0283"/>
    <w:rsid w:val="005E06FA"/>
    <w:rsid w:val="005E0CF4"/>
    <w:rsid w:val="005E0DA8"/>
    <w:rsid w:val="005E0EAA"/>
    <w:rsid w:val="005E0FC7"/>
    <w:rsid w:val="005E1052"/>
    <w:rsid w:val="005E11A5"/>
    <w:rsid w:val="005E123D"/>
    <w:rsid w:val="005E1245"/>
    <w:rsid w:val="005E1292"/>
    <w:rsid w:val="005E13D4"/>
    <w:rsid w:val="005E13E0"/>
    <w:rsid w:val="005E1435"/>
    <w:rsid w:val="005E162D"/>
    <w:rsid w:val="005E190C"/>
    <w:rsid w:val="005E1966"/>
    <w:rsid w:val="005E1EA2"/>
    <w:rsid w:val="005E1F24"/>
    <w:rsid w:val="005E2049"/>
    <w:rsid w:val="005E21F3"/>
    <w:rsid w:val="005E235C"/>
    <w:rsid w:val="005E236E"/>
    <w:rsid w:val="005E2C24"/>
    <w:rsid w:val="005E3078"/>
    <w:rsid w:val="005E34C0"/>
    <w:rsid w:val="005E34EC"/>
    <w:rsid w:val="005E3D71"/>
    <w:rsid w:val="005E4317"/>
    <w:rsid w:val="005E4363"/>
    <w:rsid w:val="005E4432"/>
    <w:rsid w:val="005E44F1"/>
    <w:rsid w:val="005E4605"/>
    <w:rsid w:val="005E4985"/>
    <w:rsid w:val="005E49CA"/>
    <w:rsid w:val="005E4EF3"/>
    <w:rsid w:val="005E5427"/>
    <w:rsid w:val="005E5428"/>
    <w:rsid w:val="005E56D9"/>
    <w:rsid w:val="005E58AF"/>
    <w:rsid w:val="005E5A7C"/>
    <w:rsid w:val="005E5C33"/>
    <w:rsid w:val="005E5F53"/>
    <w:rsid w:val="005E6207"/>
    <w:rsid w:val="005E6311"/>
    <w:rsid w:val="005E65D9"/>
    <w:rsid w:val="005E6629"/>
    <w:rsid w:val="005E6976"/>
    <w:rsid w:val="005E6E12"/>
    <w:rsid w:val="005E70CD"/>
    <w:rsid w:val="005E70F9"/>
    <w:rsid w:val="005E740F"/>
    <w:rsid w:val="005E74B3"/>
    <w:rsid w:val="005E74EC"/>
    <w:rsid w:val="005E7AB6"/>
    <w:rsid w:val="005E7B1E"/>
    <w:rsid w:val="005E7CBC"/>
    <w:rsid w:val="005E7F9E"/>
    <w:rsid w:val="005F0316"/>
    <w:rsid w:val="005F0A62"/>
    <w:rsid w:val="005F0FA8"/>
    <w:rsid w:val="005F10C2"/>
    <w:rsid w:val="005F1821"/>
    <w:rsid w:val="005F1951"/>
    <w:rsid w:val="005F1C5D"/>
    <w:rsid w:val="005F1CA5"/>
    <w:rsid w:val="005F1EBE"/>
    <w:rsid w:val="005F1FAF"/>
    <w:rsid w:val="005F2069"/>
    <w:rsid w:val="005F2093"/>
    <w:rsid w:val="005F211B"/>
    <w:rsid w:val="005F222B"/>
    <w:rsid w:val="005F222D"/>
    <w:rsid w:val="005F2317"/>
    <w:rsid w:val="005F2550"/>
    <w:rsid w:val="005F25D2"/>
    <w:rsid w:val="005F2672"/>
    <w:rsid w:val="005F297E"/>
    <w:rsid w:val="005F2B2D"/>
    <w:rsid w:val="005F2C45"/>
    <w:rsid w:val="005F2D9C"/>
    <w:rsid w:val="005F2E79"/>
    <w:rsid w:val="005F2FD5"/>
    <w:rsid w:val="005F3042"/>
    <w:rsid w:val="005F3138"/>
    <w:rsid w:val="005F3166"/>
    <w:rsid w:val="005F32D9"/>
    <w:rsid w:val="005F340A"/>
    <w:rsid w:val="005F34FA"/>
    <w:rsid w:val="005F38F7"/>
    <w:rsid w:val="005F3AE8"/>
    <w:rsid w:val="005F3B09"/>
    <w:rsid w:val="005F3B47"/>
    <w:rsid w:val="005F3D75"/>
    <w:rsid w:val="005F410E"/>
    <w:rsid w:val="005F43AA"/>
    <w:rsid w:val="005F47C1"/>
    <w:rsid w:val="005F4926"/>
    <w:rsid w:val="005F4A85"/>
    <w:rsid w:val="005F4B6F"/>
    <w:rsid w:val="005F4FFE"/>
    <w:rsid w:val="005F5009"/>
    <w:rsid w:val="005F5054"/>
    <w:rsid w:val="005F530F"/>
    <w:rsid w:val="005F5515"/>
    <w:rsid w:val="005F5750"/>
    <w:rsid w:val="005F5797"/>
    <w:rsid w:val="005F5B93"/>
    <w:rsid w:val="005F5C58"/>
    <w:rsid w:val="005F5E9C"/>
    <w:rsid w:val="005F5F3E"/>
    <w:rsid w:val="005F6064"/>
    <w:rsid w:val="005F6177"/>
    <w:rsid w:val="005F65D9"/>
    <w:rsid w:val="005F6768"/>
    <w:rsid w:val="005F69CF"/>
    <w:rsid w:val="005F6A44"/>
    <w:rsid w:val="005F6E39"/>
    <w:rsid w:val="005F6E58"/>
    <w:rsid w:val="005F6F57"/>
    <w:rsid w:val="005F6FF1"/>
    <w:rsid w:val="005F6FF2"/>
    <w:rsid w:val="005F704C"/>
    <w:rsid w:val="005F71EB"/>
    <w:rsid w:val="005F74FE"/>
    <w:rsid w:val="005F7693"/>
    <w:rsid w:val="005F7851"/>
    <w:rsid w:val="005F78D5"/>
    <w:rsid w:val="005F7A22"/>
    <w:rsid w:val="005F7A30"/>
    <w:rsid w:val="005F7A54"/>
    <w:rsid w:val="005F7ACA"/>
    <w:rsid w:val="005F7B9D"/>
    <w:rsid w:val="005F7BAC"/>
    <w:rsid w:val="005F7D67"/>
    <w:rsid w:val="005F7F82"/>
    <w:rsid w:val="0060007D"/>
    <w:rsid w:val="00600205"/>
    <w:rsid w:val="006002D6"/>
    <w:rsid w:val="00600501"/>
    <w:rsid w:val="006006CD"/>
    <w:rsid w:val="00600891"/>
    <w:rsid w:val="006008E5"/>
    <w:rsid w:val="00600B0C"/>
    <w:rsid w:val="00600DD2"/>
    <w:rsid w:val="00600F88"/>
    <w:rsid w:val="00601078"/>
    <w:rsid w:val="006011F0"/>
    <w:rsid w:val="00601246"/>
    <w:rsid w:val="006014A8"/>
    <w:rsid w:val="00601570"/>
    <w:rsid w:val="0060158B"/>
    <w:rsid w:val="00601686"/>
    <w:rsid w:val="00601BB4"/>
    <w:rsid w:val="00601D3B"/>
    <w:rsid w:val="0060202E"/>
    <w:rsid w:val="00602268"/>
    <w:rsid w:val="00602286"/>
    <w:rsid w:val="006022C4"/>
    <w:rsid w:val="0060242C"/>
    <w:rsid w:val="006024D6"/>
    <w:rsid w:val="00602543"/>
    <w:rsid w:val="0060254C"/>
    <w:rsid w:val="00602A59"/>
    <w:rsid w:val="00602A63"/>
    <w:rsid w:val="00602A91"/>
    <w:rsid w:val="00602DFA"/>
    <w:rsid w:val="00603035"/>
    <w:rsid w:val="006031D1"/>
    <w:rsid w:val="00603300"/>
    <w:rsid w:val="006033BF"/>
    <w:rsid w:val="006036BB"/>
    <w:rsid w:val="00603702"/>
    <w:rsid w:val="0060399B"/>
    <w:rsid w:val="00603AA1"/>
    <w:rsid w:val="00603B4B"/>
    <w:rsid w:val="00603DEC"/>
    <w:rsid w:val="00603F20"/>
    <w:rsid w:val="00603F94"/>
    <w:rsid w:val="00604006"/>
    <w:rsid w:val="006042BD"/>
    <w:rsid w:val="00604826"/>
    <w:rsid w:val="006048F8"/>
    <w:rsid w:val="00604936"/>
    <w:rsid w:val="00604982"/>
    <w:rsid w:val="00604A11"/>
    <w:rsid w:val="00604BC2"/>
    <w:rsid w:val="00604F14"/>
    <w:rsid w:val="00604F37"/>
    <w:rsid w:val="0060508A"/>
    <w:rsid w:val="006051EC"/>
    <w:rsid w:val="006055AF"/>
    <w:rsid w:val="006057D5"/>
    <w:rsid w:val="006058E7"/>
    <w:rsid w:val="00605942"/>
    <w:rsid w:val="00605A7A"/>
    <w:rsid w:val="00605BFC"/>
    <w:rsid w:val="00605C9F"/>
    <w:rsid w:val="00605D48"/>
    <w:rsid w:val="00605EC2"/>
    <w:rsid w:val="00606299"/>
    <w:rsid w:val="0060653A"/>
    <w:rsid w:val="00606562"/>
    <w:rsid w:val="0060671D"/>
    <w:rsid w:val="006067BF"/>
    <w:rsid w:val="006067F3"/>
    <w:rsid w:val="00606814"/>
    <w:rsid w:val="006068E8"/>
    <w:rsid w:val="00606A28"/>
    <w:rsid w:val="00606ADB"/>
    <w:rsid w:val="00606DC9"/>
    <w:rsid w:val="00606DF3"/>
    <w:rsid w:val="00606E72"/>
    <w:rsid w:val="0060729F"/>
    <w:rsid w:val="006072DE"/>
    <w:rsid w:val="006072FD"/>
    <w:rsid w:val="00607362"/>
    <w:rsid w:val="006075F4"/>
    <w:rsid w:val="006078A8"/>
    <w:rsid w:val="0060799C"/>
    <w:rsid w:val="006079CE"/>
    <w:rsid w:val="00607BAD"/>
    <w:rsid w:val="00607C01"/>
    <w:rsid w:val="00607C28"/>
    <w:rsid w:val="00607EC7"/>
    <w:rsid w:val="0061048A"/>
    <w:rsid w:val="006104F8"/>
    <w:rsid w:val="00610500"/>
    <w:rsid w:val="006106EB"/>
    <w:rsid w:val="00610918"/>
    <w:rsid w:val="0061094B"/>
    <w:rsid w:val="00610ACF"/>
    <w:rsid w:val="00610AE7"/>
    <w:rsid w:val="00610B50"/>
    <w:rsid w:val="00610BEE"/>
    <w:rsid w:val="00611178"/>
    <w:rsid w:val="0061148D"/>
    <w:rsid w:val="00611537"/>
    <w:rsid w:val="006118A0"/>
    <w:rsid w:val="00611D01"/>
    <w:rsid w:val="00611EC0"/>
    <w:rsid w:val="0061206E"/>
    <w:rsid w:val="006124B3"/>
    <w:rsid w:val="00612611"/>
    <w:rsid w:val="0061279A"/>
    <w:rsid w:val="0061282F"/>
    <w:rsid w:val="00612D96"/>
    <w:rsid w:val="00613009"/>
    <w:rsid w:val="0061324F"/>
    <w:rsid w:val="006132EA"/>
    <w:rsid w:val="00613680"/>
    <w:rsid w:val="00613F5F"/>
    <w:rsid w:val="00613F9B"/>
    <w:rsid w:val="0061401C"/>
    <w:rsid w:val="006141C9"/>
    <w:rsid w:val="0061420B"/>
    <w:rsid w:val="00614931"/>
    <w:rsid w:val="00614B59"/>
    <w:rsid w:val="00614D33"/>
    <w:rsid w:val="0061537D"/>
    <w:rsid w:val="0061537F"/>
    <w:rsid w:val="00615DEA"/>
    <w:rsid w:val="006161A9"/>
    <w:rsid w:val="0061640F"/>
    <w:rsid w:val="00616452"/>
    <w:rsid w:val="006167F6"/>
    <w:rsid w:val="0061693D"/>
    <w:rsid w:val="00616A60"/>
    <w:rsid w:val="00616A98"/>
    <w:rsid w:val="00616C85"/>
    <w:rsid w:val="00616EE6"/>
    <w:rsid w:val="006171DC"/>
    <w:rsid w:val="006171FB"/>
    <w:rsid w:val="0061742C"/>
    <w:rsid w:val="00617A2A"/>
    <w:rsid w:val="0062009B"/>
    <w:rsid w:val="006207F4"/>
    <w:rsid w:val="006209C1"/>
    <w:rsid w:val="00620C67"/>
    <w:rsid w:val="00620D54"/>
    <w:rsid w:val="0062112C"/>
    <w:rsid w:val="006211DA"/>
    <w:rsid w:val="006215B4"/>
    <w:rsid w:val="00621616"/>
    <w:rsid w:val="00621646"/>
    <w:rsid w:val="00621803"/>
    <w:rsid w:val="006218B0"/>
    <w:rsid w:val="00621AB5"/>
    <w:rsid w:val="006220F1"/>
    <w:rsid w:val="00622160"/>
    <w:rsid w:val="00622293"/>
    <w:rsid w:val="0062238F"/>
    <w:rsid w:val="006229F4"/>
    <w:rsid w:val="00622F9D"/>
    <w:rsid w:val="0062311D"/>
    <w:rsid w:val="006232D5"/>
    <w:rsid w:val="006235F3"/>
    <w:rsid w:val="0062385B"/>
    <w:rsid w:val="00623B02"/>
    <w:rsid w:val="00623C68"/>
    <w:rsid w:val="00623E46"/>
    <w:rsid w:val="00624215"/>
    <w:rsid w:val="006243F0"/>
    <w:rsid w:val="0062442E"/>
    <w:rsid w:val="00624604"/>
    <w:rsid w:val="0062467E"/>
    <w:rsid w:val="00624714"/>
    <w:rsid w:val="006247F2"/>
    <w:rsid w:val="00624D2C"/>
    <w:rsid w:val="00624E74"/>
    <w:rsid w:val="00624EF1"/>
    <w:rsid w:val="00625145"/>
    <w:rsid w:val="0062552C"/>
    <w:rsid w:val="00625A69"/>
    <w:rsid w:val="00625BF5"/>
    <w:rsid w:val="00625C94"/>
    <w:rsid w:val="00625F78"/>
    <w:rsid w:val="00626183"/>
    <w:rsid w:val="00626487"/>
    <w:rsid w:val="00626917"/>
    <w:rsid w:val="00626B0D"/>
    <w:rsid w:val="00626D88"/>
    <w:rsid w:val="00627402"/>
    <w:rsid w:val="0062741A"/>
    <w:rsid w:val="006274EA"/>
    <w:rsid w:val="006275A5"/>
    <w:rsid w:val="00627C0B"/>
    <w:rsid w:val="00627C51"/>
    <w:rsid w:val="00627C86"/>
    <w:rsid w:val="00627DF8"/>
    <w:rsid w:val="00627E4C"/>
    <w:rsid w:val="00630368"/>
    <w:rsid w:val="00630480"/>
    <w:rsid w:val="0063053C"/>
    <w:rsid w:val="0063058E"/>
    <w:rsid w:val="006305F8"/>
    <w:rsid w:val="00631281"/>
    <w:rsid w:val="00631727"/>
    <w:rsid w:val="00631DA7"/>
    <w:rsid w:val="00631E1D"/>
    <w:rsid w:val="00631EAF"/>
    <w:rsid w:val="0063213B"/>
    <w:rsid w:val="0063225D"/>
    <w:rsid w:val="006324D0"/>
    <w:rsid w:val="006327B0"/>
    <w:rsid w:val="00632876"/>
    <w:rsid w:val="00632AE4"/>
    <w:rsid w:val="00632B9C"/>
    <w:rsid w:val="00632C36"/>
    <w:rsid w:val="00632F18"/>
    <w:rsid w:val="00632FB1"/>
    <w:rsid w:val="0063320C"/>
    <w:rsid w:val="006332C9"/>
    <w:rsid w:val="006332D7"/>
    <w:rsid w:val="0063333D"/>
    <w:rsid w:val="00633399"/>
    <w:rsid w:val="00633509"/>
    <w:rsid w:val="006336FE"/>
    <w:rsid w:val="006337B6"/>
    <w:rsid w:val="00633A57"/>
    <w:rsid w:val="006340CD"/>
    <w:rsid w:val="00634225"/>
    <w:rsid w:val="006347F2"/>
    <w:rsid w:val="006348D4"/>
    <w:rsid w:val="0063492A"/>
    <w:rsid w:val="00634A58"/>
    <w:rsid w:val="00634B7E"/>
    <w:rsid w:val="00634C76"/>
    <w:rsid w:val="00635003"/>
    <w:rsid w:val="006351CE"/>
    <w:rsid w:val="006351F6"/>
    <w:rsid w:val="006352FD"/>
    <w:rsid w:val="0063551A"/>
    <w:rsid w:val="00635861"/>
    <w:rsid w:val="006359AA"/>
    <w:rsid w:val="00635B15"/>
    <w:rsid w:val="006362E1"/>
    <w:rsid w:val="00636475"/>
    <w:rsid w:val="00636544"/>
    <w:rsid w:val="006367DA"/>
    <w:rsid w:val="00636FAD"/>
    <w:rsid w:val="006370E1"/>
    <w:rsid w:val="006373CA"/>
    <w:rsid w:val="006375B2"/>
    <w:rsid w:val="006375BB"/>
    <w:rsid w:val="0063782F"/>
    <w:rsid w:val="006379A6"/>
    <w:rsid w:val="006379DE"/>
    <w:rsid w:val="00637A93"/>
    <w:rsid w:val="00637EC7"/>
    <w:rsid w:val="006401DD"/>
    <w:rsid w:val="00640396"/>
    <w:rsid w:val="006404A7"/>
    <w:rsid w:val="006406A4"/>
    <w:rsid w:val="006407FE"/>
    <w:rsid w:val="006409EE"/>
    <w:rsid w:val="00640AC9"/>
    <w:rsid w:val="00640BF7"/>
    <w:rsid w:val="00640C7D"/>
    <w:rsid w:val="00640E7E"/>
    <w:rsid w:val="00640FFF"/>
    <w:rsid w:val="006416A4"/>
    <w:rsid w:val="00641761"/>
    <w:rsid w:val="00641990"/>
    <w:rsid w:val="0064216B"/>
    <w:rsid w:val="0064217D"/>
    <w:rsid w:val="006421D9"/>
    <w:rsid w:val="0064238E"/>
    <w:rsid w:val="006424FE"/>
    <w:rsid w:val="0064253B"/>
    <w:rsid w:val="006425FC"/>
    <w:rsid w:val="00642631"/>
    <w:rsid w:val="00642A6F"/>
    <w:rsid w:val="00642AC0"/>
    <w:rsid w:val="00642C3C"/>
    <w:rsid w:val="00642DF5"/>
    <w:rsid w:val="0064304A"/>
    <w:rsid w:val="0064307D"/>
    <w:rsid w:val="0064329C"/>
    <w:rsid w:val="0064380B"/>
    <w:rsid w:val="00643A4F"/>
    <w:rsid w:val="00643D1D"/>
    <w:rsid w:val="00643FF5"/>
    <w:rsid w:val="00644004"/>
    <w:rsid w:val="006441FD"/>
    <w:rsid w:val="006443D7"/>
    <w:rsid w:val="00644A20"/>
    <w:rsid w:val="00644B49"/>
    <w:rsid w:val="00644E43"/>
    <w:rsid w:val="00644E5A"/>
    <w:rsid w:val="00644F2C"/>
    <w:rsid w:val="00644FFC"/>
    <w:rsid w:val="00645141"/>
    <w:rsid w:val="0064535E"/>
    <w:rsid w:val="006456A1"/>
    <w:rsid w:val="00645805"/>
    <w:rsid w:val="00645AEE"/>
    <w:rsid w:val="00646428"/>
    <w:rsid w:val="0064678C"/>
    <w:rsid w:val="00646B93"/>
    <w:rsid w:val="00646F31"/>
    <w:rsid w:val="0064707F"/>
    <w:rsid w:val="006471E8"/>
    <w:rsid w:val="006474CD"/>
    <w:rsid w:val="00647660"/>
    <w:rsid w:val="00647782"/>
    <w:rsid w:val="00647999"/>
    <w:rsid w:val="00647B43"/>
    <w:rsid w:val="00647BA6"/>
    <w:rsid w:val="00647E90"/>
    <w:rsid w:val="00647F36"/>
    <w:rsid w:val="00647FA3"/>
    <w:rsid w:val="006500F7"/>
    <w:rsid w:val="0065067F"/>
    <w:rsid w:val="0065069A"/>
    <w:rsid w:val="006506F2"/>
    <w:rsid w:val="0065071B"/>
    <w:rsid w:val="00650769"/>
    <w:rsid w:val="00650C97"/>
    <w:rsid w:val="00650DF8"/>
    <w:rsid w:val="00650F29"/>
    <w:rsid w:val="00650F64"/>
    <w:rsid w:val="00651094"/>
    <w:rsid w:val="00651184"/>
    <w:rsid w:val="006516B7"/>
    <w:rsid w:val="0065189D"/>
    <w:rsid w:val="006518E4"/>
    <w:rsid w:val="00651F5B"/>
    <w:rsid w:val="00651F9D"/>
    <w:rsid w:val="00651FB8"/>
    <w:rsid w:val="0065282B"/>
    <w:rsid w:val="0065294C"/>
    <w:rsid w:val="00652BA0"/>
    <w:rsid w:val="00652DF6"/>
    <w:rsid w:val="00652FCA"/>
    <w:rsid w:val="00653045"/>
    <w:rsid w:val="00653294"/>
    <w:rsid w:val="00653350"/>
    <w:rsid w:val="0065388D"/>
    <w:rsid w:val="0065395C"/>
    <w:rsid w:val="00653A25"/>
    <w:rsid w:val="00653AFB"/>
    <w:rsid w:val="00653B24"/>
    <w:rsid w:val="00653D93"/>
    <w:rsid w:val="00653F75"/>
    <w:rsid w:val="00653F8C"/>
    <w:rsid w:val="00653FDA"/>
    <w:rsid w:val="006540EF"/>
    <w:rsid w:val="006541A0"/>
    <w:rsid w:val="00654A87"/>
    <w:rsid w:val="00654AA0"/>
    <w:rsid w:val="00654B3C"/>
    <w:rsid w:val="00654BB5"/>
    <w:rsid w:val="00654CFE"/>
    <w:rsid w:val="00654E99"/>
    <w:rsid w:val="00654FBE"/>
    <w:rsid w:val="00655104"/>
    <w:rsid w:val="00655215"/>
    <w:rsid w:val="0065537B"/>
    <w:rsid w:val="0065548F"/>
    <w:rsid w:val="0065558B"/>
    <w:rsid w:val="00655633"/>
    <w:rsid w:val="00655797"/>
    <w:rsid w:val="006559BB"/>
    <w:rsid w:val="006559EB"/>
    <w:rsid w:val="00655A93"/>
    <w:rsid w:val="00655D93"/>
    <w:rsid w:val="00655DD2"/>
    <w:rsid w:val="00655E86"/>
    <w:rsid w:val="00656614"/>
    <w:rsid w:val="00656BD1"/>
    <w:rsid w:val="00656C4D"/>
    <w:rsid w:val="00656FE7"/>
    <w:rsid w:val="00657732"/>
    <w:rsid w:val="006577CD"/>
    <w:rsid w:val="006578A6"/>
    <w:rsid w:val="00657A31"/>
    <w:rsid w:val="00657CCC"/>
    <w:rsid w:val="00660162"/>
    <w:rsid w:val="0066036D"/>
    <w:rsid w:val="006603B7"/>
    <w:rsid w:val="006604FA"/>
    <w:rsid w:val="00660590"/>
    <w:rsid w:val="00660746"/>
    <w:rsid w:val="00660879"/>
    <w:rsid w:val="00660F50"/>
    <w:rsid w:val="00661046"/>
    <w:rsid w:val="006610A3"/>
    <w:rsid w:val="00661639"/>
    <w:rsid w:val="0066174D"/>
    <w:rsid w:val="006617AA"/>
    <w:rsid w:val="006617EE"/>
    <w:rsid w:val="00661E36"/>
    <w:rsid w:val="00661F03"/>
    <w:rsid w:val="006620C8"/>
    <w:rsid w:val="006621DB"/>
    <w:rsid w:val="00662334"/>
    <w:rsid w:val="006623C3"/>
    <w:rsid w:val="00662498"/>
    <w:rsid w:val="00662800"/>
    <w:rsid w:val="006631D3"/>
    <w:rsid w:val="00663306"/>
    <w:rsid w:val="00663505"/>
    <w:rsid w:val="00663820"/>
    <w:rsid w:val="00663C1C"/>
    <w:rsid w:val="00663CA6"/>
    <w:rsid w:val="00663D0F"/>
    <w:rsid w:val="00664525"/>
    <w:rsid w:val="0066465B"/>
    <w:rsid w:val="0066474D"/>
    <w:rsid w:val="00664C81"/>
    <w:rsid w:val="00664F81"/>
    <w:rsid w:val="006650D8"/>
    <w:rsid w:val="0066521A"/>
    <w:rsid w:val="0066540C"/>
    <w:rsid w:val="006655EC"/>
    <w:rsid w:val="00665719"/>
    <w:rsid w:val="00665801"/>
    <w:rsid w:val="0066581A"/>
    <w:rsid w:val="00665E59"/>
    <w:rsid w:val="00665EAE"/>
    <w:rsid w:val="00665FAF"/>
    <w:rsid w:val="006661EA"/>
    <w:rsid w:val="00666275"/>
    <w:rsid w:val="0066634D"/>
    <w:rsid w:val="006663EB"/>
    <w:rsid w:val="00666836"/>
    <w:rsid w:val="00666909"/>
    <w:rsid w:val="00666A57"/>
    <w:rsid w:val="00666EBC"/>
    <w:rsid w:val="00667034"/>
    <w:rsid w:val="00667189"/>
    <w:rsid w:val="00667199"/>
    <w:rsid w:val="00667211"/>
    <w:rsid w:val="0066749E"/>
    <w:rsid w:val="006675F1"/>
    <w:rsid w:val="00667AA9"/>
    <w:rsid w:val="00667BFB"/>
    <w:rsid w:val="00667CCB"/>
    <w:rsid w:val="00667EFD"/>
    <w:rsid w:val="00670005"/>
    <w:rsid w:val="006700B0"/>
    <w:rsid w:val="00670475"/>
    <w:rsid w:val="0067074C"/>
    <w:rsid w:val="00670769"/>
    <w:rsid w:val="00670B8C"/>
    <w:rsid w:val="00670C4A"/>
    <w:rsid w:val="00670DCA"/>
    <w:rsid w:val="006712BB"/>
    <w:rsid w:val="006712EC"/>
    <w:rsid w:val="0067133B"/>
    <w:rsid w:val="00671BAF"/>
    <w:rsid w:val="00671C32"/>
    <w:rsid w:val="00671F3E"/>
    <w:rsid w:val="0067202A"/>
    <w:rsid w:val="0067218B"/>
    <w:rsid w:val="0067240D"/>
    <w:rsid w:val="00672482"/>
    <w:rsid w:val="006724AA"/>
    <w:rsid w:val="00672A18"/>
    <w:rsid w:val="00672B94"/>
    <w:rsid w:val="006733DD"/>
    <w:rsid w:val="00673459"/>
    <w:rsid w:val="006735D0"/>
    <w:rsid w:val="006738F8"/>
    <w:rsid w:val="006739E9"/>
    <w:rsid w:val="00673BC5"/>
    <w:rsid w:val="00673D34"/>
    <w:rsid w:val="00673F94"/>
    <w:rsid w:val="00674064"/>
    <w:rsid w:val="006748B3"/>
    <w:rsid w:val="00674AF5"/>
    <w:rsid w:val="00674CD0"/>
    <w:rsid w:val="00674D52"/>
    <w:rsid w:val="00674F93"/>
    <w:rsid w:val="00675334"/>
    <w:rsid w:val="0067546F"/>
    <w:rsid w:val="006754DB"/>
    <w:rsid w:val="00675A94"/>
    <w:rsid w:val="00675F66"/>
    <w:rsid w:val="00676477"/>
    <w:rsid w:val="0067659A"/>
    <w:rsid w:val="00676AF1"/>
    <w:rsid w:val="00676B51"/>
    <w:rsid w:val="00676CE4"/>
    <w:rsid w:val="00676EC2"/>
    <w:rsid w:val="00676FA5"/>
    <w:rsid w:val="006770F9"/>
    <w:rsid w:val="006771A4"/>
    <w:rsid w:val="006771AD"/>
    <w:rsid w:val="006774A8"/>
    <w:rsid w:val="00677572"/>
    <w:rsid w:val="006779E1"/>
    <w:rsid w:val="00677B2E"/>
    <w:rsid w:val="00677D7B"/>
    <w:rsid w:val="00677FF3"/>
    <w:rsid w:val="00677FFB"/>
    <w:rsid w:val="00681229"/>
    <w:rsid w:val="0068183B"/>
    <w:rsid w:val="0068185E"/>
    <w:rsid w:val="00681BE5"/>
    <w:rsid w:val="00681BF5"/>
    <w:rsid w:val="00681D04"/>
    <w:rsid w:val="00681E30"/>
    <w:rsid w:val="00681E68"/>
    <w:rsid w:val="0068202B"/>
    <w:rsid w:val="0068223F"/>
    <w:rsid w:val="006825B2"/>
    <w:rsid w:val="00682671"/>
    <w:rsid w:val="0068271A"/>
    <w:rsid w:val="00683011"/>
    <w:rsid w:val="0068342B"/>
    <w:rsid w:val="00683560"/>
    <w:rsid w:val="0068379B"/>
    <w:rsid w:val="006837AB"/>
    <w:rsid w:val="00683D98"/>
    <w:rsid w:val="00683D99"/>
    <w:rsid w:val="00683F50"/>
    <w:rsid w:val="00684079"/>
    <w:rsid w:val="006841A9"/>
    <w:rsid w:val="00684229"/>
    <w:rsid w:val="0068465F"/>
    <w:rsid w:val="0068496A"/>
    <w:rsid w:val="00685D74"/>
    <w:rsid w:val="0068629B"/>
    <w:rsid w:val="0068655E"/>
    <w:rsid w:val="00686617"/>
    <w:rsid w:val="00686B7D"/>
    <w:rsid w:val="00686C12"/>
    <w:rsid w:val="00686C3B"/>
    <w:rsid w:val="00686D75"/>
    <w:rsid w:val="006870E8"/>
    <w:rsid w:val="00687309"/>
    <w:rsid w:val="0068736A"/>
    <w:rsid w:val="0068752B"/>
    <w:rsid w:val="00687597"/>
    <w:rsid w:val="00687610"/>
    <w:rsid w:val="00687745"/>
    <w:rsid w:val="00687A1A"/>
    <w:rsid w:val="00687D17"/>
    <w:rsid w:val="00690024"/>
    <w:rsid w:val="0069017B"/>
    <w:rsid w:val="0069017D"/>
    <w:rsid w:val="006901C6"/>
    <w:rsid w:val="0069036F"/>
    <w:rsid w:val="006903A4"/>
    <w:rsid w:val="00690438"/>
    <w:rsid w:val="00690659"/>
    <w:rsid w:val="00690764"/>
    <w:rsid w:val="00690883"/>
    <w:rsid w:val="00690CAA"/>
    <w:rsid w:val="00690E5A"/>
    <w:rsid w:val="00690EFB"/>
    <w:rsid w:val="0069106A"/>
    <w:rsid w:val="006911F9"/>
    <w:rsid w:val="006912CB"/>
    <w:rsid w:val="0069137B"/>
    <w:rsid w:val="006913EC"/>
    <w:rsid w:val="006914B7"/>
    <w:rsid w:val="00691742"/>
    <w:rsid w:val="00691DEE"/>
    <w:rsid w:val="00692147"/>
    <w:rsid w:val="00692242"/>
    <w:rsid w:val="0069236E"/>
    <w:rsid w:val="0069252A"/>
    <w:rsid w:val="00692704"/>
    <w:rsid w:val="006929B6"/>
    <w:rsid w:val="00692E67"/>
    <w:rsid w:val="0069319A"/>
    <w:rsid w:val="006931AB"/>
    <w:rsid w:val="00693646"/>
    <w:rsid w:val="00693699"/>
    <w:rsid w:val="00693799"/>
    <w:rsid w:val="00693963"/>
    <w:rsid w:val="00693ACF"/>
    <w:rsid w:val="00693EB2"/>
    <w:rsid w:val="00693EE5"/>
    <w:rsid w:val="00693FBC"/>
    <w:rsid w:val="006940AF"/>
    <w:rsid w:val="006942F8"/>
    <w:rsid w:val="006944C5"/>
    <w:rsid w:val="006944D3"/>
    <w:rsid w:val="00694A7E"/>
    <w:rsid w:val="00694B8D"/>
    <w:rsid w:val="00694E64"/>
    <w:rsid w:val="00694E95"/>
    <w:rsid w:val="00694F86"/>
    <w:rsid w:val="00695209"/>
    <w:rsid w:val="006954B7"/>
    <w:rsid w:val="006955FF"/>
    <w:rsid w:val="0069561C"/>
    <w:rsid w:val="00695634"/>
    <w:rsid w:val="006958F9"/>
    <w:rsid w:val="00695A22"/>
    <w:rsid w:val="00695B97"/>
    <w:rsid w:val="00695C8A"/>
    <w:rsid w:val="00695CEE"/>
    <w:rsid w:val="00695E16"/>
    <w:rsid w:val="00695F46"/>
    <w:rsid w:val="00695F90"/>
    <w:rsid w:val="0069600D"/>
    <w:rsid w:val="0069603A"/>
    <w:rsid w:val="00696143"/>
    <w:rsid w:val="006963AE"/>
    <w:rsid w:val="0069640F"/>
    <w:rsid w:val="0069691D"/>
    <w:rsid w:val="00696A6B"/>
    <w:rsid w:val="00696B07"/>
    <w:rsid w:val="00696FB8"/>
    <w:rsid w:val="00697053"/>
    <w:rsid w:val="0069705A"/>
    <w:rsid w:val="00697091"/>
    <w:rsid w:val="006970E1"/>
    <w:rsid w:val="00697353"/>
    <w:rsid w:val="006975CF"/>
    <w:rsid w:val="006976F1"/>
    <w:rsid w:val="00697A6B"/>
    <w:rsid w:val="006A01F4"/>
    <w:rsid w:val="006A02C8"/>
    <w:rsid w:val="006A0636"/>
    <w:rsid w:val="006A066A"/>
    <w:rsid w:val="006A06CA"/>
    <w:rsid w:val="006A083E"/>
    <w:rsid w:val="006A0B0E"/>
    <w:rsid w:val="006A0F9F"/>
    <w:rsid w:val="006A0FFD"/>
    <w:rsid w:val="006A1170"/>
    <w:rsid w:val="006A14A3"/>
    <w:rsid w:val="006A14DA"/>
    <w:rsid w:val="006A159D"/>
    <w:rsid w:val="006A18BF"/>
    <w:rsid w:val="006A1BE5"/>
    <w:rsid w:val="006A1BFD"/>
    <w:rsid w:val="006A1C9D"/>
    <w:rsid w:val="006A1DD1"/>
    <w:rsid w:val="006A1F58"/>
    <w:rsid w:val="006A23A7"/>
    <w:rsid w:val="006A242E"/>
    <w:rsid w:val="006A24FB"/>
    <w:rsid w:val="006A26AB"/>
    <w:rsid w:val="006A2752"/>
    <w:rsid w:val="006A27C5"/>
    <w:rsid w:val="006A298D"/>
    <w:rsid w:val="006A29FA"/>
    <w:rsid w:val="006A2F3C"/>
    <w:rsid w:val="006A2F80"/>
    <w:rsid w:val="006A329A"/>
    <w:rsid w:val="006A3966"/>
    <w:rsid w:val="006A3FD6"/>
    <w:rsid w:val="006A4076"/>
    <w:rsid w:val="006A436F"/>
    <w:rsid w:val="006A4380"/>
    <w:rsid w:val="006A44A2"/>
    <w:rsid w:val="006A4BAB"/>
    <w:rsid w:val="006A4E5B"/>
    <w:rsid w:val="006A52A2"/>
    <w:rsid w:val="006A531C"/>
    <w:rsid w:val="006A53AF"/>
    <w:rsid w:val="006A5652"/>
    <w:rsid w:val="006A582E"/>
    <w:rsid w:val="006A588A"/>
    <w:rsid w:val="006A59D8"/>
    <w:rsid w:val="006A5A45"/>
    <w:rsid w:val="006A5C13"/>
    <w:rsid w:val="006A5CBF"/>
    <w:rsid w:val="006A5D3F"/>
    <w:rsid w:val="006A5D81"/>
    <w:rsid w:val="006A5D8F"/>
    <w:rsid w:val="006A608E"/>
    <w:rsid w:val="006A6326"/>
    <w:rsid w:val="006A63B2"/>
    <w:rsid w:val="006A63EB"/>
    <w:rsid w:val="006A67C0"/>
    <w:rsid w:val="006A6951"/>
    <w:rsid w:val="006A69EC"/>
    <w:rsid w:val="006A6B7B"/>
    <w:rsid w:val="006A6CB3"/>
    <w:rsid w:val="006A6E1A"/>
    <w:rsid w:val="006A7111"/>
    <w:rsid w:val="006A71C2"/>
    <w:rsid w:val="006A73D2"/>
    <w:rsid w:val="006A73DC"/>
    <w:rsid w:val="006A75E6"/>
    <w:rsid w:val="006A78F8"/>
    <w:rsid w:val="006A7991"/>
    <w:rsid w:val="006A7C26"/>
    <w:rsid w:val="006A7CE9"/>
    <w:rsid w:val="006A7D4E"/>
    <w:rsid w:val="006A7E27"/>
    <w:rsid w:val="006A7E9A"/>
    <w:rsid w:val="006B00B9"/>
    <w:rsid w:val="006B00FD"/>
    <w:rsid w:val="006B010E"/>
    <w:rsid w:val="006B011E"/>
    <w:rsid w:val="006B0210"/>
    <w:rsid w:val="006B050D"/>
    <w:rsid w:val="006B0593"/>
    <w:rsid w:val="006B0714"/>
    <w:rsid w:val="006B091F"/>
    <w:rsid w:val="006B0CAF"/>
    <w:rsid w:val="006B0ED0"/>
    <w:rsid w:val="006B0EED"/>
    <w:rsid w:val="006B1176"/>
    <w:rsid w:val="006B1358"/>
    <w:rsid w:val="006B147E"/>
    <w:rsid w:val="006B14BF"/>
    <w:rsid w:val="006B190E"/>
    <w:rsid w:val="006B1DF6"/>
    <w:rsid w:val="006B1FCD"/>
    <w:rsid w:val="006B21D8"/>
    <w:rsid w:val="006B233F"/>
    <w:rsid w:val="006B25D7"/>
    <w:rsid w:val="006B275E"/>
    <w:rsid w:val="006B28EA"/>
    <w:rsid w:val="006B296C"/>
    <w:rsid w:val="006B298A"/>
    <w:rsid w:val="006B2CDC"/>
    <w:rsid w:val="006B2D60"/>
    <w:rsid w:val="006B2DA3"/>
    <w:rsid w:val="006B2FBB"/>
    <w:rsid w:val="006B3036"/>
    <w:rsid w:val="006B3189"/>
    <w:rsid w:val="006B378A"/>
    <w:rsid w:val="006B3BD5"/>
    <w:rsid w:val="006B3D7A"/>
    <w:rsid w:val="006B4085"/>
    <w:rsid w:val="006B4185"/>
    <w:rsid w:val="006B4224"/>
    <w:rsid w:val="006B4367"/>
    <w:rsid w:val="006B4493"/>
    <w:rsid w:val="006B4569"/>
    <w:rsid w:val="006B45E3"/>
    <w:rsid w:val="006B4A18"/>
    <w:rsid w:val="006B4A9E"/>
    <w:rsid w:val="006B4B62"/>
    <w:rsid w:val="006B4BD7"/>
    <w:rsid w:val="006B53DC"/>
    <w:rsid w:val="006B5423"/>
    <w:rsid w:val="006B5578"/>
    <w:rsid w:val="006B5855"/>
    <w:rsid w:val="006B58CB"/>
    <w:rsid w:val="006B5AB2"/>
    <w:rsid w:val="006B5C67"/>
    <w:rsid w:val="006B64AA"/>
    <w:rsid w:val="006B64BC"/>
    <w:rsid w:val="006B64C5"/>
    <w:rsid w:val="006B6B5D"/>
    <w:rsid w:val="006B6C0D"/>
    <w:rsid w:val="006B702F"/>
    <w:rsid w:val="006B7274"/>
    <w:rsid w:val="006B7361"/>
    <w:rsid w:val="006B7825"/>
    <w:rsid w:val="006B7D68"/>
    <w:rsid w:val="006B7E84"/>
    <w:rsid w:val="006B7FEC"/>
    <w:rsid w:val="006C005B"/>
    <w:rsid w:val="006C02CC"/>
    <w:rsid w:val="006C033F"/>
    <w:rsid w:val="006C04E2"/>
    <w:rsid w:val="006C0D9C"/>
    <w:rsid w:val="006C0F54"/>
    <w:rsid w:val="006C1770"/>
    <w:rsid w:val="006C1818"/>
    <w:rsid w:val="006C181C"/>
    <w:rsid w:val="006C197A"/>
    <w:rsid w:val="006C19DA"/>
    <w:rsid w:val="006C1CCA"/>
    <w:rsid w:val="006C1F8B"/>
    <w:rsid w:val="006C1FA3"/>
    <w:rsid w:val="006C1FF3"/>
    <w:rsid w:val="006C21D7"/>
    <w:rsid w:val="006C2265"/>
    <w:rsid w:val="006C23E6"/>
    <w:rsid w:val="006C2721"/>
    <w:rsid w:val="006C27AD"/>
    <w:rsid w:val="006C29F3"/>
    <w:rsid w:val="006C2E7B"/>
    <w:rsid w:val="006C2FA5"/>
    <w:rsid w:val="006C2FDF"/>
    <w:rsid w:val="006C30AC"/>
    <w:rsid w:val="006C3234"/>
    <w:rsid w:val="006C323A"/>
    <w:rsid w:val="006C3868"/>
    <w:rsid w:val="006C38FF"/>
    <w:rsid w:val="006C39EC"/>
    <w:rsid w:val="006C3C79"/>
    <w:rsid w:val="006C3E6E"/>
    <w:rsid w:val="006C3EEA"/>
    <w:rsid w:val="006C429E"/>
    <w:rsid w:val="006C4359"/>
    <w:rsid w:val="006C43A6"/>
    <w:rsid w:val="006C44EC"/>
    <w:rsid w:val="006C4613"/>
    <w:rsid w:val="006C4A4A"/>
    <w:rsid w:val="006C5114"/>
    <w:rsid w:val="006C52AF"/>
    <w:rsid w:val="006C53EB"/>
    <w:rsid w:val="006C561F"/>
    <w:rsid w:val="006C57DC"/>
    <w:rsid w:val="006C589F"/>
    <w:rsid w:val="006C5944"/>
    <w:rsid w:val="006C597A"/>
    <w:rsid w:val="006C5D29"/>
    <w:rsid w:val="006C5D8F"/>
    <w:rsid w:val="006C5DF1"/>
    <w:rsid w:val="006C621B"/>
    <w:rsid w:val="006C62F6"/>
    <w:rsid w:val="006C64B1"/>
    <w:rsid w:val="006C650D"/>
    <w:rsid w:val="006C69A5"/>
    <w:rsid w:val="006C6A4D"/>
    <w:rsid w:val="006C6CF3"/>
    <w:rsid w:val="006C7034"/>
    <w:rsid w:val="006C707A"/>
    <w:rsid w:val="006C71F9"/>
    <w:rsid w:val="006C731D"/>
    <w:rsid w:val="006C7740"/>
    <w:rsid w:val="006C77AE"/>
    <w:rsid w:val="006C7872"/>
    <w:rsid w:val="006C7894"/>
    <w:rsid w:val="006D0389"/>
    <w:rsid w:val="006D042D"/>
    <w:rsid w:val="006D04C9"/>
    <w:rsid w:val="006D0848"/>
    <w:rsid w:val="006D0B40"/>
    <w:rsid w:val="006D0BA5"/>
    <w:rsid w:val="006D0C15"/>
    <w:rsid w:val="006D0D8B"/>
    <w:rsid w:val="006D0F34"/>
    <w:rsid w:val="006D0FBF"/>
    <w:rsid w:val="006D10DC"/>
    <w:rsid w:val="006D145F"/>
    <w:rsid w:val="006D1586"/>
    <w:rsid w:val="006D19C1"/>
    <w:rsid w:val="006D19DD"/>
    <w:rsid w:val="006D1B7A"/>
    <w:rsid w:val="006D1D85"/>
    <w:rsid w:val="006D1E72"/>
    <w:rsid w:val="006D1FC3"/>
    <w:rsid w:val="006D2132"/>
    <w:rsid w:val="006D2827"/>
    <w:rsid w:val="006D2848"/>
    <w:rsid w:val="006D2B19"/>
    <w:rsid w:val="006D2EC9"/>
    <w:rsid w:val="006D328A"/>
    <w:rsid w:val="006D3A05"/>
    <w:rsid w:val="006D3B62"/>
    <w:rsid w:val="006D3FDF"/>
    <w:rsid w:val="006D424C"/>
    <w:rsid w:val="006D4523"/>
    <w:rsid w:val="006D4527"/>
    <w:rsid w:val="006D4679"/>
    <w:rsid w:val="006D4A27"/>
    <w:rsid w:val="006D4B05"/>
    <w:rsid w:val="006D4B85"/>
    <w:rsid w:val="006D4EB3"/>
    <w:rsid w:val="006D4EE5"/>
    <w:rsid w:val="006D4F4A"/>
    <w:rsid w:val="006D4F86"/>
    <w:rsid w:val="006D5549"/>
    <w:rsid w:val="006D5C2A"/>
    <w:rsid w:val="006D5C6D"/>
    <w:rsid w:val="006D5CE1"/>
    <w:rsid w:val="006D5F98"/>
    <w:rsid w:val="006D6358"/>
    <w:rsid w:val="006D6508"/>
    <w:rsid w:val="006D6665"/>
    <w:rsid w:val="006D6722"/>
    <w:rsid w:val="006D686F"/>
    <w:rsid w:val="006D6D14"/>
    <w:rsid w:val="006D6F5D"/>
    <w:rsid w:val="006D7098"/>
    <w:rsid w:val="006D719F"/>
    <w:rsid w:val="006D7300"/>
    <w:rsid w:val="006D740E"/>
    <w:rsid w:val="006D772C"/>
    <w:rsid w:val="006D7C8A"/>
    <w:rsid w:val="006D7E7F"/>
    <w:rsid w:val="006D7F72"/>
    <w:rsid w:val="006E00B7"/>
    <w:rsid w:val="006E020D"/>
    <w:rsid w:val="006E04CB"/>
    <w:rsid w:val="006E0595"/>
    <w:rsid w:val="006E0603"/>
    <w:rsid w:val="006E0B02"/>
    <w:rsid w:val="006E0CB5"/>
    <w:rsid w:val="006E0E5B"/>
    <w:rsid w:val="006E132F"/>
    <w:rsid w:val="006E160B"/>
    <w:rsid w:val="006E173B"/>
    <w:rsid w:val="006E177D"/>
    <w:rsid w:val="006E1A6A"/>
    <w:rsid w:val="006E1C5E"/>
    <w:rsid w:val="006E2345"/>
    <w:rsid w:val="006E2419"/>
    <w:rsid w:val="006E2622"/>
    <w:rsid w:val="006E2701"/>
    <w:rsid w:val="006E2C65"/>
    <w:rsid w:val="006E2E3B"/>
    <w:rsid w:val="006E3023"/>
    <w:rsid w:val="006E3369"/>
    <w:rsid w:val="006E36B0"/>
    <w:rsid w:val="006E3881"/>
    <w:rsid w:val="006E3D12"/>
    <w:rsid w:val="006E4139"/>
    <w:rsid w:val="006E43AF"/>
    <w:rsid w:val="006E4438"/>
    <w:rsid w:val="006E449C"/>
    <w:rsid w:val="006E44B6"/>
    <w:rsid w:val="006E4726"/>
    <w:rsid w:val="006E4E72"/>
    <w:rsid w:val="006E4EA3"/>
    <w:rsid w:val="006E4FCD"/>
    <w:rsid w:val="006E5012"/>
    <w:rsid w:val="006E50D0"/>
    <w:rsid w:val="006E5103"/>
    <w:rsid w:val="006E52AA"/>
    <w:rsid w:val="006E531B"/>
    <w:rsid w:val="006E549E"/>
    <w:rsid w:val="006E54F5"/>
    <w:rsid w:val="006E57B8"/>
    <w:rsid w:val="006E57E8"/>
    <w:rsid w:val="006E5B0B"/>
    <w:rsid w:val="006E5CBE"/>
    <w:rsid w:val="006E5D2A"/>
    <w:rsid w:val="006E6376"/>
    <w:rsid w:val="006E64FB"/>
    <w:rsid w:val="006E6511"/>
    <w:rsid w:val="006E660F"/>
    <w:rsid w:val="006E663E"/>
    <w:rsid w:val="006E6655"/>
    <w:rsid w:val="006E6801"/>
    <w:rsid w:val="006E6D05"/>
    <w:rsid w:val="006E6EDF"/>
    <w:rsid w:val="006E719A"/>
    <w:rsid w:val="006E7931"/>
    <w:rsid w:val="006E7BA5"/>
    <w:rsid w:val="006F00B6"/>
    <w:rsid w:val="006F0163"/>
    <w:rsid w:val="006F01E8"/>
    <w:rsid w:val="006F028F"/>
    <w:rsid w:val="006F02D7"/>
    <w:rsid w:val="006F06C6"/>
    <w:rsid w:val="006F07FA"/>
    <w:rsid w:val="006F0CD6"/>
    <w:rsid w:val="006F0EBB"/>
    <w:rsid w:val="006F11D6"/>
    <w:rsid w:val="006F11DF"/>
    <w:rsid w:val="006F1758"/>
    <w:rsid w:val="006F1956"/>
    <w:rsid w:val="006F1D24"/>
    <w:rsid w:val="006F1E96"/>
    <w:rsid w:val="006F2133"/>
    <w:rsid w:val="006F28FC"/>
    <w:rsid w:val="006F29A8"/>
    <w:rsid w:val="006F29F9"/>
    <w:rsid w:val="006F2C9D"/>
    <w:rsid w:val="006F2D23"/>
    <w:rsid w:val="006F2D24"/>
    <w:rsid w:val="006F30D2"/>
    <w:rsid w:val="006F30E7"/>
    <w:rsid w:val="006F3109"/>
    <w:rsid w:val="006F3301"/>
    <w:rsid w:val="006F36E2"/>
    <w:rsid w:val="006F37F7"/>
    <w:rsid w:val="006F38C3"/>
    <w:rsid w:val="006F3909"/>
    <w:rsid w:val="006F3C47"/>
    <w:rsid w:val="006F3E11"/>
    <w:rsid w:val="006F4036"/>
    <w:rsid w:val="006F410D"/>
    <w:rsid w:val="006F428E"/>
    <w:rsid w:val="006F4315"/>
    <w:rsid w:val="006F452E"/>
    <w:rsid w:val="006F48E1"/>
    <w:rsid w:val="006F4A8C"/>
    <w:rsid w:val="006F4E68"/>
    <w:rsid w:val="006F5160"/>
    <w:rsid w:val="006F5374"/>
    <w:rsid w:val="006F5CF9"/>
    <w:rsid w:val="006F6025"/>
    <w:rsid w:val="006F60DF"/>
    <w:rsid w:val="006F60EB"/>
    <w:rsid w:val="006F661B"/>
    <w:rsid w:val="006F68C1"/>
    <w:rsid w:val="006F6B60"/>
    <w:rsid w:val="006F6CD4"/>
    <w:rsid w:val="006F6CE2"/>
    <w:rsid w:val="006F6E07"/>
    <w:rsid w:val="006F6E10"/>
    <w:rsid w:val="006F71F2"/>
    <w:rsid w:val="006F7449"/>
    <w:rsid w:val="006F7800"/>
    <w:rsid w:val="006F7802"/>
    <w:rsid w:val="006F788E"/>
    <w:rsid w:val="006F7E8A"/>
    <w:rsid w:val="0070003A"/>
    <w:rsid w:val="007003A0"/>
    <w:rsid w:val="0070047E"/>
    <w:rsid w:val="007005F9"/>
    <w:rsid w:val="00700809"/>
    <w:rsid w:val="00700E9D"/>
    <w:rsid w:val="007010FE"/>
    <w:rsid w:val="007014F8"/>
    <w:rsid w:val="0070150D"/>
    <w:rsid w:val="007016D2"/>
    <w:rsid w:val="007018D8"/>
    <w:rsid w:val="00701BCB"/>
    <w:rsid w:val="00701CEA"/>
    <w:rsid w:val="00701DED"/>
    <w:rsid w:val="00701EC7"/>
    <w:rsid w:val="00701FC2"/>
    <w:rsid w:val="00702079"/>
    <w:rsid w:val="00702121"/>
    <w:rsid w:val="007022F8"/>
    <w:rsid w:val="007024A4"/>
    <w:rsid w:val="007026F8"/>
    <w:rsid w:val="00702788"/>
    <w:rsid w:val="0070291B"/>
    <w:rsid w:val="007029E8"/>
    <w:rsid w:val="00702C89"/>
    <w:rsid w:val="00702D2C"/>
    <w:rsid w:val="00702D9C"/>
    <w:rsid w:val="00702FBD"/>
    <w:rsid w:val="00703107"/>
    <w:rsid w:val="00703138"/>
    <w:rsid w:val="00703277"/>
    <w:rsid w:val="00703319"/>
    <w:rsid w:val="0070356D"/>
    <w:rsid w:val="00703981"/>
    <w:rsid w:val="00703C0A"/>
    <w:rsid w:val="00703CCF"/>
    <w:rsid w:val="00703D67"/>
    <w:rsid w:val="00703D7E"/>
    <w:rsid w:val="00703DE6"/>
    <w:rsid w:val="00703E41"/>
    <w:rsid w:val="007041A7"/>
    <w:rsid w:val="00704632"/>
    <w:rsid w:val="00704644"/>
    <w:rsid w:val="0070495F"/>
    <w:rsid w:val="00704B6E"/>
    <w:rsid w:val="00704F73"/>
    <w:rsid w:val="0070508D"/>
    <w:rsid w:val="0070524A"/>
    <w:rsid w:val="0070542E"/>
    <w:rsid w:val="00705605"/>
    <w:rsid w:val="00705720"/>
    <w:rsid w:val="00705A16"/>
    <w:rsid w:val="00705A8B"/>
    <w:rsid w:val="00705C1D"/>
    <w:rsid w:val="00706096"/>
    <w:rsid w:val="007060D4"/>
    <w:rsid w:val="0070624C"/>
    <w:rsid w:val="007062C8"/>
    <w:rsid w:val="00706451"/>
    <w:rsid w:val="00706481"/>
    <w:rsid w:val="00706594"/>
    <w:rsid w:val="00706662"/>
    <w:rsid w:val="00706995"/>
    <w:rsid w:val="00706A11"/>
    <w:rsid w:val="00706EB3"/>
    <w:rsid w:val="007071A0"/>
    <w:rsid w:val="0070729C"/>
    <w:rsid w:val="0070744C"/>
    <w:rsid w:val="00707D4F"/>
    <w:rsid w:val="00707E0F"/>
    <w:rsid w:val="007100F9"/>
    <w:rsid w:val="007101CA"/>
    <w:rsid w:val="0071068A"/>
    <w:rsid w:val="0071070B"/>
    <w:rsid w:val="00710717"/>
    <w:rsid w:val="00710E19"/>
    <w:rsid w:val="00710E3B"/>
    <w:rsid w:val="00710E52"/>
    <w:rsid w:val="00710EC2"/>
    <w:rsid w:val="0071127F"/>
    <w:rsid w:val="0071154B"/>
    <w:rsid w:val="007116B6"/>
    <w:rsid w:val="0071174F"/>
    <w:rsid w:val="0071196A"/>
    <w:rsid w:val="00711BA3"/>
    <w:rsid w:val="00711C03"/>
    <w:rsid w:val="00711C47"/>
    <w:rsid w:val="00711C73"/>
    <w:rsid w:val="0071213F"/>
    <w:rsid w:val="0071227C"/>
    <w:rsid w:val="007125CF"/>
    <w:rsid w:val="00712E78"/>
    <w:rsid w:val="00713190"/>
    <w:rsid w:val="007131CF"/>
    <w:rsid w:val="007131FB"/>
    <w:rsid w:val="00713222"/>
    <w:rsid w:val="00713297"/>
    <w:rsid w:val="007132C0"/>
    <w:rsid w:val="007132CD"/>
    <w:rsid w:val="007133C0"/>
    <w:rsid w:val="007134E6"/>
    <w:rsid w:val="00713613"/>
    <w:rsid w:val="007137C6"/>
    <w:rsid w:val="007138FC"/>
    <w:rsid w:val="0071393D"/>
    <w:rsid w:val="00713A86"/>
    <w:rsid w:val="00713AC6"/>
    <w:rsid w:val="00713BDF"/>
    <w:rsid w:val="00713E79"/>
    <w:rsid w:val="00714245"/>
    <w:rsid w:val="007147A2"/>
    <w:rsid w:val="00714B90"/>
    <w:rsid w:val="00714BC7"/>
    <w:rsid w:val="00714C20"/>
    <w:rsid w:val="0071533A"/>
    <w:rsid w:val="0071533E"/>
    <w:rsid w:val="00715441"/>
    <w:rsid w:val="00715445"/>
    <w:rsid w:val="0071555D"/>
    <w:rsid w:val="00715739"/>
    <w:rsid w:val="0071576C"/>
    <w:rsid w:val="00715C94"/>
    <w:rsid w:val="00715E54"/>
    <w:rsid w:val="00715EA7"/>
    <w:rsid w:val="00715F5A"/>
    <w:rsid w:val="00715F73"/>
    <w:rsid w:val="007161D8"/>
    <w:rsid w:val="00716460"/>
    <w:rsid w:val="007164F4"/>
    <w:rsid w:val="00716A09"/>
    <w:rsid w:val="007170DB"/>
    <w:rsid w:val="007171F2"/>
    <w:rsid w:val="00717880"/>
    <w:rsid w:val="007178D0"/>
    <w:rsid w:val="00717A70"/>
    <w:rsid w:val="00717CA8"/>
    <w:rsid w:val="007203B2"/>
    <w:rsid w:val="007204FD"/>
    <w:rsid w:val="007205E7"/>
    <w:rsid w:val="007209C4"/>
    <w:rsid w:val="00720D42"/>
    <w:rsid w:val="00720D99"/>
    <w:rsid w:val="00720F99"/>
    <w:rsid w:val="00721121"/>
    <w:rsid w:val="00721335"/>
    <w:rsid w:val="0072137B"/>
    <w:rsid w:val="007217CB"/>
    <w:rsid w:val="0072181E"/>
    <w:rsid w:val="007219AB"/>
    <w:rsid w:val="00721ACB"/>
    <w:rsid w:val="00721E9E"/>
    <w:rsid w:val="00721F50"/>
    <w:rsid w:val="00721F90"/>
    <w:rsid w:val="00721FBB"/>
    <w:rsid w:val="00722659"/>
    <w:rsid w:val="007227AC"/>
    <w:rsid w:val="007227FE"/>
    <w:rsid w:val="0072290A"/>
    <w:rsid w:val="00722CA0"/>
    <w:rsid w:val="00722CEF"/>
    <w:rsid w:val="007233C3"/>
    <w:rsid w:val="00723521"/>
    <w:rsid w:val="007237B2"/>
    <w:rsid w:val="00723C95"/>
    <w:rsid w:val="00723FFA"/>
    <w:rsid w:val="007240A7"/>
    <w:rsid w:val="007240C6"/>
    <w:rsid w:val="007244E7"/>
    <w:rsid w:val="00724599"/>
    <w:rsid w:val="00724A77"/>
    <w:rsid w:val="00724B9D"/>
    <w:rsid w:val="00724E77"/>
    <w:rsid w:val="00724F86"/>
    <w:rsid w:val="0072505F"/>
    <w:rsid w:val="00725128"/>
    <w:rsid w:val="00725241"/>
    <w:rsid w:val="007254E4"/>
    <w:rsid w:val="007254F0"/>
    <w:rsid w:val="00725B00"/>
    <w:rsid w:val="00725E54"/>
    <w:rsid w:val="0072680C"/>
    <w:rsid w:val="00726845"/>
    <w:rsid w:val="0072698B"/>
    <w:rsid w:val="00726A21"/>
    <w:rsid w:val="00726A25"/>
    <w:rsid w:val="00726AD0"/>
    <w:rsid w:val="00726B3D"/>
    <w:rsid w:val="00726B9C"/>
    <w:rsid w:val="00726C64"/>
    <w:rsid w:val="00726C82"/>
    <w:rsid w:val="00726CE1"/>
    <w:rsid w:val="00726FC6"/>
    <w:rsid w:val="0072738E"/>
    <w:rsid w:val="007276AE"/>
    <w:rsid w:val="00727B49"/>
    <w:rsid w:val="0073005C"/>
    <w:rsid w:val="0073055C"/>
    <w:rsid w:val="0073089B"/>
    <w:rsid w:val="00730C3F"/>
    <w:rsid w:val="00730D12"/>
    <w:rsid w:val="00730D83"/>
    <w:rsid w:val="007310B7"/>
    <w:rsid w:val="00731104"/>
    <w:rsid w:val="00731237"/>
    <w:rsid w:val="00731303"/>
    <w:rsid w:val="00731445"/>
    <w:rsid w:val="00731AD1"/>
    <w:rsid w:val="00731D60"/>
    <w:rsid w:val="00731DEA"/>
    <w:rsid w:val="00731E26"/>
    <w:rsid w:val="0073207E"/>
    <w:rsid w:val="007320DD"/>
    <w:rsid w:val="00732149"/>
    <w:rsid w:val="007321AD"/>
    <w:rsid w:val="00732364"/>
    <w:rsid w:val="00732664"/>
    <w:rsid w:val="00732BA7"/>
    <w:rsid w:val="00732C43"/>
    <w:rsid w:val="00732FF5"/>
    <w:rsid w:val="007332A0"/>
    <w:rsid w:val="007333EA"/>
    <w:rsid w:val="00733436"/>
    <w:rsid w:val="00733535"/>
    <w:rsid w:val="00733601"/>
    <w:rsid w:val="00733699"/>
    <w:rsid w:val="00733881"/>
    <w:rsid w:val="00733A57"/>
    <w:rsid w:val="00733CA4"/>
    <w:rsid w:val="00733E17"/>
    <w:rsid w:val="00733F36"/>
    <w:rsid w:val="00733FA5"/>
    <w:rsid w:val="007340CE"/>
    <w:rsid w:val="00734173"/>
    <w:rsid w:val="0073464E"/>
    <w:rsid w:val="00734781"/>
    <w:rsid w:val="00734801"/>
    <w:rsid w:val="0073492D"/>
    <w:rsid w:val="007349C6"/>
    <w:rsid w:val="007349FC"/>
    <w:rsid w:val="00734B6F"/>
    <w:rsid w:val="00734EAA"/>
    <w:rsid w:val="00734EEC"/>
    <w:rsid w:val="00735293"/>
    <w:rsid w:val="00735376"/>
    <w:rsid w:val="007354FE"/>
    <w:rsid w:val="0073579C"/>
    <w:rsid w:val="00735863"/>
    <w:rsid w:val="00735A9D"/>
    <w:rsid w:val="00736299"/>
    <w:rsid w:val="007362CB"/>
    <w:rsid w:val="007362F3"/>
    <w:rsid w:val="007362FE"/>
    <w:rsid w:val="007363A4"/>
    <w:rsid w:val="007363EA"/>
    <w:rsid w:val="00736E06"/>
    <w:rsid w:val="00736E37"/>
    <w:rsid w:val="00737286"/>
    <w:rsid w:val="007373DB"/>
    <w:rsid w:val="007374B4"/>
    <w:rsid w:val="007375F8"/>
    <w:rsid w:val="0073779E"/>
    <w:rsid w:val="007379B6"/>
    <w:rsid w:val="00737A1B"/>
    <w:rsid w:val="00737B40"/>
    <w:rsid w:val="00737F27"/>
    <w:rsid w:val="00737FD3"/>
    <w:rsid w:val="00740516"/>
    <w:rsid w:val="00740558"/>
    <w:rsid w:val="007407DB"/>
    <w:rsid w:val="0074085F"/>
    <w:rsid w:val="00740877"/>
    <w:rsid w:val="00740BFC"/>
    <w:rsid w:val="00740D74"/>
    <w:rsid w:val="00740EC5"/>
    <w:rsid w:val="00740F76"/>
    <w:rsid w:val="00741037"/>
    <w:rsid w:val="00741553"/>
    <w:rsid w:val="00741576"/>
    <w:rsid w:val="007415FA"/>
    <w:rsid w:val="00741668"/>
    <w:rsid w:val="0074198F"/>
    <w:rsid w:val="00741A8F"/>
    <w:rsid w:val="00741AFA"/>
    <w:rsid w:val="00741F19"/>
    <w:rsid w:val="00742139"/>
    <w:rsid w:val="007422B3"/>
    <w:rsid w:val="007424BF"/>
    <w:rsid w:val="007425CB"/>
    <w:rsid w:val="007426A4"/>
    <w:rsid w:val="00742F11"/>
    <w:rsid w:val="00742F72"/>
    <w:rsid w:val="007434BD"/>
    <w:rsid w:val="007435F1"/>
    <w:rsid w:val="00743DDD"/>
    <w:rsid w:val="00743E0C"/>
    <w:rsid w:val="00743E9F"/>
    <w:rsid w:val="0074415D"/>
    <w:rsid w:val="00744625"/>
    <w:rsid w:val="007446BB"/>
    <w:rsid w:val="00745882"/>
    <w:rsid w:val="00745A04"/>
    <w:rsid w:val="00745A0F"/>
    <w:rsid w:val="00745B8C"/>
    <w:rsid w:val="00745D2B"/>
    <w:rsid w:val="00745DFD"/>
    <w:rsid w:val="00746197"/>
    <w:rsid w:val="007462BF"/>
    <w:rsid w:val="007465B5"/>
    <w:rsid w:val="00746842"/>
    <w:rsid w:val="0074689C"/>
    <w:rsid w:val="00746905"/>
    <w:rsid w:val="0074693F"/>
    <w:rsid w:val="00746B3F"/>
    <w:rsid w:val="00747117"/>
    <w:rsid w:val="007474C9"/>
    <w:rsid w:val="007475C3"/>
    <w:rsid w:val="00747973"/>
    <w:rsid w:val="007479C2"/>
    <w:rsid w:val="00747B0D"/>
    <w:rsid w:val="007503B0"/>
    <w:rsid w:val="007505BC"/>
    <w:rsid w:val="00750712"/>
    <w:rsid w:val="00750872"/>
    <w:rsid w:val="00750D8B"/>
    <w:rsid w:val="00750F95"/>
    <w:rsid w:val="00751087"/>
    <w:rsid w:val="0075111B"/>
    <w:rsid w:val="007511BA"/>
    <w:rsid w:val="00751263"/>
    <w:rsid w:val="00751452"/>
    <w:rsid w:val="00751B16"/>
    <w:rsid w:val="00751D06"/>
    <w:rsid w:val="00751D74"/>
    <w:rsid w:val="007521A5"/>
    <w:rsid w:val="00752243"/>
    <w:rsid w:val="00752DAF"/>
    <w:rsid w:val="00753184"/>
    <w:rsid w:val="007531BA"/>
    <w:rsid w:val="0075345D"/>
    <w:rsid w:val="007534CB"/>
    <w:rsid w:val="00753533"/>
    <w:rsid w:val="0075378D"/>
    <w:rsid w:val="00753959"/>
    <w:rsid w:val="00753DD6"/>
    <w:rsid w:val="00753E22"/>
    <w:rsid w:val="00754210"/>
    <w:rsid w:val="007542AF"/>
    <w:rsid w:val="00754A4A"/>
    <w:rsid w:val="007556F0"/>
    <w:rsid w:val="00755A7A"/>
    <w:rsid w:val="00755C16"/>
    <w:rsid w:val="00755CCB"/>
    <w:rsid w:val="00755F38"/>
    <w:rsid w:val="00756477"/>
    <w:rsid w:val="00756559"/>
    <w:rsid w:val="007567A8"/>
    <w:rsid w:val="00756B3F"/>
    <w:rsid w:val="00756E84"/>
    <w:rsid w:val="00757451"/>
    <w:rsid w:val="00757510"/>
    <w:rsid w:val="00757726"/>
    <w:rsid w:val="00757A8F"/>
    <w:rsid w:val="00757D8D"/>
    <w:rsid w:val="00760098"/>
    <w:rsid w:val="007605DC"/>
    <w:rsid w:val="00760881"/>
    <w:rsid w:val="00760AB6"/>
    <w:rsid w:val="00760D1E"/>
    <w:rsid w:val="00760D65"/>
    <w:rsid w:val="00760DCC"/>
    <w:rsid w:val="00760F66"/>
    <w:rsid w:val="00761103"/>
    <w:rsid w:val="007611F8"/>
    <w:rsid w:val="00761200"/>
    <w:rsid w:val="00761291"/>
    <w:rsid w:val="007613BC"/>
    <w:rsid w:val="007615F6"/>
    <w:rsid w:val="00761774"/>
    <w:rsid w:val="007618E2"/>
    <w:rsid w:val="00761931"/>
    <w:rsid w:val="00761B1B"/>
    <w:rsid w:val="00761BD1"/>
    <w:rsid w:val="00761CAF"/>
    <w:rsid w:val="00761F50"/>
    <w:rsid w:val="007623B4"/>
    <w:rsid w:val="00762555"/>
    <w:rsid w:val="00762710"/>
    <w:rsid w:val="0076278C"/>
    <w:rsid w:val="007627BA"/>
    <w:rsid w:val="007627C9"/>
    <w:rsid w:val="007627FF"/>
    <w:rsid w:val="007628D5"/>
    <w:rsid w:val="0076291E"/>
    <w:rsid w:val="00762AAA"/>
    <w:rsid w:val="00762D81"/>
    <w:rsid w:val="007630B7"/>
    <w:rsid w:val="0076317B"/>
    <w:rsid w:val="0076342A"/>
    <w:rsid w:val="007634C7"/>
    <w:rsid w:val="007637F4"/>
    <w:rsid w:val="00763CB9"/>
    <w:rsid w:val="00763D32"/>
    <w:rsid w:val="007642CC"/>
    <w:rsid w:val="007643D5"/>
    <w:rsid w:val="00764576"/>
    <w:rsid w:val="007652CC"/>
    <w:rsid w:val="00765366"/>
    <w:rsid w:val="0076553A"/>
    <w:rsid w:val="00765614"/>
    <w:rsid w:val="00765914"/>
    <w:rsid w:val="0076595C"/>
    <w:rsid w:val="00765F01"/>
    <w:rsid w:val="0076614D"/>
    <w:rsid w:val="0076624C"/>
    <w:rsid w:val="0076627D"/>
    <w:rsid w:val="00766304"/>
    <w:rsid w:val="00766653"/>
    <w:rsid w:val="00766867"/>
    <w:rsid w:val="00766886"/>
    <w:rsid w:val="0076714F"/>
    <w:rsid w:val="0076777D"/>
    <w:rsid w:val="00767845"/>
    <w:rsid w:val="0076790A"/>
    <w:rsid w:val="00767A28"/>
    <w:rsid w:val="00767DD2"/>
    <w:rsid w:val="0077034F"/>
    <w:rsid w:val="007705DA"/>
    <w:rsid w:val="0077074D"/>
    <w:rsid w:val="0077078E"/>
    <w:rsid w:val="007707A9"/>
    <w:rsid w:val="007707E6"/>
    <w:rsid w:val="0077082B"/>
    <w:rsid w:val="00770849"/>
    <w:rsid w:val="00770B03"/>
    <w:rsid w:val="00770B12"/>
    <w:rsid w:val="00770CF9"/>
    <w:rsid w:val="00770E60"/>
    <w:rsid w:val="00770F36"/>
    <w:rsid w:val="00771448"/>
    <w:rsid w:val="00771944"/>
    <w:rsid w:val="00771C8F"/>
    <w:rsid w:val="00771DB2"/>
    <w:rsid w:val="00772019"/>
    <w:rsid w:val="00772057"/>
    <w:rsid w:val="00772177"/>
    <w:rsid w:val="00772468"/>
    <w:rsid w:val="0077266E"/>
    <w:rsid w:val="0077292E"/>
    <w:rsid w:val="00772CC4"/>
    <w:rsid w:val="00772DB0"/>
    <w:rsid w:val="007737D8"/>
    <w:rsid w:val="0077391C"/>
    <w:rsid w:val="00773D24"/>
    <w:rsid w:val="00773EEC"/>
    <w:rsid w:val="00773FA6"/>
    <w:rsid w:val="0077428F"/>
    <w:rsid w:val="00774322"/>
    <w:rsid w:val="00774576"/>
    <w:rsid w:val="00774734"/>
    <w:rsid w:val="007747C2"/>
    <w:rsid w:val="00774838"/>
    <w:rsid w:val="00774A91"/>
    <w:rsid w:val="00774C96"/>
    <w:rsid w:val="00774F2B"/>
    <w:rsid w:val="0077508A"/>
    <w:rsid w:val="007751CD"/>
    <w:rsid w:val="00775567"/>
    <w:rsid w:val="0077577C"/>
    <w:rsid w:val="007757B8"/>
    <w:rsid w:val="0077590F"/>
    <w:rsid w:val="007759C3"/>
    <w:rsid w:val="00775D01"/>
    <w:rsid w:val="00775E0D"/>
    <w:rsid w:val="00775E8D"/>
    <w:rsid w:val="00775F9D"/>
    <w:rsid w:val="007761A6"/>
    <w:rsid w:val="007762A7"/>
    <w:rsid w:val="00776343"/>
    <w:rsid w:val="00776416"/>
    <w:rsid w:val="0077641A"/>
    <w:rsid w:val="00776490"/>
    <w:rsid w:val="00776B35"/>
    <w:rsid w:val="00776C7B"/>
    <w:rsid w:val="00776CCB"/>
    <w:rsid w:val="00776CEF"/>
    <w:rsid w:val="00776DF7"/>
    <w:rsid w:val="007778E8"/>
    <w:rsid w:val="0077790B"/>
    <w:rsid w:val="00777E7E"/>
    <w:rsid w:val="00780194"/>
    <w:rsid w:val="00780460"/>
    <w:rsid w:val="007804DD"/>
    <w:rsid w:val="0078057E"/>
    <w:rsid w:val="007805F8"/>
    <w:rsid w:val="007805FA"/>
    <w:rsid w:val="0078065D"/>
    <w:rsid w:val="007808D3"/>
    <w:rsid w:val="0078095A"/>
    <w:rsid w:val="00780D64"/>
    <w:rsid w:val="00780F3B"/>
    <w:rsid w:val="00780FFC"/>
    <w:rsid w:val="007810FF"/>
    <w:rsid w:val="007816EE"/>
    <w:rsid w:val="00781862"/>
    <w:rsid w:val="00781B1F"/>
    <w:rsid w:val="00782071"/>
    <w:rsid w:val="00782186"/>
    <w:rsid w:val="007826D7"/>
    <w:rsid w:val="007827E0"/>
    <w:rsid w:val="00782942"/>
    <w:rsid w:val="00782946"/>
    <w:rsid w:val="007829D9"/>
    <w:rsid w:val="00782A80"/>
    <w:rsid w:val="00782AB1"/>
    <w:rsid w:val="00782CD2"/>
    <w:rsid w:val="00782EB7"/>
    <w:rsid w:val="00782ECD"/>
    <w:rsid w:val="007832D9"/>
    <w:rsid w:val="0078363B"/>
    <w:rsid w:val="00783BA1"/>
    <w:rsid w:val="00783CCF"/>
    <w:rsid w:val="00783F5B"/>
    <w:rsid w:val="00784272"/>
    <w:rsid w:val="007842FA"/>
    <w:rsid w:val="007845AF"/>
    <w:rsid w:val="00784609"/>
    <w:rsid w:val="00784720"/>
    <w:rsid w:val="00784768"/>
    <w:rsid w:val="0078478E"/>
    <w:rsid w:val="0078481D"/>
    <w:rsid w:val="00784991"/>
    <w:rsid w:val="00784F9C"/>
    <w:rsid w:val="0078541E"/>
    <w:rsid w:val="00785563"/>
    <w:rsid w:val="007858B7"/>
    <w:rsid w:val="00785929"/>
    <w:rsid w:val="007859FC"/>
    <w:rsid w:val="00785B13"/>
    <w:rsid w:val="00785BFD"/>
    <w:rsid w:val="00785CF8"/>
    <w:rsid w:val="00785F4C"/>
    <w:rsid w:val="0078604B"/>
    <w:rsid w:val="0078609C"/>
    <w:rsid w:val="00786355"/>
    <w:rsid w:val="00786A9F"/>
    <w:rsid w:val="00786E5F"/>
    <w:rsid w:val="00787370"/>
    <w:rsid w:val="007874AE"/>
    <w:rsid w:val="0078750B"/>
    <w:rsid w:val="0078774E"/>
    <w:rsid w:val="00787DB9"/>
    <w:rsid w:val="00787F5E"/>
    <w:rsid w:val="00787F7A"/>
    <w:rsid w:val="0079024D"/>
    <w:rsid w:val="00790395"/>
    <w:rsid w:val="00790CA8"/>
    <w:rsid w:val="00790CB6"/>
    <w:rsid w:val="007911B8"/>
    <w:rsid w:val="007914B3"/>
    <w:rsid w:val="0079157A"/>
    <w:rsid w:val="0079187A"/>
    <w:rsid w:val="00791961"/>
    <w:rsid w:val="00791A5B"/>
    <w:rsid w:val="00791C0B"/>
    <w:rsid w:val="00791C9B"/>
    <w:rsid w:val="00791DAE"/>
    <w:rsid w:val="00791DF6"/>
    <w:rsid w:val="007923E9"/>
    <w:rsid w:val="0079282F"/>
    <w:rsid w:val="00792930"/>
    <w:rsid w:val="00792D6A"/>
    <w:rsid w:val="00792D72"/>
    <w:rsid w:val="00792DF3"/>
    <w:rsid w:val="00792EF3"/>
    <w:rsid w:val="007930E8"/>
    <w:rsid w:val="007935F5"/>
    <w:rsid w:val="00793BCA"/>
    <w:rsid w:val="00793C69"/>
    <w:rsid w:val="00793D04"/>
    <w:rsid w:val="00793E8D"/>
    <w:rsid w:val="00793F28"/>
    <w:rsid w:val="00793FDB"/>
    <w:rsid w:val="00794252"/>
    <w:rsid w:val="007944D2"/>
    <w:rsid w:val="00794520"/>
    <w:rsid w:val="00794728"/>
    <w:rsid w:val="00794A17"/>
    <w:rsid w:val="00794B19"/>
    <w:rsid w:val="00794D93"/>
    <w:rsid w:val="007952D0"/>
    <w:rsid w:val="0079566E"/>
    <w:rsid w:val="0079593A"/>
    <w:rsid w:val="00795A4C"/>
    <w:rsid w:val="00795B8D"/>
    <w:rsid w:val="00795D03"/>
    <w:rsid w:val="00795EB9"/>
    <w:rsid w:val="00795F0E"/>
    <w:rsid w:val="00796031"/>
    <w:rsid w:val="007960A9"/>
    <w:rsid w:val="00796210"/>
    <w:rsid w:val="0079621A"/>
    <w:rsid w:val="00796921"/>
    <w:rsid w:val="0079703F"/>
    <w:rsid w:val="00797111"/>
    <w:rsid w:val="0079737B"/>
    <w:rsid w:val="007975E9"/>
    <w:rsid w:val="00797AAD"/>
    <w:rsid w:val="00797C13"/>
    <w:rsid w:val="00797C8F"/>
    <w:rsid w:val="00797D8F"/>
    <w:rsid w:val="00797E14"/>
    <w:rsid w:val="007A02C7"/>
    <w:rsid w:val="007A038E"/>
    <w:rsid w:val="007A0414"/>
    <w:rsid w:val="007A05C8"/>
    <w:rsid w:val="007A09EB"/>
    <w:rsid w:val="007A0C00"/>
    <w:rsid w:val="007A0E15"/>
    <w:rsid w:val="007A0E91"/>
    <w:rsid w:val="007A1091"/>
    <w:rsid w:val="007A11F7"/>
    <w:rsid w:val="007A1411"/>
    <w:rsid w:val="007A176E"/>
    <w:rsid w:val="007A19BF"/>
    <w:rsid w:val="007A2188"/>
    <w:rsid w:val="007A24E0"/>
    <w:rsid w:val="007A25E8"/>
    <w:rsid w:val="007A2644"/>
    <w:rsid w:val="007A27F7"/>
    <w:rsid w:val="007A2A69"/>
    <w:rsid w:val="007A2BF2"/>
    <w:rsid w:val="007A2CF1"/>
    <w:rsid w:val="007A2E00"/>
    <w:rsid w:val="007A2F63"/>
    <w:rsid w:val="007A301B"/>
    <w:rsid w:val="007A317D"/>
    <w:rsid w:val="007A31DE"/>
    <w:rsid w:val="007A33A0"/>
    <w:rsid w:val="007A380D"/>
    <w:rsid w:val="007A3A6A"/>
    <w:rsid w:val="007A3E64"/>
    <w:rsid w:val="007A41B5"/>
    <w:rsid w:val="007A4486"/>
    <w:rsid w:val="007A44A2"/>
    <w:rsid w:val="007A4568"/>
    <w:rsid w:val="007A458A"/>
    <w:rsid w:val="007A4682"/>
    <w:rsid w:val="007A499B"/>
    <w:rsid w:val="007A4A3C"/>
    <w:rsid w:val="007A4ED6"/>
    <w:rsid w:val="007A5123"/>
    <w:rsid w:val="007A5638"/>
    <w:rsid w:val="007A5762"/>
    <w:rsid w:val="007A5879"/>
    <w:rsid w:val="007A58A8"/>
    <w:rsid w:val="007A58C8"/>
    <w:rsid w:val="007A5B90"/>
    <w:rsid w:val="007A5BDC"/>
    <w:rsid w:val="007A629D"/>
    <w:rsid w:val="007A6610"/>
    <w:rsid w:val="007A6933"/>
    <w:rsid w:val="007A6B57"/>
    <w:rsid w:val="007A6DD3"/>
    <w:rsid w:val="007A6E99"/>
    <w:rsid w:val="007A6FF3"/>
    <w:rsid w:val="007A71DC"/>
    <w:rsid w:val="007A727C"/>
    <w:rsid w:val="007A754E"/>
    <w:rsid w:val="007A7743"/>
    <w:rsid w:val="007A7A04"/>
    <w:rsid w:val="007A7B46"/>
    <w:rsid w:val="007A7EE9"/>
    <w:rsid w:val="007B0369"/>
    <w:rsid w:val="007B03CD"/>
    <w:rsid w:val="007B04FF"/>
    <w:rsid w:val="007B0786"/>
    <w:rsid w:val="007B0976"/>
    <w:rsid w:val="007B09A5"/>
    <w:rsid w:val="007B09A8"/>
    <w:rsid w:val="007B0CAC"/>
    <w:rsid w:val="007B15C5"/>
    <w:rsid w:val="007B15F3"/>
    <w:rsid w:val="007B1605"/>
    <w:rsid w:val="007B1701"/>
    <w:rsid w:val="007B17C0"/>
    <w:rsid w:val="007B18EC"/>
    <w:rsid w:val="007B1951"/>
    <w:rsid w:val="007B1C32"/>
    <w:rsid w:val="007B1DBB"/>
    <w:rsid w:val="007B20D7"/>
    <w:rsid w:val="007B2158"/>
    <w:rsid w:val="007B2319"/>
    <w:rsid w:val="007B2FBF"/>
    <w:rsid w:val="007B30DE"/>
    <w:rsid w:val="007B31F8"/>
    <w:rsid w:val="007B3215"/>
    <w:rsid w:val="007B322E"/>
    <w:rsid w:val="007B35F8"/>
    <w:rsid w:val="007B366A"/>
    <w:rsid w:val="007B3A96"/>
    <w:rsid w:val="007B3CD6"/>
    <w:rsid w:val="007B3E13"/>
    <w:rsid w:val="007B4046"/>
    <w:rsid w:val="007B4300"/>
    <w:rsid w:val="007B44CE"/>
    <w:rsid w:val="007B44F9"/>
    <w:rsid w:val="007B49D4"/>
    <w:rsid w:val="007B5036"/>
    <w:rsid w:val="007B512C"/>
    <w:rsid w:val="007B5271"/>
    <w:rsid w:val="007B5475"/>
    <w:rsid w:val="007B565C"/>
    <w:rsid w:val="007B56DC"/>
    <w:rsid w:val="007B595F"/>
    <w:rsid w:val="007B5984"/>
    <w:rsid w:val="007B5B8D"/>
    <w:rsid w:val="007B5D75"/>
    <w:rsid w:val="007B5DC9"/>
    <w:rsid w:val="007B5EA3"/>
    <w:rsid w:val="007B6029"/>
    <w:rsid w:val="007B6388"/>
    <w:rsid w:val="007B64B5"/>
    <w:rsid w:val="007B650C"/>
    <w:rsid w:val="007B6786"/>
    <w:rsid w:val="007B6BB5"/>
    <w:rsid w:val="007B6D5E"/>
    <w:rsid w:val="007B6ED1"/>
    <w:rsid w:val="007B707D"/>
    <w:rsid w:val="007B7115"/>
    <w:rsid w:val="007B736B"/>
    <w:rsid w:val="007B73F3"/>
    <w:rsid w:val="007B74F9"/>
    <w:rsid w:val="007B77A8"/>
    <w:rsid w:val="007C0039"/>
    <w:rsid w:val="007C007A"/>
    <w:rsid w:val="007C0090"/>
    <w:rsid w:val="007C0853"/>
    <w:rsid w:val="007C08D0"/>
    <w:rsid w:val="007C08FD"/>
    <w:rsid w:val="007C0B11"/>
    <w:rsid w:val="007C0C90"/>
    <w:rsid w:val="007C0E07"/>
    <w:rsid w:val="007C0E86"/>
    <w:rsid w:val="007C117F"/>
    <w:rsid w:val="007C15D2"/>
    <w:rsid w:val="007C1A5C"/>
    <w:rsid w:val="007C1A85"/>
    <w:rsid w:val="007C1C98"/>
    <w:rsid w:val="007C2015"/>
    <w:rsid w:val="007C249E"/>
    <w:rsid w:val="007C26CF"/>
    <w:rsid w:val="007C271B"/>
    <w:rsid w:val="007C2740"/>
    <w:rsid w:val="007C29B8"/>
    <w:rsid w:val="007C2AF7"/>
    <w:rsid w:val="007C2C14"/>
    <w:rsid w:val="007C2CAA"/>
    <w:rsid w:val="007C2D50"/>
    <w:rsid w:val="007C30AA"/>
    <w:rsid w:val="007C357D"/>
    <w:rsid w:val="007C389C"/>
    <w:rsid w:val="007C3A55"/>
    <w:rsid w:val="007C3AEA"/>
    <w:rsid w:val="007C3CAE"/>
    <w:rsid w:val="007C4166"/>
    <w:rsid w:val="007C44E1"/>
    <w:rsid w:val="007C475A"/>
    <w:rsid w:val="007C47EC"/>
    <w:rsid w:val="007C48DD"/>
    <w:rsid w:val="007C4959"/>
    <w:rsid w:val="007C49F8"/>
    <w:rsid w:val="007C4A05"/>
    <w:rsid w:val="007C4D79"/>
    <w:rsid w:val="007C4D7F"/>
    <w:rsid w:val="007C4FDD"/>
    <w:rsid w:val="007C5041"/>
    <w:rsid w:val="007C5152"/>
    <w:rsid w:val="007C54E3"/>
    <w:rsid w:val="007C55F6"/>
    <w:rsid w:val="007C5711"/>
    <w:rsid w:val="007C57B9"/>
    <w:rsid w:val="007C593F"/>
    <w:rsid w:val="007C5A3D"/>
    <w:rsid w:val="007C5E09"/>
    <w:rsid w:val="007C5E26"/>
    <w:rsid w:val="007C6114"/>
    <w:rsid w:val="007C62EF"/>
    <w:rsid w:val="007C6325"/>
    <w:rsid w:val="007C637E"/>
    <w:rsid w:val="007C65B2"/>
    <w:rsid w:val="007C66C8"/>
    <w:rsid w:val="007C6C53"/>
    <w:rsid w:val="007C6F40"/>
    <w:rsid w:val="007C71FB"/>
    <w:rsid w:val="007C7213"/>
    <w:rsid w:val="007C728D"/>
    <w:rsid w:val="007C73A3"/>
    <w:rsid w:val="007C73E8"/>
    <w:rsid w:val="007C7854"/>
    <w:rsid w:val="007C7871"/>
    <w:rsid w:val="007C7975"/>
    <w:rsid w:val="007C7A1F"/>
    <w:rsid w:val="007C7BA3"/>
    <w:rsid w:val="007C7EF5"/>
    <w:rsid w:val="007D01D7"/>
    <w:rsid w:val="007D05EC"/>
    <w:rsid w:val="007D06AC"/>
    <w:rsid w:val="007D0741"/>
    <w:rsid w:val="007D085D"/>
    <w:rsid w:val="007D0A53"/>
    <w:rsid w:val="007D0C62"/>
    <w:rsid w:val="007D0DDE"/>
    <w:rsid w:val="007D0FFC"/>
    <w:rsid w:val="007D1013"/>
    <w:rsid w:val="007D19EC"/>
    <w:rsid w:val="007D1C3F"/>
    <w:rsid w:val="007D1DEE"/>
    <w:rsid w:val="007D1E88"/>
    <w:rsid w:val="007D2180"/>
    <w:rsid w:val="007D230F"/>
    <w:rsid w:val="007D2608"/>
    <w:rsid w:val="007D2672"/>
    <w:rsid w:val="007D27B6"/>
    <w:rsid w:val="007D2B2D"/>
    <w:rsid w:val="007D30C3"/>
    <w:rsid w:val="007D3270"/>
    <w:rsid w:val="007D35AC"/>
    <w:rsid w:val="007D36B1"/>
    <w:rsid w:val="007D36D7"/>
    <w:rsid w:val="007D3A25"/>
    <w:rsid w:val="007D3BA1"/>
    <w:rsid w:val="007D3BDB"/>
    <w:rsid w:val="007D3EC8"/>
    <w:rsid w:val="007D40AC"/>
    <w:rsid w:val="007D41E9"/>
    <w:rsid w:val="007D41FB"/>
    <w:rsid w:val="007D4317"/>
    <w:rsid w:val="007D48B9"/>
    <w:rsid w:val="007D49DC"/>
    <w:rsid w:val="007D4C12"/>
    <w:rsid w:val="007D4E3E"/>
    <w:rsid w:val="007D52DC"/>
    <w:rsid w:val="007D55C7"/>
    <w:rsid w:val="007D57E0"/>
    <w:rsid w:val="007D5962"/>
    <w:rsid w:val="007D5B8F"/>
    <w:rsid w:val="007D5C3C"/>
    <w:rsid w:val="007D5C94"/>
    <w:rsid w:val="007D60ED"/>
    <w:rsid w:val="007D621A"/>
    <w:rsid w:val="007D63B2"/>
    <w:rsid w:val="007D63B5"/>
    <w:rsid w:val="007D651D"/>
    <w:rsid w:val="007D6522"/>
    <w:rsid w:val="007D6559"/>
    <w:rsid w:val="007D6D51"/>
    <w:rsid w:val="007D6EB1"/>
    <w:rsid w:val="007D6F81"/>
    <w:rsid w:val="007D71B7"/>
    <w:rsid w:val="007D7C66"/>
    <w:rsid w:val="007D7CF3"/>
    <w:rsid w:val="007E01B6"/>
    <w:rsid w:val="007E024D"/>
    <w:rsid w:val="007E0274"/>
    <w:rsid w:val="007E02A7"/>
    <w:rsid w:val="007E0415"/>
    <w:rsid w:val="007E04F3"/>
    <w:rsid w:val="007E089B"/>
    <w:rsid w:val="007E08BC"/>
    <w:rsid w:val="007E0991"/>
    <w:rsid w:val="007E0B2C"/>
    <w:rsid w:val="007E0BA1"/>
    <w:rsid w:val="007E107F"/>
    <w:rsid w:val="007E1184"/>
    <w:rsid w:val="007E16F6"/>
    <w:rsid w:val="007E1BC4"/>
    <w:rsid w:val="007E1C84"/>
    <w:rsid w:val="007E21FA"/>
    <w:rsid w:val="007E22B5"/>
    <w:rsid w:val="007E247F"/>
    <w:rsid w:val="007E25ED"/>
    <w:rsid w:val="007E26AE"/>
    <w:rsid w:val="007E289E"/>
    <w:rsid w:val="007E2DF2"/>
    <w:rsid w:val="007E2F1E"/>
    <w:rsid w:val="007E2FA9"/>
    <w:rsid w:val="007E2FD7"/>
    <w:rsid w:val="007E3087"/>
    <w:rsid w:val="007E310B"/>
    <w:rsid w:val="007E3373"/>
    <w:rsid w:val="007E3764"/>
    <w:rsid w:val="007E38DA"/>
    <w:rsid w:val="007E3C81"/>
    <w:rsid w:val="007E3D65"/>
    <w:rsid w:val="007E3D6E"/>
    <w:rsid w:val="007E3EE2"/>
    <w:rsid w:val="007E40B7"/>
    <w:rsid w:val="007E42C6"/>
    <w:rsid w:val="007E464F"/>
    <w:rsid w:val="007E468E"/>
    <w:rsid w:val="007E47E7"/>
    <w:rsid w:val="007E4929"/>
    <w:rsid w:val="007E499B"/>
    <w:rsid w:val="007E4A5E"/>
    <w:rsid w:val="007E4A98"/>
    <w:rsid w:val="007E4EA1"/>
    <w:rsid w:val="007E4EB6"/>
    <w:rsid w:val="007E50AA"/>
    <w:rsid w:val="007E5369"/>
    <w:rsid w:val="007E5494"/>
    <w:rsid w:val="007E5693"/>
    <w:rsid w:val="007E5DD7"/>
    <w:rsid w:val="007E5E05"/>
    <w:rsid w:val="007E6CA4"/>
    <w:rsid w:val="007E6D9E"/>
    <w:rsid w:val="007E7139"/>
    <w:rsid w:val="007E732D"/>
    <w:rsid w:val="007E7366"/>
    <w:rsid w:val="007E7CE4"/>
    <w:rsid w:val="007E7EA1"/>
    <w:rsid w:val="007E7EA4"/>
    <w:rsid w:val="007F01EE"/>
    <w:rsid w:val="007F03CE"/>
    <w:rsid w:val="007F04D3"/>
    <w:rsid w:val="007F056B"/>
    <w:rsid w:val="007F0690"/>
    <w:rsid w:val="007F06A4"/>
    <w:rsid w:val="007F0C50"/>
    <w:rsid w:val="007F0DB7"/>
    <w:rsid w:val="007F0E95"/>
    <w:rsid w:val="007F0EE6"/>
    <w:rsid w:val="007F107D"/>
    <w:rsid w:val="007F124D"/>
    <w:rsid w:val="007F137D"/>
    <w:rsid w:val="007F138F"/>
    <w:rsid w:val="007F1592"/>
    <w:rsid w:val="007F15CB"/>
    <w:rsid w:val="007F1944"/>
    <w:rsid w:val="007F19F1"/>
    <w:rsid w:val="007F1EEB"/>
    <w:rsid w:val="007F1EFF"/>
    <w:rsid w:val="007F1F25"/>
    <w:rsid w:val="007F21AC"/>
    <w:rsid w:val="007F2A1D"/>
    <w:rsid w:val="007F2A87"/>
    <w:rsid w:val="007F2A9F"/>
    <w:rsid w:val="007F2AAE"/>
    <w:rsid w:val="007F2B4C"/>
    <w:rsid w:val="007F2C81"/>
    <w:rsid w:val="007F2D8D"/>
    <w:rsid w:val="007F2DCE"/>
    <w:rsid w:val="007F2EBF"/>
    <w:rsid w:val="007F3044"/>
    <w:rsid w:val="007F3249"/>
    <w:rsid w:val="007F3898"/>
    <w:rsid w:val="007F3A6C"/>
    <w:rsid w:val="007F3BB0"/>
    <w:rsid w:val="007F3E1A"/>
    <w:rsid w:val="007F416E"/>
    <w:rsid w:val="007F4657"/>
    <w:rsid w:val="007F47D2"/>
    <w:rsid w:val="007F49E6"/>
    <w:rsid w:val="007F4AFC"/>
    <w:rsid w:val="007F4CE9"/>
    <w:rsid w:val="007F5609"/>
    <w:rsid w:val="007F5625"/>
    <w:rsid w:val="007F568A"/>
    <w:rsid w:val="007F58E7"/>
    <w:rsid w:val="007F59F7"/>
    <w:rsid w:val="007F5A7D"/>
    <w:rsid w:val="007F5AE6"/>
    <w:rsid w:val="007F5B58"/>
    <w:rsid w:val="007F5D13"/>
    <w:rsid w:val="007F5E21"/>
    <w:rsid w:val="007F619D"/>
    <w:rsid w:val="007F6335"/>
    <w:rsid w:val="007F640C"/>
    <w:rsid w:val="007F6413"/>
    <w:rsid w:val="007F651A"/>
    <w:rsid w:val="007F676E"/>
    <w:rsid w:val="007F693A"/>
    <w:rsid w:val="007F6B11"/>
    <w:rsid w:val="007F6C91"/>
    <w:rsid w:val="007F6E2B"/>
    <w:rsid w:val="007F6F3C"/>
    <w:rsid w:val="007F6F73"/>
    <w:rsid w:val="007F70A5"/>
    <w:rsid w:val="007F70E3"/>
    <w:rsid w:val="007F78F2"/>
    <w:rsid w:val="007F7B4F"/>
    <w:rsid w:val="007F7BD5"/>
    <w:rsid w:val="007F7D12"/>
    <w:rsid w:val="007F7F02"/>
    <w:rsid w:val="00800258"/>
    <w:rsid w:val="00800562"/>
    <w:rsid w:val="00800842"/>
    <w:rsid w:val="008009E7"/>
    <w:rsid w:val="00800C97"/>
    <w:rsid w:val="00800E69"/>
    <w:rsid w:val="00800EB8"/>
    <w:rsid w:val="008014C0"/>
    <w:rsid w:val="008014EC"/>
    <w:rsid w:val="008015BF"/>
    <w:rsid w:val="0080190B"/>
    <w:rsid w:val="00801DAE"/>
    <w:rsid w:val="0080220F"/>
    <w:rsid w:val="00802735"/>
    <w:rsid w:val="00802739"/>
    <w:rsid w:val="008028C2"/>
    <w:rsid w:val="008028FE"/>
    <w:rsid w:val="00802A1B"/>
    <w:rsid w:val="00802C28"/>
    <w:rsid w:val="00802DDB"/>
    <w:rsid w:val="00802E53"/>
    <w:rsid w:val="00803043"/>
    <w:rsid w:val="00803156"/>
    <w:rsid w:val="00803165"/>
    <w:rsid w:val="00803547"/>
    <w:rsid w:val="008037D8"/>
    <w:rsid w:val="00803979"/>
    <w:rsid w:val="00803B7E"/>
    <w:rsid w:val="00803C73"/>
    <w:rsid w:val="00803DA6"/>
    <w:rsid w:val="00803E09"/>
    <w:rsid w:val="00804098"/>
    <w:rsid w:val="008040D9"/>
    <w:rsid w:val="00804197"/>
    <w:rsid w:val="0080436E"/>
    <w:rsid w:val="0080441D"/>
    <w:rsid w:val="00804937"/>
    <w:rsid w:val="008049CF"/>
    <w:rsid w:val="00804E1E"/>
    <w:rsid w:val="00804E43"/>
    <w:rsid w:val="008050B7"/>
    <w:rsid w:val="008050F5"/>
    <w:rsid w:val="00805112"/>
    <w:rsid w:val="0080512F"/>
    <w:rsid w:val="00805137"/>
    <w:rsid w:val="0080519C"/>
    <w:rsid w:val="00805345"/>
    <w:rsid w:val="008056D9"/>
    <w:rsid w:val="00805720"/>
    <w:rsid w:val="00805C71"/>
    <w:rsid w:val="00806606"/>
    <w:rsid w:val="00806779"/>
    <w:rsid w:val="008068F7"/>
    <w:rsid w:val="0080702E"/>
    <w:rsid w:val="00807247"/>
    <w:rsid w:val="0080792D"/>
    <w:rsid w:val="008079A7"/>
    <w:rsid w:val="008104A3"/>
    <w:rsid w:val="00810710"/>
    <w:rsid w:val="0081072A"/>
    <w:rsid w:val="00810ADA"/>
    <w:rsid w:val="00810BC2"/>
    <w:rsid w:val="00811306"/>
    <w:rsid w:val="00811683"/>
    <w:rsid w:val="00811AFF"/>
    <w:rsid w:val="0081209A"/>
    <w:rsid w:val="00812102"/>
    <w:rsid w:val="00812195"/>
    <w:rsid w:val="00812373"/>
    <w:rsid w:val="00812C1A"/>
    <w:rsid w:val="00812C24"/>
    <w:rsid w:val="00813083"/>
    <w:rsid w:val="0081320D"/>
    <w:rsid w:val="0081322C"/>
    <w:rsid w:val="00813DB7"/>
    <w:rsid w:val="00813F3A"/>
    <w:rsid w:val="008140E8"/>
    <w:rsid w:val="00814271"/>
    <w:rsid w:val="0081429C"/>
    <w:rsid w:val="008142EA"/>
    <w:rsid w:val="00814388"/>
    <w:rsid w:val="008143DD"/>
    <w:rsid w:val="0081464E"/>
    <w:rsid w:val="0081465B"/>
    <w:rsid w:val="0081478F"/>
    <w:rsid w:val="00814941"/>
    <w:rsid w:val="00814955"/>
    <w:rsid w:val="00814A65"/>
    <w:rsid w:val="00814AB8"/>
    <w:rsid w:val="00814BD9"/>
    <w:rsid w:val="00814D0E"/>
    <w:rsid w:val="008152B3"/>
    <w:rsid w:val="0081532C"/>
    <w:rsid w:val="008158AC"/>
    <w:rsid w:val="008162C4"/>
    <w:rsid w:val="00816805"/>
    <w:rsid w:val="00816BE8"/>
    <w:rsid w:val="00816CD5"/>
    <w:rsid w:val="00816DBD"/>
    <w:rsid w:val="00816EAC"/>
    <w:rsid w:val="00816FE2"/>
    <w:rsid w:val="00817062"/>
    <w:rsid w:val="00817135"/>
    <w:rsid w:val="0081725E"/>
    <w:rsid w:val="0081767D"/>
    <w:rsid w:val="0081797B"/>
    <w:rsid w:val="00817991"/>
    <w:rsid w:val="00817B48"/>
    <w:rsid w:val="00817D87"/>
    <w:rsid w:val="00817F30"/>
    <w:rsid w:val="00817F58"/>
    <w:rsid w:val="00817FDC"/>
    <w:rsid w:val="0082003A"/>
    <w:rsid w:val="00820194"/>
    <w:rsid w:val="008203C5"/>
    <w:rsid w:val="00820571"/>
    <w:rsid w:val="00820622"/>
    <w:rsid w:val="00820A86"/>
    <w:rsid w:val="00820B84"/>
    <w:rsid w:val="00820BE3"/>
    <w:rsid w:val="00820BF6"/>
    <w:rsid w:val="00820D32"/>
    <w:rsid w:val="00821324"/>
    <w:rsid w:val="0082199B"/>
    <w:rsid w:val="008219B2"/>
    <w:rsid w:val="00821BD3"/>
    <w:rsid w:val="00821C2A"/>
    <w:rsid w:val="008223B2"/>
    <w:rsid w:val="008224CF"/>
    <w:rsid w:val="0082261A"/>
    <w:rsid w:val="008227B7"/>
    <w:rsid w:val="00822879"/>
    <w:rsid w:val="00822D07"/>
    <w:rsid w:val="008230EA"/>
    <w:rsid w:val="00823365"/>
    <w:rsid w:val="00823681"/>
    <w:rsid w:val="00823925"/>
    <w:rsid w:val="00823CB3"/>
    <w:rsid w:val="00823CE5"/>
    <w:rsid w:val="0082429A"/>
    <w:rsid w:val="0082439A"/>
    <w:rsid w:val="008243A8"/>
    <w:rsid w:val="00824578"/>
    <w:rsid w:val="008246A0"/>
    <w:rsid w:val="00824782"/>
    <w:rsid w:val="00824925"/>
    <w:rsid w:val="008249DB"/>
    <w:rsid w:val="00824BB5"/>
    <w:rsid w:val="00824C8B"/>
    <w:rsid w:val="00824EA9"/>
    <w:rsid w:val="008252E8"/>
    <w:rsid w:val="0082561B"/>
    <w:rsid w:val="00825BA8"/>
    <w:rsid w:val="00825BD1"/>
    <w:rsid w:val="00825C14"/>
    <w:rsid w:val="00825F4F"/>
    <w:rsid w:val="00825FAF"/>
    <w:rsid w:val="00825FD5"/>
    <w:rsid w:val="0082641D"/>
    <w:rsid w:val="00826442"/>
    <w:rsid w:val="008267CA"/>
    <w:rsid w:val="00826821"/>
    <w:rsid w:val="00826B7C"/>
    <w:rsid w:val="00826BA5"/>
    <w:rsid w:val="00826C53"/>
    <w:rsid w:val="0082722B"/>
    <w:rsid w:val="00827456"/>
    <w:rsid w:val="008275D3"/>
    <w:rsid w:val="00827C1B"/>
    <w:rsid w:val="00827E58"/>
    <w:rsid w:val="00827FC5"/>
    <w:rsid w:val="008300C7"/>
    <w:rsid w:val="0083016B"/>
    <w:rsid w:val="008301F1"/>
    <w:rsid w:val="00830584"/>
    <w:rsid w:val="00830812"/>
    <w:rsid w:val="00830C0E"/>
    <w:rsid w:val="008311B6"/>
    <w:rsid w:val="008313E0"/>
    <w:rsid w:val="008314D8"/>
    <w:rsid w:val="0083160A"/>
    <w:rsid w:val="008316FD"/>
    <w:rsid w:val="00831742"/>
    <w:rsid w:val="008317EC"/>
    <w:rsid w:val="0083195D"/>
    <w:rsid w:val="00831B7B"/>
    <w:rsid w:val="00831D38"/>
    <w:rsid w:val="00831D90"/>
    <w:rsid w:val="00831DA8"/>
    <w:rsid w:val="00832411"/>
    <w:rsid w:val="008324F3"/>
    <w:rsid w:val="00832691"/>
    <w:rsid w:val="0083296B"/>
    <w:rsid w:val="0083305E"/>
    <w:rsid w:val="00833278"/>
    <w:rsid w:val="00833547"/>
    <w:rsid w:val="00833607"/>
    <w:rsid w:val="00833852"/>
    <w:rsid w:val="00833AB9"/>
    <w:rsid w:val="00834247"/>
    <w:rsid w:val="00834493"/>
    <w:rsid w:val="008344EC"/>
    <w:rsid w:val="00834820"/>
    <w:rsid w:val="00834B6D"/>
    <w:rsid w:val="00834C82"/>
    <w:rsid w:val="00834DB6"/>
    <w:rsid w:val="00834E05"/>
    <w:rsid w:val="00834F93"/>
    <w:rsid w:val="008354DB"/>
    <w:rsid w:val="008357C6"/>
    <w:rsid w:val="0083580A"/>
    <w:rsid w:val="0083624C"/>
    <w:rsid w:val="00836467"/>
    <w:rsid w:val="00836798"/>
    <w:rsid w:val="0083692A"/>
    <w:rsid w:val="00836B31"/>
    <w:rsid w:val="00836B54"/>
    <w:rsid w:val="00836B8E"/>
    <w:rsid w:val="00836BAC"/>
    <w:rsid w:val="00836C32"/>
    <w:rsid w:val="00836E95"/>
    <w:rsid w:val="0083704B"/>
    <w:rsid w:val="008371F8"/>
    <w:rsid w:val="00837273"/>
    <w:rsid w:val="00837E1D"/>
    <w:rsid w:val="00837FA9"/>
    <w:rsid w:val="008402FB"/>
    <w:rsid w:val="0084052E"/>
    <w:rsid w:val="00840573"/>
    <w:rsid w:val="008407B7"/>
    <w:rsid w:val="00840C4A"/>
    <w:rsid w:val="0084108C"/>
    <w:rsid w:val="008410D2"/>
    <w:rsid w:val="008411B9"/>
    <w:rsid w:val="0084122F"/>
    <w:rsid w:val="0084151F"/>
    <w:rsid w:val="00841573"/>
    <w:rsid w:val="0084175D"/>
    <w:rsid w:val="00841806"/>
    <w:rsid w:val="00841946"/>
    <w:rsid w:val="00841CF1"/>
    <w:rsid w:val="00841D08"/>
    <w:rsid w:val="008422DA"/>
    <w:rsid w:val="008423CA"/>
    <w:rsid w:val="008424DA"/>
    <w:rsid w:val="00842624"/>
    <w:rsid w:val="008426F1"/>
    <w:rsid w:val="0084273D"/>
    <w:rsid w:val="00842D43"/>
    <w:rsid w:val="00842DA4"/>
    <w:rsid w:val="00843072"/>
    <w:rsid w:val="008431F7"/>
    <w:rsid w:val="0084323E"/>
    <w:rsid w:val="008435BA"/>
    <w:rsid w:val="0084375D"/>
    <w:rsid w:val="008439F1"/>
    <w:rsid w:val="00843AC3"/>
    <w:rsid w:val="00843B35"/>
    <w:rsid w:val="00843D50"/>
    <w:rsid w:val="00843D6C"/>
    <w:rsid w:val="00843E04"/>
    <w:rsid w:val="00843EEB"/>
    <w:rsid w:val="00843EF7"/>
    <w:rsid w:val="0084464E"/>
    <w:rsid w:val="00845534"/>
    <w:rsid w:val="0084553D"/>
    <w:rsid w:val="008455AC"/>
    <w:rsid w:val="00845650"/>
    <w:rsid w:val="008458BF"/>
    <w:rsid w:val="0084594A"/>
    <w:rsid w:val="00845D46"/>
    <w:rsid w:val="00846262"/>
    <w:rsid w:val="0084627A"/>
    <w:rsid w:val="00846370"/>
    <w:rsid w:val="00846B5F"/>
    <w:rsid w:val="00846DA2"/>
    <w:rsid w:val="00846DCD"/>
    <w:rsid w:val="00846EC0"/>
    <w:rsid w:val="00846FD2"/>
    <w:rsid w:val="00847665"/>
    <w:rsid w:val="00847AE9"/>
    <w:rsid w:val="00847BC5"/>
    <w:rsid w:val="00847C38"/>
    <w:rsid w:val="00847DEE"/>
    <w:rsid w:val="00847F11"/>
    <w:rsid w:val="00850010"/>
    <w:rsid w:val="008500EB"/>
    <w:rsid w:val="008503F4"/>
    <w:rsid w:val="008504A0"/>
    <w:rsid w:val="00850555"/>
    <w:rsid w:val="00850613"/>
    <w:rsid w:val="008506AF"/>
    <w:rsid w:val="008507D5"/>
    <w:rsid w:val="00850AC1"/>
    <w:rsid w:val="00850C2A"/>
    <w:rsid w:val="00850DE2"/>
    <w:rsid w:val="00850DFA"/>
    <w:rsid w:val="0085109C"/>
    <w:rsid w:val="008511DE"/>
    <w:rsid w:val="00851331"/>
    <w:rsid w:val="008514C7"/>
    <w:rsid w:val="008516A3"/>
    <w:rsid w:val="008516D1"/>
    <w:rsid w:val="00851DEA"/>
    <w:rsid w:val="00851E90"/>
    <w:rsid w:val="00852003"/>
    <w:rsid w:val="0085212C"/>
    <w:rsid w:val="00852533"/>
    <w:rsid w:val="008526A5"/>
    <w:rsid w:val="008526DC"/>
    <w:rsid w:val="00852E7A"/>
    <w:rsid w:val="00852F9E"/>
    <w:rsid w:val="00853913"/>
    <w:rsid w:val="00853A43"/>
    <w:rsid w:val="00853C35"/>
    <w:rsid w:val="00853F61"/>
    <w:rsid w:val="00854053"/>
    <w:rsid w:val="008540CD"/>
    <w:rsid w:val="00854372"/>
    <w:rsid w:val="008543AC"/>
    <w:rsid w:val="008544E6"/>
    <w:rsid w:val="008545FB"/>
    <w:rsid w:val="008548B8"/>
    <w:rsid w:val="008548BE"/>
    <w:rsid w:val="00854965"/>
    <w:rsid w:val="00854F42"/>
    <w:rsid w:val="00855001"/>
    <w:rsid w:val="0085519E"/>
    <w:rsid w:val="00855314"/>
    <w:rsid w:val="008554D1"/>
    <w:rsid w:val="008558E0"/>
    <w:rsid w:val="00855DB0"/>
    <w:rsid w:val="008561D8"/>
    <w:rsid w:val="00856341"/>
    <w:rsid w:val="0085659E"/>
    <w:rsid w:val="00857264"/>
    <w:rsid w:val="008573B0"/>
    <w:rsid w:val="0085745E"/>
    <w:rsid w:val="0085770B"/>
    <w:rsid w:val="00857AF7"/>
    <w:rsid w:val="00857C18"/>
    <w:rsid w:val="00857F51"/>
    <w:rsid w:val="00860109"/>
    <w:rsid w:val="008601BD"/>
    <w:rsid w:val="00860359"/>
    <w:rsid w:val="008603E7"/>
    <w:rsid w:val="00860700"/>
    <w:rsid w:val="00860C0C"/>
    <w:rsid w:val="00860C47"/>
    <w:rsid w:val="00860E43"/>
    <w:rsid w:val="00860EE9"/>
    <w:rsid w:val="00861075"/>
    <w:rsid w:val="00861252"/>
    <w:rsid w:val="00861465"/>
    <w:rsid w:val="0086148C"/>
    <w:rsid w:val="0086158A"/>
    <w:rsid w:val="008615FE"/>
    <w:rsid w:val="0086171A"/>
    <w:rsid w:val="0086187D"/>
    <w:rsid w:val="0086190F"/>
    <w:rsid w:val="00861B89"/>
    <w:rsid w:val="0086226C"/>
    <w:rsid w:val="0086245B"/>
    <w:rsid w:val="00862A22"/>
    <w:rsid w:val="00862C71"/>
    <w:rsid w:val="00862C76"/>
    <w:rsid w:val="00862D3C"/>
    <w:rsid w:val="00863229"/>
    <w:rsid w:val="0086360F"/>
    <w:rsid w:val="008638CD"/>
    <w:rsid w:val="008638F5"/>
    <w:rsid w:val="00863968"/>
    <w:rsid w:val="00863A9D"/>
    <w:rsid w:val="00863C08"/>
    <w:rsid w:val="00863E83"/>
    <w:rsid w:val="008640E9"/>
    <w:rsid w:val="00864491"/>
    <w:rsid w:val="008644A4"/>
    <w:rsid w:val="008644EF"/>
    <w:rsid w:val="00864503"/>
    <w:rsid w:val="008645B7"/>
    <w:rsid w:val="0086485E"/>
    <w:rsid w:val="00864A6C"/>
    <w:rsid w:val="00864B97"/>
    <w:rsid w:val="00864BB1"/>
    <w:rsid w:val="00864DF7"/>
    <w:rsid w:val="00864FDB"/>
    <w:rsid w:val="00865126"/>
    <w:rsid w:val="00865278"/>
    <w:rsid w:val="008654F9"/>
    <w:rsid w:val="008657DA"/>
    <w:rsid w:val="008658C0"/>
    <w:rsid w:val="00865A85"/>
    <w:rsid w:val="00865CB4"/>
    <w:rsid w:val="00865ED8"/>
    <w:rsid w:val="0086623E"/>
    <w:rsid w:val="00866388"/>
    <w:rsid w:val="00866395"/>
    <w:rsid w:val="00866773"/>
    <w:rsid w:val="00866E6B"/>
    <w:rsid w:val="00866FE3"/>
    <w:rsid w:val="0086722D"/>
    <w:rsid w:val="008672C7"/>
    <w:rsid w:val="0086736B"/>
    <w:rsid w:val="0086776E"/>
    <w:rsid w:val="00867D56"/>
    <w:rsid w:val="0087011A"/>
    <w:rsid w:val="008701DE"/>
    <w:rsid w:val="0087028A"/>
    <w:rsid w:val="008707AB"/>
    <w:rsid w:val="00870BAA"/>
    <w:rsid w:val="00870C1D"/>
    <w:rsid w:val="00870D91"/>
    <w:rsid w:val="00870F54"/>
    <w:rsid w:val="008716D1"/>
    <w:rsid w:val="008716ED"/>
    <w:rsid w:val="0087193F"/>
    <w:rsid w:val="00871A52"/>
    <w:rsid w:val="00871EFA"/>
    <w:rsid w:val="00872440"/>
    <w:rsid w:val="008724E6"/>
    <w:rsid w:val="00872706"/>
    <w:rsid w:val="00872767"/>
    <w:rsid w:val="008728C8"/>
    <w:rsid w:val="00872975"/>
    <w:rsid w:val="00872C83"/>
    <w:rsid w:val="00873205"/>
    <w:rsid w:val="008735E8"/>
    <w:rsid w:val="008736B6"/>
    <w:rsid w:val="0087377E"/>
    <w:rsid w:val="008737F6"/>
    <w:rsid w:val="00873924"/>
    <w:rsid w:val="008739AB"/>
    <w:rsid w:val="00873C71"/>
    <w:rsid w:val="00873D38"/>
    <w:rsid w:val="00873D5F"/>
    <w:rsid w:val="00873DEF"/>
    <w:rsid w:val="00873FB1"/>
    <w:rsid w:val="00874043"/>
    <w:rsid w:val="00874594"/>
    <w:rsid w:val="0087473D"/>
    <w:rsid w:val="00874776"/>
    <w:rsid w:val="0087487C"/>
    <w:rsid w:val="00874A07"/>
    <w:rsid w:val="00874B75"/>
    <w:rsid w:val="00874BE2"/>
    <w:rsid w:val="00874D7B"/>
    <w:rsid w:val="00874D96"/>
    <w:rsid w:val="00874FE3"/>
    <w:rsid w:val="00875007"/>
    <w:rsid w:val="008750DB"/>
    <w:rsid w:val="00875144"/>
    <w:rsid w:val="008751B4"/>
    <w:rsid w:val="0087527F"/>
    <w:rsid w:val="0087543F"/>
    <w:rsid w:val="008754B5"/>
    <w:rsid w:val="008757FB"/>
    <w:rsid w:val="008758A8"/>
    <w:rsid w:val="00875AF3"/>
    <w:rsid w:val="00875CA5"/>
    <w:rsid w:val="00875EA4"/>
    <w:rsid w:val="00875FD6"/>
    <w:rsid w:val="008764B9"/>
    <w:rsid w:val="00876589"/>
    <w:rsid w:val="008765B4"/>
    <w:rsid w:val="008765E9"/>
    <w:rsid w:val="00876605"/>
    <w:rsid w:val="00876B13"/>
    <w:rsid w:val="00877321"/>
    <w:rsid w:val="008777DF"/>
    <w:rsid w:val="0087799F"/>
    <w:rsid w:val="00877AFF"/>
    <w:rsid w:val="00877B92"/>
    <w:rsid w:val="00877C12"/>
    <w:rsid w:val="00880017"/>
    <w:rsid w:val="00880062"/>
    <w:rsid w:val="00880305"/>
    <w:rsid w:val="00880315"/>
    <w:rsid w:val="0088031C"/>
    <w:rsid w:val="00880574"/>
    <w:rsid w:val="008805D1"/>
    <w:rsid w:val="0088088A"/>
    <w:rsid w:val="00880A3F"/>
    <w:rsid w:val="00880B53"/>
    <w:rsid w:val="00880C93"/>
    <w:rsid w:val="00880E1B"/>
    <w:rsid w:val="00880E33"/>
    <w:rsid w:val="00880EC1"/>
    <w:rsid w:val="00880EE2"/>
    <w:rsid w:val="00881318"/>
    <w:rsid w:val="008814F7"/>
    <w:rsid w:val="00881732"/>
    <w:rsid w:val="008818A2"/>
    <w:rsid w:val="0088196B"/>
    <w:rsid w:val="008820FB"/>
    <w:rsid w:val="0088213D"/>
    <w:rsid w:val="008821C6"/>
    <w:rsid w:val="0088243C"/>
    <w:rsid w:val="0088243D"/>
    <w:rsid w:val="0088251A"/>
    <w:rsid w:val="0088284A"/>
    <w:rsid w:val="008828E5"/>
    <w:rsid w:val="008829BB"/>
    <w:rsid w:val="00882D28"/>
    <w:rsid w:val="00882F4A"/>
    <w:rsid w:val="0088304B"/>
    <w:rsid w:val="008835BF"/>
    <w:rsid w:val="008837D2"/>
    <w:rsid w:val="00883A67"/>
    <w:rsid w:val="00883E19"/>
    <w:rsid w:val="00883F6B"/>
    <w:rsid w:val="0088400F"/>
    <w:rsid w:val="0088425A"/>
    <w:rsid w:val="0088429D"/>
    <w:rsid w:val="008848E9"/>
    <w:rsid w:val="00884FD8"/>
    <w:rsid w:val="00885051"/>
    <w:rsid w:val="00885244"/>
    <w:rsid w:val="008856DA"/>
    <w:rsid w:val="008857C7"/>
    <w:rsid w:val="008858B3"/>
    <w:rsid w:val="00885BC1"/>
    <w:rsid w:val="00885EB7"/>
    <w:rsid w:val="008861BF"/>
    <w:rsid w:val="008866CF"/>
    <w:rsid w:val="00886782"/>
    <w:rsid w:val="008869A1"/>
    <w:rsid w:val="00886B00"/>
    <w:rsid w:val="00886B3F"/>
    <w:rsid w:val="00886DF3"/>
    <w:rsid w:val="00886F8E"/>
    <w:rsid w:val="00886FC9"/>
    <w:rsid w:val="008871F0"/>
    <w:rsid w:val="0088738B"/>
    <w:rsid w:val="0088747B"/>
    <w:rsid w:val="00887489"/>
    <w:rsid w:val="0088756B"/>
    <w:rsid w:val="008876A2"/>
    <w:rsid w:val="008876A3"/>
    <w:rsid w:val="00887BD5"/>
    <w:rsid w:val="00887F8F"/>
    <w:rsid w:val="00887FD0"/>
    <w:rsid w:val="0089015D"/>
    <w:rsid w:val="0089021A"/>
    <w:rsid w:val="0089022E"/>
    <w:rsid w:val="0089030C"/>
    <w:rsid w:val="00890475"/>
    <w:rsid w:val="008907D1"/>
    <w:rsid w:val="00890A7C"/>
    <w:rsid w:val="00890D11"/>
    <w:rsid w:val="00890F1B"/>
    <w:rsid w:val="00890F88"/>
    <w:rsid w:val="008910EE"/>
    <w:rsid w:val="0089126A"/>
    <w:rsid w:val="00891A26"/>
    <w:rsid w:val="00891AE0"/>
    <w:rsid w:val="00892014"/>
    <w:rsid w:val="00892149"/>
    <w:rsid w:val="0089214C"/>
    <w:rsid w:val="00892338"/>
    <w:rsid w:val="008923F8"/>
    <w:rsid w:val="0089253F"/>
    <w:rsid w:val="008928F1"/>
    <w:rsid w:val="00892BBF"/>
    <w:rsid w:val="00892C3F"/>
    <w:rsid w:val="00892DB5"/>
    <w:rsid w:val="00892EAB"/>
    <w:rsid w:val="00892F62"/>
    <w:rsid w:val="00893176"/>
    <w:rsid w:val="008932D7"/>
    <w:rsid w:val="00893668"/>
    <w:rsid w:val="00893791"/>
    <w:rsid w:val="00893884"/>
    <w:rsid w:val="0089389C"/>
    <w:rsid w:val="00893A7E"/>
    <w:rsid w:val="00893DBC"/>
    <w:rsid w:val="00893F75"/>
    <w:rsid w:val="0089414B"/>
    <w:rsid w:val="0089414C"/>
    <w:rsid w:val="008941F9"/>
    <w:rsid w:val="008942BD"/>
    <w:rsid w:val="00894568"/>
    <w:rsid w:val="0089478A"/>
    <w:rsid w:val="0089479D"/>
    <w:rsid w:val="0089480A"/>
    <w:rsid w:val="0089481A"/>
    <w:rsid w:val="00894BEE"/>
    <w:rsid w:val="00894FE5"/>
    <w:rsid w:val="008954D2"/>
    <w:rsid w:val="00895658"/>
    <w:rsid w:val="0089568A"/>
    <w:rsid w:val="008956DA"/>
    <w:rsid w:val="00895823"/>
    <w:rsid w:val="008959E5"/>
    <w:rsid w:val="00895BA9"/>
    <w:rsid w:val="00895D52"/>
    <w:rsid w:val="00895D79"/>
    <w:rsid w:val="0089601B"/>
    <w:rsid w:val="008961DF"/>
    <w:rsid w:val="00896557"/>
    <w:rsid w:val="0089655D"/>
    <w:rsid w:val="00896784"/>
    <w:rsid w:val="00896DBD"/>
    <w:rsid w:val="00896F6C"/>
    <w:rsid w:val="008972EC"/>
    <w:rsid w:val="00897364"/>
    <w:rsid w:val="00897824"/>
    <w:rsid w:val="008979DB"/>
    <w:rsid w:val="00897AA0"/>
    <w:rsid w:val="00897BBF"/>
    <w:rsid w:val="00897BCB"/>
    <w:rsid w:val="00897C07"/>
    <w:rsid w:val="00897D19"/>
    <w:rsid w:val="00897DBA"/>
    <w:rsid w:val="008A000F"/>
    <w:rsid w:val="008A01E9"/>
    <w:rsid w:val="008A02FA"/>
    <w:rsid w:val="008A06A5"/>
    <w:rsid w:val="008A06A8"/>
    <w:rsid w:val="008A0B4D"/>
    <w:rsid w:val="008A0E6C"/>
    <w:rsid w:val="008A11E2"/>
    <w:rsid w:val="008A175E"/>
    <w:rsid w:val="008A1AAC"/>
    <w:rsid w:val="008A1C18"/>
    <w:rsid w:val="008A1D3C"/>
    <w:rsid w:val="008A1DF8"/>
    <w:rsid w:val="008A20CA"/>
    <w:rsid w:val="008A22DD"/>
    <w:rsid w:val="008A2337"/>
    <w:rsid w:val="008A2392"/>
    <w:rsid w:val="008A239B"/>
    <w:rsid w:val="008A2517"/>
    <w:rsid w:val="008A2600"/>
    <w:rsid w:val="008A2675"/>
    <w:rsid w:val="008A2956"/>
    <w:rsid w:val="008A2EA1"/>
    <w:rsid w:val="008A2EF6"/>
    <w:rsid w:val="008A3357"/>
    <w:rsid w:val="008A3480"/>
    <w:rsid w:val="008A3484"/>
    <w:rsid w:val="008A3502"/>
    <w:rsid w:val="008A351C"/>
    <w:rsid w:val="008A354E"/>
    <w:rsid w:val="008A37B3"/>
    <w:rsid w:val="008A39E1"/>
    <w:rsid w:val="008A3C74"/>
    <w:rsid w:val="008A40B0"/>
    <w:rsid w:val="008A425D"/>
    <w:rsid w:val="008A44CA"/>
    <w:rsid w:val="008A4594"/>
    <w:rsid w:val="008A48F7"/>
    <w:rsid w:val="008A4B88"/>
    <w:rsid w:val="008A4BB4"/>
    <w:rsid w:val="008A4F3C"/>
    <w:rsid w:val="008A50DE"/>
    <w:rsid w:val="008A51AD"/>
    <w:rsid w:val="008A53BA"/>
    <w:rsid w:val="008A551D"/>
    <w:rsid w:val="008A5648"/>
    <w:rsid w:val="008A565B"/>
    <w:rsid w:val="008A56BA"/>
    <w:rsid w:val="008A570A"/>
    <w:rsid w:val="008A58E4"/>
    <w:rsid w:val="008A58E7"/>
    <w:rsid w:val="008A5926"/>
    <w:rsid w:val="008A5C1D"/>
    <w:rsid w:val="008A5D5F"/>
    <w:rsid w:val="008A5E92"/>
    <w:rsid w:val="008A5F0C"/>
    <w:rsid w:val="008A60F4"/>
    <w:rsid w:val="008A615A"/>
    <w:rsid w:val="008A61FD"/>
    <w:rsid w:val="008A629D"/>
    <w:rsid w:val="008A648A"/>
    <w:rsid w:val="008A650C"/>
    <w:rsid w:val="008A6879"/>
    <w:rsid w:val="008A6897"/>
    <w:rsid w:val="008A69F3"/>
    <w:rsid w:val="008A6A36"/>
    <w:rsid w:val="008A6CB9"/>
    <w:rsid w:val="008A6DC1"/>
    <w:rsid w:val="008A7100"/>
    <w:rsid w:val="008A7139"/>
    <w:rsid w:val="008A776D"/>
    <w:rsid w:val="008A778F"/>
    <w:rsid w:val="008A7C74"/>
    <w:rsid w:val="008B0107"/>
    <w:rsid w:val="008B0282"/>
    <w:rsid w:val="008B04C0"/>
    <w:rsid w:val="008B04E0"/>
    <w:rsid w:val="008B0579"/>
    <w:rsid w:val="008B09F8"/>
    <w:rsid w:val="008B0A83"/>
    <w:rsid w:val="008B0AB1"/>
    <w:rsid w:val="008B0E93"/>
    <w:rsid w:val="008B101B"/>
    <w:rsid w:val="008B1269"/>
    <w:rsid w:val="008B165B"/>
    <w:rsid w:val="008B198D"/>
    <w:rsid w:val="008B1A4F"/>
    <w:rsid w:val="008B1E97"/>
    <w:rsid w:val="008B27B8"/>
    <w:rsid w:val="008B29A4"/>
    <w:rsid w:val="008B2BB4"/>
    <w:rsid w:val="008B2C15"/>
    <w:rsid w:val="008B2C30"/>
    <w:rsid w:val="008B2D73"/>
    <w:rsid w:val="008B2F92"/>
    <w:rsid w:val="008B33B8"/>
    <w:rsid w:val="008B3482"/>
    <w:rsid w:val="008B368E"/>
    <w:rsid w:val="008B3843"/>
    <w:rsid w:val="008B395E"/>
    <w:rsid w:val="008B3AB6"/>
    <w:rsid w:val="008B3C2B"/>
    <w:rsid w:val="008B3DBF"/>
    <w:rsid w:val="008B3E60"/>
    <w:rsid w:val="008B435A"/>
    <w:rsid w:val="008B451E"/>
    <w:rsid w:val="008B4679"/>
    <w:rsid w:val="008B4A4A"/>
    <w:rsid w:val="008B4C99"/>
    <w:rsid w:val="008B4D00"/>
    <w:rsid w:val="008B4D13"/>
    <w:rsid w:val="008B4E78"/>
    <w:rsid w:val="008B4ED2"/>
    <w:rsid w:val="008B4FE2"/>
    <w:rsid w:val="008B51F1"/>
    <w:rsid w:val="008B52EB"/>
    <w:rsid w:val="008B5B31"/>
    <w:rsid w:val="008B5B77"/>
    <w:rsid w:val="008B5F10"/>
    <w:rsid w:val="008B61A1"/>
    <w:rsid w:val="008B6525"/>
    <w:rsid w:val="008B65B3"/>
    <w:rsid w:val="008B66A1"/>
    <w:rsid w:val="008B66EE"/>
    <w:rsid w:val="008B6793"/>
    <w:rsid w:val="008B6A83"/>
    <w:rsid w:val="008B6BAB"/>
    <w:rsid w:val="008B6E62"/>
    <w:rsid w:val="008B6E87"/>
    <w:rsid w:val="008B70C9"/>
    <w:rsid w:val="008B71DB"/>
    <w:rsid w:val="008B728A"/>
    <w:rsid w:val="008B7342"/>
    <w:rsid w:val="008B75C2"/>
    <w:rsid w:val="008B75FC"/>
    <w:rsid w:val="008B770F"/>
    <w:rsid w:val="008B787A"/>
    <w:rsid w:val="008B7B77"/>
    <w:rsid w:val="008B7BD8"/>
    <w:rsid w:val="008B7CF1"/>
    <w:rsid w:val="008C04EF"/>
    <w:rsid w:val="008C04F3"/>
    <w:rsid w:val="008C0773"/>
    <w:rsid w:val="008C08E9"/>
    <w:rsid w:val="008C0A22"/>
    <w:rsid w:val="008C0A89"/>
    <w:rsid w:val="008C0B32"/>
    <w:rsid w:val="008C0E71"/>
    <w:rsid w:val="008C110D"/>
    <w:rsid w:val="008C1634"/>
    <w:rsid w:val="008C1852"/>
    <w:rsid w:val="008C1ECA"/>
    <w:rsid w:val="008C205C"/>
    <w:rsid w:val="008C2672"/>
    <w:rsid w:val="008C26C6"/>
    <w:rsid w:val="008C27B4"/>
    <w:rsid w:val="008C280C"/>
    <w:rsid w:val="008C28B7"/>
    <w:rsid w:val="008C2992"/>
    <w:rsid w:val="008C2CFF"/>
    <w:rsid w:val="008C2DD0"/>
    <w:rsid w:val="008C2E1E"/>
    <w:rsid w:val="008C2E22"/>
    <w:rsid w:val="008C2ED2"/>
    <w:rsid w:val="008C311D"/>
    <w:rsid w:val="008C3352"/>
    <w:rsid w:val="008C36C9"/>
    <w:rsid w:val="008C371C"/>
    <w:rsid w:val="008C3D11"/>
    <w:rsid w:val="008C3D4D"/>
    <w:rsid w:val="008C3D60"/>
    <w:rsid w:val="008C3EA9"/>
    <w:rsid w:val="008C3F2D"/>
    <w:rsid w:val="008C4026"/>
    <w:rsid w:val="008C417E"/>
    <w:rsid w:val="008C41A5"/>
    <w:rsid w:val="008C41D5"/>
    <w:rsid w:val="008C4252"/>
    <w:rsid w:val="008C4533"/>
    <w:rsid w:val="008C526C"/>
    <w:rsid w:val="008C5935"/>
    <w:rsid w:val="008C5A09"/>
    <w:rsid w:val="008C5B51"/>
    <w:rsid w:val="008C5F0A"/>
    <w:rsid w:val="008C6105"/>
    <w:rsid w:val="008C6124"/>
    <w:rsid w:val="008C613B"/>
    <w:rsid w:val="008C6334"/>
    <w:rsid w:val="008C63DF"/>
    <w:rsid w:val="008C655D"/>
    <w:rsid w:val="008C65B9"/>
    <w:rsid w:val="008C66BD"/>
    <w:rsid w:val="008C672D"/>
    <w:rsid w:val="008C6968"/>
    <w:rsid w:val="008C6AD6"/>
    <w:rsid w:val="008C6F15"/>
    <w:rsid w:val="008C6FF1"/>
    <w:rsid w:val="008C742A"/>
    <w:rsid w:val="008C74C7"/>
    <w:rsid w:val="008C7714"/>
    <w:rsid w:val="008C77F4"/>
    <w:rsid w:val="008C78C7"/>
    <w:rsid w:val="008C7E4F"/>
    <w:rsid w:val="008C7F4F"/>
    <w:rsid w:val="008D00F3"/>
    <w:rsid w:val="008D0564"/>
    <w:rsid w:val="008D08B7"/>
    <w:rsid w:val="008D0936"/>
    <w:rsid w:val="008D0A02"/>
    <w:rsid w:val="008D0A0C"/>
    <w:rsid w:val="008D0B57"/>
    <w:rsid w:val="008D0C19"/>
    <w:rsid w:val="008D0C3F"/>
    <w:rsid w:val="008D0E1D"/>
    <w:rsid w:val="008D0F27"/>
    <w:rsid w:val="008D11D5"/>
    <w:rsid w:val="008D1309"/>
    <w:rsid w:val="008D15A2"/>
    <w:rsid w:val="008D15AA"/>
    <w:rsid w:val="008D16E0"/>
    <w:rsid w:val="008D18CD"/>
    <w:rsid w:val="008D1AAE"/>
    <w:rsid w:val="008D1F86"/>
    <w:rsid w:val="008D1FA2"/>
    <w:rsid w:val="008D2025"/>
    <w:rsid w:val="008D20D3"/>
    <w:rsid w:val="008D20E0"/>
    <w:rsid w:val="008D2796"/>
    <w:rsid w:val="008D2B6E"/>
    <w:rsid w:val="008D335C"/>
    <w:rsid w:val="008D33BB"/>
    <w:rsid w:val="008D34AC"/>
    <w:rsid w:val="008D35B7"/>
    <w:rsid w:val="008D3617"/>
    <w:rsid w:val="008D3F96"/>
    <w:rsid w:val="008D4007"/>
    <w:rsid w:val="008D404E"/>
    <w:rsid w:val="008D4095"/>
    <w:rsid w:val="008D4128"/>
    <w:rsid w:val="008D436A"/>
    <w:rsid w:val="008D45DD"/>
    <w:rsid w:val="008D4955"/>
    <w:rsid w:val="008D4AC9"/>
    <w:rsid w:val="008D4B5C"/>
    <w:rsid w:val="008D4C72"/>
    <w:rsid w:val="008D4D4B"/>
    <w:rsid w:val="008D4FC6"/>
    <w:rsid w:val="008D509E"/>
    <w:rsid w:val="008D50BA"/>
    <w:rsid w:val="008D5257"/>
    <w:rsid w:val="008D561B"/>
    <w:rsid w:val="008D582B"/>
    <w:rsid w:val="008D5931"/>
    <w:rsid w:val="008D5BCD"/>
    <w:rsid w:val="008D5CF1"/>
    <w:rsid w:val="008D5CF9"/>
    <w:rsid w:val="008D5D0A"/>
    <w:rsid w:val="008D5F57"/>
    <w:rsid w:val="008D60F7"/>
    <w:rsid w:val="008D6455"/>
    <w:rsid w:val="008D66D6"/>
    <w:rsid w:val="008D6794"/>
    <w:rsid w:val="008D68D7"/>
    <w:rsid w:val="008D69DA"/>
    <w:rsid w:val="008D6C4C"/>
    <w:rsid w:val="008D6E9B"/>
    <w:rsid w:val="008D7F65"/>
    <w:rsid w:val="008E0178"/>
    <w:rsid w:val="008E02F8"/>
    <w:rsid w:val="008E0A88"/>
    <w:rsid w:val="008E1189"/>
    <w:rsid w:val="008E12AF"/>
    <w:rsid w:val="008E12E6"/>
    <w:rsid w:val="008E147C"/>
    <w:rsid w:val="008E1592"/>
    <w:rsid w:val="008E15DD"/>
    <w:rsid w:val="008E211C"/>
    <w:rsid w:val="008E2182"/>
    <w:rsid w:val="008E2687"/>
    <w:rsid w:val="008E2735"/>
    <w:rsid w:val="008E2BB3"/>
    <w:rsid w:val="008E2BC5"/>
    <w:rsid w:val="008E2C79"/>
    <w:rsid w:val="008E3176"/>
    <w:rsid w:val="008E3564"/>
    <w:rsid w:val="008E3A0B"/>
    <w:rsid w:val="008E3A90"/>
    <w:rsid w:val="008E3AAB"/>
    <w:rsid w:val="008E3D76"/>
    <w:rsid w:val="008E3DBC"/>
    <w:rsid w:val="008E3DF6"/>
    <w:rsid w:val="008E4043"/>
    <w:rsid w:val="008E4163"/>
    <w:rsid w:val="008E41E2"/>
    <w:rsid w:val="008E4412"/>
    <w:rsid w:val="008E4520"/>
    <w:rsid w:val="008E4C52"/>
    <w:rsid w:val="008E510D"/>
    <w:rsid w:val="008E51B3"/>
    <w:rsid w:val="008E54E8"/>
    <w:rsid w:val="008E55A3"/>
    <w:rsid w:val="008E5740"/>
    <w:rsid w:val="008E5868"/>
    <w:rsid w:val="008E588B"/>
    <w:rsid w:val="008E5D2F"/>
    <w:rsid w:val="008E5DC8"/>
    <w:rsid w:val="008E60D9"/>
    <w:rsid w:val="008E6465"/>
    <w:rsid w:val="008E6ABC"/>
    <w:rsid w:val="008E6B3D"/>
    <w:rsid w:val="008E6C57"/>
    <w:rsid w:val="008E6D3B"/>
    <w:rsid w:val="008E6E66"/>
    <w:rsid w:val="008E7082"/>
    <w:rsid w:val="008E7162"/>
    <w:rsid w:val="008E72AF"/>
    <w:rsid w:val="008E7373"/>
    <w:rsid w:val="008F00B3"/>
    <w:rsid w:val="008F00EF"/>
    <w:rsid w:val="008F041E"/>
    <w:rsid w:val="008F0952"/>
    <w:rsid w:val="008F0CC7"/>
    <w:rsid w:val="008F0D3E"/>
    <w:rsid w:val="008F0F82"/>
    <w:rsid w:val="008F1064"/>
    <w:rsid w:val="008F1154"/>
    <w:rsid w:val="008F1192"/>
    <w:rsid w:val="008F134E"/>
    <w:rsid w:val="008F15A1"/>
    <w:rsid w:val="008F15AF"/>
    <w:rsid w:val="008F1650"/>
    <w:rsid w:val="008F1740"/>
    <w:rsid w:val="008F1B84"/>
    <w:rsid w:val="008F1B9D"/>
    <w:rsid w:val="008F1C97"/>
    <w:rsid w:val="008F1CBF"/>
    <w:rsid w:val="008F1D6B"/>
    <w:rsid w:val="008F1D6F"/>
    <w:rsid w:val="008F1D75"/>
    <w:rsid w:val="008F1DB6"/>
    <w:rsid w:val="008F1DDC"/>
    <w:rsid w:val="008F22D5"/>
    <w:rsid w:val="008F25FE"/>
    <w:rsid w:val="008F2FC3"/>
    <w:rsid w:val="008F323D"/>
    <w:rsid w:val="008F33EF"/>
    <w:rsid w:val="008F344D"/>
    <w:rsid w:val="008F3455"/>
    <w:rsid w:val="008F38B0"/>
    <w:rsid w:val="008F39C0"/>
    <w:rsid w:val="008F3A9F"/>
    <w:rsid w:val="008F3CC0"/>
    <w:rsid w:val="008F3E62"/>
    <w:rsid w:val="008F43A9"/>
    <w:rsid w:val="008F4E41"/>
    <w:rsid w:val="008F5080"/>
    <w:rsid w:val="008F52A5"/>
    <w:rsid w:val="008F55AD"/>
    <w:rsid w:val="008F5786"/>
    <w:rsid w:val="008F57CD"/>
    <w:rsid w:val="008F5960"/>
    <w:rsid w:val="008F5CD0"/>
    <w:rsid w:val="008F5E87"/>
    <w:rsid w:val="008F60E7"/>
    <w:rsid w:val="008F6100"/>
    <w:rsid w:val="008F615B"/>
    <w:rsid w:val="008F629A"/>
    <w:rsid w:val="008F6A27"/>
    <w:rsid w:val="008F6A9B"/>
    <w:rsid w:val="008F6C67"/>
    <w:rsid w:val="008F6F03"/>
    <w:rsid w:val="008F6F9D"/>
    <w:rsid w:val="008F72A4"/>
    <w:rsid w:val="008F74D2"/>
    <w:rsid w:val="008F75A5"/>
    <w:rsid w:val="008F7603"/>
    <w:rsid w:val="008F769D"/>
    <w:rsid w:val="008F76DC"/>
    <w:rsid w:val="008F782D"/>
    <w:rsid w:val="008F797D"/>
    <w:rsid w:val="008F7A06"/>
    <w:rsid w:val="008F7D2F"/>
    <w:rsid w:val="00900296"/>
    <w:rsid w:val="00900644"/>
    <w:rsid w:val="00900716"/>
    <w:rsid w:val="00900A22"/>
    <w:rsid w:val="00900E4C"/>
    <w:rsid w:val="00900F6D"/>
    <w:rsid w:val="009013C5"/>
    <w:rsid w:val="0090147B"/>
    <w:rsid w:val="00901649"/>
    <w:rsid w:val="00901B21"/>
    <w:rsid w:val="00901CBA"/>
    <w:rsid w:val="00901DC6"/>
    <w:rsid w:val="00901EF9"/>
    <w:rsid w:val="00902090"/>
    <w:rsid w:val="009020FF"/>
    <w:rsid w:val="009021B3"/>
    <w:rsid w:val="009021DC"/>
    <w:rsid w:val="0090233A"/>
    <w:rsid w:val="00902343"/>
    <w:rsid w:val="009024D3"/>
    <w:rsid w:val="00902800"/>
    <w:rsid w:val="00903026"/>
    <w:rsid w:val="009033AB"/>
    <w:rsid w:val="00903424"/>
    <w:rsid w:val="0090357B"/>
    <w:rsid w:val="0090375C"/>
    <w:rsid w:val="00903832"/>
    <w:rsid w:val="00903D1A"/>
    <w:rsid w:val="0090404A"/>
    <w:rsid w:val="00904279"/>
    <w:rsid w:val="009044BE"/>
    <w:rsid w:val="0090464C"/>
    <w:rsid w:val="009048EB"/>
    <w:rsid w:val="00904913"/>
    <w:rsid w:val="00904D4B"/>
    <w:rsid w:val="00904D5E"/>
    <w:rsid w:val="00904E61"/>
    <w:rsid w:val="009050B3"/>
    <w:rsid w:val="00905409"/>
    <w:rsid w:val="009055C5"/>
    <w:rsid w:val="009055D0"/>
    <w:rsid w:val="00905685"/>
    <w:rsid w:val="009058E2"/>
    <w:rsid w:val="00905945"/>
    <w:rsid w:val="00905979"/>
    <w:rsid w:val="00905996"/>
    <w:rsid w:val="00905B24"/>
    <w:rsid w:val="00905FEB"/>
    <w:rsid w:val="009060D6"/>
    <w:rsid w:val="00906252"/>
    <w:rsid w:val="0090636D"/>
    <w:rsid w:val="0090672E"/>
    <w:rsid w:val="00906A4F"/>
    <w:rsid w:val="00906BD6"/>
    <w:rsid w:val="00906CF2"/>
    <w:rsid w:val="00906FC9"/>
    <w:rsid w:val="00907062"/>
    <w:rsid w:val="00907074"/>
    <w:rsid w:val="009070DC"/>
    <w:rsid w:val="009070DD"/>
    <w:rsid w:val="009073C7"/>
    <w:rsid w:val="0090749E"/>
    <w:rsid w:val="0090772B"/>
    <w:rsid w:val="009078BA"/>
    <w:rsid w:val="009079C7"/>
    <w:rsid w:val="009079F7"/>
    <w:rsid w:val="00907B1B"/>
    <w:rsid w:val="00907B3B"/>
    <w:rsid w:val="00907B44"/>
    <w:rsid w:val="00907BAA"/>
    <w:rsid w:val="00907C33"/>
    <w:rsid w:val="009103AB"/>
    <w:rsid w:val="00910829"/>
    <w:rsid w:val="009108D2"/>
    <w:rsid w:val="0091098F"/>
    <w:rsid w:val="00910B10"/>
    <w:rsid w:val="00910C20"/>
    <w:rsid w:val="00910FE1"/>
    <w:rsid w:val="0091106A"/>
    <w:rsid w:val="009110FB"/>
    <w:rsid w:val="00911172"/>
    <w:rsid w:val="0091118F"/>
    <w:rsid w:val="009112E9"/>
    <w:rsid w:val="0091142D"/>
    <w:rsid w:val="0091166A"/>
    <w:rsid w:val="009117D0"/>
    <w:rsid w:val="00911809"/>
    <w:rsid w:val="00911A87"/>
    <w:rsid w:val="00911C77"/>
    <w:rsid w:val="00911D1C"/>
    <w:rsid w:val="00911F7E"/>
    <w:rsid w:val="0091211D"/>
    <w:rsid w:val="009123EF"/>
    <w:rsid w:val="00912F38"/>
    <w:rsid w:val="00913651"/>
    <w:rsid w:val="009138D1"/>
    <w:rsid w:val="00913C58"/>
    <w:rsid w:val="00913DBC"/>
    <w:rsid w:val="00913FCD"/>
    <w:rsid w:val="009140B4"/>
    <w:rsid w:val="00914174"/>
    <w:rsid w:val="0091428A"/>
    <w:rsid w:val="00914733"/>
    <w:rsid w:val="00914A43"/>
    <w:rsid w:val="00914AA5"/>
    <w:rsid w:val="00914C0A"/>
    <w:rsid w:val="00914C83"/>
    <w:rsid w:val="00914D1F"/>
    <w:rsid w:val="009157DE"/>
    <w:rsid w:val="0091586B"/>
    <w:rsid w:val="00915DAD"/>
    <w:rsid w:val="009162DD"/>
    <w:rsid w:val="009163E7"/>
    <w:rsid w:val="009165BC"/>
    <w:rsid w:val="00916668"/>
    <w:rsid w:val="009166C0"/>
    <w:rsid w:val="0091671A"/>
    <w:rsid w:val="009169F6"/>
    <w:rsid w:val="00916CFA"/>
    <w:rsid w:val="00916D5B"/>
    <w:rsid w:val="00916E1B"/>
    <w:rsid w:val="0091715C"/>
    <w:rsid w:val="0091719D"/>
    <w:rsid w:val="0091761E"/>
    <w:rsid w:val="00917903"/>
    <w:rsid w:val="00917C91"/>
    <w:rsid w:val="00917EBD"/>
    <w:rsid w:val="00917FE1"/>
    <w:rsid w:val="009200D3"/>
    <w:rsid w:val="00920222"/>
    <w:rsid w:val="009202DF"/>
    <w:rsid w:val="00920497"/>
    <w:rsid w:val="00920894"/>
    <w:rsid w:val="009208C4"/>
    <w:rsid w:val="00920997"/>
    <w:rsid w:val="00920B1E"/>
    <w:rsid w:val="00920DD5"/>
    <w:rsid w:val="00921161"/>
    <w:rsid w:val="00921337"/>
    <w:rsid w:val="0092144E"/>
    <w:rsid w:val="0092158B"/>
    <w:rsid w:val="00921824"/>
    <w:rsid w:val="00921861"/>
    <w:rsid w:val="00921A34"/>
    <w:rsid w:val="00921BD4"/>
    <w:rsid w:val="00921C60"/>
    <w:rsid w:val="00921E0A"/>
    <w:rsid w:val="00921F2C"/>
    <w:rsid w:val="00921FAD"/>
    <w:rsid w:val="00922492"/>
    <w:rsid w:val="009224EB"/>
    <w:rsid w:val="0092272F"/>
    <w:rsid w:val="0092294E"/>
    <w:rsid w:val="00922BE2"/>
    <w:rsid w:val="00922EDE"/>
    <w:rsid w:val="0092337C"/>
    <w:rsid w:val="009233CC"/>
    <w:rsid w:val="009233CF"/>
    <w:rsid w:val="009237D9"/>
    <w:rsid w:val="009239D2"/>
    <w:rsid w:val="00923BD2"/>
    <w:rsid w:val="00923CDE"/>
    <w:rsid w:val="00923E86"/>
    <w:rsid w:val="00923FE0"/>
    <w:rsid w:val="0092406C"/>
    <w:rsid w:val="00924096"/>
    <w:rsid w:val="009241BE"/>
    <w:rsid w:val="009243BC"/>
    <w:rsid w:val="0092444D"/>
    <w:rsid w:val="00924472"/>
    <w:rsid w:val="009244D5"/>
    <w:rsid w:val="0092485C"/>
    <w:rsid w:val="00924A16"/>
    <w:rsid w:val="00924C5B"/>
    <w:rsid w:val="00924EFD"/>
    <w:rsid w:val="0092506C"/>
    <w:rsid w:val="00925183"/>
    <w:rsid w:val="009251F5"/>
    <w:rsid w:val="009252F1"/>
    <w:rsid w:val="00925588"/>
    <w:rsid w:val="00925AF5"/>
    <w:rsid w:val="00925AFA"/>
    <w:rsid w:val="00925C76"/>
    <w:rsid w:val="00925DEA"/>
    <w:rsid w:val="00926268"/>
    <w:rsid w:val="009264A2"/>
    <w:rsid w:val="0092672B"/>
    <w:rsid w:val="009267E4"/>
    <w:rsid w:val="00926A89"/>
    <w:rsid w:val="00926C77"/>
    <w:rsid w:val="00926D96"/>
    <w:rsid w:val="00926F3D"/>
    <w:rsid w:val="00926FB6"/>
    <w:rsid w:val="0092715D"/>
    <w:rsid w:val="00927206"/>
    <w:rsid w:val="00927693"/>
    <w:rsid w:val="009276AE"/>
    <w:rsid w:val="0092787F"/>
    <w:rsid w:val="009278DB"/>
    <w:rsid w:val="00927933"/>
    <w:rsid w:val="009279FF"/>
    <w:rsid w:val="00927B3A"/>
    <w:rsid w:val="00927CE1"/>
    <w:rsid w:val="00927D86"/>
    <w:rsid w:val="00927DDB"/>
    <w:rsid w:val="00927EFC"/>
    <w:rsid w:val="00930057"/>
    <w:rsid w:val="0093029D"/>
    <w:rsid w:val="00930305"/>
    <w:rsid w:val="00930515"/>
    <w:rsid w:val="00930592"/>
    <w:rsid w:val="00930632"/>
    <w:rsid w:val="0093087A"/>
    <w:rsid w:val="009308BB"/>
    <w:rsid w:val="009308E9"/>
    <w:rsid w:val="00930B2B"/>
    <w:rsid w:val="00930FED"/>
    <w:rsid w:val="009310BC"/>
    <w:rsid w:val="009310EC"/>
    <w:rsid w:val="009311B2"/>
    <w:rsid w:val="00931399"/>
    <w:rsid w:val="0093177D"/>
    <w:rsid w:val="00931969"/>
    <w:rsid w:val="00931BB5"/>
    <w:rsid w:val="00931D3F"/>
    <w:rsid w:val="00932170"/>
    <w:rsid w:val="0093228F"/>
    <w:rsid w:val="009324C4"/>
    <w:rsid w:val="00932506"/>
    <w:rsid w:val="00932671"/>
    <w:rsid w:val="0093276C"/>
    <w:rsid w:val="00932A7A"/>
    <w:rsid w:val="009330BF"/>
    <w:rsid w:val="0093351A"/>
    <w:rsid w:val="009336E1"/>
    <w:rsid w:val="00933817"/>
    <w:rsid w:val="00933C07"/>
    <w:rsid w:val="00933DBE"/>
    <w:rsid w:val="009340CF"/>
    <w:rsid w:val="009344A7"/>
    <w:rsid w:val="00934510"/>
    <w:rsid w:val="0093476C"/>
    <w:rsid w:val="00934FC0"/>
    <w:rsid w:val="009355E0"/>
    <w:rsid w:val="00935772"/>
    <w:rsid w:val="00935868"/>
    <w:rsid w:val="00935A1E"/>
    <w:rsid w:val="00935B7C"/>
    <w:rsid w:val="00935E3A"/>
    <w:rsid w:val="00936005"/>
    <w:rsid w:val="0093607C"/>
    <w:rsid w:val="0093638A"/>
    <w:rsid w:val="00936713"/>
    <w:rsid w:val="0093699A"/>
    <w:rsid w:val="00936AC2"/>
    <w:rsid w:val="00936EEA"/>
    <w:rsid w:val="00937219"/>
    <w:rsid w:val="00937280"/>
    <w:rsid w:val="0093728D"/>
    <w:rsid w:val="00937538"/>
    <w:rsid w:val="00937849"/>
    <w:rsid w:val="009378DB"/>
    <w:rsid w:val="00937A36"/>
    <w:rsid w:val="00937A83"/>
    <w:rsid w:val="00937ABF"/>
    <w:rsid w:val="00937B51"/>
    <w:rsid w:val="00937BA1"/>
    <w:rsid w:val="00937BF1"/>
    <w:rsid w:val="00940008"/>
    <w:rsid w:val="00940425"/>
    <w:rsid w:val="00940B6E"/>
    <w:rsid w:val="00940F3C"/>
    <w:rsid w:val="00940FC3"/>
    <w:rsid w:val="00940FFA"/>
    <w:rsid w:val="00941503"/>
    <w:rsid w:val="00941543"/>
    <w:rsid w:val="009415FD"/>
    <w:rsid w:val="009416D1"/>
    <w:rsid w:val="009417E3"/>
    <w:rsid w:val="0094187D"/>
    <w:rsid w:val="00941B96"/>
    <w:rsid w:val="00941D4D"/>
    <w:rsid w:val="00941D61"/>
    <w:rsid w:val="009424A2"/>
    <w:rsid w:val="00942564"/>
    <w:rsid w:val="009427C9"/>
    <w:rsid w:val="009427D0"/>
    <w:rsid w:val="009429EE"/>
    <w:rsid w:val="00942A82"/>
    <w:rsid w:val="00942C4D"/>
    <w:rsid w:val="00942C64"/>
    <w:rsid w:val="00942C90"/>
    <w:rsid w:val="00942D31"/>
    <w:rsid w:val="00942F29"/>
    <w:rsid w:val="00942FB6"/>
    <w:rsid w:val="00942FF7"/>
    <w:rsid w:val="009434EB"/>
    <w:rsid w:val="009435BE"/>
    <w:rsid w:val="00943908"/>
    <w:rsid w:val="009439AF"/>
    <w:rsid w:val="00943B3A"/>
    <w:rsid w:val="00943D16"/>
    <w:rsid w:val="00943D64"/>
    <w:rsid w:val="00943EA6"/>
    <w:rsid w:val="0094400C"/>
    <w:rsid w:val="00944400"/>
    <w:rsid w:val="00944428"/>
    <w:rsid w:val="009448F2"/>
    <w:rsid w:val="009448F3"/>
    <w:rsid w:val="009451A5"/>
    <w:rsid w:val="0094524B"/>
    <w:rsid w:val="009456E3"/>
    <w:rsid w:val="00945759"/>
    <w:rsid w:val="00946370"/>
    <w:rsid w:val="009466E9"/>
    <w:rsid w:val="00946850"/>
    <w:rsid w:val="00946986"/>
    <w:rsid w:val="00946A96"/>
    <w:rsid w:val="00946BB2"/>
    <w:rsid w:val="00946CB3"/>
    <w:rsid w:val="00946D20"/>
    <w:rsid w:val="00946E51"/>
    <w:rsid w:val="00946FF2"/>
    <w:rsid w:val="009473F4"/>
    <w:rsid w:val="0094767D"/>
    <w:rsid w:val="009477DD"/>
    <w:rsid w:val="009478EB"/>
    <w:rsid w:val="00947AB9"/>
    <w:rsid w:val="00947C21"/>
    <w:rsid w:val="00947FC7"/>
    <w:rsid w:val="00950231"/>
    <w:rsid w:val="009503A2"/>
    <w:rsid w:val="00950794"/>
    <w:rsid w:val="009507AA"/>
    <w:rsid w:val="009509EF"/>
    <w:rsid w:val="00950C83"/>
    <w:rsid w:val="00950CDE"/>
    <w:rsid w:val="0095143E"/>
    <w:rsid w:val="00951550"/>
    <w:rsid w:val="009515CA"/>
    <w:rsid w:val="00951691"/>
    <w:rsid w:val="009517EC"/>
    <w:rsid w:val="00951A1F"/>
    <w:rsid w:val="00951BF5"/>
    <w:rsid w:val="00951CBF"/>
    <w:rsid w:val="00951FCE"/>
    <w:rsid w:val="009521CC"/>
    <w:rsid w:val="00952242"/>
    <w:rsid w:val="0095226C"/>
    <w:rsid w:val="009523AF"/>
    <w:rsid w:val="009524A4"/>
    <w:rsid w:val="00952548"/>
    <w:rsid w:val="009526E7"/>
    <w:rsid w:val="00952712"/>
    <w:rsid w:val="00952C05"/>
    <w:rsid w:val="00952D52"/>
    <w:rsid w:val="00952D68"/>
    <w:rsid w:val="00953681"/>
    <w:rsid w:val="00953CE7"/>
    <w:rsid w:val="00953D31"/>
    <w:rsid w:val="009540B7"/>
    <w:rsid w:val="009543D0"/>
    <w:rsid w:val="0095448D"/>
    <w:rsid w:val="009545B4"/>
    <w:rsid w:val="0095464E"/>
    <w:rsid w:val="00954DAE"/>
    <w:rsid w:val="00954E1D"/>
    <w:rsid w:val="00954EE1"/>
    <w:rsid w:val="00955265"/>
    <w:rsid w:val="009552A9"/>
    <w:rsid w:val="00955410"/>
    <w:rsid w:val="0095555C"/>
    <w:rsid w:val="0095555D"/>
    <w:rsid w:val="009558EE"/>
    <w:rsid w:val="009559D5"/>
    <w:rsid w:val="00955B4F"/>
    <w:rsid w:val="00955C17"/>
    <w:rsid w:val="00955D04"/>
    <w:rsid w:val="00955D82"/>
    <w:rsid w:val="00955FFA"/>
    <w:rsid w:val="00956099"/>
    <w:rsid w:val="009560D0"/>
    <w:rsid w:val="00956170"/>
    <w:rsid w:val="00956336"/>
    <w:rsid w:val="00956381"/>
    <w:rsid w:val="00956989"/>
    <w:rsid w:val="00956BA1"/>
    <w:rsid w:val="00956D42"/>
    <w:rsid w:val="00956F0F"/>
    <w:rsid w:val="00957065"/>
    <w:rsid w:val="0095727F"/>
    <w:rsid w:val="009572AF"/>
    <w:rsid w:val="0095779F"/>
    <w:rsid w:val="00957C78"/>
    <w:rsid w:val="00957E41"/>
    <w:rsid w:val="00957F13"/>
    <w:rsid w:val="0096023A"/>
    <w:rsid w:val="0096036B"/>
    <w:rsid w:val="0096072E"/>
    <w:rsid w:val="009607AB"/>
    <w:rsid w:val="00960A9A"/>
    <w:rsid w:val="0096107C"/>
    <w:rsid w:val="0096107E"/>
    <w:rsid w:val="0096113C"/>
    <w:rsid w:val="00961457"/>
    <w:rsid w:val="009615DB"/>
    <w:rsid w:val="00961622"/>
    <w:rsid w:val="0096178F"/>
    <w:rsid w:val="00961AE1"/>
    <w:rsid w:val="00961E17"/>
    <w:rsid w:val="00961FAC"/>
    <w:rsid w:val="009621B8"/>
    <w:rsid w:val="009622B0"/>
    <w:rsid w:val="0096240F"/>
    <w:rsid w:val="00962683"/>
    <w:rsid w:val="009626FC"/>
    <w:rsid w:val="00962DB8"/>
    <w:rsid w:val="00962E23"/>
    <w:rsid w:val="00962ED0"/>
    <w:rsid w:val="00963149"/>
    <w:rsid w:val="009635F5"/>
    <w:rsid w:val="00963721"/>
    <w:rsid w:val="00964112"/>
    <w:rsid w:val="00964137"/>
    <w:rsid w:val="009642B3"/>
    <w:rsid w:val="0096456D"/>
    <w:rsid w:val="0096464B"/>
    <w:rsid w:val="009646D2"/>
    <w:rsid w:val="0096487C"/>
    <w:rsid w:val="0096491A"/>
    <w:rsid w:val="00964BC2"/>
    <w:rsid w:val="00964BC4"/>
    <w:rsid w:val="00964D4A"/>
    <w:rsid w:val="00964E20"/>
    <w:rsid w:val="00964E99"/>
    <w:rsid w:val="00964EAE"/>
    <w:rsid w:val="00965023"/>
    <w:rsid w:val="009650B7"/>
    <w:rsid w:val="0096515D"/>
    <w:rsid w:val="0096576E"/>
    <w:rsid w:val="00965841"/>
    <w:rsid w:val="00965A0D"/>
    <w:rsid w:val="00965D07"/>
    <w:rsid w:val="00965EC6"/>
    <w:rsid w:val="00965EE1"/>
    <w:rsid w:val="00965F21"/>
    <w:rsid w:val="00966623"/>
    <w:rsid w:val="009668D5"/>
    <w:rsid w:val="00966D23"/>
    <w:rsid w:val="00966EA1"/>
    <w:rsid w:val="00967531"/>
    <w:rsid w:val="00967683"/>
    <w:rsid w:val="009678DB"/>
    <w:rsid w:val="00967C1E"/>
    <w:rsid w:val="00967CB5"/>
    <w:rsid w:val="00967D61"/>
    <w:rsid w:val="00970072"/>
    <w:rsid w:val="009700B6"/>
    <w:rsid w:val="00970233"/>
    <w:rsid w:val="009704B2"/>
    <w:rsid w:val="00970728"/>
    <w:rsid w:val="009707C9"/>
    <w:rsid w:val="009707F8"/>
    <w:rsid w:val="0097082A"/>
    <w:rsid w:val="009708E6"/>
    <w:rsid w:val="00970F80"/>
    <w:rsid w:val="009714B6"/>
    <w:rsid w:val="0097152D"/>
    <w:rsid w:val="009715E0"/>
    <w:rsid w:val="009716C4"/>
    <w:rsid w:val="0097188E"/>
    <w:rsid w:val="00971A3C"/>
    <w:rsid w:val="00971D40"/>
    <w:rsid w:val="00971E0B"/>
    <w:rsid w:val="00972101"/>
    <w:rsid w:val="00972568"/>
    <w:rsid w:val="00972BF6"/>
    <w:rsid w:val="00972D22"/>
    <w:rsid w:val="00972F63"/>
    <w:rsid w:val="00972FB5"/>
    <w:rsid w:val="0097345F"/>
    <w:rsid w:val="00973510"/>
    <w:rsid w:val="00973669"/>
    <w:rsid w:val="009736FE"/>
    <w:rsid w:val="00973B96"/>
    <w:rsid w:val="00973BAA"/>
    <w:rsid w:val="00973C4E"/>
    <w:rsid w:val="00973E3C"/>
    <w:rsid w:val="009742EA"/>
    <w:rsid w:val="0097469B"/>
    <w:rsid w:val="00974717"/>
    <w:rsid w:val="00974763"/>
    <w:rsid w:val="0097493A"/>
    <w:rsid w:val="00974B73"/>
    <w:rsid w:val="00974ED0"/>
    <w:rsid w:val="00974F96"/>
    <w:rsid w:val="009752AD"/>
    <w:rsid w:val="0097563C"/>
    <w:rsid w:val="009757CA"/>
    <w:rsid w:val="00975956"/>
    <w:rsid w:val="00975C9D"/>
    <w:rsid w:val="00975FF1"/>
    <w:rsid w:val="00976D8D"/>
    <w:rsid w:val="00976E76"/>
    <w:rsid w:val="0097718F"/>
    <w:rsid w:val="009771B3"/>
    <w:rsid w:val="00977A14"/>
    <w:rsid w:val="00977C00"/>
    <w:rsid w:val="00977E9B"/>
    <w:rsid w:val="00977EA6"/>
    <w:rsid w:val="00977F35"/>
    <w:rsid w:val="0098036E"/>
    <w:rsid w:val="00980443"/>
    <w:rsid w:val="009804BE"/>
    <w:rsid w:val="009807BF"/>
    <w:rsid w:val="009808EF"/>
    <w:rsid w:val="009809CE"/>
    <w:rsid w:val="00980D42"/>
    <w:rsid w:val="009811BB"/>
    <w:rsid w:val="0098131F"/>
    <w:rsid w:val="00981479"/>
    <w:rsid w:val="00981CF9"/>
    <w:rsid w:val="00981D30"/>
    <w:rsid w:val="00982295"/>
    <w:rsid w:val="009822A3"/>
    <w:rsid w:val="009825C7"/>
    <w:rsid w:val="009829B3"/>
    <w:rsid w:val="00982AF0"/>
    <w:rsid w:val="00982C31"/>
    <w:rsid w:val="00982D45"/>
    <w:rsid w:val="00982E2E"/>
    <w:rsid w:val="00982FE4"/>
    <w:rsid w:val="00983165"/>
    <w:rsid w:val="0098318A"/>
    <w:rsid w:val="00983343"/>
    <w:rsid w:val="009833C4"/>
    <w:rsid w:val="009834E0"/>
    <w:rsid w:val="009837B6"/>
    <w:rsid w:val="009838FF"/>
    <w:rsid w:val="00983C5A"/>
    <w:rsid w:val="00983DAE"/>
    <w:rsid w:val="00983E33"/>
    <w:rsid w:val="00983FA9"/>
    <w:rsid w:val="00984149"/>
    <w:rsid w:val="00984195"/>
    <w:rsid w:val="0098447A"/>
    <w:rsid w:val="00984759"/>
    <w:rsid w:val="00984788"/>
    <w:rsid w:val="00984909"/>
    <w:rsid w:val="00984ACA"/>
    <w:rsid w:val="00984D7E"/>
    <w:rsid w:val="00984E69"/>
    <w:rsid w:val="00984FF3"/>
    <w:rsid w:val="00984FF9"/>
    <w:rsid w:val="009850B3"/>
    <w:rsid w:val="009850C5"/>
    <w:rsid w:val="0098516C"/>
    <w:rsid w:val="0098527A"/>
    <w:rsid w:val="0098594C"/>
    <w:rsid w:val="00985BD2"/>
    <w:rsid w:val="00985D4C"/>
    <w:rsid w:val="00985EA0"/>
    <w:rsid w:val="009862B6"/>
    <w:rsid w:val="00986326"/>
    <w:rsid w:val="009866D9"/>
    <w:rsid w:val="00986849"/>
    <w:rsid w:val="00986A25"/>
    <w:rsid w:val="00986BB7"/>
    <w:rsid w:val="00986D4B"/>
    <w:rsid w:val="00986E11"/>
    <w:rsid w:val="00986E1E"/>
    <w:rsid w:val="00986F36"/>
    <w:rsid w:val="00986F6D"/>
    <w:rsid w:val="009871C3"/>
    <w:rsid w:val="0098727C"/>
    <w:rsid w:val="009873B6"/>
    <w:rsid w:val="00987412"/>
    <w:rsid w:val="00987708"/>
    <w:rsid w:val="00987DDD"/>
    <w:rsid w:val="00987DF0"/>
    <w:rsid w:val="00987DF4"/>
    <w:rsid w:val="00987E2E"/>
    <w:rsid w:val="00987F14"/>
    <w:rsid w:val="0099008B"/>
    <w:rsid w:val="0099015F"/>
    <w:rsid w:val="00990233"/>
    <w:rsid w:val="00990672"/>
    <w:rsid w:val="00990D27"/>
    <w:rsid w:val="00990D3F"/>
    <w:rsid w:val="009911F3"/>
    <w:rsid w:val="00991202"/>
    <w:rsid w:val="009913BA"/>
    <w:rsid w:val="0099173B"/>
    <w:rsid w:val="0099177B"/>
    <w:rsid w:val="009917E0"/>
    <w:rsid w:val="00991A66"/>
    <w:rsid w:val="00991D62"/>
    <w:rsid w:val="0099245E"/>
    <w:rsid w:val="00992489"/>
    <w:rsid w:val="0099256D"/>
    <w:rsid w:val="00992C1C"/>
    <w:rsid w:val="00992D29"/>
    <w:rsid w:val="00992DEC"/>
    <w:rsid w:val="009931A3"/>
    <w:rsid w:val="009932F3"/>
    <w:rsid w:val="00993497"/>
    <w:rsid w:val="0099367E"/>
    <w:rsid w:val="00993B7A"/>
    <w:rsid w:val="00993E9A"/>
    <w:rsid w:val="00993FE4"/>
    <w:rsid w:val="0099425E"/>
    <w:rsid w:val="0099482F"/>
    <w:rsid w:val="0099491B"/>
    <w:rsid w:val="009949D7"/>
    <w:rsid w:val="00994CDC"/>
    <w:rsid w:val="00994D6C"/>
    <w:rsid w:val="00994F5D"/>
    <w:rsid w:val="00995518"/>
    <w:rsid w:val="009969CD"/>
    <w:rsid w:val="00996CBA"/>
    <w:rsid w:val="00996CFC"/>
    <w:rsid w:val="00996D90"/>
    <w:rsid w:val="009974C3"/>
    <w:rsid w:val="009974F3"/>
    <w:rsid w:val="0099750A"/>
    <w:rsid w:val="0099756B"/>
    <w:rsid w:val="009975DB"/>
    <w:rsid w:val="0099770A"/>
    <w:rsid w:val="00997710"/>
    <w:rsid w:val="00997769"/>
    <w:rsid w:val="00997A2E"/>
    <w:rsid w:val="00997CB7"/>
    <w:rsid w:val="009A048E"/>
    <w:rsid w:val="009A09A1"/>
    <w:rsid w:val="009A0EA2"/>
    <w:rsid w:val="009A119F"/>
    <w:rsid w:val="009A14D7"/>
    <w:rsid w:val="009A1585"/>
    <w:rsid w:val="009A15E6"/>
    <w:rsid w:val="009A1609"/>
    <w:rsid w:val="009A1A7E"/>
    <w:rsid w:val="009A1AF0"/>
    <w:rsid w:val="009A1B79"/>
    <w:rsid w:val="009A1C6F"/>
    <w:rsid w:val="009A20D7"/>
    <w:rsid w:val="009A21E7"/>
    <w:rsid w:val="009A2226"/>
    <w:rsid w:val="009A238A"/>
    <w:rsid w:val="009A2A71"/>
    <w:rsid w:val="009A3241"/>
    <w:rsid w:val="009A33D8"/>
    <w:rsid w:val="009A3480"/>
    <w:rsid w:val="009A3C6F"/>
    <w:rsid w:val="009A3DB8"/>
    <w:rsid w:val="009A40E8"/>
    <w:rsid w:val="009A4356"/>
    <w:rsid w:val="009A438C"/>
    <w:rsid w:val="009A43B3"/>
    <w:rsid w:val="009A464D"/>
    <w:rsid w:val="009A4781"/>
    <w:rsid w:val="009A47D3"/>
    <w:rsid w:val="009A496F"/>
    <w:rsid w:val="009A4AE8"/>
    <w:rsid w:val="009A4B78"/>
    <w:rsid w:val="009A4D5B"/>
    <w:rsid w:val="009A4D73"/>
    <w:rsid w:val="009A4E41"/>
    <w:rsid w:val="009A4ED7"/>
    <w:rsid w:val="009A4EFE"/>
    <w:rsid w:val="009A4F72"/>
    <w:rsid w:val="009A5297"/>
    <w:rsid w:val="009A5326"/>
    <w:rsid w:val="009A537A"/>
    <w:rsid w:val="009A562D"/>
    <w:rsid w:val="009A5D40"/>
    <w:rsid w:val="009A5E06"/>
    <w:rsid w:val="009A5E10"/>
    <w:rsid w:val="009A5E7C"/>
    <w:rsid w:val="009A5E9E"/>
    <w:rsid w:val="009A6393"/>
    <w:rsid w:val="009A640F"/>
    <w:rsid w:val="009A64A8"/>
    <w:rsid w:val="009A64D2"/>
    <w:rsid w:val="009A6665"/>
    <w:rsid w:val="009A6785"/>
    <w:rsid w:val="009A6A19"/>
    <w:rsid w:val="009A6A8E"/>
    <w:rsid w:val="009A6EE2"/>
    <w:rsid w:val="009A743F"/>
    <w:rsid w:val="009A74F7"/>
    <w:rsid w:val="009A76B0"/>
    <w:rsid w:val="009A76B2"/>
    <w:rsid w:val="009A76FD"/>
    <w:rsid w:val="009A7CF2"/>
    <w:rsid w:val="009A7FD7"/>
    <w:rsid w:val="009B00F2"/>
    <w:rsid w:val="009B028E"/>
    <w:rsid w:val="009B02A4"/>
    <w:rsid w:val="009B07A0"/>
    <w:rsid w:val="009B0FB2"/>
    <w:rsid w:val="009B107E"/>
    <w:rsid w:val="009B1113"/>
    <w:rsid w:val="009B126B"/>
    <w:rsid w:val="009B1285"/>
    <w:rsid w:val="009B1358"/>
    <w:rsid w:val="009B15E7"/>
    <w:rsid w:val="009B1B29"/>
    <w:rsid w:val="009B1C34"/>
    <w:rsid w:val="009B1D22"/>
    <w:rsid w:val="009B1E86"/>
    <w:rsid w:val="009B2031"/>
    <w:rsid w:val="009B20FD"/>
    <w:rsid w:val="009B27C4"/>
    <w:rsid w:val="009B2C98"/>
    <w:rsid w:val="009B2D7F"/>
    <w:rsid w:val="009B2D92"/>
    <w:rsid w:val="009B2E9F"/>
    <w:rsid w:val="009B2F4E"/>
    <w:rsid w:val="009B2FBF"/>
    <w:rsid w:val="009B31E5"/>
    <w:rsid w:val="009B3250"/>
    <w:rsid w:val="009B327E"/>
    <w:rsid w:val="009B3344"/>
    <w:rsid w:val="009B370D"/>
    <w:rsid w:val="009B391C"/>
    <w:rsid w:val="009B3EDC"/>
    <w:rsid w:val="009B3FE7"/>
    <w:rsid w:val="009B401A"/>
    <w:rsid w:val="009B40D1"/>
    <w:rsid w:val="009B42D2"/>
    <w:rsid w:val="009B42D4"/>
    <w:rsid w:val="009B439E"/>
    <w:rsid w:val="009B48DF"/>
    <w:rsid w:val="009B4A06"/>
    <w:rsid w:val="009B4FA1"/>
    <w:rsid w:val="009B51DB"/>
    <w:rsid w:val="009B5347"/>
    <w:rsid w:val="009B535F"/>
    <w:rsid w:val="009B53CF"/>
    <w:rsid w:val="009B53E8"/>
    <w:rsid w:val="009B5AFC"/>
    <w:rsid w:val="009B5E9C"/>
    <w:rsid w:val="009B609E"/>
    <w:rsid w:val="009B676F"/>
    <w:rsid w:val="009B6A9E"/>
    <w:rsid w:val="009B6CF1"/>
    <w:rsid w:val="009B70C8"/>
    <w:rsid w:val="009B722F"/>
    <w:rsid w:val="009B737C"/>
    <w:rsid w:val="009B742E"/>
    <w:rsid w:val="009B75A4"/>
    <w:rsid w:val="009B75CD"/>
    <w:rsid w:val="009B7BCF"/>
    <w:rsid w:val="009B7E29"/>
    <w:rsid w:val="009C0138"/>
    <w:rsid w:val="009C098B"/>
    <w:rsid w:val="009C0AC6"/>
    <w:rsid w:val="009C0DAD"/>
    <w:rsid w:val="009C0E66"/>
    <w:rsid w:val="009C0EC0"/>
    <w:rsid w:val="009C111D"/>
    <w:rsid w:val="009C11B2"/>
    <w:rsid w:val="009C11DB"/>
    <w:rsid w:val="009C11F2"/>
    <w:rsid w:val="009C125F"/>
    <w:rsid w:val="009C1456"/>
    <w:rsid w:val="009C164F"/>
    <w:rsid w:val="009C1871"/>
    <w:rsid w:val="009C1BC8"/>
    <w:rsid w:val="009C1C30"/>
    <w:rsid w:val="009C1C72"/>
    <w:rsid w:val="009C1CA3"/>
    <w:rsid w:val="009C1F0A"/>
    <w:rsid w:val="009C2219"/>
    <w:rsid w:val="009C22DD"/>
    <w:rsid w:val="009C2551"/>
    <w:rsid w:val="009C29D5"/>
    <w:rsid w:val="009C29FC"/>
    <w:rsid w:val="009C2D3F"/>
    <w:rsid w:val="009C30A0"/>
    <w:rsid w:val="009C30D0"/>
    <w:rsid w:val="009C32EF"/>
    <w:rsid w:val="009C335D"/>
    <w:rsid w:val="009C359E"/>
    <w:rsid w:val="009C3634"/>
    <w:rsid w:val="009C37FE"/>
    <w:rsid w:val="009C3827"/>
    <w:rsid w:val="009C3A70"/>
    <w:rsid w:val="009C3B3C"/>
    <w:rsid w:val="009C3D4E"/>
    <w:rsid w:val="009C3E68"/>
    <w:rsid w:val="009C4059"/>
    <w:rsid w:val="009C4082"/>
    <w:rsid w:val="009C4774"/>
    <w:rsid w:val="009C478B"/>
    <w:rsid w:val="009C47BF"/>
    <w:rsid w:val="009C4806"/>
    <w:rsid w:val="009C4A38"/>
    <w:rsid w:val="009C4AD8"/>
    <w:rsid w:val="009C4D3D"/>
    <w:rsid w:val="009C51D4"/>
    <w:rsid w:val="009C53FF"/>
    <w:rsid w:val="009C55E2"/>
    <w:rsid w:val="009C5692"/>
    <w:rsid w:val="009C570A"/>
    <w:rsid w:val="009C5A4E"/>
    <w:rsid w:val="009C5EE5"/>
    <w:rsid w:val="009C61E3"/>
    <w:rsid w:val="009C638C"/>
    <w:rsid w:val="009C63C8"/>
    <w:rsid w:val="009C6760"/>
    <w:rsid w:val="009C6A82"/>
    <w:rsid w:val="009C6B56"/>
    <w:rsid w:val="009C6C93"/>
    <w:rsid w:val="009C7025"/>
    <w:rsid w:val="009C722C"/>
    <w:rsid w:val="009C7636"/>
    <w:rsid w:val="009C7656"/>
    <w:rsid w:val="009C76F9"/>
    <w:rsid w:val="009C7785"/>
    <w:rsid w:val="009C7C1B"/>
    <w:rsid w:val="009C7DB8"/>
    <w:rsid w:val="009C7DEE"/>
    <w:rsid w:val="009C7FF0"/>
    <w:rsid w:val="009D010D"/>
    <w:rsid w:val="009D0244"/>
    <w:rsid w:val="009D03AF"/>
    <w:rsid w:val="009D050F"/>
    <w:rsid w:val="009D0573"/>
    <w:rsid w:val="009D0612"/>
    <w:rsid w:val="009D08B2"/>
    <w:rsid w:val="009D0A23"/>
    <w:rsid w:val="009D0CCE"/>
    <w:rsid w:val="009D0D18"/>
    <w:rsid w:val="009D0E1A"/>
    <w:rsid w:val="009D0F71"/>
    <w:rsid w:val="009D0FB2"/>
    <w:rsid w:val="009D111C"/>
    <w:rsid w:val="009D13E4"/>
    <w:rsid w:val="009D141A"/>
    <w:rsid w:val="009D16C7"/>
    <w:rsid w:val="009D17A0"/>
    <w:rsid w:val="009D1A08"/>
    <w:rsid w:val="009D1E51"/>
    <w:rsid w:val="009D1F7A"/>
    <w:rsid w:val="009D2165"/>
    <w:rsid w:val="009D2873"/>
    <w:rsid w:val="009D28B1"/>
    <w:rsid w:val="009D2942"/>
    <w:rsid w:val="009D31BC"/>
    <w:rsid w:val="009D377C"/>
    <w:rsid w:val="009D37C3"/>
    <w:rsid w:val="009D3816"/>
    <w:rsid w:val="009D3827"/>
    <w:rsid w:val="009D3A1A"/>
    <w:rsid w:val="009D3C06"/>
    <w:rsid w:val="009D40BE"/>
    <w:rsid w:val="009D426A"/>
    <w:rsid w:val="009D4602"/>
    <w:rsid w:val="009D4B7B"/>
    <w:rsid w:val="009D4D98"/>
    <w:rsid w:val="009D504E"/>
    <w:rsid w:val="009D5181"/>
    <w:rsid w:val="009D5222"/>
    <w:rsid w:val="009D5294"/>
    <w:rsid w:val="009D54E0"/>
    <w:rsid w:val="009D56B6"/>
    <w:rsid w:val="009D5BDB"/>
    <w:rsid w:val="009D5CB1"/>
    <w:rsid w:val="009D5CCA"/>
    <w:rsid w:val="009D5E99"/>
    <w:rsid w:val="009D6453"/>
    <w:rsid w:val="009D6816"/>
    <w:rsid w:val="009D6942"/>
    <w:rsid w:val="009D69C7"/>
    <w:rsid w:val="009D6B03"/>
    <w:rsid w:val="009D6B2A"/>
    <w:rsid w:val="009D6B3D"/>
    <w:rsid w:val="009D6ED8"/>
    <w:rsid w:val="009D7422"/>
    <w:rsid w:val="009D77A4"/>
    <w:rsid w:val="009D78E7"/>
    <w:rsid w:val="009D7AF8"/>
    <w:rsid w:val="009D7E0E"/>
    <w:rsid w:val="009D7E65"/>
    <w:rsid w:val="009E03CB"/>
    <w:rsid w:val="009E0505"/>
    <w:rsid w:val="009E0742"/>
    <w:rsid w:val="009E092E"/>
    <w:rsid w:val="009E0C4D"/>
    <w:rsid w:val="009E11C3"/>
    <w:rsid w:val="009E125B"/>
    <w:rsid w:val="009E1291"/>
    <w:rsid w:val="009E1297"/>
    <w:rsid w:val="009E12BC"/>
    <w:rsid w:val="009E1507"/>
    <w:rsid w:val="009E182B"/>
    <w:rsid w:val="009E1EB5"/>
    <w:rsid w:val="009E1F53"/>
    <w:rsid w:val="009E20FD"/>
    <w:rsid w:val="009E2163"/>
    <w:rsid w:val="009E224D"/>
    <w:rsid w:val="009E2415"/>
    <w:rsid w:val="009E2521"/>
    <w:rsid w:val="009E26D5"/>
    <w:rsid w:val="009E2742"/>
    <w:rsid w:val="009E276C"/>
    <w:rsid w:val="009E27C1"/>
    <w:rsid w:val="009E289D"/>
    <w:rsid w:val="009E2A07"/>
    <w:rsid w:val="009E2A47"/>
    <w:rsid w:val="009E2C6D"/>
    <w:rsid w:val="009E2EFF"/>
    <w:rsid w:val="009E2FFF"/>
    <w:rsid w:val="009E313F"/>
    <w:rsid w:val="009E3398"/>
    <w:rsid w:val="009E3577"/>
    <w:rsid w:val="009E39CB"/>
    <w:rsid w:val="009E3A2F"/>
    <w:rsid w:val="009E3B0D"/>
    <w:rsid w:val="009E3C18"/>
    <w:rsid w:val="009E3D2B"/>
    <w:rsid w:val="009E3E84"/>
    <w:rsid w:val="009E4097"/>
    <w:rsid w:val="009E4664"/>
    <w:rsid w:val="009E47C6"/>
    <w:rsid w:val="009E4D8E"/>
    <w:rsid w:val="009E4E90"/>
    <w:rsid w:val="009E4EB7"/>
    <w:rsid w:val="009E4F2C"/>
    <w:rsid w:val="009E5105"/>
    <w:rsid w:val="009E518E"/>
    <w:rsid w:val="009E54FB"/>
    <w:rsid w:val="009E550B"/>
    <w:rsid w:val="009E55CF"/>
    <w:rsid w:val="009E566B"/>
    <w:rsid w:val="009E56C7"/>
    <w:rsid w:val="009E57C1"/>
    <w:rsid w:val="009E624A"/>
    <w:rsid w:val="009E6346"/>
    <w:rsid w:val="009E6508"/>
    <w:rsid w:val="009E6522"/>
    <w:rsid w:val="009E6743"/>
    <w:rsid w:val="009E6986"/>
    <w:rsid w:val="009E6AC2"/>
    <w:rsid w:val="009E6B32"/>
    <w:rsid w:val="009E70F3"/>
    <w:rsid w:val="009E7140"/>
    <w:rsid w:val="009E7191"/>
    <w:rsid w:val="009E754A"/>
    <w:rsid w:val="009E7A91"/>
    <w:rsid w:val="009E7B46"/>
    <w:rsid w:val="009E7E98"/>
    <w:rsid w:val="009E7F64"/>
    <w:rsid w:val="009F00EE"/>
    <w:rsid w:val="009F00EF"/>
    <w:rsid w:val="009F0239"/>
    <w:rsid w:val="009F0374"/>
    <w:rsid w:val="009F0406"/>
    <w:rsid w:val="009F053B"/>
    <w:rsid w:val="009F0827"/>
    <w:rsid w:val="009F0871"/>
    <w:rsid w:val="009F08BB"/>
    <w:rsid w:val="009F0BED"/>
    <w:rsid w:val="009F0C50"/>
    <w:rsid w:val="009F0E25"/>
    <w:rsid w:val="009F135A"/>
    <w:rsid w:val="009F1514"/>
    <w:rsid w:val="009F15CF"/>
    <w:rsid w:val="009F1673"/>
    <w:rsid w:val="009F167D"/>
    <w:rsid w:val="009F16D7"/>
    <w:rsid w:val="009F16F4"/>
    <w:rsid w:val="009F1987"/>
    <w:rsid w:val="009F1A66"/>
    <w:rsid w:val="009F1A9A"/>
    <w:rsid w:val="009F1AC3"/>
    <w:rsid w:val="009F1BCA"/>
    <w:rsid w:val="009F1C0A"/>
    <w:rsid w:val="009F1EA5"/>
    <w:rsid w:val="009F22DB"/>
    <w:rsid w:val="009F25FA"/>
    <w:rsid w:val="009F29A8"/>
    <w:rsid w:val="009F29C8"/>
    <w:rsid w:val="009F2B75"/>
    <w:rsid w:val="009F2EF7"/>
    <w:rsid w:val="009F2EFE"/>
    <w:rsid w:val="009F31AF"/>
    <w:rsid w:val="009F3255"/>
    <w:rsid w:val="009F34AA"/>
    <w:rsid w:val="009F3761"/>
    <w:rsid w:val="009F3DCE"/>
    <w:rsid w:val="009F44FF"/>
    <w:rsid w:val="009F4563"/>
    <w:rsid w:val="009F46E8"/>
    <w:rsid w:val="009F472D"/>
    <w:rsid w:val="009F49E4"/>
    <w:rsid w:val="009F4C16"/>
    <w:rsid w:val="009F4CF0"/>
    <w:rsid w:val="009F4E88"/>
    <w:rsid w:val="009F4F54"/>
    <w:rsid w:val="009F50D1"/>
    <w:rsid w:val="009F52BB"/>
    <w:rsid w:val="009F5472"/>
    <w:rsid w:val="009F568A"/>
    <w:rsid w:val="009F573B"/>
    <w:rsid w:val="009F5805"/>
    <w:rsid w:val="009F5918"/>
    <w:rsid w:val="009F596D"/>
    <w:rsid w:val="009F5D37"/>
    <w:rsid w:val="009F672E"/>
    <w:rsid w:val="009F689C"/>
    <w:rsid w:val="009F6A91"/>
    <w:rsid w:val="009F6B35"/>
    <w:rsid w:val="009F6D8F"/>
    <w:rsid w:val="009F6E3C"/>
    <w:rsid w:val="009F71A6"/>
    <w:rsid w:val="009F71AA"/>
    <w:rsid w:val="009F7326"/>
    <w:rsid w:val="009F754A"/>
    <w:rsid w:val="009F75B2"/>
    <w:rsid w:val="009F791F"/>
    <w:rsid w:val="009F7EC0"/>
    <w:rsid w:val="009F7F86"/>
    <w:rsid w:val="00A00212"/>
    <w:rsid w:val="00A002A7"/>
    <w:rsid w:val="00A0034D"/>
    <w:rsid w:val="00A005AF"/>
    <w:rsid w:val="00A0071A"/>
    <w:rsid w:val="00A0072B"/>
    <w:rsid w:val="00A007D7"/>
    <w:rsid w:val="00A00BFB"/>
    <w:rsid w:val="00A00DCF"/>
    <w:rsid w:val="00A00ED9"/>
    <w:rsid w:val="00A0126C"/>
    <w:rsid w:val="00A012DA"/>
    <w:rsid w:val="00A01688"/>
    <w:rsid w:val="00A0187E"/>
    <w:rsid w:val="00A018F9"/>
    <w:rsid w:val="00A01940"/>
    <w:rsid w:val="00A01E70"/>
    <w:rsid w:val="00A0217A"/>
    <w:rsid w:val="00A023AF"/>
    <w:rsid w:val="00A02450"/>
    <w:rsid w:val="00A026F0"/>
    <w:rsid w:val="00A02A7D"/>
    <w:rsid w:val="00A02B64"/>
    <w:rsid w:val="00A02BED"/>
    <w:rsid w:val="00A02EDB"/>
    <w:rsid w:val="00A02F2D"/>
    <w:rsid w:val="00A02F61"/>
    <w:rsid w:val="00A03230"/>
    <w:rsid w:val="00A037D6"/>
    <w:rsid w:val="00A03CD7"/>
    <w:rsid w:val="00A03E0E"/>
    <w:rsid w:val="00A03F01"/>
    <w:rsid w:val="00A04088"/>
    <w:rsid w:val="00A040D1"/>
    <w:rsid w:val="00A04325"/>
    <w:rsid w:val="00A04424"/>
    <w:rsid w:val="00A044E6"/>
    <w:rsid w:val="00A04A0A"/>
    <w:rsid w:val="00A04BD4"/>
    <w:rsid w:val="00A04D14"/>
    <w:rsid w:val="00A04E02"/>
    <w:rsid w:val="00A04E54"/>
    <w:rsid w:val="00A050A8"/>
    <w:rsid w:val="00A0521D"/>
    <w:rsid w:val="00A052C0"/>
    <w:rsid w:val="00A056A3"/>
    <w:rsid w:val="00A056AA"/>
    <w:rsid w:val="00A057DF"/>
    <w:rsid w:val="00A0583F"/>
    <w:rsid w:val="00A05B51"/>
    <w:rsid w:val="00A05C29"/>
    <w:rsid w:val="00A05DBB"/>
    <w:rsid w:val="00A05E4F"/>
    <w:rsid w:val="00A06147"/>
    <w:rsid w:val="00A06286"/>
    <w:rsid w:val="00A06318"/>
    <w:rsid w:val="00A063BC"/>
    <w:rsid w:val="00A068E1"/>
    <w:rsid w:val="00A06A80"/>
    <w:rsid w:val="00A06CC5"/>
    <w:rsid w:val="00A06D8A"/>
    <w:rsid w:val="00A06FB0"/>
    <w:rsid w:val="00A0711F"/>
    <w:rsid w:val="00A074E2"/>
    <w:rsid w:val="00A0762A"/>
    <w:rsid w:val="00A07B0B"/>
    <w:rsid w:val="00A07DD7"/>
    <w:rsid w:val="00A1000E"/>
    <w:rsid w:val="00A10080"/>
    <w:rsid w:val="00A102A0"/>
    <w:rsid w:val="00A104AE"/>
    <w:rsid w:val="00A108C2"/>
    <w:rsid w:val="00A10BB1"/>
    <w:rsid w:val="00A10CC9"/>
    <w:rsid w:val="00A10E23"/>
    <w:rsid w:val="00A10E90"/>
    <w:rsid w:val="00A11004"/>
    <w:rsid w:val="00A110DD"/>
    <w:rsid w:val="00A11201"/>
    <w:rsid w:val="00A114FA"/>
    <w:rsid w:val="00A1169C"/>
    <w:rsid w:val="00A1174E"/>
    <w:rsid w:val="00A11AF3"/>
    <w:rsid w:val="00A11DE0"/>
    <w:rsid w:val="00A11E38"/>
    <w:rsid w:val="00A123FD"/>
    <w:rsid w:val="00A1246A"/>
    <w:rsid w:val="00A124DA"/>
    <w:rsid w:val="00A1256B"/>
    <w:rsid w:val="00A12798"/>
    <w:rsid w:val="00A12A7C"/>
    <w:rsid w:val="00A12AED"/>
    <w:rsid w:val="00A12C09"/>
    <w:rsid w:val="00A12E40"/>
    <w:rsid w:val="00A13084"/>
    <w:rsid w:val="00A1327F"/>
    <w:rsid w:val="00A135A9"/>
    <w:rsid w:val="00A13817"/>
    <w:rsid w:val="00A13826"/>
    <w:rsid w:val="00A138D3"/>
    <w:rsid w:val="00A13AA3"/>
    <w:rsid w:val="00A13E0F"/>
    <w:rsid w:val="00A13F2A"/>
    <w:rsid w:val="00A144B7"/>
    <w:rsid w:val="00A1499D"/>
    <w:rsid w:val="00A149B4"/>
    <w:rsid w:val="00A14CE6"/>
    <w:rsid w:val="00A14E9E"/>
    <w:rsid w:val="00A14F63"/>
    <w:rsid w:val="00A15600"/>
    <w:rsid w:val="00A15698"/>
    <w:rsid w:val="00A157E1"/>
    <w:rsid w:val="00A158C9"/>
    <w:rsid w:val="00A15A4E"/>
    <w:rsid w:val="00A15AE3"/>
    <w:rsid w:val="00A15C8D"/>
    <w:rsid w:val="00A15E5A"/>
    <w:rsid w:val="00A15F4F"/>
    <w:rsid w:val="00A160AB"/>
    <w:rsid w:val="00A160F0"/>
    <w:rsid w:val="00A162E4"/>
    <w:rsid w:val="00A163D6"/>
    <w:rsid w:val="00A16745"/>
    <w:rsid w:val="00A16747"/>
    <w:rsid w:val="00A16AB4"/>
    <w:rsid w:val="00A16E82"/>
    <w:rsid w:val="00A1719F"/>
    <w:rsid w:val="00A1763D"/>
    <w:rsid w:val="00A17A0D"/>
    <w:rsid w:val="00A17A6F"/>
    <w:rsid w:val="00A17C1D"/>
    <w:rsid w:val="00A17F53"/>
    <w:rsid w:val="00A20013"/>
    <w:rsid w:val="00A203F3"/>
    <w:rsid w:val="00A20582"/>
    <w:rsid w:val="00A2097E"/>
    <w:rsid w:val="00A20BA3"/>
    <w:rsid w:val="00A20C65"/>
    <w:rsid w:val="00A213EE"/>
    <w:rsid w:val="00A214B2"/>
    <w:rsid w:val="00A21767"/>
    <w:rsid w:val="00A21B4F"/>
    <w:rsid w:val="00A21D84"/>
    <w:rsid w:val="00A21FD5"/>
    <w:rsid w:val="00A22046"/>
    <w:rsid w:val="00A22263"/>
    <w:rsid w:val="00A22434"/>
    <w:rsid w:val="00A22569"/>
    <w:rsid w:val="00A225B1"/>
    <w:rsid w:val="00A22614"/>
    <w:rsid w:val="00A22751"/>
    <w:rsid w:val="00A22940"/>
    <w:rsid w:val="00A22AF3"/>
    <w:rsid w:val="00A23102"/>
    <w:rsid w:val="00A23284"/>
    <w:rsid w:val="00A2343F"/>
    <w:rsid w:val="00A234FA"/>
    <w:rsid w:val="00A23505"/>
    <w:rsid w:val="00A23598"/>
    <w:rsid w:val="00A235B0"/>
    <w:rsid w:val="00A23D17"/>
    <w:rsid w:val="00A23DBA"/>
    <w:rsid w:val="00A2428B"/>
    <w:rsid w:val="00A244F1"/>
    <w:rsid w:val="00A2476B"/>
    <w:rsid w:val="00A247E5"/>
    <w:rsid w:val="00A24D81"/>
    <w:rsid w:val="00A24EA5"/>
    <w:rsid w:val="00A25173"/>
    <w:rsid w:val="00A252F0"/>
    <w:rsid w:val="00A252FC"/>
    <w:rsid w:val="00A256D6"/>
    <w:rsid w:val="00A25851"/>
    <w:rsid w:val="00A259F2"/>
    <w:rsid w:val="00A25AD8"/>
    <w:rsid w:val="00A25B86"/>
    <w:rsid w:val="00A25E0C"/>
    <w:rsid w:val="00A25FDB"/>
    <w:rsid w:val="00A26463"/>
    <w:rsid w:val="00A26608"/>
    <w:rsid w:val="00A2660E"/>
    <w:rsid w:val="00A26916"/>
    <w:rsid w:val="00A26A9D"/>
    <w:rsid w:val="00A26B09"/>
    <w:rsid w:val="00A26B47"/>
    <w:rsid w:val="00A26C4B"/>
    <w:rsid w:val="00A26DD9"/>
    <w:rsid w:val="00A26FF1"/>
    <w:rsid w:val="00A27062"/>
    <w:rsid w:val="00A277CE"/>
    <w:rsid w:val="00A27806"/>
    <w:rsid w:val="00A30130"/>
    <w:rsid w:val="00A30145"/>
    <w:rsid w:val="00A305E8"/>
    <w:rsid w:val="00A3068C"/>
    <w:rsid w:val="00A306C2"/>
    <w:rsid w:val="00A306EB"/>
    <w:rsid w:val="00A30D46"/>
    <w:rsid w:val="00A30EFF"/>
    <w:rsid w:val="00A3127F"/>
    <w:rsid w:val="00A314EB"/>
    <w:rsid w:val="00A31509"/>
    <w:rsid w:val="00A316E6"/>
    <w:rsid w:val="00A31922"/>
    <w:rsid w:val="00A3199F"/>
    <w:rsid w:val="00A31BCC"/>
    <w:rsid w:val="00A31C70"/>
    <w:rsid w:val="00A32382"/>
    <w:rsid w:val="00A32407"/>
    <w:rsid w:val="00A3258B"/>
    <w:rsid w:val="00A325BB"/>
    <w:rsid w:val="00A3297A"/>
    <w:rsid w:val="00A32A58"/>
    <w:rsid w:val="00A32D1C"/>
    <w:rsid w:val="00A32EEC"/>
    <w:rsid w:val="00A3318D"/>
    <w:rsid w:val="00A336C5"/>
    <w:rsid w:val="00A338D6"/>
    <w:rsid w:val="00A33BAB"/>
    <w:rsid w:val="00A33E98"/>
    <w:rsid w:val="00A34011"/>
    <w:rsid w:val="00A3439C"/>
    <w:rsid w:val="00A344A6"/>
    <w:rsid w:val="00A34CFE"/>
    <w:rsid w:val="00A34D71"/>
    <w:rsid w:val="00A34FAB"/>
    <w:rsid w:val="00A3510A"/>
    <w:rsid w:val="00A3515F"/>
    <w:rsid w:val="00A3537D"/>
    <w:rsid w:val="00A35498"/>
    <w:rsid w:val="00A3563C"/>
    <w:rsid w:val="00A35751"/>
    <w:rsid w:val="00A35762"/>
    <w:rsid w:val="00A3577F"/>
    <w:rsid w:val="00A35B52"/>
    <w:rsid w:val="00A35BBC"/>
    <w:rsid w:val="00A35DAB"/>
    <w:rsid w:val="00A35F00"/>
    <w:rsid w:val="00A35FAE"/>
    <w:rsid w:val="00A365F5"/>
    <w:rsid w:val="00A36679"/>
    <w:rsid w:val="00A36724"/>
    <w:rsid w:val="00A367AF"/>
    <w:rsid w:val="00A36AA0"/>
    <w:rsid w:val="00A36C13"/>
    <w:rsid w:val="00A37412"/>
    <w:rsid w:val="00A377C2"/>
    <w:rsid w:val="00A37A31"/>
    <w:rsid w:val="00A37C04"/>
    <w:rsid w:val="00A37D63"/>
    <w:rsid w:val="00A37F0E"/>
    <w:rsid w:val="00A4005A"/>
    <w:rsid w:val="00A40092"/>
    <w:rsid w:val="00A402EC"/>
    <w:rsid w:val="00A40587"/>
    <w:rsid w:val="00A4061D"/>
    <w:rsid w:val="00A40B1F"/>
    <w:rsid w:val="00A40B4D"/>
    <w:rsid w:val="00A40B60"/>
    <w:rsid w:val="00A40CD7"/>
    <w:rsid w:val="00A411E2"/>
    <w:rsid w:val="00A41264"/>
    <w:rsid w:val="00A41302"/>
    <w:rsid w:val="00A41373"/>
    <w:rsid w:val="00A41552"/>
    <w:rsid w:val="00A415DF"/>
    <w:rsid w:val="00A415EF"/>
    <w:rsid w:val="00A41638"/>
    <w:rsid w:val="00A41961"/>
    <w:rsid w:val="00A41B15"/>
    <w:rsid w:val="00A421C9"/>
    <w:rsid w:val="00A4224E"/>
    <w:rsid w:val="00A4229F"/>
    <w:rsid w:val="00A4263C"/>
    <w:rsid w:val="00A4277E"/>
    <w:rsid w:val="00A427D0"/>
    <w:rsid w:val="00A428A9"/>
    <w:rsid w:val="00A42A3A"/>
    <w:rsid w:val="00A42ACA"/>
    <w:rsid w:val="00A435DB"/>
    <w:rsid w:val="00A436C0"/>
    <w:rsid w:val="00A43880"/>
    <w:rsid w:val="00A43AAB"/>
    <w:rsid w:val="00A43AFE"/>
    <w:rsid w:val="00A43B3E"/>
    <w:rsid w:val="00A43C50"/>
    <w:rsid w:val="00A43F38"/>
    <w:rsid w:val="00A440CD"/>
    <w:rsid w:val="00A4449E"/>
    <w:rsid w:val="00A449C8"/>
    <w:rsid w:val="00A44A37"/>
    <w:rsid w:val="00A44AAD"/>
    <w:rsid w:val="00A44CC6"/>
    <w:rsid w:val="00A44E8A"/>
    <w:rsid w:val="00A44EE6"/>
    <w:rsid w:val="00A45280"/>
    <w:rsid w:val="00A4562B"/>
    <w:rsid w:val="00A45647"/>
    <w:rsid w:val="00A4572F"/>
    <w:rsid w:val="00A458E1"/>
    <w:rsid w:val="00A45BF7"/>
    <w:rsid w:val="00A45D3B"/>
    <w:rsid w:val="00A45DBB"/>
    <w:rsid w:val="00A45F01"/>
    <w:rsid w:val="00A45FEA"/>
    <w:rsid w:val="00A46317"/>
    <w:rsid w:val="00A46323"/>
    <w:rsid w:val="00A463B5"/>
    <w:rsid w:val="00A463BA"/>
    <w:rsid w:val="00A46415"/>
    <w:rsid w:val="00A464D3"/>
    <w:rsid w:val="00A464F0"/>
    <w:rsid w:val="00A46675"/>
    <w:rsid w:val="00A47177"/>
    <w:rsid w:val="00A471A3"/>
    <w:rsid w:val="00A47597"/>
    <w:rsid w:val="00A47BE3"/>
    <w:rsid w:val="00A47CB5"/>
    <w:rsid w:val="00A47E08"/>
    <w:rsid w:val="00A47E44"/>
    <w:rsid w:val="00A47F91"/>
    <w:rsid w:val="00A50385"/>
    <w:rsid w:val="00A507D7"/>
    <w:rsid w:val="00A508D0"/>
    <w:rsid w:val="00A50A5C"/>
    <w:rsid w:val="00A50BDE"/>
    <w:rsid w:val="00A50BE2"/>
    <w:rsid w:val="00A50CC6"/>
    <w:rsid w:val="00A50CE0"/>
    <w:rsid w:val="00A50E40"/>
    <w:rsid w:val="00A510C2"/>
    <w:rsid w:val="00A51135"/>
    <w:rsid w:val="00A51462"/>
    <w:rsid w:val="00A515CE"/>
    <w:rsid w:val="00A51946"/>
    <w:rsid w:val="00A51AA4"/>
    <w:rsid w:val="00A51C1F"/>
    <w:rsid w:val="00A51FF7"/>
    <w:rsid w:val="00A52035"/>
    <w:rsid w:val="00A52079"/>
    <w:rsid w:val="00A52143"/>
    <w:rsid w:val="00A521A4"/>
    <w:rsid w:val="00A521E9"/>
    <w:rsid w:val="00A5298E"/>
    <w:rsid w:val="00A52B3E"/>
    <w:rsid w:val="00A52D78"/>
    <w:rsid w:val="00A52DD5"/>
    <w:rsid w:val="00A53040"/>
    <w:rsid w:val="00A5306B"/>
    <w:rsid w:val="00A530F4"/>
    <w:rsid w:val="00A5313B"/>
    <w:rsid w:val="00A5320E"/>
    <w:rsid w:val="00A53415"/>
    <w:rsid w:val="00A5397B"/>
    <w:rsid w:val="00A53D6A"/>
    <w:rsid w:val="00A53F7B"/>
    <w:rsid w:val="00A54090"/>
    <w:rsid w:val="00A54282"/>
    <w:rsid w:val="00A54481"/>
    <w:rsid w:val="00A547E4"/>
    <w:rsid w:val="00A549A8"/>
    <w:rsid w:val="00A549D3"/>
    <w:rsid w:val="00A54BE2"/>
    <w:rsid w:val="00A54D26"/>
    <w:rsid w:val="00A54DF0"/>
    <w:rsid w:val="00A55366"/>
    <w:rsid w:val="00A554C8"/>
    <w:rsid w:val="00A55CB9"/>
    <w:rsid w:val="00A55CD1"/>
    <w:rsid w:val="00A55E09"/>
    <w:rsid w:val="00A5654A"/>
    <w:rsid w:val="00A56BCA"/>
    <w:rsid w:val="00A56E99"/>
    <w:rsid w:val="00A571C2"/>
    <w:rsid w:val="00A57212"/>
    <w:rsid w:val="00A575D2"/>
    <w:rsid w:val="00A5762E"/>
    <w:rsid w:val="00A57657"/>
    <w:rsid w:val="00A576C2"/>
    <w:rsid w:val="00A576CB"/>
    <w:rsid w:val="00A57880"/>
    <w:rsid w:val="00A578F8"/>
    <w:rsid w:val="00A57AEC"/>
    <w:rsid w:val="00A57D36"/>
    <w:rsid w:val="00A57E98"/>
    <w:rsid w:val="00A602C2"/>
    <w:rsid w:val="00A60849"/>
    <w:rsid w:val="00A60DDD"/>
    <w:rsid w:val="00A60E33"/>
    <w:rsid w:val="00A6105B"/>
    <w:rsid w:val="00A61117"/>
    <w:rsid w:val="00A61355"/>
    <w:rsid w:val="00A614D6"/>
    <w:rsid w:val="00A61668"/>
    <w:rsid w:val="00A61BB9"/>
    <w:rsid w:val="00A61E1F"/>
    <w:rsid w:val="00A61F11"/>
    <w:rsid w:val="00A6200C"/>
    <w:rsid w:val="00A620AA"/>
    <w:rsid w:val="00A62157"/>
    <w:rsid w:val="00A621CF"/>
    <w:rsid w:val="00A621D3"/>
    <w:rsid w:val="00A626B0"/>
    <w:rsid w:val="00A628F8"/>
    <w:rsid w:val="00A62ABD"/>
    <w:rsid w:val="00A62B7A"/>
    <w:rsid w:val="00A62D72"/>
    <w:rsid w:val="00A6306E"/>
    <w:rsid w:val="00A63140"/>
    <w:rsid w:val="00A632EA"/>
    <w:rsid w:val="00A634BE"/>
    <w:rsid w:val="00A634CD"/>
    <w:rsid w:val="00A63579"/>
    <w:rsid w:val="00A6385E"/>
    <w:rsid w:val="00A639B9"/>
    <w:rsid w:val="00A63AD7"/>
    <w:rsid w:val="00A63B1E"/>
    <w:rsid w:val="00A63BFD"/>
    <w:rsid w:val="00A64024"/>
    <w:rsid w:val="00A6422A"/>
    <w:rsid w:val="00A643E3"/>
    <w:rsid w:val="00A6444A"/>
    <w:rsid w:val="00A6491F"/>
    <w:rsid w:val="00A64C72"/>
    <w:rsid w:val="00A64CE3"/>
    <w:rsid w:val="00A64D1A"/>
    <w:rsid w:val="00A64EBE"/>
    <w:rsid w:val="00A64F00"/>
    <w:rsid w:val="00A65320"/>
    <w:rsid w:val="00A655C6"/>
    <w:rsid w:val="00A6580C"/>
    <w:rsid w:val="00A658E0"/>
    <w:rsid w:val="00A65A84"/>
    <w:rsid w:val="00A65BA5"/>
    <w:rsid w:val="00A65C52"/>
    <w:rsid w:val="00A65DD3"/>
    <w:rsid w:val="00A65FDF"/>
    <w:rsid w:val="00A66006"/>
    <w:rsid w:val="00A660F5"/>
    <w:rsid w:val="00A66288"/>
    <w:rsid w:val="00A66354"/>
    <w:rsid w:val="00A663C7"/>
    <w:rsid w:val="00A664C8"/>
    <w:rsid w:val="00A6668D"/>
    <w:rsid w:val="00A667B9"/>
    <w:rsid w:val="00A669B2"/>
    <w:rsid w:val="00A66E37"/>
    <w:rsid w:val="00A66ECF"/>
    <w:rsid w:val="00A672CE"/>
    <w:rsid w:val="00A67319"/>
    <w:rsid w:val="00A67A08"/>
    <w:rsid w:val="00A67ACD"/>
    <w:rsid w:val="00A67DDE"/>
    <w:rsid w:val="00A67E38"/>
    <w:rsid w:val="00A703E4"/>
    <w:rsid w:val="00A708F2"/>
    <w:rsid w:val="00A70A2E"/>
    <w:rsid w:val="00A70AC8"/>
    <w:rsid w:val="00A70DC6"/>
    <w:rsid w:val="00A70FFC"/>
    <w:rsid w:val="00A71058"/>
    <w:rsid w:val="00A71080"/>
    <w:rsid w:val="00A713B3"/>
    <w:rsid w:val="00A71854"/>
    <w:rsid w:val="00A71986"/>
    <w:rsid w:val="00A71AD6"/>
    <w:rsid w:val="00A71E73"/>
    <w:rsid w:val="00A71F4E"/>
    <w:rsid w:val="00A72740"/>
    <w:rsid w:val="00A7288A"/>
    <w:rsid w:val="00A728CE"/>
    <w:rsid w:val="00A72A7A"/>
    <w:rsid w:val="00A72D09"/>
    <w:rsid w:val="00A7317C"/>
    <w:rsid w:val="00A73596"/>
    <w:rsid w:val="00A73A64"/>
    <w:rsid w:val="00A73AD9"/>
    <w:rsid w:val="00A73B6C"/>
    <w:rsid w:val="00A73DD8"/>
    <w:rsid w:val="00A73E7D"/>
    <w:rsid w:val="00A742AD"/>
    <w:rsid w:val="00A743D6"/>
    <w:rsid w:val="00A74430"/>
    <w:rsid w:val="00A746D7"/>
    <w:rsid w:val="00A747C2"/>
    <w:rsid w:val="00A74914"/>
    <w:rsid w:val="00A74AB2"/>
    <w:rsid w:val="00A75124"/>
    <w:rsid w:val="00A7546F"/>
    <w:rsid w:val="00A75729"/>
    <w:rsid w:val="00A75A46"/>
    <w:rsid w:val="00A75B36"/>
    <w:rsid w:val="00A75C78"/>
    <w:rsid w:val="00A75CB0"/>
    <w:rsid w:val="00A760F2"/>
    <w:rsid w:val="00A762F1"/>
    <w:rsid w:val="00A7663A"/>
    <w:rsid w:val="00A7696B"/>
    <w:rsid w:val="00A769D4"/>
    <w:rsid w:val="00A769E7"/>
    <w:rsid w:val="00A76A42"/>
    <w:rsid w:val="00A76EB4"/>
    <w:rsid w:val="00A76F11"/>
    <w:rsid w:val="00A76FA7"/>
    <w:rsid w:val="00A7701F"/>
    <w:rsid w:val="00A774AD"/>
    <w:rsid w:val="00A775FB"/>
    <w:rsid w:val="00A77658"/>
    <w:rsid w:val="00A77C3D"/>
    <w:rsid w:val="00A77FCD"/>
    <w:rsid w:val="00A80268"/>
    <w:rsid w:val="00A803C3"/>
    <w:rsid w:val="00A803D4"/>
    <w:rsid w:val="00A804C7"/>
    <w:rsid w:val="00A805CD"/>
    <w:rsid w:val="00A80857"/>
    <w:rsid w:val="00A80A39"/>
    <w:rsid w:val="00A80DF0"/>
    <w:rsid w:val="00A80E64"/>
    <w:rsid w:val="00A81121"/>
    <w:rsid w:val="00A8126A"/>
    <w:rsid w:val="00A81891"/>
    <w:rsid w:val="00A81898"/>
    <w:rsid w:val="00A81A16"/>
    <w:rsid w:val="00A81B08"/>
    <w:rsid w:val="00A81F4A"/>
    <w:rsid w:val="00A8232E"/>
    <w:rsid w:val="00A823A7"/>
    <w:rsid w:val="00A825C8"/>
    <w:rsid w:val="00A82607"/>
    <w:rsid w:val="00A8265B"/>
    <w:rsid w:val="00A82692"/>
    <w:rsid w:val="00A82742"/>
    <w:rsid w:val="00A829B8"/>
    <w:rsid w:val="00A82DD3"/>
    <w:rsid w:val="00A8396C"/>
    <w:rsid w:val="00A83984"/>
    <w:rsid w:val="00A83A1E"/>
    <w:rsid w:val="00A84198"/>
    <w:rsid w:val="00A841AB"/>
    <w:rsid w:val="00A84219"/>
    <w:rsid w:val="00A842BE"/>
    <w:rsid w:val="00A84A37"/>
    <w:rsid w:val="00A84FFD"/>
    <w:rsid w:val="00A85026"/>
    <w:rsid w:val="00A85135"/>
    <w:rsid w:val="00A85191"/>
    <w:rsid w:val="00A85265"/>
    <w:rsid w:val="00A853E2"/>
    <w:rsid w:val="00A85B24"/>
    <w:rsid w:val="00A85D2F"/>
    <w:rsid w:val="00A86104"/>
    <w:rsid w:val="00A862A9"/>
    <w:rsid w:val="00A863FD"/>
    <w:rsid w:val="00A8655A"/>
    <w:rsid w:val="00A866EC"/>
    <w:rsid w:val="00A86955"/>
    <w:rsid w:val="00A86C42"/>
    <w:rsid w:val="00A86EB0"/>
    <w:rsid w:val="00A87203"/>
    <w:rsid w:val="00A872C7"/>
    <w:rsid w:val="00A87744"/>
    <w:rsid w:val="00A87AE6"/>
    <w:rsid w:val="00A87B09"/>
    <w:rsid w:val="00A87C22"/>
    <w:rsid w:val="00A87E0A"/>
    <w:rsid w:val="00A90590"/>
    <w:rsid w:val="00A905B3"/>
    <w:rsid w:val="00A906F7"/>
    <w:rsid w:val="00A90869"/>
    <w:rsid w:val="00A908A4"/>
    <w:rsid w:val="00A90A97"/>
    <w:rsid w:val="00A90BE9"/>
    <w:rsid w:val="00A90CB4"/>
    <w:rsid w:val="00A90D97"/>
    <w:rsid w:val="00A90DD0"/>
    <w:rsid w:val="00A910DA"/>
    <w:rsid w:val="00A912D4"/>
    <w:rsid w:val="00A914A3"/>
    <w:rsid w:val="00A91654"/>
    <w:rsid w:val="00A9184E"/>
    <w:rsid w:val="00A91B83"/>
    <w:rsid w:val="00A91E73"/>
    <w:rsid w:val="00A91EDF"/>
    <w:rsid w:val="00A92044"/>
    <w:rsid w:val="00A920E1"/>
    <w:rsid w:val="00A923D6"/>
    <w:rsid w:val="00A92B42"/>
    <w:rsid w:val="00A930A4"/>
    <w:rsid w:val="00A932AD"/>
    <w:rsid w:val="00A932C5"/>
    <w:rsid w:val="00A933AE"/>
    <w:rsid w:val="00A9367E"/>
    <w:rsid w:val="00A93863"/>
    <w:rsid w:val="00A9393C"/>
    <w:rsid w:val="00A93A2D"/>
    <w:rsid w:val="00A93F00"/>
    <w:rsid w:val="00A9415E"/>
    <w:rsid w:val="00A9423F"/>
    <w:rsid w:val="00A942D0"/>
    <w:rsid w:val="00A94AD0"/>
    <w:rsid w:val="00A94B22"/>
    <w:rsid w:val="00A94C72"/>
    <w:rsid w:val="00A94D93"/>
    <w:rsid w:val="00A94E2A"/>
    <w:rsid w:val="00A94EBD"/>
    <w:rsid w:val="00A950B3"/>
    <w:rsid w:val="00A9510D"/>
    <w:rsid w:val="00A9519C"/>
    <w:rsid w:val="00A95474"/>
    <w:rsid w:val="00A954A5"/>
    <w:rsid w:val="00A954DE"/>
    <w:rsid w:val="00A955CC"/>
    <w:rsid w:val="00A956AC"/>
    <w:rsid w:val="00A95AD2"/>
    <w:rsid w:val="00A95B08"/>
    <w:rsid w:val="00A95B09"/>
    <w:rsid w:val="00A95D2A"/>
    <w:rsid w:val="00A95D7D"/>
    <w:rsid w:val="00A95E79"/>
    <w:rsid w:val="00A96214"/>
    <w:rsid w:val="00A9656D"/>
    <w:rsid w:val="00A96684"/>
    <w:rsid w:val="00A9669B"/>
    <w:rsid w:val="00A967E8"/>
    <w:rsid w:val="00A96979"/>
    <w:rsid w:val="00A96BA8"/>
    <w:rsid w:val="00A970CB"/>
    <w:rsid w:val="00A970EB"/>
    <w:rsid w:val="00A9793B"/>
    <w:rsid w:val="00A979BD"/>
    <w:rsid w:val="00A979D6"/>
    <w:rsid w:val="00A97AF8"/>
    <w:rsid w:val="00A97C63"/>
    <w:rsid w:val="00A97D38"/>
    <w:rsid w:val="00A97F4B"/>
    <w:rsid w:val="00A97FE3"/>
    <w:rsid w:val="00AA04C5"/>
    <w:rsid w:val="00AA0758"/>
    <w:rsid w:val="00AA077D"/>
    <w:rsid w:val="00AA08A9"/>
    <w:rsid w:val="00AA1008"/>
    <w:rsid w:val="00AA1044"/>
    <w:rsid w:val="00AA10B1"/>
    <w:rsid w:val="00AA172B"/>
    <w:rsid w:val="00AA1769"/>
    <w:rsid w:val="00AA1810"/>
    <w:rsid w:val="00AA1F41"/>
    <w:rsid w:val="00AA20A8"/>
    <w:rsid w:val="00AA239B"/>
    <w:rsid w:val="00AA276B"/>
    <w:rsid w:val="00AA2803"/>
    <w:rsid w:val="00AA2BF2"/>
    <w:rsid w:val="00AA2D65"/>
    <w:rsid w:val="00AA2D68"/>
    <w:rsid w:val="00AA2D6F"/>
    <w:rsid w:val="00AA317C"/>
    <w:rsid w:val="00AA32CC"/>
    <w:rsid w:val="00AA34B8"/>
    <w:rsid w:val="00AA3987"/>
    <w:rsid w:val="00AA39F4"/>
    <w:rsid w:val="00AA3B68"/>
    <w:rsid w:val="00AA3E79"/>
    <w:rsid w:val="00AA3F37"/>
    <w:rsid w:val="00AA40FA"/>
    <w:rsid w:val="00AA447C"/>
    <w:rsid w:val="00AA49B9"/>
    <w:rsid w:val="00AA4FB4"/>
    <w:rsid w:val="00AA5957"/>
    <w:rsid w:val="00AA5B6F"/>
    <w:rsid w:val="00AA5C0B"/>
    <w:rsid w:val="00AA5D9A"/>
    <w:rsid w:val="00AA5E31"/>
    <w:rsid w:val="00AA5E3B"/>
    <w:rsid w:val="00AA63AD"/>
    <w:rsid w:val="00AA65B4"/>
    <w:rsid w:val="00AA65DC"/>
    <w:rsid w:val="00AA684F"/>
    <w:rsid w:val="00AA6BB3"/>
    <w:rsid w:val="00AA7002"/>
    <w:rsid w:val="00AA745E"/>
    <w:rsid w:val="00AA77EC"/>
    <w:rsid w:val="00AA7B41"/>
    <w:rsid w:val="00AA7E43"/>
    <w:rsid w:val="00AB00DA"/>
    <w:rsid w:val="00AB015E"/>
    <w:rsid w:val="00AB0352"/>
    <w:rsid w:val="00AB047A"/>
    <w:rsid w:val="00AB04AA"/>
    <w:rsid w:val="00AB04AB"/>
    <w:rsid w:val="00AB06F1"/>
    <w:rsid w:val="00AB0733"/>
    <w:rsid w:val="00AB082F"/>
    <w:rsid w:val="00AB09D2"/>
    <w:rsid w:val="00AB0A49"/>
    <w:rsid w:val="00AB0B23"/>
    <w:rsid w:val="00AB0B64"/>
    <w:rsid w:val="00AB0C30"/>
    <w:rsid w:val="00AB0CC4"/>
    <w:rsid w:val="00AB0ECD"/>
    <w:rsid w:val="00AB161B"/>
    <w:rsid w:val="00AB173A"/>
    <w:rsid w:val="00AB176B"/>
    <w:rsid w:val="00AB1789"/>
    <w:rsid w:val="00AB1BAB"/>
    <w:rsid w:val="00AB2012"/>
    <w:rsid w:val="00AB24D7"/>
    <w:rsid w:val="00AB2A24"/>
    <w:rsid w:val="00AB2BDB"/>
    <w:rsid w:val="00AB3110"/>
    <w:rsid w:val="00AB3172"/>
    <w:rsid w:val="00AB3234"/>
    <w:rsid w:val="00AB3622"/>
    <w:rsid w:val="00AB37E6"/>
    <w:rsid w:val="00AB3949"/>
    <w:rsid w:val="00AB3D7B"/>
    <w:rsid w:val="00AB3DBA"/>
    <w:rsid w:val="00AB405A"/>
    <w:rsid w:val="00AB4138"/>
    <w:rsid w:val="00AB431C"/>
    <w:rsid w:val="00AB4440"/>
    <w:rsid w:val="00AB449C"/>
    <w:rsid w:val="00AB459A"/>
    <w:rsid w:val="00AB470E"/>
    <w:rsid w:val="00AB475F"/>
    <w:rsid w:val="00AB4D3F"/>
    <w:rsid w:val="00AB5427"/>
    <w:rsid w:val="00AB56C6"/>
    <w:rsid w:val="00AB5728"/>
    <w:rsid w:val="00AB58AD"/>
    <w:rsid w:val="00AB5950"/>
    <w:rsid w:val="00AB5A7E"/>
    <w:rsid w:val="00AB5DFF"/>
    <w:rsid w:val="00AB5EDC"/>
    <w:rsid w:val="00AB5F9A"/>
    <w:rsid w:val="00AB5FC1"/>
    <w:rsid w:val="00AB6181"/>
    <w:rsid w:val="00AB6677"/>
    <w:rsid w:val="00AB66E7"/>
    <w:rsid w:val="00AB6943"/>
    <w:rsid w:val="00AB6CE4"/>
    <w:rsid w:val="00AB7500"/>
    <w:rsid w:val="00AB7538"/>
    <w:rsid w:val="00AB75A7"/>
    <w:rsid w:val="00AB77F3"/>
    <w:rsid w:val="00AB780F"/>
    <w:rsid w:val="00AB7BE7"/>
    <w:rsid w:val="00AB7C1D"/>
    <w:rsid w:val="00AB7DC3"/>
    <w:rsid w:val="00AC000E"/>
    <w:rsid w:val="00AC0AAD"/>
    <w:rsid w:val="00AC0C2A"/>
    <w:rsid w:val="00AC1231"/>
    <w:rsid w:val="00AC1269"/>
    <w:rsid w:val="00AC145C"/>
    <w:rsid w:val="00AC15D4"/>
    <w:rsid w:val="00AC1992"/>
    <w:rsid w:val="00AC1A7A"/>
    <w:rsid w:val="00AC1C97"/>
    <w:rsid w:val="00AC1D61"/>
    <w:rsid w:val="00AC1E14"/>
    <w:rsid w:val="00AC201F"/>
    <w:rsid w:val="00AC215E"/>
    <w:rsid w:val="00AC26A9"/>
    <w:rsid w:val="00AC2745"/>
    <w:rsid w:val="00AC2896"/>
    <w:rsid w:val="00AC2C4A"/>
    <w:rsid w:val="00AC2CFA"/>
    <w:rsid w:val="00AC2FC5"/>
    <w:rsid w:val="00AC30B3"/>
    <w:rsid w:val="00AC3247"/>
    <w:rsid w:val="00AC3263"/>
    <w:rsid w:val="00AC3820"/>
    <w:rsid w:val="00AC3A6E"/>
    <w:rsid w:val="00AC3E12"/>
    <w:rsid w:val="00AC406E"/>
    <w:rsid w:val="00AC430C"/>
    <w:rsid w:val="00AC4706"/>
    <w:rsid w:val="00AC489A"/>
    <w:rsid w:val="00AC4A6B"/>
    <w:rsid w:val="00AC4B03"/>
    <w:rsid w:val="00AC5334"/>
    <w:rsid w:val="00AC5535"/>
    <w:rsid w:val="00AC572D"/>
    <w:rsid w:val="00AC58E4"/>
    <w:rsid w:val="00AC5AFC"/>
    <w:rsid w:val="00AC5C19"/>
    <w:rsid w:val="00AC5C24"/>
    <w:rsid w:val="00AC5DF8"/>
    <w:rsid w:val="00AC5EFF"/>
    <w:rsid w:val="00AC60F0"/>
    <w:rsid w:val="00AC638B"/>
    <w:rsid w:val="00AC6657"/>
    <w:rsid w:val="00AC6A24"/>
    <w:rsid w:val="00AC6D7A"/>
    <w:rsid w:val="00AC711D"/>
    <w:rsid w:val="00AC7140"/>
    <w:rsid w:val="00AC720A"/>
    <w:rsid w:val="00AC72B0"/>
    <w:rsid w:val="00AC7363"/>
    <w:rsid w:val="00AC73D3"/>
    <w:rsid w:val="00AC7401"/>
    <w:rsid w:val="00AC75FD"/>
    <w:rsid w:val="00AC7901"/>
    <w:rsid w:val="00AC79F3"/>
    <w:rsid w:val="00AC7F15"/>
    <w:rsid w:val="00AC7FDD"/>
    <w:rsid w:val="00AD00C1"/>
    <w:rsid w:val="00AD0140"/>
    <w:rsid w:val="00AD06D5"/>
    <w:rsid w:val="00AD08F5"/>
    <w:rsid w:val="00AD0949"/>
    <w:rsid w:val="00AD0F1D"/>
    <w:rsid w:val="00AD0FD9"/>
    <w:rsid w:val="00AD100B"/>
    <w:rsid w:val="00AD1179"/>
    <w:rsid w:val="00AD1359"/>
    <w:rsid w:val="00AD138E"/>
    <w:rsid w:val="00AD15FD"/>
    <w:rsid w:val="00AD194B"/>
    <w:rsid w:val="00AD1972"/>
    <w:rsid w:val="00AD19F0"/>
    <w:rsid w:val="00AD1CF3"/>
    <w:rsid w:val="00AD1EA7"/>
    <w:rsid w:val="00AD1FCE"/>
    <w:rsid w:val="00AD211F"/>
    <w:rsid w:val="00AD2130"/>
    <w:rsid w:val="00AD2668"/>
    <w:rsid w:val="00AD26E1"/>
    <w:rsid w:val="00AD29CC"/>
    <w:rsid w:val="00AD2C7B"/>
    <w:rsid w:val="00AD3268"/>
    <w:rsid w:val="00AD32EA"/>
    <w:rsid w:val="00AD3584"/>
    <w:rsid w:val="00AD38AA"/>
    <w:rsid w:val="00AD3DE2"/>
    <w:rsid w:val="00AD4261"/>
    <w:rsid w:val="00AD4473"/>
    <w:rsid w:val="00AD46F5"/>
    <w:rsid w:val="00AD4788"/>
    <w:rsid w:val="00AD4841"/>
    <w:rsid w:val="00AD48E3"/>
    <w:rsid w:val="00AD4CC9"/>
    <w:rsid w:val="00AD4E1D"/>
    <w:rsid w:val="00AD4E5B"/>
    <w:rsid w:val="00AD50C6"/>
    <w:rsid w:val="00AD51A3"/>
    <w:rsid w:val="00AD54BA"/>
    <w:rsid w:val="00AD598B"/>
    <w:rsid w:val="00AD5B25"/>
    <w:rsid w:val="00AD5BF1"/>
    <w:rsid w:val="00AD5C65"/>
    <w:rsid w:val="00AD5CE9"/>
    <w:rsid w:val="00AD60B4"/>
    <w:rsid w:val="00AD684D"/>
    <w:rsid w:val="00AD708D"/>
    <w:rsid w:val="00AD7154"/>
    <w:rsid w:val="00AD7183"/>
    <w:rsid w:val="00AD7399"/>
    <w:rsid w:val="00AD73A3"/>
    <w:rsid w:val="00AD7499"/>
    <w:rsid w:val="00AD7844"/>
    <w:rsid w:val="00AD797D"/>
    <w:rsid w:val="00AD7A62"/>
    <w:rsid w:val="00AD7C94"/>
    <w:rsid w:val="00AD7C9F"/>
    <w:rsid w:val="00AD7E02"/>
    <w:rsid w:val="00AE0076"/>
    <w:rsid w:val="00AE014B"/>
    <w:rsid w:val="00AE01BB"/>
    <w:rsid w:val="00AE0483"/>
    <w:rsid w:val="00AE05DE"/>
    <w:rsid w:val="00AE08DD"/>
    <w:rsid w:val="00AE09AB"/>
    <w:rsid w:val="00AE0A20"/>
    <w:rsid w:val="00AE13BD"/>
    <w:rsid w:val="00AE1681"/>
    <w:rsid w:val="00AE1AF9"/>
    <w:rsid w:val="00AE1E60"/>
    <w:rsid w:val="00AE1E69"/>
    <w:rsid w:val="00AE2068"/>
    <w:rsid w:val="00AE2258"/>
    <w:rsid w:val="00AE24AE"/>
    <w:rsid w:val="00AE272A"/>
    <w:rsid w:val="00AE277E"/>
    <w:rsid w:val="00AE2A36"/>
    <w:rsid w:val="00AE2B6C"/>
    <w:rsid w:val="00AE2BC6"/>
    <w:rsid w:val="00AE2DC0"/>
    <w:rsid w:val="00AE2FC0"/>
    <w:rsid w:val="00AE2FEB"/>
    <w:rsid w:val="00AE3206"/>
    <w:rsid w:val="00AE3251"/>
    <w:rsid w:val="00AE3782"/>
    <w:rsid w:val="00AE382C"/>
    <w:rsid w:val="00AE3AE6"/>
    <w:rsid w:val="00AE3FE0"/>
    <w:rsid w:val="00AE41A8"/>
    <w:rsid w:val="00AE4398"/>
    <w:rsid w:val="00AE44A2"/>
    <w:rsid w:val="00AE4893"/>
    <w:rsid w:val="00AE4A71"/>
    <w:rsid w:val="00AE4B93"/>
    <w:rsid w:val="00AE4BD3"/>
    <w:rsid w:val="00AE4C9E"/>
    <w:rsid w:val="00AE4D3A"/>
    <w:rsid w:val="00AE4E11"/>
    <w:rsid w:val="00AE4E78"/>
    <w:rsid w:val="00AE5058"/>
    <w:rsid w:val="00AE5079"/>
    <w:rsid w:val="00AE50CF"/>
    <w:rsid w:val="00AE5135"/>
    <w:rsid w:val="00AE5167"/>
    <w:rsid w:val="00AE5170"/>
    <w:rsid w:val="00AE51CD"/>
    <w:rsid w:val="00AE53DE"/>
    <w:rsid w:val="00AE5471"/>
    <w:rsid w:val="00AE54AA"/>
    <w:rsid w:val="00AE5697"/>
    <w:rsid w:val="00AE57C9"/>
    <w:rsid w:val="00AE5A35"/>
    <w:rsid w:val="00AE5E76"/>
    <w:rsid w:val="00AE5EF4"/>
    <w:rsid w:val="00AE60BD"/>
    <w:rsid w:val="00AE60E4"/>
    <w:rsid w:val="00AE63E5"/>
    <w:rsid w:val="00AE6502"/>
    <w:rsid w:val="00AE66B2"/>
    <w:rsid w:val="00AE6872"/>
    <w:rsid w:val="00AE6C58"/>
    <w:rsid w:val="00AE707C"/>
    <w:rsid w:val="00AE7288"/>
    <w:rsid w:val="00AE72C4"/>
    <w:rsid w:val="00AE7AFA"/>
    <w:rsid w:val="00AE7CB7"/>
    <w:rsid w:val="00AE7F05"/>
    <w:rsid w:val="00AE7F38"/>
    <w:rsid w:val="00AF054D"/>
    <w:rsid w:val="00AF0939"/>
    <w:rsid w:val="00AF0A7C"/>
    <w:rsid w:val="00AF0E17"/>
    <w:rsid w:val="00AF0F9C"/>
    <w:rsid w:val="00AF10B8"/>
    <w:rsid w:val="00AF16A3"/>
    <w:rsid w:val="00AF16D5"/>
    <w:rsid w:val="00AF1813"/>
    <w:rsid w:val="00AF182A"/>
    <w:rsid w:val="00AF1E83"/>
    <w:rsid w:val="00AF24E7"/>
    <w:rsid w:val="00AF272B"/>
    <w:rsid w:val="00AF291B"/>
    <w:rsid w:val="00AF2DAA"/>
    <w:rsid w:val="00AF2EBD"/>
    <w:rsid w:val="00AF3081"/>
    <w:rsid w:val="00AF31C2"/>
    <w:rsid w:val="00AF3256"/>
    <w:rsid w:val="00AF336A"/>
    <w:rsid w:val="00AF3395"/>
    <w:rsid w:val="00AF33AE"/>
    <w:rsid w:val="00AF369D"/>
    <w:rsid w:val="00AF3799"/>
    <w:rsid w:val="00AF3DC1"/>
    <w:rsid w:val="00AF409A"/>
    <w:rsid w:val="00AF443C"/>
    <w:rsid w:val="00AF44B1"/>
    <w:rsid w:val="00AF460F"/>
    <w:rsid w:val="00AF4797"/>
    <w:rsid w:val="00AF4817"/>
    <w:rsid w:val="00AF4E85"/>
    <w:rsid w:val="00AF4F68"/>
    <w:rsid w:val="00AF4FD4"/>
    <w:rsid w:val="00AF50C8"/>
    <w:rsid w:val="00AF5584"/>
    <w:rsid w:val="00AF575F"/>
    <w:rsid w:val="00AF5800"/>
    <w:rsid w:val="00AF5DF1"/>
    <w:rsid w:val="00AF61A9"/>
    <w:rsid w:val="00AF61D1"/>
    <w:rsid w:val="00AF6793"/>
    <w:rsid w:val="00AF6986"/>
    <w:rsid w:val="00AF6C88"/>
    <w:rsid w:val="00AF6D1B"/>
    <w:rsid w:val="00AF6E73"/>
    <w:rsid w:val="00AF6FFD"/>
    <w:rsid w:val="00AF73ED"/>
    <w:rsid w:val="00AF782E"/>
    <w:rsid w:val="00AF7D02"/>
    <w:rsid w:val="00AF7D69"/>
    <w:rsid w:val="00AF7DCD"/>
    <w:rsid w:val="00AF7ED2"/>
    <w:rsid w:val="00B004D8"/>
    <w:rsid w:val="00B007D0"/>
    <w:rsid w:val="00B00830"/>
    <w:rsid w:val="00B009D9"/>
    <w:rsid w:val="00B00B94"/>
    <w:rsid w:val="00B00CC5"/>
    <w:rsid w:val="00B00E50"/>
    <w:rsid w:val="00B00EE2"/>
    <w:rsid w:val="00B012C8"/>
    <w:rsid w:val="00B0131E"/>
    <w:rsid w:val="00B014D1"/>
    <w:rsid w:val="00B016D2"/>
    <w:rsid w:val="00B0177A"/>
    <w:rsid w:val="00B018E3"/>
    <w:rsid w:val="00B01E41"/>
    <w:rsid w:val="00B02091"/>
    <w:rsid w:val="00B02851"/>
    <w:rsid w:val="00B02B3F"/>
    <w:rsid w:val="00B02B43"/>
    <w:rsid w:val="00B02BCB"/>
    <w:rsid w:val="00B02F12"/>
    <w:rsid w:val="00B03099"/>
    <w:rsid w:val="00B03140"/>
    <w:rsid w:val="00B0357E"/>
    <w:rsid w:val="00B037F7"/>
    <w:rsid w:val="00B03A03"/>
    <w:rsid w:val="00B03D36"/>
    <w:rsid w:val="00B03E02"/>
    <w:rsid w:val="00B03F3D"/>
    <w:rsid w:val="00B040D0"/>
    <w:rsid w:val="00B0414F"/>
    <w:rsid w:val="00B04384"/>
    <w:rsid w:val="00B043A4"/>
    <w:rsid w:val="00B04540"/>
    <w:rsid w:val="00B046E7"/>
    <w:rsid w:val="00B04A14"/>
    <w:rsid w:val="00B04F5E"/>
    <w:rsid w:val="00B04F88"/>
    <w:rsid w:val="00B05116"/>
    <w:rsid w:val="00B05180"/>
    <w:rsid w:val="00B051A7"/>
    <w:rsid w:val="00B051DB"/>
    <w:rsid w:val="00B05500"/>
    <w:rsid w:val="00B05574"/>
    <w:rsid w:val="00B055C6"/>
    <w:rsid w:val="00B0581C"/>
    <w:rsid w:val="00B05A3A"/>
    <w:rsid w:val="00B05BB8"/>
    <w:rsid w:val="00B05EC7"/>
    <w:rsid w:val="00B05F1A"/>
    <w:rsid w:val="00B0601E"/>
    <w:rsid w:val="00B065FB"/>
    <w:rsid w:val="00B06A5E"/>
    <w:rsid w:val="00B06E2E"/>
    <w:rsid w:val="00B06EC5"/>
    <w:rsid w:val="00B072AF"/>
    <w:rsid w:val="00B07B33"/>
    <w:rsid w:val="00B07FA2"/>
    <w:rsid w:val="00B100CF"/>
    <w:rsid w:val="00B1042A"/>
    <w:rsid w:val="00B109CC"/>
    <w:rsid w:val="00B10A66"/>
    <w:rsid w:val="00B10E82"/>
    <w:rsid w:val="00B10ED1"/>
    <w:rsid w:val="00B111A6"/>
    <w:rsid w:val="00B1121F"/>
    <w:rsid w:val="00B1128F"/>
    <w:rsid w:val="00B11429"/>
    <w:rsid w:val="00B11499"/>
    <w:rsid w:val="00B115E5"/>
    <w:rsid w:val="00B117D4"/>
    <w:rsid w:val="00B118EE"/>
    <w:rsid w:val="00B11B03"/>
    <w:rsid w:val="00B11C5B"/>
    <w:rsid w:val="00B1214F"/>
    <w:rsid w:val="00B121CD"/>
    <w:rsid w:val="00B12343"/>
    <w:rsid w:val="00B12529"/>
    <w:rsid w:val="00B12783"/>
    <w:rsid w:val="00B128C5"/>
    <w:rsid w:val="00B12977"/>
    <w:rsid w:val="00B12B11"/>
    <w:rsid w:val="00B12BF9"/>
    <w:rsid w:val="00B12C94"/>
    <w:rsid w:val="00B12D00"/>
    <w:rsid w:val="00B12FAE"/>
    <w:rsid w:val="00B132FF"/>
    <w:rsid w:val="00B1332B"/>
    <w:rsid w:val="00B13548"/>
    <w:rsid w:val="00B135AB"/>
    <w:rsid w:val="00B137BF"/>
    <w:rsid w:val="00B13A1B"/>
    <w:rsid w:val="00B13A59"/>
    <w:rsid w:val="00B13AED"/>
    <w:rsid w:val="00B1406F"/>
    <w:rsid w:val="00B141B5"/>
    <w:rsid w:val="00B142D9"/>
    <w:rsid w:val="00B14343"/>
    <w:rsid w:val="00B148E0"/>
    <w:rsid w:val="00B14BC4"/>
    <w:rsid w:val="00B14EFA"/>
    <w:rsid w:val="00B154CF"/>
    <w:rsid w:val="00B156C8"/>
    <w:rsid w:val="00B15820"/>
    <w:rsid w:val="00B158A3"/>
    <w:rsid w:val="00B15B25"/>
    <w:rsid w:val="00B15C42"/>
    <w:rsid w:val="00B15EA0"/>
    <w:rsid w:val="00B16585"/>
    <w:rsid w:val="00B166DA"/>
    <w:rsid w:val="00B16EC2"/>
    <w:rsid w:val="00B1708D"/>
    <w:rsid w:val="00B172EC"/>
    <w:rsid w:val="00B174B9"/>
    <w:rsid w:val="00B17A4E"/>
    <w:rsid w:val="00B17B30"/>
    <w:rsid w:val="00B17C2F"/>
    <w:rsid w:val="00B17D47"/>
    <w:rsid w:val="00B200FF"/>
    <w:rsid w:val="00B209AB"/>
    <w:rsid w:val="00B20CDC"/>
    <w:rsid w:val="00B210B5"/>
    <w:rsid w:val="00B2112F"/>
    <w:rsid w:val="00B21175"/>
    <w:rsid w:val="00B2153E"/>
    <w:rsid w:val="00B2159B"/>
    <w:rsid w:val="00B21F49"/>
    <w:rsid w:val="00B21FA7"/>
    <w:rsid w:val="00B22022"/>
    <w:rsid w:val="00B2226D"/>
    <w:rsid w:val="00B2243A"/>
    <w:rsid w:val="00B225E4"/>
    <w:rsid w:val="00B2265B"/>
    <w:rsid w:val="00B22825"/>
    <w:rsid w:val="00B22A1A"/>
    <w:rsid w:val="00B23104"/>
    <w:rsid w:val="00B23512"/>
    <w:rsid w:val="00B235C0"/>
    <w:rsid w:val="00B23782"/>
    <w:rsid w:val="00B23837"/>
    <w:rsid w:val="00B23D78"/>
    <w:rsid w:val="00B23F7A"/>
    <w:rsid w:val="00B24065"/>
    <w:rsid w:val="00B240B1"/>
    <w:rsid w:val="00B24208"/>
    <w:rsid w:val="00B24562"/>
    <w:rsid w:val="00B24728"/>
    <w:rsid w:val="00B248A9"/>
    <w:rsid w:val="00B248C6"/>
    <w:rsid w:val="00B249BC"/>
    <w:rsid w:val="00B24BC4"/>
    <w:rsid w:val="00B24D28"/>
    <w:rsid w:val="00B24F1C"/>
    <w:rsid w:val="00B252BC"/>
    <w:rsid w:val="00B25890"/>
    <w:rsid w:val="00B25C6F"/>
    <w:rsid w:val="00B25D76"/>
    <w:rsid w:val="00B26815"/>
    <w:rsid w:val="00B26876"/>
    <w:rsid w:val="00B26A9F"/>
    <w:rsid w:val="00B27032"/>
    <w:rsid w:val="00B27041"/>
    <w:rsid w:val="00B271E5"/>
    <w:rsid w:val="00B27E19"/>
    <w:rsid w:val="00B27EF9"/>
    <w:rsid w:val="00B30003"/>
    <w:rsid w:val="00B30572"/>
    <w:rsid w:val="00B307A3"/>
    <w:rsid w:val="00B30989"/>
    <w:rsid w:val="00B30B23"/>
    <w:rsid w:val="00B30BAD"/>
    <w:rsid w:val="00B30D1B"/>
    <w:rsid w:val="00B30E06"/>
    <w:rsid w:val="00B311E9"/>
    <w:rsid w:val="00B31201"/>
    <w:rsid w:val="00B3167E"/>
    <w:rsid w:val="00B319B6"/>
    <w:rsid w:val="00B319F7"/>
    <w:rsid w:val="00B31A9F"/>
    <w:rsid w:val="00B31B46"/>
    <w:rsid w:val="00B31B4B"/>
    <w:rsid w:val="00B31CD5"/>
    <w:rsid w:val="00B31E36"/>
    <w:rsid w:val="00B32403"/>
    <w:rsid w:val="00B3241D"/>
    <w:rsid w:val="00B32475"/>
    <w:rsid w:val="00B32E26"/>
    <w:rsid w:val="00B338B7"/>
    <w:rsid w:val="00B33B7F"/>
    <w:rsid w:val="00B33E71"/>
    <w:rsid w:val="00B33F36"/>
    <w:rsid w:val="00B34051"/>
    <w:rsid w:val="00B34061"/>
    <w:rsid w:val="00B34306"/>
    <w:rsid w:val="00B343E9"/>
    <w:rsid w:val="00B3440A"/>
    <w:rsid w:val="00B34441"/>
    <w:rsid w:val="00B34471"/>
    <w:rsid w:val="00B3447B"/>
    <w:rsid w:val="00B345EF"/>
    <w:rsid w:val="00B34C44"/>
    <w:rsid w:val="00B34CEB"/>
    <w:rsid w:val="00B352B9"/>
    <w:rsid w:val="00B35514"/>
    <w:rsid w:val="00B35534"/>
    <w:rsid w:val="00B35578"/>
    <w:rsid w:val="00B35A87"/>
    <w:rsid w:val="00B35AB6"/>
    <w:rsid w:val="00B35AFD"/>
    <w:rsid w:val="00B35EDC"/>
    <w:rsid w:val="00B35F9A"/>
    <w:rsid w:val="00B36236"/>
    <w:rsid w:val="00B362E9"/>
    <w:rsid w:val="00B3642D"/>
    <w:rsid w:val="00B3662E"/>
    <w:rsid w:val="00B366D2"/>
    <w:rsid w:val="00B366FA"/>
    <w:rsid w:val="00B36A1D"/>
    <w:rsid w:val="00B36A70"/>
    <w:rsid w:val="00B36C85"/>
    <w:rsid w:val="00B36CC8"/>
    <w:rsid w:val="00B36E86"/>
    <w:rsid w:val="00B36FC2"/>
    <w:rsid w:val="00B37122"/>
    <w:rsid w:val="00B371F4"/>
    <w:rsid w:val="00B373D9"/>
    <w:rsid w:val="00B3751B"/>
    <w:rsid w:val="00B375EF"/>
    <w:rsid w:val="00B379BA"/>
    <w:rsid w:val="00B37E3C"/>
    <w:rsid w:val="00B37E56"/>
    <w:rsid w:val="00B37F5E"/>
    <w:rsid w:val="00B40139"/>
    <w:rsid w:val="00B40145"/>
    <w:rsid w:val="00B401B7"/>
    <w:rsid w:val="00B40278"/>
    <w:rsid w:val="00B403CF"/>
    <w:rsid w:val="00B406C9"/>
    <w:rsid w:val="00B408A0"/>
    <w:rsid w:val="00B410E1"/>
    <w:rsid w:val="00B4115B"/>
    <w:rsid w:val="00B412FD"/>
    <w:rsid w:val="00B41572"/>
    <w:rsid w:val="00B41573"/>
    <w:rsid w:val="00B4185C"/>
    <w:rsid w:val="00B41F2F"/>
    <w:rsid w:val="00B422BE"/>
    <w:rsid w:val="00B42303"/>
    <w:rsid w:val="00B42419"/>
    <w:rsid w:val="00B4241D"/>
    <w:rsid w:val="00B424E7"/>
    <w:rsid w:val="00B42523"/>
    <w:rsid w:val="00B426BB"/>
    <w:rsid w:val="00B42CBF"/>
    <w:rsid w:val="00B42EB9"/>
    <w:rsid w:val="00B42F7E"/>
    <w:rsid w:val="00B42FAE"/>
    <w:rsid w:val="00B432FA"/>
    <w:rsid w:val="00B43303"/>
    <w:rsid w:val="00B4333D"/>
    <w:rsid w:val="00B434B8"/>
    <w:rsid w:val="00B434E9"/>
    <w:rsid w:val="00B43724"/>
    <w:rsid w:val="00B43729"/>
    <w:rsid w:val="00B43DEA"/>
    <w:rsid w:val="00B4402F"/>
    <w:rsid w:val="00B44040"/>
    <w:rsid w:val="00B440B5"/>
    <w:rsid w:val="00B441FE"/>
    <w:rsid w:val="00B44821"/>
    <w:rsid w:val="00B44AD3"/>
    <w:rsid w:val="00B44BDC"/>
    <w:rsid w:val="00B45128"/>
    <w:rsid w:val="00B45152"/>
    <w:rsid w:val="00B451DA"/>
    <w:rsid w:val="00B4578D"/>
    <w:rsid w:val="00B45A2E"/>
    <w:rsid w:val="00B45A5E"/>
    <w:rsid w:val="00B45E1A"/>
    <w:rsid w:val="00B45E54"/>
    <w:rsid w:val="00B45F37"/>
    <w:rsid w:val="00B460F5"/>
    <w:rsid w:val="00B461E5"/>
    <w:rsid w:val="00B46298"/>
    <w:rsid w:val="00B464E4"/>
    <w:rsid w:val="00B4689A"/>
    <w:rsid w:val="00B46D5F"/>
    <w:rsid w:val="00B46E7B"/>
    <w:rsid w:val="00B46ED8"/>
    <w:rsid w:val="00B470E7"/>
    <w:rsid w:val="00B4728A"/>
    <w:rsid w:val="00B474A0"/>
    <w:rsid w:val="00B47502"/>
    <w:rsid w:val="00B47CBA"/>
    <w:rsid w:val="00B47DC5"/>
    <w:rsid w:val="00B501D3"/>
    <w:rsid w:val="00B5047D"/>
    <w:rsid w:val="00B5051D"/>
    <w:rsid w:val="00B505B3"/>
    <w:rsid w:val="00B50620"/>
    <w:rsid w:val="00B506EC"/>
    <w:rsid w:val="00B509BF"/>
    <w:rsid w:val="00B50A74"/>
    <w:rsid w:val="00B50AFA"/>
    <w:rsid w:val="00B50CBE"/>
    <w:rsid w:val="00B50E49"/>
    <w:rsid w:val="00B51473"/>
    <w:rsid w:val="00B51A52"/>
    <w:rsid w:val="00B51EF5"/>
    <w:rsid w:val="00B51F8E"/>
    <w:rsid w:val="00B520A0"/>
    <w:rsid w:val="00B521B1"/>
    <w:rsid w:val="00B521DC"/>
    <w:rsid w:val="00B5257E"/>
    <w:rsid w:val="00B525CE"/>
    <w:rsid w:val="00B52686"/>
    <w:rsid w:val="00B52BF6"/>
    <w:rsid w:val="00B52CFD"/>
    <w:rsid w:val="00B5332C"/>
    <w:rsid w:val="00B5335B"/>
    <w:rsid w:val="00B53377"/>
    <w:rsid w:val="00B543A8"/>
    <w:rsid w:val="00B545A8"/>
    <w:rsid w:val="00B5465A"/>
    <w:rsid w:val="00B546FC"/>
    <w:rsid w:val="00B547E8"/>
    <w:rsid w:val="00B548E8"/>
    <w:rsid w:val="00B54950"/>
    <w:rsid w:val="00B54A8E"/>
    <w:rsid w:val="00B554EF"/>
    <w:rsid w:val="00B55800"/>
    <w:rsid w:val="00B55C3A"/>
    <w:rsid w:val="00B55D8D"/>
    <w:rsid w:val="00B55DD2"/>
    <w:rsid w:val="00B55F29"/>
    <w:rsid w:val="00B56355"/>
    <w:rsid w:val="00B56527"/>
    <w:rsid w:val="00B5690C"/>
    <w:rsid w:val="00B56918"/>
    <w:rsid w:val="00B56921"/>
    <w:rsid w:val="00B56DB4"/>
    <w:rsid w:val="00B56E78"/>
    <w:rsid w:val="00B56EC2"/>
    <w:rsid w:val="00B56F1E"/>
    <w:rsid w:val="00B57027"/>
    <w:rsid w:val="00B57469"/>
    <w:rsid w:val="00B576DA"/>
    <w:rsid w:val="00B576F1"/>
    <w:rsid w:val="00B57710"/>
    <w:rsid w:val="00B57A70"/>
    <w:rsid w:val="00B57AD2"/>
    <w:rsid w:val="00B57B64"/>
    <w:rsid w:val="00B57B93"/>
    <w:rsid w:val="00B57D7D"/>
    <w:rsid w:val="00B57FE7"/>
    <w:rsid w:val="00B601C9"/>
    <w:rsid w:val="00B60357"/>
    <w:rsid w:val="00B60450"/>
    <w:rsid w:val="00B60551"/>
    <w:rsid w:val="00B60640"/>
    <w:rsid w:val="00B60C71"/>
    <w:rsid w:val="00B60D04"/>
    <w:rsid w:val="00B612A9"/>
    <w:rsid w:val="00B61482"/>
    <w:rsid w:val="00B614C8"/>
    <w:rsid w:val="00B61517"/>
    <w:rsid w:val="00B6153A"/>
    <w:rsid w:val="00B61702"/>
    <w:rsid w:val="00B61EE8"/>
    <w:rsid w:val="00B620C1"/>
    <w:rsid w:val="00B62D9B"/>
    <w:rsid w:val="00B62FFA"/>
    <w:rsid w:val="00B631CC"/>
    <w:rsid w:val="00B633A3"/>
    <w:rsid w:val="00B63533"/>
    <w:rsid w:val="00B6382C"/>
    <w:rsid w:val="00B63A14"/>
    <w:rsid w:val="00B63A7E"/>
    <w:rsid w:val="00B63BDB"/>
    <w:rsid w:val="00B63C0D"/>
    <w:rsid w:val="00B63FA1"/>
    <w:rsid w:val="00B642F8"/>
    <w:rsid w:val="00B644D7"/>
    <w:rsid w:val="00B647B3"/>
    <w:rsid w:val="00B64A0D"/>
    <w:rsid w:val="00B64A0E"/>
    <w:rsid w:val="00B64A6F"/>
    <w:rsid w:val="00B64CC6"/>
    <w:rsid w:val="00B64DDF"/>
    <w:rsid w:val="00B65015"/>
    <w:rsid w:val="00B65203"/>
    <w:rsid w:val="00B65312"/>
    <w:rsid w:val="00B65728"/>
    <w:rsid w:val="00B6572F"/>
    <w:rsid w:val="00B65742"/>
    <w:rsid w:val="00B65776"/>
    <w:rsid w:val="00B65A46"/>
    <w:rsid w:val="00B6601E"/>
    <w:rsid w:val="00B6603E"/>
    <w:rsid w:val="00B660F7"/>
    <w:rsid w:val="00B66315"/>
    <w:rsid w:val="00B663AA"/>
    <w:rsid w:val="00B664A5"/>
    <w:rsid w:val="00B665E1"/>
    <w:rsid w:val="00B66DA2"/>
    <w:rsid w:val="00B66DD5"/>
    <w:rsid w:val="00B66F46"/>
    <w:rsid w:val="00B6715C"/>
    <w:rsid w:val="00B6733B"/>
    <w:rsid w:val="00B676B1"/>
    <w:rsid w:val="00B67B97"/>
    <w:rsid w:val="00B67CA3"/>
    <w:rsid w:val="00B67F01"/>
    <w:rsid w:val="00B701FA"/>
    <w:rsid w:val="00B7059A"/>
    <w:rsid w:val="00B707D4"/>
    <w:rsid w:val="00B70CDC"/>
    <w:rsid w:val="00B70E71"/>
    <w:rsid w:val="00B70F8E"/>
    <w:rsid w:val="00B711AB"/>
    <w:rsid w:val="00B714E9"/>
    <w:rsid w:val="00B714F0"/>
    <w:rsid w:val="00B7160D"/>
    <w:rsid w:val="00B71A40"/>
    <w:rsid w:val="00B71BFA"/>
    <w:rsid w:val="00B71C8C"/>
    <w:rsid w:val="00B71CB4"/>
    <w:rsid w:val="00B71CD8"/>
    <w:rsid w:val="00B71FD7"/>
    <w:rsid w:val="00B72003"/>
    <w:rsid w:val="00B7210F"/>
    <w:rsid w:val="00B7243C"/>
    <w:rsid w:val="00B72510"/>
    <w:rsid w:val="00B725E7"/>
    <w:rsid w:val="00B729D7"/>
    <w:rsid w:val="00B729DA"/>
    <w:rsid w:val="00B72C07"/>
    <w:rsid w:val="00B72C74"/>
    <w:rsid w:val="00B72C7F"/>
    <w:rsid w:val="00B72DF7"/>
    <w:rsid w:val="00B72F42"/>
    <w:rsid w:val="00B73641"/>
    <w:rsid w:val="00B73912"/>
    <w:rsid w:val="00B73DA0"/>
    <w:rsid w:val="00B73E44"/>
    <w:rsid w:val="00B73F51"/>
    <w:rsid w:val="00B740F8"/>
    <w:rsid w:val="00B74164"/>
    <w:rsid w:val="00B7421D"/>
    <w:rsid w:val="00B74251"/>
    <w:rsid w:val="00B74290"/>
    <w:rsid w:val="00B74510"/>
    <w:rsid w:val="00B746B7"/>
    <w:rsid w:val="00B746FE"/>
    <w:rsid w:val="00B74822"/>
    <w:rsid w:val="00B748DF"/>
    <w:rsid w:val="00B7492A"/>
    <w:rsid w:val="00B7499C"/>
    <w:rsid w:val="00B749F4"/>
    <w:rsid w:val="00B74BD4"/>
    <w:rsid w:val="00B74BF7"/>
    <w:rsid w:val="00B74C91"/>
    <w:rsid w:val="00B74D34"/>
    <w:rsid w:val="00B75370"/>
    <w:rsid w:val="00B757B4"/>
    <w:rsid w:val="00B75EDD"/>
    <w:rsid w:val="00B760C4"/>
    <w:rsid w:val="00B76185"/>
    <w:rsid w:val="00B765E9"/>
    <w:rsid w:val="00B7676C"/>
    <w:rsid w:val="00B76840"/>
    <w:rsid w:val="00B768BE"/>
    <w:rsid w:val="00B76BCD"/>
    <w:rsid w:val="00B76FBC"/>
    <w:rsid w:val="00B7707B"/>
    <w:rsid w:val="00B7782B"/>
    <w:rsid w:val="00B779E6"/>
    <w:rsid w:val="00B77DE4"/>
    <w:rsid w:val="00B77E31"/>
    <w:rsid w:val="00B8009A"/>
    <w:rsid w:val="00B8019C"/>
    <w:rsid w:val="00B804E2"/>
    <w:rsid w:val="00B80514"/>
    <w:rsid w:val="00B8052A"/>
    <w:rsid w:val="00B80B41"/>
    <w:rsid w:val="00B80BFB"/>
    <w:rsid w:val="00B8105C"/>
    <w:rsid w:val="00B811B2"/>
    <w:rsid w:val="00B81636"/>
    <w:rsid w:val="00B8173F"/>
    <w:rsid w:val="00B818E2"/>
    <w:rsid w:val="00B81BDE"/>
    <w:rsid w:val="00B81BF3"/>
    <w:rsid w:val="00B81C84"/>
    <w:rsid w:val="00B81D4B"/>
    <w:rsid w:val="00B82024"/>
    <w:rsid w:val="00B821FB"/>
    <w:rsid w:val="00B82212"/>
    <w:rsid w:val="00B8234B"/>
    <w:rsid w:val="00B8244C"/>
    <w:rsid w:val="00B82625"/>
    <w:rsid w:val="00B8267E"/>
    <w:rsid w:val="00B826FB"/>
    <w:rsid w:val="00B8276E"/>
    <w:rsid w:val="00B82CF3"/>
    <w:rsid w:val="00B82F72"/>
    <w:rsid w:val="00B82F8C"/>
    <w:rsid w:val="00B83006"/>
    <w:rsid w:val="00B832CE"/>
    <w:rsid w:val="00B834B5"/>
    <w:rsid w:val="00B83565"/>
    <w:rsid w:val="00B83997"/>
    <w:rsid w:val="00B83A62"/>
    <w:rsid w:val="00B83B52"/>
    <w:rsid w:val="00B83B59"/>
    <w:rsid w:val="00B83F43"/>
    <w:rsid w:val="00B84252"/>
    <w:rsid w:val="00B84677"/>
    <w:rsid w:val="00B8468F"/>
    <w:rsid w:val="00B84760"/>
    <w:rsid w:val="00B84B3C"/>
    <w:rsid w:val="00B84FC6"/>
    <w:rsid w:val="00B8511E"/>
    <w:rsid w:val="00B854AB"/>
    <w:rsid w:val="00B85721"/>
    <w:rsid w:val="00B85747"/>
    <w:rsid w:val="00B857F5"/>
    <w:rsid w:val="00B85A56"/>
    <w:rsid w:val="00B85B2C"/>
    <w:rsid w:val="00B85E17"/>
    <w:rsid w:val="00B85F45"/>
    <w:rsid w:val="00B8608B"/>
    <w:rsid w:val="00B8685D"/>
    <w:rsid w:val="00B86C69"/>
    <w:rsid w:val="00B86D6C"/>
    <w:rsid w:val="00B86E8C"/>
    <w:rsid w:val="00B86F47"/>
    <w:rsid w:val="00B86FF2"/>
    <w:rsid w:val="00B874B4"/>
    <w:rsid w:val="00B8757B"/>
    <w:rsid w:val="00B875E9"/>
    <w:rsid w:val="00B87729"/>
    <w:rsid w:val="00B877B9"/>
    <w:rsid w:val="00B87873"/>
    <w:rsid w:val="00B8787A"/>
    <w:rsid w:val="00B87887"/>
    <w:rsid w:val="00B87CEB"/>
    <w:rsid w:val="00B9003A"/>
    <w:rsid w:val="00B90123"/>
    <w:rsid w:val="00B90196"/>
    <w:rsid w:val="00B902B1"/>
    <w:rsid w:val="00B90330"/>
    <w:rsid w:val="00B90FBE"/>
    <w:rsid w:val="00B911C1"/>
    <w:rsid w:val="00B914D2"/>
    <w:rsid w:val="00B91550"/>
    <w:rsid w:val="00B91881"/>
    <w:rsid w:val="00B9197F"/>
    <w:rsid w:val="00B91A09"/>
    <w:rsid w:val="00B92008"/>
    <w:rsid w:val="00B922C3"/>
    <w:rsid w:val="00B922FA"/>
    <w:rsid w:val="00B92715"/>
    <w:rsid w:val="00B9272E"/>
    <w:rsid w:val="00B927A7"/>
    <w:rsid w:val="00B92A9E"/>
    <w:rsid w:val="00B92B9E"/>
    <w:rsid w:val="00B92CD8"/>
    <w:rsid w:val="00B93150"/>
    <w:rsid w:val="00B93315"/>
    <w:rsid w:val="00B93326"/>
    <w:rsid w:val="00B9337A"/>
    <w:rsid w:val="00B93430"/>
    <w:rsid w:val="00B93519"/>
    <w:rsid w:val="00B93662"/>
    <w:rsid w:val="00B9372A"/>
    <w:rsid w:val="00B93802"/>
    <w:rsid w:val="00B938F8"/>
    <w:rsid w:val="00B93E6A"/>
    <w:rsid w:val="00B93E6C"/>
    <w:rsid w:val="00B93FD0"/>
    <w:rsid w:val="00B9414C"/>
    <w:rsid w:val="00B94159"/>
    <w:rsid w:val="00B9425C"/>
    <w:rsid w:val="00B94487"/>
    <w:rsid w:val="00B94908"/>
    <w:rsid w:val="00B94AAF"/>
    <w:rsid w:val="00B94DB1"/>
    <w:rsid w:val="00B94E6D"/>
    <w:rsid w:val="00B94FC0"/>
    <w:rsid w:val="00B953FE"/>
    <w:rsid w:val="00B953FF"/>
    <w:rsid w:val="00B9550E"/>
    <w:rsid w:val="00B956B7"/>
    <w:rsid w:val="00B95A22"/>
    <w:rsid w:val="00B96141"/>
    <w:rsid w:val="00B9622D"/>
    <w:rsid w:val="00B96263"/>
    <w:rsid w:val="00B96452"/>
    <w:rsid w:val="00B9646D"/>
    <w:rsid w:val="00B968A5"/>
    <w:rsid w:val="00B969EF"/>
    <w:rsid w:val="00B96A04"/>
    <w:rsid w:val="00B96A5D"/>
    <w:rsid w:val="00B96C2B"/>
    <w:rsid w:val="00B972CD"/>
    <w:rsid w:val="00B9769B"/>
    <w:rsid w:val="00B97D02"/>
    <w:rsid w:val="00B97D3D"/>
    <w:rsid w:val="00BA0304"/>
    <w:rsid w:val="00BA0557"/>
    <w:rsid w:val="00BA060E"/>
    <w:rsid w:val="00BA0D49"/>
    <w:rsid w:val="00BA115C"/>
    <w:rsid w:val="00BA12C0"/>
    <w:rsid w:val="00BA144D"/>
    <w:rsid w:val="00BA15AB"/>
    <w:rsid w:val="00BA1823"/>
    <w:rsid w:val="00BA1BE1"/>
    <w:rsid w:val="00BA1F68"/>
    <w:rsid w:val="00BA2101"/>
    <w:rsid w:val="00BA25B5"/>
    <w:rsid w:val="00BA2A34"/>
    <w:rsid w:val="00BA2C78"/>
    <w:rsid w:val="00BA3038"/>
    <w:rsid w:val="00BA3163"/>
    <w:rsid w:val="00BA3319"/>
    <w:rsid w:val="00BA3482"/>
    <w:rsid w:val="00BA370A"/>
    <w:rsid w:val="00BA3826"/>
    <w:rsid w:val="00BA45B0"/>
    <w:rsid w:val="00BA48BC"/>
    <w:rsid w:val="00BA4990"/>
    <w:rsid w:val="00BA4A29"/>
    <w:rsid w:val="00BA4BB9"/>
    <w:rsid w:val="00BA4BE7"/>
    <w:rsid w:val="00BA52BC"/>
    <w:rsid w:val="00BA5345"/>
    <w:rsid w:val="00BA53F1"/>
    <w:rsid w:val="00BA5592"/>
    <w:rsid w:val="00BA5663"/>
    <w:rsid w:val="00BA58BA"/>
    <w:rsid w:val="00BA5BDB"/>
    <w:rsid w:val="00BA5D49"/>
    <w:rsid w:val="00BA5EA2"/>
    <w:rsid w:val="00BA5F20"/>
    <w:rsid w:val="00BA5F7A"/>
    <w:rsid w:val="00BA68D9"/>
    <w:rsid w:val="00BA7172"/>
    <w:rsid w:val="00BA7207"/>
    <w:rsid w:val="00BA7532"/>
    <w:rsid w:val="00BA772D"/>
    <w:rsid w:val="00BA7AEF"/>
    <w:rsid w:val="00BA7B01"/>
    <w:rsid w:val="00BA7BAD"/>
    <w:rsid w:val="00BA7C21"/>
    <w:rsid w:val="00BA7F56"/>
    <w:rsid w:val="00BB02D7"/>
    <w:rsid w:val="00BB0543"/>
    <w:rsid w:val="00BB064A"/>
    <w:rsid w:val="00BB098D"/>
    <w:rsid w:val="00BB0D9F"/>
    <w:rsid w:val="00BB0DEE"/>
    <w:rsid w:val="00BB0E0A"/>
    <w:rsid w:val="00BB1031"/>
    <w:rsid w:val="00BB1881"/>
    <w:rsid w:val="00BB1890"/>
    <w:rsid w:val="00BB1B33"/>
    <w:rsid w:val="00BB1D73"/>
    <w:rsid w:val="00BB1EB3"/>
    <w:rsid w:val="00BB1F17"/>
    <w:rsid w:val="00BB20B2"/>
    <w:rsid w:val="00BB236C"/>
    <w:rsid w:val="00BB2480"/>
    <w:rsid w:val="00BB251F"/>
    <w:rsid w:val="00BB2881"/>
    <w:rsid w:val="00BB2C4E"/>
    <w:rsid w:val="00BB2D45"/>
    <w:rsid w:val="00BB2E29"/>
    <w:rsid w:val="00BB2F74"/>
    <w:rsid w:val="00BB3169"/>
    <w:rsid w:val="00BB3206"/>
    <w:rsid w:val="00BB3269"/>
    <w:rsid w:val="00BB32C2"/>
    <w:rsid w:val="00BB3426"/>
    <w:rsid w:val="00BB36B7"/>
    <w:rsid w:val="00BB371A"/>
    <w:rsid w:val="00BB3B0D"/>
    <w:rsid w:val="00BB3BD9"/>
    <w:rsid w:val="00BB421E"/>
    <w:rsid w:val="00BB42FA"/>
    <w:rsid w:val="00BB437C"/>
    <w:rsid w:val="00BB463B"/>
    <w:rsid w:val="00BB46C1"/>
    <w:rsid w:val="00BB4775"/>
    <w:rsid w:val="00BB4B8C"/>
    <w:rsid w:val="00BB4E17"/>
    <w:rsid w:val="00BB4E20"/>
    <w:rsid w:val="00BB524C"/>
    <w:rsid w:val="00BB57E3"/>
    <w:rsid w:val="00BB5ACC"/>
    <w:rsid w:val="00BB5DAB"/>
    <w:rsid w:val="00BB5F15"/>
    <w:rsid w:val="00BB6000"/>
    <w:rsid w:val="00BB6195"/>
    <w:rsid w:val="00BB61A3"/>
    <w:rsid w:val="00BB67BA"/>
    <w:rsid w:val="00BB6830"/>
    <w:rsid w:val="00BB6DD0"/>
    <w:rsid w:val="00BB707E"/>
    <w:rsid w:val="00BB7385"/>
    <w:rsid w:val="00BB7568"/>
    <w:rsid w:val="00BB799D"/>
    <w:rsid w:val="00BB7A07"/>
    <w:rsid w:val="00BB7DB9"/>
    <w:rsid w:val="00BB7F0E"/>
    <w:rsid w:val="00BB7F82"/>
    <w:rsid w:val="00BC0058"/>
    <w:rsid w:val="00BC007C"/>
    <w:rsid w:val="00BC032F"/>
    <w:rsid w:val="00BC0AB2"/>
    <w:rsid w:val="00BC105B"/>
    <w:rsid w:val="00BC10C0"/>
    <w:rsid w:val="00BC1308"/>
    <w:rsid w:val="00BC150D"/>
    <w:rsid w:val="00BC1548"/>
    <w:rsid w:val="00BC1871"/>
    <w:rsid w:val="00BC1BF4"/>
    <w:rsid w:val="00BC1C1B"/>
    <w:rsid w:val="00BC1D07"/>
    <w:rsid w:val="00BC1F66"/>
    <w:rsid w:val="00BC2067"/>
    <w:rsid w:val="00BC22E9"/>
    <w:rsid w:val="00BC2600"/>
    <w:rsid w:val="00BC270A"/>
    <w:rsid w:val="00BC2DD1"/>
    <w:rsid w:val="00BC2F0F"/>
    <w:rsid w:val="00BC2F24"/>
    <w:rsid w:val="00BC314A"/>
    <w:rsid w:val="00BC327C"/>
    <w:rsid w:val="00BC32D0"/>
    <w:rsid w:val="00BC33BE"/>
    <w:rsid w:val="00BC33DD"/>
    <w:rsid w:val="00BC3A47"/>
    <w:rsid w:val="00BC3BAC"/>
    <w:rsid w:val="00BC3D8C"/>
    <w:rsid w:val="00BC3EBB"/>
    <w:rsid w:val="00BC3EEB"/>
    <w:rsid w:val="00BC3F1A"/>
    <w:rsid w:val="00BC4219"/>
    <w:rsid w:val="00BC463A"/>
    <w:rsid w:val="00BC4780"/>
    <w:rsid w:val="00BC479C"/>
    <w:rsid w:val="00BC4AA8"/>
    <w:rsid w:val="00BC4DD7"/>
    <w:rsid w:val="00BC4E7A"/>
    <w:rsid w:val="00BC4EE4"/>
    <w:rsid w:val="00BC4F46"/>
    <w:rsid w:val="00BC5255"/>
    <w:rsid w:val="00BC52C8"/>
    <w:rsid w:val="00BC5485"/>
    <w:rsid w:val="00BC549C"/>
    <w:rsid w:val="00BC5648"/>
    <w:rsid w:val="00BC5697"/>
    <w:rsid w:val="00BC570E"/>
    <w:rsid w:val="00BC58AC"/>
    <w:rsid w:val="00BC58AF"/>
    <w:rsid w:val="00BC5A6C"/>
    <w:rsid w:val="00BC5A85"/>
    <w:rsid w:val="00BC5AF6"/>
    <w:rsid w:val="00BC5B4B"/>
    <w:rsid w:val="00BC5C22"/>
    <w:rsid w:val="00BC5CC2"/>
    <w:rsid w:val="00BC5EDB"/>
    <w:rsid w:val="00BC5FED"/>
    <w:rsid w:val="00BC6392"/>
    <w:rsid w:val="00BC63A8"/>
    <w:rsid w:val="00BC6723"/>
    <w:rsid w:val="00BC6727"/>
    <w:rsid w:val="00BC6778"/>
    <w:rsid w:val="00BC69A2"/>
    <w:rsid w:val="00BC6ED6"/>
    <w:rsid w:val="00BC6F03"/>
    <w:rsid w:val="00BC6F4B"/>
    <w:rsid w:val="00BC6FA1"/>
    <w:rsid w:val="00BC72DD"/>
    <w:rsid w:val="00BC74AF"/>
    <w:rsid w:val="00BC76B1"/>
    <w:rsid w:val="00BC77F7"/>
    <w:rsid w:val="00BC794C"/>
    <w:rsid w:val="00BC7C85"/>
    <w:rsid w:val="00BC7F69"/>
    <w:rsid w:val="00BD024F"/>
    <w:rsid w:val="00BD03B6"/>
    <w:rsid w:val="00BD03BF"/>
    <w:rsid w:val="00BD0570"/>
    <w:rsid w:val="00BD0853"/>
    <w:rsid w:val="00BD0B23"/>
    <w:rsid w:val="00BD0CE0"/>
    <w:rsid w:val="00BD10A7"/>
    <w:rsid w:val="00BD112D"/>
    <w:rsid w:val="00BD180B"/>
    <w:rsid w:val="00BD1B11"/>
    <w:rsid w:val="00BD1C4F"/>
    <w:rsid w:val="00BD1E50"/>
    <w:rsid w:val="00BD1FBA"/>
    <w:rsid w:val="00BD203B"/>
    <w:rsid w:val="00BD214E"/>
    <w:rsid w:val="00BD2176"/>
    <w:rsid w:val="00BD22F7"/>
    <w:rsid w:val="00BD2395"/>
    <w:rsid w:val="00BD250A"/>
    <w:rsid w:val="00BD25B8"/>
    <w:rsid w:val="00BD26FD"/>
    <w:rsid w:val="00BD2842"/>
    <w:rsid w:val="00BD2892"/>
    <w:rsid w:val="00BD2B23"/>
    <w:rsid w:val="00BD30D7"/>
    <w:rsid w:val="00BD3120"/>
    <w:rsid w:val="00BD321A"/>
    <w:rsid w:val="00BD3354"/>
    <w:rsid w:val="00BD3431"/>
    <w:rsid w:val="00BD34D2"/>
    <w:rsid w:val="00BD3640"/>
    <w:rsid w:val="00BD368C"/>
    <w:rsid w:val="00BD384E"/>
    <w:rsid w:val="00BD3AC4"/>
    <w:rsid w:val="00BD3B8E"/>
    <w:rsid w:val="00BD3E76"/>
    <w:rsid w:val="00BD3EE2"/>
    <w:rsid w:val="00BD3F9E"/>
    <w:rsid w:val="00BD3FCF"/>
    <w:rsid w:val="00BD41C3"/>
    <w:rsid w:val="00BD42D2"/>
    <w:rsid w:val="00BD47AB"/>
    <w:rsid w:val="00BD47D7"/>
    <w:rsid w:val="00BD4860"/>
    <w:rsid w:val="00BD488A"/>
    <w:rsid w:val="00BD4EFB"/>
    <w:rsid w:val="00BD5076"/>
    <w:rsid w:val="00BD5551"/>
    <w:rsid w:val="00BD565E"/>
    <w:rsid w:val="00BD5AF1"/>
    <w:rsid w:val="00BD5D6D"/>
    <w:rsid w:val="00BD619B"/>
    <w:rsid w:val="00BD6443"/>
    <w:rsid w:val="00BD66A4"/>
    <w:rsid w:val="00BD6CE9"/>
    <w:rsid w:val="00BD6D43"/>
    <w:rsid w:val="00BD7090"/>
    <w:rsid w:val="00BD72BF"/>
    <w:rsid w:val="00BD7490"/>
    <w:rsid w:val="00BD767F"/>
    <w:rsid w:val="00BD7D65"/>
    <w:rsid w:val="00BE0481"/>
    <w:rsid w:val="00BE052D"/>
    <w:rsid w:val="00BE0582"/>
    <w:rsid w:val="00BE0589"/>
    <w:rsid w:val="00BE09C3"/>
    <w:rsid w:val="00BE0ACE"/>
    <w:rsid w:val="00BE0C27"/>
    <w:rsid w:val="00BE0F44"/>
    <w:rsid w:val="00BE0FB2"/>
    <w:rsid w:val="00BE15B8"/>
    <w:rsid w:val="00BE15BB"/>
    <w:rsid w:val="00BE198F"/>
    <w:rsid w:val="00BE1A78"/>
    <w:rsid w:val="00BE1C29"/>
    <w:rsid w:val="00BE226C"/>
    <w:rsid w:val="00BE23F1"/>
    <w:rsid w:val="00BE2F15"/>
    <w:rsid w:val="00BE301D"/>
    <w:rsid w:val="00BE3143"/>
    <w:rsid w:val="00BE326F"/>
    <w:rsid w:val="00BE333A"/>
    <w:rsid w:val="00BE335C"/>
    <w:rsid w:val="00BE33C1"/>
    <w:rsid w:val="00BE39DA"/>
    <w:rsid w:val="00BE4006"/>
    <w:rsid w:val="00BE421A"/>
    <w:rsid w:val="00BE42F4"/>
    <w:rsid w:val="00BE444E"/>
    <w:rsid w:val="00BE452A"/>
    <w:rsid w:val="00BE473E"/>
    <w:rsid w:val="00BE4D8F"/>
    <w:rsid w:val="00BE5135"/>
    <w:rsid w:val="00BE5245"/>
    <w:rsid w:val="00BE54FF"/>
    <w:rsid w:val="00BE5596"/>
    <w:rsid w:val="00BE5964"/>
    <w:rsid w:val="00BE5E8E"/>
    <w:rsid w:val="00BE5F2B"/>
    <w:rsid w:val="00BE5FC4"/>
    <w:rsid w:val="00BE660B"/>
    <w:rsid w:val="00BE664E"/>
    <w:rsid w:val="00BE6AC2"/>
    <w:rsid w:val="00BE6AFE"/>
    <w:rsid w:val="00BE6BBE"/>
    <w:rsid w:val="00BE6D07"/>
    <w:rsid w:val="00BE6FDA"/>
    <w:rsid w:val="00BE7021"/>
    <w:rsid w:val="00BE715A"/>
    <w:rsid w:val="00BE7300"/>
    <w:rsid w:val="00BE7723"/>
    <w:rsid w:val="00BE784F"/>
    <w:rsid w:val="00BE78CE"/>
    <w:rsid w:val="00BE7A0C"/>
    <w:rsid w:val="00BF00F5"/>
    <w:rsid w:val="00BF0238"/>
    <w:rsid w:val="00BF0717"/>
    <w:rsid w:val="00BF071D"/>
    <w:rsid w:val="00BF1750"/>
    <w:rsid w:val="00BF178E"/>
    <w:rsid w:val="00BF189F"/>
    <w:rsid w:val="00BF18A9"/>
    <w:rsid w:val="00BF199E"/>
    <w:rsid w:val="00BF1AB9"/>
    <w:rsid w:val="00BF1B44"/>
    <w:rsid w:val="00BF1F01"/>
    <w:rsid w:val="00BF1F6D"/>
    <w:rsid w:val="00BF21FF"/>
    <w:rsid w:val="00BF222E"/>
    <w:rsid w:val="00BF22E2"/>
    <w:rsid w:val="00BF22EE"/>
    <w:rsid w:val="00BF232C"/>
    <w:rsid w:val="00BF23CC"/>
    <w:rsid w:val="00BF243F"/>
    <w:rsid w:val="00BF24FB"/>
    <w:rsid w:val="00BF2683"/>
    <w:rsid w:val="00BF2807"/>
    <w:rsid w:val="00BF284E"/>
    <w:rsid w:val="00BF2DE3"/>
    <w:rsid w:val="00BF2F93"/>
    <w:rsid w:val="00BF2FE9"/>
    <w:rsid w:val="00BF30BC"/>
    <w:rsid w:val="00BF39CB"/>
    <w:rsid w:val="00BF3ACF"/>
    <w:rsid w:val="00BF3B0B"/>
    <w:rsid w:val="00BF3C2A"/>
    <w:rsid w:val="00BF3C65"/>
    <w:rsid w:val="00BF3C8D"/>
    <w:rsid w:val="00BF3CA8"/>
    <w:rsid w:val="00BF43B6"/>
    <w:rsid w:val="00BF4403"/>
    <w:rsid w:val="00BF44E6"/>
    <w:rsid w:val="00BF4596"/>
    <w:rsid w:val="00BF494B"/>
    <w:rsid w:val="00BF4C2B"/>
    <w:rsid w:val="00BF507A"/>
    <w:rsid w:val="00BF53A5"/>
    <w:rsid w:val="00BF53F1"/>
    <w:rsid w:val="00BF5717"/>
    <w:rsid w:val="00BF589F"/>
    <w:rsid w:val="00BF595D"/>
    <w:rsid w:val="00BF5B9D"/>
    <w:rsid w:val="00BF5CD8"/>
    <w:rsid w:val="00BF5FA3"/>
    <w:rsid w:val="00BF6053"/>
    <w:rsid w:val="00BF61CF"/>
    <w:rsid w:val="00BF6220"/>
    <w:rsid w:val="00BF62F2"/>
    <w:rsid w:val="00BF63A5"/>
    <w:rsid w:val="00BF6C65"/>
    <w:rsid w:val="00BF6D2B"/>
    <w:rsid w:val="00BF6D54"/>
    <w:rsid w:val="00BF6D6A"/>
    <w:rsid w:val="00BF6EE8"/>
    <w:rsid w:val="00BF7281"/>
    <w:rsid w:val="00BF72A7"/>
    <w:rsid w:val="00BF7537"/>
    <w:rsid w:val="00BF7558"/>
    <w:rsid w:val="00BF76E9"/>
    <w:rsid w:val="00BF7BBE"/>
    <w:rsid w:val="00BF7F2F"/>
    <w:rsid w:val="00C00134"/>
    <w:rsid w:val="00C002A3"/>
    <w:rsid w:val="00C002E3"/>
    <w:rsid w:val="00C0045C"/>
    <w:rsid w:val="00C00769"/>
    <w:rsid w:val="00C0111E"/>
    <w:rsid w:val="00C01163"/>
    <w:rsid w:val="00C01696"/>
    <w:rsid w:val="00C017CB"/>
    <w:rsid w:val="00C018DC"/>
    <w:rsid w:val="00C01A7B"/>
    <w:rsid w:val="00C01D5A"/>
    <w:rsid w:val="00C01DD9"/>
    <w:rsid w:val="00C01E10"/>
    <w:rsid w:val="00C022BD"/>
    <w:rsid w:val="00C024EE"/>
    <w:rsid w:val="00C02676"/>
    <w:rsid w:val="00C02728"/>
    <w:rsid w:val="00C029AB"/>
    <w:rsid w:val="00C02AB3"/>
    <w:rsid w:val="00C02BE6"/>
    <w:rsid w:val="00C02EEC"/>
    <w:rsid w:val="00C0321B"/>
    <w:rsid w:val="00C032F1"/>
    <w:rsid w:val="00C03B48"/>
    <w:rsid w:val="00C03BD5"/>
    <w:rsid w:val="00C03C8B"/>
    <w:rsid w:val="00C03CB2"/>
    <w:rsid w:val="00C03E69"/>
    <w:rsid w:val="00C03F3C"/>
    <w:rsid w:val="00C03F76"/>
    <w:rsid w:val="00C043A2"/>
    <w:rsid w:val="00C047DC"/>
    <w:rsid w:val="00C04923"/>
    <w:rsid w:val="00C049BE"/>
    <w:rsid w:val="00C04A71"/>
    <w:rsid w:val="00C04D21"/>
    <w:rsid w:val="00C04DF0"/>
    <w:rsid w:val="00C053FD"/>
    <w:rsid w:val="00C05793"/>
    <w:rsid w:val="00C05A4C"/>
    <w:rsid w:val="00C05A67"/>
    <w:rsid w:val="00C05AE1"/>
    <w:rsid w:val="00C06494"/>
    <w:rsid w:val="00C06589"/>
    <w:rsid w:val="00C068B0"/>
    <w:rsid w:val="00C0714C"/>
    <w:rsid w:val="00C073E0"/>
    <w:rsid w:val="00C07620"/>
    <w:rsid w:val="00C07623"/>
    <w:rsid w:val="00C07645"/>
    <w:rsid w:val="00C07BFE"/>
    <w:rsid w:val="00C07F76"/>
    <w:rsid w:val="00C1001D"/>
    <w:rsid w:val="00C10119"/>
    <w:rsid w:val="00C1087E"/>
    <w:rsid w:val="00C108A4"/>
    <w:rsid w:val="00C10AA8"/>
    <w:rsid w:val="00C10B5A"/>
    <w:rsid w:val="00C11113"/>
    <w:rsid w:val="00C111B1"/>
    <w:rsid w:val="00C112F3"/>
    <w:rsid w:val="00C11687"/>
    <w:rsid w:val="00C117BE"/>
    <w:rsid w:val="00C11E28"/>
    <w:rsid w:val="00C1225B"/>
    <w:rsid w:val="00C122A6"/>
    <w:rsid w:val="00C122F9"/>
    <w:rsid w:val="00C12459"/>
    <w:rsid w:val="00C124E1"/>
    <w:rsid w:val="00C1253A"/>
    <w:rsid w:val="00C128C9"/>
    <w:rsid w:val="00C12B4F"/>
    <w:rsid w:val="00C12C9B"/>
    <w:rsid w:val="00C12CF3"/>
    <w:rsid w:val="00C12F88"/>
    <w:rsid w:val="00C130A1"/>
    <w:rsid w:val="00C1314B"/>
    <w:rsid w:val="00C131A8"/>
    <w:rsid w:val="00C1322D"/>
    <w:rsid w:val="00C133EF"/>
    <w:rsid w:val="00C1340C"/>
    <w:rsid w:val="00C135A3"/>
    <w:rsid w:val="00C135BC"/>
    <w:rsid w:val="00C13664"/>
    <w:rsid w:val="00C13BF6"/>
    <w:rsid w:val="00C1477A"/>
    <w:rsid w:val="00C14A62"/>
    <w:rsid w:val="00C14A87"/>
    <w:rsid w:val="00C14C55"/>
    <w:rsid w:val="00C14D8F"/>
    <w:rsid w:val="00C14E66"/>
    <w:rsid w:val="00C14E99"/>
    <w:rsid w:val="00C15322"/>
    <w:rsid w:val="00C15766"/>
    <w:rsid w:val="00C158D1"/>
    <w:rsid w:val="00C158EB"/>
    <w:rsid w:val="00C15967"/>
    <w:rsid w:val="00C159B1"/>
    <w:rsid w:val="00C15CE7"/>
    <w:rsid w:val="00C15D37"/>
    <w:rsid w:val="00C15EAF"/>
    <w:rsid w:val="00C16161"/>
    <w:rsid w:val="00C161B1"/>
    <w:rsid w:val="00C161F5"/>
    <w:rsid w:val="00C16224"/>
    <w:rsid w:val="00C1630A"/>
    <w:rsid w:val="00C16473"/>
    <w:rsid w:val="00C168FB"/>
    <w:rsid w:val="00C16C92"/>
    <w:rsid w:val="00C16CF6"/>
    <w:rsid w:val="00C16F5C"/>
    <w:rsid w:val="00C1706B"/>
    <w:rsid w:val="00C17375"/>
    <w:rsid w:val="00C173B1"/>
    <w:rsid w:val="00C173D9"/>
    <w:rsid w:val="00C17530"/>
    <w:rsid w:val="00C1754B"/>
    <w:rsid w:val="00C17648"/>
    <w:rsid w:val="00C177A9"/>
    <w:rsid w:val="00C17A84"/>
    <w:rsid w:val="00C17ADF"/>
    <w:rsid w:val="00C17DB7"/>
    <w:rsid w:val="00C17E48"/>
    <w:rsid w:val="00C17E81"/>
    <w:rsid w:val="00C17FC3"/>
    <w:rsid w:val="00C17FF5"/>
    <w:rsid w:val="00C201E7"/>
    <w:rsid w:val="00C20382"/>
    <w:rsid w:val="00C20966"/>
    <w:rsid w:val="00C20A60"/>
    <w:rsid w:val="00C20AA2"/>
    <w:rsid w:val="00C20B62"/>
    <w:rsid w:val="00C20B91"/>
    <w:rsid w:val="00C21084"/>
    <w:rsid w:val="00C2112C"/>
    <w:rsid w:val="00C21155"/>
    <w:rsid w:val="00C21180"/>
    <w:rsid w:val="00C21188"/>
    <w:rsid w:val="00C212FF"/>
    <w:rsid w:val="00C2146C"/>
    <w:rsid w:val="00C214D7"/>
    <w:rsid w:val="00C21561"/>
    <w:rsid w:val="00C21676"/>
    <w:rsid w:val="00C2175A"/>
    <w:rsid w:val="00C21763"/>
    <w:rsid w:val="00C217EE"/>
    <w:rsid w:val="00C21CBC"/>
    <w:rsid w:val="00C21CBF"/>
    <w:rsid w:val="00C22784"/>
    <w:rsid w:val="00C227D6"/>
    <w:rsid w:val="00C228A6"/>
    <w:rsid w:val="00C228DA"/>
    <w:rsid w:val="00C232E2"/>
    <w:rsid w:val="00C2337B"/>
    <w:rsid w:val="00C2350A"/>
    <w:rsid w:val="00C2395D"/>
    <w:rsid w:val="00C23A4C"/>
    <w:rsid w:val="00C23D37"/>
    <w:rsid w:val="00C2419D"/>
    <w:rsid w:val="00C243A4"/>
    <w:rsid w:val="00C24416"/>
    <w:rsid w:val="00C2443F"/>
    <w:rsid w:val="00C248DB"/>
    <w:rsid w:val="00C249DB"/>
    <w:rsid w:val="00C24FE4"/>
    <w:rsid w:val="00C25229"/>
    <w:rsid w:val="00C25419"/>
    <w:rsid w:val="00C26170"/>
    <w:rsid w:val="00C261EF"/>
    <w:rsid w:val="00C26B5A"/>
    <w:rsid w:val="00C26D52"/>
    <w:rsid w:val="00C26F21"/>
    <w:rsid w:val="00C276D2"/>
    <w:rsid w:val="00C277DA"/>
    <w:rsid w:val="00C27E95"/>
    <w:rsid w:val="00C30020"/>
    <w:rsid w:val="00C303E4"/>
    <w:rsid w:val="00C3049A"/>
    <w:rsid w:val="00C30775"/>
    <w:rsid w:val="00C30930"/>
    <w:rsid w:val="00C30B8D"/>
    <w:rsid w:val="00C31057"/>
    <w:rsid w:val="00C310BA"/>
    <w:rsid w:val="00C3134E"/>
    <w:rsid w:val="00C314B0"/>
    <w:rsid w:val="00C315D8"/>
    <w:rsid w:val="00C317C4"/>
    <w:rsid w:val="00C318CD"/>
    <w:rsid w:val="00C31BEC"/>
    <w:rsid w:val="00C31C4A"/>
    <w:rsid w:val="00C31D18"/>
    <w:rsid w:val="00C31D2D"/>
    <w:rsid w:val="00C31E32"/>
    <w:rsid w:val="00C31EC5"/>
    <w:rsid w:val="00C31F44"/>
    <w:rsid w:val="00C32639"/>
    <w:rsid w:val="00C329D8"/>
    <w:rsid w:val="00C32AD2"/>
    <w:rsid w:val="00C32B9D"/>
    <w:rsid w:val="00C333F7"/>
    <w:rsid w:val="00C33D0D"/>
    <w:rsid w:val="00C34193"/>
    <w:rsid w:val="00C3429B"/>
    <w:rsid w:val="00C34616"/>
    <w:rsid w:val="00C3474D"/>
    <w:rsid w:val="00C347EE"/>
    <w:rsid w:val="00C347FD"/>
    <w:rsid w:val="00C34DAE"/>
    <w:rsid w:val="00C34E1E"/>
    <w:rsid w:val="00C34E5A"/>
    <w:rsid w:val="00C35006"/>
    <w:rsid w:val="00C35172"/>
    <w:rsid w:val="00C355A7"/>
    <w:rsid w:val="00C3582B"/>
    <w:rsid w:val="00C35A4C"/>
    <w:rsid w:val="00C35A84"/>
    <w:rsid w:val="00C35B49"/>
    <w:rsid w:val="00C35B5B"/>
    <w:rsid w:val="00C35E84"/>
    <w:rsid w:val="00C36145"/>
    <w:rsid w:val="00C36219"/>
    <w:rsid w:val="00C368A5"/>
    <w:rsid w:val="00C3698E"/>
    <w:rsid w:val="00C36CCA"/>
    <w:rsid w:val="00C36E1C"/>
    <w:rsid w:val="00C36F42"/>
    <w:rsid w:val="00C37127"/>
    <w:rsid w:val="00C3714C"/>
    <w:rsid w:val="00C3718A"/>
    <w:rsid w:val="00C37446"/>
    <w:rsid w:val="00C377B1"/>
    <w:rsid w:val="00C378A5"/>
    <w:rsid w:val="00C37969"/>
    <w:rsid w:val="00C379C5"/>
    <w:rsid w:val="00C37E84"/>
    <w:rsid w:val="00C37EEE"/>
    <w:rsid w:val="00C40346"/>
    <w:rsid w:val="00C40453"/>
    <w:rsid w:val="00C40E71"/>
    <w:rsid w:val="00C40EA6"/>
    <w:rsid w:val="00C40F1E"/>
    <w:rsid w:val="00C41352"/>
    <w:rsid w:val="00C4147D"/>
    <w:rsid w:val="00C41879"/>
    <w:rsid w:val="00C41A7C"/>
    <w:rsid w:val="00C41D0C"/>
    <w:rsid w:val="00C42452"/>
    <w:rsid w:val="00C42651"/>
    <w:rsid w:val="00C42694"/>
    <w:rsid w:val="00C42B6B"/>
    <w:rsid w:val="00C42CEF"/>
    <w:rsid w:val="00C42D55"/>
    <w:rsid w:val="00C4302F"/>
    <w:rsid w:val="00C43080"/>
    <w:rsid w:val="00C4315F"/>
    <w:rsid w:val="00C433A7"/>
    <w:rsid w:val="00C43459"/>
    <w:rsid w:val="00C434F1"/>
    <w:rsid w:val="00C435BB"/>
    <w:rsid w:val="00C4370E"/>
    <w:rsid w:val="00C43823"/>
    <w:rsid w:val="00C4384B"/>
    <w:rsid w:val="00C438E9"/>
    <w:rsid w:val="00C4393C"/>
    <w:rsid w:val="00C43C4D"/>
    <w:rsid w:val="00C43F8C"/>
    <w:rsid w:val="00C44021"/>
    <w:rsid w:val="00C44068"/>
    <w:rsid w:val="00C442AE"/>
    <w:rsid w:val="00C4448B"/>
    <w:rsid w:val="00C44838"/>
    <w:rsid w:val="00C44BAE"/>
    <w:rsid w:val="00C44C91"/>
    <w:rsid w:val="00C44D31"/>
    <w:rsid w:val="00C44DFB"/>
    <w:rsid w:val="00C44FAB"/>
    <w:rsid w:val="00C4518B"/>
    <w:rsid w:val="00C4527C"/>
    <w:rsid w:val="00C45687"/>
    <w:rsid w:val="00C45780"/>
    <w:rsid w:val="00C458D6"/>
    <w:rsid w:val="00C46268"/>
    <w:rsid w:val="00C4655A"/>
    <w:rsid w:val="00C466BF"/>
    <w:rsid w:val="00C46A4D"/>
    <w:rsid w:val="00C46CEE"/>
    <w:rsid w:val="00C46FFD"/>
    <w:rsid w:val="00C47020"/>
    <w:rsid w:val="00C470BA"/>
    <w:rsid w:val="00C471AF"/>
    <w:rsid w:val="00C47385"/>
    <w:rsid w:val="00C474D9"/>
    <w:rsid w:val="00C47555"/>
    <w:rsid w:val="00C476AC"/>
    <w:rsid w:val="00C47954"/>
    <w:rsid w:val="00C47AC4"/>
    <w:rsid w:val="00C47C84"/>
    <w:rsid w:val="00C47DEA"/>
    <w:rsid w:val="00C47E67"/>
    <w:rsid w:val="00C47FD9"/>
    <w:rsid w:val="00C502D7"/>
    <w:rsid w:val="00C50387"/>
    <w:rsid w:val="00C5045B"/>
    <w:rsid w:val="00C50498"/>
    <w:rsid w:val="00C5077F"/>
    <w:rsid w:val="00C50C00"/>
    <w:rsid w:val="00C50C1A"/>
    <w:rsid w:val="00C5122B"/>
    <w:rsid w:val="00C51508"/>
    <w:rsid w:val="00C51644"/>
    <w:rsid w:val="00C516A9"/>
    <w:rsid w:val="00C51B57"/>
    <w:rsid w:val="00C51BE5"/>
    <w:rsid w:val="00C51D73"/>
    <w:rsid w:val="00C51D80"/>
    <w:rsid w:val="00C51DEB"/>
    <w:rsid w:val="00C51E23"/>
    <w:rsid w:val="00C52127"/>
    <w:rsid w:val="00C52128"/>
    <w:rsid w:val="00C52228"/>
    <w:rsid w:val="00C522BF"/>
    <w:rsid w:val="00C524E0"/>
    <w:rsid w:val="00C52551"/>
    <w:rsid w:val="00C52821"/>
    <w:rsid w:val="00C52989"/>
    <w:rsid w:val="00C529FF"/>
    <w:rsid w:val="00C52A05"/>
    <w:rsid w:val="00C52AC6"/>
    <w:rsid w:val="00C52B40"/>
    <w:rsid w:val="00C52E8A"/>
    <w:rsid w:val="00C52E97"/>
    <w:rsid w:val="00C52EAF"/>
    <w:rsid w:val="00C53189"/>
    <w:rsid w:val="00C53211"/>
    <w:rsid w:val="00C532EC"/>
    <w:rsid w:val="00C534E5"/>
    <w:rsid w:val="00C534F4"/>
    <w:rsid w:val="00C5375B"/>
    <w:rsid w:val="00C53B15"/>
    <w:rsid w:val="00C53B1B"/>
    <w:rsid w:val="00C53B96"/>
    <w:rsid w:val="00C53BCE"/>
    <w:rsid w:val="00C53C33"/>
    <w:rsid w:val="00C53DA9"/>
    <w:rsid w:val="00C53EF7"/>
    <w:rsid w:val="00C54280"/>
    <w:rsid w:val="00C54682"/>
    <w:rsid w:val="00C54836"/>
    <w:rsid w:val="00C54929"/>
    <w:rsid w:val="00C54A07"/>
    <w:rsid w:val="00C54A7D"/>
    <w:rsid w:val="00C55301"/>
    <w:rsid w:val="00C554A3"/>
    <w:rsid w:val="00C5553F"/>
    <w:rsid w:val="00C556B1"/>
    <w:rsid w:val="00C558FF"/>
    <w:rsid w:val="00C55946"/>
    <w:rsid w:val="00C55A05"/>
    <w:rsid w:val="00C55A12"/>
    <w:rsid w:val="00C55AEC"/>
    <w:rsid w:val="00C55D02"/>
    <w:rsid w:val="00C56061"/>
    <w:rsid w:val="00C56101"/>
    <w:rsid w:val="00C563D0"/>
    <w:rsid w:val="00C565F2"/>
    <w:rsid w:val="00C5697B"/>
    <w:rsid w:val="00C56A2D"/>
    <w:rsid w:val="00C56C45"/>
    <w:rsid w:val="00C573CC"/>
    <w:rsid w:val="00C57973"/>
    <w:rsid w:val="00C57B81"/>
    <w:rsid w:val="00C57EC8"/>
    <w:rsid w:val="00C57FB9"/>
    <w:rsid w:val="00C60145"/>
    <w:rsid w:val="00C60296"/>
    <w:rsid w:val="00C6077B"/>
    <w:rsid w:val="00C60950"/>
    <w:rsid w:val="00C609FD"/>
    <w:rsid w:val="00C60B04"/>
    <w:rsid w:val="00C60DD1"/>
    <w:rsid w:val="00C60EB0"/>
    <w:rsid w:val="00C60F78"/>
    <w:rsid w:val="00C61299"/>
    <w:rsid w:val="00C61397"/>
    <w:rsid w:val="00C61565"/>
    <w:rsid w:val="00C61574"/>
    <w:rsid w:val="00C615B4"/>
    <w:rsid w:val="00C616FE"/>
    <w:rsid w:val="00C61765"/>
    <w:rsid w:val="00C61A90"/>
    <w:rsid w:val="00C61C39"/>
    <w:rsid w:val="00C61C7D"/>
    <w:rsid w:val="00C62082"/>
    <w:rsid w:val="00C6211D"/>
    <w:rsid w:val="00C623B0"/>
    <w:rsid w:val="00C6243A"/>
    <w:rsid w:val="00C62470"/>
    <w:rsid w:val="00C625E9"/>
    <w:rsid w:val="00C62923"/>
    <w:rsid w:val="00C62964"/>
    <w:rsid w:val="00C62A67"/>
    <w:rsid w:val="00C62B32"/>
    <w:rsid w:val="00C63029"/>
    <w:rsid w:val="00C637D8"/>
    <w:rsid w:val="00C63941"/>
    <w:rsid w:val="00C63AE8"/>
    <w:rsid w:val="00C63B04"/>
    <w:rsid w:val="00C63DED"/>
    <w:rsid w:val="00C63E88"/>
    <w:rsid w:val="00C641AC"/>
    <w:rsid w:val="00C648E8"/>
    <w:rsid w:val="00C64C66"/>
    <w:rsid w:val="00C64EBE"/>
    <w:rsid w:val="00C64F97"/>
    <w:rsid w:val="00C65585"/>
    <w:rsid w:val="00C656EB"/>
    <w:rsid w:val="00C65A73"/>
    <w:rsid w:val="00C65AB3"/>
    <w:rsid w:val="00C65C5A"/>
    <w:rsid w:val="00C65CD1"/>
    <w:rsid w:val="00C65D7B"/>
    <w:rsid w:val="00C65DF4"/>
    <w:rsid w:val="00C65E99"/>
    <w:rsid w:val="00C660E6"/>
    <w:rsid w:val="00C66380"/>
    <w:rsid w:val="00C6650F"/>
    <w:rsid w:val="00C66D38"/>
    <w:rsid w:val="00C6762C"/>
    <w:rsid w:val="00C67B49"/>
    <w:rsid w:val="00C70942"/>
    <w:rsid w:val="00C70B82"/>
    <w:rsid w:val="00C70D9F"/>
    <w:rsid w:val="00C71099"/>
    <w:rsid w:val="00C711F5"/>
    <w:rsid w:val="00C713A1"/>
    <w:rsid w:val="00C71668"/>
    <w:rsid w:val="00C71828"/>
    <w:rsid w:val="00C7191A"/>
    <w:rsid w:val="00C71B7B"/>
    <w:rsid w:val="00C71DAA"/>
    <w:rsid w:val="00C7205E"/>
    <w:rsid w:val="00C72105"/>
    <w:rsid w:val="00C72267"/>
    <w:rsid w:val="00C7232F"/>
    <w:rsid w:val="00C728D0"/>
    <w:rsid w:val="00C72BCE"/>
    <w:rsid w:val="00C72EC0"/>
    <w:rsid w:val="00C7334F"/>
    <w:rsid w:val="00C7439D"/>
    <w:rsid w:val="00C745F7"/>
    <w:rsid w:val="00C74839"/>
    <w:rsid w:val="00C74919"/>
    <w:rsid w:val="00C74954"/>
    <w:rsid w:val="00C74BFD"/>
    <w:rsid w:val="00C74D4B"/>
    <w:rsid w:val="00C751CC"/>
    <w:rsid w:val="00C7531B"/>
    <w:rsid w:val="00C75847"/>
    <w:rsid w:val="00C7597C"/>
    <w:rsid w:val="00C75DCA"/>
    <w:rsid w:val="00C75E3D"/>
    <w:rsid w:val="00C75E49"/>
    <w:rsid w:val="00C75F90"/>
    <w:rsid w:val="00C76028"/>
    <w:rsid w:val="00C7611F"/>
    <w:rsid w:val="00C76184"/>
    <w:rsid w:val="00C761DB"/>
    <w:rsid w:val="00C7620E"/>
    <w:rsid w:val="00C766FF"/>
    <w:rsid w:val="00C7673D"/>
    <w:rsid w:val="00C76A80"/>
    <w:rsid w:val="00C76B7D"/>
    <w:rsid w:val="00C76C26"/>
    <w:rsid w:val="00C76C27"/>
    <w:rsid w:val="00C76F07"/>
    <w:rsid w:val="00C76F87"/>
    <w:rsid w:val="00C770AE"/>
    <w:rsid w:val="00C772CA"/>
    <w:rsid w:val="00C7758E"/>
    <w:rsid w:val="00C779CD"/>
    <w:rsid w:val="00C77B2D"/>
    <w:rsid w:val="00C77BA6"/>
    <w:rsid w:val="00C77E1E"/>
    <w:rsid w:val="00C77EF6"/>
    <w:rsid w:val="00C80358"/>
    <w:rsid w:val="00C80412"/>
    <w:rsid w:val="00C8058C"/>
    <w:rsid w:val="00C80B4B"/>
    <w:rsid w:val="00C80D63"/>
    <w:rsid w:val="00C8108D"/>
    <w:rsid w:val="00C81167"/>
    <w:rsid w:val="00C812D5"/>
    <w:rsid w:val="00C8158A"/>
    <w:rsid w:val="00C815AF"/>
    <w:rsid w:val="00C81616"/>
    <w:rsid w:val="00C816BA"/>
    <w:rsid w:val="00C818D0"/>
    <w:rsid w:val="00C81BEA"/>
    <w:rsid w:val="00C81DF5"/>
    <w:rsid w:val="00C82188"/>
    <w:rsid w:val="00C8222D"/>
    <w:rsid w:val="00C82413"/>
    <w:rsid w:val="00C8242B"/>
    <w:rsid w:val="00C82713"/>
    <w:rsid w:val="00C8271B"/>
    <w:rsid w:val="00C829FA"/>
    <w:rsid w:val="00C82A50"/>
    <w:rsid w:val="00C82ECF"/>
    <w:rsid w:val="00C82EE4"/>
    <w:rsid w:val="00C83240"/>
    <w:rsid w:val="00C832E7"/>
    <w:rsid w:val="00C83381"/>
    <w:rsid w:val="00C8339F"/>
    <w:rsid w:val="00C8351E"/>
    <w:rsid w:val="00C83580"/>
    <w:rsid w:val="00C83585"/>
    <w:rsid w:val="00C83607"/>
    <w:rsid w:val="00C83768"/>
    <w:rsid w:val="00C83A53"/>
    <w:rsid w:val="00C83B18"/>
    <w:rsid w:val="00C840B2"/>
    <w:rsid w:val="00C840C3"/>
    <w:rsid w:val="00C841B4"/>
    <w:rsid w:val="00C84266"/>
    <w:rsid w:val="00C844C2"/>
    <w:rsid w:val="00C846E7"/>
    <w:rsid w:val="00C8470A"/>
    <w:rsid w:val="00C849E0"/>
    <w:rsid w:val="00C84A38"/>
    <w:rsid w:val="00C84B74"/>
    <w:rsid w:val="00C84DD5"/>
    <w:rsid w:val="00C84E6B"/>
    <w:rsid w:val="00C8512A"/>
    <w:rsid w:val="00C85444"/>
    <w:rsid w:val="00C8560C"/>
    <w:rsid w:val="00C85938"/>
    <w:rsid w:val="00C85970"/>
    <w:rsid w:val="00C85C4A"/>
    <w:rsid w:val="00C85D12"/>
    <w:rsid w:val="00C85E9B"/>
    <w:rsid w:val="00C86234"/>
    <w:rsid w:val="00C86EB5"/>
    <w:rsid w:val="00C874C8"/>
    <w:rsid w:val="00C87AA2"/>
    <w:rsid w:val="00C87AF4"/>
    <w:rsid w:val="00C87BAD"/>
    <w:rsid w:val="00C90165"/>
    <w:rsid w:val="00C90302"/>
    <w:rsid w:val="00C904E1"/>
    <w:rsid w:val="00C904F0"/>
    <w:rsid w:val="00C90700"/>
    <w:rsid w:val="00C90733"/>
    <w:rsid w:val="00C90A3E"/>
    <w:rsid w:val="00C90B36"/>
    <w:rsid w:val="00C90C38"/>
    <w:rsid w:val="00C90DCF"/>
    <w:rsid w:val="00C918EB"/>
    <w:rsid w:val="00C919B3"/>
    <w:rsid w:val="00C91AB3"/>
    <w:rsid w:val="00C91F33"/>
    <w:rsid w:val="00C921C4"/>
    <w:rsid w:val="00C921FA"/>
    <w:rsid w:val="00C9235F"/>
    <w:rsid w:val="00C9257F"/>
    <w:rsid w:val="00C92600"/>
    <w:rsid w:val="00C92888"/>
    <w:rsid w:val="00C93035"/>
    <w:rsid w:val="00C9319C"/>
    <w:rsid w:val="00C9326F"/>
    <w:rsid w:val="00C934F6"/>
    <w:rsid w:val="00C93874"/>
    <w:rsid w:val="00C93A4C"/>
    <w:rsid w:val="00C9448D"/>
    <w:rsid w:val="00C945F0"/>
    <w:rsid w:val="00C9494A"/>
    <w:rsid w:val="00C94FD2"/>
    <w:rsid w:val="00C95027"/>
    <w:rsid w:val="00C95046"/>
    <w:rsid w:val="00C9514C"/>
    <w:rsid w:val="00C95341"/>
    <w:rsid w:val="00C9570D"/>
    <w:rsid w:val="00C95811"/>
    <w:rsid w:val="00C95836"/>
    <w:rsid w:val="00C95987"/>
    <w:rsid w:val="00C95AE3"/>
    <w:rsid w:val="00C95B76"/>
    <w:rsid w:val="00C95BF9"/>
    <w:rsid w:val="00C961CB"/>
    <w:rsid w:val="00C964C3"/>
    <w:rsid w:val="00C965A4"/>
    <w:rsid w:val="00C965F5"/>
    <w:rsid w:val="00C96635"/>
    <w:rsid w:val="00C966B7"/>
    <w:rsid w:val="00C966ED"/>
    <w:rsid w:val="00C969DB"/>
    <w:rsid w:val="00C96A6F"/>
    <w:rsid w:val="00C96D96"/>
    <w:rsid w:val="00C96E64"/>
    <w:rsid w:val="00C970F6"/>
    <w:rsid w:val="00C9716E"/>
    <w:rsid w:val="00C97A4A"/>
    <w:rsid w:val="00C97BD5"/>
    <w:rsid w:val="00C97DC9"/>
    <w:rsid w:val="00C97EE3"/>
    <w:rsid w:val="00CA00ED"/>
    <w:rsid w:val="00CA0305"/>
    <w:rsid w:val="00CA0705"/>
    <w:rsid w:val="00CA085D"/>
    <w:rsid w:val="00CA0953"/>
    <w:rsid w:val="00CA0A87"/>
    <w:rsid w:val="00CA12BA"/>
    <w:rsid w:val="00CA165C"/>
    <w:rsid w:val="00CA1C0D"/>
    <w:rsid w:val="00CA1C60"/>
    <w:rsid w:val="00CA1D3E"/>
    <w:rsid w:val="00CA1DAE"/>
    <w:rsid w:val="00CA2267"/>
    <w:rsid w:val="00CA25CF"/>
    <w:rsid w:val="00CA2714"/>
    <w:rsid w:val="00CA280C"/>
    <w:rsid w:val="00CA2AB6"/>
    <w:rsid w:val="00CA2E0B"/>
    <w:rsid w:val="00CA2F19"/>
    <w:rsid w:val="00CA2FB0"/>
    <w:rsid w:val="00CA30DE"/>
    <w:rsid w:val="00CA336C"/>
    <w:rsid w:val="00CA38AD"/>
    <w:rsid w:val="00CA3BE1"/>
    <w:rsid w:val="00CA413F"/>
    <w:rsid w:val="00CA43AB"/>
    <w:rsid w:val="00CA44D8"/>
    <w:rsid w:val="00CA477E"/>
    <w:rsid w:val="00CA5083"/>
    <w:rsid w:val="00CA5098"/>
    <w:rsid w:val="00CA53DB"/>
    <w:rsid w:val="00CA5503"/>
    <w:rsid w:val="00CA55C3"/>
    <w:rsid w:val="00CA57DC"/>
    <w:rsid w:val="00CA58FC"/>
    <w:rsid w:val="00CA59B1"/>
    <w:rsid w:val="00CA5A38"/>
    <w:rsid w:val="00CA5DC8"/>
    <w:rsid w:val="00CA5E6F"/>
    <w:rsid w:val="00CA5EEF"/>
    <w:rsid w:val="00CA64F6"/>
    <w:rsid w:val="00CA65B3"/>
    <w:rsid w:val="00CA6620"/>
    <w:rsid w:val="00CA66C3"/>
    <w:rsid w:val="00CA68C0"/>
    <w:rsid w:val="00CA6906"/>
    <w:rsid w:val="00CA6BAC"/>
    <w:rsid w:val="00CA6CAD"/>
    <w:rsid w:val="00CA70A8"/>
    <w:rsid w:val="00CA70D0"/>
    <w:rsid w:val="00CA7228"/>
    <w:rsid w:val="00CA7445"/>
    <w:rsid w:val="00CA749C"/>
    <w:rsid w:val="00CA74A4"/>
    <w:rsid w:val="00CA75D7"/>
    <w:rsid w:val="00CA7683"/>
    <w:rsid w:val="00CA7C15"/>
    <w:rsid w:val="00CA7EA1"/>
    <w:rsid w:val="00CA7EEB"/>
    <w:rsid w:val="00CB009B"/>
    <w:rsid w:val="00CB0231"/>
    <w:rsid w:val="00CB04BE"/>
    <w:rsid w:val="00CB0813"/>
    <w:rsid w:val="00CB0838"/>
    <w:rsid w:val="00CB0ACA"/>
    <w:rsid w:val="00CB0CA1"/>
    <w:rsid w:val="00CB0DA9"/>
    <w:rsid w:val="00CB1112"/>
    <w:rsid w:val="00CB1242"/>
    <w:rsid w:val="00CB12A9"/>
    <w:rsid w:val="00CB1670"/>
    <w:rsid w:val="00CB1AFD"/>
    <w:rsid w:val="00CB1B7C"/>
    <w:rsid w:val="00CB1D64"/>
    <w:rsid w:val="00CB1E7F"/>
    <w:rsid w:val="00CB1EB3"/>
    <w:rsid w:val="00CB2126"/>
    <w:rsid w:val="00CB213C"/>
    <w:rsid w:val="00CB2451"/>
    <w:rsid w:val="00CB248E"/>
    <w:rsid w:val="00CB24AD"/>
    <w:rsid w:val="00CB26D5"/>
    <w:rsid w:val="00CB296F"/>
    <w:rsid w:val="00CB2C59"/>
    <w:rsid w:val="00CB2D9C"/>
    <w:rsid w:val="00CB33D6"/>
    <w:rsid w:val="00CB34AB"/>
    <w:rsid w:val="00CB3501"/>
    <w:rsid w:val="00CB3529"/>
    <w:rsid w:val="00CB3562"/>
    <w:rsid w:val="00CB372F"/>
    <w:rsid w:val="00CB38A9"/>
    <w:rsid w:val="00CB3A44"/>
    <w:rsid w:val="00CB3C0A"/>
    <w:rsid w:val="00CB3C65"/>
    <w:rsid w:val="00CB3F5F"/>
    <w:rsid w:val="00CB4728"/>
    <w:rsid w:val="00CB472E"/>
    <w:rsid w:val="00CB4994"/>
    <w:rsid w:val="00CB4AF7"/>
    <w:rsid w:val="00CB4C0B"/>
    <w:rsid w:val="00CB523B"/>
    <w:rsid w:val="00CB556C"/>
    <w:rsid w:val="00CB587C"/>
    <w:rsid w:val="00CB59E7"/>
    <w:rsid w:val="00CB5CD6"/>
    <w:rsid w:val="00CB5E4A"/>
    <w:rsid w:val="00CB5F86"/>
    <w:rsid w:val="00CB5FAF"/>
    <w:rsid w:val="00CB6150"/>
    <w:rsid w:val="00CB6546"/>
    <w:rsid w:val="00CB668A"/>
    <w:rsid w:val="00CB6791"/>
    <w:rsid w:val="00CB6976"/>
    <w:rsid w:val="00CB6988"/>
    <w:rsid w:val="00CB6FCA"/>
    <w:rsid w:val="00CB7041"/>
    <w:rsid w:val="00CB719B"/>
    <w:rsid w:val="00CB71B1"/>
    <w:rsid w:val="00CB71CB"/>
    <w:rsid w:val="00CB71E0"/>
    <w:rsid w:val="00CB7211"/>
    <w:rsid w:val="00CB724D"/>
    <w:rsid w:val="00CB73EA"/>
    <w:rsid w:val="00CB7608"/>
    <w:rsid w:val="00CB7D4E"/>
    <w:rsid w:val="00CB7E2D"/>
    <w:rsid w:val="00CB7F49"/>
    <w:rsid w:val="00CC002B"/>
    <w:rsid w:val="00CC01CC"/>
    <w:rsid w:val="00CC0386"/>
    <w:rsid w:val="00CC07E5"/>
    <w:rsid w:val="00CC09F0"/>
    <w:rsid w:val="00CC0C11"/>
    <w:rsid w:val="00CC0EFE"/>
    <w:rsid w:val="00CC15B5"/>
    <w:rsid w:val="00CC1671"/>
    <w:rsid w:val="00CC1B03"/>
    <w:rsid w:val="00CC1EC3"/>
    <w:rsid w:val="00CC1F52"/>
    <w:rsid w:val="00CC2072"/>
    <w:rsid w:val="00CC233F"/>
    <w:rsid w:val="00CC2412"/>
    <w:rsid w:val="00CC2755"/>
    <w:rsid w:val="00CC27FD"/>
    <w:rsid w:val="00CC2AAF"/>
    <w:rsid w:val="00CC2CAA"/>
    <w:rsid w:val="00CC2E7E"/>
    <w:rsid w:val="00CC3073"/>
    <w:rsid w:val="00CC31E8"/>
    <w:rsid w:val="00CC33C6"/>
    <w:rsid w:val="00CC3686"/>
    <w:rsid w:val="00CC3A6F"/>
    <w:rsid w:val="00CC3AB9"/>
    <w:rsid w:val="00CC3C9E"/>
    <w:rsid w:val="00CC3E13"/>
    <w:rsid w:val="00CC3E3C"/>
    <w:rsid w:val="00CC3FAB"/>
    <w:rsid w:val="00CC410E"/>
    <w:rsid w:val="00CC45E0"/>
    <w:rsid w:val="00CC46C0"/>
    <w:rsid w:val="00CC4BBE"/>
    <w:rsid w:val="00CC4BC3"/>
    <w:rsid w:val="00CC4C84"/>
    <w:rsid w:val="00CC4D77"/>
    <w:rsid w:val="00CC4E3E"/>
    <w:rsid w:val="00CC4EBB"/>
    <w:rsid w:val="00CC4F43"/>
    <w:rsid w:val="00CC502F"/>
    <w:rsid w:val="00CC5045"/>
    <w:rsid w:val="00CC50C7"/>
    <w:rsid w:val="00CC5218"/>
    <w:rsid w:val="00CC5583"/>
    <w:rsid w:val="00CC55AC"/>
    <w:rsid w:val="00CC5859"/>
    <w:rsid w:val="00CC5C37"/>
    <w:rsid w:val="00CC5CC8"/>
    <w:rsid w:val="00CC5EFF"/>
    <w:rsid w:val="00CC6159"/>
    <w:rsid w:val="00CC623F"/>
    <w:rsid w:val="00CC6595"/>
    <w:rsid w:val="00CC65A8"/>
    <w:rsid w:val="00CC6686"/>
    <w:rsid w:val="00CC6761"/>
    <w:rsid w:val="00CC6825"/>
    <w:rsid w:val="00CC6F48"/>
    <w:rsid w:val="00CC6FF2"/>
    <w:rsid w:val="00CC7012"/>
    <w:rsid w:val="00CC7061"/>
    <w:rsid w:val="00CC71F3"/>
    <w:rsid w:val="00CC72C0"/>
    <w:rsid w:val="00CC72FD"/>
    <w:rsid w:val="00CC736F"/>
    <w:rsid w:val="00CC73ED"/>
    <w:rsid w:val="00CC757D"/>
    <w:rsid w:val="00CC7A5C"/>
    <w:rsid w:val="00CC7C74"/>
    <w:rsid w:val="00CD00DB"/>
    <w:rsid w:val="00CD0119"/>
    <w:rsid w:val="00CD07FD"/>
    <w:rsid w:val="00CD0866"/>
    <w:rsid w:val="00CD0B84"/>
    <w:rsid w:val="00CD0FCB"/>
    <w:rsid w:val="00CD0FEE"/>
    <w:rsid w:val="00CD1169"/>
    <w:rsid w:val="00CD118C"/>
    <w:rsid w:val="00CD121F"/>
    <w:rsid w:val="00CD1299"/>
    <w:rsid w:val="00CD14A2"/>
    <w:rsid w:val="00CD16C7"/>
    <w:rsid w:val="00CD182B"/>
    <w:rsid w:val="00CD1A40"/>
    <w:rsid w:val="00CD1B33"/>
    <w:rsid w:val="00CD1C70"/>
    <w:rsid w:val="00CD1F5A"/>
    <w:rsid w:val="00CD25E4"/>
    <w:rsid w:val="00CD25F3"/>
    <w:rsid w:val="00CD27FF"/>
    <w:rsid w:val="00CD2BB8"/>
    <w:rsid w:val="00CD2BDD"/>
    <w:rsid w:val="00CD2C48"/>
    <w:rsid w:val="00CD2CFA"/>
    <w:rsid w:val="00CD305C"/>
    <w:rsid w:val="00CD31AC"/>
    <w:rsid w:val="00CD3256"/>
    <w:rsid w:val="00CD35E6"/>
    <w:rsid w:val="00CD38D8"/>
    <w:rsid w:val="00CD3A6D"/>
    <w:rsid w:val="00CD3BF4"/>
    <w:rsid w:val="00CD3E1B"/>
    <w:rsid w:val="00CD3E5A"/>
    <w:rsid w:val="00CD3E63"/>
    <w:rsid w:val="00CD40A3"/>
    <w:rsid w:val="00CD4323"/>
    <w:rsid w:val="00CD49C0"/>
    <w:rsid w:val="00CD4ACE"/>
    <w:rsid w:val="00CD4B54"/>
    <w:rsid w:val="00CD4B90"/>
    <w:rsid w:val="00CD4CD3"/>
    <w:rsid w:val="00CD510F"/>
    <w:rsid w:val="00CD5179"/>
    <w:rsid w:val="00CD51D2"/>
    <w:rsid w:val="00CD578C"/>
    <w:rsid w:val="00CD589F"/>
    <w:rsid w:val="00CD5C0F"/>
    <w:rsid w:val="00CD5F91"/>
    <w:rsid w:val="00CD60C9"/>
    <w:rsid w:val="00CD6345"/>
    <w:rsid w:val="00CD656D"/>
    <w:rsid w:val="00CD6A1E"/>
    <w:rsid w:val="00CD6BBB"/>
    <w:rsid w:val="00CD6C19"/>
    <w:rsid w:val="00CD6E47"/>
    <w:rsid w:val="00CD733C"/>
    <w:rsid w:val="00CD744D"/>
    <w:rsid w:val="00CD7482"/>
    <w:rsid w:val="00CD7635"/>
    <w:rsid w:val="00CD7DF5"/>
    <w:rsid w:val="00CE01E5"/>
    <w:rsid w:val="00CE03D8"/>
    <w:rsid w:val="00CE052A"/>
    <w:rsid w:val="00CE0700"/>
    <w:rsid w:val="00CE07C1"/>
    <w:rsid w:val="00CE0926"/>
    <w:rsid w:val="00CE0E5B"/>
    <w:rsid w:val="00CE12EF"/>
    <w:rsid w:val="00CE1567"/>
    <w:rsid w:val="00CE166F"/>
    <w:rsid w:val="00CE1743"/>
    <w:rsid w:val="00CE186F"/>
    <w:rsid w:val="00CE1BC4"/>
    <w:rsid w:val="00CE1C09"/>
    <w:rsid w:val="00CE1D82"/>
    <w:rsid w:val="00CE1DD5"/>
    <w:rsid w:val="00CE1F38"/>
    <w:rsid w:val="00CE202E"/>
    <w:rsid w:val="00CE2036"/>
    <w:rsid w:val="00CE20E3"/>
    <w:rsid w:val="00CE24B7"/>
    <w:rsid w:val="00CE273A"/>
    <w:rsid w:val="00CE2764"/>
    <w:rsid w:val="00CE28DF"/>
    <w:rsid w:val="00CE2C8C"/>
    <w:rsid w:val="00CE321C"/>
    <w:rsid w:val="00CE3261"/>
    <w:rsid w:val="00CE32E8"/>
    <w:rsid w:val="00CE3319"/>
    <w:rsid w:val="00CE3700"/>
    <w:rsid w:val="00CE3B69"/>
    <w:rsid w:val="00CE3B77"/>
    <w:rsid w:val="00CE4042"/>
    <w:rsid w:val="00CE406D"/>
    <w:rsid w:val="00CE44C5"/>
    <w:rsid w:val="00CE4559"/>
    <w:rsid w:val="00CE4903"/>
    <w:rsid w:val="00CE4A1E"/>
    <w:rsid w:val="00CE4BA6"/>
    <w:rsid w:val="00CE4F01"/>
    <w:rsid w:val="00CE5118"/>
    <w:rsid w:val="00CE53EF"/>
    <w:rsid w:val="00CE5487"/>
    <w:rsid w:val="00CE569B"/>
    <w:rsid w:val="00CE575E"/>
    <w:rsid w:val="00CE585E"/>
    <w:rsid w:val="00CE58E0"/>
    <w:rsid w:val="00CE59B5"/>
    <w:rsid w:val="00CE59DB"/>
    <w:rsid w:val="00CE5D3A"/>
    <w:rsid w:val="00CE5DFA"/>
    <w:rsid w:val="00CE6377"/>
    <w:rsid w:val="00CE6588"/>
    <w:rsid w:val="00CE6641"/>
    <w:rsid w:val="00CE6CEB"/>
    <w:rsid w:val="00CE7381"/>
    <w:rsid w:val="00CE73F8"/>
    <w:rsid w:val="00CE7447"/>
    <w:rsid w:val="00CE74CE"/>
    <w:rsid w:val="00CE799B"/>
    <w:rsid w:val="00CE7B47"/>
    <w:rsid w:val="00CE7F36"/>
    <w:rsid w:val="00CF079D"/>
    <w:rsid w:val="00CF0829"/>
    <w:rsid w:val="00CF0AB1"/>
    <w:rsid w:val="00CF0C2C"/>
    <w:rsid w:val="00CF0E74"/>
    <w:rsid w:val="00CF11C5"/>
    <w:rsid w:val="00CF130E"/>
    <w:rsid w:val="00CF1833"/>
    <w:rsid w:val="00CF1AEA"/>
    <w:rsid w:val="00CF1B4F"/>
    <w:rsid w:val="00CF1BF3"/>
    <w:rsid w:val="00CF1C8C"/>
    <w:rsid w:val="00CF1D6B"/>
    <w:rsid w:val="00CF2091"/>
    <w:rsid w:val="00CF2130"/>
    <w:rsid w:val="00CF21F6"/>
    <w:rsid w:val="00CF2278"/>
    <w:rsid w:val="00CF2916"/>
    <w:rsid w:val="00CF2A08"/>
    <w:rsid w:val="00CF2A4F"/>
    <w:rsid w:val="00CF2BBB"/>
    <w:rsid w:val="00CF2C62"/>
    <w:rsid w:val="00CF2F66"/>
    <w:rsid w:val="00CF3245"/>
    <w:rsid w:val="00CF337B"/>
    <w:rsid w:val="00CF348B"/>
    <w:rsid w:val="00CF348E"/>
    <w:rsid w:val="00CF3D76"/>
    <w:rsid w:val="00CF3FE7"/>
    <w:rsid w:val="00CF4059"/>
    <w:rsid w:val="00CF41B0"/>
    <w:rsid w:val="00CF4206"/>
    <w:rsid w:val="00CF4416"/>
    <w:rsid w:val="00CF4A50"/>
    <w:rsid w:val="00CF5035"/>
    <w:rsid w:val="00CF5466"/>
    <w:rsid w:val="00CF5762"/>
    <w:rsid w:val="00CF5C33"/>
    <w:rsid w:val="00CF5CAA"/>
    <w:rsid w:val="00CF5D0C"/>
    <w:rsid w:val="00CF5E3A"/>
    <w:rsid w:val="00CF5FF9"/>
    <w:rsid w:val="00CF6146"/>
    <w:rsid w:val="00CF6545"/>
    <w:rsid w:val="00CF65B4"/>
    <w:rsid w:val="00CF6846"/>
    <w:rsid w:val="00CF69B0"/>
    <w:rsid w:val="00CF6BD8"/>
    <w:rsid w:val="00CF6C05"/>
    <w:rsid w:val="00CF724C"/>
    <w:rsid w:val="00CF7485"/>
    <w:rsid w:val="00CF77B0"/>
    <w:rsid w:val="00CF793F"/>
    <w:rsid w:val="00CF7E56"/>
    <w:rsid w:val="00D0097A"/>
    <w:rsid w:val="00D00A78"/>
    <w:rsid w:val="00D00C0C"/>
    <w:rsid w:val="00D00D15"/>
    <w:rsid w:val="00D00E33"/>
    <w:rsid w:val="00D0139C"/>
    <w:rsid w:val="00D015F9"/>
    <w:rsid w:val="00D016BA"/>
    <w:rsid w:val="00D016F4"/>
    <w:rsid w:val="00D01744"/>
    <w:rsid w:val="00D01928"/>
    <w:rsid w:val="00D01AC9"/>
    <w:rsid w:val="00D025CE"/>
    <w:rsid w:val="00D026DF"/>
    <w:rsid w:val="00D027CE"/>
    <w:rsid w:val="00D02A0F"/>
    <w:rsid w:val="00D02DF3"/>
    <w:rsid w:val="00D02E58"/>
    <w:rsid w:val="00D02FB3"/>
    <w:rsid w:val="00D03181"/>
    <w:rsid w:val="00D037DC"/>
    <w:rsid w:val="00D0383B"/>
    <w:rsid w:val="00D03A8A"/>
    <w:rsid w:val="00D03B23"/>
    <w:rsid w:val="00D03D35"/>
    <w:rsid w:val="00D03D71"/>
    <w:rsid w:val="00D03DA4"/>
    <w:rsid w:val="00D03DA5"/>
    <w:rsid w:val="00D03F27"/>
    <w:rsid w:val="00D03F7E"/>
    <w:rsid w:val="00D043B7"/>
    <w:rsid w:val="00D043EE"/>
    <w:rsid w:val="00D0470D"/>
    <w:rsid w:val="00D04716"/>
    <w:rsid w:val="00D0478F"/>
    <w:rsid w:val="00D04CC8"/>
    <w:rsid w:val="00D04DC6"/>
    <w:rsid w:val="00D05249"/>
    <w:rsid w:val="00D05455"/>
    <w:rsid w:val="00D055CA"/>
    <w:rsid w:val="00D059FC"/>
    <w:rsid w:val="00D05D8E"/>
    <w:rsid w:val="00D05DEF"/>
    <w:rsid w:val="00D063E4"/>
    <w:rsid w:val="00D0654F"/>
    <w:rsid w:val="00D0674B"/>
    <w:rsid w:val="00D067FE"/>
    <w:rsid w:val="00D06861"/>
    <w:rsid w:val="00D0688A"/>
    <w:rsid w:val="00D06F22"/>
    <w:rsid w:val="00D0715C"/>
    <w:rsid w:val="00D0724C"/>
    <w:rsid w:val="00D07316"/>
    <w:rsid w:val="00D07A9C"/>
    <w:rsid w:val="00D07E5E"/>
    <w:rsid w:val="00D10053"/>
    <w:rsid w:val="00D10076"/>
    <w:rsid w:val="00D1033B"/>
    <w:rsid w:val="00D10477"/>
    <w:rsid w:val="00D10508"/>
    <w:rsid w:val="00D107E2"/>
    <w:rsid w:val="00D10852"/>
    <w:rsid w:val="00D10BDC"/>
    <w:rsid w:val="00D10FEC"/>
    <w:rsid w:val="00D11931"/>
    <w:rsid w:val="00D11977"/>
    <w:rsid w:val="00D11AAE"/>
    <w:rsid w:val="00D11B26"/>
    <w:rsid w:val="00D11D76"/>
    <w:rsid w:val="00D11E70"/>
    <w:rsid w:val="00D11E73"/>
    <w:rsid w:val="00D11EBD"/>
    <w:rsid w:val="00D121F5"/>
    <w:rsid w:val="00D1259F"/>
    <w:rsid w:val="00D126E4"/>
    <w:rsid w:val="00D1312D"/>
    <w:rsid w:val="00D131BF"/>
    <w:rsid w:val="00D132EB"/>
    <w:rsid w:val="00D134CD"/>
    <w:rsid w:val="00D1375B"/>
    <w:rsid w:val="00D13DE1"/>
    <w:rsid w:val="00D140E6"/>
    <w:rsid w:val="00D1415C"/>
    <w:rsid w:val="00D14793"/>
    <w:rsid w:val="00D14F18"/>
    <w:rsid w:val="00D151E5"/>
    <w:rsid w:val="00D1557E"/>
    <w:rsid w:val="00D15720"/>
    <w:rsid w:val="00D158EF"/>
    <w:rsid w:val="00D15A3F"/>
    <w:rsid w:val="00D15C14"/>
    <w:rsid w:val="00D15E74"/>
    <w:rsid w:val="00D15E9D"/>
    <w:rsid w:val="00D15E9F"/>
    <w:rsid w:val="00D15FAA"/>
    <w:rsid w:val="00D15FE1"/>
    <w:rsid w:val="00D16261"/>
    <w:rsid w:val="00D1677C"/>
    <w:rsid w:val="00D16929"/>
    <w:rsid w:val="00D169AC"/>
    <w:rsid w:val="00D169EA"/>
    <w:rsid w:val="00D16B54"/>
    <w:rsid w:val="00D16CC3"/>
    <w:rsid w:val="00D16CDF"/>
    <w:rsid w:val="00D16D2A"/>
    <w:rsid w:val="00D16ECB"/>
    <w:rsid w:val="00D16EEE"/>
    <w:rsid w:val="00D17167"/>
    <w:rsid w:val="00D172EC"/>
    <w:rsid w:val="00D1794C"/>
    <w:rsid w:val="00D17B83"/>
    <w:rsid w:val="00D17BA5"/>
    <w:rsid w:val="00D17D86"/>
    <w:rsid w:val="00D17D8D"/>
    <w:rsid w:val="00D17EC9"/>
    <w:rsid w:val="00D201CE"/>
    <w:rsid w:val="00D201FF"/>
    <w:rsid w:val="00D2058D"/>
    <w:rsid w:val="00D2062C"/>
    <w:rsid w:val="00D20782"/>
    <w:rsid w:val="00D20BD0"/>
    <w:rsid w:val="00D20EBB"/>
    <w:rsid w:val="00D21479"/>
    <w:rsid w:val="00D21550"/>
    <w:rsid w:val="00D21620"/>
    <w:rsid w:val="00D21628"/>
    <w:rsid w:val="00D2176E"/>
    <w:rsid w:val="00D2182A"/>
    <w:rsid w:val="00D219FD"/>
    <w:rsid w:val="00D21AD0"/>
    <w:rsid w:val="00D220A7"/>
    <w:rsid w:val="00D22105"/>
    <w:rsid w:val="00D2211C"/>
    <w:rsid w:val="00D2240B"/>
    <w:rsid w:val="00D224C7"/>
    <w:rsid w:val="00D22716"/>
    <w:rsid w:val="00D22819"/>
    <w:rsid w:val="00D228A9"/>
    <w:rsid w:val="00D22945"/>
    <w:rsid w:val="00D22B55"/>
    <w:rsid w:val="00D22C64"/>
    <w:rsid w:val="00D22DA2"/>
    <w:rsid w:val="00D22E15"/>
    <w:rsid w:val="00D23055"/>
    <w:rsid w:val="00D230AD"/>
    <w:rsid w:val="00D23361"/>
    <w:rsid w:val="00D23443"/>
    <w:rsid w:val="00D2355B"/>
    <w:rsid w:val="00D236DD"/>
    <w:rsid w:val="00D23763"/>
    <w:rsid w:val="00D23AA6"/>
    <w:rsid w:val="00D23FE3"/>
    <w:rsid w:val="00D240CC"/>
    <w:rsid w:val="00D24192"/>
    <w:rsid w:val="00D24745"/>
    <w:rsid w:val="00D24F81"/>
    <w:rsid w:val="00D251AB"/>
    <w:rsid w:val="00D255E3"/>
    <w:rsid w:val="00D2575E"/>
    <w:rsid w:val="00D25923"/>
    <w:rsid w:val="00D25AC6"/>
    <w:rsid w:val="00D25F92"/>
    <w:rsid w:val="00D261D3"/>
    <w:rsid w:val="00D2622A"/>
    <w:rsid w:val="00D26698"/>
    <w:rsid w:val="00D26C0A"/>
    <w:rsid w:val="00D26DD4"/>
    <w:rsid w:val="00D2747E"/>
    <w:rsid w:val="00D27653"/>
    <w:rsid w:val="00D27B3C"/>
    <w:rsid w:val="00D27C05"/>
    <w:rsid w:val="00D27C06"/>
    <w:rsid w:val="00D27D84"/>
    <w:rsid w:val="00D27E67"/>
    <w:rsid w:val="00D27FB8"/>
    <w:rsid w:val="00D3005A"/>
    <w:rsid w:val="00D303A5"/>
    <w:rsid w:val="00D3051A"/>
    <w:rsid w:val="00D305CB"/>
    <w:rsid w:val="00D306D5"/>
    <w:rsid w:val="00D30952"/>
    <w:rsid w:val="00D30AF2"/>
    <w:rsid w:val="00D310DF"/>
    <w:rsid w:val="00D31255"/>
    <w:rsid w:val="00D31486"/>
    <w:rsid w:val="00D3153B"/>
    <w:rsid w:val="00D315F7"/>
    <w:rsid w:val="00D3186C"/>
    <w:rsid w:val="00D31905"/>
    <w:rsid w:val="00D319DF"/>
    <w:rsid w:val="00D31F58"/>
    <w:rsid w:val="00D3220E"/>
    <w:rsid w:val="00D3225E"/>
    <w:rsid w:val="00D32397"/>
    <w:rsid w:val="00D32433"/>
    <w:rsid w:val="00D324BC"/>
    <w:rsid w:val="00D329F0"/>
    <w:rsid w:val="00D3303D"/>
    <w:rsid w:val="00D334F2"/>
    <w:rsid w:val="00D33565"/>
    <w:rsid w:val="00D33741"/>
    <w:rsid w:val="00D33762"/>
    <w:rsid w:val="00D33784"/>
    <w:rsid w:val="00D33807"/>
    <w:rsid w:val="00D33E71"/>
    <w:rsid w:val="00D34025"/>
    <w:rsid w:val="00D3413A"/>
    <w:rsid w:val="00D341F6"/>
    <w:rsid w:val="00D34357"/>
    <w:rsid w:val="00D345E1"/>
    <w:rsid w:val="00D3488B"/>
    <w:rsid w:val="00D34AED"/>
    <w:rsid w:val="00D34B86"/>
    <w:rsid w:val="00D34BD1"/>
    <w:rsid w:val="00D34F04"/>
    <w:rsid w:val="00D35177"/>
    <w:rsid w:val="00D354D5"/>
    <w:rsid w:val="00D356E1"/>
    <w:rsid w:val="00D35F08"/>
    <w:rsid w:val="00D35FB8"/>
    <w:rsid w:val="00D365D2"/>
    <w:rsid w:val="00D36772"/>
    <w:rsid w:val="00D3678C"/>
    <w:rsid w:val="00D3696F"/>
    <w:rsid w:val="00D36A34"/>
    <w:rsid w:val="00D36F58"/>
    <w:rsid w:val="00D37006"/>
    <w:rsid w:val="00D3765A"/>
    <w:rsid w:val="00D37770"/>
    <w:rsid w:val="00D3779C"/>
    <w:rsid w:val="00D3785B"/>
    <w:rsid w:val="00D378EC"/>
    <w:rsid w:val="00D37DDB"/>
    <w:rsid w:val="00D400AA"/>
    <w:rsid w:val="00D40609"/>
    <w:rsid w:val="00D40983"/>
    <w:rsid w:val="00D409CE"/>
    <w:rsid w:val="00D40E5F"/>
    <w:rsid w:val="00D41188"/>
    <w:rsid w:val="00D4144B"/>
    <w:rsid w:val="00D41616"/>
    <w:rsid w:val="00D4165D"/>
    <w:rsid w:val="00D417D3"/>
    <w:rsid w:val="00D418D5"/>
    <w:rsid w:val="00D41A6B"/>
    <w:rsid w:val="00D41B4C"/>
    <w:rsid w:val="00D41CE3"/>
    <w:rsid w:val="00D41DB1"/>
    <w:rsid w:val="00D42045"/>
    <w:rsid w:val="00D420C9"/>
    <w:rsid w:val="00D42166"/>
    <w:rsid w:val="00D42227"/>
    <w:rsid w:val="00D4276D"/>
    <w:rsid w:val="00D42798"/>
    <w:rsid w:val="00D428E8"/>
    <w:rsid w:val="00D42970"/>
    <w:rsid w:val="00D42C02"/>
    <w:rsid w:val="00D43039"/>
    <w:rsid w:val="00D4317D"/>
    <w:rsid w:val="00D43492"/>
    <w:rsid w:val="00D43551"/>
    <w:rsid w:val="00D4364E"/>
    <w:rsid w:val="00D436E9"/>
    <w:rsid w:val="00D438A3"/>
    <w:rsid w:val="00D43A39"/>
    <w:rsid w:val="00D43AED"/>
    <w:rsid w:val="00D43F46"/>
    <w:rsid w:val="00D43FF9"/>
    <w:rsid w:val="00D445AF"/>
    <w:rsid w:val="00D44916"/>
    <w:rsid w:val="00D451C6"/>
    <w:rsid w:val="00D4533D"/>
    <w:rsid w:val="00D4582E"/>
    <w:rsid w:val="00D458CA"/>
    <w:rsid w:val="00D45935"/>
    <w:rsid w:val="00D45CA4"/>
    <w:rsid w:val="00D45EA7"/>
    <w:rsid w:val="00D45F22"/>
    <w:rsid w:val="00D45F50"/>
    <w:rsid w:val="00D45FAD"/>
    <w:rsid w:val="00D46111"/>
    <w:rsid w:val="00D461DD"/>
    <w:rsid w:val="00D46408"/>
    <w:rsid w:val="00D46485"/>
    <w:rsid w:val="00D464FD"/>
    <w:rsid w:val="00D4695C"/>
    <w:rsid w:val="00D46E42"/>
    <w:rsid w:val="00D47178"/>
    <w:rsid w:val="00D4752E"/>
    <w:rsid w:val="00D47842"/>
    <w:rsid w:val="00D478A8"/>
    <w:rsid w:val="00D47BEF"/>
    <w:rsid w:val="00D5027C"/>
    <w:rsid w:val="00D50310"/>
    <w:rsid w:val="00D505E1"/>
    <w:rsid w:val="00D5065B"/>
    <w:rsid w:val="00D50826"/>
    <w:rsid w:val="00D509C5"/>
    <w:rsid w:val="00D50A4A"/>
    <w:rsid w:val="00D50CBD"/>
    <w:rsid w:val="00D51239"/>
    <w:rsid w:val="00D515E8"/>
    <w:rsid w:val="00D51675"/>
    <w:rsid w:val="00D51691"/>
    <w:rsid w:val="00D51800"/>
    <w:rsid w:val="00D51A75"/>
    <w:rsid w:val="00D51D39"/>
    <w:rsid w:val="00D51F73"/>
    <w:rsid w:val="00D521A1"/>
    <w:rsid w:val="00D5223D"/>
    <w:rsid w:val="00D523BA"/>
    <w:rsid w:val="00D5257B"/>
    <w:rsid w:val="00D52747"/>
    <w:rsid w:val="00D52827"/>
    <w:rsid w:val="00D529BE"/>
    <w:rsid w:val="00D52B0E"/>
    <w:rsid w:val="00D52CF6"/>
    <w:rsid w:val="00D53198"/>
    <w:rsid w:val="00D5322E"/>
    <w:rsid w:val="00D532DC"/>
    <w:rsid w:val="00D53310"/>
    <w:rsid w:val="00D5342F"/>
    <w:rsid w:val="00D53593"/>
    <w:rsid w:val="00D538B8"/>
    <w:rsid w:val="00D53B19"/>
    <w:rsid w:val="00D53C1E"/>
    <w:rsid w:val="00D53D3E"/>
    <w:rsid w:val="00D53F7B"/>
    <w:rsid w:val="00D540DC"/>
    <w:rsid w:val="00D542D1"/>
    <w:rsid w:val="00D54300"/>
    <w:rsid w:val="00D54393"/>
    <w:rsid w:val="00D54710"/>
    <w:rsid w:val="00D547E0"/>
    <w:rsid w:val="00D5495D"/>
    <w:rsid w:val="00D54992"/>
    <w:rsid w:val="00D54BF4"/>
    <w:rsid w:val="00D551A4"/>
    <w:rsid w:val="00D55291"/>
    <w:rsid w:val="00D5537A"/>
    <w:rsid w:val="00D555D8"/>
    <w:rsid w:val="00D55A8F"/>
    <w:rsid w:val="00D55C48"/>
    <w:rsid w:val="00D55D8D"/>
    <w:rsid w:val="00D55E47"/>
    <w:rsid w:val="00D5602A"/>
    <w:rsid w:val="00D560FA"/>
    <w:rsid w:val="00D565C6"/>
    <w:rsid w:val="00D568A3"/>
    <w:rsid w:val="00D56997"/>
    <w:rsid w:val="00D56CB5"/>
    <w:rsid w:val="00D570E6"/>
    <w:rsid w:val="00D5730F"/>
    <w:rsid w:val="00D5774F"/>
    <w:rsid w:val="00D578A0"/>
    <w:rsid w:val="00D578B1"/>
    <w:rsid w:val="00D57945"/>
    <w:rsid w:val="00D57A52"/>
    <w:rsid w:val="00D57E84"/>
    <w:rsid w:val="00D57FDF"/>
    <w:rsid w:val="00D60809"/>
    <w:rsid w:val="00D608A4"/>
    <w:rsid w:val="00D60C15"/>
    <w:rsid w:val="00D60D3A"/>
    <w:rsid w:val="00D60D57"/>
    <w:rsid w:val="00D60D7F"/>
    <w:rsid w:val="00D60DF8"/>
    <w:rsid w:val="00D61797"/>
    <w:rsid w:val="00D61816"/>
    <w:rsid w:val="00D6186E"/>
    <w:rsid w:val="00D61899"/>
    <w:rsid w:val="00D61C9C"/>
    <w:rsid w:val="00D61D86"/>
    <w:rsid w:val="00D62111"/>
    <w:rsid w:val="00D62229"/>
    <w:rsid w:val="00D625B8"/>
    <w:rsid w:val="00D62648"/>
    <w:rsid w:val="00D626F8"/>
    <w:rsid w:val="00D62F5E"/>
    <w:rsid w:val="00D634CD"/>
    <w:rsid w:val="00D6366C"/>
    <w:rsid w:val="00D636DC"/>
    <w:rsid w:val="00D637BE"/>
    <w:rsid w:val="00D63941"/>
    <w:rsid w:val="00D63D55"/>
    <w:rsid w:val="00D63F4C"/>
    <w:rsid w:val="00D64265"/>
    <w:rsid w:val="00D6433E"/>
    <w:rsid w:val="00D64613"/>
    <w:rsid w:val="00D64702"/>
    <w:rsid w:val="00D65449"/>
    <w:rsid w:val="00D65502"/>
    <w:rsid w:val="00D66450"/>
    <w:rsid w:val="00D66747"/>
    <w:rsid w:val="00D667D1"/>
    <w:rsid w:val="00D66AD1"/>
    <w:rsid w:val="00D66BD9"/>
    <w:rsid w:val="00D66BFD"/>
    <w:rsid w:val="00D66C76"/>
    <w:rsid w:val="00D66C91"/>
    <w:rsid w:val="00D66E36"/>
    <w:rsid w:val="00D66E84"/>
    <w:rsid w:val="00D6713D"/>
    <w:rsid w:val="00D671BB"/>
    <w:rsid w:val="00D674EE"/>
    <w:rsid w:val="00D67535"/>
    <w:rsid w:val="00D675E9"/>
    <w:rsid w:val="00D67756"/>
    <w:rsid w:val="00D677BC"/>
    <w:rsid w:val="00D67855"/>
    <w:rsid w:val="00D67B2A"/>
    <w:rsid w:val="00D67BC9"/>
    <w:rsid w:val="00D67CB7"/>
    <w:rsid w:val="00D67DBC"/>
    <w:rsid w:val="00D70480"/>
    <w:rsid w:val="00D704D9"/>
    <w:rsid w:val="00D708AB"/>
    <w:rsid w:val="00D70B30"/>
    <w:rsid w:val="00D70BD2"/>
    <w:rsid w:val="00D70C99"/>
    <w:rsid w:val="00D713F2"/>
    <w:rsid w:val="00D715FF"/>
    <w:rsid w:val="00D717E4"/>
    <w:rsid w:val="00D717F9"/>
    <w:rsid w:val="00D71B5F"/>
    <w:rsid w:val="00D7208F"/>
    <w:rsid w:val="00D721AA"/>
    <w:rsid w:val="00D724F2"/>
    <w:rsid w:val="00D7257D"/>
    <w:rsid w:val="00D72705"/>
    <w:rsid w:val="00D72C04"/>
    <w:rsid w:val="00D7342C"/>
    <w:rsid w:val="00D7358E"/>
    <w:rsid w:val="00D738BF"/>
    <w:rsid w:val="00D7397E"/>
    <w:rsid w:val="00D73B3D"/>
    <w:rsid w:val="00D73B93"/>
    <w:rsid w:val="00D73C95"/>
    <w:rsid w:val="00D73F29"/>
    <w:rsid w:val="00D73F44"/>
    <w:rsid w:val="00D73F99"/>
    <w:rsid w:val="00D74192"/>
    <w:rsid w:val="00D744BD"/>
    <w:rsid w:val="00D745C1"/>
    <w:rsid w:val="00D746F4"/>
    <w:rsid w:val="00D7471B"/>
    <w:rsid w:val="00D74799"/>
    <w:rsid w:val="00D7483E"/>
    <w:rsid w:val="00D7490C"/>
    <w:rsid w:val="00D749CF"/>
    <w:rsid w:val="00D74B6E"/>
    <w:rsid w:val="00D74C97"/>
    <w:rsid w:val="00D74D95"/>
    <w:rsid w:val="00D750A4"/>
    <w:rsid w:val="00D75185"/>
    <w:rsid w:val="00D753AF"/>
    <w:rsid w:val="00D75676"/>
    <w:rsid w:val="00D7570F"/>
    <w:rsid w:val="00D75731"/>
    <w:rsid w:val="00D75925"/>
    <w:rsid w:val="00D75B45"/>
    <w:rsid w:val="00D75B5C"/>
    <w:rsid w:val="00D75F48"/>
    <w:rsid w:val="00D75F6E"/>
    <w:rsid w:val="00D75F8C"/>
    <w:rsid w:val="00D76050"/>
    <w:rsid w:val="00D76105"/>
    <w:rsid w:val="00D76309"/>
    <w:rsid w:val="00D76423"/>
    <w:rsid w:val="00D767BF"/>
    <w:rsid w:val="00D767DF"/>
    <w:rsid w:val="00D76CB4"/>
    <w:rsid w:val="00D76D77"/>
    <w:rsid w:val="00D76F65"/>
    <w:rsid w:val="00D77251"/>
    <w:rsid w:val="00D77278"/>
    <w:rsid w:val="00D775B5"/>
    <w:rsid w:val="00D7772F"/>
    <w:rsid w:val="00D7789B"/>
    <w:rsid w:val="00D778A5"/>
    <w:rsid w:val="00D77914"/>
    <w:rsid w:val="00D77917"/>
    <w:rsid w:val="00D77961"/>
    <w:rsid w:val="00D77B20"/>
    <w:rsid w:val="00D77B33"/>
    <w:rsid w:val="00D77B3B"/>
    <w:rsid w:val="00D8007C"/>
    <w:rsid w:val="00D80444"/>
    <w:rsid w:val="00D804B9"/>
    <w:rsid w:val="00D8079F"/>
    <w:rsid w:val="00D8082D"/>
    <w:rsid w:val="00D80BA5"/>
    <w:rsid w:val="00D80C7A"/>
    <w:rsid w:val="00D8103B"/>
    <w:rsid w:val="00D81055"/>
    <w:rsid w:val="00D8111B"/>
    <w:rsid w:val="00D81242"/>
    <w:rsid w:val="00D812D2"/>
    <w:rsid w:val="00D81383"/>
    <w:rsid w:val="00D81B1E"/>
    <w:rsid w:val="00D81B2C"/>
    <w:rsid w:val="00D81C68"/>
    <w:rsid w:val="00D81CE2"/>
    <w:rsid w:val="00D822FA"/>
    <w:rsid w:val="00D82369"/>
    <w:rsid w:val="00D823E3"/>
    <w:rsid w:val="00D826C2"/>
    <w:rsid w:val="00D827F3"/>
    <w:rsid w:val="00D82D02"/>
    <w:rsid w:val="00D82D0F"/>
    <w:rsid w:val="00D82EE5"/>
    <w:rsid w:val="00D83079"/>
    <w:rsid w:val="00D832DA"/>
    <w:rsid w:val="00D83556"/>
    <w:rsid w:val="00D83925"/>
    <w:rsid w:val="00D83A5A"/>
    <w:rsid w:val="00D83A79"/>
    <w:rsid w:val="00D83C3D"/>
    <w:rsid w:val="00D83F9A"/>
    <w:rsid w:val="00D84157"/>
    <w:rsid w:val="00D84323"/>
    <w:rsid w:val="00D84325"/>
    <w:rsid w:val="00D845EF"/>
    <w:rsid w:val="00D848D8"/>
    <w:rsid w:val="00D84BD7"/>
    <w:rsid w:val="00D84DCA"/>
    <w:rsid w:val="00D84EEE"/>
    <w:rsid w:val="00D84F77"/>
    <w:rsid w:val="00D850FC"/>
    <w:rsid w:val="00D85114"/>
    <w:rsid w:val="00D855E3"/>
    <w:rsid w:val="00D857BC"/>
    <w:rsid w:val="00D858D4"/>
    <w:rsid w:val="00D86144"/>
    <w:rsid w:val="00D8622E"/>
    <w:rsid w:val="00D8626E"/>
    <w:rsid w:val="00D866AC"/>
    <w:rsid w:val="00D86EE9"/>
    <w:rsid w:val="00D8718F"/>
    <w:rsid w:val="00D871B6"/>
    <w:rsid w:val="00D87223"/>
    <w:rsid w:val="00D8741A"/>
    <w:rsid w:val="00D87435"/>
    <w:rsid w:val="00D875BB"/>
    <w:rsid w:val="00D875E1"/>
    <w:rsid w:val="00D87609"/>
    <w:rsid w:val="00D8772C"/>
    <w:rsid w:val="00D8784B"/>
    <w:rsid w:val="00D878A1"/>
    <w:rsid w:val="00D87D94"/>
    <w:rsid w:val="00D9000B"/>
    <w:rsid w:val="00D90275"/>
    <w:rsid w:val="00D902F5"/>
    <w:rsid w:val="00D90303"/>
    <w:rsid w:val="00D90343"/>
    <w:rsid w:val="00D90347"/>
    <w:rsid w:val="00D90678"/>
    <w:rsid w:val="00D9075D"/>
    <w:rsid w:val="00D90959"/>
    <w:rsid w:val="00D90B2C"/>
    <w:rsid w:val="00D90B3E"/>
    <w:rsid w:val="00D9102B"/>
    <w:rsid w:val="00D912A5"/>
    <w:rsid w:val="00D91378"/>
    <w:rsid w:val="00D913AF"/>
    <w:rsid w:val="00D91410"/>
    <w:rsid w:val="00D91438"/>
    <w:rsid w:val="00D91594"/>
    <w:rsid w:val="00D9171C"/>
    <w:rsid w:val="00D91A21"/>
    <w:rsid w:val="00D91A8F"/>
    <w:rsid w:val="00D91A9B"/>
    <w:rsid w:val="00D91ABE"/>
    <w:rsid w:val="00D91B02"/>
    <w:rsid w:val="00D91CF0"/>
    <w:rsid w:val="00D91DFB"/>
    <w:rsid w:val="00D9216E"/>
    <w:rsid w:val="00D921DA"/>
    <w:rsid w:val="00D92227"/>
    <w:rsid w:val="00D926C4"/>
    <w:rsid w:val="00D92996"/>
    <w:rsid w:val="00D92C2F"/>
    <w:rsid w:val="00D92E50"/>
    <w:rsid w:val="00D92F7F"/>
    <w:rsid w:val="00D93329"/>
    <w:rsid w:val="00D9333C"/>
    <w:rsid w:val="00D9342F"/>
    <w:rsid w:val="00D934D2"/>
    <w:rsid w:val="00D93514"/>
    <w:rsid w:val="00D93665"/>
    <w:rsid w:val="00D93B3C"/>
    <w:rsid w:val="00D93B97"/>
    <w:rsid w:val="00D93D0E"/>
    <w:rsid w:val="00D93D21"/>
    <w:rsid w:val="00D940D6"/>
    <w:rsid w:val="00D940FD"/>
    <w:rsid w:val="00D944EC"/>
    <w:rsid w:val="00D9459D"/>
    <w:rsid w:val="00D94730"/>
    <w:rsid w:val="00D94765"/>
    <w:rsid w:val="00D947BB"/>
    <w:rsid w:val="00D94858"/>
    <w:rsid w:val="00D94972"/>
    <w:rsid w:val="00D94BEC"/>
    <w:rsid w:val="00D94EC5"/>
    <w:rsid w:val="00D954A1"/>
    <w:rsid w:val="00D95519"/>
    <w:rsid w:val="00D95613"/>
    <w:rsid w:val="00D95744"/>
    <w:rsid w:val="00D958FC"/>
    <w:rsid w:val="00D9594F"/>
    <w:rsid w:val="00D959AE"/>
    <w:rsid w:val="00D95DC2"/>
    <w:rsid w:val="00D960BD"/>
    <w:rsid w:val="00D9622A"/>
    <w:rsid w:val="00D96636"/>
    <w:rsid w:val="00D96662"/>
    <w:rsid w:val="00D96678"/>
    <w:rsid w:val="00D966E3"/>
    <w:rsid w:val="00D96AB2"/>
    <w:rsid w:val="00D96BB7"/>
    <w:rsid w:val="00D96C73"/>
    <w:rsid w:val="00D96CEE"/>
    <w:rsid w:val="00D96D46"/>
    <w:rsid w:val="00D9752E"/>
    <w:rsid w:val="00D97A99"/>
    <w:rsid w:val="00D97C27"/>
    <w:rsid w:val="00DA04A9"/>
    <w:rsid w:val="00DA0526"/>
    <w:rsid w:val="00DA0639"/>
    <w:rsid w:val="00DA079F"/>
    <w:rsid w:val="00DA08CB"/>
    <w:rsid w:val="00DA0CF7"/>
    <w:rsid w:val="00DA0E96"/>
    <w:rsid w:val="00DA1203"/>
    <w:rsid w:val="00DA13BE"/>
    <w:rsid w:val="00DA15FA"/>
    <w:rsid w:val="00DA1825"/>
    <w:rsid w:val="00DA18DA"/>
    <w:rsid w:val="00DA19EC"/>
    <w:rsid w:val="00DA1A9C"/>
    <w:rsid w:val="00DA1B45"/>
    <w:rsid w:val="00DA1BCE"/>
    <w:rsid w:val="00DA1EE2"/>
    <w:rsid w:val="00DA1F0C"/>
    <w:rsid w:val="00DA1F38"/>
    <w:rsid w:val="00DA23C5"/>
    <w:rsid w:val="00DA2413"/>
    <w:rsid w:val="00DA2752"/>
    <w:rsid w:val="00DA2BC0"/>
    <w:rsid w:val="00DA2F0F"/>
    <w:rsid w:val="00DA3138"/>
    <w:rsid w:val="00DA3399"/>
    <w:rsid w:val="00DA3474"/>
    <w:rsid w:val="00DA349E"/>
    <w:rsid w:val="00DA3565"/>
    <w:rsid w:val="00DA384D"/>
    <w:rsid w:val="00DA38D7"/>
    <w:rsid w:val="00DA3914"/>
    <w:rsid w:val="00DA3A1C"/>
    <w:rsid w:val="00DA3A5B"/>
    <w:rsid w:val="00DA3D0B"/>
    <w:rsid w:val="00DA3D1D"/>
    <w:rsid w:val="00DA3F51"/>
    <w:rsid w:val="00DA3F6B"/>
    <w:rsid w:val="00DA3FDC"/>
    <w:rsid w:val="00DA402C"/>
    <w:rsid w:val="00DA4336"/>
    <w:rsid w:val="00DA4541"/>
    <w:rsid w:val="00DA4597"/>
    <w:rsid w:val="00DA45DB"/>
    <w:rsid w:val="00DA48D9"/>
    <w:rsid w:val="00DA49F8"/>
    <w:rsid w:val="00DA4AAE"/>
    <w:rsid w:val="00DA501B"/>
    <w:rsid w:val="00DA51BF"/>
    <w:rsid w:val="00DA5354"/>
    <w:rsid w:val="00DA5572"/>
    <w:rsid w:val="00DA5AAB"/>
    <w:rsid w:val="00DA5AF4"/>
    <w:rsid w:val="00DA5B43"/>
    <w:rsid w:val="00DA5C70"/>
    <w:rsid w:val="00DA5CFA"/>
    <w:rsid w:val="00DA629D"/>
    <w:rsid w:val="00DA6533"/>
    <w:rsid w:val="00DA66DA"/>
    <w:rsid w:val="00DA66EC"/>
    <w:rsid w:val="00DA6718"/>
    <w:rsid w:val="00DA68D8"/>
    <w:rsid w:val="00DA691E"/>
    <w:rsid w:val="00DA6A15"/>
    <w:rsid w:val="00DA6BC9"/>
    <w:rsid w:val="00DA6CC2"/>
    <w:rsid w:val="00DA6D2F"/>
    <w:rsid w:val="00DA7023"/>
    <w:rsid w:val="00DA7029"/>
    <w:rsid w:val="00DA731C"/>
    <w:rsid w:val="00DA74D1"/>
    <w:rsid w:val="00DA77A0"/>
    <w:rsid w:val="00DA7A28"/>
    <w:rsid w:val="00DA7CE5"/>
    <w:rsid w:val="00DA7EAD"/>
    <w:rsid w:val="00DB02CC"/>
    <w:rsid w:val="00DB0401"/>
    <w:rsid w:val="00DB0602"/>
    <w:rsid w:val="00DB0736"/>
    <w:rsid w:val="00DB076A"/>
    <w:rsid w:val="00DB09A2"/>
    <w:rsid w:val="00DB0ABE"/>
    <w:rsid w:val="00DB0C79"/>
    <w:rsid w:val="00DB0FFB"/>
    <w:rsid w:val="00DB103D"/>
    <w:rsid w:val="00DB10A0"/>
    <w:rsid w:val="00DB1448"/>
    <w:rsid w:val="00DB1512"/>
    <w:rsid w:val="00DB158A"/>
    <w:rsid w:val="00DB1767"/>
    <w:rsid w:val="00DB1998"/>
    <w:rsid w:val="00DB1D42"/>
    <w:rsid w:val="00DB1DA0"/>
    <w:rsid w:val="00DB1E3E"/>
    <w:rsid w:val="00DB1FC4"/>
    <w:rsid w:val="00DB21F0"/>
    <w:rsid w:val="00DB24C0"/>
    <w:rsid w:val="00DB26EB"/>
    <w:rsid w:val="00DB2834"/>
    <w:rsid w:val="00DB2947"/>
    <w:rsid w:val="00DB2C5F"/>
    <w:rsid w:val="00DB2EB6"/>
    <w:rsid w:val="00DB3A58"/>
    <w:rsid w:val="00DB3BDF"/>
    <w:rsid w:val="00DB3C58"/>
    <w:rsid w:val="00DB3D46"/>
    <w:rsid w:val="00DB3EBC"/>
    <w:rsid w:val="00DB3F18"/>
    <w:rsid w:val="00DB401C"/>
    <w:rsid w:val="00DB4041"/>
    <w:rsid w:val="00DB40EE"/>
    <w:rsid w:val="00DB4219"/>
    <w:rsid w:val="00DB46C8"/>
    <w:rsid w:val="00DB48DE"/>
    <w:rsid w:val="00DB49C5"/>
    <w:rsid w:val="00DB4A2B"/>
    <w:rsid w:val="00DB4BF5"/>
    <w:rsid w:val="00DB5207"/>
    <w:rsid w:val="00DB540E"/>
    <w:rsid w:val="00DB5A63"/>
    <w:rsid w:val="00DB6166"/>
    <w:rsid w:val="00DB6173"/>
    <w:rsid w:val="00DB6227"/>
    <w:rsid w:val="00DB6559"/>
    <w:rsid w:val="00DB656B"/>
    <w:rsid w:val="00DB6639"/>
    <w:rsid w:val="00DB691E"/>
    <w:rsid w:val="00DB6F9A"/>
    <w:rsid w:val="00DB75A3"/>
    <w:rsid w:val="00DB75DA"/>
    <w:rsid w:val="00DB7625"/>
    <w:rsid w:val="00DB7692"/>
    <w:rsid w:val="00DB799D"/>
    <w:rsid w:val="00DB79C8"/>
    <w:rsid w:val="00DB7A42"/>
    <w:rsid w:val="00DB7BEF"/>
    <w:rsid w:val="00DB7BF2"/>
    <w:rsid w:val="00DB7C49"/>
    <w:rsid w:val="00DB7F2C"/>
    <w:rsid w:val="00DC01C1"/>
    <w:rsid w:val="00DC0564"/>
    <w:rsid w:val="00DC0574"/>
    <w:rsid w:val="00DC0595"/>
    <w:rsid w:val="00DC0617"/>
    <w:rsid w:val="00DC07EE"/>
    <w:rsid w:val="00DC0A82"/>
    <w:rsid w:val="00DC0C65"/>
    <w:rsid w:val="00DC0CD6"/>
    <w:rsid w:val="00DC1302"/>
    <w:rsid w:val="00DC1424"/>
    <w:rsid w:val="00DC16BF"/>
    <w:rsid w:val="00DC16E1"/>
    <w:rsid w:val="00DC16FC"/>
    <w:rsid w:val="00DC1881"/>
    <w:rsid w:val="00DC1ED7"/>
    <w:rsid w:val="00DC2524"/>
    <w:rsid w:val="00DC2E5C"/>
    <w:rsid w:val="00DC3082"/>
    <w:rsid w:val="00DC315A"/>
    <w:rsid w:val="00DC31D8"/>
    <w:rsid w:val="00DC36DE"/>
    <w:rsid w:val="00DC37B9"/>
    <w:rsid w:val="00DC37EE"/>
    <w:rsid w:val="00DC3A6F"/>
    <w:rsid w:val="00DC3D1C"/>
    <w:rsid w:val="00DC3F69"/>
    <w:rsid w:val="00DC409F"/>
    <w:rsid w:val="00DC43AB"/>
    <w:rsid w:val="00DC43B5"/>
    <w:rsid w:val="00DC43E1"/>
    <w:rsid w:val="00DC4653"/>
    <w:rsid w:val="00DC479E"/>
    <w:rsid w:val="00DC47B7"/>
    <w:rsid w:val="00DC49EA"/>
    <w:rsid w:val="00DC4C57"/>
    <w:rsid w:val="00DC4EE7"/>
    <w:rsid w:val="00DC50D6"/>
    <w:rsid w:val="00DC5199"/>
    <w:rsid w:val="00DC5272"/>
    <w:rsid w:val="00DC5779"/>
    <w:rsid w:val="00DC58EF"/>
    <w:rsid w:val="00DC5A32"/>
    <w:rsid w:val="00DC5BC0"/>
    <w:rsid w:val="00DC5DC5"/>
    <w:rsid w:val="00DC5E4E"/>
    <w:rsid w:val="00DC603F"/>
    <w:rsid w:val="00DC6092"/>
    <w:rsid w:val="00DC63B3"/>
    <w:rsid w:val="00DC651B"/>
    <w:rsid w:val="00DC6574"/>
    <w:rsid w:val="00DC662F"/>
    <w:rsid w:val="00DC6662"/>
    <w:rsid w:val="00DC66FB"/>
    <w:rsid w:val="00DC67CD"/>
    <w:rsid w:val="00DC6E78"/>
    <w:rsid w:val="00DC7143"/>
    <w:rsid w:val="00DC7239"/>
    <w:rsid w:val="00DC727C"/>
    <w:rsid w:val="00DC729A"/>
    <w:rsid w:val="00DC731D"/>
    <w:rsid w:val="00DC7328"/>
    <w:rsid w:val="00DC73B1"/>
    <w:rsid w:val="00DC7519"/>
    <w:rsid w:val="00DC75C6"/>
    <w:rsid w:val="00DC7630"/>
    <w:rsid w:val="00DC7707"/>
    <w:rsid w:val="00DC7834"/>
    <w:rsid w:val="00DC7A23"/>
    <w:rsid w:val="00DC7A4D"/>
    <w:rsid w:val="00DC7AB5"/>
    <w:rsid w:val="00DC7EB5"/>
    <w:rsid w:val="00DC7F17"/>
    <w:rsid w:val="00DD0023"/>
    <w:rsid w:val="00DD010A"/>
    <w:rsid w:val="00DD01A0"/>
    <w:rsid w:val="00DD04AC"/>
    <w:rsid w:val="00DD04DD"/>
    <w:rsid w:val="00DD0507"/>
    <w:rsid w:val="00DD0576"/>
    <w:rsid w:val="00DD0891"/>
    <w:rsid w:val="00DD0B35"/>
    <w:rsid w:val="00DD0E77"/>
    <w:rsid w:val="00DD0F4D"/>
    <w:rsid w:val="00DD0F9F"/>
    <w:rsid w:val="00DD1054"/>
    <w:rsid w:val="00DD11A7"/>
    <w:rsid w:val="00DD1298"/>
    <w:rsid w:val="00DD1733"/>
    <w:rsid w:val="00DD1A51"/>
    <w:rsid w:val="00DD1C53"/>
    <w:rsid w:val="00DD2300"/>
    <w:rsid w:val="00DD2309"/>
    <w:rsid w:val="00DD28B3"/>
    <w:rsid w:val="00DD2CDF"/>
    <w:rsid w:val="00DD2DE3"/>
    <w:rsid w:val="00DD2DE8"/>
    <w:rsid w:val="00DD316F"/>
    <w:rsid w:val="00DD32E9"/>
    <w:rsid w:val="00DD337B"/>
    <w:rsid w:val="00DD33B5"/>
    <w:rsid w:val="00DD34C0"/>
    <w:rsid w:val="00DD357C"/>
    <w:rsid w:val="00DD37CA"/>
    <w:rsid w:val="00DD382E"/>
    <w:rsid w:val="00DD3A90"/>
    <w:rsid w:val="00DD3D55"/>
    <w:rsid w:val="00DD3DF7"/>
    <w:rsid w:val="00DD3ED6"/>
    <w:rsid w:val="00DD4568"/>
    <w:rsid w:val="00DD45CF"/>
    <w:rsid w:val="00DD47B8"/>
    <w:rsid w:val="00DD4909"/>
    <w:rsid w:val="00DD4AE2"/>
    <w:rsid w:val="00DD4BFA"/>
    <w:rsid w:val="00DD4F1C"/>
    <w:rsid w:val="00DD5064"/>
    <w:rsid w:val="00DD51F8"/>
    <w:rsid w:val="00DD5624"/>
    <w:rsid w:val="00DD5795"/>
    <w:rsid w:val="00DD5F56"/>
    <w:rsid w:val="00DD6388"/>
    <w:rsid w:val="00DD6571"/>
    <w:rsid w:val="00DD66CB"/>
    <w:rsid w:val="00DD675D"/>
    <w:rsid w:val="00DD6764"/>
    <w:rsid w:val="00DD6832"/>
    <w:rsid w:val="00DD6C53"/>
    <w:rsid w:val="00DD6E8B"/>
    <w:rsid w:val="00DD70F8"/>
    <w:rsid w:val="00DD7198"/>
    <w:rsid w:val="00DD7199"/>
    <w:rsid w:val="00DD73F9"/>
    <w:rsid w:val="00DD7756"/>
    <w:rsid w:val="00DD7B04"/>
    <w:rsid w:val="00DD7C44"/>
    <w:rsid w:val="00DD7CB6"/>
    <w:rsid w:val="00DD7E55"/>
    <w:rsid w:val="00DE0077"/>
    <w:rsid w:val="00DE0137"/>
    <w:rsid w:val="00DE01BA"/>
    <w:rsid w:val="00DE0601"/>
    <w:rsid w:val="00DE0694"/>
    <w:rsid w:val="00DE0C54"/>
    <w:rsid w:val="00DE0DCF"/>
    <w:rsid w:val="00DE1177"/>
    <w:rsid w:val="00DE137B"/>
    <w:rsid w:val="00DE13D4"/>
    <w:rsid w:val="00DE13FD"/>
    <w:rsid w:val="00DE146B"/>
    <w:rsid w:val="00DE15EC"/>
    <w:rsid w:val="00DE1623"/>
    <w:rsid w:val="00DE19D9"/>
    <w:rsid w:val="00DE1BB0"/>
    <w:rsid w:val="00DE1C18"/>
    <w:rsid w:val="00DE1CDE"/>
    <w:rsid w:val="00DE1DC6"/>
    <w:rsid w:val="00DE1F59"/>
    <w:rsid w:val="00DE1F77"/>
    <w:rsid w:val="00DE2025"/>
    <w:rsid w:val="00DE21C6"/>
    <w:rsid w:val="00DE22AA"/>
    <w:rsid w:val="00DE25BB"/>
    <w:rsid w:val="00DE27B8"/>
    <w:rsid w:val="00DE288F"/>
    <w:rsid w:val="00DE2D49"/>
    <w:rsid w:val="00DE2F2B"/>
    <w:rsid w:val="00DE2F82"/>
    <w:rsid w:val="00DE2F94"/>
    <w:rsid w:val="00DE388A"/>
    <w:rsid w:val="00DE3E66"/>
    <w:rsid w:val="00DE3F75"/>
    <w:rsid w:val="00DE41F9"/>
    <w:rsid w:val="00DE432C"/>
    <w:rsid w:val="00DE45F5"/>
    <w:rsid w:val="00DE4828"/>
    <w:rsid w:val="00DE4AAD"/>
    <w:rsid w:val="00DE4B43"/>
    <w:rsid w:val="00DE4C0C"/>
    <w:rsid w:val="00DE4FC8"/>
    <w:rsid w:val="00DE53B5"/>
    <w:rsid w:val="00DE5974"/>
    <w:rsid w:val="00DE5A50"/>
    <w:rsid w:val="00DE5AEC"/>
    <w:rsid w:val="00DE5D01"/>
    <w:rsid w:val="00DE60C5"/>
    <w:rsid w:val="00DE6204"/>
    <w:rsid w:val="00DE626E"/>
    <w:rsid w:val="00DE6507"/>
    <w:rsid w:val="00DE6F2C"/>
    <w:rsid w:val="00DE71CB"/>
    <w:rsid w:val="00DE7312"/>
    <w:rsid w:val="00DE7323"/>
    <w:rsid w:val="00DE75F0"/>
    <w:rsid w:val="00DE77CB"/>
    <w:rsid w:val="00DE77FE"/>
    <w:rsid w:val="00DE7EBA"/>
    <w:rsid w:val="00DF04BD"/>
    <w:rsid w:val="00DF068D"/>
    <w:rsid w:val="00DF0D3A"/>
    <w:rsid w:val="00DF0E72"/>
    <w:rsid w:val="00DF16C8"/>
    <w:rsid w:val="00DF1A9A"/>
    <w:rsid w:val="00DF1C20"/>
    <w:rsid w:val="00DF1C2D"/>
    <w:rsid w:val="00DF1DB6"/>
    <w:rsid w:val="00DF1F8A"/>
    <w:rsid w:val="00DF20DC"/>
    <w:rsid w:val="00DF2170"/>
    <w:rsid w:val="00DF226A"/>
    <w:rsid w:val="00DF2333"/>
    <w:rsid w:val="00DF248E"/>
    <w:rsid w:val="00DF253D"/>
    <w:rsid w:val="00DF2681"/>
    <w:rsid w:val="00DF2E17"/>
    <w:rsid w:val="00DF2F9D"/>
    <w:rsid w:val="00DF30D1"/>
    <w:rsid w:val="00DF3222"/>
    <w:rsid w:val="00DF3577"/>
    <w:rsid w:val="00DF36F9"/>
    <w:rsid w:val="00DF3C97"/>
    <w:rsid w:val="00DF3D03"/>
    <w:rsid w:val="00DF4063"/>
    <w:rsid w:val="00DF4165"/>
    <w:rsid w:val="00DF4417"/>
    <w:rsid w:val="00DF474E"/>
    <w:rsid w:val="00DF5110"/>
    <w:rsid w:val="00DF56F3"/>
    <w:rsid w:val="00DF5A2D"/>
    <w:rsid w:val="00DF5CA2"/>
    <w:rsid w:val="00DF5DEB"/>
    <w:rsid w:val="00DF5E73"/>
    <w:rsid w:val="00DF5F13"/>
    <w:rsid w:val="00DF61A5"/>
    <w:rsid w:val="00DF63DD"/>
    <w:rsid w:val="00DF6A73"/>
    <w:rsid w:val="00DF6B62"/>
    <w:rsid w:val="00DF6C97"/>
    <w:rsid w:val="00DF76BA"/>
    <w:rsid w:val="00DF77E8"/>
    <w:rsid w:val="00DF7828"/>
    <w:rsid w:val="00DF7B4A"/>
    <w:rsid w:val="00DF7B6B"/>
    <w:rsid w:val="00DF7BD0"/>
    <w:rsid w:val="00DF7BDF"/>
    <w:rsid w:val="00DF7D39"/>
    <w:rsid w:val="00E002D5"/>
    <w:rsid w:val="00E00303"/>
    <w:rsid w:val="00E00489"/>
    <w:rsid w:val="00E00608"/>
    <w:rsid w:val="00E0060E"/>
    <w:rsid w:val="00E009A1"/>
    <w:rsid w:val="00E00A62"/>
    <w:rsid w:val="00E00CDE"/>
    <w:rsid w:val="00E00F4E"/>
    <w:rsid w:val="00E010A0"/>
    <w:rsid w:val="00E0125E"/>
    <w:rsid w:val="00E01474"/>
    <w:rsid w:val="00E0162A"/>
    <w:rsid w:val="00E01668"/>
    <w:rsid w:val="00E0173A"/>
    <w:rsid w:val="00E01835"/>
    <w:rsid w:val="00E01849"/>
    <w:rsid w:val="00E01D56"/>
    <w:rsid w:val="00E01EAE"/>
    <w:rsid w:val="00E020D1"/>
    <w:rsid w:val="00E028E4"/>
    <w:rsid w:val="00E02B21"/>
    <w:rsid w:val="00E02B64"/>
    <w:rsid w:val="00E02BC9"/>
    <w:rsid w:val="00E02EAD"/>
    <w:rsid w:val="00E02FEC"/>
    <w:rsid w:val="00E034F4"/>
    <w:rsid w:val="00E0361D"/>
    <w:rsid w:val="00E03D3F"/>
    <w:rsid w:val="00E03E6A"/>
    <w:rsid w:val="00E040A4"/>
    <w:rsid w:val="00E0437C"/>
    <w:rsid w:val="00E0447F"/>
    <w:rsid w:val="00E0452C"/>
    <w:rsid w:val="00E04D61"/>
    <w:rsid w:val="00E04F27"/>
    <w:rsid w:val="00E0504C"/>
    <w:rsid w:val="00E05074"/>
    <w:rsid w:val="00E05284"/>
    <w:rsid w:val="00E05489"/>
    <w:rsid w:val="00E05741"/>
    <w:rsid w:val="00E05929"/>
    <w:rsid w:val="00E05F7F"/>
    <w:rsid w:val="00E06930"/>
    <w:rsid w:val="00E0694B"/>
    <w:rsid w:val="00E06971"/>
    <w:rsid w:val="00E06B43"/>
    <w:rsid w:val="00E06BDB"/>
    <w:rsid w:val="00E06E32"/>
    <w:rsid w:val="00E06EC4"/>
    <w:rsid w:val="00E06F8C"/>
    <w:rsid w:val="00E070D9"/>
    <w:rsid w:val="00E07456"/>
    <w:rsid w:val="00E0748E"/>
    <w:rsid w:val="00E076B7"/>
    <w:rsid w:val="00E0781C"/>
    <w:rsid w:val="00E07A5B"/>
    <w:rsid w:val="00E07C6B"/>
    <w:rsid w:val="00E07E39"/>
    <w:rsid w:val="00E10278"/>
    <w:rsid w:val="00E105B3"/>
    <w:rsid w:val="00E106CF"/>
    <w:rsid w:val="00E10846"/>
    <w:rsid w:val="00E108F4"/>
    <w:rsid w:val="00E10A4B"/>
    <w:rsid w:val="00E10D0E"/>
    <w:rsid w:val="00E10D4E"/>
    <w:rsid w:val="00E1100C"/>
    <w:rsid w:val="00E1112D"/>
    <w:rsid w:val="00E11486"/>
    <w:rsid w:val="00E11489"/>
    <w:rsid w:val="00E11711"/>
    <w:rsid w:val="00E119FD"/>
    <w:rsid w:val="00E11E63"/>
    <w:rsid w:val="00E121E0"/>
    <w:rsid w:val="00E1249D"/>
    <w:rsid w:val="00E124E8"/>
    <w:rsid w:val="00E12514"/>
    <w:rsid w:val="00E12696"/>
    <w:rsid w:val="00E12840"/>
    <w:rsid w:val="00E12975"/>
    <w:rsid w:val="00E12C23"/>
    <w:rsid w:val="00E12DEE"/>
    <w:rsid w:val="00E1310D"/>
    <w:rsid w:val="00E13352"/>
    <w:rsid w:val="00E13359"/>
    <w:rsid w:val="00E1364A"/>
    <w:rsid w:val="00E1379D"/>
    <w:rsid w:val="00E138BF"/>
    <w:rsid w:val="00E138C6"/>
    <w:rsid w:val="00E138CE"/>
    <w:rsid w:val="00E13A98"/>
    <w:rsid w:val="00E13AB0"/>
    <w:rsid w:val="00E13FBF"/>
    <w:rsid w:val="00E14534"/>
    <w:rsid w:val="00E1493B"/>
    <w:rsid w:val="00E14994"/>
    <w:rsid w:val="00E149C9"/>
    <w:rsid w:val="00E14AF6"/>
    <w:rsid w:val="00E14E94"/>
    <w:rsid w:val="00E14EFA"/>
    <w:rsid w:val="00E151B9"/>
    <w:rsid w:val="00E154DC"/>
    <w:rsid w:val="00E1560D"/>
    <w:rsid w:val="00E1566E"/>
    <w:rsid w:val="00E15783"/>
    <w:rsid w:val="00E158C4"/>
    <w:rsid w:val="00E15B09"/>
    <w:rsid w:val="00E15D10"/>
    <w:rsid w:val="00E15D5C"/>
    <w:rsid w:val="00E161E6"/>
    <w:rsid w:val="00E162F9"/>
    <w:rsid w:val="00E164CD"/>
    <w:rsid w:val="00E167C9"/>
    <w:rsid w:val="00E1689B"/>
    <w:rsid w:val="00E1698C"/>
    <w:rsid w:val="00E16CF6"/>
    <w:rsid w:val="00E16EE6"/>
    <w:rsid w:val="00E16FEA"/>
    <w:rsid w:val="00E170C8"/>
    <w:rsid w:val="00E172BE"/>
    <w:rsid w:val="00E17869"/>
    <w:rsid w:val="00E17A21"/>
    <w:rsid w:val="00E17CF7"/>
    <w:rsid w:val="00E17E3F"/>
    <w:rsid w:val="00E200F1"/>
    <w:rsid w:val="00E20377"/>
    <w:rsid w:val="00E20441"/>
    <w:rsid w:val="00E205D6"/>
    <w:rsid w:val="00E20917"/>
    <w:rsid w:val="00E20944"/>
    <w:rsid w:val="00E20A7D"/>
    <w:rsid w:val="00E20B42"/>
    <w:rsid w:val="00E20E19"/>
    <w:rsid w:val="00E20FA0"/>
    <w:rsid w:val="00E216EC"/>
    <w:rsid w:val="00E2189A"/>
    <w:rsid w:val="00E21A32"/>
    <w:rsid w:val="00E228AE"/>
    <w:rsid w:val="00E22A54"/>
    <w:rsid w:val="00E22B5A"/>
    <w:rsid w:val="00E22B68"/>
    <w:rsid w:val="00E22BE8"/>
    <w:rsid w:val="00E22C1D"/>
    <w:rsid w:val="00E22C99"/>
    <w:rsid w:val="00E22D10"/>
    <w:rsid w:val="00E231C9"/>
    <w:rsid w:val="00E23379"/>
    <w:rsid w:val="00E233E6"/>
    <w:rsid w:val="00E235D1"/>
    <w:rsid w:val="00E235DF"/>
    <w:rsid w:val="00E23738"/>
    <w:rsid w:val="00E23805"/>
    <w:rsid w:val="00E238A8"/>
    <w:rsid w:val="00E23B73"/>
    <w:rsid w:val="00E23EBF"/>
    <w:rsid w:val="00E23F64"/>
    <w:rsid w:val="00E23FD5"/>
    <w:rsid w:val="00E240BA"/>
    <w:rsid w:val="00E24669"/>
    <w:rsid w:val="00E246C7"/>
    <w:rsid w:val="00E2487F"/>
    <w:rsid w:val="00E248B2"/>
    <w:rsid w:val="00E24AE5"/>
    <w:rsid w:val="00E24C48"/>
    <w:rsid w:val="00E24D50"/>
    <w:rsid w:val="00E24DF8"/>
    <w:rsid w:val="00E24F0B"/>
    <w:rsid w:val="00E258FA"/>
    <w:rsid w:val="00E25981"/>
    <w:rsid w:val="00E259B1"/>
    <w:rsid w:val="00E25BC1"/>
    <w:rsid w:val="00E25C9E"/>
    <w:rsid w:val="00E26141"/>
    <w:rsid w:val="00E26525"/>
    <w:rsid w:val="00E26563"/>
    <w:rsid w:val="00E266F5"/>
    <w:rsid w:val="00E266F7"/>
    <w:rsid w:val="00E26719"/>
    <w:rsid w:val="00E26C4C"/>
    <w:rsid w:val="00E26F02"/>
    <w:rsid w:val="00E26F90"/>
    <w:rsid w:val="00E270D3"/>
    <w:rsid w:val="00E27EE9"/>
    <w:rsid w:val="00E27FC7"/>
    <w:rsid w:val="00E30656"/>
    <w:rsid w:val="00E30700"/>
    <w:rsid w:val="00E30767"/>
    <w:rsid w:val="00E30A26"/>
    <w:rsid w:val="00E30BE0"/>
    <w:rsid w:val="00E30D84"/>
    <w:rsid w:val="00E30D87"/>
    <w:rsid w:val="00E30E57"/>
    <w:rsid w:val="00E311B1"/>
    <w:rsid w:val="00E31236"/>
    <w:rsid w:val="00E31360"/>
    <w:rsid w:val="00E3155A"/>
    <w:rsid w:val="00E316A2"/>
    <w:rsid w:val="00E31D28"/>
    <w:rsid w:val="00E32192"/>
    <w:rsid w:val="00E321C5"/>
    <w:rsid w:val="00E325FF"/>
    <w:rsid w:val="00E32917"/>
    <w:rsid w:val="00E32C63"/>
    <w:rsid w:val="00E32CB8"/>
    <w:rsid w:val="00E33234"/>
    <w:rsid w:val="00E334C3"/>
    <w:rsid w:val="00E33668"/>
    <w:rsid w:val="00E33893"/>
    <w:rsid w:val="00E33B01"/>
    <w:rsid w:val="00E33BD5"/>
    <w:rsid w:val="00E33C15"/>
    <w:rsid w:val="00E33E7B"/>
    <w:rsid w:val="00E3419B"/>
    <w:rsid w:val="00E3440F"/>
    <w:rsid w:val="00E34418"/>
    <w:rsid w:val="00E344A3"/>
    <w:rsid w:val="00E34632"/>
    <w:rsid w:val="00E34810"/>
    <w:rsid w:val="00E34A01"/>
    <w:rsid w:val="00E34B52"/>
    <w:rsid w:val="00E34BAA"/>
    <w:rsid w:val="00E34E98"/>
    <w:rsid w:val="00E34F3A"/>
    <w:rsid w:val="00E35030"/>
    <w:rsid w:val="00E3505C"/>
    <w:rsid w:val="00E35297"/>
    <w:rsid w:val="00E3554B"/>
    <w:rsid w:val="00E35CE0"/>
    <w:rsid w:val="00E35F99"/>
    <w:rsid w:val="00E35F9A"/>
    <w:rsid w:val="00E360D1"/>
    <w:rsid w:val="00E36165"/>
    <w:rsid w:val="00E361A8"/>
    <w:rsid w:val="00E3637F"/>
    <w:rsid w:val="00E364B6"/>
    <w:rsid w:val="00E366E7"/>
    <w:rsid w:val="00E36723"/>
    <w:rsid w:val="00E36DF1"/>
    <w:rsid w:val="00E36FF1"/>
    <w:rsid w:val="00E3713C"/>
    <w:rsid w:val="00E371AD"/>
    <w:rsid w:val="00E3756C"/>
    <w:rsid w:val="00E37626"/>
    <w:rsid w:val="00E37679"/>
    <w:rsid w:val="00E3767B"/>
    <w:rsid w:val="00E37979"/>
    <w:rsid w:val="00E37A3D"/>
    <w:rsid w:val="00E37E1C"/>
    <w:rsid w:val="00E40126"/>
    <w:rsid w:val="00E40318"/>
    <w:rsid w:val="00E40C2E"/>
    <w:rsid w:val="00E40CBF"/>
    <w:rsid w:val="00E40E6B"/>
    <w:rsid w:val="00E40E7D"/>
    <w:rsid w:val="00E40EE4"/>
    <w:rsid w:val="00E413C6"/>
    <w:rsid w:val="00E41C4E"/>
    <w:rsid w:val="00E41CE4"/>
    <w:rsid w:val="00E41DA1"/>
    <w:rsid w:val="00E41EB7"/>
    <w:rsid w:val="00E42010"/>
    <w:rsid w:val="00E420D5"/>
    <w:rsid w:val="00E42517"/>
    <w:rsid w:val="00E42D55"/>
    <w:rsid w:val="00E42D6C"/>
    <w:rsid w:val="00E42FFE"/>
    <w:rsid w:val="00E4316E"/>
    <w:rsid w:val="00E43236"/>
    <w:rsid w:val="00E433E6"/>
    <w:rsid w:val="00E435AB"/>
    <w:rsid w:val="00E43778"/>
    <w:rsid w:val="00E439D2"/>
    <w:rsid w:val="00E43A80"/>
    <w:rsid w:val="00E43DC4"/>
    <w:rsid w:val="00E44275"/>
    <w:rsid w:val="00E44777"/>
    <w:rsid w:val="00E447B6"/>
    <w:rsid w:val="00E44C4D"/>
    <w:rsid w:val="00E44D24"/>
    <w:rsid w:val="00E451C6"/>
    <w:rsid w:val="00E45314"/>
    <w:rsid w:val="00E4535F"/>
    <w:rsid w:val="00E4536D"/>
    <w:rsid w:val="00E454EF"/>
    <w:rsid w:val="00E4570F"/>
    <w:rsid w:val="00E46030"/>
    <w:rsid w:val="00E46044"/>
    <w:rsid w:val="00E46144"/>
    <w:rsid w:val="00E466BC"/>
    <w:rsid w:val="00E4686A"/>
    <w:rsid w:val="00E46FD4"/>
    <w:rsid w:val="00E47538"/>
    <w:rsid w:val="00E479FD"/>
    <w:rsid w:val="00E47E51"/>
    <w:rsid w:val="00E50115"/>
    <w:rsid w:val="00E5029A"/>
    <w:rsid w:val="00E50342"/>
    <w:rsid w:val="00E50483"/>
    <w:rsid w:val="00E504D6"/>
    <w:rsid w:val="00E50687"/>
    <w:rsid w:val="00E50B6F"/>
    <w:rsid w:val="00E50DF1"/>
    <w:rsid w:val="00E50EBE"/>
    <w:rsid w:val="00E50F69"/>
    <w:rsid w:val="00E50FC6"/>
    <w:rsid w:val="00E511BA"/>
    <w:rsid w:val="00E51349"/>
    <w:rsid w:val="00E5145E"/>
    <w:rsid w:val="00E517CD"/>
    <w:rsid w:val="00E51940"/>
    <w:rsid w:val="00E519E2"/>
    <w:rsid w:val="00E52185"/>
    <w:rsid w:val="00E52334"/>
    <w:rsid w:val="00E52372"/>
    <w:rsid w:val="00E52466"/>
    <w:rsid w:val="00E5259F"/>
    <w:rsid w:val="00E52691"/>
    <w:rsid w:val="00E52786"/>
    <w:rsid w:val="00E52AFC"/>
    <w:rsid w:val="00E52B6D"/>
    <w:rsid w:val="00E52C21"/>
    <w:rsid w:val="00E52D43"/>
    <w:rsid w:val="00E52E9A"/>
    <w:rsid w:val="00E52F05"/>
    <w:rsid w:val="00E535A0"/>
    <w:rsid w:val="00E5377E"/>
    <w:rsid w:val="00E53785"/>
    <w:rsid w:val="00E537EA"/>
    <w:rsid w:val="00E53899"/>
    <w:rsid w:val="00E53961"/>
    <w:rsid w:val="00E53DB1"/>
    <w:rsid w:val="00E53F25"/>
    <w:rsid w:val="00E540CA"/>
    <w:rsid w:val="00E54430"/>
    <w:rsid w:val="00E54B37"/>
    <w:rsid w:val="00E54DE9"/>
    <w:rsid w:val="00E54DEE"/>
    <w:rsid w:val="00E551A2"/>
    <w:rsid w:val="00E552D5"/>
    <w:rsid w:val="00E55B28"/>
    <w:rsid w:val="00E55C1F"/>
    <w:rsid w:val="00E55C3B"/>
    <w:rsid w:val="00E55E7E"/>
    <w:rsid w:val="00E55F00"/>
    <w:rsid w:val="00E56134"/>
    <w:rsid w:val="00E5627B"/>
    <w:rsid w:val="00E564EF"/>
    <w:rsid w:val="00E56588"/>
    <w:rsid w:val="00E565FE"/>
    <w:rsid w:val="00E5680B"/>
    <w:rsid w:val="00E56919"/>
    <w:rsid w:val="00E56B8B"/>
    <w:rsid w:val="00E56D4A"/>
    <w:rsid w:val="00E56E81"/>
    <w:rsid w:val="00E57119"/>
    <w:rsid w:val="00E5719E"/>
    <w:rsid w:val="00E573DB"/>
    <w:rsid w:val="00E57563"/>
    <w:rsid w:val="00E57733"/>
    <w:rsid w:val="00E57D7B"/>
    <w:rsid w:val="00E57E49"/>
    <w:rsid w:val="00E57F4B"/>
    <w:rsid w:val="00E602E5"/>
    <w:rsid w:val="00E602F8"/>
    <w:rsid w:val="00E605CE"/>
    <w:rsid w:val="00E60631"/>
    <w:rsid w:val="00E6085B"/>
    <w:rsid w:val="00E60AB2"/>
    <w:rsid w:val="00E60BD5"/>
    <w:rsid w:val="00E60FBA"/>
    <w:rsid w:val="00E60FBF"/>
    <w:rsid w:val="00E61420"/>
    <w:rsid w:val="00E615CB"/>
    <w:rsid w:val="00E616AD"/>
    <w:rsid w:val="00E616F9"/>
    <w:rsid w:val="00E61852"/>
    <w:rsid w:val="00E61A0C"/>
    <w:rsid w:val="00E61D22"/>
    <w:rsid w:val="00E61D96"/>
    <w:rsid w:val="00E61E4B"/>
    <w:rsid w:val="00E61F14"/>
    <w:rsid w:val="00E6231E"/>
    <w:rsid w:val="00E6242A"/>
    <w:rsid w:val="00E6279B"/>
    <w:rsid w:val="00E62849"/>
    <w:rsid w:val="00E6308F"/>
    <w:rsid w:val="00E63429"/>
    <w:rsid w:val="00E6342F"/>
    <w:rsid w:val="00E635D5"/>
    <w:rsid w:val="00E636E2"/>
    <w:rsid w:val="00E63CA3"/>
    <w:rsid w:val="00E63D55"/>
    <w:rsid w:val="00E63DA2"/>
    <w:rsid w:val="00E642AF"/>
    <w:rsid w:val="00E644C6"/>
    <w:rsid w:val="00E64555"/>
    <w:rsid w:val="00E64595"/>
    <w:rsid w:val="00E646BB"/>
    <w:rsid w:val="00E64BCF"/>
    <w:rsid w:val="00E64D24"/>
    <w:rsid w:val="00E64D53"/>
    <w:rsid w:val="00E64E69"/>
    <w:rsid w:val="00E64EEB"/>
    <w:rsid w:val="00E651B5"/>
    <w:rsid w:val="00E65351"/>
    <w:rsid w:val="00E653E4"/>
    <w:rsid w:val="00E6549C"/>
    <w:rsid w:val="00E654B9"/>
    <w:rsid w:val="00E65528"/>
    <w:rsid w:val="00E6573F"/>
    <w:rsid w:val="00E6589D"/>
    <w:rsid w:val="00E65E8C"/>
    <w:rsid w:val="00E65FF2"/>
    <w:rsid w:val="00E665E7"/>
    <w:rsid w:val="00E66784"/>
    <w:rsid w:val="00E667D6"/>
    <w:rsid w:val="00E66C96"/>
    <w:rsid w:val="00E66DAC"/>
    <w:rsid w:val="00E66EBE"/>
    <w:rsid w:val="00E66F7C"/>
    <w:rsid w:val="00E67036"/>
    <w:rsid w:val="00E6703E"/>
    <w:rsid w:val="00E670CC"/>
    <w:rsid w:val="00E673BB"/>
    <w:rsid w:val="00E673C0"/>
    <w:rsid w:val="00E67499"/>
    <w:rsid w:val="00E6778E"/>
    <w:rsid w:val="00E678DA"/>
    <w:rsid w:val="00E67C3A"/>
    <w:rsid w:val="00E67ED9"/>
    <w:rsid w:val="00E67EE7"/>
    <w:rsid w:val="00E70130"/>
    <w:rsid w:val="00E704DB"/>
    <w:rsid w:val="00E7063F"/>
    <w:rsid w:val="00E707FD"/>
    <w:rsid w:val="00E70951"/>
    <w:rsid w:val="00E709C1"/>
    <w:rsid w:val="00E70AD3"/>
    <w:rsid w:val="00E70DE9"/>
    <w:rsid w:val="00E715FC"/>
    <w:rsid w:val="00E71796"/>
    <w:rsid w:val="00E717BB"/>
    <w:rsid w:val="00E718DF"/>
    <w:rsid w:val="00E71A45"/>
    <w:rsid w:val="00E71B2D"/>
    <w:rsid w:val="00E71C21"/>
    <w:rsid w:val="00E7205D"/>
    <w:rsid w:val="00E7210C"/>
    <w:rsid w:val="00E72BD9"/>
    <w:rsid w:val="00E72D84"/>
    <w:rsid w:val="00E730FC"/>
    <w:rsid w:val="00E7310A"/>
    <w:rsid w:val="00E7318D"/>
    <w:rsid w:val="00E731E0"/>
    <w:rsid w:val="00E734F6"/>
    <w:rsid w:val="00E736FB"/>
    <w:rsid w:val="00E7385A"/>
    <w:rsid w:val="00E73CE6"/>
    <w:rsid w:val="00E74250"/>
    <w:rsid w:val="00E743F0"/>
    <w:rsid w:val="00E74423"/>
    <w:rsid w:val="00E744D6"/>
    <w:rsid w:val="00E745D9"/>
    <w:rsid w:val="00E7467B"/>
    <w:rsid w:val="00E74780"/>
    <w:rsid w:val="00E74783"/>
    <w:rsid w:val="00E7487D"/>
    <w:rsid w:val="00E74893"/>
    <w:rsid w:val="00E748A3"/>
    <w:rsid w:val="00E74919"/>
    <w:rsid w:val="00E74956"/>
    <w:rsid w:val="00E751D5"/>
    <w:rsid w:val="00E752E0"/>
    <w:rsid w:val="00E752F7"/>
    <w:rsid w:val="00E75707"/>
    <w:rsid w:val="00E75830"/>
    <w:rsid w:val="00E75848"/>
    <w:rsid w:val="00E759D4"/>
    <w:rsid w:val="00E75D99"/>
    <w:rsid w:val="00E76A3C"/>
    <w:rsid w:val="00E76C8C"/>
    <w:rsid w:val="00E76EDC"/>
    <w:rsid w:val="00E76F54"/>
    <w:rsid w:val="00E76F9B"/>
    <w:rsid w:val="00E771FC"/>
    <w:rsid w:val="00E772BC"/>
    <w:rsid w:val="00E773E5"/>
    <w:rsid w:val="00E77511"/>
    <w:rsid w:val="00E777B0"/>
    <w:rsid w:val="00E7799A"/>
    <w:rsid w:val="00E77A54"/>
    <w:rsid w:val="00E77BDD"/>
    <w:rsid w:val="00E77BEC"/>
    <w:rsid w:val="00E77CCC"/>
    <w:rsid w:val="00E806D3"/>
    <w:rsid w:val="00E81BC7"/>
    <w:rsid w:val="00E81C34"/>
    <w:rsid w:val="00E81D83"/>
    <w:rsid w:val="00E81E4A"/>
    <w:rsid w:val="00E821BB"/>
    <w:rsid w:val="00E822E9"/>
    <w:rsid w:val="00E82419"/>
    <w:rsid w:val="00E826FE"/>
    <w:rsid w:val="00E8275E"/>
    <w:rsid w:val="00E827AF"/>
    <w:rsid w:val="00E828E3"/>
    <w:rsid w:val="00E82DE9"/>
    <w:rsid w:val="00E83253"/>
    <w:rsid w:val="00E836BE"/>
    <w:rsid w:val="00E83B69"/>
    <w:rsid w:val="00E840BD"/>
    <w:rsid w:val="00E842C5"/>
    <w:rsid w:val="00E844AB"/>
    <w:rsid w:val="00E84518"/>
    <w:rsid w:val="00E8473C"/>
    <w:rsid w:val="00E84BDF"/>
    <w:rsid w:val="00E84C97"/>
    <w:rsid w:val="00E84F5F"/>
    <w:rsid w:val="00E85005"/>
    <w:rsid w:val="00E85296"/>
    <w:rsid w:val="00E8530D"/>
    <w:rsid w:val="00E8533B"/>
    <w:rsid w:val="00E853EB"/>
    <w:rsid w:val="00E85505"/>
    <w:rsid w:val="00E8575B"/>
    <w:rsid w:val="00E85931"/>
    <w:rsid w:val="00E8594C"/>
    <w:rsid w:val="00E85E4E"/>
    <w:rsid w:val="00E8618B"/>
    <w:rsid w:val="00E862BB"/>
    <w:rsid w:val="00E86327"/>
    <w:rsid w:val="00E868A5"/>
    <w:rsid w:val="00E869B5"/>
    <w:rsid w:val="00E86DF0"/>
    <w:rsid w:val="00E86E18"/>
    <w:rsid w:val="00E8709E"/>
    <w:rsid w:val="00E871E7"/>
    <w:rsid w:val="00E873C1"/>
    <w:rsid w:val="00E8748C"/>
    <w:rsid w:val="00E8768A"/>
    <w:rsid w:val="00E877EA"/>
    <w:rsid w:val="00E8785D"/>
    <w:rsid w:val="00E878DA"/>
    <w:rsid w:val="00E87B3D"/>
    <w:rsid w:val="00E87BD2"/>
    <w:rsid w:val="00E87C0B"/>
    <w:rsid w:val="00E87CDC"/>
    <w:rsid w:val="00E906E0"/>
    <w:rsid w:val="00E90910"/>
    <w:rsid w:val="00E90A7D"/>
    <w:rsid w:val="00E90B33"/>
    <w:rsid w:val="00E90F53"/>
    <w:rsid w:val="00E91103"/>
    <w:rsid w:val="00E911E0"/>
    <w:rsid w:val="00E91652"/>
    <w:rsid w:val="00E91E81"/>
    <w:rsid w:val="00E92001"/>
    <w:rsid w:val="00E921B8"/>
    <w:rsid w:val="00E92602"/>
    <w:rsid w:val="00E926C6"/>
    <w:rsid w:val="00E93407"/>
    <w:rsid w:val="00E93543"/>
    <w:rsid w:val="00E93591"/>
    <w:rsid w:val="00E937E7"/>
    <w:rsid w:val="00E940A8"/>
    <w:rsid w:val="00E94198"/>
    <w:rsid w:val="00E9446C"/>
    <w:rsid w:val="00E94759"/>
    <w:rsid w:val="00E947E8"/>
    <w:rsid w:val="00E94B0F"/>
    <w:rsid w:val="00E94B35"/>
    <w:rsid w:val="00E9503F"/>
    <w:rsid w:val="00E950C4"/>
    <w:rsid w:val="00E95384"/>
    <w:rsid w:val="00E956AD"/>
    <w:rsid w:val="00E9592A"/>
    <w:rsid w:val="00E96009"/>
    <w:rsid w:val="00E96502"/>
    <w:rsid w:val="00E966CB"/>
    <w:rsid w:val="00E96726"/>
    <w:rsid w:val="00E96760"/>
    <w:rsid w:val="00E96818"/>
    <w:rsid w:val="00E9692B"/>
    <w:rsid w:val="00E96CC4"/>
    <w:rsid w:val="00E96E68"/>
    <w:rsid w:val="00E96EC4"/>
    <w:rsid w:val="00E973BA"/>
    <w:rsid w:val="00E973C0"/>
    <w:rsid w:val="00E97872"/>
    <w:rsid w:val="00E97EA1"/>
    <w:rsid w:val="00EA0032"/>
    <w:rsid w:val="00EA00EF"/>
    <w:rsid w:val="00EA05F5"/>
    <w:rsid w:val="00EA0BBE"/>
    <w:rsid w:val="00EA1249"/>
    <w:rsid w:val="00EA173B"/>
    <w:rsid w:val="00EA1934"/>
    <w:rsid w:val="00EA1FBC"/>
    <w:rsid w:val="00EA1FE1"/>
    <w:rsid w:val="00EA20A1"/>
    <w:rsid w:val="00EA212B"/>
    <w:rsid w:val="00EA24FB"/>
    <w:rsid w:val="00EA2D44"/>
    <w:rsid w:val="00EA306E"/>
    <w:rsid w:val="00EA3182"/>
    <w:rsid w:val="00EA32F4"/>
    <w:rsid w:val="00EA33FA"/>
    <w:rsid w:val="00EA351F"/>
    <w:rsid w:val="00EA36D3"/>
    <w:rsid w:val="00EA3A1D"/>
    <w:rsid w:val="00EA3B78"/>
    <w:rsid w:val="00EA3BFC"/>
    <w:rsid w:val="00EA3CD7"/>
    <w:rsid w:val="00EA3E2D"/>
    <w:rsid w:val="00EA3F5F"/>
    <w:rsid w:val="00EA429D"/>
    <w:rsid w:val="00EA43AF"/>
    <w:rsid w:val="00EA452C"/>
    <w:rsid w:val="00EA4676"/>
    <w:rsid w:val="00EA4A0B"/>
    <w:rsid w:val="00EA4C7C"/>
    <w:rsid w:val="00EA4D4C"/>
    <w:rsid w:val="00EA53F7"/>
    <w:rsid w:val="00EA542C"/>
    <w:rsid w:val="00EA554F"/>
    <w:rsid w:val="00EA5B44"/>
    <w:rsid w:val="00EA6250"/>
    <w:rsid w:val="00EA6286"/>
    <w:rsid w:val="00EA6539"/>
    <w:rsid w:val="00EA66A4"/>
    <w:rsid w:val="00EA66BE"/>
    <w:rsid w:val="00EA6819"/>
    <w:rsid w:val="00EA69E1"/>
    <w:rsid w:val="00EA69E4"/>
    <w:rsid w:val="00EA6A1E"/>
    <w:rsid w:val="00EA6E67"/>
    <w:rsid w:val="00EA6F4E"/>
    <w:rsid w:val="00EA75BD"/>
    <w:rsid w:val="00EA760C"/>
    <w:rsid w:val="00EA7726"/>
    <w:rsid w:val="00EA79E3"/>
    <w:rsid w:val="00EA7A8B"/>
    <w:rsid w:val="00EA7C47"/>
    <w:rsid w:val="00EB0020"/>
    <w:rsid w:val="00EB0327"/>
    <w:rsid w:val="00EB04A1"/>
    <w:rsid w:val="00EB0738"/>
    <w:rsid w:val="00EB0C01"/>
    <w:rsid w:val="00EB0C9A"/>
    <w:rsid w:val="00EB0F0F"/>
    <w:rsid w:val="00EB1053"/>
    <w:rsid w:val="00EB12A5"/>
    <w:rsid w:val="00EB12E1"/>
    <w:rsid w:val="00EB136A"/>
    <w:rsid w:val="00EB139D"/>
    <w:rsid w:val="00EB1451"/>
    <w:rsid w:val="00EB1785"/>
    <w:rsid w:val="00EB19AF"/>
    <w:rsid w:val="00EB1BDE"/>
    <w:rsid w:val="00EB1FA1"/>
    <w:rsid w:val="00EB2097"/>
    <w:rsid w:val="00EB2200"/>
    <w:rsid w:val="00EB22DA"/>
    <w:rsid w:val="00EB24D8"/>
    <w:rsid w:val="00EB256A"/>
    <w:rsid w:val="00EB277B"/>
    <w:rsid w:val="00EB2A18"/>
    <w:rsid w:val="00EB2F20"/>
    <w:rsid w:val="00EB2F35"/>
    <w:rsid w:val="00EB300E"/>
    <w:rsid w:val="00EB31DB"/>
    <w:rsid w:val="00EB3422"/>
    <w:rsid w:val="00EB3A31"/>
    <w:rsid w:val="00EB3A76"/>
    <w:rsid w:val="00EB4103"/>
    <w:rsid w:val="00EB42DA"/>
    <w:rsid w:val="00EB42F1"/>
    <w:rsid w:val="00EB444D"/>
    <w:rsid w:val="00EB4A44"/>
    <w:rsid w:val="00EB4C34"/>
    <w:rsid w:val="00EB4EAF"/>
    <w:rsid w:val="00EB5161"/>
    <w:rsid w:val="00EB548E"/>
    <w:rsid w:val="00EB5500"/>
    <w:rsid w:val="00EB571D"/>
    <w:rsid w:val="00EB5982"/>
    <w:rsid w:val="00EB5A96"/>
    <w:rsid w:val="00EB5C41"/>
    <w:rsid w:val="00EB5F5A"/>
    <w:rsid w:val="00EB62C4"/>
    <w:rsid w:val="00EB657E"/>
    <w:rsid w:val="00EB6846"/>
    <w:rsid w:val="00EB694A"/>
    <w:rsid w:val="00EB695E"/>
    <w:rsid w:val="00EB69D1"/>
    <w:rsid w:val="00EB6F1C"/>
    <w:rsid w:val="00EB6FE9"/>
    <w:rsid w:val="00EB725D"/>
    <w:rsid w:val="00EB72FF"/>
    <w:rsid w:val="00EB74E6"/>
    <w:rsid w:val="00EB756F"/>
    <w:rsid w:val="00EB7684"/>
    <w:rsid w:val="00EB7811"/>
    <w:rsid w:val="00EB790D"/>
    <w:rsid w:val="00EB798F"/>
    <w:rsid w:val="00EB79C8"/>
    <w:rsid w:val="00EB7B66"/>
    <w:rsid w:val="00EB7D5F"/>
    <w:rsid w:val="00EB7E78"/>
    <w:rsid w:val="00EC0301"/>
    <w:rsid w:val="00EC0379"/>
    <w:rsid w:val="00EC09C6"/>
    <w:rsid w:val="00EC0D24"/>
    <w:rsid w:val="00EC0EA5"/>
    <w:rsid w:val="00EC0F11"/>
    <w:rsid w:val="00EC1056"/>
    <w:rsid w:val="00EC13C6"/>
    <w:rsid w:val="00EC1401"/>
    <w:rsid w:val="00EC1470"/>
    <w:rsid w:val="00EC1F95"/>
    <w:rsid w:val="00EC2216"/>
    <w:rsid w:val="00EC222E"/>
    <w:rsid w:val="00EC25CD"/>
    <w:rsid w:val="00EC2716"/>
    <w:rsid w:val="00EC2B3D"/>
    <w:rsid w:val="00EC2C27"/>
    <w:rsid w:val="00EC2DBB"/>
    <w:rsid w:val="00EC3107"/>
    <w:rsid w:val="00EC33C0"/>
    <w:rsid w:val="00EC358E"/>
    <w:rsid w:val="00EC36EE"/>
    <w:rsid w:val="00EC38A4"/>
    <w:rsid w:val="00EC3914"/>
    <w:rsid w:val="00EC392F"/>
    <w:rsid w:val="00EC3B60"/>
    <w:rsid w:val="00EC3B67"/>
    <w:rsid w:val="00EC3F3F"/>
    <w:rsid w:val="00EC3FD2"/>
    <w:rsid w:val="00EC4095"/>
    <w:rsid w:val="00EC43B5"/>
    <w:rsid w:val="00EC4537"/>
    <w:rsid w:val="00EC4763"/>
    <w:rsid w:val="00EC4960"/>
    <w:rsid w:val="00EC4AE3"/>
    <w:rsid w:val="00EC4D03"/>
    <w:rsid w:val="00EC522B"/>
    <w:rsid w:val="00EC52D4"/>
    <w:rsid w:val="00EC54EE"/>
    <w:rsid w:val="00EC59B2"/>
    <w:rsid w:val="00EC5A3B"/>
    <w:rsid w:val="00EC5C09"/>
    <w:rsid w:val="00EC5DCD"/>
    <w:rsid w:val="00EC5E4A"/>
    <w:rsid w:val="00EC62E2"/>
    <w:rsid w:val="00EC682E"/>
    <w:rsid w:val="00EC686F"/>
    <w:rsid w:val="00EC6BA8"/>
    <w:rsid w:val="00EC6BCB"/>
    <w:rsid w:val="00EC70EC"/>
    <w:rsid w:val="00EC71BC"/>
    <w:rsid w:val="00EC7214"/>
    <w:rsid w:val="00EC7333"/>
    <w:rsid w:val="00EC770D"/>
    <w:rsid w:val="00EC774E"/>
    <w:rsid w:val="00EC786C"/>
    <w:rsid w:val="00EC7ADD"/>
    <w:rsid w:val="00EC7BAE"/>
    <w:rsid w:val="00EC7D3F"/>
    <w:rsid w:val="00ED04FE"/>
    <w:rsid w:val="00ED0824"/>
    <w:rsid w:val="00ED0DD0"/>
    <w:rsid w:val="00ED1523"/>
    <w:rsid w:val="00ED1919"/>
    <w:rsid w:val="00ED1989"/>
    <w:rsid w:val="00ED1D4F"/>
    <w:rsid w:val="00ED28F2"/>
    <w:rsid w:val="00ED2B58"/>
    <w:rsid w:val="00ED2F01"/>
    <w:rsid w:val="00ED2F3D"/>
    <w:rsid w:val="00ED3145"/>
    <w:rsid w:val="00ED316B"/>
    <w:rsid w:val="00ED32CC"/>
    <w:rsid w:val="00ED3309"/>
    <w:rsid w:val="00ED3384"/>
    <w:rsid w:val="00ED3516"/>
    <w:rsid w:val="00ED356E"/>
    <w:rsid w:val="00ED3B0D"/>
    <w:rsid w:val="00ED3BDA"/>
    <w:rsid w:val="00ED3DA4"/>
    <w:rsid w:val="00ED3EC2"/>
    <w:rsid w:val="00ED3ED6"/>
    <w:rsid w:val="00ED3F09"/>
    <w:rsid w:val="00ED4064"/>
    <w:rsid w:val="00ED485E"/>
    <w:rsid w:val="00ED48BC"/>
    <w:rsid w:val="00ED4B67"/>
    <w:rsid w:val="00ED4B69"/>
    <w:rsid w:val="00ED4BCC"/>
    <w:rsid w:val="00ED507B"/>
    <w:rsid w:val="00ED5170"/>
    <w:rsid w:val="00ED5632"/>
    <w:rsid w:val="00ED5812"/>
    <w:rsid w:val="00ED5A3B"/>
    <w:rsid w:val="00ED5A49"/>
    <w:rsid w:val="00ED5C30"/>
    <w:rsid w:val="00ED5E02"/>
    <w:rsid w:val="00ED5EED"/>
    <w:rsid w:val="00ED5F0B"/>
    <w:rsid w:val="00ED645B"/>
    <w:rsid w:val="00ED6B1C"/>
    <w:rsid w:val="00ED6C5C"/>
    <w:rsid w:val="00ED6CF7"/>
    <w:rsid w:val="00ED6F33"/>
    <w:rsid w:val="00ED741E"/>
    <w:rsid w:val="00ED75E9"/>
    <w:rsid w:val="00ED7716"/>
    <w:rsid w:val="00ED7737"/>
    <w:rsid w:val="00ED7747"/>
    <w:rsid w:val="00ED7BB8"/>
    <w:rsid w:val="00ED7CF4"/>
    <w:rsid w:val="00ED7E74"/>
    <w:rsid w:val="00EE00FE"/>
    <w:rsid w:val="00EE0495"/>
    <w:rsid w:val="00EE0503"/>
    <w:rsid w:val="00EE067A"/>
    <w:rsid w:val="00EE08E9"/>
    <w:rsid w:val="00EE09AA"/>
    <w:rsid w:val="00EE0E1D"/>
    <w:rsid w:val="00EE0EA8"/>
    <w:rsid w:val="00EE1615"/>
    <w:rsid w:val="00EE18D7"/>
    <w:rsid w:val="00EE1B0E"/>
    <w:rsid w:val="00EE21BE"/>
    <w:rsid w:val="00EE22EF"/>
    <w:rsid w:val="00EE22FB"/>
    <w:rsid w:val="00EE2336"/>
    <w:rsid w:val="00EE2407"/>
    <w:rsid w:val="00EE24A9"/>
    <w:rsid w:val="00EE2629"/>
    <w:rsid w:val="00EE26AE"/>
    <w:rsid w:val="00EE29C8"/>
    <w:rsid w:val="00EE2A41"/>
    <w:rsid w:val="00EE2A54"/>
    <w:rsid w:val="00EE2BBA"/>
    <w:rsid w:val="00EE2FC2"/>
    <w:rsid w:val="00EE3266"/>
    <w:rsid w:val="00EE3280"/>
    <w:rsid w:val="00EE32EE"/>
    <w:rsid w:val="00EE3305"/>
    <w:rsid w:val="00EE3384"/>
    <w:rsid w:val="00EE3524"/>
    <w:rsid w:val="00EE37D0"/>
    <w:rsid w:val="00EE3B88"/>
    <w:rsid w:val="00EE3BEE"/>
    <w:rsid w:val="00EE4750"/>
    <w:rsid w:val="00EE475B"/>
    <w:rsid w:val="00EE4B75"/>
    <w:rsid w:val="00EE4BF3"/>
    <w:rsid w:val="00EE4CA6"/>
    <w:rsid w:val="00EE4DBD"/>
    <w:rsid w:val="00EE50BB"/>
    <w:rsid w:val="00EE57D6"/>
    <w:rsid w:val="00EE5B41"/>
    <w:rsid w:val="00EE6025"/>
    <w:rsid w:val="00EE60BC"/>
    <w:rsid w:val="00EE659B"/>
    <w:rsid w:val="00EE65B2"/>
    <w:rsid w:val="00EE691B"/>
    <w:rsid w:val="00EE6AC6"/>
    <w:rsid w:val="00EE6C39"/>
    <w:rsid w:val="00EE6E26"/>
    <w:rsid w:val="00EE6F15"/>
    <w:rsid w:val="00EE6F3B"/>
    <w:rsid w:val="00EE772C"/>
    <w:rsid w:val="00EE784F"/>
    <w:rsid w:val="00EE7A1D"/>
    <w:rsid w:val="00EE7BF7"/>
    <w:rsid w:val="00EE7DF4"/>
    <w:rsid w:val="00EF009C"/>
    <w:rsid w:val="00EF00DC"/>
    <w:rsid w:val="00EF0255"/>
    <w:rsid w:val="00EF0360"/>
    <w:rsid w:val="00EF0500"/>
    <w:rsid w:val="00EF06AA"/>
    <w:rsid w:val="00EF0B66"/>
    <w:rsid w:val="00EF0C9A"/>
    <w:rsid w:val="00EF0DDC"/>
    <w:rsid w:val="00EF0E9E"/>
    <w:rsid w:val="00EF1002"/>
    <w:rsid w:val="00EF143F"/>
    <w:rsid w:val="00EF147B"/>
    <w:rsid w:val="00EF170E"/>
    <w:rsid w:val="00EF18AC"/>
    <w:rsid w:val="00EF1DD7"/>
    <w:rsid w:val="00EF23D8"/>
    <w:rsid w:val="00EF25B0"/>
    <w:rsid w:val="00EF2A5A"/>
    <w:rsid w:val="00EF2A87"/>
    <w:rsid w:val="00EF2CB7"/>
    <w:rsid w:val="00EF2DB5"/>
    <w:rsid w:val="00EF2F87"/>
    <w:rsid w:val="00EF31CC"/>
    <w:rsid w:val="00EF3735"/>
    <w:rsid w:val="00EF3746"/>
    <w:rsid w:val="00EF3A74"/>
    <w:rsid w:val="00EF3AE9"/>
    <w:rsid w:val="00EF3C9A"/>
    <w:rsid w:val="00EF3EA5"/>
    <w:rsid w:val="00EF40DC"/>
    <w:rsid w:val="00EF4106"/>
    <w:rsid w:val="00EF44CA"/>
    <w:rsid w:val="00EF46AF"/>
    <w:rsid w:val="00EF480A"/>
    <w:rsid w:val="00EF49FB"/>
    <w:rsid w:val="00EF4D23"/>
    <w:rsid w:val="00EF50D7"/>
    <w:rsid w:val="00EF50DE"/>
    <w:rsid w:val="00EF55D6"/>
    <w:rsid w:val="00EF585B"/>
    <w:rsid w:val="00EF58F2"/>
    <w:rsid w:val="00EF59F0"/>
    <w:rsid w:val="00EF5A85"/>
    <w:rsid w:val="00EF5BF1"/>
    <w:rsid w:val="00EF5F60"/>
    <w:rsid w:val="00EF5F8E"/>
    <w:rsid w:val="00EF6419"/>
    <w:rsid w:val="00EF644D"/>
    <w:rsid w:val="00EF69B5"/>
    <w:rsid w:val="00EF69C0"/>
    <w:rsid w:val="00EF6D29"/>
    <w:rsid w:val="00EF6FBD"/>
    <w:rsid w:val="00EF7028"/>
    <w:rsid w:val="00EF7138"/>
    <w:rsid w:val="00EF7149"/>
    <w:rsid w:val="00EF7357"/>
    <w:rsid w:val="00EF7CD4"/>
    <w:rsid w:val="00EF7DB5"/>
    <w:rsid w:val="00F0015A"/>
    <w:rsid w:val="00F00219"/>
    <w:rsid w:val="00F0063F"/>
    <w:rsid w:val="00F00817"/>
    <w:rsid w:val="00F00881"/>
    <w:rsid w:val="00F008C0"/>
    <w:rsid w:val="00F00917"/>
    <w:rsid w:val="00F00A19"/>
    <w:rsid w:val="00F01032"/>
    <w:rsid w:val="00F010BB"/>
    <w:rsid w:val="00F0114E"/>
    <w:rsid w:val="00F012C1"/>
    <w:rsid w:val="00F012C3"/>
    <w:rsid w:val="00F0175F"/>
    <w:rsid w:val="00F017D1"/>
    <w:rsid w:val="00F017F3"/>
    <w:rsid w:val="00F01C5B"/>
    <w:rsid w:val="00F01CEB"/>
    <w:rsid w:val="00F01E44"/>
    <w:rsid w:val="00F020C2"/>
    <w:rsid w:val="00F02274"/>
    <w:rsid w:val="00F02379"/>
    <w:rsid w:val="00F02898"/>
    <w:rsid w:val="00F028DA"/>
    <w:rsid w:val="00F029BD"/>
    <w:rsid w:val="00F02AA8"/>
    <w:rsid w:val="00F02D97"/>
    <w:rsid w:val="00F03280"/>
    <w:rsid w:val="00F03466"/>
    <w:rsid w:val="00F0362A"/>
    <w:rsid w:val="00F036B5"/>
    <w:rsid w:val="00F0385C"/>
    <w:rsid w:val="00F038D8"/>
    <w:rsid w:val="00F03A25"/>
    <w:rsid w:val="00F03ABE"/>
    <w:rsid w:val="00F04345"/>
    <w:rsid w:val="00F047A4"/>
    <w:rsid w:val="00F04ABD"/>
    <w:rsid w:val="00F04C05"/>
    <w:rsid w:val="00F04F52"/>
    <w:rsid w:val="00F04FF7"/>
    <w:rsid w:val="00F0510F"/>
    <w:rsid w:val="00F05568"/>
    <w:rsid w:val="00F05574"/>
    <w:rsid w:val="00F055AD"/>
    <w:rsid w:val="00F0563F"/>
    <w:rsid w:val="00F058EE"/>
    <w:rsid w:val="00F05CE0"/>
    <w:rsid w:val="00F05F58"/>
    <w:rsid w:val="00F061B3"/>
    <w:rsid w:val="00F061CF"/>
    <w:rsid w:val="00F06239"/>
    <w:rsid w:val="00F064EF"/>
    <w:rsid w:val="00F06521"/>
    <w:rsid w:val="00F06558"/>
    <w:rsid w:val="00F06587"/>
    <w:rsid w:val="00F06862"/>
    <w:rsid w:val="00F069E1"/>
    <w:rsid w:val="00F06D2F"/>
    <w:rsid w:val="00F06E0B"/>
    <w:rsid w:val="00F06F42"/>
    <w:rsid w:val="00F07122"/>
    <w:rsid w:val="00F074C9"/>
    <w:rsid w:val="00F07C82"/>
    <w:rsid w:val="00F07F24"/>
    <w:rsid w:val="00F07F5E"/>
    <w:rsid w:val="00F1001E"/>
    <w:rsid w:val="00F100D4"/>
    <w:rsid w:val="00F106BB"/>
    <w:rsid w:val="00F10B9D"/>
    <w:rsid w:val="00F11027"/>
    <w:rsid w:val="00F1106C"/>
    <w:rsid w:val="00F111BA"/>
    <w:rsid w:val="00F112E1"/>
    <w:rsid w:val="00F116DD"/>
    <w:rsid w:val="00F11D45"/>
    <w:rsid w:val="00F11D9F"/>
    <w:rsid w:val="00F11E31"/>
    <w:rsid w:val="00F12488"/>
    <w:rsid w:val="00F128FC"/>
    <w:rsid w:val="00F13137"/>
    <w:rsid w:val="00F13617"/>
    <w:rsid w:val="00F136F1"/>
    <w:rsid w:val="00F13AA1"/>
    <w:rsid w:val="00F13DBF"/>
    <w:rsid w:val="00F13F2A"/>
    <w:rsid w:val="00F140EC"/>
    <w:rsid w:val="00F1448F"/>
    <w:rsid w:val="00F147A1"/>
    <w:rsid w:val="00F14980"/>
    <w:rsid w:val="00F14B9D"/>
    <w:rsid w:val="00F15097"/>
    <w:rsid w:val="00F150DF"/>
    <w:rsid w:val="00F154F5"/>
    <w:rsid w:val="00F155C9"/>
    <w:rsid w:val="00F15671"/>
    <w:rsid w:val="00F15BA6"/>
    <w:rsid w:val="00F15DC7"/>
    <w:rsid w:val="00F16564"/>
    <w:rsid w:val="00F16695"/>
    <w:rsid w:val="00F16B89"/>
    <w:rsid w:val="00F16F3D"/>
    <w:rsid w:val="00F17009"/>
    <w:rsid w:val="00F17081"/>
    <w:rsid w:val="00F177FE"/>
    <w:rsid w:val="00F17829"/>
    <w:rsid w:val="00F17B07"/>
    <w:rsid w:val="00F17BEF"/>
    <w:rsid w:val="00F200B6"/>
    <w:rsid w:val="00F202E3"/>
    <w:rsid w:val="00F204DE"/>
    <w:rsid w:val="00F205EB"/>
    <w:rsid w:val="00F20BCC"/>
    <w:rsid w:val="00F20C1E"/>
    <w:rsid w:val="00F20C6E"/>
    <w:rsid w:val="00F20D6C"/>
    <w:rsid w:val="00F21555"/>
    <w:rsid w:val="00F21713"/>
    <w:rsid w:val="00F2242D"/>
    <w:rsid w:val="00F2255F"/>
    <w:rsid w:val="00F225CF"/>
    <w:rsid w:val="00F22882"/>
    <w:rsid w:val="00F22985"/>
    <w:rsid w:val="00F22AC7"/>
    <w:rsid w:val="00F22AD0"/>
    <w:rsid w:val="00F22AEF"/>
    <w:rsid w:val="00F22F7A"/>
    <w:rsid w:val="00F231B5"/>
    <w:rsid w:val="00F2322E"/>
    <w:rsid w:val="00F2343C"/>
    <w:rsid w:val="00F23443"/>
    <w:rsid w:val="00F2383A"/>
    <w:rsid w:val="00F238CF"/>
    <w:rsid w:val="00F23937"/>
    <w:rsid w:val="00F239F7"/>
    <w:rsid w:val="00F23CFC"/>
    <w:rsid w:val="00F23D02"/>
    <w:rsid w:val="00F23DD1"/>
    <w:rsid w:val="00F24012"/>
    <w:rsid w:val="00F24076"/>
    <w:rsid w:val="00F240CB"/>
    <w:rsid w:val="00F2414B"/>
    <w:rsid w:val="00F24690"/>
    <w:rsid w:val="00F2490E"/>
    <w:rsid w:val="00F2492F"/>
    <w:rsid w:val="00F24989"/>
    <w:rsid w:val="00F249B0"/>
    <w:rsid w:val="00F24A21"/>
    <w:rsid w:val="00F24B59"/>
    <w:rsid w:val="00F24C4B"/>
    <w:rsid w:val="00F24E2B"/>
    <w:rsid w:val="00F24E2C"/>
    <w:rsid w:val="00F2500D"/>
    <w:rsid w:val="00F2544F"/>
    <w:rsid w:val="00F2565D"/>
    <w:rsid w:val="00F256DA"/>
    <w:rsid w:val="00F25742"/>
    <w:rsid w:val="00F257DA"/>
    <w:rsid w:val="00F2596D"/>
    <w:rsid w:val="00F25AAF"/>
    <w:rsid w:val="00F25CAA"/>
    <w:rsid w:val="00F25DCD"/>
    <w:rsid w:val="00F25EE1"/>
    <w:rsid w:val="00F2601F"/>
    <w:rsid w:val="00F261C9"/>
    <w:rsid w:val="00F26364"/>
    <w:rsid w:val="00F26510"/>
    <w:rsid w:val="00F2697A"/>
    <w:rsid w:val="00F26AD6"/>
    <w:rsid w:val="00F27039"/>
    <w:rsid w:val="00F27061"/>
    <w:rsid w:val="00F27084"/>
    <w:rsid w:val="00F2711C"/>
    <w:rsid w:val="00F276BF"/>
    <w:rsid w:val="00F277E1"/>
    <w:rsid w:val="00F277E8"/>
    <w:rsid w:val="00F27B04"/>
    <w:rsid w:val="00F27E3D"/>
    <w:rsid w:val="00F27EB2"/>
    <w:rsid w:val="00F30016"/>
    <w:rsid w:val="00F301D0"/>
    <w:rsid w:val="00F3063A"/>
    <w:rsid w:val="00F3069F"/>
    <w:rsid w:val="00F309DC"/>
    <w:rsid w:val="00F30B8C"/>
    <w:rsid w:val="00F30BA9"/>
    <w:rsid w:val="00F30C3F"/>
    <w:rsid w:val="00F30C60"/>
    <w:rsid w:val="00F30EFB"/>
    <w:rsid w:val="00F30F38"/>
    <w:rsid w:val="00F30F76"/>
    <w:rsid w:val="00F311D1"/>
    <w:rsid w:val="00F313DA"/>
    <w:rsid w:val="00F3158A"/>
    <w:rsid w:val="00F3161C"/>
    <w:rsid w:val="00F318DB"/>
    <w:rsid w:val="00F31992"/>
    <w:rsid w:val="00F3199C"/>
    <w:rsid w:val="00F31B67"/>
    <w:rsid w:val="00F31F7D"/>
    <w:rsid w:val="00F325EA"/>
    <w:rsid w:val="00F3263B"/>
    <w:rsid w:val="00F32885"/>
    <w:rsid w:val="00F32AFF"/>
    <w:rsid w:val="00F32F2E"/>
    <w:rsid w:val="00F333B9"/>
    <w:rsid w:val="00F334A0"/>
    <w:rsid w:val="00F33825"/>
    <w:rsid w:val="00F33A8B"/>
    <w:rsid w:val="00F33BEC"/>
    <w:rsid w:val="00F33C89"/>
    <w:rsid w:val="00F33C90"/>
    <w:rsid w:val="00F33D3B"/>
    <w:rsid w:val="00F341D4"/>
    <w:rsid w:val="00F341E0"/>
    <w:rsid w:val="00F342EC"/>
    <w:rsid w:val="00F34411"/>
    <w:rsid w:val="00F344B1"/>
    <w:rsid w:val="00F344EC"/>
    <w:rsid w:val="00F34A96"/>
    <w:rsid w:val="00F34BA1"/>
    <w:rsid w:val="00F34BCA"/>
    <w:rsid w:val="00F34CA9"/>
    <w:rsid w:val="00F34EBF"/>
    <w:rsid w:val="00F34F05"/>
    <w:rsid w:val="00F34F85"/>
    <w:rsid w:val="00F353B0"/>
    <w:rsid w:val="00F356D5"/>
    <w:rsid w:val="00F357D7"/>
    <w:rsid w:val="00F35BD9"/>
    <w:rsid w:val="00F3603B"/>
    <w:rsid w:val="00F361AE"/>
    <w:rsid w:val="00F36240"/>
    <w:rsid w:val="00F363EB"/>
    <w:rsid w:val="00F365DE"/>
    <w:rsid w:val="00F3672B"/>
    <w:rsid w:val="00F36764"/>
    <w:rsid w:val="00F367CF"/>
    <w:rsid w:val="00F36D37"/>
    <w:rsid w:val="00F36E66"/>
    <w:rsid w:val="00F3710A"/>
    <w:rsid w:val="00F3719A"/>
    <w:rsid w:val="00F37296"/>
    <w:rsid w:val="00F375FF"/>
    <w:rsid w:val="00F37634"/>
    <w:rsid w:val="00F3776D"/>
    <w:rsid w:val="00F37782"/>
    <w:rsid w:val="00F37831"/>
    <w:rsid w:val="00F3783C"/>
    <w:rsid w:val="00F379BF"/>
    <w:rsid w:val="00F37EA7"/>
    <w:rsid w:val="00F403BC"/>
    <w:rsid w:val="00F403D9"/>
    <w:rsid w:val="00F4051C"/>
    <w:rsid w:val="00F40603"/>
    <w:rsid w:val="00F40644"/>
    <w:rsid w:val="00F40805"/>
    <w:rsid w:val="00F40C5E"/>
    <w:rsid w:val="00F40E3E"/>
    <w:rsid w:val="00F4154B"/>
    <w:rsid w:val="00F4163A"/>
    <w:rsid w:val="00F416D2"/>
    <w:rsid w:val="00F41873"/>
    <w:rsid w:val="00F419C3"/>
    <w:rsid w:val="00F41A0D"/>
    <w:rsid w:val="00F41BC9"/>
    <w:rsid w:val="00F41D91"/>
    <w:rsid w:val="00F41E2B"/>
    <w:rsid w:val="00F423BE"/>
    <w:rsid w:val="00F424A5"/>
    <w:rsid w:val="00F425EF"/>
    <w:rsid w:val="00F428AC"/>
    <w:rsid w:val="00F42910"/>
    <w:rsid w:val="00F4299C"/>
    <w:rsid w:val="00F42EE3"/>
    <w:rsid w:val="00F4304C"/>
    <w:rsid w:val="00F43069"/>
    <w:rsid w:val="00F43660"/>
    <w:rsid w:val="00F4384C"/>
    <w:rsid w:val="00F43C53"/>
    <w:rsid w:val="00F43CC2"/>
    <w:rsid w:val="00F43E30"/>
    <w:rsid w:val="00F4403A"/>
    <w:rsid w:val="00F44148"/>
    <w:rsid w:val="00F442E7"/>
    <w:rsid w:val="00F44432"/>
    <w:rsid w:val="00F44542"/>
    <w:rsid w:val="00F44886"/>
    <w:rsid w:val="00F448DD"/>
    <w:rsid w:val="00F44937"/>
    <w:rsid w:val="00F44C5F"/>
    <w:rsid w:val="00F44DB8"/>
    <w:rsid w:val="00F450CC"/>
    <w:rsid w:val="00F45760"/>
    <w:rsid w:val="00F45925"/>
    <w:rsid w:val="00F45A28"/>
    <w:rsid w:val="00F469E6"/>
    <w:rsid w:val="00F46BA6"/>
    <w:rsid w:val="00F46C97"/>
    <w:rsid w:val="00F46D2E"/>
    <w:rsid w:val="00F46FD0"/>
    <w:rsid w:val="00F4703E"/>
    <w:rsid w:val="00F47436"/>
    <w:rsid w:val="00F476E1"/>
    <w:rsid w:val="00F501AB"/>
    <w:rsid w:val="00F503C6"/>
    <w:rsid w:val="00F50511"/>
    <w:rsid w:val="00F50512"/>
    <w:rsid w:val="00F50781"/>
    <w:rsid w:val="00F507D4"/>
    <w:rsid w:val="00F50CA3"/>
    <w:rsid w:val="00F50EE1"/>
    <w:rsid w:val="00F50FED"/>
    <w:rsid w:val="00F51136"/>
    <w:rsid w:val="00F517ED"/>
    <w:rsid w:val="00F51A81"/>
    <w:rsid w:val="00F51AA1"/>
    <w:rsid w:val="00F51F3F"/>
    <w:rsid w:val="00F51FAC"/>
    <w:rsid w:val="00F52133"/>
    <w:rsid w:val="00F5232B"/>
    <w:rsid w:val="00F52461"/>
    <w:rsid w:val="00F52633"/>
    <w:rsid w:val="00F528B5"/>
    <w:rsid w:val="00F528E7"/>
    <w:rsid w:val="00F52AAA"/>
    <w:rsid w:val="00F52BF0"/>
    <w:rsid w:val="00F52C8A"/>
    <w:rsid w:val="00F52CB2"/>
    <w:rsid w:val="00F52F3D"/>
    <w:rsid w:val="00F52F3F"/>
    <w:rsid w:val="00F53615"/>
    <w:rsid w:val="00F536EA"/>
    <w:rsid w:val="00F53A91"/>
    <w:rsid w:val="00F53AAB"/>
    <w:rsid w:val="00F53E6B"/>
    <w:rsid w:val="00F53FFE"/>
    <w:rsid w:val="00F5407A"/>
    <w:rsid w:val="00F54496"/>
    <w:rsid w:val="00F54783"/>
    <w:rsid w:val="00F547E9"/>
    <w:rsid w:val="00F5494E"/>
    <w:rsid w:val="00F549F9"/>
    <w:rsid w:val="00F54ABE"/>
    <w:rsid w:val="00F553D2"/>
    <w:rsid w:val="00F5564F"/>
    <w:rsid w:val="00F556AE"/>
    <w:rsid w:val="00F55804"/>
    <w:rsid w:val="00F55F01"/>
    <w:rsid w:val="00F55F1A"/>
    <w:rsid w:val="00F561E5"/>
    <w:rsid w:val="00F5626F"/>
    <w:rsid w:val="00F56310"/>
    <w:rsid w:val="00F5648D"/>
    <w:rsid w:val="00F5684C"/>
    <w:rsid w:val="00F56F6E"/>
    <w:rsid w:val="00F570A0"/>
    <w:rsid w:val="00F57143"/>
    <w:rsid w:val="00F57210"/>
    <w:rsid w:val="00F574DA"/>
    <w:rsid w:val="00F577FC"/>
    <w:rsid w:val="00F57907"/>
    <w:rsid w:val="00F57B10"/>
    <w:rsid w:val="00F57FC9"/>
    <w:rsid w:val="00F601B9"/>
    <w:rsid w:val="00F602F0"/>
    <w:rsid w:val="00F6098E"/>
    <w:rsid w:val="00F60C90"/>
    <w:rsid w:val="00F60E88"/>
    <w:rsid w:val="00F60EAF"/>
    <w:rsid w:val="00F619EE"/>
    <w:rsid w:val="00F61CF5"/>
    <w:rsid w:val="00F61FF9"/>
    <w:rsid w:val="00F62069"/>
    <w:rsid w:val="00F62159"/>
    <w:rsid w:val="00F62286"/>
    <w:rsid w:val="00F62A7C"/>
    <w:rsid w:val="00F62B93"/>
    <w:rsid w:val="00F62EDA"/>
    <w:rsid w:val="00F6303E"/>
    <w:rsid w:val="00F632B7"/>
    <w:rsid w:val="00F6336C"/>
    <w:rsid w:val="00F633E5"/>
    <w:rsid w:val="00F634E7"/>
    <w:rsid w:val="00F63652"/>
    <w:rsid w:val="00F637C2"/>
    <w:rsid w:val="00F63A07"/>
    <w:rsid w:val="00F63A6A"/>
    <w:rsid w:val="00F63BDB"/>
    <w:rsid w:val="00F63C89"/>
    <w:rsid w:val="00F63F80"/>
    <w:rsid w:val="00F64074"/>
    <w:rsid w:val="00F641FC"/>
    <w:rsid w:val="00F643CA"/>
    <w:rsid w:val="00F644BD"/>
    <w:rsid w:val="00F6454E"/>
    <w:rsid w:val="00F647EC"/>
    <w:rsid w:val="00F64840"/>
    <w:rsid w:val="00F64AD7"/>
    <w:rsid w:val="00F64BF8"/>
    <w:rsid w:val="00F64BF9"/>
    <w:rsid w:val="00F64D57"/>
    <w:rsid w:val="00F64FAB"/>
    <w:rsid w:val="00F65329"/>
    <w:rsid w:val="00F6546A"/>
    <w:rsid w:val="00F654DC"/>
    <w:rsid w:val="00F654F2"/>
    <w:rsid w:val="00F65790"/>
    <w:rsid w:val="00F6590A"/>
    <w:rsid w:val="00F65CEA"/>
    <w:rsid w:val="00F65F15"/>
    <w:rsid w:val="00F65F9B"/>
    <w:rsid w:val="00F66443"/>
    <w:rsid w:val="00F668EF"/>
    <w:rsid w:val="00F66D69"/>
    <w:rsid w:val="00F6705A"/>
    <w:rsid w:val="00F671EB"/>
    <w:rsid w:val="00F675D4"/>
    <w:rsid w:val="00F675DE"/>
    <w:rsid w:val="00F675EA"/>
    <w:rsid w:val="00F6764D"/>
    <w:rsid w:val="00F679A0"/>
    <w:rsid w:val="00F67BEB"/>
    <w:rsid w:val="00F67DFF"/>
    <w:rsid w:val="00F67E75"/>
    <w:rsid w:val="00F67EAF"/>
    <w:rsid w:val="00F70263"/>
    <w:rsid w:val="00F703B5"/>
    <w:rsid w:val="00F7074A"/>
    <w:rsid w:val="00F70B94"/>
    <w:rsid w:val="00F7113B"/>
    <w:rsid w:val="00F711A0"/>
    <w:rsid w:val="00F712BA"/>
    <w:rsid w:val="00F71687"/>
    <w:rsid w:val="00F71708"/>
    <w:rsid w:val="00F717C1"/>
    <w:rsid w:val="00F719C6"/>
    <w:rsid w:val="00F71AB3"/>
    <w:rsid w:val="00F71B4E"/>
    <w:rsid w:val="00F71C5A"/>
    <w:rsid w:val="00F71D19"/>
    <w:rsid w:val="00F71DB4"/>
    <w:rsid w:val="00F72501"/>
    <w:rsid w:val="00F72549"/>
    <w:rsid w:val="00F725D3"/>
    <w:rsid w:val="00F7281E"/>
    <w:rsid w:val="00F72925"/>
    <w:rsid w:val="00F72C1A"/>
    <w:rsid w:val="00F72C3D"/>
    <w:rsid w:val="00F72FAE"/>
    <w:rsid w:val="00F73269"/>
    <w:rsid w:val="00F734E5"/>
    <w:rsid w:val="00F735E6"/>
    <w:rsid w:val="00F737AB"/>
    <w:rsid w:val="00F739DC"/>
    <w:rsid w:val="00F73D9D"/>
    <w:rsid w:val="00F73F1D"/>
    <w:rsid w:val="00F7400D"/>
    <w:rsid w:val="00F741AD"/>
    <w:rsid w:val="00F741DA"/>
    <w:rsid w:val="00F74216"/>
    <w:rsid w:val="00F74781"/>
    <w:rsid w:val="00F747DC"/>
    <w:rsid w:val="00F74ACC"/>
    <w:rsid w:val="00F74DB2"/>
    <w:rsid w:val="00F74E7B"/>
    <w:rsid w:val="00F74F0F"/>
    <w:rsid w:val="00F74F67"/>
    <w:rsid w:val="00F75018"/>
    <w:rsid w:val="00F751A4"/>
    <w:rsid w:val="00F75731"/>
    <w:rsid w:val="00F7576D"/>
    <w:rsid w:val="00F75841"/>
    <w:rsid w:val="00F75B74"/>
    <w:rsid w:val="00F761BC"/>
    <w:rsid w:val="00F7627B"/>
    <w:rsid w:val="00F76333"/>
    <w:rsid w:val="00F763F7"/>
    <w:rsid w:val="00F768D8"/>
    <w:rsid w:val="00F77100"/>
    <w:rsid w:val="00F772D9"/>
    <w:rsid w:val="00F779C8"/>
    <w:rsid w:val="00F77C84"/>
    <w:rsid w:val="00F77DEA"/>
    <w:rsid w:val="00F77E4C"/>
    <w:rsid w:val="00F77F68"/>
    <w:rsid w:val="00F80298"/>
    <w:rsid w:val="00F802A3"/>
    <w:rsid w:val="00F80606"/>
    <w:rsid w:val="00F806E0"/>
    <w:rsid w:val="00F8090D"/>
    <w:rsid w:val="00F8090F"/>
    <w:rsid w:val="00F80BCA"/>
    <w:rsid w:val="00F811B1"/>
    <w:rsid w:val="00F8139A"/>
    <w:rsid w:val="00F813AD"/>
    <w:rsid w:val="00F81785"/>
    <w:rsid w:val="00F81ABE"/>
    <w:rsid w:val="00F81C5A"/>
    <w:rsid w:val="00F81D3B"/>
    <w:rsid w:val="00F81DAF"/>
    <w:rsid w:val="00F81FF2"/>
    <w:rsid w:val="00F8200C"/>
    <w:rsid w:val="00F820C7"/>
    <w:rsid w:val="00F820ED"/>
    <w:rsid w:val="00F82431"/>
    <w:rsid w:val="00F828C1"/>
    <w:rsid w:val="00F82A04"/>
    <w:rsid w:val="00F82AAE"/>
    <w:rsid w:val="00F82F1D"/>
    <w:rsid w:val="00F8319B"/>
    <w:rsid w:val="00F8322D"/>
    <w:rsid w:val="00F834BE"/>
    <w:rsid w:val="00F834EE"/>
    <w:rsid w:val="00F83681"/>
    <w:rsid w:val="00F838A9"/>
    <w:rsid w:val="00F839FB"/>
    <w:rsid w:val="00F83AF4"/>
    <w:rsid w:val="00F84106"/>
    <w:rsid w:val="00F842A3"/>
    <w:rsid w:val="00F8435C"/>
    <w:rsid w:val="00F844C4"/>
    <w:rsid w:val="00F849E3"/>
    <w:rsid w:val="00F84B4E"/>
    <w:rsid w:val="00F84C44"/>
    <w:rsid w:val="00F84CD5"/>
    <w:rsid w:val="00F850DE"/>
    <w:rsid w:val="00F851B7"/>
    <w:rsid w:val="00F8526C"/>
    <w:rsid w:val="00F85390"/>
    <w:rsid w:val="00F8566C"/>
    <w:rsid w:val="00F858D4"/>
    <w:rsid w:val="00F85B97"/>
    <w:rsid w:val="00F85C45"/>
    <w:rsid w:val="00F85C65"/>
    <w:rsid w:val="00F8602C"/>
    <w:rsid w:val="00F8608A"/>
    <w:rsid w:val="00F860EB"/>
    <w:rsid w:val="00F861DD"/>
    <w:rsid w:val="00F86268"/>
    <w:rsid w:val="00F868B6"/>
    <w:rsid w:val="00F8695C"/>
    <w:rsid w:val="00F86968"/>
    <w:rsid w:val="00F86B4C"/>
    <w:rsid w:val="00F86C37"/>
    <w:rsid w:val="00F86E21"/>
    <w:rsid w:val="00F86E42"/>
    <w:rsid w:val="00F86FD9"/>
    <w:rsid w:val="00F8718F"/>
    <w:rsid w:val="00F872A9"/>
    <w:rsid w:val="00F875A9"/>
    <w:rsid w:val="00F876E6"/>
    <w:rsid w:val="00F87825"/>
    <w:rsid w:val="00F87838"/>
    <w:rsid w:val="00F879A9"/>
    <w:rsid w:val="00F879E8"/>
    <w:rsid w:val="00F87CA5"/>
    <w:rsid w:val="00F87FCE"/>
    <w:rsid w:val="00F9008B"/>
    <w:rsid w:val="00F900B8"/>
    <w:rsid w:val="00F9015E"/>
    <w:rsid w:val="00F9029D"/>
    <w:rsid w:val="00F903B2"/>
    <w:rsid w:val="00F906EA"/>
    <w:rsid w:val="00F90C58"/>
    <w:rsid w:val="00F914CC"/>
    <w:rsid w:val="00F91669"/>
    <w:rsid w:val="00F9184F"/>
    <w:rsid w:val="00F91943"/>
    <w:rsid w:val="00F9194F"/>
    <w:rsid w:val="00F919C6"/>
    <w:rsid w:val="00F91C49"/>
    <w:rsid w:val="00F922A5"/>
    <w:rsid w:val="00F9278E"/>
    <w:rsid w:val="00F927E0"/>
    <w:rsid w:val="00F92914"/>
    <w:rsid w:val="00F92A66"/>
    <w:rsid w:val="00F92B27"/>
    <w:rsid w:val="00F92FAF"/>
    <w:rsid w:val="00F931CF"/>
    <w:rsid w:val="00F9336C"/>
    <w:rsid w:val="00F93529"/>
    <w:rsid w:val="00F93675"/>
    <w:rsid w:val="00F93A31"/>
    <w:rsid w:val="00F93A8F"/>
    <w:rsid w:val="00F93BA1"/>
    <w:rsid w:val="00F93C1F"/>
    <w:rsid w:val="00F93C5A"/>
    <w:rsid w:val="00F93D6E"/>
    <w:rsid w:val="00F93EC1"/>
    <w:rsid w:val="00F94021"/>
    <w:rsid w:val="00F9423D"/>
    <w:rsid w:val="00F9426B"/>
    <w:rsid w:val="00F944B1"/>
    <w:rsid w:val="00F9451E"/>
    <w:rsid w:val="00F94609"/>
    <w:rsid w:val="00F946B2"/>
    <w:rsid w:val="00F94CE7"/>
    <w:rsid w:val="00F94F07"/>
    <w:rsid w:val="00F95182"/>
    <w:rsid w:val="00F95483"/>
    <w:rsid w:val="00F95566"/>
    <w:rsid w:val="00F95591"/>
    <w:rsid w:val="00F957D2"/>
    <w:rsid w:val="00F95A0C"/>
    <w:rsid w:val="00F95D94"/>
    <w:rsid w:val="00F9663D"/>
    <w:rsid w:val="00F96739"/>
    <w:rsid w:val="00F9679E"/>
    <w:rsid w:val="00F96C6F"/>
    <w:rsid w:val="00F96F86"/>
    <w:rsid w:val="00F96FD7"/>
    <w:rsid w:val="00F96FFA"/>
    <w:rsid w:val="00F9751C"/>
    <w:rsid w:val="00F97711"/>
    <w:rsid w:val="00F97A2A"/>
    <w:rsid w:val="00F97E0E"/>
    <w:rsid w:val="00F97E93"/>
    <w:rsid w:val="00F97F9D"/>
    <w:rsid w:val="00FA0026"/>
    <w:rsid w:val="00FA0097"/>
    <w:rsid w:val="00FA02B8"/>
    <w:rsid w:val="00FA07A1"/>
    <w:rsid w:val="00FA0832"/>
    <w:rsid w:val="00FA0980"/>
    <w:rsid w:val="00FA0E52"/>
    <w:rsid w:val="00FA0E53"/>
    <w:rsid w:val="00FA0EFB"/>
    <w:rsid w:val="00FA0F8F"/>
    <w:rsid w:val="00FA1028"/>
    <w:rsid w:val="00FA10F7"/>
    <w:rsid w:val="00FA157E"/>
    <w:rsid w:val="00FA178F"/>
    <w:rsid w:val="00FA181F"/>
    <w:rsid w:val="00FA19AA"/>
    <w:rsid w:val="00FA1C1F"/>
    <w:rsid w:val="00FA1C36"/>
    <w:rsid w:val="00FA1E82"/>
    <w:rsid w:val="00FA1ED4"/>
    <w:rsid w:val="00FA1F2C"/>
    <w:rsid w:val="00FA1FF6"/>
    <w:rsid w:val="00FA20D0"/>
    <w:rsid w:val="00FA2137"/>
    <w:rsid w:val="00FA21B0"/>
    <w:rsid w:val="00FA272C"/>
    <w:rsid w:val="00FA272D"/>
    <w:rsid w:val="00FA2A27"/>
    <w:rsid w:val="00FA2C40"/>
    <w:rsid w:val="00FA2CC6"/>
    <w:rsid w:val="00FA2DEB"/>
    <w:rsid w:val="00FA31A4"/>
    <w:rsid w:val="00FA338D"/>
    <w:rsid w:val="00FA34A2"/>
    <w:rsid w:val="00FA351F"/>
    <w:rsid w:val="00FA3629"/>
    <w:rsid w:val="00FA3742"/>
    <w:rsid w:val="00FA3837"/>
    <w:rsid w:val="00FA38E9"/>
    <w:rsid w:val="00FA39FC"/>
    <w:rsid w:val="00FA3AA4"/>
    <w:rsid w:val="00FA3D8D"/>
    <w:rsid w:val="00FA44B4"/>
    <w:rsid w:val="00FA44FD"/>
    <w:rsid w:val="00FA4538"/>
    <w:rsid w:val="00FA466B"/>
    <w:rsid w:val="00FA4713"/>
    <w:rsid w:val="00FA482B"/>
    <w:rsid w:val="00FA486C"/>
    <w:rsid w:val="00FA4998"/>
    <w:rsid w:val="00FA4A94"/>
    <w:rsid w:val="00FA4CAA"/>
    <w:rsid w:val="00FA4DC2"/>
    <w:rsid w:val="00FA5043"/>
    <w:rsid w:val="00FA51E0"/>
    <w:rsid w:val="00FA55E9"/>
    <w:rsid w:val="00FA560A"/>
    <w:rsid w:val="00FA5BE4"/>
    <w:rsid w:val="00FA5C87"/>
    <w:rsid w:val="00FA5EA3"/>
    <w:rsid w:val="00FA6017"/>
    <w:rsid w:val="00FA6272"/>
    <w:rsid w:val="00FA6645"/>
    <w:rsid w:val="00FA67E3"/>
    <w:rsid w:val="00FA6BC7"/>
    <w:rsid w:val="00FA6EE5"/>
    <w:rsid w:val="00FA6FEC"/>
    <w:rsid w:val="00FA7157"/>
    <w:rsid w:val="00FA733B"/>
    <w:rsid w:val="00FA73A6"/>
    <w:rsid w:val="00FA7698"/>
    <w:rsid w:val="00FA78C2"/>
    <w:rsid w:val="00FA7A2D"/>
    <w:rsid w:val="00FA7B4F"/>
    <w:rsid w:val="00FA7DC2"/>
    <w:rsid w:val="00FA7DD8"/>
    <w:rsid w:val="00FA7F36"/>
    <w:rsid w:val="00FB00F7"/>
    <w:rsid w:val="00FB06E7"/>
    <w:rsid w:val="00FB06E9"/>
    <w:rsid w:val="00FB0725"/>
    <w:rsid w:val="00FB0822"/>
    <w:rsid w:val="00FB0975"/>
    <w:rsid w:val="00FB09AA"/>
    <w:rsid w:val="00FB0A7E"/>
    <w:rsid w:val="00FB0E8C"/>
    <w:rsid w:val="00FB1093"/>
    <w:rsid w:val="00FB13A0"/>
    <w:rsid w:val="00FB153E"/>
    <w:rsid w:val="00FB1574"/>
    <w:rsid w:val="00FB1B1B"/>
    <w:rsid w:val="00FB227E"/>
    <w:rsid w:val="00FB22AB"/>
    <w:rsid w:val="00FB23F3"/>
    <w:rsid w:val="00FB267D"/>
    <w:rsid w:val="00FB297D"/>
    <w:rsid w:val="00FB2A18"/>
    <w:rsid w:val="00FB2BF4"/>
    <w:rsid w:val="00FB2C8D"/>
    <w:rsid w:val="00FB2DC6"/>
    <w:rsid w:val="00FB3505"/>
    <w:rsid w:val="00FB351A"/>
    <w:rsid w:val="00FB38F6"/>
    <w:rsid w:val="00FB3DDA"/>
    <w:rsid w:val="00FB3E3F"/>
    <w:rsid w:val="00FB4CC2"/>
    <w:rsid w:val="00FB4DB1"/>
    <w:rsid w:val="00FB4DBA"/>
    <w:rsid w:val="00FB4FDE"/>
    <w:rsid w:val="00FB50A8"/>
    <w:rsid w:val="00FB51B7"/>
    <w:rsid w:val="00FB5DD6"/>
    <w:rsid w:val="00FB5E81"/>
    <w:rsid w:val="00FB63FE"/>
    <w:rsid w:val="00FB64F6"/>
    <w:rsid w:val="00FB6626"/>
    <w:rsid w:val="00FB692D"/>
    <w:rsid w:val="00FB6E39"/>
    <w:rsid w:val="00FB6E6C"/>
    <w:rsid w:val="00FB6EA2"/>
    <w:rsid w:val="00FB70F0"/>
    <w:rsid w:val="00FB71B0"/>
    <w:rsid w:val="00FB723A"/>
    <w:rsid w:val="00FB7ABA"/>
    <w:rsid w:val="00FB7C21"/>
    <w:rsid w:val="00FB7C3F"/>
    <w:rsid w:val="00FB7C46"/>
    <w:rsid w:val="00FB7CF0"/>
    <w:rsid w:val="00FC0298"/>
    <w:rsid w:val="00FC04E0"/>
    <w:rsid w:val="00FC08FD"/>
    <w:rsid w:val="00FC0AA9"/>
    <w:rsid w:val="00FC0D98"/>
    <w:rsid w:val="00FC0E1A"/>
    <w:rsid w:val="00FC0F19"/>
    <w:rsid w:val="00FC1042"/>
    <w:rsid w:val="00FC11C6"/>
    <w:rsid w:val="00FC1473"/>
    <w:rsid w:val="00FC17D8"/>
    <w:rsid w:val="00FC18F0"/>
    <w:rsid w:val="00FC1DC0"/>
    <w:rsid w:val="00FC1E6D"/>
    <w:rsid w:val="00FC2340"/>
    <w:rsid w:val="00FC24A6"/>
    <w:rsid w:val="00FC25A7"/>
    <w:rsid w:val="00FC268E"/>
    <w:rsid w:val="00FC279A"/>
    <w:rsid w:val="00FC288C"/>
    <w:rsid w:val="00FC2AF1"/>
    <w:rsid w:val="00FC2BAB"/>
    <w:rsid w:val="00FC2DB3"/>
    <w:rsid w:val="00FC324D"/>
    <w:rsid w:val="00FC33BA"/>
    <w:rsid w:val="00FC3672"/>
    <w:rsid w:val="00FC38AF"/>
    <w:rsid w:val="00FC39A1"/>
    <w:rsid w:val="00FC3BC3"/>
    <w:rsid w:val="00FC3E47"/>
    <w:rsid w:val="00FC4015"/>
    <w:rsid w:val="00FC401E"/>
    <w:rsid w:val="00FC44C2"/>
    <w:rsid w:val="00FC49D9"/>
    <w:rsid w:val="00FC4B53"/>
    <w:rsid w:val="00FC4B66"/>
    <w:rsid w:val="00FC4B90"/>
    <w:rsid w:val="00FC4BAE"/>
    <w:rsid w:val="00FC4BFE"/>
    <w:rsid w:val="00FC4C8B"/>
    <w:rsid w:val="00FC5046"/>
    <w:rsid w:val="00FC5160"/>
    <w:rsid w:val="00FC52CE"/>
    <w:rsid w:val="00FC58B4"/>
    <w:rsid w:val="00FC5A36"/>
    <w:rsid w:val="00FC61D4"/>
    <w:rsid w:val="00FC61DE"/>
    <w:rsid w:val="00FC6254"/>
    <w:rsid w:val="00FC679A"/>
    <w:rsid w:val="00FC69CF"/>
    <w:rsid w:val="00FC6B0B"/>
    <w:rsid w:val="00FC6F4F"/>
    <w:rsid w:val="00FC7004"/>
    <w:rsid w:val="00FC713B"/>
    <w:rsid w:val="00FC71FA"/>
    <w:rsid w:val="00FC761B"/>
    <w:rsid w:val="00FC7862"/>
    <w:rsid w:val="00FC798F"/>
    <w:rsid w:val="00FC79D5"/>
    <w:rsid w:val="00FC7B35"/>
    <w:rsid w:val="00FC7B53"/>
    <w:rsid w:val="00FC7EDE"/>
    <w:rsid w:val="00FD016E"/>
    <w:rsid w:val="00FD0177"/>
    <w:rsid w:val="00FD02BD"/>
    <w:rsid w:val="00FD0480"/>
    <w:rsid w:val="00FD051A"/>
    <w:rsid w:val="00FD06FA"/>
    <w:rsid w:val="00FD0AE7"/>
    <w:rsid w:val="00FD0B44"/>
    <w:rsid w:val="00FD0F70"/>
    <w:rsid w:val="00FD1092"/>
    <w:rsid w:val="00FD13D0"/>
    <w:rsid w:val="00FD1568"/>
    <w:rsid w:val="00FD1617"/>
    <w:rsid w:val="00FD17BF"/>
    <w:rsid w:val="00FD2315"/>
    <w:rsid w:val="00FD23B0"/>
    <w:rsid w:val="00FD2725"/>
    <w:rsid w:val="00FD29A7"/>
    <w:rsid w:val="00FD2B15"/>
    <w:rsid w:val="00FD2E97"/>
    <w:rsid w:val="00FD2F71"/>
    <w:rsid w:val="00FD3092"/>
    <w:rsid w:val="00FD30B4"/>
    <w:rsid w:val="00FD35A1"/>
    <w:rsid w:val="00FD37C0"/>
    <w:rsid w:val="00FD3AEA"/>
    <w:rsid w:val="00FD3C61"/>
    <w:rsid w:val="00FD3FAB"/>
    <w:rsid w:val="00FD40FC"/>
    <w:rsid w:val="00FD412E"/>
    <w:rsid w:val="00FD420F"/>
    <w:rsid w:val="00FD42EB"/>
    <w:rsid w:val="00FD4368"/>
    <w:rsid w:val="00FD4503"/>
    <w:rsid w:val="00FD4578"/>
    <w:rsid w:val="00FD46C1"/>
    <w:rsid w:val="00FD491E"/>
    <w:rsid w:val="00FD4BFB"/>
    <w:rsid w:val="00FD4C63"/>
    <w:rsid w:val="00FD4E34"/>
    <w:rsid w:val="00FD4F2F"/>
    <w:rsid w:val="00FD506A"/>
    <w:rsid w:val="00FD51F7"/>
    <w:rsid w:val="00FD523A"/>
    <w:rsid w:val="00FD5258"/>
    <w:rsid w:val="00FD52BF"/>
    <w:rsid w:val="00FD53D4"/>
    <w:rsid w:val="00FD5602"/>
    <w:rsid w:val="00FD5A2A"/>
    <w:rsid w:val="00FD5AAB"/>
    <w:rsid w:val="00FD5AE2"/>
    <w:rsid w:val="00FD5C3A"/>
    <w:rsid w:val="00FD5D4D"/>
    <w:rsid w:val="00FD5DB7"/>
    <w:rsid w:val="00FD601F"/>
    <w:rsid w:val="00FD61A8"/>
    <w:rsid w:val="00FD62B4"/>
    <w:rsid w:val="00FD6352"/>
    <w:rsid w:val="00FD66C4"/>
    <w:rsid w:val="00FD6AE9"/>
    <w:rsid w:val="00FD6D0A"/>
    <w:rsid w:val="00FD6FC2"/>
    <w:rsid w:val="00FD70FE"/>
    <w:rsid w:val="00FD7106"/>
    <w:rsid w:val="00FD7142"/>
    <w:rsid w:val="00FD750F"/>
    <w:rsid w:val="00FD7836"/>
    <w:rsid w:val="00FD7FCC"/>
    <w:rsid w:val="00FD7FED"/>
    <w:rsid w:val="00FE011C"/>
    <w:rsid w:val="00FE07DC"/>
    <w:rsid w:val="00FE0A3F"/>
    <w:rsid w:val="00FE0ABA"/>
    <w:rsid w:val="00FE0BDD"/>
    <w:rsid w:val="00FE0F7B"/>
    <w:rsid w:val="00FE1116"/>
    <w:rsid w:val="00FE161A"/>
    <w:rsid w:val="00FE188E"/>
    <w:rsid w:val="00FE1E64"/>
    <w:rsid w:val="00FE1F13"/>
    <w:rsid w:val="00FE2075"/>
    <w:rsid w:val="00FE2080"/>
    <w:rsid w:val="00FE2647"/>
    <w:rsid w:val="00FE279E"/>
    <w:rsid w:val="00FE27B9"/>
    <w:rsid w:val="00FE28C8"/>
    <w:rsid w:val="00FE2A43"/>
    <w:rsid w:val="00FE2E0B"/>
    <w:rsid w:val="00FE2E37"/>
    <w:rsid w:val="00FE3156"/>
    <w:rsid w:val="00FE315D"/>
    <w:rsid w:val="00FE3640"/>
    <w:rsid w:val="00FE3780"/>
    <w:rsid w:val="00FE3954"/>
    <w:rsid w:val="00FE3CF7"/>
    <w:rsid w:val="00FE4071"/>
    <w:rsid w:val="00FE41BD"/>
    <w:rsid w:val="00FE41F3"/>
    <w:rsid w:val="00FE42E3"/>
    <w:rsid w:val="00FE4629"/>
    <w:rsid w:val="00FE4BBB"/>
    <w:rsid w:val="00FE4CBD"/>
    <w:rsid w:val="00FE4DF4"/>
    <w:rsid w:val="00FE4E71"/>
    <w:rsid w:val="00FE4ECD"/>
    <w:rsid w:val="00FE52A9"/>
    <w:rsid w:val="00FE52B7"/>
    <w:rsid w:val="00FE535F"/>
    <w:rsid w:val="00FE53C5"/>
    <w:rsid w:val="00FE53D5"/>
    <w:rsid w:val="00FE5588"/>
    <w:rsid w:val="00FE5678"/>
    <w:rsid w:val="00FE5807"/>
    <w:rsid w:val="00FE5BAC"/>
    <w:rsid w:val="00FE5C39"/>
    <w:rsid w:val="00FE5C57"/>
    <w:rsid w:val="00FE5F6A"/>
    <w:rsid w:val="00FE5FBA"/>
    <w:rsid w:val="00FE6064"/>
    <w:rsid w:val="00FE624E"/>
    <w:rsid w:val="00FE6415"/>
    <w:rsid w:val="00FE651D"/>
    <w:rsid w:val="00FE6535"/>
    <w:rsid w:val="00FE6648"/>
    <w:rsid w:val="00FE6901"/>
    <w:rsid w:val="00FE69E7"/>
    <w:rsid w:val="00FE6BB8"/>
    <w:rsid w:val="00FE6E76"/>
    <w:rsid w:val="00FE786E"/>
    <w:rsid w:val="00FE79AD"/>
    <w:rsid w:val="00FE7ACF"/>
    <w:rsid w:val="00FE7B94"/>
    <w:rsid w:val="00FE7F1E"/>
    <w:rsid w:val="00FF027B"/>
    <w:rsid w:val="00FF06DD"/>
    <w:rsid w:val="00FF07FB"/>
    <w:rsid w:val="00FF09B7"/>
    <w:rsid w:val="00FF0C6A"/>
    <w:rsid w:val="00FF0E1A"/>
    <w:rsid w:val="00FF0FFE"/>
    <w:rsid w:val="00FF10D8"/>
    <w:rsid w:val="00FF1174"/>
    <w:rsid w:val="00FF11F7"/>
    <w:rsid w:val="00FF14D9"/>
    <w:rsid w:val="00FF165A"/>
    <w:rsid w:val="00FF1A9F"/>
    <w:rsid w:val="00FF1B72"/>
    <w:rsid w:val="00FF1BF9"/>
    <w:rsid w:val="00FF1C58"/>
    <w:rsid w:val="00FF1C84"/>
    <w:rsid w:val="00FF1CE1"/>
    <w:rsid w:val="00FF1CF1"/>
    <w:rsid w:val="00FF1F4C"/>
    <w:rsid w:val="00FF200B"/>
    <w:rsid w:val="00FF2153"/>
    <w:rsid w:val="00FF22F1"/>
    <w:rsid w:val="00FF2654"/>
    <w:rsid w:val="00FF2E9D"/>
    <w:rsid w:val="00FF3255"/>
    <w:rsid w:val="00FF35DC"/>
    <w:rsid w:val="00FF3975"/>
    <w:rsid w:val="00FF3A6A"/>
    <w:rsid w:val="00FF3C7A"/>
    <w:rsid w:val="00FF3E09"/>
    <w:rsid w:val="00FF4004"/>
    <w:rsid w:val="00FF411C"/>
    <w:rsid w:val="00FF456F"/>
    <w:rsid w:val="00FF4594"/>
    <w:rsid w:val="00FF49D7"/>
    <w:rsid w:val="00FF4AA8"/>
    <w:rsid w:val="00FF4B2E"/>
    <w:rsid w:val="00FF4C38"/>
    <w:rsid w:val="00FF4E4B"/>
    <w:rsid w:val="00FF4E4E"/>
    <w:rsid w:val="00FF5049"/>
    <w:rsid w:val="00FF5266"/>
    <w:rsid w:val="00FF5816"/>
    <w:rsid w:val="00FF588A"/>
    <w:rsid w:val="00FF59E9"/>
    <w:rsid w:val="00FF5AEC"/>
    <w:rsid w:val="00FF5C2D"/>
    <w:rsid w:val="00FF5D1F"/>
    <w:rsid w:val="00FF5D95"/>
    <w:rsid w:val="00FF5F95"/>
    <w:rsid w:val="00FF600D"/>
    <w:rsid w:val="00FF6126"/>
    <w:rsid w:val="00FF61F5"/>
    <w:rsid w:val="00FF62AA"/>
    <w:rsid w:val="00FF64D7"/>
    <w:rsid w:val="00FF6B6C"/>
    <w:rsid w:val="00FF6CA5"/>
    <w:rsid w:val="00FF70A0"/>
    <w:rsid w:val="00FF7191"/>
    <w:rsid w:val="00FF748A"/>
    <w:rsid w:val="00FF7A00"/>
    <w:rsid w:val="00FF7FD4"/>
    <w:rsid w:val="013038FE"/>
    <w:rsid w:val="01420B2A"/>
    <w:rsid w:val="01884E9B"/>
    <w:rsid w:val="01AA2C10"/>
    <w:rsid w:val="01BA4B5B"/>
    <w:rsid w:val="01D879A0"/>
    <w:rsid w:val="022905C5"/>
    <w:rsid w:val="02CB76A6"/>
    <w:rsid w:val="02D7201B"/>
    <w:rsid w:val="035D2403"/>
    <w:rsid w:val="037738D8"/>
    <w:rsid w:val="0382201A"/>
    <w:rsid w:val="03E85427"/>
    <w:rsid w:val="03EE579D"/>
    <w:rsid w:val="05377636"/>
    <w:rsid w:val="05A96137"/>
    <w:rsid w:val="05B53FF0"/>
    <w:rsid w:val="069661FA"/>
    <w:rsid w:val="06BA5EFA"/>
    <w:rsid w:val="074B7CE4"/>
    <w:rsid w:val="075F0692"/>
    <w:rsid w:val="076D6412"/>
    <w:rsid w:val="07BC2C77"/>
    <w:rsid w:val="08B63E72"/>
    <w:rsid w:val="08F53B23"/>
    <w:rsid w:val="0A070656"/>
    <w:rsid w:val="0A162143"/>
    <w:rsid w:val="0A913ED8"/>
    <w:rsid w:val="0B24171E"/>
    <w:rsid w:val="0B4E226C"/>
    <w:rsid w:val="0B6F4468"/>
    <w:rsid w:val="0BB33687"/>
    <w:rsid w:val="0C7E609C"/>
    <w:rsid w:val="0D081F34"/>
    <w:rsid w:val="0D584403"/>
    <w:rsid w:val="0DA61C5F"/>
    <w:rsid w:val="0DDA523F"/>
    <w:rsid w:val="0F333B7C"/>
    <w:rsid w:val="0F385A91"/>
    <w:rsid w:val="101C0A97"/>
    <w:rsid w:val="102C49E5"/>
    <w:rsid w:val="102E700D"/>
    <w:rsid w:val="10F67974"/>
    <w:rsid w:val="11560FDD"/>
    <w:rsid w:val="116353E3"/>
    <w:rsid w:val="117C7228"/>
    <w:rsid w:val="118F79C1"/>
    <w:rsid w:val="12D6790A"/>
    <w:rsid w:val="12F438A7"/>
    <w:rsid w:val="136F4921"/>
    <w:rsid w:val="13977E74"/>
    <w:rsid w:val="141B7F51"/>
    <w:rsid w:val="141F605C"/>
    <w:rsid w:val="144D5C11"/>
    <w:rsid w:val="146F2C7A"/>
    <w:rsid w:val="149E4992"/>
    <w:rsid w:val="14E46B1E"/>
    <w:rsid w:val="15A217AD"/>
    <w:rsid w:val="15C026F1"/>
    <w:rsid w:val="15E87522"/>
    <w:rsid w:val="15F119E1"/>
    <w:rsid w:val="15F856F5"/>
    <w:rsid w:val="17064457"/>
    <w:rsid w:val="172B3A97"/>
    <w:rsid w:val="17761009"/>
    <w:rsid w:val="18136AFE"/>
    <w:rsid w:val="18357EE7"/>
    <w:rsid w:val="189439F5"/>
    <w:rsid w:val="18C643E3"/>
    <w:rsid w:val="190421E9"/>
    <w:rsid w:val="191A2DAF"/>
    <w:rsid w:val="1A442DE9"/>
    <w:rsid w:val="1A690E45"/>
    <w:rsid w:val="1A8B30E7"/>
    <w:rsid w:val="1C8659A6"/>
    <w:rsid w:val="1D321E13"/>
    <w:rsid w:val="1DA900A6"/>
    <w:rsid w:val="1EA374D2"/>
    <w:rsid w:val="1EE1030F"/>
    <w:rsid w:val="1F462152"/>
    <w:rsid w:val="1F6B6784"/>
    <w:rsid w:val="1FFB5637"/>
    <w:rsid w:val="20651585"/>
    <w:rsid w:val="2070695B"/>
    <w:rsid w:val="20780ECB"/>
    <w:rsid w:val="20877D53"/>
    <w:rsid w:val="20F76B2D"/>
    <w:rsid w:val="21020207"/>
    <w:rsid w:val="21062A0E"/>
    <w:rsid w:val="211C7C9C"/>
    <w:rsid w:val="21455F84"/>
    <w:rsid w:val="224176AA"/>
    <w:rsid w:val="22647832"/>
    <w:rsid w:val="227D3C3F"/>
    <w:rsid w:val="228C1199"/>
    <w:rsid w:val="228F2C39"/>
    <w:rsid w:val="22993768"/>
    <w:rsid w:val="22D54CA1"/>
    <w:rsid w:val="22F04398"/>
    <w:rsid w:val="235634BB"/>
    <w:rsid w:val="237A6DF7"/>
    <w:rsid w:val="242D24F6"/>
    <w:rsid w:val="24801EBF"/>
    <w:rsid w:val="24977600"/>
    <w:rsid w:val="249B023C"/>
    <w:rsid w:val="253A2D60"/>
    <w:rsid w:val="25405D21"/>
    <w:rsid w:val="268F1D22"/>
    <w:rsid w:val="26AA0F6E"/>
    <w:rsid w:val="26ED6265"/>
    <w:rsid w:val="272F1A96"/>
    <w:rsid w:val="27942FEF"/>
    <w:rsid w:val="27AC0841"/>
    <w:rsid w:val="27BF60E1"/>
    <w:rsid w:val="2848646B"/>
    <w:rsid w:val="294E4BC1"/>
    <w:rsid w:val="297B0CF7"/>
    <w:rsid w:val="29CC20F1"/>
    <w:rsid w:val="29D3561F"/>
    <w:rsid w:val="29E17964"/>
    <w:rsid w:val="2A51423E"/>
    <w:rsid w:val="2A9E0184"/>
    <w:rsid w:val="2AA0069F"/>
    <w:rsid w:val="2B115F0A"/>
    <w:rsid w:val="2B1E0D76"/>
    <w:rsid w:val="2C3200B1"/>
    <w:rsid w:val="2E0C4019"/>
    <w:rsid w:val="2EDD2DD9"/>
    <w:rsid w:val="2EF306EF"/>
    <w:rsid w:val="2EFA61AC"/>
    <w:rsid w:val="2F494753"/>
    <w:rsid w:val="2F723467"/>
    <w:rsid w:val="2FD27A4A"/>
    <w:rsid w:val="306058C5"/>
    <w:rsid w:val="30AD0B0B"/>
    <w:rsid w:val="31CD7EA7"/>
    <w:rsid w:val="32887885"/>
    <w:rsid w:val="32A02B99"/>
    <w:rsid w:val="32DC7BA3"/>
    <w:rsid w:val="33881E78"/>
    <w:rsid w:val="339D07D5"/>
    <w:rsid w:val="33D22EAF"/>
    <w:rsid w:val="33D414D0"/>
    <w:rsid w:val="34B734A9"/>
    <w:rsid w:val="35CD358A"/>
    <w:rsid w:val="362A09EF"/>
    <w:rsid w:val="368A0B9B"/>
    <w:rsid w:val="369C1105"/>
    <w:rsid w:val="37467D39"/>
    <w:rsid w:val="37492C0F"/>
    <w:rsid w:val="37A11530"/>
    <w:rsid w:val="37B12EAA"/>
    <w:rsid w:val="37B414A9"/>
    <w:rsid w:val="37E11850"/>
    <w:rsid w:val="38114CB6"/>
    <w:rsid w:val="385F359C"/>
    <w:rsid w:val="38C42E95"/>
    <w:rsid w:val="3948708C"/>
    <w:rsid w:val="39A52F16"/>
    <w:rsid w:val="3A2F5C7D"/>
    <w:rsid w:val="3AB262CC"/>
    <w:rsid w:val="3AF11C2B"/>
    <w:rsid w:val="3BA80B19"/>
    <w:rsid w:val="3C4240EC"/>
    <w:rsid w:val="3C4B1DF2"/>
    <w:rsid w:val="3E213B45"/>
    <w:rsid w:val="3E8A248B"/>
    <w:rsid w:val="3E997760"/>
    <w:rsid w:val="3EB92D70"/>
    <w:rsid w:val="3EBD9E8D"/>
    <w:rsid w:val="3F3A1FEB"/>
    <w:rsid w:val="3F4C7741"/>
    <w:rsid w:val="3FA550A3"/>
    <w:rsid w:val="3FFD354C"/>
    <w:rsid w:val="405F6B9A"/>
    <w:rsid w:val="40885740"/>
    <w:rsid w:val="415149B5"/>
    <w:rsid w:val="4169503B"/>
    <w:rsid w:val="41B639B0"/>
    <w:rsid w:val="41CB5019"/>
    <w:rsid w:val="41E24034"/>
    <w:rsid w:val="42253D73"/>
    <w:rsid w:val="426B3B2C"/>
    <w:rsid w:val="428E521E"/>
    <w:rsid w:val="42DC0426"/>
    <w:rsid w:val="433123D2"/>
    <w:rsid w:val="43BF32E9"/>
    <w:rsid w:val="43C006FD"/>
    <w:rsid w:val="43C76649"/>
    <w:rsid w:val="44101D29"/>
    <w:rsid w:val="44B91A5D"/>
    <w:rsid w:val="452F03D4"/>
    <w:rsid w:val="457A5822"/>
    <w:rsid w:val="459A3BBF"/>
    <w:rsid w:val="45F00592"/>
    <w:rsid w:val="46406A7D"/>
    <w:rsid w:val="468E4294"/>
    <w:rsid w:val="47260306"/>
    <w:rsid w:val="47843179"/>
    <w:rsid w:val="49913509"/>
    <w:rsid w:val="4A380A9F"/>
    <w:rsid w:val="4AF83D85"/>
    <w:rsid w:val="4AF875FC"/>
    <w:rsid w:val="4BF708BA"/>
    <w:rsid w:val="4C433C79"/>
    <w:rsid w:val="4E6268C7"/>
    <w:rsid w:val="4EAC5711"/>
    <w:rsid w:val="4EDA0D8F"/>
    <w:rsid w:val="4F3A0A49"/>
    <w:rsid w:val="4F5F1347"/>
    <w:rsid w:val="4FCD7B82"/>
    <w:rsid w:val="505C7478"/>
    <w:rsid w:val="50B82E88"/>
    <w:rsid w:val="516B17F2"/>
    <w:rsid w:val="51981609"/>
    <w:rsid w:val="51B2004B"/>
    <w:rsid w:val="51C967AB"/>
    <w:rsid w:val="5237795C"/>
    <w:rsid w:val="527C2D46"/>
    <w:rsid w:val="52CF282B"/>
    <w:rsid w:val="53DD0E57"/>
    <w:rsid w:val="55622629"/>
    <w:rsid w:val="557701D2"/>
    <w:rsid w:val="567F7488"/>
    <w:rsid w:val="56C64E9F"/>
    <w:rsid w:val="57565DCA"/>
    <w:rsid w:val="581E2406"/>
    <w:rsid w:val="584B45E2"/>
    <w:rsid w:val="58811A82"/>
    <w:rsid w:val="5963264B"/>
    <w:rsid w:val="59D30166"/>
    <w:rsid w:val="5A3A2DDD"/>
    <w:rsid w:val="5A441D2F"/>
    <w:rsid w:val="5BEF0861"/>
    <w:rsid w:val="5C0F3F24"/>
    <w:rsid w:val="5C1B5A83"/>
    <w:rsid w:val="5C9D137C"/>
    <w:rsid w:val="5CBF35E6"/>
    <w:rsid w:val="5D201747"/>
    <w:rsid w:val="5DA31D4F"/>
    <w:rsid w:val="5DF24A05"/>
    <w:rsid w:val="5DF76D59"/>
    <w:rsid w:val="5ED96530"/>
    <w:rsid w:val="5F906262"/>
    <w:rsid w:val="5FE5356E"/>
    <w:rsid w:val="600764BC"/>
    <w:rsid w:val="60447752"/>
    <w:rsid w:val="60595B01"/>
    <w:rsid w:val="60916C0C"/>
    <w:rsid w:val="614B42F9"/>
    <w:rsid w:val="61501C31"/>
    <w:rsid w:val="61AC1A99"/>
    <w:rsid w:val="61AD3D4E"/>
    <w:rsid w:val="62737D19"/>
    <w:rsid w:val="6324615B"/>
    <w:rsid w:val="63A14D89"/>
    <w:rsid w:val="63C34109"/>
    <w:rsid w:val="640B49EF"/>
    <w:rsid w:val="64441196"/>
    <w:rsid w:val="646978EA"/>
    <w:rsid w:val="64A76099"/>
    <w:rsid w:val="659244C9"/>
    <w:rsid w:val="67002A3B"/>
    <w:rsid w:val="68C70FC8"/>
    <w:rsid w:val="68E51EE8"/>
    <w:rsid w:val="692A5CA8"/>
    <w:rsid w:val="6A747C14"/>
    <w:rsid w:val="6B241A17"/>
    <w:rsid w:val="6B28556D"/>
    <w:rsid w:val="6B7A2359"/>
    <w:rsid w:val="6BE365DD"/>
    <w:rsid w:val="6C0C59DE"/>
    <w:rsid w:val="6CAD26D2"/>
    <w:rsid w:val="6CE34991"/>
    <w:rsid w:val="6D1D4A9E"/>
    <w:rsid w:val="6E0204C2"/>
    <w:rsid w:val="6E9C0F6F"/>
    <w:rsid w:val="6ED3037E"/>
    <w:rsid w:val="6F983C7A"/>
    <w:rsid w:val="6FC13B19"/>
    <w:rsid w:val="6FE875AE"/>
    <w:rsid w:val="6FF0289F"/>
    <w:rsid w:val="70745B85"/>
    <w:rsid w:val="70BD2383"/>
    <w:rsid w:val="7103031A"/>
    <w:rsid w:val="71121F70"/>
    <w:rsid w:val="71233CDA"/>
    <w:rsid w:val="71936CF5"/>
    <w:rsid w:val="71AD7318"/>
    <w:rsid w:val="723E2669"/>
    <w:rsid w:val="726D70E7"/>
    <w:rsid w:val="727D09F7"/>
    <w:rsid w:val="729A19A4"/>
    <w:rsid w:val="72BA5FEE"/>
    <w:rsid w:val="72C74F8E"/>
    <w:rsid w:val="73165394"/>
    <w:rsid w:val="74273CFD"/>
    <w:rsid w:val="744D5EC9"/>
    <w:rsid w:val="75A4312B"/>
    <w:rsid w:val="75E664D1"/>
    <w:rsid w:val="76275962"/>
    <w:rsid w:val="76BA547C"/>
    <w:rsid w:val="76EA6FF3"/>
    <w:rsid w:val="76F97B38"/>
    <w:rsid w:val="76FC591C"/>
    <w:rsid w:val="777DEE3F"/>
    <w:rsid w:val="77866F8C"/>
    <w:rsid w:val="77CC74DE"/>
    <w:rsid w:val="78EA354B"/>
    <w:rsid w:val="79E65A52"/>
    <w:rsid w:val="7A3538A9"/>
    <w:rsid w:val="7A7C4102"/>
    <w:rsid w:val="7AC70DD2"/>
    <w:rsid w:val="7B1403CC"/>
    <w:rsid w:val="7B663E10"/>
    <w:rsid w:val="7BD3717B"/>
    <w:rsid w:val="7C4E76AA"/>
    <w:rsid w:val="7C744EE5"/>
    <w:rsid w:val="7C9C4E59"/>
    <w:rsid w:val="7D4B0491"/>
    <w:rsid w:val="7E1700E3"/>
    <w:rsid w:val="7E244960"/>
    <w:rsid w:val="7E477448"/>
    <w:rsid w:val="7ED2669B"/>
    <w:rsid w:val="7ED65989"/>
    <w:rsid w:val="7F1F1226"/>
    <w:rsid w:val="7F6E0310"/>
    <w:rsid w:val="7F7F4D77"/>
    <w:rsid w:val="7FB0202F"/>
    <w:rsid w:val="ADFB35B5"/>
    <w:rsid w:val="BDF7E24B"/>
    <w:rsid w:val="CFF92172"/>
    <w:rsid w:val="DD3F0BE3"/>
    <w:rsid w:val="E3DF9810"/>
    <w:rsid w:val="EBBEEC5E"/>
    <w:rsid w:val="EE2B03B8"/>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9"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iPriority="99" w:semiHidden="0" w:name="footnote text"/>
    <w:lsdException w:qFormat="1" w:uiPriority="0" w:semiHidden="0"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qFormat="1" w:uiPriority="99" w:semiHidden="0" w:name="table of figures"/>
    <w:lsdException w:uiPriority="99" w:name="envelope address"/>
    <w:lsdException w:qFormat="1" w:unhideWhenUsed="0" w:uiPriority="0" w:semiHidden="0" w:name="envelope return"/>
    <w:lsdException w:qFormat="1" w:uiPriority="99" w:semiHidden="0" w:name="footnote reference"/>
    <w:lsdException w:qFormat="1" w:uiPriority="0" w:semiHidden="0" w:name="annotation reference"/>
    <w:lsdException w:uiPriority="99" w:name="line number"/>
    <w:lsdException w:qFormat="1" w:unhideWhenUsed="0" w:uiPriority="0" w:semiHidden="0" w:name="page number"/>
    <w:lsdException w:qFormat="1" w:uiPriority="99" w:semiHidden="0" w:name="endnote reference"/>
    <w:lsdException w:qFormat="1" w:uiPriority="99" w:semiHidden="0"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qFormat="1" w:unhideWhenUsed="0" w:uiPriority="0" w:semiHidden="0"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qFormat="1" w:unhideWhenUsed="0" w:uiPriority="0"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99" w:semiHidden="0" w:name="Body Text First Indent"/>
    <w:lsdException w:qFormat="1" w:uiPriority="99"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61"/>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62"/>
    <w:qFormat/>
    <w:uiPriority w:val="0"/>
    <w:pPr>
      <w:keepNext/>
      <w:keepLines/>
      <w:spacing w:before="260" w:after="260" w:line="416" w:lineRule="auto"/>
      <w:outlineLvl w:val="1"/>
    </w:pPr>
    <w:rPr>
      <w:rFonts w:ascii="Arial" w:hAnsi="Arial" w:eastAsia="黑体"/>
      <w:b/>
      <w:bCs/>
      <w:kern w:val="0"/>
      <w:sz w:val="32"/>
      <w:szCs w:val="32"/>
    </w:rPr>
  </w:style>
  <w:style w:type="paragraph" w:styleId="4">
    <w:name w:val="heading 3"/>
    <w:basedOn w:val="1"/>
    <w:next w:val="1"/>
    <w:link w:val="63"/>
    <w:qFormat/>
    <w:uiPriority w:val="0"/>
    <w:pPr>
      <w:keepNext/>
      <w:keepLines/>
      <w:spacing w:before="260" w:after="260" w:line="416" w:lineRule="auto"/>
      <w:outlineLvl w:val="2"/>
    </w:pPr>
    <w:rPr>
      <w:b/>
      <w:bCs/>
      <w:kern w:val="0"/>
      <w:sz w:val="32"/>
      <w:szCs w:val="32"/>
    </w:rPr>
  </w:style>
  <w:style w:type="paragraph" w:styleId="5">
    <w:name w:val="heading 4"/>
    <w:basedOn w:val="1"/>
    <w:next w:val="1"/>
    <w:link w:val="64"/>
    <w:qFormat/>
    <w:uiPriority w:val="9"/>
    <w:pPr>
      <w:keepNext/>
      <w:keepLines/>
      <w:spacing w:before="280" w:after="290" w:line="376" w:lineRule="auto"/>
      <w:outlineLvl w:val="3"/>
    </w:pPr>
    <w:rPr>
      <w:rFonts w:ascii="Calibri Light" w:hAnsi="Calibri Light"/>
      <w:b/>
      <w:bCs/>
      <w:sz w:val="28"/>
      <w:szCs w:val="28"/>
    </w:rPr>
  </w:style>
  <w:style w:type="paragraph" w:styleId="6">
    <w:name w:val="heading 5"/>
    <w:basedOn w:val="1"/>
    <w:next w:val="7"/>
    <w:link w:val="65"/>
    <w:qFormat/>
    <w:uiPriority w:val="0"/>
    <w:pPr>
      <w:keepNext/>
      <w:keepLines/>
      <w:numPr>
        <w:ilvl w:val="4"/>
        <w:numId w:val="1"/>
      </w:numPr>
      <w:spacing w:before="280" w:after="290" w:line="376" w:lineRule="auto"/>
      <w:outlineLvl w:val="4"/>
    </w:pPr>
    <w:rPr>
      <w:b/>
      <w:sz w:val="28"/>
    </w:rPr>
  </w:style>
  <w:style w:type="paragraph" w:styleId="8">
    <w:name w:val="heading 6"/>
    <w:basedOn w:val="1"/>
    <w:next w:val="7"/>
    <w:link w:val="67"/>
    <w:qFormat/>
    <w:uiPriority w:val="0"/>
    <w:pPr>
      <w:keepNext/>
      <w:keepLines/>
      <w:numPr>
        <w:ilvl w:val="5"/>
        <w:numId w:val="1"/>
      </w:numPr>
      <w:spacing w:before="240" w:after="64" w:line="320" w:lineRule="auto"/>
      <w:outlineLvl w:val="5"/>
    </w:pPr>
    <w:rPr>
      <w:rFonts w:ascii="Arial" w:hAnsi="Arial" w:eastAsia="黑体"/>
      <w:b/>
      <w:sz w:val="24"/>
    </w:rPr>
  </w:style>
  <w:style w:type="paragraph" w:styleId="9">
    <w:name w:val="heading 7"/>
    <w:basedOn w:val="1"/>
    <w:next w:val="7"/>
    <w:link w:val="68"/>
    <w:qFormat/>
    <w:uiPriority w:val="0"/>
    <w:pPr>
      <w:keepNext/>
      <w:keepLines/>
      <w:numPr>
        <w:ilvl w:val="6"/>
        <w:numId w:val="1"/>
      </w:numPr>
      <w:spacing w:before="240" w:after="64" w:line="320" w:lineRule="auto"/>
      <w:outlineLvl w:val="6"/>
    </w:pPr>
    <w:rPr>
      <w:b/>
      <w:sz w:val="24"/>
    </w:rPr>
  </w:style>
  <w:style w:type="paragraph" w:styleId="10">
    <w:name w:val="heading 8"/>
    <w:basedOn w:val="1"/>
    <w:next w:val="7"/>
    <w:link w:val="69"/>
    <w:qFormat/>
    <w:uiPriority w:val="0"/>
    <w:pPr>
      <w:keepNext/>
      <w:keepLines/>
      <w:numPr>
        <w:ilvl w:val="7"/>
        <w:numId w:val="1"/>
      </w:numPr>
      <w:spacing w:before="240" w:after="64" w:line="320" w:lineRule="auto"/>
      <w:outlineLvl w:val="7"/>
    </w:pPr>
    <w:rPr>
      <w:rFonts w:ascii="Arial" w:hAnsi="Arial" w:eastAsia="黑体"/>
      <w:sz w:val="24"/>
    </w:rPr>
  </w:style>
  <w:style w:type="paragraph" w:styleId="11">
    <w:name w:val="heading 9"/>
    <w:basedOn w:val="1"/>
    <w:next w:val="7"/>
    <w:link w:val="70"/>
    <w:qFormat/>
    <w:uiPriority w:val="0"/>
    <w:pPr>
      <w:keepNext/>
      <w:keepLines/>
      <w:numPr>
        <w:ilvl w:val="8"/>
        <w:numId w:val="1"/>
      </w:numPr>
      <w:spacing w:before="240" w:after="64" w:line="320" w:lineRule="auto"/>
      <w:outlineLvl w:val="8"/>
    </w:pPr>
    <w:rPr>
      <w:rFonts w:ascii="Arial" w:hAnsi="Arial" w:eastAsia="黑体"/>
    </w:rPr>
  </w:style>
  <w:style w:type="character" w:default="1" w:styleId="52">
    <w:name w:val="Default Paragraph Font"/>
    <w:unhideWhenUsed/>
    <w:qFormat/>
    <w:uiPriority w:val="1"/>
  </w:style>
  <w:style w:type="table" w:default="1" w:styleId="50">
    <w:name w:val="Normal Table"/>
    <w:unhideWhenUsed/>
    <w:qFormat/>
    <w:uiPriority w:val="99"/>
    <w:tblPr>
      <w:tblCellMar>
        <w:top w:w="0" w:type="dxa"/>
        <w:left w:w="108" w:type="dxa"/>
        <w:bottom w:w="0" w:type="dxa"/>
        <w:right w:w="108" w:type="dxa"/>
      </w:tblCellMar>
    </w:tblPr>
  </w:style>
  <w:style w:type="paragraph" w:styleId="7">
    <w:name w:val="Normal Indent"/>
    <w:basedOn w:val="1"/>
    <w:link w:val="66"/>
    <w:qFormat/>
    <w:uiPriority w:val="0"/>
    <w:pPr>
      <w:ind w:firstLine="420"/>
    </w:pPr>
    <w:rPr>
      <w:szCs w:val="20"/>
    </w:rPr>
  </w:style>
  <w:style w:type="paragraph" w:styleId="12">
    <w:name w:val="toc 7"/>
    <w:basedOn w:val="1"/>
    <w:next w:val="1"/>
    <w:unhideWhenUsed/>
    <w:qFormat/>
    <w:uiPriority w:val="39"/>
    <w:pPr>
      <w:ind w:left="2520" w:leftChars="1200"/>
    </w:pPr>
    <w:rPr>
      <w:rFonts w:ascii="Calibri" w:hAnsi="Calibri" w:eastAsia="宋体" w:cs="Times New Roman"/>
      <w:szCs w:val="22"/>
    </w:rPr>
  </w:style>
  <w:style w:type="paragraph" w:styleId="13">
    <w:name w:val="List Number"/>
    <w:basedOn w:val="1"/>
    <w:qFormat/>
    <w:uiPriority w:val="0"/>
    <w:pPr>
      <w:widowControl/>
      <w:tabs>
        <w:tab w:val="left" w:pos="454"/>
        <w:tab w:val="left" w:pos="720"/>
        <w:tab w:val="left" w:pos="840"/>
      </w:tabs>
      <w:spacing w:after="50" w:afterLines="50"/>
      <w:ind w:left="454" w:hanging="284"/>
      <w:jc w:val="left"/>
    </w:pPr>
    <w:rPr>
      <w:kern w:val="0"/>
      <w:sz w:val="24"/>
      <w:szCs w:val="20"/>
    </w:rPr>
  </w:style>
  <w:style w:type="paragraph" w:styleId="14">
    <w:name w:val="caption"/>
    <w:basedOn w:val="1"/>
    <w:next w:val="1"/>
    <w:qFormat/>
    <w:uiPriority w:val="0"/>
    <w:pPr>
      <w:spacing w:before="152" w:after="160"/>
    </w:pPr>
    <w:rPr>
      <w:rFonts w:ascii="Arial" w:hAnsi="Arial" w:eastAsia="黑体" w:cs="Arial"/>
      <w:sz w:val="20"/>
      <w:szCs w:val="20"/>
    </w:rPr>
  </w:style>
  <w:style w:type="paragraph" w:styleId="15">
    <w:name w:val="Document Map"/>
    <w:basedOn w:val="1"/>
    <w:link w:val="71"/>
    <w:unhideWhenUsed/>
    <w:qFormat/>
    <w:uiPriority w:val="0"/>
    <w:pPr>
      <w:shd w:val="clear" w:color="auto" w:fill="000080"/>
    </w:pPr>
    <w:rPr>
      <w:rFonts w:ascii="宋体" w:hAnsi="宋体"/>
      <w:kern w:val="0"/>
      <w:sz w:val="20"/>
      <w:szCs w:val="20"/>
    </w:rPr>
  </w:style>
  <w:style w:type="paragraph" w:styleId="16">
    <w:name w:val="annotation text"/>
    <w:basedOn w:val="1"/>
    <w:link w:val="72"/>
    <w:unhideWhenUsed/>
    <w:qFormat/>
    <w:uiPriority w:val="0"/>
    <w:pPr>
      <w:jc w:val="left"/>
    </w:pPr>
  </w:style>
  <w:style w:type="paragraph" w:styleId="17">
    <w:name w:val="Body Text 3"/>
    <w:basedOn w:val="1"/>
    <w:link w:val="73"/>
    <w:qFormat/>
    <w:uiPriority w:val="0"/>
    <w:pPr>
      <w:spacing w:line="500" w:lineRule="exact"/>
    </w:pPr>
    <w:rPr>
      <w:b/>
      <w:bCs/>
      <w:kern w:val="0"/>
      <w:sz w:val="24"/>
    </w:rPr>
  </w:style>
  <w:style w:type="paragraph" w:styleId="18">
    <w:name w:val="Body Text"/>
    <w:basedOn w:val="1"/>
    <w:link w:val="74"/>
    <w:qFormat/>
    <w:uiPriority w:val="99"/>
    <w:pPr>
      <w:spacing w:line="380" w:lineRule="exact"/>
    </w:pPr>
    <w:rPr>
      <w:kern w:val="0"/>
      <w:sz w:val="24"/>
    </w:rPr>
  </w:style>
  <w:style w:type="paragraph" w:styleId="19">
    <w:name w:val="Body Text Indent"/>
    <w:basedOn w:val="1"/>
    <w:next w:val="20"/>
    <w:link w:val="75"/>
    <w:qFormat/>
    <w:uiPriority w:val="0"/>
    <w:pPr>
      <w:ind w:firstLine="830" w:firstLineChars="352"/>
    </w:pPr>
    <w:rPr>
      <w:rFonts w:ascii="仿宋_GB2312" w:eastAsia="仿宋_GB2312"/>
      <w:kern w:val="0"/>
      <w:sz w:val="32"/>
      <w:szCs w:val="20"/>
    </w:rPr>
  </w:style>
  <w:style w:type="paragraph" w:styleId="20">
    <w:name w:val="envelope return"/>
    <w:basedOn w:val="1"/>
    <w:qFormat/>
    <w:uiPriority w:val="0"/>
    <w:rPr>
      <w:rFonts w:ascii="Arial" w:hAnsi="Arial" w:cs="Arial"/>
      <w:kern w:val="1"/>
    </w:rPr>
  </w:style>
  <w:style w:type="paragraph" w:styleId="21">
    <w:name w:val="List Number 3"/>
    <w:basedOn w:val="1"/>
    <w:qFormat/>
    <w:uiPriority w:val="0"/>
    <w:pPr>
      <w:numPr>
        <w:ilvl w:val="0"/>
        <w:numId w:val="2"/>
      </w:numPr>
    </w:pPr>
  </w:style>
  <w:style w:type="paragraph" w:styleId="22">
    <w:name w:val="List 2"/>
    <w:basedOn w:val="1"/>
    <w:qFormat/>
    <w:uiPriority w:val="0"/>
    <w:pPr>
      <w:ind w:left="100" w:leftChars="200" w:hanging="200" w:hangingChars="200"/>
    </w:pPr>
    <w:rPr>
      <w:sz w:val="28"/>
    </w:rPr>
  </w:style>
  <w:style w:type="paragraph" w:styleId="23">
    <w:name w:val="toc 5"/>
    <w:basedOn w:val="1"/>
    <w:next w:val="1"/>
    <w:unhideWhenUsed/>
    <w:qFormat/>
    <w:uiPriority w:val="39"/>
    <w:pPr>
      <w:ind w:left="1680" w:leftChars="800"/>
    </w:pPr>
    <w:rPr>
      <w:rFonts w:ascii="Calibri" w:hAnsi="Calibri" w:eastAsia="宋体" w:cs="Times New Roman"/>
      <w:szCs w:val="22"/>
    </w:rPr>
  </w:style>
  <w:style w:type="paragraph" w:styleId="24">
    <w:name w:val="toc 3"/>
    <w:basedOn w:val="1"/>
    <w:next w:val="1"/>
    <w:unhideWhenUsed/>
    <w:qFormat/>
    <w:uiPriority w:val="39"/>
    <w:pPr>
      <w:ind w:left="840" w:leftChars="400"/>
    </w:pPr>
    <w:rPr>
      <w:rFonts w:ascii="Calibri" w:hAnsi="Calibri" w:eastAsia="宋体" w:cs="Times New Roman"/>
      <w:szCs w:val="22"/>
    </w:rPr>
  </w:style>
  <w:style w:type="paragraph" w:styleId="25">
    <w:name w:val="Plain Text"/>
    <w:basedOn w:val="1"/>
    <w:link w:val="76"/>
    <w:qFormat/>
    <w:uiPriority w:val="0"/>
    <w:rPr>
      <w:rFonts w:ascii="宋体" w:hAnsi="Courier New"/>
      <w:kern w:val="0"/>
      <w:sz w:val="20"/>
      <w:szCs w:val="21"/>
    </w:rPr>
  </w:style>
  <w:style w:type="paragraph" w:styleId="26">
    <w:name w:val="toc 8"/>
    <w:basedOn w:val="1"/>
    <w:next w:val="1"/>
    <w:unhideWhenUsed/>
    <w:qFormat/>
    <w:uiPriority w:val="39"/>
    <w:pPr>
      <w:ind w:left="2940" w:leftChars="1400"/>
    </w:pPr>
    <w:rPr>
      <w:rFonts w:ascii="Calibri" w:hAnsi="Calibri" w:eastAsia="宋体" w:cs="Times New Roman"/>
      <w:szCs w:val="22"/>
    </w:rPr>
  </w:style>
  <w:style w:type="paragraph" w:styleId="27">
    <w:name w:val="Date"/>
    <w:basedOn w:val="1"/>
    <w:next w:val="1"/>
    <w:link w:val="77"/>
    <w:qFormat/>
    <w:uiPriority w:val="0"/>
    <w:pPr>
      <w:ind w:left="100" w:leftChars="2500"/>
    </w:pPr>
    <w:rPr>
      <w:rFonts w:ascii="宋体" w:hAnsi="Courier New"/>
      <w:kern w:val="0"/>
      <w:sz w:val="20"/>
      <w:szCs w:val="21"/>
    </w:rPr>
  </w:style>
  <w:style w:type="paragraph" w:styleId="28">
    <w:name w:val="Body Text Indent 2"/>
    <w:basedOn w:val="1"/>
    <w:link w:val="78"/>
    <w:qFormat/>
    <w:uiPriority w:val="0"/>
    <w:pPr>
      <w:ind w:firstLine="630"/>
    </w:pPr>
    <w:rPr>
      <w:kern w:val="0"/>
      <w:sz w:val="32"/>
      <w:szCs w:val="20"/>
    </w:rPr>
  </w:style>
  <w:style w:type="paragraph" w:styleId="29">
    <w:name w:val="endnote text"/>
    <w:basedOn w:val="1"/>
    <w:link w:val="79"/>
    <w:unhideWhenUsed/>
    <w:qFormat/>
    <w:uiPriority w:val="99"/>
    <w:pPr>
      <w:snapToGrid w:val="0"/>
      <w:jc w:val="left"/>
    </w:pPr>
  </w:style>
  <w:style w:type="paragraph" w:styleId="30">
    <w:name w:val="Balloon Text"/>
    <w:basedOn w:val="1"/>
    <w:link w:val="80"/>
    <w:semiHidden/>
    <w:qFormat/>
    <w:uiPriority w:val="0"/>
    <w:rPr>
      <w:kern w:val="0"/>
      <w:sz w:val="18"/>
      <w:szCs w:val="18"/>
    </w:rPr>
  </w:style>
  <w:style w:type="paragraph" w:styleId="31">
    <w:name w:val="footer"/>
    <w:basedOn w:val="1"/>
    <w:link w:val="81"/>
    <w:unhideWhenUsed/>
    <w:qFormat/>
    <w:uiPriority w:val="99"/>
    <w:pPr>
      <w:tabs>
        <w:tab w:val="center" w:pos="4153"/>
        <w:tab w:val="right" w:pos="8306"/>
      </w:tabs>
      <w:snapToGrid w:val="0"/>
      <w:jc w:val="left"/>
    </w:pPr>
    <w:rPr>
      <w:kern w:val="0"/>
      <w:sz w:val="18"/>
      <w:szCs w:val="18"/>
    </w:rPr>
  </w:style>
  <w:style w:type="paragraph" w:styleId="32">
    <w:name w:val="header"/>
    <w:basedOn w:val="1"/>
    <w:link w:val="82"/>
    <w:unhideWhenUsed/>
    <w:qFormat/>
    <w:uiPriority w:val="99"/>
    <w:pPr>
      <w:pBdr>
        <w:bottom w:val="single" w:color="auto" w:sz="6" w:space="1"/>
      </w:pBdr>
      <w:tabs>
        <w:tab w:val="center" w:pos="0"/>
        <w:tab w:val="left" w:pos="8306"/>
      </w:tabs>
      <w:snapToGrid w:val="0"/>
      <w:jc w:val="center"/>
    </w:pPr>
    <w:rPr>
      <w:sz w:val="18"/>
      <w:szCs w:val="18"/>
    </w:rPr>
  </w:style>
  <w:style w:type="paragraph" w:styleId="33">
    <w:name w:val="toc 1"/>
    <w:basedOn w:val="1"/>
    <w:next w:val="1"/>
    <w:qFormat/>
    <w:uiPriority w:val="39"/>
    <w:pPr>
      <w:tabs>
        <w:tab w:val="right" w:leader="dot" w:pos="8398"/>
      </w:tabs>
      <w:spacing w:before="120" w:after="120"/>
      <w:ind w:firstLine="240" w:firstLineChars="100"/>
      <w:jc w:val="left"/>
    </w:pPr>
    <w:rPr>
      <w:rFonts w:ascii="宋体" w:hAnsi="宋体"/>
      <w:b/>
      <w:bCs/>
      <w:caps/>
      <w:sz w:val="24"/>
    </w:rPr>
  </w:style>
  <w:style w:type="paragraph" w:styleId="34">
    <w:name w:val="toc 4"/>
    <w:basedOn w:val="1"/>
    <w:next w:val="1"/>
    <w:unhideWhenUsed/>
    <w:qFormat/>
    <w:uiPriority w:val="39"/>
    <w:pPr>
      <w:ind w:left="1260" w:leftChars="600"/>
    </w:pPr>
    <w:rPr>
      <w:rFonts w:ascii="Calibri" w:hAnsi="Calibri" w:eastAsia="宋体" w:cs="Times New Roman"/>
      <w:szCs w:val="22"/>
    </w:rPr>
  </w:style>
  <w:style w:type="paragraph" w:styleId="35">
    <w:name w:val="Subtitle"/>
    <w:basedOn w:val="1"/>
    <w:next w:val="1"/>
    <w:link w:val="83"/>
    <w:qFormat/>
    <w:uiPriority w:val="11"/>
    <w:pPr>
      <w:overflowPunct w:val="0"/>
      <w:spacing w:before="240" w:after="60" w:line="312" w:lineRule="auto"/>
      <w:jc w:val="center"/>
    </w:pPr>
    <w:rPr>
      <w:rFonts w:ascii="Calibri" w:hAnsi="Calibri"/>
      <w:b/>
      <w:bCs/>
      <w:kern w:val="28"/>
      <w:sz w:val="44"/>
      <w:szCs w:val="32"/>
    </w:rPr>
  </w:style>
  <w:style w:type="paragraph" w:styleId="36">
    <w:name w:val="List"/>
    <w:basedOn w:val="1"/>
    <w:qFormat/>
    <w:uiPriority w:val="0"/>
    <w:pPr>
      <w:ind w:left="200" w:hanging="200" w:hangingChars="200"/>
    </w:pPr>
    <w:rPr>
      <w:sz w:val="28"/>
    </w:rPr>
  </w:style>
  <w:style w:type="paragraph" w:styleId="37">
    <w:name w:val="footnote text"/>
    <w:basedOn w:val="1"/>
    <w:link w:val="84"/>
    <w:unhideWhenUsed/>
    <w:qFormat/>
    <w:uiPriority w:val="99"/>
    <w:pPr>
      <w:snapToGrid w:val="0"/>
      <w:jc w:val="left"/>
    </w:pPr>
    <w:rPr>
      <w:sz w:val="18"/>
      <w:szCs w:val="18"/>
    </w:rPr>
  </w:style>
  <w:style w:type="paragraph" w:styleId="38">
    <w:name w:val="toc 6"/>
    <w:basedOn w:val="1"/>
    <w:next w:val="1"/>
    <w:unhideWhenUsed/>
    <w:qFormat/>
    <w:uiPriority w:val="39"/>
    <w:pPr>
      <w:ind w:left="2100" w:leftChars="1000"/>
    </w:pPr>
    <w:rPr>
      <w:rFonts w:ascii="Calibri" w:hAnsi="Calibri" w:eastAsia="宋体" w:cs="Times New Roman"/>
      <w:szCs w:val="22"/>
    </w:rPr>
  </w:style>
  <w:style w:type="paragraph" w:styleId="39">
    <w:name w:val="Body Text Indent 3"/>
    <w:basedOn w:val="1"/>
    <w:link w:val="85"/>
    <w:qFormat/>
    <w:uiPriority w:val="0"/>
    <w:pPr>
      <w:spacing w:after="120"/>
      <w:ind w:left="420" w:leftChars="200"/>
    </w:pPr>
    <w:rPr>
      <w:kern w:val="0"/>
      <w:sz w:val="16"/>
      <w:szCs w:val="16"/>
    </w:rPr>
  </w:style>
  <w:style w:type="paragraph" w:styleId="40">
    <w:name w:val="table of figures"/>
    <w:basedOn w:val="1"/>
    <w:next w:val="1"/>
    <w:unhideWhenUsed/>
    <w:qFormat/>
    <w:uiPriority w:val="99"/>
    <w:pPr>
      <w:overflowPunct w:val="0"/>
      <w:ind w:left="200" w:hanging="200" w:hangingChars="200"/>
    </w:pPr>
    <w:rPr>
      <w:rFonts w:ascii="宋体" w:hAnsi="Calibri" w:cs="Times New Roman"/>
      <w:sz w:val="24"/>
      <w:szCs w:val="21"/>
    </w:rPr>
  </w:style>
  <w:style w:type="paragraph" w:styleId="41">
    <w:name w:val="toc 2"/>
    <w:basedOn w:val="1"/>
    <w:next w:val="1"/>
    <w:unhideWhenUsed/>
    <w:qFormat/>
    <w:uiPriority w:val="39"/>
    <w:pPr>
      <w:ind w:left="420" w:leftChars="200"/>
    </w:pPr>
  </w:style>
  <w:style w:type="paragraph" w:styleId="42">
    <w:name w:val="toc 9"/>
    <w:basedOn w:val="1"/>
    <w:next w:val="1"/>
    <w:unhideWhenUsed/>
    <w:qFormat/>
    <w:uiPriority w:val="39"/>
    <w:pPr>
      <w:ind w:left="3360" w:leftChars="1600"/>
    </w:pPr>
    <w:rPr>
      <w:rFonts w:ascii="Calibri" w:hAnsi="Calibri" w:eastAsia="宋体" w:cs="Times New Roman"/>
      <w:szCs w:val="22"/>
    </w:rPr>
  </w:style>
  <w:style w:type="paragraph" w:styleId="43">
    <w:name w:val="Body Text 2"/>
    <w:basedOn w:val="1"/>
    <w:link w:val="86"/>
    <w:qFormat/>
    <w:uiPriority w:val="0"/>
    <w:pPr>
      <w:spacing w:after="120" w:line="480" w:lineRule="auto"/>
    </w:pPr>
    <w:rPr>
      <w:kern w:val="0"/>
      <w:sz w:val="20"/>
    </w:rPr>
  </w:style>
  <w:style w:type="paragraph" w:styleId="44">
    <w:name w:val="Normal (Web)"/>
    <w:basedOn w:val="1"/>
    <w:qFormat/>
    <w:uiPriority w:val="0"/>
    <w:pPr>
      <w:widowControl/>
      <w:spacing w:before="100" w:beforeAutospacing="1" w:after="100" w:afterAutospacing="1"/>
      <w:jc w:val="left"/>
    </w:pPr>
    <w:rPr>
      <w:rFonts w:ascii="宋体" w:hAnsi="宋体"/>
      <w:kern w:val="0"/>
      <w:sz w:val="24"/>
    </w:rPr>
  </w:style>
  <w:style w:type="paragraph" w:styleId="45">
    <w:name w:val="index 1"/>
    <w:basedOn w:val="1"/>
    <w:next w:val="1"/>
    <w:semiHidden/>
    <w:qFormat/>
    <w:uiPriority w:val="0"/>
    <w:pPr>
      <w:spacing w:line="400" w:lineRule="exact"/>
      <w:ind w:firstLine="420" w:firstLineChars="200"/>
    </w:pPr>
    <w:rPr>
      <w:rFonts w:ascii="宋体" w:hAnsi="Courier New"/>
      <w:b/>
      <w:szCs w:val="20"/>
    </w:rPr>
  </w:style>
  <w:style w:type="paragraph" w:styleId="46">
    <w:name w:val="Title"/>
    <w:basedOn w:val="1"/>
    <w:next w:val="1"/>
    <w:link w:val="87"/>
    <w:qFormat/>
    <w:uiPriority w:val="10"/>
    <w:pPr>
      <w:spacing w:before="240" w:after="60"/>
      <w:jc w:val="center"/>
      <w:outlineLvl w:val="0"/>
    </w:pPr>
    <w:rPr>
      <w:rFonts w:ascii="Cambria" w:hAnsi="Cambria"/>
      <w:b/>
      <w:bCs/>
      <w:sz w:val="32"/>
      <w:szCs w:val="32"/>
    </w:rPr>
  </w:style>
  <w:style w:type="paragraph" w:styleId="47">
    <w:name w:val="annotation subject"/>
    <w:basedOn w:val="16"/>
    <w:next w:val="16"/>
    <w:link w:val="88"/>
    <w:unhideWhenUsed/>
    <w:qFormat/>
    <w:uiPriority w:val="99"/>
    <w:rPr>
      <w:b/>
      <w:bCs/>
    </w:rPr>
  </w:style>
  <w:style w:type="paragraph" w:styleId="48">
    <w:name w:val="Body Text First Indent"/>
    <w:basedOn w:val="18"/>
    <w:link w:val="89"/>
    <w:unhideWhenUsed/>
    <w:qFormat/>
    <w:uiPriority w:val="99"/>
    <w:pPr>
      <w:spacing w:after="120" w:line="240" w:lineRule="auto"/>
      <w:ind w:firstLine="420" w:firstLineChars="100"/>
    </w:pPr>
    <w:rPr>
      <w:kern w:val="2"/>
      <w:sz w:val="21"/>
    </w:rPr>
  </w:style>
  <w:style w:type="paragraph" w:styleId="49">
    <w:name w:val="Body Text First Indent 2"/>
    <w:basedOn w:val="19"/>
    <w:next w:val="1"/>
    <w:link w:val="90"/>
    <w:unhideWhenUsed/>
    <w:qFormat/>
    <w:uiPriority w:val="99"/>
    <w:pPr>
      <w:spacing w:after="120"/>
      <w:ind w:left="420" w:leftChars="200" w:firstLine="420" w:firstLineChars="200"/>
    </w:pPr>
    <w:rPr>
      <w:kern w:val="2"/>
      <w:sz w:val="21"/>
      <w:szCs w:val="24"/>
    </w:rPr>
  </w:style>
  <w:style w:type="table" w:styleId="51">
    <w:name w:val="Table Grid"/>
    <w:basedOn w:val="50"/>
    <w:qFormat/>
    <w:uiPriority w:val="9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3">
    <w:name w:val="Strong"/>
    <w:qFormat/>
    <w:uiPriority w:val="22"/>
    <w:rPr>
      <w:b/>
      <w:bCs/>
    </w:rPr>
  </w:style>
  <w:style w:type="character" w:styleId="54">
    <w:name w:val="endnote reference"/>
    <w:unhideWhenUsed/>
    <w:qFormat/>
    <w:uiPriority w:val="99"/>
    <w:rPr>
      <w:vertAlign w:val="superscript"/>
    </w:rPr>
  </w:style>
  <w:style w:type="character" w:styleId="55">
    <w:name w:val="page number"/>
    <w:qFormat/>
    <w:uiPriority w:val="0"/>
  </w:style>
  <w:style w:type="character" w:styleId="56">
    <w:name w:val="FollowedHyperlink"/>
    <w:qFormat/>
    <w:uiPriority w:val="99"/>
    <w:rPr>
      <w:color w:val="800080"/>
      <w:u w:val="single"/>
    </w:rPr>
  </w:style>
  <w:style w:type="character" w:styleId="57">
    <w:name w:val="Emphasis"/>
    <w:basedOn w:val="52"/>
    <w:qFormat/>
    <w:uiPriority w:val="20"/>
    <w:rPr>
      <w:i/>
    </w:rPr>
  </w:style>
  <w:style w:type="character" w:styleId="58">
    <w:name w:val="Hyperlink"/>
    <w:qFormat/>
    <w:uiPriority w:val="99"/>
    <w:rPr>
      <w:color w:val="0000FF"/>
      <w:u w:val="single"/>
    </w:rPr>
  </w:style>
  <w:style w:type="character" w:styleId="59">
    <w:name w:val="annotation reference"/>
    <w:unhideWhenUsed/>
    <w:qFormat/>
    <w:uiPriority w:val="0"/>
    <w:rPr>
      <w:sz w:val="21"/>
      <w:szCs w:val="21"/>
    </w:rPr>
  </w:style>
  <w:style w:type="character" w:styleId="60">
    <w:name w:val="footnote reference"/>
    <w:unhideWhenUsed/>
    <w:qFormat/>
    <w:uiPriority w:val="99"/>
    <w:rPr>
      <w:vertAlign w:val="superscript"/>
    </w:rPr>
  </w:style>
  <w:style w:type="character" w:customStyle="1" w:styleId="61">
    <w:name w:val="标题 1 Char"/>
    <w:link w:val="2"/>
    <w:qFormat/>
    <w:uiPriority w:val="9"/>
    <w:rPr>
      <w:rFonts w:ascii="Times New Roman" w:hAnsi="Times New Roman" w:eastAsia="宋体" w:cs="Times New Roman"/>
      <w:b/>
      <w:bCs/>
      <w:kern w:val="44"/>
      <w:sz w:val="44"/>
      <w:szCs w:val="44"/>
    </w:rPr>
  </w:style>
  <w:style w:type="character" w:customStyle="1" w:styleId="62">
    <w:name w:val="标题 2 Char"/>
    <w:link w:val="3"/>
    <w:qFormat/>
    <w:uiPriority w:val="0"/>
    <w:rPr>
      <w:rFonts w:ascii="Arial" w:hAnsi="Arial" w:eastAsia="黑体" w:cs="Times New Roman"/>
      <w:b/>
      <w:bCs/>
      <w:sz w:val="32"/>
      <w:szCs w:val="32"/>
    </w:rPr>
  </w:style>
  <w:style w:type="character" w:customStyle="1" w:styleId="63">
    <w:name w:val="标题 3 Char"/>
    <w:link w:val="4"/>
    <w:qFormat/>
    <w:uiPriority w:val="0"/>
    <w:rPr>
      <w:rFonts w:ascii="Times New Roman" w:hAnsi="Times New Roman" w:eastAsia="宋体" w:cs="Times New Roman"/>
      <w:b/>
      <w:bCs/>
      <w:sz w:val="32"/>
      <w:szCs w:val="32"/>
    </w:rPr>
  </w:style>
  <w:style w:type="character" w:customStyle="1" w:styleId="64">
    <w:name w:val="标题 4 Char"/>
    <w:link w:val="5"/>
    <w:qFormat/>
    <w:uiPriority w:val="9"/>
    <w:rPr>
      <w:rFonts w:ascii="Calibri Light" w:hAnsi="Calibri Light" w:eastAsia="宋体" w:cs="Times New Roman"/>
      <w:b/>
      <w:bCs/>
      <w:kern w:val="2"/>
      <w:sz w:val="28"/>
      <w:szCs w:val="28"/>
    </w:rPr>
  </w:style>
  <w:style w:type="character" w:customStyle="1" w:styleId="65">
    <w:name w:val="标题 5 Char2"/>
    <w:link w:val="6"/>
    <w:qFormat/>
    <w:uiPriority w:val="0"/>
    <w:rPr>
      <w:b/>
      <w:kern w:val="2"/>
      <w:sz w:val="28"/>
      <w:szCs w:val="24"/>
    </w:rPr>
  </w:style>
  <w:style w:type="character" w:customStyle="1" w:styleId="66">
    <w:name w:val="正文缩进 Char"/>
    <w:link w:val="7"/>
    <w:qFormat/>
    <w:uiPriority w:val="0"/>
    <w:rPr>
      <w:kern w:val="2"/>
      <w:sz w:val="21"/>
    </w:rPr>
  </w:style>
  <w:style w:type="character" w:customStyle="1" w:styleId="67">
    <w:name w:val="标题 6 Char"/>
    <w:link w:val="8"/>
    <w:qFormat/>
    <w:uiPriority w:val="0"/>
    <w:rPr>
      <w:rFonts w:ascii="Arial" w:hAnsi="Arial" w:eastAsia="黑体"/>
      <w:b/>
      <w:kern w:val="2"/>
      <w:sz w:val="24"/>
      <w:szCs w:val="24"/>
    </w:rPr>
  </w:style>
  <w:style w:type="character" w:customStyle="1" w:styleId="68">
    <w:name w:val="标题 7 Char"/>
    <w:link w:val="9"/>
    <w:qFormat/>
    <w:uiPriority w:val="0"/>
    <w:rPr>
      <w:b/>
      <w:kern w:val="2"/>
      <w:sz w:val="24"/>
      <w:szCs w:val="24"/>
    </w:rPr>
  </w:style>
  <w:style w:type="character" w:customStyle="1" w:styleId="69">
    <w:name w:val="标题 8 Char"/>
    <w:link w:val="10"/>
    <w:qFormat/>
    <w:uiPriority w:val="0"/>
    <w:rPr>
      <w:rFonts w:ascii="Arial" w:hAnsi="Arial" w:eastAsia="黑体"/>
      <w:kern w:val="2"/>
      <w:sz w:val="24"/>
      <w:szCs w:val="24"/>
    </w:rPr>
  </w:style>
  <w:style w:type="character" w:customStyle="1" w:styleId="70">
    <w:name w:val="标题 9 Char"/>
    <w:link w:val="11"/>
    <w:qFormat/>
    <w:uiPriority w:val="0"/>
    <w:rPr>
      <w:rFonts w:ascii="Arial" w:hAnsi="Arial" w:eastAsia="黑体"/>
      <w:kern w:val="2"/>
      <w:sz w:val="21"/>
      <w:szCs w:val="24"/>
    </w:rPr>
  </w:style>
  <w:style w:type="character" w:customStyle="1" w:styleId="71">
    <w:name w:val="文档结构图 Char"/>
    <w:link w:val="15"/>
    <w:qFormat/>
    <w:uiPriority w:val="0"/>
    <w:rPr>
      <w:rFonts w:ascii="宋体" w:hAnsi="宋体"/>
      <w:shd w:val="clear" w:color="auto" w:fill="000080"/>
    </w:rPr>
  </w:style>
  <w:style w:type="character" w:customStyle="1" w:styleId="72">
    <w:name w:val="批注文字 Char3"/>
    <w:link w:val="16"/>
    <w:qFormat/>
    <w:uiPriority w:val="0"/>
    <w:rPr>
      <w:rFonts w:ascii="Times New Roman" w:hAnsi="Times New Roman"/>
      <w:kern w:val="2"/>
      <w:sz w:val="21"/>
      <w:szCs w:val="24"/>
    </w:rPr>
  </w:style>
  <w:style w:type="character" w:customStyle="1" w:styleId="73">
    <w:name w:val="正文文本 3 Char"/>
    <w:link w:val="17"/>
    <w:qFormat/>
    <w:uiPriority w:val="0"/>
    <w:rPr>
      <w:rFonts w:ascii="Times New Roman" w:hAnsi="Times New Roman" w:eastAsia="宋体" w:cs="Times New Roman"/>
      <w:b/>
      <w:bCs/>
      <w:sz w:val="24"/>
      <w:szCs w:val="24"/>
    </w:rPr>
  </w:style>
  <w:style w:type="character" w:customStyle="1" w:styleId="74">
    <w:name w:val="正文文本 Char2"/>
    <w:link w:val="18"/>
    <w:qFormat/>
    <w:uiPriority w:val="99"/>
    <w:rPr>
      <w:rFonts w:ascii="Times New Roman" w:hAnsi="Times New Roman" w:eastAsia="宋体" w:cs="Times New Roman"/>
      <w:sz w:val="24"/>
      <w:szCs w:val="24"/>
    </w:rPr>
  </w:style>
  <w:style w:type="character" w:customStyle="1" w:styleId="75">
    <w:name w:val="正文文本缩进 Char"/>
    <w:link w:val="19"/>
    <w:qFormat/>
    <w:uiPriority w:val="0"/>
    <w:rPr>
      <w:rFonts w:ascii="仿宋_GB2312" w:hAnsi="Times New Roman" w:eastAsia="仿宋_GB2312" w:cs="Times New Roman"/>
      <w:sz w:val="32"/>
      <w:szCs w:val="20"/>
    </w:rPr>
  </w:style>
  <w:style w:type="character" w:customStyle="1" w:styleId="76">
    <w:name w:val="纯文本 Char2"/>
    <w:link w:val="25"/>
    <w:qFormat/>
    <w:uiPriority w:val="0"/>
    <w:rPr>
      <w:rFonts w:ascii="宋体" w:hAnsi="Courier New" w:eastAsia="宋体" w:cs="Courier New"/>
      <w:szCs w:val="21"/>
    </w:rPr>
  </w:style>
  <w:style w:type="character" w:customStyle="1" w:styleId="77">
    <w:name w:val="日期 Char"/>
    <w:link w:val="27"/>
    <w:qFormat/>
    <w:uiPriority w:val="0"/>
    <w:rPr>
      <w:rFonts w:ascii="宋体" w:hAnsi="Courier New" w:eastAsia="宋体" w:cs="Courier New"/>
      <w:szCs w:val="21"/>
    </w:rPr>
  </w:style>
  <w:style w:type="character" w:customStyle="1" w:styleId="78">
    <w:name w:val="正文文本缩进 2 Char"/>
    <w:link w:val="28"/>
    <w:qFormat/>
    <w:uiPriority w:val="0"/>
    <w:rPr>
      <w:rFonts w:ascii="Times New Roman" w:hAnsi="Times New Roman" w:eastAsia="宋体" w:cs="Times New Roman"/>
      <w:sz w:val="32"/>
      <w:szCs w:val="20"/>
    </w:rPr>
  </w:style>
  <w:style w:type="character" w:customStyle="1" w:styleId="79">
    <w:name w:val="尾注文本 Char"/>
    <w:link w:val="29"/>
    <w:qFormat/>
    <w:uiPriority w:val="99"/>
    <w:rPr>
      <w:rFonts w:ascii="Times New Roman" w:hAnsi="Times New Roman"/>
      <w:kern w:val="2"/>
      <w:sz w:val="21"/>
      <w:szCs w:val="24"/>
    </w:rPr>
  </w:style>
  <w:style w:type="character" w:customStyle="1" w:styleId="80">
    <w:name w:val="批注框文本 Char"/>
    <w:link w:val="30"/>
    <w:semiHidden/>
    <w:qFormat/>
    <w:uiPriority w:val="0"/>
    <w:rPr>
      <w:rFonts w:ascii="Times New Roman" w:hAnsi="Times New Roman" w:eastAsia="宋体" w:cs="Times New Roman"/>
      <w:sz w:val="18"/>
      <w:szCs w:val="18"/>
    </w:rPr>
  </w:style>
  <w:style w:type="character" w:customStyle="1" w:styleId="81">
    <w:name w:val="页脚 Char"/>
    <w:link w:val="31"/>
    <w:qFormat/>
    <w:uiPriority w:val="99"/>
    <w:rPr>
      <w:sz w:val="18"/>
      <w:szCs w:val="18"/>
    </w:rPr>
  </w:style>
  <w:style w:type="character" w:customStyle="1" w:styleId="82">
    <w:name w:val="页眉 Char"/>
    <w:link w:val="32"/>
    <w:qFormat/>
    <w:uiPriority w:val="99"/>
    <w:rPr>
      <w:rFonts w:ascii="Times New Roman" w:hAnsi="Times New Roman"/>
      <w:kern w:val="2"/>
      <w:sz w:val="18"/>
      <w:szCs w:val="18"/>
    </w:rPr>
  </w:style>
  <w:style w:type="character" w:customStyle="1" w:styleId="83">
    <w:name w:val="副标题 Char"/>
    <w:link w:val="35"/>
    <w:qFormat/>
    <w:uiPriority w:val="11"/>
    <w:rPr>
      <w:rFonts w:ascii="Calibri" w:hAnsi="Calibri" w:cs="Times New Roman"/>
      <w:b/>
      <w:bCs/>
      <w:kern w:val="28"/>
      <w:sz w:val="44"/>
      <w:szCs w:val="32"/>
    </w:rPr>
  </w:style>
  <w:style w:type="character" w:customStyle="1" w:styleId="84">
    <w:name w:val="脚注文本 Char"/>
    <w:link w:val="37"/>
    <w:qFormat/>
    <w:uiPriority w:val="99"/>
    <w:rPr>
      <w:rFonts w:ascii="Times New Roman" w:hAnsi="Times New Roman"/>
      <w:kern w:val="2"/>
      <w:sz w:val="18"/>
      <w:szCs w:val="18"/>
    </w:rPr>
  </w:style>
  <w:style w:type="character" w:customStyle="1" w:styleId="85">
    <w:name w:val="正文文本缩进 3 Char"/>
    <w:link w:val="39"/>
    <w:qFormat/>
    <w:uiPriority w:val="0"/>
    <w:rPr>
      <w:rFonts w:ascii="Times New Roman" w:hAnsi="Times New Roman" w:eastAsia="宋体" w:cs="Times New Roman"/>
      <w:sz w:val="16"/>
      <w:szCs w:val="16"/>
    </w:rPr>
  </w:style>
  <w:style w:type="character" w:customStyle="1" w:styleId="86">
    <w:name w:val="正文文本 2 Char"/>
    <w:link w:val="43"/>
    <w:qFormat/>
    <w:uiPriority w:val="0"/>
    <w:rPr>
      <w:rFonts w:ascii="Times New Roman" w:hAnsi="Times New Roman" w:eastAsia="宋体" w:cs="Times New Roman"/>
      <w:szCs w:val="24"/>
    </w:rPr>
  </w:style>
  <w:style w:type="character" w:customStyle="1" w:styleId="87">
    <w:name w:val="标题 Char"/>
    <w:link w:val="46"/>
    <w:qFormat/>
    <w:uiPriority w:val="10"/>
    <w:rPr>
      <w:rFonts w:ascii="Cambria" w:hAnsi="Cambria" w:cs="Times New Roman"/>
      <w:b/>
      <w:bCs/>
      <w:kern w:val="2"/>
      <w:sz w:val="32"/>
      <w:szCs w:val="32"/>
    </w:rPr>
  </w:style>
  <w:style w:type="character" w:customStyle="1" w:styleId="88">
    <w:name w:val="批注主题 Char"/>
    <w:link w:val="47"/>
    <w:qFormat/>
    <w:uiPriority w:val="99"/>
    <w:rPr>
      <w:rFonts w:ascii="Times New Roman" w:hAnsi="Times New Roman"/>
      <w:b/>
      <w:bCs/>
      <w:kern w:val="2"/>
      <w:sz w:val="21"/>
      <w:szCs w:val="24"/>
    </w:rPr>
  </w:style>
  <w:style w:type="character" w:customStyle="1" w:styleId="89">
    <w:name w:val="正文首行缩进 Char1"/>
    <w:link w:val="48"/>
    <w:semiHidden/>
    <w:qFormat/>
    <w:uiPriority w:val="99"/>
    <w:rPr>
      <w:rFonts w:ascii="Times New Roman" w:hAnsi="Times New Roman" w:eastAsia="宋体" w:cs="Times New Roman"/>
      <w:kern w:val="2"/>
      <w:sz w:val="21"/>
      <w:szCs w:val="24"/>
    </w:rPr>
  </w:style>
  <w:style w:type="character" w:customStyle="1" w:styleId="90">
    <w:name w:val="正文首行缩进 2 Char1"/>
    <w:link w:val="49"/>
    <w:semiHidden/>
    <w:qFormat/>
    <w:uiPriority w:val="99"/>
    <w:rPr>
      <w:rFonts w:ascii="仿宋_GB2312" w:hAnsi="Times New Roman" w:eastAsia="仿宋_GB2312" w:cs="Times New Roman"/>
      <w:kern w:val="2"/>
      <w:sz w:val="21"/>
      <w:szCs w:val="24"/>
    </w:rPr>
  </w:style>
  <w:style w:type="character" w:customStyle="1" w:styleId="91">
    <w:name w:val="纯文本 字符1"/>
    <w:qFormat/>
    <w:uiPriority w:val="0"/>
    <w:rPr>
      <w:rFonts w:ascii="宋体" w:hAnsi="Courier New"/>
    </w:rPr>
  </w:style>
  <w:style w:type="character" w:customStyle="1" w:styleId="92">
    <w:name w:val="批注文字 Char1"/>
    <w:qFormat/>
    <w:locked/>
    <w:uiPriority w:val="0"/>
    <w:rPr>
      <w:rFonts w:ascii="Times New Roman" w:hAnsi="Times New Roman"/>
      <w:kern w:val="2"/>
      <w:sz w:val="21"/>
      <w:szCs w:val="24"/>
    </w:rPr>
  </w:style>
  <w:style w:type="character" w:customStyle="1" w:styleId="93">
    <w:name w:val="headline-content4"/>
    <w:qFormat/>
    <w:uiPriority w:val="0"/>
  </w:style>
  <w:style w:type="character" w:customStyle="1" w:styleId="94">
    <w:name w:val="批注文字 字符"/>
    <w:qFormat/>
    <w:uiPriority w:val="0"/>
    <w:rPr>
      <w:rFonts w:ascii="Times New Roman" w:hAnsi="Times New Roman"/>
      <w:kern w:val="2"/>
      <w:sz w:val="21"/>
      <w:szCs w:val="24"/>
    </w:rPr>
  </w:style>
  <w:style w:type="character" w:customStyle="1" w:styleId="95">
    <w:name w:val="标题 5 Char"/>
    <w:qFormat/>
    <w:uiPriority w:val="0"/>
    <w:rPr>
      <w:b/>
      <w:kern w:val="2"/>
      <w:sz w:val="28"/>
      <w:szCs w:val="24"/>
    </w:rPr>
  </w:style>
  <w:style w:type="character" w:customStyle="1" w:styleId="96">
    <w:name w:val="正文文本 (26) + 间距 0 pt"/>
    <w:qFormat/>
    <w:uiPriority w:val="0"/>
    <w:rPr>
      <w:rFonts w:ascii="宋体" w:hAnsi="宋体" w:eastAsia="宋体" w:cs="宋体"/>
      <w:color w:val="000000"/>
      <w:spacing w:val="0"/>
      <w:w w:val="100"/>
      <w:position w:val="0"/>
      <w:sz w:val="22"/>
      <w:szCs w:val="22"/>
      <w:u w:val="none"/>
      <w:lang w:val="zh-CN" w:eastAsia="zh-CN" w:bidi="zh-CN"/>
    </w:rPr>
  </w:style>
  <w:style w:type="character" w:customStyle="1" w:styleId="97">
    <w:name w:val="批注文字 Char"/>
    <w:qFormat/>
    <w:uiPriority w:val="0"/>
    <w:rPr>
      <w:rFonts w:ascii="Times New Roman" w:hAnsi="Times New Roman"/>
      <w:kern w:val="2"/>
      <w:sz w:val="21"/>
      <w:szCs w:val="24"/>
    </w:rPr>
  </w:style>
  <w:style w:type="character" w:customStyle="1" w:styleId="98">
    <w:name w:val="标题 1 字符"/>
    <w:qFormat/>
    <w:uiPriority w:val="9"/>
    <w:rPr>
      <w:rFonts w:ascii="Times New Roman" w:hAnsi="Times New Roman" w:eastAsia="宋体" w:cs="Times New Roman"/>
      <w:b/>
      <w:bCs/>
      <w:kern w:val="44"/>
      <w:sz w:val="44"/>
      <w:szCs w:val="44"/>
    </w:rPr>
  </w:style>
  <w:style w:type="character" w:customStyle="1" w:styleId="99">
    <w:name w:val="apple-style-span"/>
    <w:qFormat/>
    <w:uiPriority w:val="0"/>
  </w:style>
  <w:style w:type="character" w:customStyle="1" w:styleId="100">
    <w:name w:val="正文文本缩进 字符"/>
    <w:qFormat/>
    <w:uiPriority w:val="0"/>
    <w:rPr>
      <w:rFonts w:ascii="仿宋_GB2312" w:hAnsi="Times New Roman" w:eastAsia="仿宋_GB2312" w:cs="Times New Roman"/>
      <w:sz w:val="32"/>
      <w:szCs w:val="20"/>
    </w:rPr>
  </w:style>
  <w:style w:type="character" w:customStyle="1" w:styleId="101">
    <w:name w:val="case31"/>
    <w:qFormat/>
    <w:uiPriority w:val="0"/>
    <w:rPr>
      <w:rFonts w:hint="default" w:ascii="_x000B__x000C_" w:hAnsi="_x000B__x000C_"/>
      <w:sz w:val="21"/>
      <w:szCs w:val="21"/>
    </w:rPr>
  </w:style>
  <w:style w:type="character" w:customStyle="1" w:styleId="102">
    <w:name w:val="纯文本 字符"/>
    <w:qFormat/>
    <w:uiPriority w:val="99"/>
    <w:rPr>
      <w:rFonts w:ascii="宋体" w:hAnsi="Courier New" w:eastAsia="宋体" w:cs="Courier New"/>
      <w:szCs w:val="21"/>
    </w:rPr>
  </w:style>
  <w:style w:type="character" w:customStyle="1" w:styleId="103">
    <w:name w:val="textcontents"/>
    <w:qFormat/>
    <w:uiPriority w:val="0"/>
  </w:style>
  <w:style w:type="character" w:customStyle="1" w:styleId="104">
    <w:name w:val="普通文字 Char Char2"/>
    <w:qFormat/>
    <w:uiPriority w:val="0"/>
    <w:rPr>
      <w:rFonts w:ascii="宋体" w:hAnsi="Courier New" w:eastAsia="宋体"/>
      <w:kern w:val="2"/>
      <w:sz w:val="21"/>
      <w:lang w:val="en-US" w:eastAsia="zh-CN" w:bidi="ar-SA"/>
    </w:rPr>
  </w:style>
  <w:style w:type="paragraph" w:customStyle="1" w:styleId="105">
    <w:name w:val="正文段"/>
    <w:basedOn w:val="1"/>
    <w:qFormat/>
    <w:uiPriority w:val="0"/>
    <w:pPr>
      <w:widowControl/>
      <w:snapToGrid w:val="0"/>
      <w:spacing w:after="50" w:afterLines="50"/>
      <w:ind w:firstLine="200" w:firstLineChars="200"/>
    </w:pPr>
    <w:rPr>
      <w:kern w:val="0"/>
      <w:sz w:val="24"/>
      <w:szCs w:val="20"/>
    </w:rPr>
  </w:style>
  <w:style w:type="paragraph" w:customStyle="1" w:styleId="106">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107">
    <w:name w:val="默认段落字体 Para Char Char Char Char Char Char Char Char Char1 Char Char Char Char"/>
    <w:basedOn w:val="1"/>
    <w:qFormat/>
    <w:uiPriority w:val="0"/>
    <w:rPr>
      <w:rFonts w:ascii="Tahoma" w:hAnsi="Tahoma"/>
      <w:sz w:val="24"/>
      <w:szCs w:val="20"/>
    </w:rPr>
  </w:style>
  <w:style w:type="paragraph" w:customStyle="1" w:styleId="108">
    <w:name w:val="xl22"/>
    <w:basedOn w:val="1"/>
    <w:qFormat/>
    <w:uiPriority w:val="0"/>
    <w:pPr>
      <w:widowControl/>
      <w:spacing w:before="100" w:beforeAutospacing="1" w:after="100" w:afterAutospacing="1"/>
      <w:jc w:val="left"/>
    </w:pPr>
    <w:rPr>
      <w:rFonts w:ascii="Arial Unicode MS" w:hAnsi="Arial Unicode MS" w:eastAsia="Arial Unicode MS" w:cs="Arial Unicode MS"/>
      <w:kern w:val="0"/>
      <w:sz w:val="20"/>
      <w:szCs w:val="20"/>
    </w:rPr>
  </w:style>
  <w:style w:type="paragraph" w:customStyle="1" w:styleId="109">
    <w:name w:val="样式"/>
    <w:qFormat/>
    <w:uiPriority w:val="0"/>
    <w:pPr>
      <w:widowControl w:val="0"/>
      <w:autoSpaceDE w:val="0"/>
      <w:autoSpaceDN w:val="0"/>
      <w:adjustRightInd w:val="0"/>
      <w:jc w:val="center"/>
    </w:pPr>
    <w:rPr>
      <w:rFonts w:ascii="宋体" w:hAnsi="宋体" w:eastAsia="宋体" w:cs="宋体"/>
      <w:sz w:val="24"/>
      <w:szCs w:val="24"/>
      <w:lang w:val="en-US" w:eastAsia="zh-CN" w:bidi="ar-SA"/>
    </w:rPr>
  </w:style>
  <w:style w:type="paragraph" w:customStyle="1" w:styleId="110">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11">
    <w:name w:val="Table Paragraph"/>
    <w:basedOn w:val="1"/>
    <w:qFormat/>
    <w:uiPriority w:val="1"/>
    <w:pPr>
      <w:jc w:val="left"/>
    </w:pPr>
    <w:rPr>
      <w:rFonts w:ascii="Calibri" w:hAnsi="Calibri" w:eastAsia="宋体" w:cs="Times New Roman"/>
      <w:kern w:val="0"/>
      <w:sz w:val="22"/>
      <w:szCs w:val="22"/>
      <w:lang w:eastAsia="en-US"/>
    </w:rPr>
  </w:style>
  <w:style w:type="paragraph" w:customStyle="1" w:styleId="112">
    <w:name w:val="Char1"/>
    <w:basedOn w:val="1"/>
    <w:qFormat/>
    <w:uiPriority w:val="0"/>
    <w:rPr>
      <w:szCs w:val="21"/>
    </w:rPr>
  </w:style>
  <w:style w:type="paragraph" w:customStyle="1" w:styleId="113">
    <w:name w:val="正文首行缩进两字符"/>
    <w:basedOn w:val="1"/>
    <w:qFormat/>
    <w:uiPriority w:val="0"/>
    <w:pPr>
      <w:spacing w:line="360" w:lineRule="auto"/>
      <w:ind w:firstLine="200" w:firstLineChars="200"/>
    </w:pPr>
  </w:style>
  <w:style w:type="paragraph" w:customStyle="1" w:styleId="114">
    <w:name w:val="表格"/>
    <w:basedOn w:val="1"/>
    <w:qFormat/>
    <w:uiPriority w:val="0"/>
    <w:pPr>
      <w:spacing w:line="400" w:lineRule="exact"/>
    </w:pPr>
    <w:rPr>
      <w:sz w:val="24"/>
    </w:rPr>
  </w:style>
  <w:style w:type="paragraph" w:customStyle="1" w:styleId="115">
    <w:name w:val="样式 首行缩进:  2 字符"/>
    <w:basedOn w:val="1"/>
    <w:qFormat/>
    <w:uiPriority w:val="0"/>
    <w:pPr>
      <w:spacing w:line="400" w:lineRule="exact"/>
      <w:ind w:firstLine="200" w:firstLineChars="200"/>
    </w:pPr>
    <w:rPr>
      <w:rFonts w:cs="宋体"/>
      <w:sz w:val="24"/>
    </w:rPr>
  </w:style>
  <w:style w:type="paragraph" w:customStyle="1" w:styleId="116">
    <w:name w:val="Plain Text"/>
    <w:basedOn w:val="1"/>
    <w:qFormat/>
    <w:uiPriority w:val="0"/>
    <w:rPr>
      <w:rFonts w:ascii="宋体" w:hAnsi="Courier New" w:cs="Century"/>
      <w:szCs w:val="21"/>
    </w:rPr>
  </w:style>
  <w:style w:type="paragraph" w:customStyle="1" w:styleId="117">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styleId="118">
    <w:name w:val="List Paragraph"/>
    <w:basedOn w:val="1"/>
    <w:qFormat/>
    <w:uiPriority w:val="34"/>
    <w:pPr>
      <w:ind w:firstLine="420" w:firstLineChars="200"/>
    </w:pPr>
  </w:style>
  <w:style w:type="table" w:customStyle="1" w:styleId="119">
    <w:name w:val="Table Normal"/>
    <w:semiHidden/>
    <w:qFormat/>
    <w:uiPriority w:val="2"/>
    <w:pPr>
      <w:widowControl w:val="0"/>
    </w:pPr>
    <w:rPr>
      <w:rFonts w:ascii="Calibri" w:hAnsi="Calibri" w:eastAsia="Times New Roman"/>
      <w:sz w:val="22"/>
      <w:szCs w:val="22"/>
      <w:lang w:val="en-US" w:eastAsia="en-US" w:bidi="ar-SA"/>
    </w:rPr>
    <w:tblPr>
      <w:tblCellMar>
        <w:top w:w="0" w:type="dxa"/>
        <w:left w:w="0" w:type="dxa"/>
        <w:bottom w:w="0" w:type="dxa"/>
        <w:right w:w="0" w:type="dxa"/>
      </w:tblCellMar>
    </w:tblPr>
  </w:style>
  <w:style w:type="character" w:customStyle="1" w:styleId="120">
    <w:name w:val="纯文本 Char1"/>
    <w:qFormat/>
    <w:uiPriority w:val="0"/>
    <w:rPr>
      <w:rFonts w:ascii="宋体" w:hAnsi="Courier New" w:eastAsia="宋体" w:cs="Courier New"/>
      <w:szCs w:val="21"/>
    </w:rPr>
  </w:style>
  <w:style w:type="character" w:customStyle="1" w:styleId="121">
    <w:name w:val="标题 5 Char1"/>
    <w:qFormat/>
    <w:uiPriority w:val="0"/>
    <w:rPr>
      <w:b/>
      <w:kern w:val="2"/>
      <w:sz w:val="28"/>
      <w:szCs w:val="24"/>
    </w:rPr>
  </w:style>
  <w:style w:type="character" w:customStyle="1" w:styleId="122">
    <w:name w:val="批注文字 字符2"/>
    <w:qFormat/>
    <w:uiPriority w:val="0"/>
    <w:rPr>
      <w:rFonts w:ascii="Times New Roman" w:hAnsi="Times New Roman"/>
      <w:kern w:val="2"/>
      <w:sz w:val="21"/>
      <w:szCs w:val="24"/>
    </w:rPr>
  </w:style>
  <w:style w:type="character" w:customStyle="1" w:styleId="123">
    <w:name w:val="纯文本 Char"/>
    <w:qFormat/>
    <w:uiPriority w:val="99"/>
    <w:rPr>
      <w:rFonts w:ascii="宋体" w:hAnsi="Courier New" w:eastAsia="宋体" w:cs="Courier New"/>
      <w:szCs w:val="21"/>
    </w:rPr>
  </w:style>
  <w:style w:type="paragraph" w:customStyle="1" w:styleId="124">
    <w:name w:val="正文2"/>
    <w:basedOn w:val="1"/>
    <w:link w:val="125"/>
    <w:qFormat/>
    <w:uiPriority w:val="0"/>
    <w:pPr>
      <w:adjustRightInd w:val="0"/>
      <w:spacing w:before="156" w:line="360" w:lineRule="auto"/>
      <w:ind w:firstLine="510" w:firstLineChars="200"/>
    </w:pPr>
    <w:rPr>
      <w:sz w:val="24"/>
      <w:szCs w:val="20"/>
    </w:rPr>
  </w:style>
  <w:style w:type="character" w:customStyle="1" w:styleId="125">
    <w:name w:val="正文2 Char Char"/>
    <w:link w:val="124"/>
    <w:qFormat/>
    <w:uiPriority w:val="0"/>
    <w:rPr>
      <w:kern w:val="2"/>
      <w:sz w:val="24"/>
    </w:rPr>
  </w:style>
  <w:style w:type="paragraph" w:customStyle="1" w:styleId="126">
    <w:name w:val="文章正文"/>
    <w:basedOn w:val="1"/>
    <w:link w:val="127"/>
    <w:qFormat/>
    <w:uiPriority w:val="0"/>
    <w:pPr>
      <w:spacing w:line="360" w:lineRule="auto"/>
      <w:ind w:firstLine="200" w:firstLineChars="200"/>
    </w:pPr>
    <w:rPr>
      <w:rFonts w:ascii="Calibri" w:hAnsi="Calibri" w:eastAsia="仿宋"/>
      <w:sz w:val="28"/>
      <w:szCs w:val="22"/>
    </w:rPr>
  </w:style>
  <w:style w:type="character" w:customStyle="1" w:styleId="127">
    <w:name w:val="文章正文 Char"/>
    <w:link w:val="126"/>
    <w:qFormat/>
    <w:uiPriority w:val="0"/>
    <w:rPr>
      <w:rFonts w:ascii="Calibri" w:hAnsi="Calibri" w:eastAsia="仿宋"/>
      <w:kern w:val="2"/>
      <w:sz w:val="28"/>
      <w:szCs w:val="22"/>
    </w:rPr>
  </w:style>
  <w:style w:type="paragraph" w:customStyle="1" w:styleId="128">
    <w:name w:val="正文_0_0"/>
    <w:qFormat/>
    <w:uiPriority w:val="0"/>
    <w:pPr>
      <w:widowControl w:val="0"/>
      <w:jc w:val="both"/>
    </w:pPr>
    <w:rPr>
      <w:rFonts w:ascii="Calibri" w:hAnsi="Calibri" w:eastAsia="宋体" w:cs="Calibri"/>
      <w:kern w:val="2"/>
      <w:sz w:val="21"/>
      <w:szCs w:val="21"/>
      <w:lang w:val="en-US" w:eastAsia="zh-CN" w:bidi="ar-SA"/>
    </w:rPr>
  </w:style>
  <w:style w:type="paragraph" w:customStyle="1" w:styleId="129">
    <w:name w:val="Indent Normal"/>
    <w:basedOn w:val="1"/>
    <w:qFormat/>
    <w:uiPriority w:val="0"/>
    <w:pPr>
      <w:ind w:firstLine="150" w:firstLineChars="150"/>
    </w:pPr>
    <w:rPr>
      <w:rFonts w:ascii="Calibri" w:hAnsi="Calibri" w:eastAsia="宋体" w:cs="Times New Roman"/>
      <w:sz w:val="24"/>
    </w:rPr>
  </w:style>
  <w:style w:type="paragraph" w:customStyle="1" w:styleId="130">
    <w:name w:val="正文-首行缩进-自定义"/>
    <w:basedOn w:val="1"/>
    <w:qFormat/>
    <w:uiPriority w:val="0"/>
    <w:pPr>
      <w:overflowPunct w:val="0"/>
      <w:spacing w:line="360" w:lineRule="auto"/>
      <w:ind w:firstLine="200" w:firstLineChars="200"/>
    </w:pPr>
    <w:rPr>
      <w:rFonts w:ascii="宋体" w:hAnsi="Calibri" w:cs="Times New Roman"/>
      <w:sz w:val="24"/>
      <w:szCs w:val="21"/>
    </w:rPr>
  </w:style>
  <w:style w:type="paragraph" w:customStyle="1" w:styleId="131">
    <w:name w:val="表格-文稿-标题"/>
    <w:qFormat/>
    <w:uiPriority w:val="0"/>
    <w:pPr>
      <w:jc w:val="center"/>
    </w:pPr>
    <w:rPr>
      <w:rFonts w:ascii="宋体" w:hAnsi="Calibri" w:eastAsia="宋体" w:cs="Times New Roman"/>
      <w:b/>
      <w:kern w:val="2"/>
      <w:sz w:val="24"/>
      <w:szCs w:val="21"/>
      <w:lang w:val="en-US" w:eastAsia="zh-CN" w:bidi="ar-SA"/>
    </w:rPr>
  </w:style>
  <w:style w:type="paragraph" w:customStyle="1" w:styleId="132">
    <w:name w:val="表格-文稿-内容"/>
    <w:qFormat/>
    <w:uiPriority w:val="0"/>
    <w:pPr>
      <w:jc w:val="both"/>
    </w:pPr>
    <w:rPr>
      <w:rFonts w:ascii="宋体" w:hAnsi="Calibri" w:eastAsia="宋体" w:cs="Times New Roman"/>
      <w:kern w:val="2"/>
      <w:sz w:val="24"/>
      <w:szCs w:val="21"/>
      <w:lang w:val="en-US" w:eastAsia="zh-CN" w:bidi="ar-SA"/>
    </w:rPr>
  </w:style>
  <w:style w:type="paragraph" w:customStyle="1" w:styleId="133">
    <w:name w:val="正文-首行缩进-强调-自定义"/>
    <w:basedOn w:val="130"/>
    <w:next w:val="130"/>
    <w:qFormat/>
    <w:uiPriority w:val="0"/>
    <w:pPr>
      <w:ind w:firstLine="480"/>
    </w:pPr>
    <w:rPr>
      <w:rFonts w:hAnsi="Calibri" w:cs="Times New Roman"/>
      <w:b/>
    </w:rPr>
  </w:style>
  <w:style w:type="table" w:customStyle="1" w:styleId="134">
    <w:name w:val="无格式表格 11"/>
    <w:basedOn w:val="50"/>
    <w:qFormat/>
    <w:uiPriority w:val="41"/>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Pr>
    <w:tblStylePr w:type="firstRow">
      <w:rPr>
        <w:b/>
        <w:bCs/>
      </w:rPr>
    </w:tblStylePr>
    <w:tblStylePr w:type="lastRow">
      <w:rPr>
        <w:b/>
        <w:bCs/>
      </w:rPr>
      <w:tcPr>
        <w:tcBorders>
          <w:top w:val="double" w:color="BFBFBF" w:sz="4"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cPr>
        <w:shd w:val="clear" w:color="auto" w:fill="F2F2F2"/>
      </w:tcPr>
    </w:tblStylePr>
    <w:tblStylePr w:type="band1Horz">
      <w:tcPr>
        <w:shd w:val="clear" w:color="auto" w:fill="F2F2F2"/>
      </w:tcPr>
    </w:tblStylePr>
  </w:style>
  <w:style w:type="table" w:customStyle="1" w:styleId="135">
    <w:name w:val="网格型浅色1"/>
    <w:basedOn w:val="50"/>
    <w:qFormat/>
    <w:uiPriority w:val="40"/>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Pr>
  </w:style>
  <w:style w:type="paragraph" w:customStyle="1" w:styleId="136">
    <w:name w:val="正文-横线-自定义"/>
    <w:basedOn w:val="1"/>
    <w:next w:val="1"/>
    <w:qFormat/>
    <w:uiPriority w:val="0"/>
    <w:pPr>
      <w:pBdr>
        <w:bottom w:val="thinThickSmallGap" w:color="auto" w:sz="36" w:space="1"/>
      </w:pBdr>
      <w:overflowPunct w:val="0"/>
      <w:spacing w:line="360" w:lineRule="auto"/>
      <w:jc w:val="center"/>
    </w:pPr>
    <w:rPr>
      <w:rFonts w:ascii="宋体" w:hAnsi="Calibri" w:cs="Times New Roman"/>
      <w:sz w:val="24"/>
      <w:szCs w:val="21"/>
    </w:rPr>
  </w:style>
  <w:style w:type="paragraph" w:customStyle="1" w:styleId="137">
    <w:name w:val="正文-嵌入式图片-自定义"/>
    <w:basedOn w:val="136"/>
    <w:next w:val="130"/>
    <w:qFormat/>
    <w:uiPriority w:val="0"/>
    <w:pPr>
      <w:pBdr>
        <w:bottom w:val="none" w:color="auto" w:sz="0" w:space="0"/>
      </w:pBdr>
    </w:pPr>
  </w:style>
  <w:style w:type="paragraph" w:customStyle="1" w:styleId="138">
    <w:name w:val="正文-编号列表-1、-首行缩进-自定义"/>
    <w:basedOn w:val="1"/>
    <w:next w:val="130"/>
    <w:qFormat/>
    <w:uiPriority w:val="0"/>
    <w:pPr>
      <w:numPr>
        <w:ilvl w:val="0"/>
        <w:numId w:val="3"/>
      </w:numPr>
      <w:overflowPunct w:val="0"/>
      <w:spacing w:line="360" w:lineRule="auto"/>
    </w:pPr>
    <w:rPr>
      <w:rFonts w:ascii="宋体" w:hAnsi="Calibri" w:cs="Times New Roman"/>
      <w:sz w:val="24"/>
      <w:szCs w:val="21"/>
    </w:rPr>
  </w:style>
  <w:style w:type="paragraph" w:customStyle="1" w:styleId="139">
    <w:name w:val="正文-编号列表-（一）-首行缩进-自定义"/>
    <w:basedOn w:val="1"/>
    <w:next w:val="130"/>
    <w:qFormat/>
    <w:uiPriority w:val="0"/>
    <w:pPr>
      <w:numPr>
        <w:ilvl w:val="0"/>
        <w:numId w:val="4"/>
      </w:numPr>
      <w:overflowPunct w:val="0"/>
      <w:spacing w:line="360" w:lineRule="auto"/>
      <w:ind w:firstLine="200" w:firstLineChars="200"/>
    </w:pPr>
    <w:rPr>
      <w:rFonts w:ascii="宋体" w:hAnsi="Calibri" w:cs="Times New Roman"/>
      <w:b/>
      <w:sz w:val="24"/>
      <w:szCs w:val="21"/>
    </w:rPr>
  </w:style>
  <w:style w:type="paragraph" w:customStyle="1" w:styleId="140">
    <w:name w:val="正文-编号列表-（1）-首行缩进-自定义"/>
    <w:basedOn w:val="1"/>
    <w:next w:val="130"/>
    <w:qFormat/>
    <w:uiPriority w:val="0"/>
    <w:pPr>
      <w:numPr>
        <w:ilvl w:val="0"/>
        <w:numId w:val="5"/>
      </w:numPr>
      <w:overflowPunct w:val="0"/>
      <w:spacing w:line="360" w:lineRule="auto"/>
    </w:pPr>
    <w:rPr>
      <w:rFonts w:ascii="宋体" w:hAnsi="Calibri" w:cs="Times New Roman"/>
      <w:sz w:val="24"/>
      <w:szCs w:val="21"/>
    </w:rPr>
  </w:style>
  <w:style w:type="paragraph" w:customStyle="1" w:styleId="141">
    <w:name w:val="正文-编号列表-1）-首行缩进-自定义"/>
    <w:basedOn w:val="1"/>
    <w:next w:val="130"/>
    <w:qFormat/>
    <w:uiPriority w:val="0"/>
    <w:pPr>
      <w:numPr>
        <w:ilvl w:val="0"/>
        <w:numId w:val="6"/>
      </w:numPr>
      <w:overflowPunct w:val="0"/>
      <w:spacing w:line="360" w:lineRule="auto"/>
    </w:pPr>
    <w:rPr>
      <w:rFonts w:ascii="宋体" w:hAnsi="Calibri" w:cs="Times New Roman"/>
      <w:sz w:val="24"/>
      <w:szCs w:val="21"/>
    </w:rPr>
  </w:style>
  <w:style w:type="paragraph" w:customStyle="1" w:styleId="142">
    <w:name w:val="正文-编号列表-1.-首行缩进-自定义"/>
    <w:basedOn w:val="1"/>
    <w:next w:val="130"/>
    <w:qFormat/>
    <w:uiPriority w:val="0"/>
    <w:pPr>
      <w:numPr>
        <w:ilvl w:val="0"/>
        <w:numId w:val="7"/>
      </w:numPr>
      <w:overflowPunct w:val="0"/>
      <w:spacing w:line="360" w:lineRule="auto"/>
    </w:pPr>
    <w:rPr>
      <w:rFonts w:ascii="宋体" w:hAnsi="Calibri" w:cs="Times New Roman"/>
      <w:sz w:val="24"/>
      <w:szCs w:val="21"/>
    </w:rPr>
  </w:style>
  <w:style w:type="paragraph" w:customStyle="1" w:styleId="143">
    <w:name w:val="表格-清单-内容"/>
    <w:qFormat/>
    <w:uiPriority w:val="0"/>
    <w:pPr>
      <w:autoSpaceDE w:val="0"/>
      <w:autoSpaceDN w:val="0"/>
      <w:adjustRightInd w:val="0"/>
      <w:jc w:val="both"/>
    </w:pPr>
    <w:rPr>
      <w:rFonts w:ascii="等线" w:hAnsi="Calibri" w:eastAsia="等线" w:cs="等线"/>
      <w:bCs/>
      <w:color w:val="000000"/>
      <w:lang w:val="en-US" w:eastAsia="zh-CN" w:bidi="ar-SA"/>
    </w:rPr>
  </w:style>
  <w:style w:type="paragraph" w:customStyle="1" w:styleId="144">
    <w:name w:val="表格-清单-标题"/>
    <w:qFormat/>
    <w:uiPriority w:val="0"/>
    <w:pPr>
      <w:jc w:val="center"/>
    </w:pPr>
    <w:rPr>
      <w:rFonts w:ascii="等线" w:hAnsi="Calibri" w:eastAsia="等线" w:cs="等线"/>
      <w:b/>
      <w:bCs/>
      <w:color w:val="000000"/>
      <w:lang w:val="en-US" w:eastAsia="zh-CN" w:bidi="ar-SA"/>
    </w:rPr>
  </w:style>
  <w:style w:type="paragraph" w:customStyle="1" w:styleId="145">
    <w:name w:val="正文-编号列表-一、-首行缩进--自定义"/>
    <w:basedOn w:val="1"/>
    <w:next w:val="130"/>
    <w:qFormat/>
    <w:uiPriority w:val="0"/>
    <w:pPr>
      <w:widowControl/>
      <w:numPr>
        <w:ilvl w:val="0"/>
        <w:numId w:val="8"/>
      </w:numPr>
      <w:spacing w:line="360" w:lineRule="auto"/>
      <w:ind w:firstLine="200" w:firstLineChars="200"/>
      <w:jc w:val="left"/>
    </w:pPr>
    <w:rPr>
      <w:rFonts w:ascii="宋体" w:hAnsi="宋体"/>
      <w:b/>
      <w:bCs/>
      <w:kern w:val="0"/>
      <w:sz w:val="24"/>
    </w:rPr>
  </w:style>
  <w:style w:type="table" w:customStyle="1" w:styleId="146">
    <w:name w:val="网格型1"/>
    <w:basedOn w:val="5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47">
    <w:name w:val="网格型11"/>
    <w:basedOn w:val="5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48">
    <w:name w:val="正文-编号列表-（1）-悬挂缩进-自定义"/>
    <w:basedOn w:val="1"/>
    <w:next w:val="130"/>
    <w:qFormat/>
    <w:uiPriority w:val="0"/>
    <w:pPr>
      <w:numPr>
        <w:ilvl w:val="0"/>
        <w:numId w:val="9"/>
      </w:numPr>
      <w:overflowPunct w:val="0"/>
      <w:spacing w:line="360" w:lineRule="auto"/>
    </w:pPr>
    <w:rPr>
      <w:rFonts w:ascii="宋体" w:hAnsi="Calibri" w:cs="Times New Roman"/>
      <w:sz w:val="24"/>
      <w:szCs w:val="21"/>
    </w:rPr>
  </w:style>
  <w:style w:type="table" w:customStyle="1" w:styleId="149">
    <w:name w:val="网格型2"/>
    <w:basedOn w:val="5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50">
    <w:name w:val="修订1"/>
    <w:semiHidden/>
    <w:qFormat/>
    <w:uiPriority w:val="99"/>
    <w:rPr>
      <w:rFonts w:ascii="宋体" w:hAnsi="Calibri" w:eastAsia="宋体" w:cs="Times New Roman"/>
      <w:kern w:val="2"/>
      <w:sz w:val="24"/>
      <w:szCs w:val="21"/>
      <w:lang w:val="en-US" w:eastAsia="zh-CN" w:bidi="ar-SA"/>
    </w:rPr>
  </w:style>
  <w:style w:type="table" w:customStyle="1" w:styleId="151">
    <w:name w:val="网格型21"/>
    <w:basedOn w:val="5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52">
    <w:name w:val="网格型111"/>
    <w:basedOn w:val="5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53">
    <w:name w:val="网格型211"/>
    <w:basedOn w:val="5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54">
    <w:name w:val="正文-编号列表-1）-悬挂缩进-自定义"/>
    <w:basedOn w:val="1"/>
    <w:next w:val="130"/>
    <w:qFormat/>
    <w:uiPriority w:val="0"/>
    <w:pPr>
      <w:numPr>
        <w:ilvl w:val="0"/>
        <w:numId w:val="10"/>
      </w:numPr>
      <w:overflowPunct w:val="0"/>
      <w:spacing w:line="360" w:lineRule="auto"/>
    </w:pPr>
    <w:rPr>
      <w:rFonts w:ascii="宋体" w:hAnsi="Calibri" w:cs="Times New Roman"/>
      <w:sz w:val="24"/>
      <w:szCs w:val="21"/>
    </w:rPr>
  </w:style>
  <w:style w:type="paragraph" w:customStyle="1" w:styleId="155">
    <w:name w:val="副标题-黑体-三号-自定义"/>
    <w:basedOn w:val="35"/>
    <w:qFormat/>
    <w:uiPriority w:val="0"/>
    <w:rPr>
      <w:rFonts w:ascii="Times New Roman" w:hAnsi="Times New Roman" w:eastAsia="黑体"/>
      <w:sz w:val="32"/>
    </w:rPr>
  </w:style>
  <w:style w:type="paragraph" w:customStyle="1" w:styleId="156">
    <w:name w:val="TOC 标题1"/>
    <w:basedOn w:val="2"/>
    <w:next w:val="1"/>
    <w:unhideWhenUsed/>
    <w:qFormat/>
    <w:uiPriority w:val="39"/>
    <w:pPr>
      <w:widowControl/>
      <w:spacing w:before="240" w:after="0" w:line="259" w:lineRule="auto"/>
      <w:jc w:val="left"/>
      <w:outlineLvl w:val="9"/>
    </w:pPr>
    <w:rPr>
      <w:rFonts w:ascii="Cambria" w:hAnsi="Cambria" w:eastAsia="黑体" w:cs="Times New Roman"/>
      <w:bCs w:val="0"/>
      <w:kern w:val="0"/>
      <w:sz w:val="32"/>
      <w:szCs w:val="32"/>
      <w:lang w:val="en-US" w:eastAsia="zh-CN"/>
    </w:rPr>
  </w:style>
  <w:style w:type="character" w:customStyle="1" w:styleId="157">
    <w:name w:val="FC正文 Char"/>
    <w:link w:val="158"/>
    <w:qFormat/>
    <w:locked/>
    <w:uiPriority w:val="0"/>
    <w:rPr>
      <w:sz w:val="24"/>
      <w:szCs w:val="28"/>
    </w:rPr>
  </w:style>
  <w:style w:type="paragraph" w:customStyle="1" w:styleId="158">
    <w:name w:val="FC正文"/>
    <w:basedOn w:val="1"/>
    <w:link w:val="157"/>
    <w:qFormat/>
    <w:uiPriority w:val="0"/>
    <w:pPr>
      <w:autoSpaceDE w:val="0"/>
      <w:autoSpaceDN w:val="0"/>
      <w:adjustRightInd w:val="0"/>
      <w:spacing w:line="360" w:lineRule="auto"/>
      <w:ind w:firstLine="200" w:firstLineChars="200"/>
    </w:pPr>
    <w:rPr>
      <w:kern w:val="0"/>
      <w:sz w:val="24"/>
      <w:szCs w:val="28"/>
    </w:rPr>
  </w:style>
  <w:style w:type="table" w:customStyle="1" w:styleId="159">
    <w:name w:val="网格型3"/>
    <w:basedOn w:val="50"/>
    <w:qFormat/>
    <w:uiPriority w:val="59"/>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160">
    <w:name w:val="纯文本 字符4"/>
    <w:qFormat/>
    <w:uiPriority w:val="0"/>
    <w:rPr>
      <w:rFonts w:ascii="宋体" w:hAnsi="Courier New" w:eastAsia="宋体" w:cs="Courier New"/>
      <w:szCs w:val="21"/>
    </w:rPr>
  </w:style>
  <w:style w:type="character" w:customStyle="1" w:styleId="161">
    <w:name w:val="批注文字 字符3"/>
    <w:qFormat/>
    <w:uiPriority w:val="0"/>
    <w:rPr>
      <w:rFonts w:ascii="Times New Roman" w:hAnsi="Times New Roman"/>
      <w:kern w:val="2"/>
      <w:sz w:val="21"/>
      <w:szCs w:val="24"/>
    </w:rPr>
  </w:style>
  <w:style w:type="character" w:customStyle="1" w:styleId="162">
    <w:name w:val="批注主题 字符"/>
    <w:qFormat/>
    <w:uiPriority w:val="99"/>
    <w:rPr>
      <w:rFonts w:ascii="Times New Roman" w:hAnsi="Times New Roman"/>
      <w:b/>
      <w:bCs/>
      <w:kern w:val="2"/>
      <w:sz w:val="21"/>
      <w:szCs w:val="24"/>
    </w:rPr>
  </w:style>
  <w:style w:type="character" w:customStyle="1" w:styleId="163">
    <w:name w:val="批注文字 字符1"/>
    <w:qFormat/>
    <w:uiPriority w:val="0"/>
    <w:rPr>
      <w:rFonts w:ascii="Times New Roman" w:hAnsi="Times New Roman"/>
      <w:kern w:val="2"/>
      <w:sz w:val="21"/>
      <w:szCs w:val="24"/>
    </w:rPr>
  </w:style>
  <w:style w:type="character" w:customStyle="1" w:styleId="164">
    <w:name w:val="页脚 字符"/>
    <w:qFormat/>
    <w:uiPriority w:val="99"/>
  </w:style>
  <w:style w:type="character" w:customStyle="1" w:styleId="165">
    <w:name w:val="font31"/>
    <w:qFormat/>
    <w:uiPriority w:val="0"/>
    <w:rPr>
      <w:rFonts w:hint="eastAsia" w:ascii="宋体" w:hAnsi="宋体" w:eastAsia="宋体" w:cs="宋体"/>
      <w:color w:val="000000"/>
      <w:sz w:val="20"/>
      <w:szCs w:val="20"/>
      <w:u w:val="none"/>
    </w:rPr>
  </w:style>
  <w:style w:type="character" w:customStyle="1" w:styleId="166">
    <w:name w:val="批注文字 字符4"/>
    <w:qFormat/>
    <w:uiPriority w:val="0"/>
    <w:rPr>
      <w:rFonts w:ascii="Times New Roman" w:hAnsi="Times New Roman"/>
      <w:kern w:val="2"/>
      <w:sz w:val="21"/>
      <w:szCs w:val="24"/>
    </w:rPr>
  </w:style>
  <w:style w:type="character" w:customStyle="1" w:styleId="167">
    <w:name w:val="标题 2 字符"/>
    <w:semiHidden/>
    <w:qFormat/>
    <w:uiPriority w:val="0"/>
    <w:rPr>
      <w:rFonts w:ascii="等线 Light" w:hAnsi="等线 Light" w:eastAsia="等线 Light" w:cs="Times New Roman"/>
      <w:b/>
      <w:bCs/>
      <w:kern w:val="2"/>
      <w:sz w:val="32"/>
      <w:szCs w:val="32"/>
    </w:rPr>
  </w:style>
  <w:style w:type="character" w:customStyle="1" w:styleId="168">
    <w:name w:val="标题 3 字符"/>
    <w:semiHidden/>
    <w:qFormat/>
    <w:uiPriority w:val="9"/>
    <w:rPr>
      <w:b/>
      <w:bCs/>
      <w:kern w:val="2"/>
      <w:sz w:val="32"/>
      <w:szCs w:val="32"/>
    </w:rPr>
  </w:style>
  <w:style w:type="character" w:customStyle="1" w:styleId="169">
    <w:name w:val="标题 5 字符"/>
    <w:qFormat/>
    <w:uiPriority w:val="9"/>
    <w:rPr>
      <w:b/>
      <w:bCs/>
      <w:kern w:val="2"/>
      <w:sz w:val="28"/>
      <w:szCs w:val="28"/>
    </w:rPr>
  </w:style>
  <w:style w:type="character" w:customStyle="1" w:styleId="170">
    <w:name w:val="标题 6 字符"/>
    <w:semiHidden/>
    <w:qFormat/>
    <w:uiPriority w:val="0"/>
    <w:rPr>
      <w:rFonts w:ascii="等线 Light" w:hAnsi="等线 Light" w:eastAsia="等线 Light" w:cs="Times New Roman"/>
      <w:b/>
      <w:bCs/>
      <w:kern w:val="2"/>
      <w:sz w:val="24"/>
      <w:szCs w:val="24"/>
    </w:rPr>
  </w:style>
  <w:style w:type="character" w:customStyle="1" w:styleId="171">
    <w:name w:val="标题 7 字符"/>
    <w:semiHidden/>
    <w:qFormat/>
    <w:uiPriority w:val="0"/>
    <w:rPr>
      <w:b/>
      <w:bCs/>
      <w:kern w:val="2"/>
      <w:sz w:val="24"/>
      <w:szCs w:val="24"/>
    </w:rPr>
  </w:style>
  <w:style w:type="character" w:customStyle="1" w:styleId="172">
    <w:name w:val="标题 8 字符"/>
    <w:semiHidden/>
    <w:qFormat/>
    <w:uiPriority w:val="0"/>
    <w:rPr>
      <w:rFonts w:ascii="等线 Light" w:hAnsi="等线 Light" w:eastAsia="等线 Light" w:cs="Times New Roman"/>
      <w:kern w:val="2"/>
      <w:sz w:val="24"/>
      <w:szCs w:val="24"/>
    </w:rPr>
  </w:style>
  <w:style w:type="character" w:customStyle="1" w:styleId="173">
    <w:name w:val="标题 9 字符"/>
    <w:semiHidden/>
    <w:qFormat/>
    <w:uiPriority w:val="0"/>
    <w:rPr>
      <w:rFonts w:ascii="等线 Light" w:hAnsi="等线 Light" w:eastAsia="等线 Light" w:cs="Times New Roman"/>
      <w:kern w:val="2"/>
      <w:sz w:val="21"/>
      <w:szCs w:val="21"/>
    </w:rPr>
  </w:style>
  <w:style w:type="character" w:customStyle="1" w:styleId="174">
    <w:name w:val="正文文本 字符"/>
    <w:qFormat/>
    <w:uiPriority w:val="99"/>
    <w:rPr>
      <w:kern w:val="2"/>
      <w:sz w:val="21"/>
      <w:szCs w:val="24"/>
    </w:rPr>
  </w:style>
  <w:style w:type="paragraph" w:customStyle="1" w:styleId="175">
    <w:name w:val="_Style 166"/>
    <w:basedOn w:val="19"/>
    <w:next w:val="49"/>
    <w:unhideWhenUsed/>
    <w:qFormat/>
    <w:uiPriority w:val="0"/>
    <w:pPr>
      <w:spacing w:after="120"/>
      <w:ind w:left="420" w:leftChars="200" w:firstLine="420" w:firstLineChars="200"/>
    </w:pPr>
    <w:rPr>
      <w:rFonts w:ascii="宋体" w:hAnsi="Courier New"/>
      <w:kern w:val="2"/>
      <w:sz w:val="21"/>
      <w:lang w:val="en-US" w:eastAsia="zh-CN"/>
    </w:rPr>
  </w:style>
  <w:style w:type="character" w:customStyle="1" w:styleId="176">
    <w:name w:val="文档结构图 字符"/>
    <w:semiHidden/>
    <w:qFormat/>
    <w:uiPriority w:val="0"/>
    <w:rPr>
      <w:rFonts w:ascii="Microsoft YaHei UI" w:eastAsia="Microsoft YaHei UI"/>
      <w:kern w:val="2"/>
      <w:sz w:val="18"/>
      <w:szCs w:val="18"/>
    </w:rPr>
  </w:style>
  <w:style w:type="character" w:customStyle="1" w:styleId="177">
    <w:name w:val="正文文本 3 字符"/>
    <w:qFormat/>
    <w:uiPriority w:val="0"/>
    <w:rPr>
      <w:kern w:val="2"/>
      <w:sz w:val="16"/>
      <w:szCs w:val="16"/>
    </w:rPr>
  </w:style>
  <w:style w:type="character" w:customStyle="1" w:styleId="178">
    <w:name w:val="日期 字符"/>
    <w:semiHidden/>
    <w:qFormat/>
    <w:uiPriority w:val="99"/>
    <w:rPr>
      <w:kern w:val="2"/>
      <w:sz w:val="21"/>
      <w:szCs w:val="24"/>
    </w:rPr>
  </w:style>
  <w:style w:type="character" w:customStyle="1" w:styleId="179">
    <w:name w:val="正文文本缩进 2 字符"/>
    <w:semiHidden/>
    <w:qFormat/>
    <w:uiPriority w:val="0"/>
    <w:rPr>
      <w:kern w:val="2"/>
      <w:sz w:val="21"/>
      <w:szCs w:val="24"/>
    </w:rPr>
  </w:style>
  <w:style w:type="character" w:customStyle="1" w:styleId="180">
    <w:name w:val="尾注文本 字符"/>
    <w:semiHidden/>
    <w:qFormat/>
    <w:uiPriority w:val="99"/>
    <w:rPr>
      <w:kern w:val="2"/>
      <w:sz w:val="21"/>
      <w:szCs w:val="24"/>
    </w:rPr>
  </w:style>
  <w:style w:type="character" w:customStyle="1" w:styleId="181">
    <w:name w:val="批注框文本 字符"/>
    <w:semiHidden/>
    <w:qFormat/>
    <w:uiPriority w:val="0"/>
    <w:rPr>
      <w:kern w:val="2"/>
      <w:sz w:val="18"/>
      <w:szCs w:val="18"/>
    </w:rPr>
  </w:style>
  <w:style w:type="character" w:customStyle="1" w:styleId="182">
    <w:name w:val="页眉 字符"/>
    <w:semiHidden/>
    <w:qFormat/>
    <w:uiPriority w:val="99"/>
    <w:rPr>
      <w:kern w:val="2"/>
      <w:sz w:val="18"/>
      <w:szCs w:val="18"/>
    </w:rPr>
  </w:style>
  <w:style w:type="character" w:customStyle="1" w:styleId="183">
    <w:name w:val="脚注文本 字符"/>
    <w:semiHidden/>
    <w:qFormat/>
    <w:uiPriority w:val="99"/>
    <w:rPr>
      <w:kern w:val="2"/>
      <w:sz w:val="18"/>
      <w:szCs w:val="18"/>
    </w:rPr>
  </w:style>
  <w:style w:type="character" w:customStyle="1" w:styleId="184">
    <w:name w:val="正文文本缩进 3 字符"/>
    <w:semiHidden/>
    <w:qFormat/>
    <w:uiPriority w:val="0"/>
    <w:rPr>
      <w:kern w:val="2"/>
      <w:sz w:val="16"/>
      <w:szCs w:val="16"/>
    </w:rPr>
  </w:style>
  <w:style w:type="character" w:customStyle="1" w:styleId="185">
    <w:name w:val="正文文本 2 字符"/>
    <w:semiHidden/>
    <w:qFormat/>
    <w:uiPriority w:val="0"/>
    <w:rPr>
      <w:kern w:val="2"/>
      <w:sz w:val="21"/>
      <w:szCs w:val="24"/>
    </w:rPr>
  </w:style>
  <w:style w:type="character" w:customStyle="1" w:styleId="186">
    <w:name w:val="标题 字符"/>
    <w:qFormat/>
    <w:uiPriority w:val="10"/>
    <w:rPr>
      <w:rFonts w:ascii="等线 Light" w:hAnsi="等线 Light" w:eastAsia="等线 Light" w:cs="Times New Roman"/>
      <w:b/>
      <w:bCs/>
      <w:kern w:val="2"/>
      <w:sz w:val="32"/>
      <w:szCs w:val="32"/>
    </w:rPr>
  </w:style>
  <w:style w:type="character" w:customStyle="1" w:styleId="187">
    <w:name w:val="正文文本 Char1"/>
    <w:semiHidden/>
    <w:qFormat/>
    <w:locked/>
    <w:uiPriority w:val="99"/>
    <w:rPr>
      <w:sz w:val="24"/>
      <w:szCs w:val="24"/>
    </w:rPr>
  </w:style>
  <w:style w:type="paragraph" w:customStyle="1" w:styleId="188">
    <w:name w:val="_Style 187"/>
    <w:unhideWhenUsed/>
    <w:qFormat/>
    <w:uiPriority w:val="99"/>
    <w:rPr>
      <w:rFonts w:ascii="Times New Roman" w:hAnsi="Times New Roman" w:eastAsia="宋体" w:cs="Times New Roman"/>
      <w:kern w:val="2"/>
      <w:sz w:val="21"/>
      <w:szCs w:val="24"/>
      <w:lang w:val="en-US" w:eastAsia="zh-CN" w:bidi="ar-SA"/>
    </w:rPr>
  </w:style>
  <w:style w:type="paragraph" w:customStyle="1" w:styleId="189">
    <w:name w:val="Default"/>
    <w:basedOn w:val="1"/>
    <w:next w:val="1"/>
    <w:qFormat/>
    <w:uiPriority w:val="0"/>
    <w:pPr>
      <w:autoSpaceDE w:val="0"/>
      <w:autoSpaceDN w:val="0"/>
      <w:adjustRightInd w:val="0"/>
      <w:jc w:val="left"/>
    </w:pPr>
    <w:rPr>
      <w:rFonts w:ascii="仿宋_GB2312" w:hAnsi="宋体" w:eastAsia="仿宋_GB2312"/>
      <w:color w:val="000000"/>
      <w:kern w:val="0"/>
      <w:sz w:val="24"/>
    </w:rPr>
  </w:style>
  <w:style w:type="character" w:customStyle="1" w:styleId="190">
    <w:name w:val="font41"/>
    <w:qFormat/>
    <w:uiPriority w:val="0"/>
    <w:rPr>
      <w:rFonts w:hint="eastAsia" w:ascii="宋体" w:hAnsi="宋体" w:eastAsia="宋体" w:cs="宋体"/>
      <w:color w:val="000000"/>
      <w:sz w:val="18"/>
      <w:szCs w:val="18"/>
      <w:u w:val="none"/>
    </w:rPr>
  </w:style>
  <w:style w:type="character" w:customStyle="1" w:styleId="191">
    <w:name w:val="font51"/>
    <w:qFormat/>
    <w:uiPriority w:val="0"/>
    <w:rPr>
      <w:rFonts w:hint="eastAsia" w:ascii="宋体" w:hAnsi="宋体" w:eastAsia="宋体" w:cs="宋体"/>
      <w:color w:val="000000"/>
      <w:sz w:val="21"/>
      <w:szCs w:val="21"/>
      <w:u w:val="none"/>
    </w:rPr>
  </w:style>
  <w:style w:type="character" w:customStyle="1" w:styleId="192">
    <w:name w:val="font01"/>
    <w:qFormat/>
    <w:uiPriority w:val="0"/>
    <w:rPr>
      <w:rFonts w:hint="eastAsia" w:ascii="宋体" w:hAnsi="宋体" w:eastAsia="宋体" w:cs="宋体"/>
      <w:color w:val="000000"/>
      <w:sz w:val="22"/>
      <w:szCs w:val="22"/>
      <w:u w:val="none"/>
    </w:rPr>
  </w:style>
  <w:style w:type="character" w:customStyle="1" w:styleId="193">
    <w:name w:val="font81"/>
    <w:qFormat/>
    <w:uiPriority w:val="0"/>
    <w:rPr>
      <w:rFonts w:ascii="微软雅黑" w:hAnsi="微软雅黑" w:eastAsia="微软雅黑" w:cs="微软雅黑"/>
      <w:color w:val="000000"/>
      <w:sz w:val="18"/>
      <w:szCs w:val="18"/>
      <w:u w:val="none"/>
    </w:rPr>
  </w:style>
  <w:style w:type="character" w:customStyle="1" w:styleId="194">
    <w:name w:val="font21"/>
    <w:qFormat/>
    <w:uiPriority w:val="0"/>
    <w:rPr>
      <w:rFonts w:hint="eastAsia" w:ascii="微软雅黑" w:hAnsi="微软雅黑" w:eastAsia="微软雅黑" w:cs="微软雅黑"/>
      <w:color w:val="000000"/>
      <w:sz w:val="18"/>
      <w:szCs w:val="18"/>
      <w:u w:val="none"/>
    </w:rPr>
  </w:style>
  <w:style w:type="paragraph" w:customStyle="1" w:styleId="195">
    <w:name w:val="首行缩进"/>
    <w:basedOn w:val="1"/>
    <w:qFormat/>
    <w:uiPriority w:val="0"/>
    <w:pPr>
      <w:ind w:firstLine="480" w:firstLineChars="200"/>
    </w:pPr>
    <w:rPr>
      <w:rFonts w:ascii="Calibri" w:hAnsi="Calibri"/>
    </w:rPr>
  </w:style>
  <w:style w:type="character" w:customStyle="1" w:styleId="196">
    <w:name w:val="正文首行缩进 Char"/>
    <w:semiHidden/>
    <w:qFormat/>
    <w:uiPriority w:val="99"/>
    <w:rPr>
      <w:rFonts w:ascii="Times New Roman" w:hAnsi="Times New Roman" w:eastAsia="宋体" w:cs="Times New Roman"/>
      <w:kern w:val="2"/>
      <w:sz w:val="21"/>
      <w:szCs w:val="24"/>
    </w:rPr>
  </w:style>
  <w:style w:type="paragraph" w:customStyle="1" w:styleId="197">
    <w:name w:val="BodyText1I"/>
    <w:basedOn w:val="1"/>
    <w:qFormat/>
    <w:uiPriority w:val="99"/>
    <w:pPr>
      <w:spacing w:after="120"/>
      <w:ind w:firstLine="420" w:firstLineChars="100"/>
    </w:pPr>
  </w:style>
  <w:style w:type="character" w:customStyle="1" w:styleId="198">
    <w:name w:val="NormalCharacter"/>
    <w:semiHidden/>
    <w:qFormat/>
    <w:uiPriority w:val="0"/>
    <w:rPr>
      <w:rFonts w:hint="default" w:ascii="Calibri" w:hAnsi="Calibri" w:eastAsia="宋体" w:cs="Times New Roman"/>
      <w:kern w:val="2"/>
      <w:sz w:val="21"/>
      <w:szCs w:val="22"/>
      <w:lang w:val="en-US" w:eastAsia="zh-CN" w:bidi="ar-SA"/>
    </w:rPr>
  </w:style>
  <w:style w:type="paragraph" w:customStyle="1" w:styleId="199">
    <w:name w:val="PlainText"/>
    <w:basedOn w:val="1"/>
    <w:qFormat/>
    <w:uiPriority w:val="0"/>
    <w:pPr>
      <w:widowControl/>
      <w:textAlignment w:val="baseline"/>
    </w:pPr>
    <w:rPr>
      <w:rFonts w:ascii="宋体" w:hAnsi="Courier New"/>
      <w:szCs w:val="21"/>
    </w:rPr>
  </w:style>
  <w:style w:type="character" w:customStyle="1" w:styleId="200">
    <w:name w:val="正文首行缩进 2 Char"/>
    <w:link w:val="201"/>
    <w:qFormat/>
    <w:uiPriority w:val="0"/>
    <w:rPr>
      <w:rFonts w:ascii="宋体" w:hAnsi="Courier New" w:eastAsia="仿宋_GB2312"/>
      <w:kern w:val="2"/>
      <w:sz w:val="21"/>
    </w:rPr>
  </w:style>
  <w:style w:type="paragraph" w:customStyle="1" w:styleId="201">
    <w:name w:val="_Style 200"/>
    <w:basedOn w:val="19"/>
    <w:next w:val="49"/>
    <w:link w:val="200"/>
    <w:unhideWhenUsed/>
    <w:qFormat/>
    <w:uiPriority w:val="0"/>
    <w:pPr>
      <w:spacing w:after="120"/>
      <w:ind w:left="420" w:leftChars="200" w:firstLine="420" w:firstLineChars="200"/>
    </w:pPr>
    <w:rPr>
      <w:rFonts w:ascii="宋体" w:hAnsi="Courier New"/>
      <w:kern w:val="2"/>
      <w:sz w:val="21"/>
    </w:rPr>
  </w:style>
  <w:style w:type="character" w:customStyle="1" w:styleId="202">
    <w:name w:val="批注文字 字符5"/>
    <w:qFormat/>
    <w:uiPriority w:val="0"/>
    <w:rPr>
      <w:rFonts w:ascii="Times New Roman" w:hAnsi="Times New Roman"/>
      <w:kern w:val="2"/>
      <w:sz w:val="21"/>
      <w:szCs w:val="24"/>
    </w:rPr>
  </w:style>
  <w:style w:type="character" w:customStyle="1" w:styleId="203">
    <w:name w:val="批注文字 字符6"/>
    <w:qFormat/>
    <w:uiPriority w:val="0"/>
    <w:rPr>
      <w:rFonts w:ascii="Times New Roman" w:hAnsi="Times New Roman"/>
      <w:kern w:val="2"/>
      <w:sz w:val="21"/>
      <w:szCs w:val="24"/>
    </w:rPr>
  </w:style>
  <w:style w:type="paragraph" w:customStyle="1" w:styleId="204">
    <w:name w:val="msonormal"/>
    <w:basedOn w:val="1"/>
    <w:qFormat/>
    <w:uiPriority w:val="0"/>
    <w:pPr>
      <w:widowControl/>
      <w:spacing w:before="100" w:beforeAutospacing="1" w:after="100" w:afterAutospacing="1"/>
      <w:jc w:val="left"/>
    </w:pPr>
    <w:rPr>
      <w:rFonts w:ascii="宋体" w:hAnsi="宋体" w:cs="宋体"/>
      <w:kern w:val="0"/>
      <w:sz w:val="24"/>
    </w:rPr>
  </w:style>
  <w:style w:type="paragraph" w:customStyle="1" w:styleId="205">
    <w:name w:val="font0"/>
    <w:basedOn w:val="1"/>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206">
    <w:name w:val="font1"/>
    <w:basedOn w:val="1"/>
    <w:qFormat/>
    <w:uiPriority w:val="0"/>
    <w:pPr>
      <w:widowControl/>
      <w:spacing w:before="100" w:beforeAutospacing="1" w:after="100" w:afterAutospacing="1"/>
      <w:jc w:val="left"/>
    </w:pPr>
    <w:rPr>
      <w:rFonts w:ascii="仿宋_GB2312" w:hAnsi="宋体" w:eastAsia="仿宋_GB2312" w:cs="宋体"/>
      <w:color w:val="000000"/>
      <w:kern w:val="0"/>
      <w:sz w:val="22"/>
      <w:szCs w:val="22"/>
    </w:rPr>
  </w:style>
  <w:style w:type="paragraph" w:customStyle="1" w:styleId="207">
    <w:name w:val="font2"/>
    <w:basedOn w:val="1"/>
    <w:qFormat/>
    <w:uiPriority w:val="0"/>
    <w:pPr>
      <w:widowControl/>
      <w:spacing w:before="100" w:beforeAutospacing="1" w:after="100" w:afterAutospacing="1"/>
      <w:jc w:val="left"/>
    </w:pPr>
    <w:rPr>
      <w:rFonts w:ascii="仿宋_GB2312" w:hAnsi="宋体" w:eastAsia="仿宋_GB2312" w:cs="宋体"/>
      <w:b/>
      <w:bCs/>
      <w:color w:val="000000"/>
      <w:kern w:val="0"/>
      <w:sz w:val="22"/>
      <w:szCs w:val="22"/>
    </w:rPr>
  </w:style>
  <w:style w:type="paragraph" w:customStyle="1" w:styleId="208">
    <w:name w:val="font3"/>
    <w:basedOn w:val="1"/>
    <w:qFormat/>
    <w:uiPriority w:val="0"/>
    <w:pPr>
      <w:widowControl/>
      <w:spacing w:before="100" w:beforeAutospacing="1" w:after="100" w:afterAutospacing="1"/>
      <w:jc w:val="left"/>
    </w:pPr>
    <w:rPr>
      <w:rFonts w:ascii="仿宋_GB2312" w:hAnsi="宋体" w:eastAsia="仿宋_GB2312" w:cs="宋体"/>
      <w:b/>
      <w:bCs/>
      <w:color w:val="000000"/>
      <w:kern w:val="0"/>
      <w:sz w:val="22"/>
      <w:szCs w:val="22"/>
    </w:rPr>
  </w:style>
  <w:style w:type="paragraph" w:customStyle="1" w:styleId="209">
    <w:name w:val="font4"/>
    <w:basedOn w:val="1"/>
    <w:qFormat/>
    <w:uiPriority w:val="0"/>
    <w:pPr>
      <w:widowControl/>
      <w:spacing w:before="100" w:beforeAutospacing="1" w:after="100" w:afterAutospacing="1"/>
      <w:jc w:val="left"/>
    </w:pPr>
    <w:rPr>
      <w:rFonts w:ascii="仿宋_GB2312" w:hAnsi="宋体" w:eastAsia="仿宋_GB2312" w:cs="宋体"/>
      <w:color w:val="000000"/>
      <w:kern w:val="0"/>
      <w:sz w:val="22"/>
      <w:szCs w:val="22"/>
    </w:rPr>
  </w:style>
  <w:style w:type="paragraph" w:customStyle="1" w:styleId="210">
    <w:name w:val="font5"/>
    <w:basedOn w:val="1"/>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211">
    <w:name w:val="font6"/>
    <w:basedOn w:val="1"/>
    <w:qFormat/>
    <w:uiPriority w:val="0"/>
    <w:pPr>
      <w:widowControl/>
      <w:spacing w:before="100" w:beforeAutospacing="1" w:after="100" w:afterAutospacing="1"/>
      <w:jc w:val="left"/>
    </w:pPr>
    <w:rPr>
      <w:rFonts w:ascii="仿宋_GB2312" w:hAnsi="宋体" w:eastAsia="仿宋_GB2312" w:cs="宋体"/>
      <w:color w:val="000000"/>
      <w:kern w:val="0"/>
      <w:sz w:val="22"/>
      <w:szCs w:val="22"/>
    </w:rPr>
  </w:style>
  <w:style w:type="paragraph" w:customStyle="1" w:styleId="212">
    <w:name w:val="font7"/>
    <w:basedOn w:val="1"/>
    <w:qFormat/>
    <w:uiPriority w:val="0"/>
    <w:pPr>
      <w:widowControl/>
      <w:spacing w:before="100" w:beforeAutospacing="1" w:after="100" w:afterAutospacing="1"/>
      <w:jc w:val="left"/>
    </w:pPr>
    <w:rPr>
      <w:rFonts w:ascii="仿宋_GB2312" w:hAnsi="宋体" w:eastAsia="仿宋_GB2312" w:cs="宋体"/>
      <w:color w:val="000000"/>
      <w:kern w:val="0"/>
      <w:sz w:val="22"/>
      <w:szCs w:val="22"/>
    </w:rPr>
  </w:style>
  <w:style w:type="paragraph" w:customStyle="1" w:styleId="213">
    <w:name w:val="font8"/>
    <w:basedOn w:val="1"/>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214">
    <w:name w:val="font9"/>
    <w:basedOn w:val="1"/>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215">
    <w:name w:val="font10"/>
    <w:basedOn w:val="1"/>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216">
    <w:name w:val="et4"/>
    <w:basedOn w:val="1"/>
    <w:qFormat/>
    <w:uiPriority w:val="0"/>
    <w:pPr>
      <w:widowControl/>
      <w:spacing w:before="100" w:beforeAutospacing="1" w:after="100" w:afterAutospacing="1"/>
      <w:jc w:val="left"/>
    </w:pPr>
    <w:rPr>
      <w:rFonts w:ascii="仿宋_GB2312" w:hAnsi="宋体" w:eastAsia="仿宋_GB2312" w:cs="宋体"/>
      <w:color w:val="000000"/>
      <w:kern w:val="0"/>
      <w:sz w:val="24"/>
    </w:rPr>
  </w:style>
  <w:style w:type="paragraph" w:customStyle="1" w:styleId="217">
    <w:name w:val="et5"/>
    <w:basedOn w:val="1"/>
    <w:qFormat/>
    <w:uiPriority w:val="0"/>
    <w:pPr>
      <w:widowControl/>
      <w:spacing w:before="100" w:beforeAutospacing="1" w:after="100" w:afterAutospacing="1"/>
      <w:jc w:val="center"/>
    </w:pPr>
    <w:rPr>
      <w:rFonts w:ascii="仿宋_GB2312" w:hAnsi="宋体" w:eastAsia="仿宋_GB2312" w:cs="宋体"/>
      <w:color w:val="000000"/>
      <w:kern w:val="0"/>
      <w:sz w:val="24"/>
    </w:rPr>
  </w:style>
  <w:style w:type="paragraph" w:customStyle="1" w:styleId="218">
    <w:name w:val="et6"/>
    <w:basedOn w:val="1"/>
    <w:qFormat/>
    <w:uiPriority w:val="0"/>
    <w:pPr>
      <w:widowControl/>
      <w:spacing w:before="100" w:beforeAutospacing="1" w:after="100" w:afterAutospacing="1"/>
      <w:jc w:val="left"/>
    </w:pPr>
    <w:rPr>
      <w:rFonts w:ascii="仿宋_GB2312" w:hAnsi="宋体" w:eastAsia="仿宋_GB2312" w:cs="宋体"/>
      <w:color w:val="000000"/>
      <w:kern w:val="0"/>
      <w:sz w:val="24"/>
    </w:rPr>
  </w:style>
  <w:style w:type="paragraph" w:customStyle="1" w:styleId="219">
    <w:name w:val="et7"/>
    <w:basedOn w:val="1"/>
    <w:qFormat/>
    <w:uiPriority w:val="0"/>
    <w:pPr>
      <w:widowControl/>
      <w:spacing w:before="100" w:beforeAutospacing="1" w:after="100" w:afterAutospacing="1"/>
      <w:jc w:val="left"/>
    </w:pPr>
    <w:rPr>
      <w:rFonts w:ascii="仿宋_GB2312" w:hAnsi="宋体" w:eastAsia="仿宋_GB2312" w:cs="宋体"/>
      <w:b/>
      <w:bCs/>
      <w:color w:val="000000"/>
      <w:kern w:val="0"/>
      <w:sz w:val="24"/>
    </w:rPr>
  </w:style>
  <w:style w:type="paragraph" w:customStyle="1" w:styleId="220">
    <w:name w:val="et9"/>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仿宋_GB2312" w:hAnsi="宋体" w:eastAsia="仿宋_GB2312" w:cs="宋体"/>
      <w:b/>
      <w:bCs/>
      <w:kern w:val="0"/>
      <w:sz w:val="24"/>
    </w:rPr>
  </w:style>
  <w:style w:type="paragraph" w:customStyle="1" w:styleId="221">
    <w:name w:val="et10"/>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仿宋_GB2312" w:hAnsi="宋体" w:eastAsia="仿宋_GB2312" w:cs="宋体"/>
      <w:b/>
      <w:bCs/>
      <w:color w:val="000000"/>
      <w:kern w:val="0"/>
      <w:sz w:val="24"/>
    </w:rPr>
  </w:style>
  <w:style w:type="paragraph" w:customStyle="1" w:styleId="222">
    <w:name w:val="et11"/>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仿宋_GB2312" w:hAnsi="宋体" w:eastAsia="仿宋_GB2312" w:cs="宋体"/>
      <w:kern w:val="0"/>
      <w:sz w:val="24"/>
    </w:rPr>
  </w:style>
  <w:style w:type="paragraph" w:customStyle="1" w:styleId="223">
    <w:name w:val="et12"/>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仿宋_GB2312" w:hAnsi="宋体" w:eastAsia="仿宋_GB2312" w:cs="宋体"/>
      <w:kern w:val="0"/>
      <w:sz w:val="24"/>
    </w:rPr>
  </w:style>
  <w:style w:type="paragraph" w:customStyle="1" w:styleId="224">
    <w:name w:val="et13"/>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仿宋_GB2312" w:hAnsi="宋体" w:eastAsia="仿宋_GB2312" w:cs="宋体"/>
      <w:kern w:val="0"/>
      <w:sz w:val="24"/>
    </w:rPr>
  </w:style>
  <w:style w:type="paragraph" w:customStyle="1" w:styleId="225">
    <w:name w:val="et14"/>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仿宋_GB2312" w:hAnsi="宋体" w:eastAsia="仿宋_GB2312" w:cs="宋体"/>
      <w:color w:val="000000"/>
      <w:kern w:val="0"/>
      <w:sz w:val="24"/>
    </w:rPr>
  </w:style>
  <w:style w:type="paragraph" w:customStyle="1" w:styleId="226">
    <w:name w:val="et15"/>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仿宋_GB2312" w:hAnsi="宋体" w:eastAsia="仿宋_GB2312" w:cs="宋体"/>
      <w:b/>
      <w:bCs/>
      <w:color w:val="000000"/>
      <w:kern w:val="0"/>
      <w:sz w:val="24"/>
    </w:rPr>
  </w:style>
  <w:style w:type="paragraph" w:customStyle="1" w:styleId="227">
    <w:name w:val="et16"/>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仿宋_GB2312" w:hAnsi="宋体" w:eastAsia="仿宋_GB2312" w:cs="宋体"/>
      <w:b/>
      <w:bCs/>
      <w:color w:val="000000"/>
      <w:kern w:val="0"/>
      <w:sz w:val="24"/>
    </w:rPr>
  </w:style>
  <w:style w:type="paragraph" w:customStyle="1" w:styleId="228">
    <w:name w:val="et17"/>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仿宋_GB2312" w:hAnsi="宋体" w:eastAsia="仿宋_GB2312" w:cs="宋体"/>
      <w:b/>
      <w:bCs/>
      <w:color w:val="000000"/>
      <w:kern w:val="0"/>
      <w:sz w:val="24"/>
    </w:rPr>
  </w:style>
  <w:style w:type="paragraph" w:customStyle="1" w:styleId="229">
    <w:name w:val="et18"/>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仿宋_GB2312" w:hAnsi="宋体" w:eastAsia="仿宋_GB2312" w:cs="宋体"/>
      <w:b/>
      <w:bCs/>
      <w:color w:val="000000"/>
      <w:kern w:val="0"/>
      <w:sz w:val="24"/>
    </w:rPr>
  </w:style>
  <w:style w:type="paragraph" w:customStyle="1" w:styleId="230">
    <w:name w:val="et19"/>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仿宋_GB2312" w:hAnsi="宋体" w:eastAsia="仿宋_GB2312" w:cs="宋体"/>
      <w:b/>
      <w:bCs/>
      <w:color w:val="000000"/>
      <w:kern w:val="0"/>
      <w:sz w:val="24"/>
    </w:rPr>
  </w:style>
  <w:style w:type="paragraph" w:customStyle="1" w:styleId="231">
    <w:name w:val="et20"/>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仿宋_GB2312" w:hAnsi="宋体" w:eastAsia="仿宋_GB2312" w:cs="宋体"/>
      <w:color w:val="000000"/>
      <w:kern w:val="0"/>
      <w:sz w:val="24"/>
    </w:rPr>
  </w:style>
  <w:style w:type="paragraph" w:customStyle="1" w:styleId="232">
    <w:name w:val="et21"/>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仿宋_GB2312" w:hAnsi="宋体" w:eastAsia="仿宋_GB2312" w:cs="宋体"/>
      <w:color w:val="000000"/>
      <w:kern w:val="0"/>
      <w:sz w:val="24"/>
    </w:rPr>
  </w:style>
  <w:style w:type="paragraph" w:customStyle="1" w:styleId="233">
    <w:name w:val="et22"/>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仿宋_GB2312" w:hAnsi="宋体" w:eastAsia="仿宋_GB2312" w:cs="宋体"/>
      <w:color w:val="000000"/>
      <w:kern w:val="0"/>
      <w:sz w:val="24"/>
    </w:rPr>
  </w:style>
  <w:style w:type="paragraph" w:customStyle="1" w:styleId="234">
    <w:name w:val="et23"/>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仿宋_GB2312" w:hAnsi="宋体" w:eastAsia="仿宋_GB2312" w:cs="宋体"/>
      <w:color w:val="000000"/>
      <w:kern w:val="0"/>
      <w:sz w:val="24"/>
    </w:rPr>
  </w:style>
  <w:style w:type="paragraph" w:customStyle="1" w:styleId="235">
    <w:name w:val="et24"/>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仿宋_GB2312" w:hAnsi="宋体" w:eastAsia="仿宋_GB2312" w:cs="宋体"/>
      <w:color w:val="000000"/>
      <w:kern w:val="0"/>
      <w:sz w:val="24"/>
    </w:rPr>
  </w:style>
  <w:style w:type="paragraph" w:customStyle="1" w:styleId="236">
    <w:name w:val="et25"/>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仿宋_GB2312" w:hAnsi="宋体" w:eastAsia="仿宋_GB2312" w:cs="宋体"/>
      <w:color w:val="000000"/>
      <w:kern w:val="0"/>
      <w:sz w:val="24"/>
    </w:rPr>
  </w:style>
  <w:style w:type="paragraph" w:customStyle="1" w:styleId="237">
    <w:name w:val="et26"/>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仿宋_GB2312" w:hAnsi="宋体" w:eastAsia="仿宋_GB2312" w:cs="宋体"/>
      <w:b/>
      <w:bCs/>
      <w:color w:val="000000"/>
      <w:kern w:val="0"/>
      <w:sz w:val="24"/>
    </w:rPr>
  </w:style>
  <w:style w:type="paragraph" w:customStyle="1" w:styleId="238">
    <w:name w:val="et27"/>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仿宋_GB2312" w:hAnsi="宋体" w:eastAsia="仿宋_GB2312" w:cs="宋体"/>
      <w:color w:val="000000"/>
      <w:kern w:val="0"/>
      <w:sz w:val="24"/>
    </w:rPr>
  </w:style>
  <w:style w:type="paragraph" w:customStyle="1" w:styleId="239">
    <w:name w:val="et28"/>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仿宋_GB2312" w:hAnsi="宋体" w:eastAsia="仿宋_GB2312" w:cs="宋体"/>
      <w:b/>
      <w:bCs/>
      <w:color w:val="000000"/>
      <w:kern w:val="0"/>
      <w:sz w:val="24"/>
    </w:rPr>
  </w:style>
  <w:style w:type="paragraph" w:customStyle="1" w:styleId="240">
    <w:name w:val="et29"/>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color w:val="000000"/>
      <w:kern w:val="0"/>
      <w:sz w:val="24"/>
    </w:rPr>
  </w:style>
  <w:style w:type="paragraph" w:customStyle="1" w:styleId="241">
    <w:name w:val="et30"/>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仿宋_GB2312" w:hAnsi="宋体" w:eastAsia="仿宋_GB2312" w:cs="宋体"/>
      <w:b/>
      <w:bCs/>
      <w:color w:val="000000"/>
      <w:kern w:val="0"/>
      <w:sz w:val="24"/>
    </w:rPr>
  </w:style>
  <w:style w:type="paragraph" w:customStyle="1" w:styleId="242">
    <w:name w:val="et31"/>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textAlignment w:val="bottom"/>
    </w:pPr>
    <w:rPr>
      <w:rFonts w:ascii="仿宋_GB2312" w:hAnsi="宋体" w:eastAsia="仿宋_GB2312" w:cs="宋体"/>
      <w:color w:val="000000"/>
      <w:kern w:val="0"/>
      <w:sz w:val="24"/>
    </w:rPr>
  </w:style>
  <w:style w:type="paragraph" w:customStyle="1" w:styleId="243">
    <w:name w:val="et32"/>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textAlignment w:val="bottom"/>
    </w:pPr>
    <w:rPr>
      <w:rFonts w:ascii="仿宋_GB2312" w:hAnsi="宋体" w:eastAsia="仿宋_GB2312" w:cs="宋体"/>
      <w:color w:val="000000"/>
      <w:kern w:val="0"/>
      <w:sz w:val="24"/>
    </w:rPr>
  </w:style>
  <w:style w:type="paragraph" w:customStyle="1" w:styleId="244">
    <w:name w:val="et33"/>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仿宋_GB2312" w:hAnsi="宋体" w:eastAsia="仿宋_GB2312" w:cs="宋体"/>
      <w:color w:val="000000"/>
      <w:kern w:val="0"/>
      <w:sz w:val="24"/>
    </w:rPr>
  </w:style>
  <w:style w:type="paragraph" w:customStyle="1" w:styleId="245">
    <w:name w:val="et34"/>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textAlignment w:val="top"/>
    </w:pPr>
    <w:rPr>
      <w:rFonts w:ascii="仿宋_GB2312" w:hAnsi="宋体" w:eastAsia="仿宋_GB2312" w:cs="宋体"/>
      <w:color w:val="000000"/>
      <w:kern w:val="0"/>
      <w:sz w:val="24"/>
    </w:rPr>
  </w:style>
  <w:style w:type="paragraph" w:customStyle="1" w:styleId="246">
    <w:name w:val="et35"/>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textAlignment w:val="top"/>
    </w:pPr>
    <w:rPr>
      <w:rFonts w:ascii="仿宋_GB2312" w:hAnsi="宋体" w:eastAsia="仿宋_GB2312" w:cs="宋体"/>
      <w:kern w:val="0"/>
      <w:sz w:val="24"/>
    </w:rPr>
  </w:style>
  <w:style w:type="paragraph" w:customStyle="1" w:styleId="247">
    <w:name w:val="et36"/>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仿宋_GB2312" w:hAnsi="宋体" w:eastAsia="仿宋_GB2312" w:cs="宋体"/>
      <w:color w:val="000000"/>
      <w:kern w:val="0"/>
      <w:sz w:val="24"/>
    </w:rPr>
  </w:style>
  <w:style w:type="paragraph" w:customStyle="1" w:styleId="248">
    <w:name w:val="et37"/>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仿宋_GB2312" w:hAnsi="宋体" w:eastAsia="仿宋_GB2312" w:cs="宋体"/>
      <w:kern w:val="0"/>
      <w:sz w:val="24"/>
    </w:rPr>
  </w:style>
  <w:style w:type="paragraph" w:customStyle="1" w:styleId="249">
    <w:name w:val="et38"/>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仿宋_GB2312" w:hAnsi="宋体" w:eastAsia="仿宋_GB2312" w:cs="宋体"/>
      <w:color w:val="000000"/>
      <w:kern w:val="0"/>
      <w:sz w:val="24"/>
    </w:rPr>
  </w:style>
  <w:style w:type="paragraph" w:customStyle="1" w:styleId="250">
    <w:name w:val="et39"/>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仿宋_GB2312" w:hAnsi="宋体" w:eastAsia="仿宋_GB2312" w:cs="宋体"/>
      <w:kern w:val="0"/>
      <w:sz w:val="24"/>
    </w:rPr>
  </w:style>
  <w:style w:type="paragraph" w:customStyle="1" w:styleId="251">
    <w:name w:val="et40"/>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textAlignment w:val="top"/>
    </w:pPr>
    <w:rPr>
      <w:rFonts w:ascii="仿宋_GB2312" w:hAnsi="宋体" w:eastAsia="仿宋_GB2312" w:cs="宋体"/>
      <w:kern w:val="0"/>
      <w:sz w:val="24"/>
    </w:rPr>
  </w:style>
  <w:style w:type="paragraph" w:customStyle="1" w:styleId="252">
    <w:name w:val="et41"/>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仿宋_GB2312" w:hAnsi="宋体" w:eastAsia="仿宋_GB2312" w:cs="宋体"/>
      <w:b/>
      <w:bCs/>
      <w:color w:val="000000"/>
      <w:kern w:val="0"/>
      <w:sz w:val="24"/>
    </w:rPr>
  </w:style>
  <w:style w:type="paragraph" w:customStyle="1" w:styleId="253">
    <w:name w:val="et42"/>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bottom"/>
    </w:pPr>
    <w:rPr>
      <w:rFonts w:ascii="仿宋_GB2312" w:hAnsi="宋体" w:eastAsia="仿宋_GB2312" w:cs="宋体"/>
      <w:color w:val="000000"/>
      <w:kern w:val="0"/>
      <w:sz w:val="24"/>
    </w:rPr>
  </w:style>
  <w:style w:type="paragraph" w:customStyle="1" w:styleId="254">
    <w:name w:val="et43"/>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仿宋_GB2312" w:hAnsi="宋体" w:eastAsia="仿宋_GB2312" w:cs="宋体"/>
      <w:color w:val="000000"/>
      <w:kern w:val="0"/>
      <w:sz w:val="24"/>
    </w:rPr>
  </w:style>
  <w:style w:type="paragraph" w:customStyle="1" w:styleId="255">
    <w:name w:val="et44"/>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仿宋_GB2312" w:hAnsi="宋体" w:eastAsia="仿宋_GB2312" w:cs="宋体"/>
      <w:color w:val="000000"/>
      <w:kern w:val="0"/>
      <w:sz w:val="24"/>
    </w:rPr>
  </w:style>
  <w:style w:type="paragraph" w:customStyle="1" w:styleId="256">
    <w:name w:val="et45"/>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textAlignment w:val="top"/>
    </w:pPr>
    <w:rPr>
      <w:rFonts w:ascii="仿宋_GB2312" w:hAnsi="宋体" w:eastAsia="仿宋_GB2312" w:cs="宋体"/>
      <w:color w:val="000000"/>
      <w:kern w:val="0"/>
      <w:sz w:val="24"/>
    </w:rPr>
  </w:style>
  <w:style w:type="character" w:customStyle="1" w:styleId="257">
    <w:name w:val="font11"/>
    <w:qFormat/>
    <w:uiPriority w:val="0"/>
    <w:rPr>
      <w:rFonts w:hint="eastAsia" w:ascii="仿宋_GB2312" w:eastAsia="仿宋_GB2312"/>
      <w:color w:val="000000"/>
      <w:sz w:val="22"/>
      <w:szCs w:val="22"/>
      <w:u w:val="none"/>
    </w:rPr>
  </w:style>
  <w:style w:type="paragraph" w:customStyle="1" w:styleId="258">
    <w:name w:val="AONormal"/>
    <w:basedOn w:val="1"/>
    <w:qFormat/>
    <w:uiPriority w:val="0"/>
    <w:pPr>
      <w:widowControl/>
      <w:autoSpaceDE w:val="0"/>
      <w:autoSpaceDN w:val="0"/>
      <w:adjustRightInd w:val="0"/>
      <w:spacing w:line="400" w:lineRule="exact"/>
      <w:ind w:firstLine="440" w:firstLineChars="200"/>
      <w:jc w:val="left"/>
    </w:pPr>
    <w:rPr>
      <w:rFonts w:ascii="华文楷体" w:hAnsi="华文楷体" w:eastAsia="华文楷体" w:cs="宋体"/>
      <w:kern w:val="0"/>
      <w:sz w:val="22"/>
      <w:szCs w:val="22"/>
    </w:rPr>
  </w:style>
  <w:style w:type="paragraph" w:customStyle="1" w:styleId="259">
    <w:name w:val="列出段落1"/>
    <w:basedOn w:val="1"/>
    <w:qFormat/>
    <w:uiPriority w:val="0"/>
    <w:pPr>
      <w:ind w:firstLine="420" w:firstLineChars="200"/>
    </w:pPr>
    <w:rPr>
      <w:szCs w:val="21"/>
    </w:rPr>
  </w:style>
  <w:style w:type="character" w:customStyle="1" w:styleId="260">
    <w:name w:val="未处理的提及"/>
    <w:unhideWhenUsed/>
    <w:qFormat/>
    <w:uiPriority w:val="99"/>
    <w:rPr>
      <w:color w:val="605E5C"/>
      <w:shd w:val="clear" w:color="auto" w:fill="E1DFDD"/>
    </w:rPr>
  </w:style>
  <w:style w:type="character" w:customStyle="1" w:styleId="261">
    <w:name w:val="_Style 260"/>
    <w:qFormat/>
    <w:uiPriority w:val="21"/>
    <w:rPr>
      <w:i/>
      <w:iCs/>
      <w:color w:val="2F5496"/>
    </w:rPr>
  </w:style>
  <w:style w:type="character" w:customStyle="1" w:styleId="262">
    <w:name w:val="批注文字 Char2"/>
    <w:qFormat/>
    <w:uiPriority w:val="0"/>
    <w:rPr>
      <w:rFonts w:ascii="Times New Roman" w:hAnsi="Times New Roman"/>
      <w:kern w:val="2"/>
      <w:sz w:val="21"/>
      <w:szCs w:val="24"/>
    </w:rPr>
  </w:style>
  <w:style w:type="character" w:customStyle="1" w:styleId="263">
    <w:name w:val="正文文本 Char"/>
    <w:qFormat/>
    <w:uiPriority w:val="99"/>
    <w:rPr>
      <w:rFonts w:ascii="Times New Roman" w:hAnsi="Times New Roman" w:eastAsia="宋体" w:cs="Times New Roman"/>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5" Type="http://schemas.openxmlformats.org/officeDocument/2006/relationships/fontTable" Target="fontTable.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image" Target="https://www.gov.cn/zhengce/content/202509/W020250930645245947614.png" TargetMode="External"/><Relationship Id="rId21" Type="http://schemas.openxmlformats.org/officeDocument/2006/relationships/image" Target="media/image1.png"/><Relationship Id="rId20" Type="http://schemas.openxmlformats.org/officeDocument/2006/relationships/theme" Target="theme/theme1.xml"/><Relationship Id="rId2" Type="http://schemas.openxmlformats.org/officeDocument/2006/relationships/settings" Target="settings.xml"/><Relationship Id="rId19" Type="http://schemas.openxmlformats.org/officeDocument/2006/relationships/footer" Target="footer12.xml"/><Relationship Id="rId18" Type="http://schemas.openxmlformats.org/officeDocument/2006/relationships/footer" Target="footer11.xml"/><Relationship Id="rId17" Type="http://schemas.openxmlformats.org/officeDocument/2006/relationships/footer" Target="footer10.xml"/><Relationship Id="rId16" Type="http://schemas.openxmlformats.org/officeDocument/2006/relationships/header" Target="header5.xml"/><Relationship Id="rId15" Type="http://schemas.openxmlformats.org/officeDocument/2006/relationships/footer" Target="footer9.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6" Type="http://schemas.openxmlformats.org/officeDocument/2006/relationships/font" Target="fonts/font16.odttf"/><Relationship Id="rId15" Type="http://schemas.openxmlformats.org/officeDocument/2006/relationships/font" Target="fonts/font15.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159</Pages>
  <Words>1986</Words>
  <Characters>2479</Characters>
  <Lines>876</Lines>
  <Paragraphs>246</Paragraphs>
  <TotalTime>8</TotalTime>
  <ScaleCrop>false</ScaleCrop>
  <LinksUpToDate>false</LinksUpToDate>
  <CharactersWithSpaces>2541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2026-06-04T02:05:00Z</dcterms:created>
  <dc:creator>番茄花园</dc:creator>
  <cp:lastModifiedBy>admini</cp:lastModifiedBy>
  <cp:lastPrinted>2026-06-08T08:34:00Z</cp:lastPrinted>
  <dcterms:modified xsi:type="dcterms:W3CDTF">2026-06-26T11:11:56Z</dcterms:modified>
  <dc:title>公开招标采购文件范本</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BEA3C762FAF44723AF0EAF7FEED7B9C6_13</vt:lpwstr>
  </property>
  <property fmtid="{D5CDD505-2E9C-101B-9397-08002B2CF9AE}" pid="4" name="KSOTemplateDocerSaveRecord">
    <vt:lpwstr>eyJoZGlkIjoiMjdmNTM3NWM4ZDdiOTZkYTFjNThiNGM2MTllNjQ2OTIiLCJ1c2VySWQiOiIzNzIwMzQxMjAifQ==</vt:lpwstr>
  </property>
</Properties>
</file>